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0367" w:rsidP="00370367" w14:paraId="680D89A6" w14:textId="4E58BE38">
      <w:pPr>
        <w:pStyle w:val="BodyText"/>
        <w:spacing w:before="10"/>
        <w:jc w:val="center"/>
      </w:pPr>
      <w:r w:rsidRPr="00370367">
        <w:t>FINAL SUPPORTING STATEMENT FOR</w:t>
      </w:r>
    </w:p>
    <w:p w:rsidR="00370367" w:rsidRPr="00370367" w:rsidP="00370367" w14:paraId="6A66970B" w14:textId="77777777">
      <w:pPr>
        <w:pStyle w:val="BodyText"/>
        <w:spacing w:before="10"/>
        <w:jc w:val="center"/>
      </w:pPr>
      <w:r w:rsidRPr="00370367">
        <w:t>10 CFR PART 50</w:t>
      </w:r>
    </w:p>
    <w:p w:rsidR="00370367" w:rsidP="00370367" w14:paraId="7CBD76DB" w14:textId="3D865BEF">
      <w:pPr>
        <w:pStyle w:val="BodyText"/>
        <w:spacing w:before="10"/>
        <w:jc w:val="center"/>
      </w:pPr>
      <w:r w:rsidRPr="00370367">
        <w:t>LICENSE REQUIREMENTS</w:t>
      </w:r>
    </w:p>
    <w:p w:rsidR="00370367" w:rsidRPr="00370367" w:rsidP="00370367" w14:paraId="0B85A50D" w14:textId="77777777">
      <w:pPr>
        <w:pStyle w:val="BodyText"/>
        <w:spacing w:before="10"/>
        <w:jc w:val="center"/>
      </w:pPr>
      <w:r w:rsidRPr="00370367">
        <w:t>SECTION 6</w:t>
      </w:r>
    </w:p>
    <w:p w:rsidR="00370367" w:rsidRPr="00370367" w:rsidP="00370367" w14:paraId="21199002" w14:textId="77777777">
      <w:pPr>
        <w:pStyle w:val="BodyText"/>
        <w:spacing w:before="10"/>
        <w:jc w:val="center"/>
      </w:pPr>
    </w:p>
    <w:p w:rsidR="00370367" w:rsidRPr="00370367" w:rsidP="00370367" w14:paraId="6CB65D9D" w14:textId="77777777">
      <w:pPr>
        <w:pStyle w:val="BodyText"/>
        <w:spacing w:before="10"/>
        <w:jc w:val="center"/>
      </w:pPr>
      <w:r w:rsidRPr="00370367">
        <w:t>50.9(b) - Completeness of Information; 50.12 - Exemptions</w:t>
      </w:r>
    </w:p>
    <w:p w:rsidR="00370367" w:rsidRPr="00370367" w:rsidP="00370367" w14:paraId="2B32356A" w14:textId="77777777">
      <w:pPr>
        <w:pStyle w:val="BodyText"/>
        <w:spacing w:before="10"/>
        <w:jc w:val="center"/>
      </w:pPr>
    </w:p>
    <w:p w:rsidR="00370367" w:rsidRPr="00370367" w:rsidP="00370367" w14:paraId="4037F435" w14:textId="77777777">
      <w:pPr>
        <w:pStyle w:val="BodyText"/>
        <w:spacing w:before="10"/>
        <w:jc w:val="center"/>
      </w:pPr>
      <w:r w:rsidRPr="00370367">
        <w:t>3150-0011</w:t>
      </w:r>
    </w:p>
    <w:p w:rsidR="004F256E" w:rsidRPr="00894474" w14:paraId="08931A22" w14:textId="77777777">
      <w:pPr>
        <w:pStyle w:val="BodyText"/>
        <w:spacing w:before="10"/>
      </w:pPr>
    </w:p>
    <w:p w:rsidR="00894474" w14:paraId="4B70A737" w14:textId="1933CA67">
      <w:pPr>
        <w:pStyle w:val="BodyText"/>
        <w:spacing w:before="10"/>
        <w:rPr>
          <w:u w:val="single"/>
        </w:rPr>
      </w:pPr>
      <w:r w:rsidRPr="00894474">
        <w:rPr>
          <w:u w:val="single"/>
        </w:rPr>
        <w:t>ABSTRACT</w:t>
      </w:r>
    </w:p>
    <w:p w:rsidR="00370367" w14:paraId="7A0601F9" w14:textId="77777777">
      <w:pPr>
        <w:pStyle w:val="BodyText"/>
        <w:spacing w:before="10"/>
        <w:rPr>
          <w:u w:val="single"/>
        </w:rPr>
      </w:pPr>
    </w:p>
    <w:p w:rsidR="004F256E" w:rsidRPr="00894474" w14:paraId="08931A25" w14:textId="7F8FAFCA">
      <w:pPr>
        <w:pStyle w:val="BodyText"/>
        <w:spacing w:before="92"/>
        <w:ind w:left="120" w:right="99"/>
      </w:pPr>
      <w:r w:rsidRPr="00894474">
        <w:t>The regulations in 10 CFR Part 50 provide the requirements for the licensing of production and utilization facilities, including nuclear power plants and research and test reactors.</w:t>
      </w:r>
      <w:r w:rsidRPr="00894474">
        <w:rPr>
          <w:spacing w:val="40"/>
        </w:rPr>
        <w:t xml:space="preserve"> </w:t>
      </w:r>
      <w:r w:rsidRPr="00894474" w:rsidR="00A41C1F">
        <w:rPr>
          <w:color w:val="333333"/>
          <w:shd w:val="clear" w:color="auto" w:fill="FFFFFF"/>
        </w:rPr>
        <w:t>Information provided to the Commission by an applicant for a license or by a licensee or information required by statute or by the Commission's regulations, orders, or license conditions to be maintained by the applicant or the licensee shall be complete and accurate in all material respects. Each applicant or licensee shall notify the Commission of information identified by the applicant or licensee as having for the regulated activity a significant implication for public health and safety or common defense and security. A</w:t>
      </w:r>
      <w:r w:rsidRPr="00894474">
        <w:t xml:space="preserve"> licensee</w:t>
      </w:r>
      <w:r w:rsidRPr="00894474">
        <w:rPr>
          <w:spacing w:val="-3"/>
        </w:rPr>
        <w:t xml:space="preserve"> </w:t>
      </w:r>
      <w:r w:rsidRPr="00894474">
        <w:t>or</w:t>
      </w:r>
      <w:r w:rsidRPr="00894474">
        <w:rPr>
          <w:spacing w:val="-6"/>
        </w:rPr>
        <w:t xml:space="preserve"> </w:t>
      </w:r>
      <w:r w:rsidRPr="00894474">
        <w:t>applicant</w:t>
      </w:r>
      <w:r w:rsidRPr="00894474">
        <w:rPr>
          <w:spacing w:val="-3"/>
        </w:rPr>
        <w:t xml:space="preserve"> </w:t>
      </w:r>
      <w:r w:rsidRPr="00894474">
        <w:t>may</w:t>
      </w:r>
      <w:r w:rsidRPr="00894474">
        <w:rPr>
          <w:spacing w:val="-3"/>
        </w:rPr>
        <w:t xml:space="preserve"> </w:t>
      </w:r>
      <w:r w:rsidRPr="00894474">
        <w:t>apply</w:t>
      </w:r>
      <w:r w:rsidRPr="00894474">
        <w:rPr>
          <w:spacing w:val="-3"/>
        </w:rPr>
        <w:t xml:space="preserve"> </w:t>
      </w:r>
      <w:r w:rsidRPr="00894474">
        <w:t>to</w:t>
      </w:r>
      <w:r w:rsidRPr="00894474">
        <w:rPr>
          <w:spacing w:val="-3"/>
        </w:rPr>
        <w:t xml:space="preserve"> </w:t>
      </w:r>
      <w:r w:rsidRPr="00894474">
        <w:t>the</w:t>
      </w:r>
      <w:r w:rsidRPr="00894474">
        <w:rPr>
          <w:spacing w:val="-3"/>
        </w:rPr>
        <w:t xml:space="preserve"> </w:t>
      </w:r>
      <w:r w:rsidRPr="00894474">
        <w:t>Commission</w:t>
      </w:r>
      <w:r w:rsidRPr="00894474">
        <w:rPr>
          <w:spacing w:val="-3"/>
        </w:rPr>
        <w:t xml:space="preserve"> </w:t>
      </w:r>
      <w:r w:rsidRPr="00894474">
        <w:t>for</w:t>
      </w:r>
      <w:r w:rsidRPr="00894474">
        <w:rPr>
          <w:spacing w:val="-3"/>
        </w:rPr>
        <w:t xml:space="preserve"> </w:t>
      </w:r>
      <w:r w:rsidRPr="00894474">
        <w:t>an</w:t>
      </w:r>
      <w:r w:rsidRPr="00894474">
        <w:rPr>
          <w:spacing w:val="-3"/>
        </w:rPr>
        <w:t xml:space="preserve"> </w:t>
      </w:r>
      <w:r w:rsidRPr="00894474">
        <w:t>exemption</w:t>
      </w:r>
      <w:r w:rsidRPr="00894474">
        <w:rPr>
          <w:spacing w:val="-3"/>
        </w:rPr>
        <w:t xml:space="preserve"> </w:t>
      </w:r>
      <w:r w:rsidRPr="00894474">
        <w:t>from</w:t>
      </w:r>
      <w:r w:rsidRPr="00894474">
        <w:rPr>
          <w:spacing w:val="-3"/>
        </w:rPr>
        <w:t xml:space="preserve"> </w:t>
      </w:r>
      <w:r w:rsidRPr="00894474">
        <w:t>Part</w:t>
      </w:r>
      <w:r w:rsidRPr="00894474">
        <w:rPr>
          <w:spacing w:val="-3"/>
        </w:rPr>
        <w:t xml:space="preserve"> </w:t>
      </w:r>
      <w:r w:rsidRPr="00894474">
        <w:t>50</w:t>
      </w:r>
      <w:r w:rsidRPr="00894474">
        <w:rPr>
          <w:spacing w:val="-3"/>
        </w:rPr>
        <w:t xml:space="preserve"> </w:t>
      </w:r>
      <w:r w:rsidRPr="00894474">
        <w:t>requirements when</w:t>
      </w:r>
      <w:r w:rsidRPr="00894474">
        <w:rPr>
          <w:spacing w:val="-1"/>
        </w:rPr>
        <w:t xml:space="preserve"> </w:t>
      </w:r>
      <w:r w:rsidRPr="00894474">
        <w:t>(1)</w:t>
      </w:r>
      <w:r w:rsidRPr="00894474">
        <w:rPr>
          <w:spacing w:val="-1"/>
        </w:rPr>
        <w:t xml:space="preserve"> </w:t>
      </w:r>
      <w:r w:rsidRPr="00894474">
        <w:t>the</w:t>
      </w:r>
      <w:r w:rsidRPr="00894474">
        <w:rPr>
          <w:spacing w:val="-1"/>
        </w:rPr>
        <w:t xml:space="preserve"> </w:t>
      </w:r>
      <w:r w:rsidRPr="00894474">
        <w:t>exemption</w:t>
      </w:r>
      <w:r w:rsidRPr="00894474">
        <w:rPr>
          <w:spacing w:val="-1"/>
        </w:rPr>
        <w:t xml:space="preserve"> </w:t>
      </w:r>
      <w:r w:rsidRPr="00894474">
        <w:t>is</w:t>
      </w:r>
      <w:r w:rsidRPr="00894474">
        <w:rPr>
          <w:spacing w:val="-1"/>
        </w:rPr>
        <w:t xml:space="preserve"> </w:t>
      </w:r>
      <w:r w:rsidRPr="00894474">
        <w:t>authorized</w:t>
      </w:r>
      <w:r w:rsidRPr="00894474">
        <w:rPr>
          <w:spacing w:val="-2"/>
        </w:rPr>
        <w:t xml:space="preserve"> </w:t>
      </w:r>
      <w:r w:rsidRPr="00894474">
        <w:t>by</w:t>
      </w:r>
      <w:r w:rsidRPr="00894474">
        <w:rPr>
          <w:spacing w:val="-1"/>
        </w:rPr>
        <w:t xml:space="preserve"> </w:t>
      </w:r>
      <w:r w:rsidRPr="00894474">
        <w:t>law,</w:t>
      </w:r>
      <w:r w:rsidRPr="00894474">
        <w:rPr>
          <w:spacing w:val="-1"/>
        </w:rPr>
        <w:t xml:space="preserve"> </w:t>
      </w:r>
      <w:r w:rsidRPr="00894474">
        <w:t>will</w:t>
      </w:r>
      <w:r w:rsidRPr="00894474">
        <w:rPr>
          <w:spacing w:val="-1"/>
        </w:rPr>
        <w:t xml:space="preserve"> </w:t>
      </w:r>
      <w:r w:rsidRPr="00894474">
        <w:t>not</w:t>
      </w:r>
      <w:r w:rsidRPr="00894474">
        <w:rPr>
          <w:spacing w:val="-1"/>
        </w:rPr>
        <w:t xml:space="preserve"> </w:t>
      </w:r>
      <w:r w:rsidRPr="00894474">
        <w:t>present</w:t>
      </w:r>
      <w:r w:rsidRPr="00894474">
        <w:rPr>
          <w:spacing w:val="-2"/>
        </w:rPr>
        <w:t xml:space="preserve"> </w:t>
      </w:r>
      <w:r w:rsidRPr="00894474">
        <w:t>an</w:t>
      </w:r>
      <w:r w:rsidRPr="00894474">
        <w:rPr>
          <w:spacing w:val="-1"/>
        </w:rPr>
        <w:t xml:space="preserve"> </w:t>
      </w:r>
      <w:r w:rsidRPr="00894474">
        <w:t>undue</w:t>
      </w:r>
      <w:r w:rsidRPr="00894474">
        <w:rPr>
          <w:spacing w:val="-1"/>
        </w:rPr>
        <w:t xml:space="preserve"> </w:t>
      </w:r>
      <w:r w:rsidRPr="00894474">
        <w:t>risk</w:t>
      </w:r>
      <w:r w:rsidRPr="00894474">
        <w:rPr>
          <w:spacing w:val="-1"/>
        </w:rPr>
        <w:t xml:space="preserve"> </w:t>
      </w:r>
      <w:r w:rsidRPr="00894474">
        <w:t>to</w:t>
      </w:r>
      <w:r w:rsidRPr="00894474">
        <w:rPr>
          <w:spacing w:val="-1"/>
        </w:rPr>
        <w:t xml:space="preserve"> </w:t>
      </w:r>
      <w:r w:rsidRPr="00894474">
        <w:t>public</w:t>
      </w:r>
      <w:r w:rsidRPr="00894474">
        <w:rPr>
          <w:spacing w:val="-1"/>
        </w:rPr>
        <w:t xml:space="preserve"> </w:t>
      </w:r>
      <w:r w:rsidRPr="00894474">
        <w:t>health</w:t>
      </w:r>
      <w:r w:rsidRPr="00894474">
        <w:rPr>
          <w:spacing w:val="-1"/>
        </w:rPr>
        <w:t xml:space="preserve"> </w:t>
      </w:r>
      <w:r w:rsidRPr="00894474">
        <w:t>and safety, and is consistent with the common defense and security and (2) when special circumstances are present.</w:t>
      </w:r>
      <w:r w:rsidRPr="00894474">
        <w:rPr>
          <w:spacing w:val="40"/>
        </w:rPr>
        <w:t xml:space="preserve"> </w:t>
      </w:r>
      <w:r w:rsidRPr="00894474">
        <w:t xml:space="preserve">This supporting statement describes the burden associated with </w:t>
      </w:r>
      <w:r w:rsidRPr="00894474" w:rsidR="00884556">
        <w:t xml:space="preserve">completeness and accuracy of information and </w:t>
      </w:r>
      <w:r w:rsidRPr="00894474">
        <w:t>exemption requests.</w:t>
      </w:r>
    </w:p>
    <w:p w:rsidR="00F81377" w:rsidRPr="00894474" w14:paraId="064C1872" w14:textId="77777777">
      <w:pPr>
        <w:pStyle w:val="BodyText"/>
        <w:ind w:left="120" w:right="115"/>
        <w:jc w:val="both"/>
        <w:rPr>
          <w:spacing w:val="40"/>
        </w:rPr>
      </w:pPr>
    </w:p>
    <w:p w:rsidR="004F256E" w:rsidRPr="00894474" w:rsidP="00466E61" w14:paraId="08931A27" w14:textId="7850DFCC">
      <w:pPr>
        <w:ind w:left="120"/>
      </w:pPr>
      <w:r w:rsidRPr="00894474">
        <w:t>These regulations affect 1</w:t>
      </w:r>
      <w:r w:rsidRPr="00894474">
        <w:rPr>
          <w:rStyle w:val="normaltextrun"/>
          <w:color w:val="000000" w:themeColor="text1"/>
        </w:rPr>
        <w:t>0 CFR Part 50, “Domestic Licensing of Production and Utilization Facilities”</w:t>
      </w:r>
      <w:r w:rsidRPr="00894474">
        <w:t xml:space="preserve"> licensees for operating nuclear power plants, licensed non-power production and utilization facilities (NPUF), </w:t>
      </w:r>
      <w:r w:rsidRPr="00894474">
        <w:rPr>
          <w:rStyle w:val="normaltextrun"/>
          <w:color w:val="000000" w:themeColor="text1"/>
        </w:rPr>
        <w:t xml:space="preserve">other new technologies (ONTs), such as light (LWRs) and non-light-water reactors (non-LWRs), and </w:t>
      </w:r>
      <w:r w:rsidRPr="00894474">
        <w:t>power plants that are currently being decommissioned. Also, license and permit holders, and applicants under 10 CFR Part 52, “Licenses, Certifications, and Approvals for Nuclear Power Plants.</w:t>
      </w:r>
      <w:r w:rsidRPr="00894474">
        <w:rPr>
          <w:b/>
          <w:bCs/>
        </w:rPr>
        <w:t xml:space="preserve">” </w:t>
      </w:r>
      <w:r w:rsidRPr="00894474">
        <w:t xml:space="preserve">These entities total </w:t>
      </w:r>
      <w:r w:rsidRPr="00894474" w:rsidR="23D6C90A">
        <w:t>1</w:t>
      </w:r>
      <w:r w:rsidRPr="00894474" w:rsidR="00F610E4">
        <w:t>95</w:t>
      </w:r>
      <w:r w:rsidRPr="00894474">
        <w:t xml:space="preserve"> respondents for the current clearance cycle.</w:t>
      </w:r>
      <w:r w:rsidRPr="00894474">
        <w:rPr>
          <w:b/>
          <w:bCs/>
        </w:rPr>
        <w:t xml:space="preserve"> </w:t>
      </w:r>
      <w:r w:rsidRPr="00894474">
        <w:t>Licensees</w:t>
      </w:r>
      <w:r w:rsidRPr="00894474">
        <w:rPr>
          <w:spacing w:val="-4"/>
        </w:rPr>
        <w:t xml:space="preserve"> </w:t>
      </w:r>
      <w:r w:rsidRPr="00894474">
        <w:t>may</w:t>
      </w:r>
      <w:r w:rsidRPr="00894474">
        <w:rPr>
          <w:spacing w:val="-3"/>
        </w:rPr>
        <w:t xml:space="preserve"> </w:t>
      </w:r>
      <w:r w:rsidRPr="00894474">
        <w:t>voluntarily</w:t>
      </w:r>
      <w:r w:rsidRPr="00894474">
        <w:rPr>
          <w:spacing w:val="-4"/>
        </w:rPr>
        <w:t xml:space="preserve"> </w:t>
      </w:r>
      <w:r w:rsidRPr="00894474">
        <w:t>submit</w:t>
      </w:r>
      <w:r w:rsidRPr="00894474">
        <w:rPr>
          <w:spacing w:val="-4"/>
        </w:rPr>
        <w:t xml:space="preserve"> </w:t>
      </w:r>
      <w:r w:rsidRPr="00894474">
        <w:t>a</w:t>
      </w:r>
      <w:r w:rsidRPr="00894474">
        <w:rPr>
          <w:spacing w:val="-4"/>
        </w:rPr>
        <w:t xml:space="preserve"> </w:t>
      </w:r>
      <w:r w:rsidRPr="00894474">
        <w:t>request</w:t>
      </w:r>
      <w:r w:rsidRPr="00894474">
        <w:rPr>
          <w:spacing w:val="-4"/>
        </w:rPr>
        <w:t xml:space="preserve"> </w:t>
      </w:r>
      <w:r w:rsidRPr="00894474">
        <w:t>for</w:t>
      </w:r>
      <w:r w:rsidRPr="00894474">
        <w:rPr>
          <w:spacing w:val="-4"/>
        </w:rPr>
        <w:t xml:space="preserve"> </w:t>
      </w:r>
      <w:r w:rsidRPr="00894474">
        <w:t>an</w:t>
      </w:r>
      <w:r w:rsidRPr="00894474">
        <w:rPr>
          <w:spacing w:val="-4"/>
        </w:rPr>
        <w:t xml:space="preserve"> </w:t>
      </w:r>
      <w:r w:rsidRPr="00894474">
        <w:t>exemption to the Commission and maintain a record of that request.</w:t>
      </w:r>
    </w:p>
    <w:p w:rsidR="004F256E" w:rsidRPr="00894474" w14:paraId="08931A28" w14:textId="77777777">
      <w:pPr>
        <w:pStyle w:val="BodyText"/>
        <w:spacing w:before="1"/>
      </w:pPr>
    </w:p>
    <w:p w:rsidR="004F256E" w:rsidRPr="00894474" w14:paraId="08931A29" w14:textId="16555D69">
      <w:pPr>
        <w:pStyle w:val="ListParagraph"/>
        <w:numPr>
          <w:ilvl w:val="0"/>
          <w:numId w:val="2"/>
        </w:numPr>
        <w:tabs>
          <w:tab w:val="left" w:pos="1320"/>
        </w:tabs>
        <w:jc w:val="left"/>
        <w:rPr>
          <w:u w:val="single"/>
        </w:rPr>
      </w:pPr>
      <w:r w:rsidRPr="00894474">
        <w:rPr>
          <w:spacing w:val="-2"/>
          <w:u w:val="single"/>
        </w:rPr>
        <w:t>JUSTIFICATION</w:t>
      </w:r>
    </w:p>
    <w:p w:rsidR="004F256E" w:rsidRPr="00894474" w14:paraId="08931A2A" w14:textId="77777777">
      <w:pPr>
        <w:pStyle w:val="BodyText"/>
        <w:spacing w:before="10"/>
      </w:pPr>
    </w:p>
    <w:p w:rsidR="004F256E" w:rsidRPr="00894474" w14:paraId="08931A2B" w14:textId="77777777">
      <w:pPr>
        <w:pStyle w:val="ListParagraph"/>
        <w:numPr>
          <w:ilvl w:val="1"/>
          <w:numId w:val="2"/>
        </w:numPr>
        <w:tabs>
          <w:tab w:val="left" w:pos="1320"/>
        </w:tabs>
        <w:spacing w:before="93"/>
        <w:ind w:hanging="600"/>
      </w:pPr>
      <w:r w:rsidRPr="00894474">
        <w:rPr>
          <w:u w:val="single"/>
        </w:rPr>
        <w:t>Need</w:t>
      </w:r>
      <w:r w:rsidRPr="00894474">
        <w:rPr>
          <w:spacing w:val="-5"/>
          <w:u w:val="single"/>
        </w:rPr>
        <w:t xml:space="preserve"> </w:t>
      </w:r>
      <w:r w:rsidRPr="00894474">
        <w:rPr>
          <w:u w:val="single"/>
        </w:rPr>
        <w:t>for</w:t>
      </w:r>
      <w:r w:rsidRPr="00894474">
        <w:rPr>
          <w:spacing w:val="-5"/>
          <w:u w:val="single"/>
        </w:rPr>
        <w:t xml:space="preserve"> </w:t>
      </w:r>
      <w:r w:rsidRPr="00894474">
        <w:rPr>
          <w:u w:val="single"/>
        </w:rPr>
        <w:t>the</w:t>
      </w:r>
      <w:r w:rsidRPr="00894474">
        <w:rPr>
          <w:spacing w:val="-5"/>
          <w:u w:val="single"/>
        </w:rPr>
        <w:t xml:space="preserve"> </w:t>
      </w:r>
      <w:r w:rsidRPr="00894474">
        <w:rPr>
          <w:u w:val="single"/>
        </w:rPr>
        <w:t>Collection</w:t>
      </w:r>
      <w:r w:rsidRPr="00894474">
        <w:rPr>
          <w:spacing w:val="-4"/>
          <w:u w:val="single"/>
        </w:rPr>
        <w:t xml:space="preserve"> </w:t>
      </w:r>
      <w:r w:rsidRPr="00894474">
        <w:rPr>
          <w:u w:val="single"/>
        </w:rPr>
        <w:t>of</w:t>
      </w:r>
      <w:r w:rsidRPr="00894474">
        <w:rPr>
          <w:spacing w:val="-5"/>
          <w:u w:val="single"/>
        </w:rPr>
        <w:t xml:space="preserve"> </w:t>
      </w:r>
      <w:r w:rsidRPr="00894474">
        <w:rPr>
          <w:spacing w:val="-2"/>
          <w:u w:val="single"/>
        </w:rPr>
        <w:t>Information</w:t>
      </w:r>
    </w:p>
    <w:p w:rsidR="004F256E" w:rsidRPr="00894474" w14:paraId="08931A2C" w14:textId="77777777">
      <w:pPr>
        <w:pStyle w:val="BodyText"/>
        <w:spacing w:before="11"/>
      </w:pPr>
    </w:p>
    <w:p w:rsidR="004F256E" w:rsidRPr="00894474" w14:paraId="08931A2D" w14:textId="2A1195FF">
      <w:pPr>
        <w:pStyle w:val="BodyText"/>
        <w:spacing w:before="93"/>
        <w:ind w:left="1320"/>
      </w:pPr>
      <w:r w:rsidRPr="00894474">
        <w:t xml:space="preserve">The information is submitted voluntarily and is needed </w:t>
      </w:r>
      <w:r w:rsidRPr="00894474">
        <w:t>in order to</w:t>
      </w:r>
      <w:r w:rsidRPr="00894474">
        <w:t xml:space="preserve"> determine licensee compliance</w:t>
      </w:r>
      <w:r w:rsidRPr="00894474">
        <w:rPr>
          <w:spacing w:val="-4"/>
        </w:rPr>
        <w:t xml:space="preserve"> </w:t>
      </w:r>
      <w:r w:rsidRPr="00894474">
        <w:t>with</w:t>
      </w:r>
      <w:r w:rsidRPr="00894474">
        <w:rPr>
          <w:spacing w:val="-3"/>
        </w:rPr>
        <w:t xml:space="preserve"> </w:t>
      </w:r>
      <w:r w:rsidRPr="00894474">
        <w:t>the</w:t>
      </w:r>
      <w:r w:rsidRPr="00894474">
        <w:rPr>
          <w:spacing w:val="-3"/>
        </w:rPr>
        <w:t xml:space="preserve"> </w:t>
      </w:r>
      <w:r w:rsidRPr="00894474">
        <w:t>regulations</w:t>
      </w:r>
      <w:r w:rsidRPr="00894474">
        <w:rPr>
          <w:spacing w:val="-4"/>
        </w:rPr>
        <w:t xml:space="preserve"> </w:t>
      </w:r>
      <w:r w:rsidRPr="00894474">
        <w:t>set</w:t>
      </w:r>
      <w:r w:rsidRPr="00894474">
        <w:rPr>
          <w:spacing w:val="-4"/>
        </w:rPr>
        <w:t xml:space="preserve"> </w:t>
      </w:r>
      <w:r w:rsidRPr="00894474">
        <w:t>forth</w:t>
      </w:r>
      <w:r w:rsidRPr="00894474">
        <w:rPr>
          <w:spacing w:val="-3"/>
        </w:rPr>
        <w:t xml:space="preserve"> </w:t>
      </w:r>
      <w:r w:rsidRPr="00894474">
        <w:t>in</w:t>
      </w:r>
      <w:r w:rsidRPr="00894474">
        <w:rPr>
          <w:spacing w:val="-3"/>
        </w:rPr>
        <w:t xml:space="preserve"> </w:t>
      </w:r>
      <w:r w:rsidRPr="00894474" w:rsidR="00E67DF4">
        <w:rPr>
          <w:spacing w:val="-3"/>
        </w:rPr>
        <w:t xml:space="preserve">50.9 and </w:t>
      </w:r>
      <w:r w:rsidRPr="00894474">
        <w:t>50.12.</w:t>
      </w:r>
      <w:r w:rsidRPr="00894474">
        <w:rPr>
          <w:spacing w:val="40"/>
        </w:rPr>
        <w:t xml:space="preserve"> </w:t>
      </w:r>
      <w:r w:rsidRPr="00894474">
        <w:t>Details</w:t>
      </w:r>
      <w:r w:rsidRPr="00894474">
        <w:rPr>
          <w:spacing w:val="-3"/>
        </w:rPr>
        <w:t xml:space="preserve"> </w:t>
      </w:r>
      <w:r w:rsidRPr="00894474">
        <w:t>of</w:t>
      </w:r>
      <w:r w:rsidRPr="00894474">
        <w:rPr>
          <w:spacing w:val="-5"/>
        </w:rPr>
        <w:t xml:space="preserve"> </w:t>
      </w:r>
      <w:r w:rsidRPr="00894474">
        <w:t>these</w:t>
      </w:r>
      <w:r w:rsidRPr="00894474">
        <w:rPr>
          <w:spacing w:val="-3"/>
        </w:rPr>
        <w:t xml:space="preserve"> </w:t>
      </w:r>
      <w:r w:rsidRPr="00894474">
        <w:t>regulations</w:t>
      </w:r>
      <w:r w:rsidRPr="00894474">
        <w:rPr>
          <w:spacing w:val="-3"/>
        </w:rPr>
        <w:t xml:space="preserve"> </w:t>
      </w:r>
      <w:r w:rsidRPr="00894474">
        <w:t>can</w:t>
      </w:r>
      <w:r w:rsidRPr="00894474">
        <w:rPr>
          <w:spacing w:val="-3"/>
        </w:rPr>
        <w:t xml:space="preserve"> </w:t>
      </w:r>
      <w:r w:rsidRPr="00894474">
        <w:t>be found at the end of this supporting statement in “Description of Requirements.”</w:t>
      </w:r>
    </w:p>
    <w:p w:rsidR="004F256E" w:rsidRPr="00894474" w14:paraId="08931A2E" w14:textId="77777777">
      <w:pPr>
        <w:pStyle w:val="BodyText"/>
        <w:spacing w:before="10"/>
      </w:pPr>
    </w:p>
    <w:p w:rsidR="004F256E" w:rsidRPr="00894474" w14:paraId="08931A2F" w14:textId="77777777">
      <w:pPr>
        <w:pStyle w:val="ListParagraph"/>
        <w:numPr>
          <w:ilvl w:val="1"/>
          <w:numId w:val="2"/>
        </w:numPr>
        <w:tabs>
          <w:tab w:val="left" w:pos="1319"/>
        </w:tabs>
        <w:spacing w:before="1"/>
        <w:ind w:left="1319" w:hanging="599"/>
      </w:pPr>
      <w:r w:rsidRPr="00894474">
        <w:rPr>
          <w:u w:val="single"/>
        </w:rPr>
        <w:t>Agency</w:t>
      </w:r>
      <w:r w:rsidRPr="00894474">
        <w:rPr>
          <w:spacing w:val="-5"/>
          <w:u w:val="single"/>
        </w:rPr>
        <w:t xml:space="preserve"> </w:t>
      </w:r>
      <w:r w:rsidRPr="00894474">
        <w:rPr>
          <w:u w:val="single"/>
        </w:rPr>
        <w:t>Use</w:t>
      </w:r>
      <w:r w:rsidRPr="00894474">
        <w:rPr>
          <w:spacing w:val="-5"/>
          <w:u w:val="single"/>
        </w:rPr>
        <w:t xml:space="preserve"> </w:t>
      </w:r>
      <w:r w:rsidRPr="00894474">
        <w:rPr>
          <w:u w:val="single"/>
        </w:rPr>
        <w:t>of</w:t>
      </w:r>
      <w:r w:rsidRPr="00894474">
        <w:rPr>
          <w:spacing w:val="-5"/>
          <w:u w:val="single"/>
        </w:rPr>
        <w:t xml:space="preserve"> </w:t>
      </w:r>
      <w:r w:rsidRPr="00894474">
        <w:rPr>
          <w:spacing w:val="-2"/>
          <w:u w:val="single"/>
        </w:rPr>
        <w:t>Information</w:t>
      </w:r>
    </w:p>
    <w:p w:rsidR="004F256E" w:rsidRPr="00894474" w14:paraId="08931A30" w14:textId="77777777">
      <w:pPr>
        <w:pStyle w:val="BodyText"/>
        <w:spacing w:before="11"/>
      </w:pPr>
    </w:p>
    <w:p w:rsidR="00370367" w14:paraId="13B291D8" w14:textId="77777777">
      <w:pPr>
        <w:pStyle w:val="BodyText"/>
        <w:spacing w:before="93"/>
        <w:ind w:left="1320" w:right="192"/>
        <w:rPr>
          <w:spacing w:val="-3"/>
        </w:rPr>
      </w:pPr>
      <w:r w:rsidRPr="00894474">
        <w:t>Applicants or licensees requesting approval to construct or operate utilization or production</w:t>
      </w:r>
      <w:r w:rsidRPr="00894474">
        <w:rPr>
          <w:spacing w:val="-3"/>
        </w:rPr>
        <w:t xml:space="preserve"> </w:t>
      </w:r>
      <w:r w:rsidRPr="00894474">
        <w:t>facilities</w:t>
      </w:r>
      <w:r w:rsidRPr="00894474">
        <w:rPr>
          <w:spacing w:val="-3"/>
        </w:rPr>
        <w:t xml:space="preserve"> </w:t>
      </w:r>
      <w:r w:rsidRPr="00894474">
        <w:t>are</w:t>
      </w:r>
      <w:r w:rsidRPr="00894474">
        <w:rPr>
          <w:spacing w:val="-4"/>
        </w:rPr>
        <w:t xml:space="preserve"> </w:t>
      </w:r>
      <w:r w:rsidRPr="00894474">
        <w:t>required</w:t>
      </w:r>
      <w:r w:rsidRPr="00894474">
        <w:rPr>
          <w:spacing w:val="-3"/>
        </w:rPr>
        <w:t xml:space="preserve"> </w:t>
      </w:r>
      <w:r w:rsidRPr="00894474">
        <w:t>by</w:t>
      </w:r>
      <w:r w:rsidRPr="00894474">
        <w:rPr>
          <w:spacing w:val="-3"/>
        </w:rPr>
        <w:t xml:space="preserve"> </w:t>
      </w:r>
      <w:r w:rsidRPr="00894474">
        <w:t>the</w:t>
      </w:r>
      <w:r w:rsidRPr="00894474">
        <w:rPr>
          <w:spacing w:val="-3"/>
        </w:rPr>
        <w:t xml:space="preserve"> </w:t>
      </w:r>
      <w:r w:rsidRPr="00894474">
        <w:t>Atomic</w:t>
      </w:r>
      <w:r w:rsidRPr="00894474">
        <w:rPr>
          <w:spacing w:val="-3"/>
        </w:rPr>
        <w:t xml:space="preserve"> </w:t>
      </w:r>
      <w:r w:rsidRPr="00894474">
        <w:t>Energy</w:t>
      </w:r>
      <w:r w:rsidRPr="00894474">
        <w:rPr>
          <w:spacing w:val="-3"/>
        </w:rPr>
        <w:t xml:space="preserve"> </w:t>
      </w:r>
      <w:r w:rsidRPr="00894474">
        <w:t>Act</w:t>
      </w:r>
      <w:r w:rsidRPr="00894474">
        <w:rPr>
          <w:spacing w:val="-3"/>
        </w:rPr>
        <w:t xml:space="preserve"> </w:t>
      </w:r>
      <w:r w:rsidRPr="00894474">
        <w:t>of</w:t>
      </w:r>
      <w:r w:rsidRPr="00894474">
        <w:rPr>
          <w:spacing w:val="-3"/>
        </w:rPr>
        <w:t xml:space="preserve"> </w:t>
      </w:r>
      <w:r w:rsidRPr="00894474">
        <w:t>1954,</w:t>
      </w:r>
      <w:r w:rsidRPr="00894474">
        <w:rPr>
          <w:spacing w:val="-3"/>
        </w:rPr>
        <w:t xml:space="preserve"> </w:t>
      </w:r>
      <w:r w:rsidRPr="00894474">
        <w:t>as</w:t>
      </w:r>
      <w:r w:rsidRPr="00894474">
        <w:rPr>
          <w:spacing w:val="-3"/>
        </w:rPr>
        <w:t xml:space="preserve"> </w:t>
      </w:r>
      <w:r w:rsidRPr="00894474">
        <w:t>amended</w:t>
      </w:r>
      <w:r w:rsidRPr="00894474">
        <w:rPr>
          <w:spacing w:val="-3"/>
        </w:rPr>
        <w:t xml:space="preserve"> </w:t>
      </w:r>
    </w:p>
    <w:p w:rsidR="00370367" w14:paraId="2A05F12B" w14:textId="77777777">
      <w:pPr>
        <w:rPr>
          <w:spacing w:val="-3"/>
        </w:rPr>
      </w:pPr>
      <w:r>
        <w:rPr>
          <w:spacing w:val="-3"/>
        </w:rPr>
        <w:br w:type="page"/>
      </w:r>
    </w:p>
    <w:p w:rsidR="004F256E" w:rsidRPr="00894474" w14:paraId="08931A31" w14:textId="4491D785">
      <w:pPr>
        <w:pStyle w:val="BodyText"/>
        <w:spacing w:before="93"/>
        <w:ind w:left="1320" w:right="192"/>
      </w:pPr>
      <w:r w:rsidRPr="00894474">
        <w:t>(the Act), to provide information and data that the NRC may determine necessary to ensure the health and safety of the public.</w:t>
      </w:r>
    </w:p>
    <w:p w:rsidR="004F256E" w:rsidRPr="00894474" w14:paraId="08931A32" w14:textId="77777777">
      <w:pPr>
        <w:pStyle w:val="BodyText"/>
        <w:spacing w:before="11"/>
      </w:pPr>
    </w:p>
    <w:p w:rsidR="004F256E" w:rsidRPr="00894474" w:rsidP="0070287C" w14:paraId="40AC7252" w14:textId="0DAD3FB0">
      <w:pPr>
        <w:pStyle w:val="BodyText"/>
        <w:ind w:left="1320" w:right="113"/>
      </w:pPr>
      <w:r w:rsidRPr="00894474">
        <w:t>The</w:t>
      </w:r>
      <w:r w:rsidRPr="00894474">
        <w:rPr>
          <w:spacing w:val="-3"/>
        </w:rPr>
        <w:t xml:space="preserve"> </w:t>
      </w:r>
      <w:r w:rsidRPr="00894474">
        <w:t>NRC</w:t>
      </w:r>
      <w:r w:rsidRPr="00894474">
        <w:rPr>
          <w:spacing w:val="-3"/>
        </w:rPr>
        <w:t xml:space="preserve"> </w:t>
      </w:r>
      <w:r w:rsidRPr="00894474">
        <w:t>uses</w:t>
      </w:r>
      <w:r w:rsidRPr="00894474">
        <w:rPr>
          <w:spacing w:val="-3"/>
        </w:rPr>
        <w:t xml:space="preserve"> </w:t>
      </w:r>
      <w:r w:rsidRPr="00894474">
        <w:t>the</w:t>
      </w:r>
      <w:r w:rsidRPr="00894474">
        <w:rPr>
          <w:spacing w:val="-3"/>
        </w:rPr>
        <w:t xml:space="preserve"> </w:t>
      </w:r>
      <w:r w:rsidRPr="00894474">
        <w:t>records</w:t>
      </w:r>
      <w:r w:rsidRPr="00894474">
        <w:rPr>
          <w:spacing w:val="-3"/>
        </w:rPr>
        <w:t xml:space="preserve"> </w:t>
      </w:r>
      <w:r w:rsidRPr="00894474">
        <w:t>and</w:t>
      </w:r>
      <w:r w:rsidRPr="00894474">
        <w:rPr>
          <w:spacing w:val="-3"/>
        </w:rPr>
        <w:t xml:space="preserve"> </w:t>
      </w:r>
      <w:r w:rsidRPr="00894474">
        <w:t>reports</w:t>
      </w:r>
      <w:r w:rsidRPr="00894474">
        <w:rPr>
          <w:spacing w:val="-3"/>
        </w:rPr>
        <w:t xml:space="preserve"> </w:t>
      </w:r>
      <w:r w:rsidRPr="00894474">
        <w:t>required</w:t>
      </w:r>
      <w:r w:rsidRPr="00894474">
        <w:rPr>
          <w:spacing w:val="-3"/>
        </w:rPr>
        <w:t xml:space="preserve"> </w:t>
      </w:r>
      <w:r w:rsidRPr="00894474">
        <w:t>in</w:t>
      </w:r>
      <w:r w:rsidRPr="00894474">
        <w:rPr>
          <w:spacing w:val="-3"/>
        </w:rPr>
        <w:t xml:space="preserve"> </w:t>
      </w:r>
      <w:r w:rsidRPr="00894474">
        <w:t>this</w:t>
      </w:r>
      <w:r w:rsidRPr="00894474">
        <w:rPr>
          <w:spacing w:val="-3"/>
        </w:rPr>
        <w:t xml:space="preserve"> </w:t>
      </w:r>
      <w:r w:rsidRPr="00894474">
        <w:t>part</w:t>
      </w:r>
      <w:r w:rsidRPr="00894474">
        <w:rPr>
          <w:spacing w:val="-3"/>
        </w:rPr>
        <w:t xml:space="preserve"> </w:t>
      </w:r>
      <w:r w:rsidRPr="00894474">
        <w:t>to</w:t>
      </w:r>
      <w:r w:rsidRPr="00894474">
        <w:rPr>
          <w:spacing w:val="-3"/>
        </w:rPr>
        <w:t xml:space="preserve"> </w:t>
      </w:r>
      <w:r w:rsidRPr="00894474">
        <w:t>ascertain</w:t>
      </w:r>
      <w:r w:rsidRPr="00894474">
        <w:rPr>
          <w:spacing w:val="-3"/>
        </w:rPr>
        <w:t xml:space="preserve"> </w:t>
      </w:r>
      <w:r w:rsidRPr="00894474">
        <w:t>that</w:t>
      </w:r>
      <w:r w:rsidRPr="00894474">
        <w:rPr>
          <w:spacing w:val="-3"/>
        </w:rPr>
        <w:t xml:space="preserve"> </w:t>
      </w:r>
      <w:r w:rsidRPr="00894474">
        <w:t>licensees’ licensing the design, construction, operation, and decommissioning of commercial nuclear power plants and other nuclear facilities programs are adequate to protect public health and minimize danger to life and property and that licensees’ personnel are aware of and follow up on the information and steps needed to perform licensed activities in a safe manner.</w:t>
      </w:r>
      <w:r w:rsidRPr="00894474" w:rsidR="0070287C">
        <w:t xml:space="preserve">  T</w:t>
      </w:r>
      <w:r w:rsidRPr="00894474" w:rsidR="00F279E5">
        <w:t xml:space="preserve">he NRC review and the findings derived </w:t>
      </w:r>
      <w:r w:rsidR="009C3331">
        <w:t>from the submissions</w:t>
      </w:r>
      <w:r w:rsidRPr="00894474" w:rsidR="00F279E5">
        <w:t xml:space="preserve"> form the basis for the NRC licensing decisions related to licensing of production and utilization facilities, including nuclear power plants and research and test reactors. </w:t>
      </w:r>
      <w:r w:rsidRPr="00894474" w:rsidR="003742FA">
        <w:t xml:space="preserve">  </w:t>
      </w:r>
    </w:p>
    <w:p w:rsidR="003742FA" w:rsidRPr="00894474" w14:paraId="77D3C728" w14:textId="77777777"/>
    <w:p w:rsidR="004F256E" w:rsidRPr="00894474" w14:paraId="08931A35" w14:textId="77777777">
      <w:pPr>
        <w:pStyle w:val="ListParagraph"/>
        <w:numPr>
          <w:ilvl w:val="1"/>
          <w:numId w:val="2"/>
        </w:numPr>
        <w:tabs>
          <w:tab w:val="left" w:pos="1320"/>
        </w:tabs>
        <w:spacing w:before="73"/>
        <w:ind w:hanging="600"/>
      </w:pPr>
      <w:r w:rsidRPr="00894474">
        <w:rPr>
          <w:u w:val="single"/>
        </w:rPr>
        <w:t>Reduction</w:t>
      </w:r>
      <w:r w:rsidRPr="00894474">
        <w:rPr>
          <w:spacing w:val="-8"/>
          <w:u w:val="single"/>
        </w:rPr>
        <w:t xml:space="preserve"> </w:t>
      </w:r>
      <w:r w:rsidRPr="00894474">
        <w:rPr>
          <w:u w:val="single"/>
        </w:rPr>
        <w:t>of</w:t>
      </w:r>
      <w:r w:rsidRPr="00894474">
        <w:rPr>
          <w:spacing w:val="-8"/>
          <w:u w:val="single"/>
        </w:rPr>
        <w:t xml:space="preserve"> </w:t>
      </w:r>
      <w:r w:rsidRPr="00894474">
        <w:rPr>
          <w:u w:val="single"/>
        </w:rPr>
        <w:t>Burden</w:t>
      </w:r>
      <w:r w:rsidRPr="00894474">
        <w:rPr>
          <w:spacing w:val="-8"/>
          <w:u w:val="single"/>
        </w:rPr>
        <w:t xml:space="preserve"> </w:t>
      </w:r>
      <w:r w:rsidRPr="00894474">
        <w:rPr>
          <w:u w:val="single"/>
        </w:rPr>
        <w:t>Through</w:t>
      </w:r>
      <w:r w:rsidRPr="00894474">
        <w:rPr>
          <w:spacing w:val="-8"/>
          <w:u w:val="single"/>
        </w:rPr>
        <w:t xml:space="preserve"> </w:t>
      </w:r>
      <w:r w:rsidRPr="00894474">
        <w:rPr>
          <w:u w:val="single"/>
        </w:rPr>
        <w:t>Information</w:t>
      </w:r>
      <w:r w:rsidRPr="00894474">
        <w:rPr>
          <w:spacing w:val="-8"/>
          <w:u w:val="single"/>
        </w:rPr>
        <w:t xml:space="preserve"> </w:t>
      </w:r>
      <w:r w:rsidRPr="00894474">
        <w:rPr>
          <w:spacing w:val="-2"/>
          <w:u w:val="single"/>
        </w:rPr>
        <w:t>Technology</w:t>
      </w:r>
    </w:p>
    <w:p w:rsidR="004F256E" w:rsidRPr="00894474" w14:paraId="08931A36" w14:textId="77777777">
      <w:pPr>
        <w:pStyle w:val="BodyText"/>
      </w:pPr>
    </w:p>
    <w:p w:rsidR="00220D0C" w:rsidRPr="00894474" w:rsidP="00220D0C" w14:paraId="36B011FD" w14:textId="1FAB303D">
      <w:pPr>
        <w:pStyle w:val="BodyText"/>
        <w:spacing w:before="93"/>
        <w:ind w:left="1320" w:right="113"/>
      </w:pPr>
      <w:r w:rsidRPr="00894474">
        <w:t xml:space="preserve">The NRC has issued </w:t>
      </w:r>
      <w:hyperlink r:id="rId8" w:tgtFrame="_blank" w:history="1">
        <w:r w:rsidRPr="00894474" w:rsidR="0018523B">
          <w:rPr>
            <w:rStyle w:val="Hyperlink"/>
            <w:i/>
            <w:iCs/>
          </w:rPr>
          <w:t>Guidance for Electronic Submissions to the NRC</w:t>
        </w:r>
      </w:hyperlink>
      <w:r w:rsidRPr="00894474" w:rsidR="0018523B">
        <w:t xml:space="preserve"> </w:t>
      </w:r>
      <w:r w:rsidRPr="00894474">
        <w:t xml:space="preserve">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or by e-mail. It is estimated that approximately </w:t>
      </w:r>
      <w:r w:rsidRPr="00894474" w:rsidR="00062367">
        <w:t>80%</w:t>
      </w:r>
      <w:r w:rsidRPr="00894474">
        <w:t xml:space="preserve"> of the potential responses are filed electronically.</w:t>
      </w:r>
    </w:p>
    <w:p w:rsidR="00220D0C" w:rsidRPr="00894474" w14:paraId="3FC1F358" w14:textId="77777777">
      <w:pPr>
        <w:pStyle w:val="BodyText"/>
        <w:spacing w:before="93"/>
        <w:ind w:left="1320" w:right="113"/>
      </w:pPr>
    </w:p>
    <w:p w:rsidR="004F256E" w:rsidRPr="00894474" w14:paraId="08931A39" w14:textId="77777777">
      <w:pPr>
        <w:pStyle w:val="ListParagraph"/>
        <w:numPr>
          <w:ilvl w:val="1"/>
          <w:numId w:val="2"/>
        </w:numPr>
        <w:tabs>
          <w:tab w:val="left" w:pos="1319"/>
        </w:tabs>
        <w:ind w:left="1319" w:hanging="599"/>
      </w:pPr>
      <w:r w:rsidRPr="00894474">
        <w:rPr>
          <w:u w:val="single"/>
        </w:rPr>
        <w:t>Effort</w:t>
      </w:r>
      <w:r w:rsidRPr="00894474">
        <w:rPr>
          <w:spacing w:val="-6"/>
          <w:u w:val="single"/>
        </w:rPr>
        <w:t xml:space="preserve"> </w:t>
      </w:r>
      <w:r w:rsidRPr="00894474">
        <w:rPr>
          <w:u w:val="single"/>
        </w:rPr>
        <w:t>to</w:t>
      </w:r>
      <w:r w:rsidRPr="00894474">
        <w:rPr>
          <w:spacing w:val="-6"/>
          <w:u w:val="single"/>
        </w:rPr>
        <w:t xml:space="preserve"> </w:t>
      </w:r>
      <w:r w:rsidRPr="00894474">
        <w:rPr>
          <w:u w:val="single"/>
        </w:rPr>
        <w:t>Identify</w:t>
      </w:r>
      <w:r w:rsidRPr="00894474">
        <w:rPr>
          <w:spacing w:val="-6"/>
          <w:u w:val="single"/>
        </w:rPr>
        <w:t xml:space="preserve"> </w:t>
      </w:r>
      <w:r w:rsidRPr="00894474">
        <w:rPr>
          <w:u w:val="single"/>
        </w:rPr>
        <w:t>Duplication</w:t>
      </w:r>
      <w:r w:rsidRPr="00894474">
        <w:rPr>
          <w:spacing w:val="-6"/>
          <w:u w:val="single"/>
        </w:rPr>
        <w:t xml:space="preserve"> </w:t>
      </w:r>
      <w:r w:rsidRPr="00894474">
        <w:rPr>
          <w:u w:val="single"/>
        </w:rPr>
        <w:t>and</w:t>
      </w:r>
      <w:r w:rsidRPr="00894474">
        <w:rPr>
          <w:spacing w:val="-5"/>
          <w:u w:val="single"/>
        </w:rPr>
        <w:t xml:space="preserve"> </w:t>
      </w:r>
      <w:r w:rsidRPr="00894474">
        <w:rPr>
          <w:u w:val="single"/>
        </w:rPr>
        <w:t>Use</w:t>
      </w:r>
      <w:r w:rsidRPr="00894474">
        <w:rPr>
          <w:spacing w:val="-6"/>
          <w:u w:val="single"/>
        </w:rPr>
        <w:t xml:space="preserve"> </w:t>
      </w:r>
      <w:r w:rsidRPr="00894474">
        <w:rPr>
          <w:u w:val="single"/>
        </w:rPr>
        <w:t>Similar</w:t>
      </w:r>
      <w:r w:rsidRPr="00894474">
        <w:rPr>
          <w:spacing w:val="-6"/>
          <w:u w:val="single"/>
        </w:rPr>
        <w:t xml:space="preserve"> </w:t>
      </w:r>
      <w:r w:rsidRPr="00894474">
        <w:rPr>
          <w:spacing w:val="-2"/>
          <w:u w:val="single"/>
        </w:rPr>
        <w:t>Information</w:t>
      </w:r>
    </w:p>
    <w:p w:rsidR="004F256E" w:rsidRPr="00894474" w14:paraId="08931A3A" w14:textId="77777777">
      <w:pPr>
        <w:pStyle w:val="BodyText"/>
        <w:spacing w:before="10"/>
      </w:pPr>
    </w:p>
    <w:p w:rsidR="004F256E" w:rsidRPr="00894474" w14:paraId="08931A3B" w14:textId="77777777">
      <w:pPr>
        <w:pStyle w:val="BodyText"/>
        <w:spacing w:before="93"/>
        <w:ind w:left="1320" w:right="192"/>
      </w:pPr>
      <w:r w:rsidRPr="00894474">
        <w:t>No</w:t>
      </w:r>
      <w:r w:rsidRPr="00894474">
        <w:rPr>
          <w:spacing w:val="-3"/>
        </w:rPr>
        <w:t xml:space="preserve"> </w:t>
      </w:r>
      <w:r w:rsidRPr="00894474">
        <w:t>sources</w:t>
      </w:r>
      <w:r w:rsidRPr="00894474">
        <w:rPr>
          <w:spacing w:val="-4"/>
        </w:rPr>
        <w:t xml:space="preserve"> </w:t>
      </w:r>
      <w:r w:rsidRPr="00894474">
        <w:t>of</w:t>
      </w:r>
      <w:r w:rsidRPr="00894474">
        <w:rPr>
          <w:spacing w:val="-3"/>
        </w:rPr>
        <w:t xml:space="preserve"> </w:t>
      </w:r>
      <w:r w:rsidRPr="00894474">
        <w:t>similar</w:t>
      </w:r>
      <w:r w:rsidRPr="00894474">
        <w:rPr>
          <w:spacing w:val="-3"/>
        </w:rPr>
        <w:t xml:space="preserve"> </w:t>
      </w:r>
      <w:r w:rsidRPr="00894474">
        <w:t>information</w:t>
      </w:r>
      <w:r w:rsidRPr="00894474">
        <w:rPr>
          <w:spacing w:val="-3"/>
        </w:rPr>
        <w:t xml:space="preserve"> </w:t>
      </w:r>
      <w:r w:rsidRPr="00894474">
        <w:t>are</w:t>
      </w:r>
      <w:r w:rsidRPr="00894474">
        <w:rPr>
          <w:spacing w:val="-3"/>
        </w:rPr>
        <w:t xml:space="preserve"> </w:t>
      </w:r>
      <w:r w:rsidRPr="00894474">
        <w:t>available.</w:t>
      </w:r>
      <w:r w:rsidRPr="00894474">
        <w:rPr>
          <w:spacing w:val="40"/>
        </w:rPr>
        <w:t xml:space="preserve"> </w:t>
      </w:r>
      <w:r w:rsidRPr="00894474">
        <w:t>There</w:t>
      </w:r>
      <w:r w:rsidRPr="00894474">
        <w:rPr>
          <w:spacing w:val="-3"/>
        </w:rPr>
        <w:t xml:space="preserve"> </w:t>
      </w:r>
      <w:r w:rsidRPr="00894474">
        <w:t>is</w:t>
      </w:r>
      <w:r w:rsidRPr="00894474">
        <w:rPr>
          <w:spacing w:val="-3"/>
        </w:rPr>
        <w:t xml:space="preserve"> </w:t>
      </w:r>
      <w:r w:rsidRPr="00894474">
        <w:t>no</w:t>
      </w:r>
      <w:r w:rsidRPr="00894474">
        <w:rPr>
          <w:spacing w:val="-4"/>
        </w:rPr>
        <w:t xml:space="preserve"> </w:t>
      </w:r>
      <w:r w:rsidRPr="00894474">
        <w:t>duplication</w:t>
      </w:r>
      <w:r w:rsidRPr="00894474">
        <w:rPr>
          <w:spacing w:val="-6"/>
        </w:rPr>
        <w:t xml:space="preserve"> </w:t>
      </w:r>
      <w:r w:rsidRPr="00894474">
        <w:t xml:space="preserve">of </w:t>
      </w:r>
      <w:r w:rsidRPr="00894474">
        <w:rPr>
          <w:spacing w:val="-2"/>
        </w:rPr>
        <w:t>requirements.</w:t>
      </w:r>
    </w:p>
    <w:p w:rsidR="004F256E" w:rsidRPr="00894474" w14:paraId="08931A3C" w14:textId="77777777">
      <w:pPr>
        <w:pStyle w:val="BodyText"/>
      </w:pPr>
    </w:p>
    <w:p w:rsidR="004F256E" w:rsidRPr="00894474" w14:paraId="08931A3D" w14:textId="77777777">
      <w:pPr>
        <w:pStyle w:val="ListParagraph"/>
        <w:numPr>
          <w:ilvl w:val="1"/>
          <w:numId w:val="2"/>
        </w:numPr>
        <w:tabs>
          <w:tab w:val="left" w:pos="1320"/>
        </w:tabs>
        <w:ind w:hanging="600"/>
      </w:pPr>
      <w:r w:rsidRPr="00894474">
        <w:rPr>
          <w:u w:val="single"/>
        </w:rPr>
        <w:t>Effort</w:t>
      </w:r>
      <w:r w:rsidRPr="00894474">
        <w:rPr>
          <w:spacing w:val="-6"/>
          <w:u w:val="single"/>
        </w:rPr>
        <w:t xml:space="preserve"> </w:t>
      </w:r>
      <w:r w:rsidRPr="00894474">
        <w:rPr>
          <w:u w:val="single"/>
        </w:rPr>
        <w:t>to</w:t>
      </w:r>
      <w:r w:rsidRPr="00894474">
        <w:rPr>
          <w:spacing w:val="-6"/>
          <w:u w:val="single"/>
        </w:rPr>
        <w:t xml:space="preserve"> </w:t>
      </w:r>
      <w:r w:rsidRPr="00894474">
        <w:rPr>
          <w:u w:val="single"/>
        </w:rPr>
        <w:t>Reduce</w:t>
      </w:r>
      <w:r w:rsidRPr="00894474">
        <w:rPr>
          <w:spacing w:val="-6"/>
          <w:u w:val="single"/>
        </w:rPr>
        <w:t xml:space="preserve"> </w:t>
      </w:r>
      <w:r w:rsidRPr="00894474">
        <w:rPr>
          <w:u w:val="single"/>
        </w:rPr>
        <w:t>Small</w:t>
      </w:r>
      <w:r w:rsidRPr="00894474">
        <w:rPr>
          <w:spacing w:val="-6"/>
          <w:u w:val="single"/>
        </w:rPr>
        <w:t xml:space="preserve"> </w:t>
      </w:r>
      <w:r w:rsidRPr="00894474">
        <w:rPr>
          <w:u w:val="single"/>
        </w:rPr>
        <w:t>Business</w:t>
      </w:r>
      <w:r w:rsidRPr="00894474">
        <w:rPr>
          <w:spacing w:val="-6"/>
          <w:u w:val="single"/>
        </w:rPr>
        <w:t xml:space="preserve"> </w:t>
      </w:r>
      <w:r w:rsidRPr="00894474">
        <w:rPr>
          <w:spacing w:val="-2"/>
          <w:u w:val="single"/>
        </w:rPr>
        <w:t>Burden</w:t>
      </w:r>
    </w:p>
    <w:p w:rsidR="004F256E" w:rsidRPr="00894474" w14:paraId="08931A3E" w14:textId="77777777">
      <w:pPr>
        <w:pStyle w:val="BodyText"/>
        <w:spacing w:before="11"/>
      </w:pPr>
    </w:p>
    <w:p w:rsidR="004F256E" w:rsidRPr="00894474" w14:paraId="08931A3F" w14:textId="77777777">
      <w:pPr>
        <w:pStyle w:val="BodyText"/>
        <w:spacing w:before="92"/>
        <w:ind w:left="1320"/>
      </w:pPr>
      <w:r w:rsidRPr="00894474">
        <w:t>Not</w:t>
      </w:r>
      <w:r w:rsidRPr="00894474">
        <w:rPr>
          <w:spacing w:val="-5"/>
        </w:rPr>
        <w:t xml:space="preserve"> </w:t>
      </w:r>
      <w:r w:rsidRPr="00894474">
        <w:rPr>
          <w:spacing w:val="-2"/>
        </w:rPr>
        <w:t>Applicable.</w:t>
      </w:r>
    </w:p>
    <w:p w:rsidR="004F256E" w:rsidRPr="00894474" w14:paraId="08931A40" w14:textId="77777777">
      <w:pPr>
        <w:pStyle w:val="BodyText"/>
      </w:pPr>
    </w:p>
    <w:p w:rsidR="004F256E" w:rsidRPr="00894474" w14:paraId="08931A41" w14:textId="77777777">
      <w:pPr>
        <w:pStyle w:val="ListParagraph"/>
        <w:numPr>
          <w:ilvl w:val="1"/>
          <w:numId w:val="2"/>
        </w:numPr>
        <w:tabs>
          <w:tab w:val="left" w:pos="1320"/>
        </w:tabs>
        <w:spacing w:before="1"/>
        <w:ind w:right="1090" w:hanging="600"/>
      </w:pPr>
      <w:r w:rsidRPr="00894474">
        <w:rPr>
          <w:u w:val="single"/>
        </w:rPr>
        <w:t>Consequences</w:t>
      </w:r>
      <w:r w:rsidRPr="00894474">
        <w:rPr>
          <w:spacing w:val="-4"/>
          <w:u w:val="single"/>
        </w:rPr>
        <w:t xml:space="preserve"> </w:t>
      </w:r>
      <w:r w:rsidRPr="00894474">
        <w:rPr>
          <w:u w:val="single"/>
        </w:rPr>
        <w:t>to</w:t>
      </w:r>
      <w:r w:rsidRPr="00894474">
        <w:rPr>
          <w:spacing w:val="-4"/>
          <w:u w:val="single"/>
        </w:rPr>
        <w:t xml:space="preserve"> </w:t>
      </w:r>
      <w:r w:rsidRPr="00894474">
        <w:rPr>
          <w:u w:val="single"/>
        </w:rPr>
        <w:t>Federal</w:t>
      </w:r>
      <w:r w:rsidRPr="00894474">
        <w:rPr>
          <w:spacing w:val="-4"/>
          <w:u w:val="single"/>
        </w:rPr>
        <w:t xml:space="preserve"> </w:t>
      </w:r>
      <w:r w:rsidRPr="00894474">
        <w:rPr>
          <w:u w:val="single"/>
        </w:rPr>
        <w:t>Program</w:t>
      </w:r>
      <w:r w:rsidRPr="00894474">
        <w:rPr>
          <w:spacing w:val="-3"/>
          <w:u w:val="single"/>
        </w:rPr>
        <w:t xml:space="preserve"> </w:t>
      </w:r>
      <w:r w:rsidRPr="00894474">
        <w:rPr>
          <w:u w:val="single"/>
        </w:rPr>
        <w:t>or</w:t>
      </w:r>
      <w:r w:rsidRPr="00894474">
        <w:rPr>
          <w:spacing w:val="-4"/>
          <w:u w:val="single"/>
        </w:rPr>
        <w:t xml:space="preserve"> </w:t>
      </w:r>
      <w:r w:rsidRPr="00894474">
        <w:rPr>
          <w:u w:val="single"/>
        </w:rPr>
        <w:t>Policy</w:t>
      </w:r>
      <w:r w:rsidRPr="00894474">
        <w:rPr>
          <w:spacing w:val="-4"/>
          <w:u w:val="single"/>
        </w:rPr>
        <w:t xml:space="preserve"> </w:t>
      </w:r>
      <w:r w:rsidRPr="00894474">
        <w:rPr>
          <w:u w:val="single"/>
        </w:rPr>
        <w:t>Activities</w:t>
      </w:r>
      <w:r w:rsidRPr="00894474">
        <w:rPr>
          <w:spacing w:val="-4"/>
          <w:u w:val="single"/>
        </w:rPr>
        <w:t xml:space="preserve"> </w:t>
      </w:r>
      <w:r w:rsidRPr="00894474">
        <w:rPr>
          <w:u w:val="single"/>
        </w:rPr>
        <w:t>if</w:t>
      </w:r>
      <w:r w:rsidRPr="00894474">
        <w:rPr>
          <w:spacing w:val="-4"/>
          <w:u w:val="single"/>
        </w:rPr>
        <w:t xml:space="preserve"> </w:t>
      </w:r>
      <w:r w:rsidRPr="00894474">
        <w:rPr>
          <w:u w:val="single"/>
        </w:rPr>
        <w:t>the</w:t>
      </w:r>
      <w:r w:rsidRPr="00894474">
        <w:rPr>
          <w:spacing w:val="-6"/>
          <w:u w:val="single"/>
        </w:rPr>
        <w:t xml:space="preserve"> </w:t>
      </w:r>
      <w:r w:rsidRPr="00894474">
        <w:rPr>
          <w:u w:val="single"/>
        </w:rPr>
        <w:t>Collection</w:t>
      </w:r>
      <w:r w:rsidRPr="00894474">
        <w:rPr>
          <w:spacing w:val="-4"/>
          <w:u w:val="single"/>
        </w:rPr>
        <w:t xml:space="preserve"> </w:t>
      </w:r>
      <w:r w:rsidRPr="00894474">
        <w:rPr>
          <w:u w:val="single"/>
        </w:rPr>
        <w:t>is</w:t>
      </w:r>
      <w:r w:rsidRPr="00894474">
        <w:rPr>
          <w:spacing w:val="-4"/>
          <w:u w:val="single"/>
        </w:rPr>
        <w:t xml:space="preserve"> </w:t>
      </w:r>
      <w:r w:rsidRPr="00894474">
        <w:rPr>
          <w:u w:val="single"/>
        </w:rPr>
        <w:t>Not</w:t>
      </w:r>
      <w:r w:rsidRPr="00894474">
        <w:t xml:space="preserve"> </w:t>
      </w:r>
      <w:r w:rsidRPr="00894474">
        <w:rPr>
          <w:u w:val="single"/>
        </w:rPr>
        <w:t>Conducted or is Conducted Less Frequently</w:t>
      </w:r>
    </w:p>
    <w:p w:rsidR="004F256E" w:rsidRPr="00894474" w14:paraId="08931A42" w14:textId="77777777">
      <w:pPr>
        <w:pStyle w:val="BodyText"/>
      </w:pPr>
    </w:p>
    <w:p w:rsidR="004F256E" w:rsidRPr="00894474" w14:paraId="08931A43" w14:textId="77777777">
      <w:pPr>
        <w:pStyle w:val="BodyText"/>
        <w:spacing w:before="92"/>
        <w:ind w:left="1319" w:right="192"/>
      </w:pPr>
      <w:r w:rsidRPr="00894474">
        <w:t>Requests for exemption are submitted on a voluntary basis by applicants and licensees.</w:t>
      </w:r>
      <w:r w:rsidRPr="00894474">
        <w:rPr>
          <w:spacing w:val="40"/>
        </w:rPr>
        <w:t xml:space="preserve"> </w:t>
      </w:r>
      <w:r w:rsidRPr="00894474">
        <w:t>Because the requests are voluntary, there is no set periodicity for these reports, and they cannot be conducted less frequently.</w:t>
      </w:r>
      <w:r w:rsidRPr="00894474">
        <w:rPr>
          <w:spacing w:val="40"/>
        </w:rPr>
        <w:t xml:space="preserve"> </w:t>
      </w:r>
      <w:r w:rsidRPr="00894474">
        <w:t>If the information collection were</w:t>
      </w:r>
      <w:r w:rsidRPr="00894474">
        <w:rPr>
          <w:spacing w:val="-3"/>
        </w:rPr>
        <w:t xml:space="preserve"> </w:t>
      </w:r>
      <w:r w:rsidRPr="00894474">
        <w:t>not</w:t>
      </w:r>
      <w:r w:rsidRPr="00894474">
        <w:rPr>
          <w:spacing w:val="-3"/>
        </w:rPr>
        <w:t xml:space="preserve"> </w:t>
      </w:r>
      <w:r w:rsidRPr="00894474">
        <w:t>conducted</w:t>
      </w:r>
      <w:r w:rsidRPr="00894474">
        <w:rPr>
          <w:spacing w:val="-3"/>
        </w:rPr>
        <w:t xml:space="preserve"> </w:t>
      </w:r>
      <w:r w:rsidRPr="00894474">
        <w:t>(if</w:t>
      </w:r>
      <w:r w:rsidRPr="00894474">
        <w:rPr>
          <w:spacing w:val="-3"/>
        </w:rPr>
        <w:t xml:space="preserve"> </w:t>
      </w:r>
      <w:r w:rsidRPr="00894474">
        <w:t>the</w:t>
      </w:r>
      <w:r w:rsidRPr="00894474">
        <w:rPr>
          <w:spacing w:val="-3"/>
        </w:rPr>
        <w:t xml:space="preserve"> </w:t>
      </w:r>
      <w:r w:rsidRPr="00894474">
        <w:t>exemption</w:t>
      </w:r>
      <w:r w:rsidRPr="00894474">
        <w:rPr>
          <w:spacing w:val="-3"/>
        </w:rPr>
        <w:t xml:space="preserve"> </w:t>
      </w:r>
      <w:r w:rsidRPr="00894474">
        <w:t>requests</w:t>
      </w:r>
      <w:r w:rsidRPr="00894474">
        <w:rPr>
          <w:spacing w:val="-4"/>
        </w:rPr>
        <w:t xml:space="preserve"> </w:t>
      </w:r>
      <w:r w:rsidRPr="00894474">
        <w:t>were</w:t>
      </w:r>
      <w:r w:rsidRPr="00894474">
        <w:rPr>
          <w:spacing w:val="-3"/>
        </w:rPr>
        <w:t xml:space="preserve"> </w:t>
      </w:r>
      <w:r w:rsidRPr="00894474">
        <w:t>not</w:t>
      </w:r>
      <w:r w:rsidRPr="00894474">
        <w:rPr>
          <w:spacing w:val="-3"/>
        </w:rPr>
        <w:t xml:space="preserve"> </w:t>
      </w:r>
      <w:r w:rsidRPr="00894474">
        <w:t>submitted)</w:t>
      </w:r>
      <w:r w:rsidRPr="00894474">
        <w:rPr>
          <w:spacing w:val="-3"/>
        </w:rPr>
        <w:t xml:space="preserve"> </w:t>
      </w:r>
      <w:r w:rsidRPr="00894474">
        <w:t>the</w:t>
      </w:r>
      <w:r w:rsidRPr="00894474">
        <w:rPr>
          <w:spacing w:val="40"/>
        </w:rPr>
        <w:t xml:space="preserve"> </w:t>
      </w:r>
      <w:r w:rsidRPr="00894474">
        <w:t>NRC</w:t>
      </w:r>
      <w:r w:rsidRPr="00894474">
        <w:rPr>
          <w:spacing w:val="-3"/>
        </w:rPr>
        <w:t xml:space="preserve"> </w:t>
      </w:r>
      <w:r w:rsidRPr="00894474">
        <w:t>will</w:t>
      </w:r>
      <w:r w:rsidRPr="00894474">
        <w:rPr>
          <w:spacing w:val="-3"/>
        </w:rPr>
        <w:t xml:space="preserve"> </w:t>
      </w:r>
      <w:r w:rsidRPr="00894474">
        <w:t xml:space="preserve">not be </w:t>
      </w:r>
      <w:r w:rsidRPr="00894474">
        <w:t>in a position</w:t>
      </w:r>
      <w:r w:rsidRPr="00894474">
        <w:t xml:space="preserve"> to assess whether licensees are operating within the specific safety requirements applicable to the licensing and operating activities for existing nuclear power reactors and research and test reactors.</w:t>
      </w:r>
    </w:p>
    <w:p w:rsidR="0004375D" w:rsidRPr="00894474" w14:paraId="659A6F1C" w14:textId="77777777">
      <w:pPr>
        <w:pStyle w:val="BodyText"/>
        <w:spacing w:before="92"/>
        <w:ind w:left="1319" w:right="192"/>
      </w:pPr>
    </w:p>
    <w:p w:rsidR="0004375D" w:rsidRPr="00894474" w:rsidP="0004375D" w14:paraId="01E275F5" w14:textId="77777777">
      <w:pPr>
        <w:pStyle w:val="BodyText"/>
        <w:spacing w:before="92"/>
        <w:ind w:left="1319" w:right="192"/>
      </w:pPr>
      <w:r w:rsidRPr="00894474">
        <w:t xml:space="preserve">Contrary to the Office of Management and Budget (OMB) Guidelines in 5 CFR 1320.5(d), </w:t>
      </w:r>
      <w:r w:rsidRPr="00894474">
        <w:rPr>
          <w:u w:val="single"/>
        </w:rPr>
        <w:t>Paragraph 50.9(b)</w:t>
      </w:r>
      <w:r w:rsidRPr="00894474">
        <w:t xml:space="preserve"> requires that licensees submit a notification to the NRC in less than 30 days from the date of identifying information having significant implications for the public health and safety or the common defense </w:t>
      </w:r>
      <w:r w:rsidRPr="00894474">
        <w:t>and security and which is not covered by other reporting requirements. The requirement to provide notification within 2 working days following the identification of the information is necessary to ensure that the NRC is made aware of significant safety information that may require prompt action to protect the public health and safety.</w:t>
      </w:r>
    </w:p>
    <w:p w:rsidR="00366E8E" w14:paraId="08931A44" w14:textId="4101CF05"/>
    <w:p w:rsidR="004F256E" w:rsidRPr="00894474" w14:paraId="08931A45" w14:textId="77777777">
      <w:pPr>
        <w:pStyle w:val="ListParagraph"/>
        <w:numPr>
          <w:ilvl w:val="1"/>
          <w:numId w:val="2"/>
        </w:numPr>
        <w:tabs>
          <w:tab w:val="left" w:pos="1320"/>
        </w:tabs>
        <w:ind w:hanging="600"/>
      </w:pPr>
      <w:r w:rsidRPr="00894474">
        <w:rPr>
          <w:u w:val="single"/>
        </w:rPr>
        <w:t>Circumstances</w:t>
      </w:r>
      <w:r w:rsidRPr="00894474">
        <w:rPr>
          <w:spacing w:val="-9"/>
          <w:u w:val="single"/>
        </w:rPr>
        <w:t xml:space="preserve"> </w:t>
      </w:r>
      <w:r w:rsidRPr="00894474">
        <w:rPr>
          <w:u w:val="single"/>
        </w:rPr>
        <w:t>which</w:t>
      </w:r>
      <w:r w:rsidRPr="00894474">
        <w:rPr>
          <w:spacing w:val="-8"/>
          <w:u w:val="single"/>
        </w:rPr>
        <w:t xml:space="preserve"> </w:t>
      </w:r>
      <w:r w:rsidRPr="00894474">
        <w:rPr>
          <w:u w:val="single"/>
        </w:rPr>
        <w:t>Justify</w:t>
      </w:r>
      <w:r w:rsidRPr="00894474">
        <w:rPr>
          <w:spacing w:val="-8"/>
          <w:u w:val="single"/>
        </w:rPr>
        <w:t xml:space="preserve"> </w:t>
      </w:r>
      <w:r w:rsidRPr="00894474">
        <w:rPr>
          <w:u w:val="single"/>
        </w:rPr>
        <w:t>Variation</w:t>
      </w:r>
      <w:r w:rsidRPr="00894474">
        <w:rPr>
          <w:spacing w:val="-8"/>
          <w:u w:val="single"/>
        </w:rPr>
        <w:t xml:space="preserve"> </w:t>
      </w:r>
      <w:r w:rsidRPr="00894474">
        <w:rPr>
          <w:u w:val="single"/>
        </w:rPr>
        <w:t>From</w:t>
      </w:r>
      <w:r w:rsidRPr="00894474">
        <w:rPr>
          <w:spacing w:val="-8"/>
          <w:u w:val="single"/>
        </w:rPr>
        <w:t xml:space="preserve"> </w:t>
      </w:r>
      <w:r w:rsidRPr="00894474">
        <w:rPr>
          <w:u w:val="single"/>
        </w:rPr>
        <w:t>OMB</w:t>
      </w:r>
      <w:r w:rsidRPr="00894474">
        <w:rPr>
          <w:spacing w:val="-8"/>
          <w:u w:val="single"/>
        </w:rPr>
        <w:t xml:space="preserve"> </w:t>
      </w:r>
      <w:r w:rsidRPr="00894474">
        <w:rPr>
          <w:spacing w:val="-2"/>
          <w:u w:val="single"/>
        </w:rPr>
        <w:t>Guidelines</w:t>
      </w:r>
    </w:p>
    <w:p w:rsidR="004F256E" w:rsidRPr="00894474" w14:paraId="08931A46" w14:textId="77777777">
      <w:pPr>
        <w:pStyle w:val="BodyText"/>
      </w:pPr>
    </w:p>
    <w:p w:rsidR="004F256E" w:rsidRPr="00894474" w14:paraId="08931A47" w14:textId="77777777">
      <w:pPr>
        <w:pStyle w:val="BodyText"/>
        <w:spacing w:before="93"/>
        <w:ind w:left="1320"/>
      </w:pPr>
      <w:r w:rsidRPr="00894474">
        <w:t>There</w:t>
      </w:r>
      <w:r w:rsidRPr="00894474">
        <w:rPr>
          <w:spacing w:val="-6"/>
        </w:rPr>
        <w:t xml:space="preserve"> </w:t>
      </w:r>
      <w:r w:rsidRPr="00894474">
        <w:t>are</w:t>
      </w:r>
      <w:r w:rsidRPr="00894474">
        <w:rPr>
          <w:spacing w:val="-5"/>
        </w:rPr>
        <w:t xml:space="preserve"> </w:t>
      </w:r>
      <w:r w:rsidRPr="00894474">
        <w:t>no</w:t>
      </w:r>
      <w:r w:rsidRPr="00894474">
        <w:rPr>
          <w:spacing w:val="-5"/>
        </w:rPr>
        <w:t xml:space="preserve"> </w:t>
      </w:r>
      <w:r w:rsidRPr="00894474">
        <w:t>variations</w:t>
      </w:r>
      <w:r w:rsidRPr="00894474">
        <w:rPr>
          <w:spacing w:val="-6"/>
        </w:rPr>
        <w:t xml:space="preserve"> </w:t>
      </w:r>
      <w:r w:rsidRPr="00894474">
        <w:t>from</w:t>
      </w:r>
      <w:r w:rsidRPr="00894474">
        <w:rPr>
          <w:spacing w:val="-5"/>
        </w:rPr>
        <w:t xml:space="preserve"> </w:t>
      </w:r>
      <w:r w:rsidRPr="00894474">
        <w:t>OMB</w:t>
      </w:r>
      <w:r w:rsidRPr="00894474">
        <w:rPr>
          <w:spacing w:val="-5"/>
        </w:rPr>
        <w:t xml:space="preserve"> </w:t>
      </w:r>
      <w:r w:rsidRPr="00894474">
        <w:rPr>
          <w:spacing w:val="-2"/>
        </w:rPr>
        <w:t>guidelines.</w:t>
      </w:r>
    </w:p>
    <w:p w:rsidR="004F256E" w:rsidRPr="00894474" w14:paraId="08931A48" w14:textId="77777777">
      <w:pPr>
        <w:pStyle w:val="BodyText"/>
        <w:spacing w:before="10"/>
      </w:pPr>
    </w:p>
    <w:p w:rsidR="004F256E" w:rsidRPr="00894474" w14:paraId="08931A49" w14:textId="16C40694">
      <w:pPr>
        <w:pStyle w:val="ListParagraph"/>
        <w:numPr>
          <w:ilvl w:val="1"/>
          <w:numId w:val="2"/>
        </w:numPr>
        <w:tabs>
          <w:tab w:val="left" w:pos="1320"/>
        </w:tabs>
      </w:pPr>
      <w:r w:rsidRPr="00894474">
        <w:rPr>
          <w:u w:val="single"/>
        </w:rPr>
        <w:t>Consultations</w:t>
      </w:r>
      <w:r w:rsidRPr="00894474">
        <w:rPr>
          <w:spacing w:val="-9"/>
          <w:u w:val="single"/>
        </w:rPr>
        <w:t xml:space="preserve"> </w:t>
      </w:r>
      <w:r w:rsidRPr="00894474">
        <w:rPr>
          <w:u w:val="single"/>
        </w:rPr>
        <w:t>Outside</w:t>
      </w:r>
      <w:r w:rsidRPr="00894474">
        <w:rPr>
          <w:spacing w:val="-9"/>
          <w:u w:val="single"/>
        </w:rPr>
        <w:t xml:space="preserve"> </w:t>
      </w:r>
      <w:r w:rsidRPr="00894474">
        <w:rPr>
          <w:u w:val="single"/>
        </w:rPr>
        <w:t>the</w:t>
      </w:r>
      <w:r w:rsidRPr="00894474">
        <w:rPr>
          <w:spacing w:val="-9"/>
          <w:u w:val="single"/>
        </w:rPr>
        <w:t xml:space="preserve"> </w:t>
      </w:r>
      <w:r w:rsidRPr="00894474">
        <w:rPr>
          <w:spacing w:val="-5"/>
          <w:u w:val="single"/>
        </w:rPr>
        <w:t>NRC</w:t>
      </w:r>
    </w:p>
    <w:p w:rsidR="004F256E" w:rsidRPr="00894474" w14:paraId="08931A4A" w14:textId="77777777">
      <w:pPr>
        <w:pStyle w:val="BodyText"/>
      </w:pPr>
    </w:p>
    <w:p w:rsidR="0049342C" w:rsidRPr="00894474" w:rsidP="0049342C" w14:paraId="317B41C9" w14:textId="77777777">
      <w:pPr>
        <w:pStyle w:val="BodyText"/>
        <w:spacing w:before="93"/>
        <w:ind w:left="1320" w:right="427"/>
        <w:rPr>
          <w:iCs/>
        </w:rPr>
      </w:pPr>
      <w:r w:rsidRPr="00894474">
        <w:t xml:space="preserve">Opportunity for public comment on the information collection requirements for this clearance package was published In the </w:t>
      </w:r>
      <w:r w:rsidRPr="00894474">
        <w:rPr>
          <w:i/>
          <w:iCs/>
        </w:rPr>
        <w:t>Federal Register</w:t>
      </w:r>
      <w:r w:rsidRPr="00894474">
        <w:t xml:space="preserve"> on June 13, 2024 (89 FR 50381). </w:t>
      </w:r>
      <w:r w:rsidRPr="00894474">
        <w:rPr>
          <w:iCs/>
        </w:rPr>
        <w:t xml:space="preserve">Additionally, NRC staff contacted eight stakeholders via email. The stakeholders included operating reactor licensees, </w:t>
      </w:r>
      <w:r w:rsidRPr="00894474">
        <w:t xml:space="preserve">licensed and under construction non-power production and utilization facilities, as well as power reactors being decommissioned </w:t>
      </w:r>
      <w:r w:rsidRPr="00894474">
        <w:rPr>
          <w:iCs/>
        </w:rPr>
        <w:t xml:space="preserve">and industry representatives from </w:t>
      </w:r>
      <w:r w:rsidRPr="00894474">
        <w:t>Constellation Energy, Holtec International, Southern Nuclear Operating Co., Inc, SHINE Technologies, Abilene Christian University, Oregon State University, Texas A &amp; M University, and Energy Solutions.</w:t>
      </w:r>
    </w:p>
    <w:p w:rsidR="0049342C" w:rsidRPr="00894474" w:rsidP="0049342C" w14:paraId="333A40A3" w14:textId="0443E2D6">
      <w:pPr>
        <w:pStyle w:val="BodyText"/>
        <w:spacing w:before="93"/>
        <w:ind w:left="1320" w:right="427"/>
        <w:rPr>
          <w:iCs/>
        </w:rPr>
      </w:pPr>
      <w:r w:rsidRPr="00894474">
        <w:t>No responses or comments were received from the FRN publication or the staff’s direct solicitation of comments</w:t>
      </w:r>
      <w:r w:rsidRPr="00894474" w:rsidR="00FD64A7">
        <w:t xml:space="preserve"> related to this section</w:t>
      </w:r>
      <w:r w:rsidRPr="00894474">
        <w:t>.</w:t>
      </w:r>
      <w:r w:rsidRPr="00894474">
        <w:rPr>
          <w:iCs/>
        </w:rPr>
        <w:t xml:space="preserve"> </w:t>
      </w:r>
    </w:p>
    <w:p w:rsidR="00DB3D7B" w:rsidRPr="00894474" w:rsidP="0049342C" w14:paraId="333F2A3B" w14:textId="77777777">
      <w:pPr>
        <w:pStyle w:val="BodyText"/>
        <w:spacing w:before="93"/>
        <w:ind w:left="1320" w:right="427"/>
        <w:rPr>
          <w:iCs/>
        </w:rPr>
      </w:pPr>
    </w:p>
    <w:p w:rsidR="004F256E" w:rsidRPr="00894474" w14:paraId="08931A50" w14:textId="77777777">
      <w:pPr>
        <w:pStyle w:val="ListParagraph"/>
        <w:numPr>
          <w:ilvl w:val="1"/>
          <w:numId w:val="2"/>
        </w:numPr>
        <w:tabs>
          <w:tab w:val="left" w:pos="1319"/>
        </w:tabs>
        <w:spacing w:before="73"/>
        <w:ind w:left="1319" w:hanging="599"/>
      </w:pPr>
      <w:r w:rsidRPr="00894474">
        <w:rPr>
          <w:u w:val="single"/>
        </w:rPr>
        <w:t>Payment</w:t>
      </w:r>
      <w:r w:rsidRPr="00894474">
        <w:rPr>
          <w:spacing w:val="-5"/>
          <w:u w:val="single"/>
        </w:rPr>
        <w:t xml:space="preserve"> </w:t>
      </w:r>
      <w:r w:rsidRPr="00894474">
        <w:rPr>
          <w:u w:val="single"/>
        </w:rPr>
        <w:t>or</w:t>
      </w:r>
      <w:r w:rsidRPr="00894474">
        <w:rPr>
          <w:spacing w:val="-4"/>
          <w:u w:val="single"/>
        </w:rPr>
        <w:t xml:space="preserve"> </w:t>
      </w:r>
      <w:r w:rsidRPr="00894474">
        <w:rPr>
          <w:u w:val="single"/>
        </w:rPr>
        <w:t>Gift</w:t>
      </w:r>
      <w:r w:rsidRPr="00894474">
        <w:rPr>
          <w:spacing w:val="-4"/>
          <w:u w:val="single"/>
        </w:rPr>
        <w:t xml:space="preserve"> </w:t>
      </w:r>
      <w:r w:rsidRPr="00894474">
        <w:rPr>
          <w:u w:val="single"/>
        </w:rPr>
        <w:t>to</w:t>
      </w:r>
      <w:r w:rsidRPr="00894474">
        <w:rPr>
          <w:spacing w:val="-4"/>
          <w:u w:val="single"/>
        </w:rPr>
        <w:t xml:space="preserve"> </w:t>
      </w:r>
      <w:r w:rsidRPr="00894474">
        <w:rPr>
          <w:spacing w:val="-2"/>
          <w:u w:val="single"/>
        </w:rPr>
        <w:t>Respondents</w:t>
      </w:r>
    </w:p>
    <w:p w:rsidR="004F256E" w:rsidRPr="00894474" w14:paraId="08931A51" w14:textId="77777777">
      <w:pPr>
        <w:pStyle w:val="BodyText"/>
      </w:pPr>
    </w:p>
    <w:p w:rsidR="00DB3D7B" w:rsidRPr="00894474" w:rsidP="00AD14E0" w14:paraId="08931A53" w14:textId="4CE4CB36">
      <w:pPr>
        <w:pStyle w:val="BodyText"/>
        <w:spacing w:before="93"/>
        <w:ind w:left="1320"/>
      </w:pPr>
      <w:r w:rsidRPr="00894474">
        <w:t>Not</w:t>
      </w:r>
      <w:r w:rsidRPr="00894474">
        <w:rPr>
          <w:spacing w:val="-4"/>
        </w:rPr>
        <w:t xml:space="preserve"> </w:t>
      </w:r>
      <w:r w:rsidRPr="00894474">
        <w:rPr>
          <w:spacing w:val="-2"/>
        </w:rPr>
        <w:t>applicable.</w:t>
      </w:r>
    </w:p>
    <w:p w:rsidR="00AD14E0" w:rsidRPr="00894474" w:rsidP="00AD14E0" w14:paraId="4C4D06D0" w14:textId="77777777">
      <w:pPr>
        <w:pStyle w:val="BodyText"/>
        <w:spacing w:before="93"/>
        <w:ind w:left="1320"/>
      </w:pPr>
    </w:p>
    <w:p w:rsidR="004F256E" w:rsidRPr="00894474" w14:paraId="08931A54" w14:textId="77777777">
      <w:pPr>
        <w:pStyle w:val="ListParagraph"/>
        <w:numPr>
          <w:ilvl w:val="1"/>
          <w:numId w:val="2"/>
        </w:numPr>
        <w:tabs>
          <w:tab w:val="left" w:pos="1319"/>
        </w:tabs>
        <w:spacing w:before="1"/>
        <w:ind w:left="1319" w:hanging="600"/>
      </w:pPr>
      <w:r w:rsidRPr="00894474">
        <w:rPr>
          <w:u w:val="single"/>
        </w:rPr>
        <w:t>Confidentiality</w:t>
      </w:r>
      <w:r w:rsidRPr="00894474">
        <w:rPr>
          <w:spacing w:val="-9"/>
          <w:u w:val="single"/>
        </w:rPr>
        <w:t xml:space="preserve"> </w:t>
      </w:r>
      <w:r w:rsidRPr="00894474">
        <w:rPr>
          <w:u w:val="single"/>
        </w:rPr>
        <w:t>of</w:t>
      </w:r>
      <w:r w:rsidRPr="00894474">
        <w:rPr>
          <w:spacing w:val="-8"/>
          <w:u w:val="single"/>
        </w:rPr>
        <w:t xml:space="preserve"> </w:t>
      </w:r>
      <w:r w:rsidRPr="00894474">
        <w:rPr>
          <w:spacing w:val="-2"/>
          <w:u w:val="single"/>
        </w:rPr>
        <w:t>Information</w:t>
      </w:r>
    </w:p>
    <w:p w:rsidR="004F256E" w:rsidRPr="00894474" w14:paraId="08931A55" w14:textId="77777777">
      <w:pPr>
        <w:pStyle w:val="BodyText"/>
        <w:spacing w:before="11"/>
      </w:pPr>
    </w:p>
    <w:p w:rsidR="004F256E" w:rsidRPr="00894474" w14:paraId="08931A56" w14:textId="77777777">
      <w:pPr>
        <w:pStyle w:val="BodyText"/>
        <w:spacing w:before="92"/>
        <w:ind w:left="1320" w:right="192"/>
      </w:pPr>
      <w:r w:rsidRPr="00894474">
        <w:t>Confidential and proprietary information is protected in accordance with NRC regulations</w:t>
      </w:r>
      <w:r w:rsidRPr="00894474">
        <w:rPr>
          <w:spacing w:val="-4"/>
        </w:rPr>
        <w:t xml:space="preserve"> </w:t>
      </w:r>
      <w:r w:rsidRPr="00894474">
        <w:t>at</w:t>
      </w:r>
      <w:r w:rsidRPr="00894474">
        <w:rPr>
          <w:spacing w:val="-3"/>
        </w:rPr>
        <w:t xml:space="preserve"> </w:t>
      </w:r>
      <w:r w:rsidRPr="00894474">
        <w:t>10</w:t>
      </w:r>
      <w:r w:rsidRPr="00894474">
        <w:rPr>
          <w:spacing w:val="-3"/>
        </w:rPr>
        <w:t xml:space="preserve"> </w:t>
      </w:r>
      <w:r w:rsidRPr="00894474">
        <w:t>CFR</w:t>
      </w:r>
      <w:r w:rsidRPr="00894474">
        <w:rPr>
          <w:spacing w:val="-3"/>
        </w:rPr>
        <w:t xml:space="preserve"> </w:t>
      </w:r>
      <w:r w:rsidRPr="00894474">
        <w:t>9.17(a)</w:t>
      </w:r>
      <w:r w:rsidRPr="00894474">
        <w:rPr>
          <w:spacing w:val="-3"/>
        </w:rPr>
        <w:t xml:space="preserve"> </w:t>
      </w:r>
      <w:r w:rsidRPr="00894474">
        <w:t>and</w:t>
      </w:r>
      <w:r w:rsidRPr="00894474">
        <w:rPr>
          <w:spacing w:val="-3"/>
        </w:rPr>
        <w:t xml:space="preserve"> </w:t>
      </w:r>
      <w:r w:rsidRPr="00894474">
        <w:t>10</w:t>
      </w:r>
      <w:r w:rsidRPr="00894474">
        <w:rPr>
          <w:spacing w:val="-3"/>
        </w:rPr>
        <w:t xml:space="preserve"> </w:t>
      </w:r>
      <w:r w:rsidRPr="00894474">
        <w:t>CFR</w:t>
      </w:r>
      <w:r w:rsidRPr="00894474">
        <w:rPr>
          <w:spacing w:val="-3"/>
        </w:rPr>
        <w:t xml:space="preserve"> </w:t>
      </w:r>
      <w:r w:rsidRPr="00894474">
        <w:t>2.390(b).</w:t>
      </w:r>
      <w:r w:rsidRPr="00894474">
        <w:rPr>
          <w:spacing w:val="80"/>
        </w:rPr>
        <w:t xml:space="preserve"> </w:t>
      </w:r>
      <w:r w:rsidRPr="00894474">
        <w:t>However,</w:t>
      </w:r>
      <w:r w:rsidRPr="00894474">
        <w:rPr>
          <w:spacing w:val="-3"/>
        </w:rPr>
        <w:t xml:space="preserve"> </w:t>
      </w:r>
      <w:r w:rsidRPr="00894474">
        <w:t>no</w:t>
      </w:r>
      <w:r w:rsidRPr="00894474">
        <w:rPr>
          <w:spacing w:val="-3"/>
        </w:rPr>
        <w:t xml:space="preserve"> </w:t>
      </w:r>
      <w:r w:rsidRPr="00894474">
        <w:t>information normally considered confidential or proprietary is requested.</w:t>
      </w:r>
    </w:p>
    <w:p w:rsidR="004F256E" w:rsidRPr="00894474" w14:paraId="08931A57" w14:textId="77777777">
      <w:pPr>
        <w:pStyle w:val="BodyText"/>
      </w:pPr>
    </w:p>
    <w:p w:rsidR="004F256E" w:rsidRPr="00894474" w14:paraId="08931A58" w14:textId="77777777">
      <w:pPr>
        <w:pStyle w:val="ListParagraph"/>
        <w:numPr>
          <w:ilvl w:val="1"/>
          <w:numId w:val="2"/>
        </w:numPr>
        <w:tabs>
          <w:tab w:val="left" w:pos="1319"/>
        </w:tabs>
        <w:ind w:left="1319" w:hanging="599"/>
      </w:pPr>
      <w:r w:rsidRPr="00894474">
        <w:rPr>
          <w:u w:val="single"/>
        </w:rPr>
        <w:t>Justification</w:t>
      </w:r>
      <w:r w:rsidRPr="00894474">
        <w:rPr>
          <w:spacing w:val="-9"/>
          <w:u w:val="single"/>
        </w:rPr>
        <w:t xml:space="preserve"> </w:t>
      </w:r>
      <w:r w:rsidRPr="00894474">
        <w:rPr>
          <w:u w:val="single"/>
        </w:rPr>
        <w:t>for</w:t>
      </w:r>
      <w:r w:rsidRPr="00894474">
        <w:rPr>
          <w:spacing w:val="-8"/>
          <w:u w:val="single"/>
        </w:rPr>
        <w:t xml:space="preserve"> </w:t>
      </w:r>
      <w:r w:rsidRPr="00894474">
        <w:rPr>
          <w:u w:val="single"/>
        </w:rPr>
        <w:t>Sensitive</w:t>
      </w:r>
      <w:r w:rsidRPr="00894474">
        <w:rPr>
          <w:spacing w:val="-7"/>
          <w:u w:val="single"/>
        </w:rPr>
        <w:t xml:space="preserve"> </w:t>
      </w:r>
      <w:r w:rsidRPr="00894474">
        <w:rPr>
          <w:spacing w:val="-2"/>
          <w:u w:val="single"/>
        </w:rPr>
        <w:t>Questions</w:t>
      </w:r>
    </w:p>
    <w:p w:rsidR="004F256E" w:rsidRPr="00894474" w14:paraId="08931A59" w14:textId="77777777">
      <w:pPr>
        <w:pStyle w:val="BodyText"/>
      </w:pPr>
    </w:p>
    <w:p w:rsidR="004F256E" w:rsidRPr="00894474" w14:paraId="08931A5A" w14:textId="77777777">
      <w:pPr>
        <w:pStyle w:val="BodyText"/>
        <w:spacing w:before="93"/>
        <w:ind w:left="1320"/>
      </w:pPr>
      <w:r w:rsidRPr="00894474">
        <w:t>This</w:t>
      </w:r>
      <w:r w:rsidRPr="00894474">
        <w:rPr>
          <w:spacing w:val="-7"/>
        </w:rPr>
        <w:t xml:space="preserve"> </w:t>
      </w:r>
      <w:r w:rsidRPr="00894474">
        <w:t>regulation</w:t>
      </w:r>
      <w:r w:rsidRPr="00894474">
        <w:rPr>
          <w:spacing w:val="-6"/>
        </w:rPr>
        <w:t xml:space="preserve"> </w:t>
      </w:r>
      <w:r w:rsidRPr="00894474">
        <w:t>does</w:t>
      </w:r>
      <w:r w:rsidRPr="00894474">
        <w:rPr>
          <w:spacing w:val="-7"/>
        </w:rPr>
        <w:t xml:space="preserve"> </w:t>
      </w:r>
      <w:r w:rsidRPr="00894474">
        <w:t>not</w:t>
      </w:r>
      <w:r w:rsidRPr="00894474">
        <w:rPr>
          <w:spacing w:val="-7"/>
        </w:rPr>
        <w:t xml:space="preserve"> </w:t>
      </w:r>
      <w:r w:rsidRPr="00894474">
        <w:t>request</w:t>
      </w:r>
      <w:r w:rsidRPr="00894474">
        <w:rPr>
          <w:spacing w:val="-7"/>
        </w:rPr>
        <w:t xml:space="preserve"> </w:t>
      </w:r>
      <w:r w:rsidRPr="00894474">
        <w:t>sensitive</w:t>
      </w:r>
      <w:r w:rsidRPr="00894474">
        <w:rPr>
          <w:spacing w:val="-6"/>
        </w:rPr>
        <w:t xml:space="preserve"> </w:t>
      </w:r>
      <w:r w:rsidRPr="00894474">
        <w:rPr>
          <w:spacing w:val="-2"/>
        </w:rPr>
        <w:t>information.</w:t>
      </w:r>
    </w:p>
    <w:p w:rsidR="000E7972" w:rsidRPr="00894474" w14:paraId="08931A5B" w14:textId="13A23E47">
      <w:pPr>
        <w:pStyle w:val="BodyText"/>
        <w:spacing w:before="10"/>
      </w:pPr>
    </w:p>
    <w:p w:rsidR="00370367" w14:paraId="0786606A" w14:textId="77777777">
      <w:pPr>
        <w:rPr>
          <w:u w:val="single"/>
        </w:rPr>
      </w:pPr>
      <w:r>
        <w:rPr>
          <w:u w:val="single"/>
        </w:rPr>
        <w:br w:type="page"/>
      </w:r>
    </w:p>
    <w:p w:rsidR="004F256E" w:rsidRPr="00894474" w14:paraId="08931A5C" w14:textId="5E052C6E">
      <w:pPr>
        <w:pStyle w:val="ListParagraph"/>
        <w:numPr>
          <w:ilvl w:val="1"/>
          <w:numId w:val="2"/>
        </w:numPr>
        <w:tabs>
          <w:tab w:val="left" w:pos="1319"/>
        </w:tabs>
        <w:ind w:left="1319" w:hanging="599"/>
      </w:pPr>
      <w:r w:rsidRPr="00894474">
        <w:rPr>
          <w:u w:val="single"/>
        </w:rPr>
        <w:t>Estimated</w:t>
      </w:r>
      <w:r w:rsidRPr="00894474">
        <w:rPr>
          <w:spacing w:val="-7"/>
          <w:u w:val="single"/>
        </w:rPr>
        <w:t xml:space="preserve"> </w:t>
      </w:r>
      <w:r w:rsidRPr="00894474">
        <w:rPr>
          <w:u w:val="single"/>
        </w:rPr>
        <w:t>Industry</w:t>
      </w:r>
      <w:r w:rsidRPr="00894474">
        <w:rPr>
          <w:spacing w:val="-7"/>
          <w:u w:val="single"/>
        </w:rPr>
        <w:t xml:space="preserve"> </w:t>
      </w:r>
      <w:r w:rsidRPr="00894474">
        <w:rPr>
          <w:u w:val="single"/>
        </w:rPr>
        <w:t>Burden</w:t>
      </w:r>
      <w:r w:rsidRPr="00894474">
        <w:rPr>
          <w:spacing w:val="-7"/>
          <w:u w:val="single"/>
        </w:rPr>
        <w:t xml:space="preserve"> </w:t>
      </w:r>
      <w:r w:rsidRPr="00894474">
        <w:rPr>
          <w:u w:val="single"/>
        </w:rPr>
        <w:t>and</w:t>
      </w:r>
      <w:r w:rsidRPr="00894474">
        <w:rPr>
          <w:spacing w:val="-7"/>
          <w:u w:val="single"/>
        </w:rPr>
        <w:t xml:space="preserve"> </w:t>
      </w:r>
      <w:r w:rsidRPr="00894474">
        <w:rPr>
          <w:u w:val="single"/>
        </w:rPr>
        <w:t>Burden</w:t>
      </w:r>
      <w:r w:rsidRPr="00894474">
        <w:rPr>
          <w:spacing w:val="-7"/>
          <w:u w:val="single"/>
        </w:rPr>
        <w:t xml:space="preserve"> </w:t>
      </w:r>
      <w:r w:rsidRPr="00894474">
        <w:rPr>
          <w:u w:val="single"/>
        </w:rPr>
        <w:t>Hour</w:t>
      </w:r>
      <w:r w:rsidRPr="00894474">
        <w:rPr>
          <w:spacing w:val="-7"/>
          <w:u w:val="single"/>
        </w:rPr>
        <w:t xml:space="preserve"> </w:t>
      </w:r>
      <w:r w:rsidRPr="00894474">
        <w:rPr>
          <w:spacing w:val="-4"/>
          <w:u w:val="single"/>
        </w:rPr>
        <w:t>Cost</w:t>
      </w:r>
    </w:p>
    <w:p w:rsidR="004F256E" w:rsidRPr="00894474" w14:paraId="08931A5D" w14:textId="77777777">
      <w:pPr>
        <w:pStyle w:val="BodyText"/>
      </w:pPr>
    </w:p>
    <w:p w:rsidR="004F256E" w:rsidRPr="00894474" w14:paraId="08931A5E" w14:textId="233DEA65">
      <w:pPr>
        <w:pStyle w:val="BodyText"/>
        <w:spacing w:before="93"/>
        <w:ind w:left="1320" w:right="192"/>
      </w:pPr>
      <w:r w:rsidRPr="00894474">
        <w:t>The</w:t>
      </w:r>
      <w:r w:rsidRPr="00894474">
        <w:rPr>
          <w:spacing w:val="-4"/>
        </w:rPr>
        <w:t xml:space="preserve"> </w:t>
      </w:r>
      <w:r w:rsidRPr="00894474">
        <w:t>total</w:t>
      </w:r>
      <w:r w:rsidRPr="00894474">
        <w:rPr>
          <w:spacing w:val="-4"/>
        </w:rPr>
        <w:t xml:space="preserve"> </w:t>
      </w:r>
      <w:r w:rsidRPr="00894474">
        <w:t>estimated</w:t>
      </w:r>
      <w:r w:rsidRPr="00894474">
        <w:rPr>
          <w:spacing w:val="-4"/>
        </w:rPr>
        <w:t xml:space="preserve"> </w:t>
      </w:r>
      <w:r w:rsidRPr="00894474">
        <w:t>cost</w:t>
      </w:r>
      <w:r w:rsidRPr="00894474">
        <w:rPr>
          <w:spacing w:val="-5"/>
        </w:rPr>
        <w:t xml:space="preserve"> </w:t>
      </w:r>
      <w:r w:rsidRPr="00894474">
        <w:t>for</w:t>
      </w:r>
      <w:r w:rsidRPr="00894474">
        <w:rPr>
          <w:spacing w:val="-4"/>
        </w:rPr>
        <w:t xml:space="preserve"> </w:t>
      </w:r>
      <w:r w:rsidRPr="00894474">
        <w:t>information</w:t>
      </w:r>
      <w:r w:rsidRPr="00894474">
        <w:rPr>
          <w:spacing w:val="-4"/>
        </w:rPr>
        <w:t xml:space="preserve"> </w:t>
      </w:r>
      <w:r w:rsidRPr="00894474">
        <w:t>collection</w:t>
      </w:r>
      <w:r w:rsidRPr="00894474">
        <w:rPr>
          <w:spacing w:val="-5"/>
        </w:rPr>
        <w:t xml:space="preserve"> </w:t>
      </w:r>
      <w:r w:rsidRPr="00894474">
        <w:t>requirements</w:t>
      </w:r>
      <w:r w:rsidRPr="00894474">
        <w:rPr>
          <w:spacing w:val="-4"/>
        </w:rPr>
        <w:t xml:space="preserve"> </w:t>
      </w:r>
      <w:r w:rsidRPr="00894474">
        <w:t>in</w:t>
      </w:r>
      <w:r w:rsidRPr="00894474">
        <w:rPr>
          <w:spacing w:val="-4"/>
        </w:rPr>
        <w:t xml:space="preserve"> </w:t>
      </w:r>
      <w:r w:rsidRPr="00894474">
        <w:t>this</w:t>
      </w:r>
      <w:r w:rsidRPr="00894474">
        <w:rPr>
          <w:spacing w:val="-4"/>
        </w:rPr>
        <w:t xml:space="preserve"> </w:t>
      </w:r>
      <w:r w:rsidRPr="00894474">
        <w:t>section</w:t>
      </w:r>
      <w:r w:rsidRPr="00894474">
        <w:rPr>
          <w:spacing w:val="-4"/>
        </w:rPr>
        <w:t xml:space="preserve"> </w:t>
      </w:r>
      <w:r w:rsidRPr="00894474">
        <w:t xml:space="preserve">is </w:t>
      </w:r>
      <w:r w:rsidRPr="00894474" w:rsidR="00FD24E9">
        <w:t>10,80</w:t>
      </w:r>
      <w:r w:rsidRPr="00894474" w:rsidR="00964C15">
        <w:t>5</w:t>
      </w:r>
      <w:r w:rsidRPr="00894474">
        <w:t xml:space="preserve"> hours at a cost of $3,</w:t>
      </w:r>
      <w:r w:rsidRPr="00894474" w:rsidR="00307E2D">
        <w:t>24</w:t>
      </w:r>
      <w:r w:rsidRPr="00894474" w:rsidR="00C35DF1">
        <w:t>1</w:t>
      </w:r>
      <w:r w:rsidRPr="00894474">
        <w:t>,</w:t>
      </w:r>
      <w:r w:rsidRPr="00894474" w:rsidR="00964C15">
        <w:t>5</w:t>
      </w:r>
      <w:r w:rsidRPr="00894474">
        <w:t>00 (1</w:t>
      </w:r>
      <w:r w:rsidRPr="00894474" w:rsidR="00307E2D">
        <w:t>0</w:t>
      </w:r>
      <w:r w:rsidRPr="00894474">
        <w:t>,</w:t>
      </w:r>
      <w:r w:rsidRPr="00894474" w:rsidR="00307E2D">
        <w:t>8</w:t>
      </w:r>
      <w:r w:rsidRPr="00894474">
        <w:t>0</w:t>
      </w:r>
      <w:r w:rsidRPr="00894474" w:rsidR="00964C15">
        <w:t>5</w:t>
      </w:r>
      <w:r w:rsidRPr="00894474">
        <w:t xml:space="preserve"> x </w:t>
      </w:r>
      <w:r w:rsidRPr="00894474" w:rsidR="005768CD">
        <w:t>300</w:t>
      </w:r>
      <w:r w:rsidRPr="00894474">
        <w:t>/</w:t>
      </w:r>
      <w:r w:rsidRPr="00894474">
        <w:t>hr</w:t>
      </w:r>
      <w:r w:rsidRPr="00894474">
        <w:t>).</w:t>
      </w:r>
    </w:p>
    <w:p w:rsidR="004F256E" w:rsidRPr="00894474" w14:paraId="08931A5F" w14:textId="77777777">
      <w:pPr>
        <w:pStyle w:val="BodyText"/>
        <w:spacing w:before="1" w:after="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6"/>
        <w:gridCol w:w="890"/>
        <w:gridCol w:w="1318"/>
      </w:tblGrid>
      <w:tr w14:paraId="08931A61" w14:textId="77777777" w:rsidTr="00ED039E">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3"/>
          <w:jc w:val="center"/>
        </w:trPr>
        <w:tc>
          <w:tcPr>
            <w:tcW w:w="3904" w:type="dxa"/>
            <w:gridSpan w:val="3"/>
          </w:tcPr>
          <w:p w:rsidR="004F256E" w:rsidRPr="00894474" w14:paraId="08931A60" w14:textId="77777777">
            <w:pPr>
              <w:pStyle w:val="TableParagraph"/>
              <w:spacing w:line="234" w:lineRule="exact"/>
              <w:ind w:left="525"/>
            </w:pPr>
            <w:r w:rsidRPr="00894474">
              <w:t>Total</w:t>
            </w:r>
            <w:r w:rsidRPr="00894474">
              <w:rPr>
                <w:spacing w:val="-6"/>
              </w:rPr>
              <w:t xml:space="preserve"> </w:t>
            </w:r>
            <w:r w:rsidRPr="00894474">
              <w:t>Burden</w:t>
            </w:r>
            <w:r w:rsidRPr="00894474">
              <w:rPr>
                <w:spacing w:val="-5"/>
              </w:rPr>
              <w:t xml:space="preserve"> </w:t>
            </w:r>
            <w:r w:rsidRPr="00894474">
              <w:t>and</w:t>
            </w:r>
            <w:r w:rsidRPr="00894474">
              <w:rPr>
                <w:spacing w:val="-5"/>
              </w:rPr>
              <w:t xml:space="preserve"> </w:t>
            </w:r>
            <w:r w:rsidRPr="00894474">
              <w:rPr>
                <w:spacing w:val="-2"/>
              </w:rPr>
              <w:t>Responses</w:t>
            </w:r>
          </w:p>
        </w:tc>
      </w:tr>
      <w:tr w14:paraId="08931A65" w14:textId="77777777" w:rsidTr="00ED039E">
        <w:tblPrEx>
          <w:tblW w:w="0" w:type="auto"/>
          <w:jc w:val="center"/>
          <w:tblLayout w:type="fixed"/>
          <w:tblCellMar>
            <w:left w:w="0" w:type="dxa"/>
            <w:right w:w="0" w:type="dxa"/>
          </w:tblCellMar>
          <w:tblLook w:val="01E0"/>
        </w:tblPrEx>
        <w:trPr>
          <w:trHeight w:val="284"/>
          <w:jc w:val="center"/>
        </w:trPr>
        <w:tc>
          <w:tcPr>
            <w:tcW w:w="1696" w:type="dxa"/>
          </w:tcPr>
          <w:p w:rsidR="004F256E" w:rsidRPr="00894474" w14:paraId="08931A62" w14:textId="77777777">
            <w:pPr>
              <w:pStyle w:val="TableParagraph"/>
              <w:spacing w:line="240" w:lineRule="auto"/>
              <w:ind w:left="0"/>
            </w:pPr>
          </w:p>
        </w:tc>
        <w:tc>
          <w:tcPr>
            <w:tcW w:w="890" w:type="dxa"/>
          </w:tcPr>
          <w:p w:rsidR="004F256E" w:rsidRPr="00894474" w14:paraId="08931A63" w14:textId="77777777">
            <w:pPr>
              <w:pStyle w:val="TableParagraph"/>
              <w:spacing w:before="13" w:line="251" w:lineRule="exact"/>
              <w:ind w:left="150"/>
            </w:pPr>
            <w:r w:rsidRPr="00894474">
              <w:rPr>
                <w:spacing w:val="-2"/>
              </w:rPr>
              <w:t>Hours</w:t>
            </w:r>
          </w:p>
        </w:tc>
        <w:tc>
          <w:tcPr>
            <w:tcW w:w="1318" w:type="dxa"/>
          </w:tcPr>
          <w:p w:rsidR="004F256E" w:rsidRPr="00894474" w14:paraId="08931A64" w14:textId="77777777">
            <w:pPr>
              <w:pStyle w:val="TableParagraph"/>
              <w:spacing w:before="13" w:line="251" w:lineRule="exact"/>
              <w:ind w:left="95" w:right="89"/>
              <w:jc w:val="center"/>
            </w:pPr>
            <w:r w:rsidRPr="00894474">
              <w:rPr>
                <w:spacing w:val="-2"/>
              </w:rPr>
              <w:t>Responses</w:t>
            </w:r>
          </w:p>
        </w:tc>
      </w:tr>
      <w:tr w14:paraId="08931A69" w14:textId="77777777" w:rsidTr="00ED039E">
        <w:tblPrEx>
          <w:tblW w:w="0" w:type="auto"/>
          <w:jc w:val="center"/>
          <w:tblLayout w:type="fixed"/>
          <w:tblCellMar>
            <w:left w:w="0" w:type="dxa"/>
            <w:right w:w="0" w:type="dxa"/>
          </w:tblCellMar>
          <w:tblLook w:val="01E0"/>
        </w:tblPrEx>
        <w:trPr>
          <w:trHeight w:val="285"/>
          <w:jc w:val="center"/>
        </w:trPr>
        <w:tc>
          <w:tcPr>
            <w:tcW w:w="1696" w:type="dxa"/>
          </w:tcPr>
          <w:p w:rsidR="004F256E" w:rsidRPr="00894474" w14:paraId="08931A66" w14:textId="77777777">
            <w:pPr>
              <w:pStyle w:val="TableParagraph"/>
              <w:spacing w:before="14" w:line="251" w:lineRule="exact"/>
              <w:ind w:left="100" w:right="91"/>
              <w:jc w:val="center"/>
            </w:pPr>
            <w:r w:rsidRPr="00894474">
              <w:rPr>
                <w:spacing w:val="-2"/>
              </w:rPr>
              <w:t>Reporting</w:t>
            </w:r>
          </w:p>
        </w:tc>
        <w:tc>
          <w:tcPr>
            <w:tcW w:w="890" w:type="dxa"/>
          </w:tcPr>
          <w:p w:rsidR="004F256E" w:rsidRPr="00894474" w:rsidP="00ED039E" w14:paraId="08931A67" w14:textId="01B7388B">
            <w:pPr>
              <w:pStyle w:val="TableParagraph"/>
              <w:spacing w:before="14" w:line="251" w:lineRule="exact"/>
              <w:jc w:val="right"/>
            </w:pPr>
            <w:r w:rsidRPr="00894474">
              <w:rPr>
                <w:spacing w:val="-2"/>
              </w:rPr>
              <w:t xml:space="preserve"> </w:t>
            </w:r>
            <w:r w:rsidRPr="00894474" w:rsidR="005768CD">
              <w:rPr>
                <w:spacing w:val="-2"/>
              </w:rPr>
              <w:t>9,7</w:t>
            </w:r>
            <w:r w:rsidRPr="00894474" w:rsidR="00E23C8B">
              <w:rPr>
                <w:spacing w:val="-2"/>
              </w:rPr>
              <w:t>2</w:t>
            </w:r>
            <w:r w:rsidRPr="00894474" w:rsidR="005768CD">
              <w:rPr>
                <w:spacing w:val="-2"/>
              </w:rPr>
              <w:t>0</w:t>
            </w:r>
          </w:p>
        </w:tc>
        <w:tc>
          <w:tcPr>
            <w:tcW w:w="1318" w:type="dxa"/>
          </w:tcPr>
          <w:p w:rsidR="004F256E" w:rsidRPr="00894474" w:rsidP="00ED039E" w14:paraId="08931A68" w14:textId="273DD407">
            <w:pPr>
              <w:pStyle w:val="TableParagraph"/>
              <w:spacing w:before="14" w:line="251" w:lineRule="exact"/>
              <w:ind w:left="88" w:right="89"/>
              <w:jc w:val="right"/>
            </w:pPr>
            <w:r w:rsidRPr="00894474">
              <w:rPr>
                <w:spacing w:val="-5"/>
              </w:rPr>
              <w:t>27</w:t>
            </w:r>
          </w:p>
        </w:tc>
      </w:tr>
      <w:tr w14:paraId="08931A6D" w14:textId="77777777" w:rsidTr="00ED039E">
        <w:tblPrEx>
          <w:tblW w:w="0" w:type="auto"/>
          <w:jc w:val="center"/>
          <w:tblLayout w:type="fixed"/>
          <w:tblCellMar>
            <w:left w:w="0" w:type="dxa"/>
            <w:right w:w="0" w:type="dxa"/>
          </w:tblCellMar>
          <w:tblLook w:val="01E0"/>
        </w:tblPrEx>
        <w:trPr>
          <w:trHeight w:val="285"/>
          <w:jc w:val="center"/>
        </w:trPr>
        <w:tc>
          <w:tcPr>
            <w:tcW w:w="1696" w:type="dxa"/>
          </w:tcPr>
          <w:p w:rsidR="004F256E" w:rsidRPr="00894474" w14:paraId="08931A6A" w14:textId="77777777">
            <w:pPr>
              <w:pStyle w:val="TableParagraph"/>
              <w:spacing w:before="14" w:line="251" w:lineRule="exact"/>
              <w:ind w:left="100" w:right="91"/>
              <w:jc w:val="center"/>
            </w:pPr>
            <w:r w:rsidRPr="00894474">
              <w:rPr>
                <w:spacing w:val="-2"/>
              </w:rPr>
              <w:t>Recordkeeping</w:t>
            </w:r>
          </w:p>
        </w:tc>
        <w:tc>
          <w:tcPr>
            <w:tcW w:w="890" w:type="dxa"/>
          </w:tcPr>
          <w:p w:rsidR="004F256E" w:rsidRPr="00894474" w:rsidP="00ED039E" w14:paraId="08931A6B" w14:textId="2DC96C07">
            <w:pPr>
              <w:pStyle w:val="TableParagraph"/>
              <w:spacing w:before="14" w:line="251" w:lineRule="exact"/>
              <w:ind w:left="168"/>
              <w:jc w:val="right"/>
            </w:pPr>
            <w:r w:rsidRPr="00894474">
              <w:rPr>
                <w:spacing w:val="-2"/>
              </w:rPr>
              <w:t>1,08</w:t>
            </w:r>
            <w:r w:rsidRPr="00894474" w:rsidR="00964C15">
              <w:rPr>
                <w:spacing w:val="-2"/>
              </w:rPr>
              <w:t>5</w:t>
            </w:r>
          </w:p>
        </w:tc>
        <w:tc>
          <w:tcPr>
            <w:tcW w:w="1318" w:type="dxa"/>
          </w:tcPr>
          <w:p w:rsidR="004F256E" w:rsidRPr="00894474" w:rsidP="00ED039E" w14:paraId="08931A6C" w14:textId="37F52270">
            <w:pPr>
              <w:pStyle w:val="TableParagraph"/>
              <w:spacing w:before="14" w:line="251" w:lineRule="exact"/>
              <w:ind w:left="94" w:right="89"/>
              <w:jc w:val="right"/>
            </w:pPr>
            <w:r w:rsidRPr="00894474">
              <w:rPr>
                <w:spacing w:val="-5"/>
              </w:rPr>
              <w:t>3</w:t>
            </w:r>
            <w:r w:rsidRPr="00894474" w:rsidR="00964C15">
              <w:rPr>
                <w:spacing w:val="-5"/>
              </w:rPr>
              <w:t>2</w:t>
            </w:r>
          </w:p>
        </w:tc>
      </w:tr>
      <w:tr w14:paraId="08931A71" w14:textId="77777777" w:rsidTr="00ED039E">
        <w:tblPrEx>
          <w:tblW w:w="0" w:type="auto"/>
          <w:jc w:val="center"/>
          <w:tblLayout w:type="fixed"/>
          <w:tblCellMar>
            <w:left w:w="0" w:type="dxa"/>
            <w:right w:w="0" w:type="dxa"/>
          </w:tblCellMar>
          <w:tblLook w:val="01E0"/>
        </w:tblPrEx>
        <w:trPr>
          <w:trHeight w:val="285"/>
          <w:jc w:val="center"/>
        </w:trPr>
        <w:tc>
          <w:tcPr>
            <w:tcW w:w="1696" w:type="dxa"/>
          </w:tcPr>
          <w:p w:rsidR="004F256E" w:rsidRPr="00894474" w14:paraId="08931A6E" w14:textId="77777777">
            <w:pPr>
              <w:pStyle w:val="TableParagraph"/>
              <w:spacing w:before="14" w:line="251" w:lineRule="exact"/>
              <w:ind w:left="99" w:right="91"/>
              <w:jc w:val="center"/>
            </w:pPr>
            <w:r w:rsidRPr="00894474">
              <w:rPr>
                <w:spacing w:val="-2"/>
              </w:rPr>
              <w:t>TOTAL</w:t>
            </w:r>
          </w:p>
        </w:tc>
        <w:tc>
          <w:tcPr>
            <w:tcW w:w="890" w:type="dxa"/>
          </w:tcPr>
          <w:p w:rsidR="004F256E" w:rsidRPr="00894474" w:rsidP="00ED039E" w14:paraId="08931A6F" w14:textId="38D5164E">
            <w:pPr>
              <w:pStyle w:val="TableParagraph"/>
              <w:spacing w:before="14" w:line="251" w:lineRule="exact"/>
              <w:ind w:left="108"/>
              <w:jc w:val="right"/>
            </w:pPr>
            <w:r w:rsidRPr="00894474">
              <w:rPr>
                <w:spacing w:val="-2"/>
              </w:rPr>
              <w:t>10,80</w:t>
            </w:r>
            <w:r w:rsidRPr="00894474" w:rsidR="00964C15">
              <w:rPr>
                <w:spacing w:val="-2"/>
              </w:rPr>
              <w:t>5</w:t>
            </w:r>
          </w:p>
        </w:tc>
        <w:tc>
          <w:tcPr>
            <w:tcW w:w="1318" w:type="dxa"/>
          </w:tcPr>
          <w:p w:rsidR="004F256E" w:rsidRPr="00894474" w:rsidP="00ED039E" w14:paraId="08931A70" w14:textId="1EB9E44D">
            <w:pPr>
              <w:pStyle w:val="TableParagraph"/>
              <w:spacing w:before="14" w:line="251" w:lineRule="exact"/>
              <w:ind w:left="95" w:right="89"/>
              <w:jc w:val="right"/>
            </w:pPr>
            <w:r w:rsidRPr="00894474">
              <w:rPr>
                <w:spacing w:val="-5"/>
              </w:rPr>
              <w:t>5</w:t>
            </w:r>
            <w:r w:rsidRPr="00894474" w:rsidR="00964C15">
              <w:rPr>
                <w:spacing w:val="-5"/>
              </w:rPr>
              <w:t>9</w:t>
            </w:r>
          </w:p>
        </w:tc>
      </w:tr>
    </w:tbl>
    <w:p w:rsidR="004F256E" w:rsidRPr="00894474" w14:paraId="08931A72" w14:textId="77777777">
      <w:pPr>
        <w:pStyle w:val="BodyText"/>
        <w:spacing w:before="10"/>
      </w:pPr>
    </w:p>
    <w:p w:rsidR="004F256E" w:rsidRPr="00894474" w14:paraId="08931A73" w14:textId="6D6E87F6">
      <w:pPr>
        <w:pStyle w:val="BodyText"/>
        <w:ind w:left="1200" w:right="113"/>
      </w:pPr>
      <w:r w:rsidRPr="00894474">
        <w:t>Detailed burden estimates are included in the supplemental burden spreadsheet titled, “Table 1 - Summary of Supporting Statements.”</w:t>
      </w:r>
      <w:r w:rsidRPr="00894474">
        <w:rPr>
          <w:spacing w:val="40"/>
        </w:rPr>
        <w:t xml:space="preserve"> </w:t>
      </w:r>
      <w:r w:rsidRPr="00894474">
        <w:t>The $</w:t>
      </w:r>
      <w:r w:rsidRPr="00894474" w:rsidR="005768CD">
        <w:t>300</w:t>
      </w:r>
      <w:r w:rsidRPr="00894474">
        <w:t xml:space="preserve"> hourly rate used in the burden</w:t>
      </w:r>
      <w:r w:rsidRPr="00894474">
        <w:rPr>
          <w:spacing w:val="-4"/>
        </w:rPr>
        <w:t xml:space="preserve"> </w:t>
      </w:r>
      <w:r w:rsidRPr="00894474">
        <w:t>estimates</w:t>
      </w:r>
      <w:r w:rsidRPr="00894474">
        <w:rPr>
          <w:spacing w:val="-4"/>
        </w:rPr>
        <w:t xml:space="preserve"> </w:t>
      </w:r>
      <w:r w:rsidRPr="00894474">
        <w:t>is</w:t>
      </w:r>
      <w:r w:rsidRPr="00894474">
        <w:rPr>
          <w:spacing w:val="-4"/>
        </w:rPr>
        <w:t xml:space="preserve"> </w:t>
      </w:r>
      <w:r w:rsidRPr="00894474">
        <w:t>based</w:t>
      </w:r>
      <w:r w:rsidRPr="00894474">
        <w:rPr>
          <w:spacing w:val="-4"/>
        </w:rPr>
        <w:t xml:space="preserve"> </w:t>
      </w:r>
      <w:r w:rsidRPr="00894474">
        <w:t>on</w:t>
      </w:r>
      <w:r w:rsidRPr="00894474">
        <w:rPr>
          <w:spacing w:val="-4"/>
        </w:rPr>
        <w:t xml:space="preserve"> </w:t>
      </w:r>
      <w:r w:rsidRPr="00894474">
        <w:t>the</w:t>
      </w:r>
      <w:r w:rsidRPr="00894474">
        <w:rPr>
          <w:spacing w:val="-5"/>
        </w:rPr>
        <w:t xml:space="preserve"> </w:t>
      </w:r>
      <w:r w:rsidRPr="00894474">
        <w:t>Nuclear</w:t>
      </w:r>
      <w:r w:rsidRPr="00894474">
        <w:rPr>
          <w:spacing w:val="-4"/>
        </w:rPr>
        <w:t xml:space="preserve"> </w:t>
      </w:r>
      <w:r w:rsidRPr="00894474">
        <w:t>Regulatory</w:t>
      </w:r>
      <w:r w:rsidRPr="00894474">
        <w:rPr>
          <w:spacing w:val="-4"/>
        </w:rPr>
        <w:t xml:space="preserve"> </w:t>
      </w:r>
      <w:r w:rsidRPr="00894474">
        <w:t>Commission’s</w:t>
      </w:r>
      <w:r w:rsidRPr="00894474">
        <w:rPr>
          <w:spacing w:val="-4"/>
        </w:rPr>
        <w:t xml:space="preserve"> </w:t>
      </w:r>
      <w:r w:rsidRPr="00894474">
        <w:t>fee</w:t>
      </w:r>
      <w:r w:rsidRPr="00894474">
        <w:rPr>
          <w:spacing w:val="-4"/>
        </w:rPr>
        <w:t xml:space="preserve"> </w:t>
      </w:r>
      <w:r w:rsidRPr="00894474">
        <w:t>for</w:t>
      </w:r>
      <w:r w:rsidRPr="00894474">
        <w:rPr>
          <w:spacing w:val="-4"/>
        </w:rPr>
        <w:t xml:space="preserve"> </w:t>
      </w:r>
      <w:r w:rsidRPr="00894474">
        <w:t>hourly</w:t>
      </w:r>
      <w:r w:rsidRPr="00894474">
        <w:rPr>
          <w:spacing w:val="-4"/>
        </w:rPr>
        <w:t xml:space="preserve"> </w:t>
      </w:r>
      <w:r w:rsidRPr="00894474">
        <w:t>rates as noted in 10 CFR 170.20 “Average cost per professional staff-hour.”</w:t>
      </w:r>
      <w:r w:rsidRPr="00894474">
        <w:rPr>
          <w:spacing w:val="40"/>
        </w:rPr>
        <w:t xml:space="preserve"> </w:t>
      </w:r>
      <w:r w:rsidRPr="00894474">
        <w:t xml:space="preserve">For more information </w:t>
      </w:r>
      <w:r w:rsidRPr="00894474">
        <w:t>on the basis of</w:t>
      </w:r>
      <w:r w:rsidRPr="00894474">
        <w:t xml:space="preserve"> this rate, see the Revision of Fee Schedules; Fee Recovery for Fiscal Year 2020 (</w:t>
      </w:r>
      <w:r w:rsidRPr="00894474">
        <w:rPr>
          <w:color w:val="323232"/>
        </w:rPr>
        <w:t>85 FR 37250</w:t>
      </w:r>
      <w:r w:rsidRPr="00894474">
        <w:t>, June 19, 2020).</w:t>
      </w:r>
    </w:p>
    <w:p w:rsidR="002D1EC6" w:rsidRPr="00894474" w14:paraId="08931A74" w14:textId="26EA3007"/>
    <w:p w:rsidR="004F256E" w:rsidRPr="00894474" w14:paraId="08931A75" w14:textId="77777777">
      <w:pPr>
        <w:pStyle w:val="ListParagraph"/>
        <w:numPr>
          <w:ilvl w:val="1"/>
          <w:numId w:val="2"/>
        </w:numPr>
        <w:tabs>
          <w:tab w:val="left" w:pos="1319"/>
        </w:tabs>
        <w:spacing w:before="1"/>
        <w:ind w:left="1319" w:hanging="599"/>
      </w:pPr>
      <w:r w:rsidRPr="00894474">
        <w:rPr>
          <w:u w:val="single"/>
        </w:rPr>
        <w:t>Estimate</w:t>
      </w:r>
      <w:r w:rsidRPr="00894474">
        <w:rPr>
          <w:spacing w:val="-7"/>
          <w:u w:val="single"/>
        </w:rPr>
        <w:t xml:space="preserve"> </w:t>
      </w:r>
      <w:r w:rsidRPr="00894474">
        <w:rPr>
          <w:u w:val="single"/>
        </w:rPr>
        <w:t>of</w:t>
      </w:r>
      <w:r w:rsidRPr="00894474">
        <w:rPr>
          <w:spacing w:val="-7"/>
          <w:u w:val="single"/>
        </w:rPr>
        <w:t xml:space="preserve"> </w:t>
      </w:r>
      <w:r w:rsidRPr="00894474">
        <w:rPr>
          <w:u w:val="single"/>
        </w:rPr>
        <w:t>Other</w:t>
      </w:r>
      <w:r w:rsidRPr="00894474">
        <w:rPr>
          <w:spacing w:val="-6"/>
          <w:u w:val="single"/>
        </w:rPr>
        <w:t xml:space="preserve"> </w:t>
      </w:r>
      <w:r w:rsidRPr="00894474">
        <w:rPr>
          <w:u w:val="single"/>
        </w:rPr>
        <w:t>Additional</w:t>
      </w:r>
      <w:r w:rsidRPr="00894474">
        <w:rPr>
          <w:spacing w:val="-7"/>
          <w:u w:val="single"/>
        </w:rPr>
        <w:t xml:space="preserve"> </w:t>
      </w:r>
      <w:r w:rsidRPr="00894474">
        <w:rPr>
          <w:spacing w:val="-2"/>
          <w:u w:val="single"/>
        </w:rPr>
        <w:t>Costs</w:t>
      </w:r>
    </w:p>
    <w:p w:rsidR="004F256E" w:rsidRPr="00894474" w14:paraId="08931A76" w14:textId="77777777">
      <w:pPr>
        <w:pStyle w:val="BodyText"/>
        <w:spacing w:before="10"/>
      </w:pPr>
    </w:p>
    <w:p w:rsidR="004F256E" w:rsidRPr="00894474" w14:paraId="08931A77" w14:textId="77777777">
      <w:pPr>
        <w:pStyle w:val="BodyText"/>
        <w:spacing w:before="92"/>
        <w:ind w:left="1320"/>
      </w:pPr>
      <w:r w:rsidRPr="00894474">
        <w:t>The</w:t>
      </w:r>
      <w:r w:rsidRPr="00894474">
        <w:rPr>
          <w:spacing w:val="-4"/>
        </w:rPr>
        <w:t xml:space="preserve"> </w:t>
      </w:r>
      <w:r w:rsidRPr="00894474">
        <w:t>quantity</w:t>
      </w:r>
      <w:r w:rsidRPr="00894474">
        <w:rPr>
          <w:spacing w:val="-4"/>
        </w:rPr>
        <w:t xml:space="preserve"> </w:t>
      </w:r>
      <w:r w:rsidRPr="00894474">
        <w:t>of</w:t>
      </w:r>
      <w:r w:rsidRPr="00894474">
        <w:rPr>
          <w:spacing w:val="-4"/>
        </w:rPr>
        <w:t xml:space="preserve"> </w:t>
      </w:r>
      <w:r w:rsidRPr="00894474">
        <w:t>records</w:t>
      </w:r>
      <w:r w:rsidRPr="00894474">
        <w:rPr>
          <w:spacing w:val="-4"/>
        </w:rPr>
        <w:t xml:space="preserve"> </w:t>
      </w:r>
      <w:r w:rsidRPr="00894474">
        <w:t>to</w:t>
      </w:r>
      <w:r w:rsidRPr="00894474">
        <w:rPr>
          <w:spacing w:val="-4"/>
        </w:rPr>
        <w:t xml:space="preserve"> </w:t>
      </w:r>
      <w:r w:rsidRPr="00894474">
        <w:t>be</w:t>
      </w:r>
      <w:r w:rsidRPr="00894474">
        <w:rPr>
          <w:spacing w:val="-4"/>
        </w:rPr>
        <w:t xml:space="preserve"> </w:t>
      </w:r>
      <w:r w:rsidRPr="00894474">
        <w:t>maintained</w:t>
      </w:r>
      <w:r w:rsidRPr="00894474">
        <w:rPr>
          <w:spacing w:val="-4"/>
        </w:rPr>
        <w:t xml:space="preserve"> </w:t>
      </w:r>
      <w:r w:rsidRPr="00894474">
        <w:t>is</w:t>
      </w:r>
      <w:r w:rsidRPr="00894474">
        <w:rPr>
          <w:spacing w:val="-4"/>
        </w:rPr>
        <w:t xml:space="preserve"> </w:t>
      </w:r>
      <w:r w:rsidRPr="00894474">
        <w:t>roughly</w:t>
      </w:r>
      <w:r w:rsidRPr="00894474">
        <w:rPr>
          <w:spacing w:val="-4"/>
        </w:rPr>
        <w:t xml:space="preserve"> </w:t>
      </w:r>
      <w:r w:rsidRPr="00894474">
        <w:t>proportional</w:t>
      </w:r>
      <w:r w:rsidRPr="00894474">
        <w:rPr>
          <w:spacing w:val="-4"/>
        </w:rPr>
        <w:t xml:space="preserve"> </w:t>
      </w:r>
      <w:r w:rsidRPr="00894474">
        <w:t>to</w:t>
      </w:r>
      <w:r w:rsidRPr="00894474">
        <w:rPr>
          <w:spacing w:val="-4"/>
        </w:rPr>
        <w:t xml:space="preserve"> </w:t>
      </w:r>
      <w:r w:rsidRPr="00894474">
        <w:t>the</w:t>
      </w:r>
      <w:r w:rsidRPr="00894474">
        <w:rPr>
          <w:spacing w:val="-4"/>
        </w:rPr>
        <w:t xml:space="preserve"> </w:t>
      </w:r>
      <w:r w:rsidRPr="00894474">
        <w:t>recordkeeping burden and therefore can be used to calculate approximate records storage costs.</w:t>
      </w:r>
    </w:p>
    <w:p w:rsidR="004F256E" w:rsidRPr="00894474" w14:paraId="08931A78" w14:textId="6ECCFD22">
      <w:pPr>
        <w:pStyle w:val="BodyText"/>
        <w:spacing w:before="1"/>
        <w:ind w:left="1320"/>
      </w:pPr>
      <w:r w:rsidRPr="00894474">
        <w:t>Based</w:t>
      </w:r>
      <w:r w:rsidRPr="00894474">
        <w:rPr>
          <w:spacing w:val="-3"/>
        </w:rPr>
        <w:t xml:space="preserve"> </w:t>
      </w:r>
      <w:r w:rsidRPr="00894474">
        <w:t>on</w:t>
      </w:r>
      <w:r w:rsidRPr="00894474">
        <w:rPr>
          <w:spacing w:val="-3"/>
        </w:rPr>
        <w:t xml:space="preserve"> </w:t>
      </w:r>
      <w:r w:rsidRPr="00894474">
        <w:t>the</w:t>
      </w:r>
      <w:r w:rsidRPr="00894474">
        <w:rPr>
          <w:spacing w:val="-3"/>
        </w:rPr>
        <w:t xml:space="preserve"> </w:t>
      </w:r>
      <w:r w:rsidRPr="00894474">
        <w:t>number</w:t>
      </w:r>
      <w:r w:rsidRPr="00894474">
        <w:rPr>
          <w:spacing w:val="-3"/>
        </w:rPr>
        <w:t xml:space="preserve"> </w:t>
      </w:r>
      <w:r w:rsidRPr="00894474">
        <w:t>of</w:t>
      </w:r>
      <w:r w:rsidRPr="00894474">
        <w:rPr>
          <w:spacing w:val="-3"/>
        </w:rPr>
        <w:t xml:space="preserve"> </w:t>
      </w:r>
      <w:r w:rsidRPr="00894474">
        <w:t>pages</w:t>
      </w:r>
      <w:r w:rsidRPr="00894474">
        <w:rPr>
          <w:spacing w:val="-3"/>
        </w:rPr>
        <w:t xml:space="preserve"> </w:t>
      </w:r>
      <w:r w:rsidRPr="00894474">
        <w:t>maintained</w:t>
      </w:r>
      <w:r w:rsidRPr="00894474">
        <w:rPr>
          <w:spacing w:val="-3"/>
        </w:rPr>
        <w:t xml:space="preserve"> </w:t>
      </w:r>
      <w:r w:rsidRPr="00894474">
        <w:t>for</w:t>
      </w:r>
      <w:r w:rsidRPr="00894474">
        <w:rPr>
          <w:spacing w:val="-3"/>
        </w:rPr>
        <w:t xml:space="preserve"> </w:t>
      </w:r>
      <w:r w:rsidRPr="00894474">
        <w:t>a</w:t>
      </w:r>
      <w:r w:rsidRPr="00894474">
        <w:rPr>
          <w:spacing w:val="-3"/>
        </w:rPr>
        <w:t xml:space="preserve"> </w:t>
      </w:r>
      <w:r w:rsidRPr="00894474">
        <w:t>typical</w:t>
      </w:r>
      <w:r w:rsidRPr="00894474">
        <w:rPr>
          <w:spacing w:val="-3"/>
        </w:rPr>
        <w:t xml:space="preserve"> </w:t>
      </w:r>
      <w:r w:rsidRPr="00894474">
        <w:t>clearance,</w:t>
      </w:r>
      <w:r w:rsidRPr="00894474">
        <w:rPr>
          <w:spacing w:val="-3"/>
        </w:rPr>
        <w:t xml:space="preserve"> </w:t>
      </w:r>
      <w:r w:rsidRPr="00894474">
        <w:t>the</w:t>
      </w:r>
      <w:r w:rsidRPr="00894474">
        <w:rPr>
          <w:spacing w:val="-3"/>
        </w:rPr>
        <w:t xml:space="preserve"> </w:t>
      </w:r>
      <w:r w:rsidRPr="00894474">
        <w:t>records</w:t>
      </w:r>
      <w:r w:rsidRPr="00894474">
        <w:rPr>
          <w:spacing w:val="-3"/>
        </w:rPr>
        <w:t xml:space="preserve"> </w:t>
      </w:r>
      <w:r w:rsidRPr="00894474">
        <w:t>storage cost has been determined to be equal to .0004 times the recordkeeping burden cost. Therefore, the storage cost for this clearance is estimated to be $13</w:t>
      </w:r>
      <w:r w:rsidRPr="00894474" w:rsidR="005768CD">
        <w:t>0</w:t>
      </w:r>
      <w:r w:rsidRPr="00894474">
        <w:t xml:space="preserve"> (</w:t>
      </w:r>
      <w:r w:rsidRPr="00894474" w:rsidR="005768CD">
        <w:t>1,08</w:t>
      </w:r>
      <w:r w:rsidRPr="00894474" w:rsidR="00964C15">
        <w:t>5</w:t>
      </w:r>
      <w:r w:rsidRPr="00894474">
        <w:t xml:space="preserve"> recordkeeping hours x $</w:t>
      </w:r>
      <w:r w:rsidRPr="00894474" w:rsidR="005768CD">
        <w:t>300</w:t>
      </w:r>
      <w:r w:rsidRPr="00894474">
        <w:t xml:space="preserve"> x .0004).</w:t>
      </w:r>
    </w:p>
    <w:p w:rsidR="004F256E" w:rsidRPr="00894474" w14:paraId="08931A79" w14:textId="77777777">
      <w:pPr>
        <w:pStyle w:val="BodyText"/>
        <w:spacing w:before="11"/>
      </w:pPr>
    </w:p>
    <w:p w:rsidR="004F256E" w:rsidRPr="00894474" w14:paraId="08931A7A" w14:textId="77777777">
      <w:pPr>
        <w:pStyle w:val="ListParagraph"/>
        <w:numPr>
          <w:ilvl w:val="1"/>
          <w:numId w:val="2"/>
        </w:numPr>
        <w:tabs>
          <w:tab w:val="left" w:pos="1380"/>
        </w:tabs>
        <w:ind w:left="1380" w:hanging="660"/>
      </w:pPr>
      <w:r w:rsidRPr="00894474">
        <w:rPr>
          <w:u w:val="single"/>
        </w:rPr>
        <w:t>Estimated</w:t>
      </w:r>
      <w:r w:rsidRPr="00894474">
        <w:rPr>
          <w:spacing w:val="-7"/>
          <w:u w:val="single"/>
        </w:rPr>
        <w:t xml:space="preserve"> </w:t>
      </w:r>
      <w:r w:rsidRPr="00894474">
        <w:rPr>
          <w:u w:val="single"/>
        </w:rPr>
        <w:t>Annualized</w:t>
      </w:r>
      <w:r w:rsidRPr="00894474">
        <w:rPr>
          <w:spacing w:val="-7"/>
          <w:u w:val="single"/>
        </w:rPr>
        <w:t xml:space="preserve"> </w:t>
      </w:r>
      <w:r w:rsidRPr="00894474">
        <w:rPr>
          <w:u w:val="single"/>
        </w:rPr>
        <w:t>Cost</w:t>
      </w:r>
      <w:r w:rsidRPr="00894474">
        <w:rPr>
          <w:spacing w:val="-7"/>
          <w:u w:val="single"/>
        </w:rPr>
        <w:t xml:space="preserve"> </w:t>
      </w:r>
      <w:r w:rsidRPr="00894474">
        <w:rPr>
          <w:u w:val="single"/>
        </w:rPr>
        <w:t>to</w:t>
      </w:r>
      <w:r w:rsidRPr="00894474">
        <w:rPr>
          <w:spacing w:val="-7"/>
          <w:u w:val="single"/>
        </w:rPr>
        <w:t xml:space="preserve"> </w:t>
      </w:r>
      <w:r w:rsidRPr="00894474">
        <w:rPr>
          <w:u w:val="single"/>
        </w:rPr>
        <w:t>the</w:t>
      </w:r>
      <w:r w:rsidRPr="00894474">
        <w:rPr>
          <w:spacing w:val="-7"/>
          <w:u w:val="single"/>
        </w:rPr>
        <w:t xml:space="preserve"> </w:t>
      </w:r>
      <w:r w:rsidRPr="00894474">
        <w:rPr>
          <w:u w:val="single"/>
        </w:rPr>
        <w:t>Federal</w:t>
      </w:r>
      <w:r w:rsidRPr="00894474">
        <w:rPr>
          <w:spacing w:val="-7"/>
          <w:u w:val="single"/>
        </w:rPr>
        <w:t xml:space="preserve"> </w:t>
      </w:r>
      <w:r w:rsidRPr="00894474">
        <w:rPr>
          <w:spacing w:val="-2"/>
          <w:u w:val="single"/>
        </w:rPr>
        <w:t>Government</w:t>
      </w:r>
    </w:p>
    <w:p w:rsidR="004F256E" w:rsidRPr="00894474" w14:paraId="08931A7B" w14:textId="77777777">
      <w:pPr>
        <w:pStyle w:val="BodyText"/>
      </w:pPr>
    </w:p>
    <w:p w:rsidR="004F256E" w:rsidRPr="00894474" w14:paraId="08931A7C" w14:textId="5C3D39CF">
      <w:pPr>
        <w:pStyle w:val="BodyText"/>
        <w:spacing w:before="93"/>
        <w:ind w:left="1379" w:right="192"/>
      </w:pPr>
      <w:r w:rsidRPr="00894474">
        <w:t>The staff has developed estimates of annualized costs to the Federal Government related</w:t>
      </w:r>
      <w:r w:rsidRPr="00894474">
        <w:rPr>
          <w:spacing w:val="-1"/>
        </w:rPr>
        <w:t xml:space="preserve"> </w:t>
      </w:r>
      <w:r w:rsidRPr="00894474">
        <w:t>to</w:t>
      </w:r>
      <w:r w:rsidRPr="00894474">
        <w:rPr>
          <w:spacing w:val="-1"/>
        </w:rPr>
        <w:t xml:space="preserve"> </w:t>
      </w:r>
      <w:r w:rsidRPr="00894474">
        <w:t>the</w:t>
      </w:r>
      <w:r w:rsidRPr="00894474">
        <w:rPr>
          <w:spacing w:val="-1"/>
        </w:rPr>
        <w:t xml:space="preserve"> </w:t>
      </w:r>
      <w:r w:rsidRPr="00894474">
        <w:t>conduct</w:t>
      </w:r>
      <w:r w:rsidRPr="00894474">
        <w:rPr>
          <w:spacing w:val="-1"/>
        </w:rPr>
        <w:t xml:space="preserve"> </w:t>
      </w:r>
      <w:r w:rsidRPr="00894474">
        <w:t>of</w:t>
      </w:r>
      <w:r w:rsidRPr="00894474">
        <w:rPr>
          <w:spacing w:val="-2"/>
        </w:rPr>
        <w:t xml:space="preserve"> </w:t>
      </w:r>
      <w:r w:rsidRPr="00894474">
        <w:t>this</w:t>
      </w:r>
      <w:r w:rsidRPr="00894474">
        <w:rPr>
          <w:spacing w:val="-1"/>
        </w:rPr>
        <w:t xml:space="preserve"> </w:t>
      </w:r>
      <w:r w:rsidRPr="00894474">
        <w:t>collection</w:t>
      </w:r>
      <w:r w:rsidRPr="00894474">
        <w:rPr>
          <w:spacing w:val="-1"/>
        </w:rPr>
        <w:t xml:space="preserve"> </w:t>
      </w:r>
      <w:r w:rsidRPr="00894474">
        <w:t>of</w:t>
      </w:r>
      <w:r w:rsidRPr="00894474">
        <w:rPr>
          <w:spacing w:val="-1"/>
        </w:rPr>
        <w:t xml:space="preserve"> </w:t>
      </w:r>
      <w:r w:rsidRPr="00894474">
        <w:t>information.</w:t>
      </w:r>
      <w:r w:rsidRPr="00894474">
        <w:rPr>
          <w:spacing w:val="40"/>
        </w:rPr>
        <w:t xml:space="preserve"> </w:t>
      </w:r>
      <w:r w:rsidRPr="00894474">
        <w:t>These</w:t>
      </w:r>
      <w:r w:rsidRPr="00894474">
        <w:rPr>
          <w:spacing w:val="-1"/>
        </w:rPr>
        <w:t xml:space="preserve"> </w:t>
      </w:r>
      <w:r w:rsidRPr="00894474">
        <w:t>estimates</w:t>
      </w:r>
      <w:r w:rsidRPr="00894474">
        <w:rPr>
          <w:spacing w:val="-2"/>
        </w:rPr>
        <w:t xml:space="preserve"> </w:t>
      </w:r>
      <w:r w:rsidRPr="00894474">
        <w:t>are</w:t>
      </w:r>
      <w:r w:rsidRPr="00894474">
        <w:rPr>
          <w:spacing w:val="-1"/>
        </w:rPr>
        <w:t xml:space="preserve"> </w:t>
      </w:r>
      <w:r w:rsidRPr="00894474">
        <w:t>based</w:t>
      </w:r>
      <w:r w:rsidRPr="00894474">
        <w:rPr>
          <w:spacing w:val="-1"/>
        </w:rPr>
        <w:t xml:space="preserve"> </w:t>
      </w:r>
      <w:r w:rsidRPr="00894474">
        <w:t>on staff experience and subject matter expertise and include the burden needed to review, analyze, and process the collected information and any relevant operational expenses.</w:t>
      </w:r>
      <w:r w:rsidRPr="00894474">
        <w:rPr>
          <w:spacing w:val="40"/>
        </w:rPr>
        <w:t xml:space="preserve"> </w:t>
      </w:r>
      <w:r w:rsidRPr="00894474">
        <w:t>The</w:t>
      </w:r>
      <w:r w:rsidRPr="00894474">
        <w:rPr>
          <w:spacing w:val="-4"/>
        </w:rPr>
        <w:t xml:space="preserve"> </w:t>
      </w:r>
      <w:r w:rsidRPr="00894474">
        <w:t>annualized</w:t>
      </w:r>
      <w:r w:rsidRPr="00894474">
        <w:rPr>
          <w:spacing w:val="-4"/>
        </w:rPr>
        <w:t xml:space="preserve"> </w:t>
      </w:r>
      <w:r w:rsidRPr="00894474">
        <w:t>estimated</w:t>
      </w:r>
      <w:r w:rsidRPr="00894474">
        <w:rPr>
          <w:spacing w:val="-4"/>
        </w:rPr>
        <w:t xml:space="preserve"> </w:t>
      </w:r>
      <w:r w:rsidRPr="00894474">
        <w:t>cost</w:t>
      </w:r>
      <w:r w:rsidRPr="00894474">
        <w:rPr>
          <w:spacing w:val="-4"/>
        </w:rPr>
        <w:t xml:space="preserve"> </w:t>
      </w:r>
      <w:r w:rsidRPr="00894474">
        <w:t>to</w:t>
      </w:r>
      <w:r w:rsidRPr="00894474">
        <w:rPr>
          <w:spacing w:val="-4"/>
        </w:rPr>
        <w:t xml:space="preserve"> </w:t>
      </w:r>
      <w:r w:rsidRPr="00894474">
        <w:t>the</w:t>
      </w:r>
      <w:r w:rsidRPr="00894474">
        <w:rPr>
          <w:spacing w:val="-4"/>
        </w:rPr>
        <w:t xml:space="preserve"> </w:t>
      </w:r>
      <w:r w:rsidRPr="00894474">
        <w:t>government</w:t>
      </w:r>
      <w:r w:rsidRPr="00894474">
        <w:rPr>
          <w:spacing w:val="-4"/>
        </w:rPr>
        <w:t xml:space="preserve"> </w:t>
      </w:r>
      <w:r w:rsidRPr="00894474">
        <w:t>is</w:t>
      </w:r>
      <w:r w:rsidRPr="00894474">
        <w:rPr>
          <w:spacing w:val="-4"/>
        </w:rPr>
        <w:t xml:space="preserve"> </w:t>
      </w:r>
      <w:r w:rsidRPr="00894474">
        <w:t>$6</w:t>
      </w:r>
      <w:r w:rsidRPr="00894474" w:rsidR="005768CD">
        <w:t>75,000</w:t>
      </w:r>
      <w:r w:rsidRPr="00894474">
        <w:rPr>
          <w:spacing w:val="-4"/>
        </w:rPr>
        <w:t xml:space="preserve"> </w:t>
      </w:r>
      <w:r w:rsidRPr="00894474">
        <w:t>(2,250</w:t>
      </w:r>
      <w:r w:rsidRPr="00894474">
        <w:rPr>
          <w:spacing w:val="-4"/>
        </w:rPr>
        <w:t xml:space="preserve"> </w:t>
      </w:r>
      <w:r w:rsidRPr="00894474">
        <w:t>staff hours x $</w:t>
      </w:r>
      <w:r w:rsidRPr="00894474" w:rsidR="005768CD">
        <w:t>300</w:t>
      </w:r>
      <w:r w:rsidRPr="00894474">
        <w:t>) as shown on the attached Summary Table.</w:t>
      </w:r>
    </w:p>
    <w:p w:rsidR="004F256E" w:rsidRPr="00894474" w14:paraId="08931A7E" w14:textId="77777777">
      <w:pPr>
        <w:pStyle w:val="ListParagraph"/>
        <w:numPr>
          <w:ilvl w:val="1"/>
          <w:numId w:val="2"/>
        </w:numPr>
        <w:tabs>
          <w:tab w:val="left" w:pos="1320"/>
        </w:tabs>
        <w:spacing w:before="147"/>
        <w:ind w:hanging="600"/>
      </w:pPr>
      <w:r w:rsidRPr="00894474">
        <w:rPr>
          <w:u w:val="single"/>
        </w:rPr>
        <w:t>Reasons</w:t>
      </w:r>
      <w:r w:rsidRPr="00894474">
        <w:rPr>
          <w:spacing w:val="-6"/>
          <w:u w:val="single"/>
        </w:rPr>
        <w:t xml:space="preserve"> </w:t>
      </w:r>
      <w:r w:rsidRPr="00894474">
        <w:rPr>
          <w:u w:val="single"/>
        </w:rPr>
        <w:t>for</w:t>
      </w:r>
      <w:r w:rsidRPr="00894474">
        <w:rPr>
          <w:spacing w:val="-6"/>
          <w:u w:val="single"/>
        </w:rPr>
        <w:t xml:space="preserve"> </w:t>
      </w:r>
      <w:r w:rsidRPr="00894474">
        <w:rPr>
          <w:u w:val="single"/>
        </w:rPr>
        <w:t>Changes</w:t>
      </w:r>
      <w:r w:rsidRPr="00894474">
        <w:rPr>
          <w:spacing w:val="-5"/>
          <w:u w:val="single"/>
        </w:rPr>
        <w:t xml:space="preserve"> </w:t>
      </w:r>
      <w:r w:rsidRPr="00894474">
        <w:rPr>
          <w:u w:val="single"/>
        </w:rPr>
        <w:t>in</w:t>
      </w:r>
      <w:r w:rsidRPr="00894474">
        <w:rPr>
          <w:spacing w:val="-7"/>
          <w:u w:val="single"/>
        </w:rPr>
        <w:t xml:space="preserve"> </w:t>
      </w:r>
      <w:r w:rsidRPr="00894474">
        <w:rPr>
          <w:u w:val="single"/>
        </w:rPr>
        <w:t>Burden</w:t>
      </w:r>
      <w:r w:rsidRPr="00894474">
        <w:rPr>
          <w:spacing w:val="-5"/>
          <w:u w:val="single"/>
        </w:rPr>
        <w:t xml:space="preserve"> </w:t>
      </w:r>
      <w:r w:rsidRPr="00894474">
        <w:rPr>
          <w:u w:val="single"/>
        </w:rPr>
        <w:t>or</w:t>
      </w:r>
      <w:r w:rsidRPr="00894474">
        <w:rPr>
          <w:spacing w:val="-5"/>
          <w:u w:val="single"/>
        </w:rPr>
        <w:t xml:space="preserve"> </w:t>
      </w:r>
      <w:r w:rsidRPr="00894474">
        <w:rPr>
          <w:spacing w:val="-4"/>
          <w:u w:val="single"/>
        </w:rPr>
        <w:t>Cost</w:t>
      </w:r>
    </w:p>
    <w:p w:rsidR="004F256E" w:rsidRPr="00894474" w14:paraId="08931A7F" w14:textId="77777777">
      <w:pPr>
        <w:pStyle w:val="BodyText"/>
        <w:spacing w:before="10"/>
      </w:pPr>
    </w:p>
    <w:p w:rsidR="004F256E" w:rsidRPr="00894474" w14:paraId="08931A80" w14:textId="77777777">
      <w:pPr>
        <w:pStyle w:val="BodyText"/>
        <w:spacing w:before="92"/>
        <w:ind w:left="1320" w:right="99"/>
      </w:pPr>
      <w:r w:rsidRPr="00894474">
        <w:t>The</w:t>
      </w:r>
      <w:r w:rsidRPr="00894474">
        <w:rPr>
          <w:spacing w:val="-3"/>
        </w:rPr>
        <w:t xml:space="preserve"> </w:t>
      </w:r>
      <w:r w:rsidRPr="00894474">
        <w:t>burden</w:t>
      </w:r>
      <w:r w:rsidRPr="00894474">
        <w:rPr>
          <w:spacing w:val="-3"/>
        </w:rPr>
        <w:t xml:space="preserve"> </w:t>
      </w:r>
      <w:r w:rsidRPr="00894474">
        <w:t>and</w:t>
      </w:r>
      <w:r w:rsidRPr="00894474">
        <w:rPr>
          <w:spacing w:val="-3"/>
        </w:rPr>
        <w:t xml:space="preserve"> </w:t>
      </w:r>
      <w:r w:rsidRPr="00894474">
        <w:t>number</w:t>
      </w:r>
      <w:r w:rsidRPr="00894474">
        <w:rPr>
          <w:spacing w:val="-3"/>
        </w:rPr>
        <w:t xml:space="preserve"> </w:t>
      </w:r>
      <w:r w:rsidRPr="00894474">
        <w:t>of</w:t>
      </w:r>
      <w:r w:rsidRPr="00894474">
        <w:rPr>
          <w:spacing w:val="-3"/>
        </w:rPr>
        <w:t xml:space="preserve"> </w:t>
      </w:r>
      <w:r w:rsidRPr="00894474">
        <w:t>responses</w:t>
      </w:r>
      <w:r w:rsidRPr="00894474">
        <w:rPr>
          <w:spacing w:val="-3"/>
        </w:rPr>
        <w:t xml:space="preserve"> </w:t>
      </w:r>
      <w:r w:rsidRPr="00894474">
        <w:t>have</w:t>
      </w:r>
      <w:r w:rsidRPr="00894474">
        <w:rPr>
          <w:spacing w:val="-3"/>
        </w:rPr>
        <w:t xml:space="preserve"> </w:t>
      </w:r>
      <w:r w:rsidRPr="00894474">
        <w:t>not</w:t>
      </w:r>
      <w:r w:rsidRPr="00894474">
        <w:rPr>
          <w:spacing w:val="-3"/>
        </w:rPr>
        <w:t xml:space="preserve"> </w:t>
      </w:r>
      <w:r w:rsidRPr="00894474">
        <w:t>changed</w:t>
      </w:r>
      <w:r w:rsidRPr="00894474">
        <w:rPr>
          <w:spacing w:val="-3"/>
        </w:rPr>
        <w:t xml:space="preserve"> </w:t>
      </w:r>
      <w:r w:rsidRPr="00894474">
        <w:t>as</w:t>
      </w:r>
      <w:r w:rsidRPr="00894474">
        <w:rPr>
          <w:spacing w:val="-3"/>
        </w:rPr>
        <w:t xml:space="preserve"> </w:t>
      </w:r>
      <w:r w:rsidRPr="00894474">
        <w:t>described</w:t>
      </w:r>
      <w:r w:rsidRPr="00894474">
        <w:rPr>
          <w:spacing w:val="-3"/>
        </w:rPr>
        <w:t xml:space="preserve"> </w:t>
      </w:r>
      <w:r w:rsidRPr="00894474">
        <w:t>in</w:t>
      </w:r>
      <w:r w:rsidRPr="00894474">
        <w:rPr>
          <w:spacing w:val="-4"/>
        </w:rPr>
        <w:t xml:space="preserve"> </w:t>
      </w:r>
      <w:r w:rsidRPr="00894474">
        <w:t>the</w:t>
      </w:r>
      <w:r w:rsidRPr="00894474">
        <w:rPr>
          <w:spacing w:val="-3"/>
        </w:rPr>
        <w:t xml:space="preserve"> </w:t>
      </w:r>
      <w:r w:rsidRPr="00894474">
        <w:t xml:space="preserve">tables </w:t>
      </w:r>
      <w:r w:rsidRPr="00894474">
        <w:rPr>
          <w:spacing w:val="-2"/>
        </w:rPr>
        <w:t>below:</w:t>
      </w:r>
    </w:p>
    <w:p w:rsidR="004F256E" w:rsidRPr="00894474" w14:paraId="08931A81" w14:textId="77777777">
      <w:pPr>
        <w:pStyle w:val="BodyText"/>
        <w:spacing w:before="2"/>
      </w:pPr>
    </w:p>
    <w:p w:rsidR="004F256E" w:rsidRPr="00894474" w14:paraId="08931A82" w14:textId="77777777">
      <w:pPr>
        <w:ind w:left="1320"/>
        <w:rPr>
          <w:b/>
        </w:rPr>
      </w:pPr>
      <w:r w:rsidRPr="00894474">
        <w:rPr>
          <w:b/>
        </w:rPr>
        <w:t>Burden</w:t>
      </w:r>
      <w:r w:rsidRPr="00894474">
        <w:rPr>
          <w:b/>
          <w:spacing w:val="-8"/>
        </w:rPr>
        <w:t xml:space="preserve"> </w:t>
      </w:r>
      <w:r w:rsidRPr="00894474">
        <w:rPr>
          <w:b/>
          <w:spacing w:val="-2"/>
        </w:rPr>
        <w:t>change</w:t>
      </w:r>
    </w:p>
    <w:tbl>
      <w:tblPr>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4"/>
        <w:gridCol w:w="2070"/>
        <w:gridCol w:w="2112"/>
        <w:gridCol w:w="2024"/>
      </w:tblGrid>
      <w:tr w14:paraId="08931A87" w14:textId="77777777">
        <w:tblPrEx>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2214" w:type="dxa"/>
          </w:tcPr>
          <w:p w:rsidR="004F256E" w:rsidRPr="00894474" w14:paraId="08931A83" w14:textId="77777777">
            <w:pPr>
              <w:pStyle w:val="TableParagraph"/>
              <w:spacing w:line="240" w:lineRule="auto"/>
              <w:ind w:left="0"/>
            </w:pPr>
          </w:p>
        </w:tc>
        <w:tc>
          <w:tcPr>
            <w:tcW w:w="2070" w:type="dxa"/>
          </w:tcPr>
          <w:p w:rsidR="004F256E" w:rsidRPr="00894474" w14:paraId="08931A84" w14:textId="21E0F5F2">
            <w:pPr>
              <w:pStyle w:val="TableParagraph"/>
            </w:pPr>
            <w:r w:rsidRPr="00894474">
              <w:t>2021</w:t>
            </w:r>
            <w:r w:rsidRPr="00894474">
              <w:rPr>
                <w:spacing w:val="-5"/>
              </w:rPr>
              <w:t xml:space="preserve"> </w:t>
            </w:r>
            <w:r w:rsidRPr="00894474">
              <w:rPr>
                <w:spacing w:val="-2"/>
              </w:rPr>
              <w:t>estimates</w:t>
            </w:r>
          </w:p>
        </w:tc>
        <w:tc>
          <w:tcPr>
            <w:tcW w:w="2112" w:type="dxa"/>
          </w:tcPr>
          <w:p w:rsidR="004F256E" w:rsidRPr="00894474" w14:paraId="08931A85" w14:textId="77777777">
            <w:pPr>
              <w:pStyle w:val="TableParagraph"/>
            </w:pPr>
            <w:r w:rsidRPr="00894474">
              <w:t>Current</w:t>
            </w:r>
            <w:r w:rsidRPr="00894474">
              <w:rPr>
                <w:spacing w:val="-8"/>
              </w:rPr>
              <w:t xml:space="preserve"> </w:t>
            </w:r>
            <w:r w:rsidRPr="00894474">
              <w:rPr>
                <w:spacing w:val="-2"/>
              </w:rPr>
              <w:t>submission</w:t>
            </w:r>
          </w:p>
        </w:tc>
        <w:tc>
          <w:tcPr>
            <w:tcW w:w="2024" w:type="dxa"/>
          </w:tcPr>
          <w:p w:rsidR="004F256E" w:rsidRPr="00894474" w14:paraId="08931A86" w14:textId="77777777">
            <w:pPr>
              <w:pStyle w:val="TableParagraph"/>
              <w:ind w:left="108"/>
            </w:pPr>
            <w:r w:rsidRPr="00894474">
              <w:rPr>
                <w:spacing w:val="-2"/>
              </w:rPr>
              <w:t>Change</w:t>
            </w:r>
          </w:p>
        </w:tc>
      </w:tr>
      <w:tr w14:paraId="08931A8C" w14:textId="77777777">
        <w:tblPrEx>
          <w:tblW w:w="0" w:type="auto"/>
          <w:tblInd w:w="1330" w:type="dxa"/>
          <w:tblLayout w:type="fixed"/>
          <w:tblCellMar>
            <w:left w:w="0" w:type="dxa"/>
            <w:right w:w="0" w:type="dxa"/>
          </w:tblCellMar>
          <w:tblLook w:val="01E0"/>
        </w:tblPrEx>
        <w:trPr>
          <w:trHeight w:val="252"/>
        </w:trPr>
        <w:tc>
          <w:tcPr>
            <w:tcW w:w="2214" w:type="dxa"/>
          </w:tcPr>
          <w:p w:rsidR="004F256E" w:rsidRPr="00894474" w14:paraId="08931A88" w14:textId="77777777">
            <w:pPr>
              <w:pStyle w:val="TableParagraph"/>
            </w:pPr>
            <w:r w:rsidRPr="00894474">
              <w:rPr>
                <w:spacing w:val="-2"/>
              </w:rPr>
              <w:t>Reporting</w:t>
            </w:r>
          </w:p>
        </w:tc>
        <w:tc>
          <w:tcPr>
            <w:tcW w:w="2070" w:type="dxa"/>
          </w:tcPr>
          <w:p w:rsidR="004F256E" w:rsidRPr="00894474" w14:paraId="08931A89" w14:textId="0187DB46">
            <w:pPr>
              <w:pStyle w:val="TableParagraph"/>
              <w:ind w:left="0" w:right="96"/>
              <w:jc w:val="right"/>
            </w:pPr>
            <w:r w:rsidRPr="00894474">
              <w:rPr>
                <w:spacing w:val="-2"/>
              </w:rPr>
              <w:t>9</w:t>
            </w:r>
            <w:r w:rsidRPr="00894474" w:rsidR="000267E9">
              <w:rPr>
                <w:spacing w:val="-2"/>
              </w:rPr>
              <w:t>,</w:t>
            </w:r>
            <w:r w:rsidRPr="00894474">
              <w:rPr>
                <w:spacing w:val="-2"/>
              </w:rPr>
              <w:t>720</w:t>
            </w:r>
          </w:p>
        </w:tc>
        <w:tc>
          <w:tcPr>
            <w:tcW w:w="2112" w:type="dxa"/>
          </w:tcPr>
          <w:p w:rsidR="004F256E" w:rsidRPr="00894474" w:rsidP="007005F5" w14:paraId="08931A8A" w14:textId="750769E1">
            <w:pPr>
              <w:pStyle w:val="TableParagraph"/>
              <w:jc w:val="right"/>
            </w:pPr>
            <w:r w:rsidRPr="00894474">
              <w:rPr>
                <w:spacing w:val="-2"/>
              </w:rPr>
              <w:t>9,7</w:t>
            </w:r>
            <w:r w:rsidRPr="00894474" w:rsidR="00E061DD">
              <w:rPr>
                <w:spacing w:val="-2"/>
              </w:rPr>
              <w:t>20</w:t>
            </w:r>
          </w:p>
        </w:tc>
        <w:tc>
          <w:tcPr>
            <w:tcW w:w="2024" w:type="dxa"/>
          </w:tcPr>
          <w:p w:rsidR="004F256E" w:rsidRPr="00894474" w:rsidP="007005F5" w14:paraId="08931A8B" w14:textId="77777777">
            <w:pPr>
              <w:pStyle w:val="TableParagraph"/>
              <w:jc w:val="right"/>
            </w:pPr>
            <w:r w:rsidRPr="00894474">
              <w:rPr>
                <w:w w:val="99"/>
              </w:rPr>
              <w:t>0</w:t>
            </w:r>
          </w:p>
        </w:tc>
      </w:tr>
      <w:tr w14:paraId="08931A91" w14:textId="77777777">
        <w:tblPrEx>
          <w:tblW w:w="0" w:type="auto"/>
          <w:tblInd w:w="1330" w:type="dxa"/>
          <w:tblLayout w:type="fixed"/>
          <w:tblCellMar>
            <w:left w:w="0" w:type="dxa"/>
            <w:right w:w="0" w:type="dxa"/>
          </w:tblCellMar>
          <w:tblLook w:val="01E0"/>
        </w:tblPrEx>
        <w:trPr>
          <w:trHeight w:val="252"/>
        </w:trPr>
        <w:tc>
          <w:tcPr>
            <w:tcW w:w="2214" w:type="dxa"/>
          </w:tcPr>
          <w:p w:rsidR="004F256E" w:rsidRPr="00894474" w14:paraId="08931A8D" w14:textId="77777777">
            <w:pPr>
              <w:pStyle w:val="TableParagraph"/>
            </w:pPr>
            <w:r w:rsidRPr="00894474">
              <w:rPr>
                <w:spacing w:val="-2"/>
              </w:rPr>
              <w:t>Recordkeeping</w:t>
            </w:r>
          </w:p>
        </w:tc>
        <w:tc>
          <w:tcPr>
            <w:tcW w:w="2070" w:type="dxa"/>
          </w:tcPr>
          <w:p w:rsidR="004F256E" w:rsidRPr="00894474" w14:paraId="08931A8E" w14:textId="7D21ED4F">
            <w:pPr>
              <w:pStyle w:val="TableParagraph"/>
              <w:ind w:left="0" w:right="96"/>
              <w:jc w:val="right"/>
            </w:pPr>
            <w:r w:rsidRPr="00894474">
              <w:rPr>
                <w:spacing w:val="-2"/>
              </w:rPr>
              <w:t>1,080</w:t>
            </w:r>
          </w:p>
        </w:tc>
        <w:tc>
          <w:tcPr>
            <w:tcW w:w="2112" w:type="dxa"/>
          </w:tcPr>
          <w:p w:rsidR="004F256E" w:rsidRPr="00894474" w:rsidP="007005F5" w14:paraId="08931A8F" w14:textId="129C9E62">
            <w:pPr>
              <w:pStyle w:val="TableParagraph"/>
              <w:jc w:val="right"/>
            </w:pPr>
            <w:r w:rsidRPr="00894474">
              <w:rPr>
                <w:spacing w:val="-2"/>
              </w:rPr>
              <w:t>1,08</w:t>
            </w:r>
            <w:r w:rsidRPr="00894474" w:rsidR="00964C15">
              <w:rPr>
                <w:spacing w:val="-2"/>
              </w:rPr>
              <w:t>5</w:t>
            </w:r>
          </w:p>
        </w:tc>
        <w:tc>
          <w:tcPr>
            <w:tcW w:w="2024" w:type="dxa"/>
          </w:tcPr>
          <w:p w:rsidR="004F256E" w:rsidRPr="00894474" w:rsidP="007005F5" w14:paraId="08931A90" w14:textId="26949BF2">
            <w:pPr>
              <w:pStyle w:val="TableParagraph"/>
              <w:jc w:val="right"/>
            </w:pPr>
            <w:r w:rsidRPr="00894474">
              <w:t>+</w:t>
            </w:r>
            <w:r w:rsidRPr="00894474" w:rsidR="00964C15">
              <w:t>5</w:t>
            </w:r>
          </w:p>
        </w:tc>
      </w:tr>
      <w:tr w14:paraId="08931A9B" w14:textId="77777777">
        <w:tblPrEx>
          <w:tblW w:w="0" w:type="auto"/>
          <w:tblInd w:w="1330" w:type="dxa"/>
          <w:tblLayout w:type="fixed"/>
          <w:tblCellMar>
            <w:left w:w="0" w:type="dxa"/>
            <w:right w:w="0" w:type="dxa"/>
          </w:tblCellMar>
          <w:tblLook w:val="01E0"/>
        </w:tblPrEx>
        <w:trPr>
          <w:trHeight w:val="252"/>
        </w:trPr>
        <w:tc>
          <w:tcPr>
            <w:tcW w:w="2214" w:type="dxa"/>
          </w:tcPr>
          <w:p w:rsidR="004F256E" w:rsidRPr="00894474" w14:paraId="08931A97" w14:textId="77777777">
            <w:pPr>
              <w:pStyle w:val="TableParagraph"/>
              <w:spacing w:line="232" w:lineRule="exact"/>
            </w:pPr>
            <w:r w:rsidRPr="00894474">
              <w:rPr>
                <w:spacing w:val="-2"/>
              </w:rPr>
              <w:t>Total</w:t>
            </w:r>
          </w:p>
        </w:tc>
        <w:tc>
          <w:tcPr>
            <w:tcW w:w="2070" w:type="dxa"/>
          </w:tcPr>
          <w:p w:rsidR="004F256E" w:rsidRPr="00894474" w14:paraId="08931A98" w14:textId="18432603">
            <w:pPr>
              <w:pStyle w:val="TableParagraph"/>
              <w:spacing w:line="232" w:lineRule="exact"/>
              <w:ind w:left="0" w:right="96"/>
              <w:jc w:val="right"/>
            </w:pPr>
            <w:r w:rsidRPr="00894474">
              <w:rPr>
                <w:spacing w:val="-2"/>
              </w:rPr>
              <w:t>10,800</w:t>
            </w:r>
          </w:p>
        </w:tc>
        <w:tc>
          <w:tcPr>
            <w:tcW w:w="2112" w:type="dxa"/>
          </w:tcPr>
          <w:p w:rsidR="004F256E" w:rsidRPr="00894474" w:rsidP="007005F5" w14:paraId="08931A99" w14:textId="68F3C1BF">
            <w:pPr>
              <w:pStyle w:val="TableParagraph"/>
              <w:spacing w:line="232" w:lineRule="exact"/>
              <w:jc w:val="right"/>
            </w:pPr>
            <w:r w:rsidRPr="00894474">
              <w:rPr>
                <w:spacing w:val="-2"/>
              </w:rPr>
              <w:t>10,80</w:t>
            </w:r>
            <w:r w:rsidRPr="00894474" w:rsidR="00964C15">
              <w:rPr>
                <w:spacing w:val="-2"/>
              </w:rPr>
              <w:t>5</w:t>
            </w:r>
          </w:p>
        </w:tc>
        <w:tc>
          <w:tcPr>
            <w:tcW w:w="2024" w:type="dxa"/>
          </w:tcPr>
          <w:p w:rsidR="004F256E" w:rsidRPr="00894474" w:rsidP="007005F5" w14:paraId="08931A9A" w14:textId="7E0754B6">
            <w:pPr>
              <w:pStyle w:val="TableParagraph"/>
              <w:spacing w:line="232" w:lineRule="exact"/>
              <w:jc w:val="right"/>
            </w:pPr>
            <w:r w:rsidRPr="00894474">
              <w:t>+</w:t>
            </w:r>
            <w:r w:rsidRPr="00894474" w:rsidR="00964C15">
              <w:t>5</w:t>
            </w:r>
          </w:p>
        </w:tc>
      </w:tr>
    </w:tbl>
    <w:p w:rsidR="004F256E" w:rsidRPr="00894474" w14:paraId="08931A9C" w14:textId="77777777">
      <w:pPr>
        <w:pStyle w:val="BodyText"/>
        <w:rPr>
          <w:b/>
        </w:rPr>
      </w:pPr>
    </w:p>
    <w:p w:rsidR="004F256E" w:rsidRPr="00894474" w14:paraId="08931A9D" w14:textId="77777777">
      <w:pPr>
        <w:pStyle w:val="BodyText"/>
        <w:spacing w:before="1"/>
        <w:rPr>
          <w:b/>
        </w:rPr>
      </w:pPr>
    </w:p>
    <w:p w:rsidR="004F256E" w:rsidRPr="00894474" w14:paraId="08931A9E" w14:textId="77777777">
      <w:pPr>
        <w:ind w:left="1320"/>
        <w:rPr>
          <w:b/>
        </w:rPr>
      </w:pPr>
      <w:r w:rsidRPr="00894474">
        <w:rPr>
          <w:b/>
        </w:rPr>
        <w:t>Change</w:t>
      </w:r>
      <w:r w:rsidRPr="00894474">
        <w:rPr>
          <w:b/>
          <w:spacing w:val="-6"/>
        </w:rPr>
        <w:t xml:space="preserve"> </w:t>
      </w:r>
      <w:r w:rsidRPr="00894474">
        <w:rPr>
          <w:b/>
        </w:rPr>
        <w:t>in</w:t>
      </w:r>
      <w:r w:rsidRPr="00894474">
        <w:rPr>
          <w:b/>
          <w:spacing w:val="-5"/>
        </w:rPr>
        <w:t xml:space="preserve"> </w:t>
      </w:r>
      <w:r w:rsidRPr="00894474">
        <w:rPr>
          <w:b/>
          <w:spacing w:val="-2"/>
        </w:rPr>
        <w:t>Responses</w:t>
      </w:r>
    </w:p>
    <w:tbl>
      <w:tblPr>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4"/>
        <w:gridCol w:w="2070"/>
        <w:gridCol w:w="2112"/>
        <w:gridCol w:w="2024"/>
      </w:tblGrid>
      <w:tr w14:paraId="08931AA3" w14:textId="77777777">
        <w:tblPrEx>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5"/>
        </w:trPr>
        <w:tc>
          <w:tcPr>
            <w:tcW w:w="2214" w:type="dxa"/>
          </w:tcPr>
          <w:p w:rsidR="004F256E" w:rsidRPr="00894474" w14:paraId="08931A9F" w14:textId="77777777">
            <w:pPr>
              <w:pStyle w:val="TableParagraph"/>
              <w:spacing w:line="240" w:lineRule="auto"/>
              <w:ind w:left="0"/>
            </w:pPr>
          </w:p>
        </w:tc>
        <w:tc>
          <w:tcPr>
            <w:tcW w:w="2070" w:type="dxa"/>
          </w:tcPr>
          <w:p w:rsidR="004F256E" w:rsidRPr="00894474" w14:paraId="08931AA0" w14:textId="4C9B29D1">
            <w:pPr>
              <w:pStyle w:val="TableParagraph"/>
              <w:spacing w:line="250" w:lineRule="exact"/>
            </w:pPr>
            <w:r w:rsidRPr="00894474">
              <w:t>2021</w:t>
            </w:r>
            <w:r w:rsidRPr="00894474">
              <w:rPr>
                <w:spacing w:val="-5"/>
              </w:rPr>
              <w:t xml:space="preserve"> </w:t>
            </w:r>
            <w:r w:rsidRPr="00894474">
              <w:rPr>
                <w:spacing w:val="-2"/>
              </w:rPr>
              <w:t>estimates</w:t>
            </w:r>
          </w:p>
        </w:tc>
        <w:tc>
          <w:tcPr>
            <w:tcW w:w="2112" w:type="dxa"/>
          </w:tcPr>
          <w:p w:rsidR="004F256E" w:rsidRPr="00894474" w14:paraId="08931AA1" w14:textId="77777777">
            <w:pPr>
              <w:pStyle w:val="TableParagraph"/>
              <w:spacing w:line="250" w:lineRule="exact"/>
            </w:pPr>
            <w:r w:rsidRPr="00894474">
              <w:t>Current</w:t>
            </w:r>
            <w:r w:rsidRPr="00894474">
              <w:rPr>
                <w:spacing w:val="-8"/>
              </w:rPr>
              <w:t xml:space="preserve"> </w:t>
            </w:r>
            <w:r w:rsidRPr="00894474">
              <w:rPr>
                <w:spacing w:val="-2"/>
              </w:rPr>
              <w:t>submission</w:t>
            </w:r>
          </w:p>
        </w:tc>
        <w:tc>
          <w:tcPr>
            <w:tcW w:w="2024" w:type="dxa"/>
          </w:tcPr>
          <w:p w:rsidR="004F256E" w:rsidRPr="00894474" w14:paraId="08931AA2" w14:textId="77777777">
            <w:pPr>
              <w:pStyle w:val="TableParagraph"/>
              <w:spacing w:line="250" w:lineRule="exact"/>
              <w:ind w:left="108"/>
            </w:pPr>
            <w:r w:rsidRPr="00894474">
              <w:rPr>
                <w:spacing w:val="-2"/>
              </w:rPr>
              <w:t>Change</w:t>
            </w:r>
          </w:p>
        </w:tc>
      </w:tr>
      <w:tr w14:paraId="08931AA8" w14:textId="77777777">
        <w:tblPrEx>
          <w:tblW w:w="0" w:type="auto"/>
          <w:tblInd w:w="1330" w:type="dxa"/>
          <w:tblLayout w:type="fixed"/>
          <w:tblCellMar>
            <w:left w:w="0" w:type="dxa"/>
            <w:right w:w="0" w:type="dxa"/>
          </w:tblCellMar>
          <w:tblLook w:val="01E0"/>
        </w:tblPrEx>
        <w:trPr>
          <w:trHeight w:val="252"/>
        </w:trPr>
        <w:tc>
          <w:tcPr>
            <w:tcW w:w="2214" w:type="dxa"/>
          </w:tcPr>
          <w:p w:rsidR="004F256E" w:rsidRPr="00894474" w14:paraId="08931AA4" w14:textId="77777777">
            <w:pPr>
              <w:pStyle w:val="TableParagraph"/>
            </w:pPr>
            <w:r w:rsidRPr="00894474">
              <w:rPr>
                <w:spacing w:val="-2"/>
              </w:rPr>
              <w:t>Reporting</w:t>
            </w:r>
          </w:p>
        </w:tc>
        <w:tc>
          <w:tcPr>
            <w:tcW w:w="2070" w:type="dxa"/>
          </w:tcPr>
          <w:p w:rsidR="004F256E" w:rsidRPr="00894474" w14:paraId="08931AA5" w14:textId="1877E8C4">
            <w:pPr>
              <w:pStyle w:val="TableParagraph"/>
              <w:ind w:left="0" w:right="96"/>
              <w:jc w:val="right"/>
            </w:pPr>
            <w:r w:rsidRPr="00894474">
              <w:rPr>
                <w:spacing w:val="-5"/>
              </w:rPr>
              <w:t>27</w:t>
            </w:r>
          </w:p>
        </w:tc>
        <w:tc>
          <w:tcPr>
            <w:tcW w:w="2112" w:type="dxa"/>
          </w:tcPr>
          <w:p w:rsidR="004F256E" w:rsidRPr="00894474" w:rsidP="007005F5" w14:paraId="08931AA6" w14:textId="4639989C">
            <w:pPr>
              <w:pStyle w:val="TableParagraph"/>
              <w:jc w:val="right"/>
            </w:pPr>
            <w:r w:rsidRPr="00894474">
              <w:rPr>
                <w:spacing w:val="-5"/>
              </w:rPr>
              <w:t>27</w:t>
            </w:r>
          </w:p>
        </w:tc>
        <w:tc>
          <w:tcPr>
            <w:tcW w:w="2024" w:type="dxa"/>
          </w:tcPr>
          <w:p w:rsidR="004F256E" w:rsidRPr="00894474" w:rsidP="007005F5" w14:paraId="08931AA7" w14:textId="77777777">
            <w:pPr>
              <w:pStyle w:val="TableParagraph"/>
              <w:jc w:val="right"/>
            </w:pPr>
            <w:r w:rsidRPr="00894474">
              <w:rPr>
                <w:w w:val="99"/>
              </w:rPr>
              <w:t>0</w:t>
            </w:r>
          </w:p>
        </w:tc>
      </w:tr>
      <w:tr w14:paraId="08931AAD" w14:textId="77777777">
        <w:tblPrEx>
          <w:tblW w:w="0" w:type="auto"/>
          <w:tblInd w:w="1330" w:type="dxa"/>
          <w:tblLayout w:type="fixed"/>
          <w:tblCellMar>
            <w:left w:w="0" w:type="dxa"/>
            <w:right w:w="0" w:type="dxa"/>
          </w:tblCellMar>
          <w:tblLook w:val="01E0"/>
        </w:tblPrEx>
        <w:trPr>
          <w:trHeight w:val="252"/>
        </w:trPr>
        <w:tc>
          <w:tcPr>
            <w:tcW w:w="2214" w:type="dxa"/>
          </w:tcPr>
          <w:p w:rsidR="004F256E" w:rsidRPr="00894474" w14:paraId="08931AA9" w14:textId="77777777">
            <w:pPr>
              <w:pStyle w:val="TableParagraph"/>
            </w:pPr>
            <w:r w:rsidRPr="00894474">
              <w:rPr>
                <w:spacing w:val="-2"/>
              </w:rPr>
              <w:t>Recordkeeping</w:t>
            </w:r>
          </w:p>
        </w:tc>
        <w:tc>
          <w:tcPr>
            <w:tcW w:w="2070" w:type="dxa"/>
          </w:tcPr>
          <w:p w:rsidR="004F256E" w:rsidRPr="00894474" w14:paraId="08931AAA" w14:textId="00B35A52">
            <w:pPr>
              <w:pStyle w:val="TableParagraph"/>
              <w:ind w:left="0" w:right="96"/>
              <w:jc w:val="right"/>
            </w:pPr>
            <w:r w:rsidRPr="00894474">
              <w:rPr>
                <w:spacing w:val="-5"/>
              </w:rPr>
              <w:t>27</w:t>
            </w:r>
          </w:p>
        </w:tc>
        <w:tc>
          <w:tcPr>
            <w:tcW w:w="2112" w:type="dxa"/>
          </w:tcPr>
          <w:p w:rsidR="004F256E" w:rsidRPr="00894474" w:rsidP="007005F5" w14:paraId="08931AAB" w14:textId="7BE09DBD">
            <w:pPr>
              <w:pStyle w:val="TableParagraph"/>
              <w:jc w:val="right"/>
            </w:pPr>
            <w:r w:rsidRPr="00894474">
              <w:t>3</w:t>
            </w:r>
            <w:r w:rsidRPr="00894474" w:rsidR="00964C15">
              <w:t>2</w:t>
            </w:r>
          </w:p>
        </w:tc>
        <w:tc>
          <w:tcPr>
            <w:tcW w:w="2024" w:type="dxa"/>
          </w:tcPr>
          <w:p w:rsidR="004F256E" w:rsidRPr="00894474" w:rsidP="007005F5" w14:paraId="08931AAC" w14:textId="5287A2BA">
            <w:pPr>
              <w:pStyle w:val="TableParagraph"/>
              <w:jc w:val="right"/>
            </w:pPr>
            <w:r w:rsidRPr="00894474">
              <w:t>+</w:t>
            </w:r>
            <w:r w:rsidRPr="00894474" w:rsidR="00964C15">
              <w:t>5</w:t>
            </w:r>
          </w:p>
        </w:tc>
      </w:tr>
      <w:tr w14:paraId="08931AB7" w14:textId="77777777">
        <w:tblPrEx>
          <w:tblW w:w="0" w:type="auto"/>
          <w:tblInd w:w="1330" w:type="dxa"/>
          <w:tblLayout w:type="fixed"/>
          <w:tblCellMar>
            <w:left w:w="0" w:type="dxa"/>
            <w:right w:w="0" w:type="dxa"/>
          </w:tblCellMar>
          <w:tblLook w:val="01E0"/>
        </w:tblPrEx>
        <w:trPr>
          <w:trHeight w:val="250"/>
        </w:trPr>
        <w:tc>
          <w:tcPr>
            <w:tcW w:w="2214" w:type="dxa"/>
          </w:tcPr>
          <w:p w:rsidR="004F256E" w:rsidRPr="00894474" w14:paraId="08931AB3" w14:textId="77777777">
            <w:pPr>
              <w:pStyle w:val="TableParagraph"/>
              <w:spacing w:line="231" w:lineRule="exact"/>
            </w:pPr>
            <w:r w:rsidRPr="00894474">
              <w:rPr>
                <w:spacing w:val="-2"/>
              </w:rPr>
              <w:t>Total</w:t>
            </w:r>
          </w:p>
        </w:tc>
        <w:tc>
          <w:tcPr>
            <w:tcW w:w="2070" w:type="dxa"/>
          </w:tcPr>
          <w:p w:rsidR="004F256E" w:rsidRPr="00894474" w14:paraId="08931AB4" w14:textId="4814A9EB">
            <w:pPr>
              <w:pStyle w:val="TableParagraph"/>
              <w:spacing w:line="231" w:lineRule="exact"/>
              <w:ind w:left="0" w:right="96"/>
              <w:jc w:val="right"/>
            </w:pPr>
            <w:r w:rsidRPr="00894474">
              <w:rPr>
                <w:spacing w:val="-5"/>
              </w:rPr>
              <w:t>54</w:t>
            </w:r>
          </w:p>
        </w:tc>
        <w:tc>
          <w:tcPr>
            <w:tcW w:w="2112" w:type="dxa"/>
          </w:tcPr>
          <w:p w:rsidR="004F256E" w:rsidRPr="00894474" w:rsidP="007005F5" w14:paraId="08931AB5" w14:textId="506D80B7">
            <w:pPr>
              <w:pStyle w:val="TableParagraph"/>
              <w:spacing w:line="231" w:lineRule="exact"/>
              <w:jc w:val="right"/>
            </w:pPr>
            <w:r w:rsidRPr="00894474">
              <w:rPr>
                <w:spacing w:val="-5"/>
              </w:rPr>
              <w:t>5</w:t>
            </w:r>
            <w:r w:rsidRPr="00894474" w:rsidR="00964C15">
              <w:rPr>
                <w:spacing w:val="-5"/>
              </w:rPr>
              <w:t>9</w:t>
            </w:r>
          </w:p>
        </w:tc>
        <w:tc>
          <w:tcPr>
            <w:tcW w:w="2024" w:type="dxa"/>
          </w:tcPr>
          <w:p w:rsidR="004F256E" w:rsidRPr="00894474" w:rsidP="007005F5" w14:paraId="08931AB6" w14:textId="6FDA51FE">
            <w:pPr>
              <w:pStyle w:val="TableParagraph"/>
              <w:spacing w:line="231" w:lineRule="exact"/>
              <w:jc w:val="right"/>
            </w:pPr>
            <w:r w:rsidRPr="00894474">
              <w:t>+</w:t>
            </w:r>
            <w:r w:rsidRPr="00894474" w:rsidR="00964C15">
              <w:t>5</w:t>
            </w:r>
          </w:p>
        </w:tc>
      </w:tr>
    </w:tbl>
    <w:p w:rsidR="004F256E" w:rsidRPr="00894474" w14:paraId="08931AB8" w14:textId="77777777">
      <w:pPr>
        <w:pStyle w:val="BodyText"/>
        <w:rPr>
          <w:b/>
        </w:rPr>
      </w:pPr>
    </w:p>
    <w:p w:rsidR="0034103A" w:rsidP="00366E8E" w14:paraId="08931ABA" w14:textId="492D7DED">
      <w:pPr>
        <w:pStyle w:val="BodyText"/>
        <w:ind w:left="1320"/>
      </w:pPr>
      <w:r w:rsidRPr="00894474">
        <w:t xml:space="preserve">Although the number of operating reactor licensees required to report and maintain records during this clearance period has been </w:t>
      </w:r>
      <w:r w:rsidRPr="00894474" w:rsidR="005768CD">
        <w:t>increased</w:t>
      </w:r>
      <w:r w:rsidRPr="00894474">
        <w:t>; staff does not anticipate a change</w:t>
      </w:r>
      <w:r w:rsidRPr="00894474">
        <w:rPr>
          <w:spacing w:val="-3"/>
        </w:rPr>
        <w:t xml:space="preserve"> </w:t>
      </w:r>
      <w:r w:rsidRPr="00894474">
        <w:t>in</w:t>
      </w:r>
      <w:r w:rsidRPr="00894474">
        <w:rPr>
          <w:spacing w:val="-3"/>
        </w:rPr>
        <w:t xml:space="preserve"> </w:t>
      </w:r>
      <w:r w:rsidRPr="00894474">
        <w:t>the</w:t>
      </w:r>
      <w:r w:rsidRPr="00894474">
        <w:rPr>
          <w:spacing w:val="-3"/>
        </w:rPr>
        <w:t xml:space="preserve"> </w:t>
      </w:r>
      <w:r w:rsidRPr="00894474">
        <w:t>number</w:t>
      </w:r>
      <w:r w:rsidRPr="00894474">
        <w:rPr>
          <w:spacing w:val="-3"/>
        </w:rPr>
        <w:t xml:space="preserve"> </w:t>
      </w:r>
      <w:r w:rsidRPr="00894474">
        <w:t>of</w:t>
      </w:r>
      <w:r w:rsidRPr="00894474">
        <w:rPr>
          <w:spacing w:val="-3"/>
        </w:rPr>
        <w:t xml:space="preserve"> </w:t>
      </w:r>
      <w:r w:rsidRPr="00894474" w:rsidR="00313F1E">
        <w:t>submissions</w:t>
      </w:r>
      <w:r w:rsidRPr="00894474">
        <w:rPr>
          <w:spacing w:val="-4"/>
        </w:rPr>
        <w:t xml:space="preserve"> </w:t>
      </w:r>
      <w:r w:rsidRPr="00894474">
        <w:t>under</w:t>
      </w:r>
      <w:r w:rsidRPr="00894474">
        <w:rPr>
          <w:spacing w:val="-3"/>
        </w:rPr>
        <w:t xml:space="preserve"> </w:t>
      </w:r>
      <w:r w:rsidRPr="00894474">
        <w:t>10</w:t>
      </w:r>
      <w:r w:rsidRPr="00894474">
        <w:rPr>
          <w:spacing w:val="-3"/>
        </w:rPr>
        <w:t xml:space="preserve"> </w:t>
      </w:r>
      <w:r w:rsidRPr="00894474">
        <w:t>CFR</w:t>
      </w:r>
      <w:r w:rsidRPr="00894474">
        <w:rPr>
          <w:spacing w:val="-3"/>
        </w:rPr>
        <w:t xml:space="preserve"> </w:t>
      </w:r>
      <w:r w:rsidRPr="00894474">
        <w:t>50.12;</w:t>
      </w:r>
      <w:r w:rsidRPr="00894474">
        <w:rPr>
          <w:spacing w:val="-3"/>
        </w:rPr>
        <w:t xml:space="preserve"> </w:t>
      </w:r>
      <w:r w:rsidRPr="00894474" w:rsidR="004D4776">
        <w:rPr>
          <w:spacing w:val="-3"/>
        </w:rPr>
        <w:t xml:space="preserve">nor are any submission expected under section 50.9(b), </w:t>
      </w:r>
      <w:r w:rsidRPr="00894474">
        <w:t>trends</w:t>
      </w:r>
      <w:r w:rsidRPr="00894474">
        <w:rPr>
          <w:spacing w:val="-3"/>
        </w:rPr>
        <w:t xml:space="preserve"> </w:t>
      </w:r>
      <w:r w:rsidRPr="00894474">
        <w:t>have</w:t>
      </w:r>
      <w:r w:rsidRPr="00894474">
        <w:rPr>
          <w:spacing w:val="-3"/>
        </w:rPr>
        <w:t xml:space="preserve"> </w:t>
      </w:r>
      <w:r w:rsidRPr="00894474">
        <w:t>been</w:t>
      </w:r>
      <w:r w:rsidRPr="00894474">
        <w:rPr>
          <w:spacing w:val="-3"/>
        </w:rPr>
        <w:t xml:space="preserve"> </w:t>
      </w:r>
      <w:r w:rsidRPr="00894474">
        <w:t>constant over the prior cycles and there is no anticipation of increase or decrease in this area.</w:t>
      </w:r>
      <w:r w:rsidRPr="00894474" w:rsidR="003D1FF5">
        <w:t xml:space="preserve"> </w:t>
      </w:r>
      <w:r w:rsidRPr="00894474" w:rsidR="004D4776">
        <w:t xml:space="preserve">However, staff has added Section 50.9(b) recordkeeping, that was previously inadvertently omitted, increasing the recordkeepers by </w:t>
      </w:r>
      <w:r w:rsidRPr="00894474" w:rsidR="00964C15">
        <w:t>5</w:t>
      </w:r>
      <w:r w:rsidRPr="00894474" w:rsidR="004D4776">
        <w:t xml:space="preserve">, the burden increased 1 hour for a total of </w:t>
      </w:r>
      <w:r w:rsidRPr="00894474" w:rsidR="00964C15">
        <w:t>5</w:t>
      </w:r>
      <w:r w:rsidRPr="00894474" w:rsidR="004D4776">
        <w:t xml:space="preserve"> hours overall. </w:t>
      </w:r>
      <w:r w:rsidRPr="00894474" w:rsidR="003D1FF5">
        <w:t>The fee rate increased from $279 to $300 in this clearance cycle.</w:t>
      </w:r>
    </w:p>
    <w:p w:rsidR="00370367" w:rsidP="00366E8E" w14:paraId="76CD1424" w14:textId="77777777">
      <w:pPr>
        <w:pStyle w:val="BodyText"/>
        <w:ind w:left="1320"/>
      </w:pPr>
    </w:p>
    <w:p w:rsidR="004F256E" w:rsidRPr="00894474" w14:paraId="08931ABB" w14:textId="77777777">
      <w:pPr>
        <w:pStyle w:val="ListParagraph"/>
        <w:numPr>
          <w:ilvl w:val="1"/>
          <w:numId w:val="2"/>
        </w:numPr>
        <w:tabs>
          <w:tab w:val="left" w:pos="1320"/>
        </w:tabs>
        <w:ind w:hanging="600"/>
      </w:pPr>
      <w:r w:rsidRPr="00894474">
        <w:rPr>
          <w:u w:val="single"/>
        </w:rPr>
        <w:t>Publication</w:t>
      </w:r>
      <w:r w:rsidRPr="00894474">
        <w:rPr>
          <w:spacing w:val="-9"/>
          <w:u w:val="single"/>
        </w:rPr>
        <w:t xml:space="preserve"> </w:t>
      </w:r>
      <w:r w:rsidRPr="00894474">
        <w:rPr>
          <w:u w:val="single"/>
        </w:rPr>
        <w:t>for</w:t>
      </w:r>
      <w:r w:rsidRPr="00894474">
        <w:rPr>
          <w:spacing w:val="-9"/>
          <w:u w:val="single"/>
        </w:rPr>
        <w:t xml:space="preserve"> </w:t>
      </w:r>
      <w:r w:rsidRPr="00894474">
        <w:rPr>
          <w:u w:val="single"/>
        </w:rPr>
        <w:t>Statistical</w:t>
      </w:r>
      <w:r w:rsidRPr="00894474">
        <w:rPr>
          <w:spacing w:val="-8"/>
          <w:u w:val="single"/>
        </w:rPr>
        <w:t xml:space="preserve"> </w:t>
      </w:r>
      <w:r w:rsidRPr="00894474">
        <w:rPr>
          <w:spacing w:val="-5"/>
          <w:u w:val="single"/>
        </w:rPr>
        <w:t>Use</w:t>
      </w:r>
    </w:p>
    <w:p w:rsidR="004F256E" w:rsidRPr="00894474" w14:paraId="08931ABC" w14:textId="77777777">
      <w:pPr>
        <w:pStyle w:val="BodyText"/>
      </w:pPr>
    </w:p>
    <w:p w:rsidR="004F256E" w:rsidRPr="00894474" w14:paraId="08931ABD" w14:textId="77777777">
      <w:pPr>
        <w:pStyle w:val="BodyText"/>
        <w:spacing w:before="93"/>
        <w:ind w:left="1320"/>
      </w:pPr>
      <w:r w:rsidRPr="00894474">
        <w:t>The</w:t>
      </w:r>
      <w:r w:rsidRPr="00894474">
        <w:rPr>
          <w:spacing w:val="-6"/>
        </w:rPr>
        <w:t xml:space="preserve"> </w:t>
      </w:r>
      <w:r w:rsidRPr="00894474">
        <w:t>information</w:t>
      </w:r>
      <w:r w:rsidRPr="00894474">
        <w:rPr>
          <w:spacing w:val="-6"/>
        </w:rPr>
        <w:t xml:space="preserve"> </w:t>
      </w:r>
      <w:r w:rsidRPr="00894474">
        <w:t>being</w:t>
      </w:r>
      <w:r w:rsidRPr="00894474">
        <w:rPr>
          <w:spacing w:val="-6"/>
        </w:rPr>
        <w:t xml:space="preserve"> </w:t>
      </w:r>
      <w:r w:rsidRPr="00894474">
        <w:t>collected</w:t>
      </w:r>
      <w:r w:rsidRPr="00894474">
        <w:rPr>
          <w:spacing w:val="-5"/>
        </w:rPr>
        <w:t xml:space="preserve"> </w:t>
      </w:r>
      <w:r w:rsidRPr="00894474">
        <w:t>is</w:t>
      </w:r>
      <w:r w:rsidRPr="00894474">
        <w:rPr>
          <w:spacing w:val="-6"/>
        </w:rPr>
        <w:t xml:space="preserve"> </w:t>
      </w:r>
      <w:r w:rsidRPr="00894474">
        <w:t>not</w:t>
      </w:r>
      <w:r w:rsidRPr="00894474">
        <w:rPr>
          <w:spacing w:val="-6"/>
        </w:rPr>
        <w:t xml:space="preserve"> </w:t>
      </w:r>
      <w:r w:rsidRPr="00894474">
        <w:t>expected</w:t>
      </w:r>
      <w:r w:rsidRPr="00894474">
        <w:rPr>
          <w:spacing w:val="-5"/>
        </w:rPr>
        <w:t xml:space="preserve"> </w:t>
      </w:r>
      <w:r w:rsidRPr="00894474">
        <w:t>to</w:t>
      </w:r>
      <w:r w:rsidRPr="00894474">
        <w:rPr>
          <w:spacing w:val="-6"/>
        </w:rPr>
        <w:t xml:space="preserve"> </w:t>
      </w:r>
      <w:r w:rsidRPr="00894474">
        <w:t>be</w:t>
      </w:r>
      <w:r w:rsidRPr="00894474">
        <w:rPr>
          <w:spacing w:val="-6"/>
        </w:rPr>
        <w:t xml:space="preserve"> </w:t>
      </w:r>
      <w:r w:rsidRPr="00894474">
        <w:t>published</w:t>
      </w:r>
      <w:r w:rsidRPr="00894474">
        <w:rPr>
          <w:spacing w:val="-4"/>
        </w:rPr>
        <w:t xml:space="preserve"> </w:t>
      </w:r>
      <w:r w:rsidRPr="00894474">
        <w:t>for</w:t>
      </w:r>
      <w:r w:rsidRPr="00894474">
        <w:rPr>
          <w:spacing w:val="-5"/>
        </w:rPr>
        <w:t xml:space="preserve"> </w:t>
      </w:r>
      <w:r w:rsidRPr="00894474">
        <w:t>statistical</w:t>
      </w:r>
      <w:r w:rsidRPr="00894474">
        <w:rPr>
          <w:spacing w:val="-6"/>
        </w:rPr>
        <w:t xml:space="preserve"> </w:t>
      </w:r>
      <w:r w:rsidRPr="00894474">
        <w:rPr>
          <w:spacing w:val="-4"/>
        </w:rPr>
        <w:t>use.</w:t>
      </w:r>
    </w:p>
    <w:p w:rsidR="004F256E" w:rsidRPr="00894474" w14:paraId="08931ABE" w14:textId="77777777">
      <w:pPr>
        <w:pStyle w:val="BodyText"/>
        <w:spacing w:before="10"/>
      </w:pPr>
    </w:p>
    <w:p w:rsidR="004F256E" w:rsidRPr="00894474" w14:paraId="08931ABF" w14:textId="420B3AE5">
      <w:pPr>
        <w:pStyle w:val="ListParagraph"/>
        <w:numPr>
          <w:ilvl w:val="1"/>
          <w:numId w:val="2"/>
        </w:numPr>
        <w:tabs>
          <w:tab w:val="left" w:pos="1319"/>
        </w:tabs>
        <w:ind w:left="1319" w:hanging="600"/>
      </w:pPr>
      <w:r w:rsidRPr="00894474">
        <w:rPr>
          <w:u w:val="single"/>
        </w:rPr>
        <w:t>Reason</w:t>
      </w:r>
      <w:r w:rsidRPr="00894474">
        <w:rPr>
          <w:spacing w:val="-7"/>
          <w:u w:val="single"/>
        </w:rPr>
        <w:t xml:space="preserve"> </w:t>
      </w:r>
      <w:r w:rsidRPr="00894474">
        <w:rPr>
          <w:u w:val="single"/>
        </w:rPr>
        <w:t>for</w:t>
      </w:r>
      <w:r w:rsidRPr="00894474">
        <w:rPr>
          <w:spacing w:val="-6"/>
          <w:u w:val="single"/>
        </w:rPr>
        <w:t xml:space="preserve"> </w:t>
      </w:r>
      <w:r w:rsidRPr="00894474">
        <w:rPr>
          <w:u w:val="single"/>
        </w:rPr>
        <w:t>Not</w:t>
      </w:r>
      <w:r w:rsidRPr="00894474">
        <w:rPr>
          <w:spacing w:val="-6"/>
          <w:u w:val="single"/>
        </w:rPr>
        <w:t xml:space="preserve"> </w:t>
      </w:r>
      <w:r w:rsidRPr="00894474">
        <w:rPr>
          <w:u w:val="single"/>
        </w:rPr>
        <w:t>Displaying</w:t>
      </w:r>
      <w:r w:rsidRPr="00894474">
        <w:rPr>
          <w:spacing w:val="-7"/>
          <w:u w:val="single"/>
        </w:rPr>
        <w:t xml:space="preserve"> </w:t>
      </w:r>
      <w:r w:rsidRPr="00894474">
        <w:rPr>
          <w:u w:val="single"/>
        </w:rPr>
        <w:t>the</w:t>
      </w:r>
      <w:r w:rsidRPr="00894474">
        <w:rPr>
          <w:spacing w:val="-6"/>
          <w:u w:val="single"/>
        </w:rPr>
        <w:t xml:space="preserve"> </w:t>
      </w:r>
      <w:r w:rsidRPr="00894474">
        <w:rPr>
          <w:u w:val="single"/>
        </w:rPr>
        <w:t>Expiration</w:t>
      </w:r>
      <w:r w:rsidRPr="00894474">
        <w:rPr>
          <w:spacing w:val="-6"/>
          <w:u w:val="single"/>
        </w:rPr>
        <w:t xml:space="preserve"> </w:t>
      </w:r>
      <w:r w:rsidRPr="00894474">
        <w:rPr>
          <w:spacing w:val="-4"/>
          <w:u w:val="single"/>
        </w:rPr>
        <w:t>Date</w:t>
      </w:r>
    </w:p>
    <w:p w:rsidR="004F256E" w:rsidRPr="00894474" w14:paraId="08931AC0" w14:textId="77777777">
      <w:pPr>
        <w:pStyle w:val="BodyText"/>
      </w:pPr>
    </w:p>
    <w:p w:rsidR="004F256E" w:rsidRPr="00894474" w14:paraId="08931AC1" w14:textId="77777777">
      <w:pPr>
        <w:pStyle w:val="BodyText"/>
        <w:spacing w:before="93"/>
        <w:ind w:left="1320" w:right="192"/>
      </w:pPr>
      <w:r w:rsidRPr="00894474">
        <w:t>The recordkeeping and reporting requirements for this information collection are associated with regulations and are not submitted on instruments such as forms or surveys.</w:t>
      </w:r>
      <w:r w:rsidRPr="00894474">
        <w:rPr>
          <w:spacing w:val="-3"/>
        </w:rPr>
        <w:t xml:space="preserve"> </w:t>
      </w:r>
      <w:r w:rsidRPr="00894474">
        <w:t>For</w:t>
      </w:r>
      <w:r w:rsidRPr="00894474">
        <w:rPr>
          <w:spacing w:val="-3"/>
        </w:rPr>
        <w:t xml:space="preserve"> </w:t>
      </w:r>
      <w:r w:rsidRPr="00894474">
        <w:t>this</w:t>
      </w:r>
      <w:r w:rsidRPr="00894474">
        <w:rPr>
          <w:spacing w:val="-3"/>
        </w:rPr>
        <w:t xml:space="preserve"> </w:t>
      </w:r>
      <w:r w:rsidRPr="00894474">
        <w:t>reason,</w:t>
      </w:r>
      <w:r w:rsidRPr="00894474">
        <w:rPr>
          <w:spacing w:val="-4"/>
        </w:rPr>
        <w:t xml:space="preserve"> </w:t>
      </w:r>
      <w:r w:rsidRPr="00894474">
        <w:t>there</w:t>
      </w:r>
      <w:r w:rsidRPr="00894474">
        <w:rPr>
          <w:spacing w:val="-3"/>
        </w:rPr>
        <w:t xml:space="preserve"> </w:t>
      </w:r>
      <w:r w:rsidRPr="00894474">
        <w:t>are</w:t>
      </w:r>
      <w:r w:rsidRPr="00894474">
        <w:rPr>
          <w:spacing w:val="-3"/>
        </w:rPr>
        <w:t xml:space="preserve"> </w:t>
      </w:r>
      <w:r w:rsidRPr="00894474">
        <w:t>no</w:t>
      </w:r>
      <w:r w:rsidRPr="00894474">
        <w:rPr>
          <w:spacing w:val="-3"/>
        </w:rPr>
        <w:t xml:space="preserve"> </w:t>
      </w:r>
      <w:r w:rsidRPr="00894474">
        <w:t>data</w:t>
      </w:r>
      <w:r w:rsidRPr="00894474">
        <w:rPr>
          <w:spacing w:val="-3"/>
        </w:rPr>
        <w:t xml:space="preserve"> </w:t>
      </w:r>
      <w:r w:rsidRPr="00894474">
        <w:t>instruments</w:t>
      </w:r>
      <w:r w:rsidRPr="00894474">
        <w:rPr>
          <w:spacing w:val="-3"/>
        </w:rPr>
        <w:t xml:space="preserve"> </w:t>
      </w:r>
      <w:r w:rsidRPr="00894474">
        <w:t>on</w:t>
      </w:r>
      <w:r w:rsidRPr="00894474">
        <w:rPr>
          <w:spacing w:val="-3"/>
        </w:rPr>
        <w:t xml:space="preserve"> </w:t>
      </w:r>
      <w:r w:rsidRPr="00894474">
        <w:t>which</w:t>
      </w:r>
      <w:r w:rsidRPr="00894474">
        <w:rPr>
          <w:spacing w:val="-3"/>
        </w:rPr>
        <w:t xml:space="preserve"> </w:t>
      </w:r>
      <w:r w:rsidRPr="00894474">
        <w:t>to</w:t>
      </w:r>
      <w:r w:rsidRPr="00894474">
        <w:rPr>
          <w:spacing w:val="-3"/>
        </w:rPr>
        <w:t xml:space="preserve"> </w:t>
      </w:r>
      <w:r w:rsidRPr="00894474">
        <w:t>display</w:t>
      </w:r>
      <w:r w:rsidRPr="00894474">
        <w:rPr>
          <w:spacing w:val="-3"/>
        </w:rPr>
        <w:t xml:space="preserve"> </w:t>
      </w:r>
      <w:r w:rsidRPr="00894474">
        <w:t>an</w:t>
      </w:r>
      <w:r w:rsidRPr="00894474">
        <w:rPr>
          <w:spacing w:val="-3"/>
        </w:rPr>
        <w:t xml:space="preserve"> </w:t>
      </w:r>
      <w:r w:rsidRPr="00894474">
        <w:t>OMB expiration date. Further, amending the regulatory text of the CFR to display information that, in an annual publication, could become obsolete would be unduly burdensome and too difficult to keep current.</w:t>
      </w:r>
    </w:p>
    <w:p w:rsidR="004F256E" w:rsidRPr="00894474" w14:paraId="08931AC2" w14:textId="77777777">
      <w:pPr>
        <w:pStyle w:val="BodyText"/>
      </w:pPr>
    </w:p>
    <w:p w:rsidR="004F256E" w:rsidRPr="00894474" w14:paraId="08931AC3" w14:textId="77777777">
      <w:pPr>
        <w:pStyle w:val="ListParagraph"/>
        <w:numPr>
          <w:ilvl w:val="1"/>
          <w:numId w:val="2"/>
        </w:numPr>
        <w:tabs>
          <w:tab w:val="left" w:pos="1319"/>
        </w:tabs>
        <w:ind w:left="1319" w:hanging="599"/>
      </w:pPr>
      <w:r w:rsidRPr="00894474">
        <w:rPr>
          <w:u w:val="single"/>
        </w:rPr>
        <w:t>Exceptions</w:t>
      </w:r>
      <w:r w:rsidRPr="00894474">
        <w:rPr>
          <w:spacing w:val="-8"/>
          <w:u w:val="single"/>
        </w:rPr>
        <w:t xml:space="preserve"> </w:t>
      </w:r>
      <w:r w:rsidRPr="00894474">
        <w:rPr>
          <w:u w:val="single"/>
        </w:rPr>
        <w:t>to</w:t>
      </w:r>
      <w:r w:rsidRPr="00894474">
        <w:rPr>
          <w:spacing w:val="-7"/>
          <w:u w:val="single"/>
        </w:rPr>
        <w:t xml:space="preserve"> </w:t>
      </w:r>
      <w:r w:rsidRPr="00894474">
        <w:rPr>
          <w:u w:val="single"/>
        </w:rPr>
        <w:t>the</w:t>
      </w:r>
      <w:r w:rsidRPr="00894474">
        <w:rPr>
          <w:spacing w:val="-7"/>
          <w:u w:val="single"/>
        </w:rPr>
        <w:t xml:space="preserve"> </w:t>
      </w:r>
      <w:r w:rsidRPr="00894474">
        <w:rPr>
          <w:u w:val="single"/>
        </w:rPr>
        <w:t>Certification</w:t>
      </w:r>
      <w:r w:rsidRPr="00894474">
        <w:rPr>
          <w:spacing w:val="-7"/>
          <w:u w:val="single"/>
        </w:rPr>
        <w:t xml:space="preserve"> </w:t>
      </w:r>
      <w:r w:rsidRPr="00894474">
        <w:rPr>
          <w:spacing w:val="-2"/>
          <w:u w:val="single"/>
        </w:rPr>
        <w:t>Statement</w:t>
      </w:r>
    </w:p>
    <w:p w:rsidR="004F256E" w:rsidRPr="00894474" w14:paraId="08931AC4" w14:textId="77777777">
      <w:pPr>
        <w:pStyle w:val="BodyText"/>
        <w:spacing w:before="10"/>
      </w:pPr>
    </w:p>
    <w:p w:rsidR="004F256E" w:rsidRPr="00894474" w14:paraId="08931AC5" w14:textId="77777777">
      <w:pPr>
        <w:pStyle w:val="BodyText"/>
        <w:spacing w:before="93"/>
        <w:ind w:left="1320"/>
      </w:pPr>
      <w:r w:rsidRPr="00894474">
        <w:rPr>
          <w:spacing w:val="-2"/>
        </w:rPr>
        <w:t>None.</w:t>
      </w:r>
    </w:p>
    <w:p w:rsidR="004F256E" w:rsidRPr="00894474" w14:paraId="08931AC6" w14:textId="77777777">
      <w:pPr>
        <w:pStyle w:val="BodyText"/>
      </w:pPr>
    </w:p>
    <w:p w:rsidR="004F256E" w:rsidRPr="00894474" w14:paraId="08931AC7" w14:textId="77777777">
      <w:pPr>
        <w:pStyle w:val="ListParagraph"/>
        <w:numPr>
          <w:ilvl w:val="0"/>
          <w:numId w:val="2"/>
        </w:numPr>
        <w:tabs>
          <w:tab w:val="left" w:pos="720"/>
        </w:tabs>
        <w:ind w:left="720" w:hanging="600"/>
        <w:jc w:val="left"/>
      </w:pPr>
      <w:r w:rsidRPr="00894474">
        <w:rPr>
          <w:u w:val="single"/>
        </w:rPr>
        <w:t>COLLECTIONS</w:t>
      </w:r>
      <w:r w:rsidRPr="00894474">
        <w:rPr>
          <w:spacing w:val="-12"/>
          <w:u w:val="single"/>
        </w:rPr>
        <w:t xml:space="preserve"> </w:t>
      </w:r>
      <w:r w:rsidRPr="00894474">
        <w:rPr>
          <w:u w:val="single"/>
        </w:rPr>
        <w:t>OF</w:t>
      </w:r>
      <w:r w:rsidRPr="00894474">
        <w:rPr>
          <w:spacing w:val="-12"/>
          <w:u w:val="single"/>
        </w:rPr>
        <w:t xml:space="preserve"> </w:t>
      </w:r>
      <w:r w:rsidRPr="00894474">
        <w:rPr>
          <w:u w:val="single"/>
        </w:rPr>
        <w:t>INFORMATION</w:t>
      </w:r>
      <w:r w:rsidRPr="00894474">
        <w:rPr>
          <w:spacing w:val="-12"/>
          <w:u w:val="single"/>
        </w:rPr>
        <w:t xml:space="preserve"> </w:t>
      </w:r>
      <w:r w:rsidRPr="00894474">
        <w:rPr>
          <w:u w:val="single"/>
        </w:rPr>
        <w:t>EMPLOYING</w:t>
      </w:r>
      <w:r w:rsidRPr="00894474">
        <w:rPr>
          <w:spacing w:val="-12"/>
          <w:u w:val="single"/>
        </w:rPr>
        <w:t xml:space="preserve"> </w:t>
      </w:r>
      <w:r w:rsidRPr="00894474">
        <w:rPr>
          <w:u w:val="single"/>
        </w:rPr>
        <w:t>STATISTICAL</w:t>
      </w:r>
      <w:r w:rsidRPr="00894474">
        <w:rPr>
          <w:spacing w:val="-13"/>
          <w:u w:val="single"/>
        </w:rPr>
        <w:t xml:space="preserve"> </w:t>
      </w:r>
      <w:r w:rsidRPr="00894474">
        <w:rPr>
          <w:spacing w:val="-2"/>
          <w:u w:val="single"/>
        </w:rPr>
        <w:t>METHODS</w:t>
      </w:r>
    </w:p>
    <w:p w:rsidR="004F256E" w:rsidRPr="00894474" w14:paraId="08931AC8" w14:textId="77777777">
      <w:pPr>
        <w:pStyle w:val="BodyText"/>
      </w:pPr>
    </w:p>
    <w:p w:rsidR="004F256E" w:rsidRPr="00894474" w14:paraId="08931AC9" w14:textId="77777777">
      <w:pPr>
        <w:pStyle w:val="BodyText"/>
        <w:spacing w:before="93"/>
        <w:ind w:left="719"/>
      </w:pPr>
      <w:r w:rsidRPr="00894474">
        <w:t>Not</w:t>
      </w:r>
      <w:r w:rsidRPr="00894474">
        <w:rPr>
          <w:spacing w:val="-4"/>
        </w:rPr>
        <w:t xml:space="preserve"> </w:t>
      </w:r>
      <w:r w:rsidRPr="00894474">
        <w:rPr>
          <w:spacing w:val="-2"/>
        </w:rPr>
        <w:t>applicable.</w:t>
      </w:r>
    </w:p>
    <w:p w:rsidR="004F256E" w:rsidRPr="00894474" w14:paraId="08931ACA" w14:textId="77777777">
      <w:pPr>
        <w:sectPr w:rsidSect="00370367">
          <w:footerReference w:type="default" r:id="rId9"/>
          <w:pgSz w:w="12240" w:h="15840"/>
          <w:pgMar w:top="1440" w:right="1440" w:bottom="1440" w:left="1440" w:header="720" w:footer="720" w:gutter="0"/>
          <w:cols w:space="720"/>
          <w:docGrid w:linePitch="299"/>
        </w:sectPr>
      </w:pPr>
    </w:p>
    <w:p w:rsidR="004F256E" w:rsidRPr="00894474" w14:paraId="08931ACB" w14:textId="77777777">
      <w:pPr>
        <w:spacing w:before="75"/>
        <w:ind w:left="120"/>
        <w:rPr>
          <w:b/>
        </w:rPr>
      </w:pPr>
      <w:r w:rsidRPr="00894474">
        <w:rPr>
          <w:b/>
          <w:u w:val="thick"/>
        </w:rPr>
        <w:t>Appendix</w:t>
      </w:r>
      <w:r w:rsidRPr="00894474">
        <w:rPr>
          <w:b/>
          <w:spacing w:val="-7"/>
          <w:u w:val="thick"/>
        </w:rPr>
        <w:t xml:space="preserve"> </w:t>
      </w:r>
      <w:r w:rsidRPr="00894474">
        <w:rPr>
          <w:b/>
          <w:u w:val="thick"/>
        </w:rPr>
        <w:t>A</w:t>
      </w:r>
      <w:r w:rsidRPr="00894474">
        <w:rPr>
          <w:b/>
          <w:spacing w:val="-6"/>
          <w:u w:val="thick"/>
        </w:rPr>
        <w:t xml:space="preserve"> </w:t>
      </w:r>
      <w:r w:rsidRPr="00894474">
        <w:rPr>
          <w:b/>
          <w:u w:val="thick"/>
        </w:rPr>
        <w:t>–</w:t>
      </w:r>
      <w:r w:rsidRPr="00894474">
        <w:rPr>
          <w:b/>
          <w:spacing w:val="-6"/>
          <w:u w:val="thick"/>
        </w:rPr>
        <w:t xml:space="preserve"> </w:t>
      </w:r>
      <w:r w:rsidRPr="00894474">
        <w:rPr>
          <w:b/>
          <w:u w:val="thick"/>
        </w:rPr>
        <w:t>Description</w:t>
      </w:r>
      <w:r w:rsidRPr="00894474">
        <w:rPr>
          <w:b/>
          <w:spacing w:val="-6"/>
          <w:u w:val="thick"/>
        </w:rPr>
        <w:t xml:space="preserve"> </w:t>
      </w:r>
      <w:r w:rsidRPr="00894474">
        <w:rPr>
          <w:b/>
          <w:spacing w:val="-2"/>
          <w:u w:val="thick"/>
        </w:rPr>
        <w:t>Requirements</w:t>
      </w:r>
    </w:p>
    <w:p w:rsidR="004F256E" w:rsidRPr="00894474" w14:paraId="08931ACC" w14:textId="77777777">
      <w:pPr>
        <w:pStyle w:val="BodyText"/>
        <w:spacing w:before="11"/>
        <w:rPr>
          <w:b/>
        </w:rPr>
      </w:pPr>
    </w:p>
    <w:p w:rsidR="004F256E" w:rsidRPr="00894474" w:rsidP="00E75453" w14:paraId="08931ACD" w14:textId="77777777">
      <w:pPr>
        <w:spacing w:before="92"/>
        <w:ind w:left="120" w:firstLine="600"/>
        <w:rPr>
          <w:b/>
        </w:rPr>
      </w:pPr>
      <w:r w:rsidRPr="00894474">
        <w:rPr>
          <w:b/>
          <w:u w:val="thick"/>
        </w:rPr>
        <w:t>License</w:t>
      </w:r>
      <w:r w:rsidRPr="00894474">
        <w:rPr>
          <w:b/>
          <w:spacing w:val="-9"/>
          <w:u w:val="thick"/>
        </w:rPr>
        <w:t xml:space="preserve"> </w:t>
      </w:r>
      <w:r w:rsidRPr="00894474">
        <w:rPr>
          <w:b/>
          <w:spacing w:val="-2"/>
          <w:u w:val="thick"/>
        </w:rPr>
        <w:t>Requirements</w:t>
      </w:r>
    </w:p>
    <w:p w:rsidR="004F256E" w:rsidRPr="00894474" w14:paraId="08931ACE" w14:textId="77777777">
      <w:pPr>
        <w:pStyle w:val="BodyText"/>
        <w:rPr>
          <w:b/>
        </w:rPr>
      </w:pPr>
    </w:p>
    <w:p w:rsidR="004F256E" w:rsidRPr="00894474" w:rsidP="00680B0F" w14:paraId="08931ACF" w14:textId="6B3B23CC">
      <w:pPr>
        <w:pStyle w:val="BodyText"/>
        <w:spacing w:before="9"/>
        <w:ind w:left="1440"/>
        <w:rPr>
          <w:bCs/>
        </w:rPr>
      </w:pPr>
      <w:r w:rsidRPr="00894474">
        <w:rPr>
          <w:bCs/>
          <w:u w:val="single"/>
        </w:rPr>
        <w:t>10 CFR 50.9</w:t>
      </w:r>
      <w:r w:rsidRPr="00894474">
        <w:rPr>
          <w:bCs/>
        </w:rPr>
        <w:t>. This section specifies Information provided to the Commission by an applicant for a license or by a licensee or information required by statute or by the Commission's regulations, orders, or license conditions to be maintained by the applicant or the licensee shall be complete and accurate in all material respects.</w:t>
      </w:r>
    </w:p>
    <w:p w:rsidR="00680B0F" w:rsidRPr="00894474" w:rsidP="00680B0F" w14:paraId="682EFBC5" w14:textId="77777777">
      <w:pPr>
        <w:pStyle w:val="BodyText"/>
        <w:spacing w:before="9"/>
        <w:ind w:left="1440"/>
        <w:rPr>
          <w:bCs/>
        </w:rPr>
      </w:pPr>
    </w:p>
    <w:p w:rsidR="00680B0F" w:rsidRPr="00894474" w:rsidP="00680B0F" w14:paraId="09FFE194" w14:textId="3DD88ABA">
      <w:pPr>
        <w:pStyle w:val="BodyText"/>
        <w:spacing w:before="9"/>
        <w:ind w:left="1440"/>
        <w:rPr>
          <w:bCs/>
        </w:rPr>
      </w:pPr>
      <w:r w:rsidRPr="00894474">
        <w:rPr>
          <w:bCs/>
          <w:u w:val="single"/>
        </w:rPr>
        <w:t>Section 50.9(b).</w:t>
      </w:r>
      <w:r w:rsidRPr="00894474">
        <w:rPr>
          <w:bCs/>
        </w:rPr>
        <w:t xml:space="preserve">  Requires each applicant or licensee shall notify the Commission of information identified by the applicant or licensee as having for the regulated activity a significant implication for public health and safety or common defense and security. An applicant or licensee violates this paragraph only if the applicant or licensee fails to notify the Commission of information that the applicant or licensee has identified as having a significant implication for public health and safety or common defense and security. Notification shall be provided to the Administrator of the appropriate Regional Office within two working days of identifying the information. This requirement is not applicable to information which is already required to be provided to the Commission by other reporting or updating requirements.</w:t>
      </w:r>
    </w:p>
    <w:p w:rsidR="00680B0F" w:rsidRPr="00894474" w14:paraId="195B2415" w14:textId="5A4E1DE8">
      <w:pPr>
        <w:pStyle w:val="BodyText"/>
        <w:spacing w:before="9"/>
        <w:rPr>
          <w:b/>
        </w:rPr>
      </w:pPr>
      <w:r w:rsidRPr="00894474">
        <w:rPr>
          <w:b/>
        </w:rPr>
        <w:tab/>
      </w:r>
      <w:r w:rsidRPr="00894474">
        <w:rPr>
          <w:b/>
        </w:rPr>
        <w:tab/>
      </w:r>
    </w:p>
    <w:p w:rsidR="004F256E" w:rsidRPr="00894474" w:rsidP="00680B0F" w14:paraId="08931AD0" w14:textId="77777777">
      <w:pPr>
        <w:pStyle w:val="BodyText"/>
        <w:spacing w:before="93"/>
        <w:ind w:left="1440"/>
      </w:pPr>
      <w:r w:rsidRPr="00894474">
        <w:rPr>
          <w:u w:val="single"/>
        </w:rPr>
        <w:t>10</w:t>
      </w:r>
      <w:r w:rsidRPr="00894474">
        <w:rPr>
          <w:spacing w:val="-3"/>
          <w:u w:val="single"/>
        </w:rPr>
        <w:t xml:space="preserve"> </w:t>
      </w:r>
      <w:r w:rsidRPr="00894474">
        <w:rPr>
          <w:u w:val="single"/>
        </w:rPr>
        <w:t>CFR</w:t>
      </w:r>
      <w:r w:rsidRPr="00894474">
        <w:rPr>
          <w:spacing w:val="-3"/>
          <w:u w:val="single"/>
        </w:rPr>
        <w:t xml:space="preserve"> </w:t>
      </w:r>
      <w:r w:rsidRPr="00894474">
        <w:rPr>
          <w:u w:val="single"/>
        </w:rPr>
        <w:t>50.12</w:t>
      </w:r>
      <w:r w:rsidRPr="00894474">
        <w:t>.</w:t>
      </w:r>
      <w:r w:rsidRPr="00894474">
        <w:rPr>
          <w:spacing w:val="40"/>
        </w:rPr>
        <w:t xml:space="preserve"> </w:t>
      </w:r>
      <w:r w:rsidRPr="00894474">
        <w:t>This</w:t>
      </w:r>
      <w:r w:rsidRPr="00894474">
        <w:rPr>
          <w:spacing w:val="-3"/>
        </w:rPr>
        <w:t xml:space="preserve"> </w:t>
      </w:r>
      <w:r w:rsidRPr="00894474">
        <w:t>section</w:t>
      </w:r>
      <w:r w:rsidRPr="00894474">
        <w:rPr>
          <w:spacing w:val="-3"/>
        </w:rPr>
        <w:t xml:space="preserve"> </w:t>
      </w:r>
      <w:r w:rsidRPr="00894474">
        <w:t>of</w:t>
      </w:r>
      <w:r w:rsidRPr="00894474">
        <w:rPr>
          <w:spacing w:val="-3"/>
        </w:rPr>
        <w:t xml:space="preserve"> </w:t>
      </w:r>
      <w:r w:rsidRPr="00894474">
        <w:t>10</w:t>
      </w:r>
      <w:r w:rsidRPr="00894474">
        <w:rPr>
          <w:spacing w:val="-4"/>
        </w:rPr>
        <w:t xml:space="preserve"> </w:t>
      </w:r>
      <w:r w:rsidRPr="00894474">
        <w:t>CFR</w:t>
      </w:r>
      <w:r w:rsidRPr="00894474">
        <w:rPr>
          <w:spacing w:val="-3"/>
        </w:rPr>
        <w:t xml:space="preserve"> </w:t>
      </w:r>
      <w:r w:rsidRPr="00894474">
        <w:t>50</w:t>
      </w:r>
      <w:r w:rsidRPr="00894474">
        <w:rPr>
          <w:spacing w:val="-3"/>
        </w:rPr>
        <w:t xml:space="preserve"> </w:t>
      </w:r>
      <w:r w:rsidRPr="00894474">
        <w:t>specifies</w:t>
      </w:r>
      <w:r w:rsidRPr="00894474">
        <w:rPr>
          <w:spacing w:val="-3"/>
        </w:rPr>
        <w:t xml:space="preserve"> </w:t>
      </w:r>
      <w:r w:rsidRPr="00894474">
        <w:t>that</w:t>
      </w:r>
      <w:r w:rsidRPr="00894474">
        <w:rPr>
          <w:spacing w:val="-3"/>
        </w:rPr>
        <w:t xml:space="preserve"> </w:t>
      </w:r>
      <w:r w:rsidRPr="00894474">
        <w:t>the</w:t>
      </w:r>
      <w:r w:rsidRPr="00894474">
        <w:rPr>
          <w:spacing w:val="-3"/>
        </w:rPr>
        <w:t xml:space="preserve"> </w:t>
      </w:r>
      <w:r w:rsidRPr="00894474">
        <w:t>Commission</w:t>
      </w:r>
      <w:r w:rsidRPr="00894474">
        <w:rPr>
          <w:spacing w:val="-3"/>
        </w:rPr>
        <w:t xml:space="preserve"> </w:t>
      </w:r>
      <w:r w:rsidRPr="00894474">
        <w:t>may,</w:t>
      </w:r>
      <w:r w:rsidRPr="00894474">
        <w:rPr>
          <w:spacing w:val="-3"/>
        </w:rPr>
        <w:t xml:space="preserve"> </w:t>
      </w:r>
      <w:r w:rsidRPr="00894474">
        <w:t>upon application by any interested person or upon its own initiative, grant an exemption from the requirements of 10 CFR Part 50 when (1) the exemption is authorized by law,</w:t>
      </w:r>
      <w:r w:rsidRPr="00894474">
        <w:rPr>
          <w:spacing w:val="-1"/>
        </w:rPr>
        <w:t xml:space="preserve"> </w:t>
      </w:r>
      <w:r w:rsidRPr="00894474">
        <w:t>will</w:t>
      </w:r>
      <w:r w:rsidRPr="00894474">
        <w:rPr>
          <w:spacing w:val="-1"/>
        </w:rPr>
        <w:t xml:space="preserve"> </w:t>
      </w:r>
      <w:r w:rsidRPr="00894474">
        <w:t>not</w:t>
      </w:r>
      <w:r w:rsidRPr="00894474">
        <w:rPr>
          <w:spacing w:val="-2"/>
        </w:rPr>
        <w:t xml:space="preserve"> </w:t>
      </w:r>
      <w:r w:rsidRPr="00894474">
        <w:t>present</w:t>
      </w:r>
      <w:r w:rsidRPr="00894474">
        <w:rPr>
          <w:spacing w:val="-1"/>
        </w:rPr>
        <w:t xml:space="preserve"> </w:t>
      </w:r>
      <w:r w:rsidRPr="00894474">
        <w:t>an</w:t>
      </w:r>
      <w:r w:rsidRPr="00894474">
        <w:rPr>
          <w:spacing w:val="-1"/>
        </w:rPr>
        <w:t xml:space="preserve"> </w:t>
      </w:r>
      <w:r w:rsidRPr="00894474">
        <w:t>undue</w:t>
      </w:r>
      <w:r w:rsidRPr="00894474">
        <w:rPr>
          <w:spacing w:val="-1"/>
        </w:rPr>
        <w:t xml:space="preserve"> </w:t>
      </w:r>
      <w:r w:rsidRPr="00894474">
        <w:t>risk</w:t>
      </w:r>
      <w:r w:rsidRPr="00894474">
        <w:rPr>
          <w:spacing w:val="-1"/>
        </w:rPr>
        <w:t xml:space="preserve"> </w:t>
      </w:r>
      <w:r w:rsidRPr="00894474">
        <w:t>to</w:t>
      </w:r>
      <w:r w:rsidRPr="00894474">
        <w:rPr>
          <w:spacing w:val="-2"/>
        </w:rPr>
        <w:t xml:space="preserve"> </w:t>
      </w:r>
      <w:r w:rsidRPr="00894474">
        <w:t>public</w:t>
      </w:r>
      <w:r w:rsidRPr="00894474">
        <w:rPr>
          <w:spacing w:val="-1"/>
        </w:rPr>
        <w:t xml:space="preserve"> </w:t>
      </w:r>
      <w:r w:rsidRPr="00894474">
        <w:t>health</w:t>
      </w:r>
      <w:r w:rsidRPr="00894474">
        <w:rPr>
          <w:spacing w:val="-1"/>
        </w:rPr>
        <w:t xml:space="preserve"> </w:t>
      </w:r>
      <w:r w:rsidRPr="00894474">
        <w:t>and</w:t>
      </w:r>
      <w:r w:rsidRPr="00894474">
        <w:rPr>
          <w:spacing w:val="-1"/>
        </w:rPr>
        <w:t xml:space="preserve"> </w:t>
      </w:r>
      <w:r w:rsidRPr="00894474">
        <w:t>safety,</w:t>
      </w:r>
      <w:r w:rsidRPr="00894474">
        <w:rPr>
          <w:spacing w:val="-1"/>
        </w:rPr>
        <w:t xml:space="preserve"> </w:t>
      </w:r>
      <w:r w:rsidRPr="00894474">
        <w:t>and</w:t>
      </w:r>
      <w:r w:rsidRPr="00894474">
        <w:rPr>
          <w:spacing w:val="-1"/>
        </w:rPr>
        <w:t xml:space="preserve"> </w:t>
      </w:r>
      <w:r w:rsidRPr="00894474">
        <w:t>is</w:t>
      </w:r>
      <w:r w:rsidRPr="00894474">
        <w:rPr>
          <w:spacing w:val="-1"/>
        </w:rPr>
        <w:t xml:space="preserve"> </w:t>
      </w:r>
      <w:r w:rsidRPr="00894474">
        <w:t>consistent</w:t>
      </w:r>
      <w:r w:rsidRPr="00894474">
        <w:rPr>
          <w:spacing w:val="-1"/>
        </w:rPr>
        <w:t xml:space="preserve"> </w:t>
      </w:r>
      <w:r w:rsidRPr="00894474">
        <w:t>with the common defense and security and (2) when special circumstances are present.</w:t>
      </w:r>
    </w:p>
    <w:p w:rsidR="004F256E" w:rsidRPr="00894474" w14:paraId="08931AD1" w14:textId="77777777">
      <w:pPr>
        <w:pStyle w:val="BodyText"/>
      </w:pPr>
    </w:p>
    <w:p w:rsidR="004F256E" w:rsidRPr="00894474" w:rsidP="00680B0F" w14:paraId="08931AD2" w14:textId="77777777">
      <w:pPr>
        <w:pStyle w:val="BodyText"/>
        <w:ind w:left="1440"/>
      </w:pPr>
      <w:r w:rsidRPr="00894474">
        <w:t>Special</w:t>
      </w:r>
      <w:r w:rsidRPr="00894474">
        <w:rPr>
          <w:spacing w:val="-10"/>
        </w:rPr>
        <w:t xml:space="preserve"> </w:t>
      </w:r>
      <w:r w:rsidRPr="00894474">
        <w:t>circumstances</w:t>
      </w:r>
      <w:r w:rsidRPr="00894474">
        <w:rPr>
          <w:spacing w:val="-11"/>
        </w:rPr>
        <w:t xml:space="preserve"> </w:t>
      </w:r>
      <w:r w:rsidRPr="00894474">
        <w:t>exist</w:t>
      </w:r>
      <w:r w:rsidRPr="00894474">
        <w:rPr>
          <w:spacing w:val="-9"/>
        </w:rPr>
        <w:t xml:space="preserve"> </w:t>
      </w:r>
      <w:r w:rsidRPr="00894474">
        <w:rPr>
          <w:spacing w:val="-2"/>
        </w:rPr>
        <w:t>when:</w:t>
      </w:r>
    </w:p>
    <w:p w:rsidR="004F256E" w:rsidRPr="00894474" w14:paraId="08931AD3" w14:textId="77777777">
      <w:pPr>
        <w:pStyle w:val="BodyText"/>
      </w:pPr>
    </w:p>
    <w:p w:rsidR="004F256E" w:rsidRPr="00894474" w:rsidP="00680B0F" w14:paraId="08931AD4" w14:textId="268502FB">
      <w:pPr>
        <w:pStyle w:val="ListParagraph"/>
        <w:numPr>
          <w:ilvl w:val="0"/>
          <w:numId w:val="1"/>
        </w:numPr>
        <w:tabs>
          <w:tab w:val="left" w:pos="2160"/>
        </w:tabs>
        <w:spacing w:before="1"/>
        <w:ind w:left="2160" w:right="523" w:hanging="720"/>
      </w:pPr>
      <w:r w:rsidRPr="00894474">
        <w:t>Application</w:t>
      </w:r>
      <w:r w:rsidRPr="00894474">
        <w:rPr>
          <w:spacing w:val="-5"/>
        </w:rPr>
        <w:t xml:space="preserve"> </w:t>
      </w:r>
      <w:r w:rsidRPr="00894474">
        <w:t>of</w:t>
      </w:r>
      <w:r w:rsidRPr="00894474">
        <w:rPr>
          <w:spacing w:val="-4"/>
        </w:rPr>
        <w:t xml:space="preserve"> </w:t>
      </w:r>
      <w:r w:rsidRPr="00894474">
        <w:t>the</w:t>
      </w:r>
      <w:r w:rsidRPr="00894474">
        <w:rPr>
          <w:spacing w:val="-4"/>
        </w:rPr>
        <w:t xml:space="preserve"> </w:t>
      </w:r>
      <w:r w:rsidRPr="00894474">
        <w:t>regulation</w:t>
      </w:r>
      <w:r w:rsidRPr="00894474">
        <w:rPr>
          <w:spacing w:val="-4"/>
        </w:rPr>
        <w:t xml:space="preserve"> </w:t>
      </w:r>
      <w:r w:rsidRPr="00894474">
        <w:t>in</w:t>
      </w:r>
      <w:r w:rsidRPr="00894474">
        <w:rPr>
          <w:spacing w:val="-4"/>
        </w:rPr>
        <w:t xml:space="preserve"> </w:t>
      </w:r>
      <w:r w:rsidRPr="00894474">
        <w:t>the</w:t>
      </w:r>
      <w:r w:rsidRPr="00894474">
        <w:rPr>
          <w:spacing w:val="-4"/>
        </w:rPr>
        <w:t xml:space="preserve"> </w:t>
      </w:r>
      <w:r w:rsidRPr="00894474">
        <w:t>particular</w:t>
      </w:r>
      <w:r w:rsidRPr="00894474">
        <w:rPr>
          <w:spacing w:val="-4"/>
        </w:rPr>
        <w:t xml:space="preserve"> </w:t>
      </w:r>
      <w:r w:rsidRPr="00894474">
        <w:t>circumstances</w:t>
      </w:r>
      <w:r w:rsidRPr="00894474">
        <w:rPr>
          <w:spacing w:val="-5"/>
        </w:rPr>
        <w:t xml:space="preserve"> </w:t>
      </w:r>
      <w:r w:rsidRPr="00894474">
        <w:t>conflicts</w:t>
      </w:r>
      <w:r w:rsidRPr="00894474">
        <w:rPr>
          <w:spacing w:val="-4"/>
        </w:rPr>
        <w:t xml:space="preserve"> </w:t>
      </w:r>
      <w:r w:rsidRPr="00894474">
        <w:t>with</w:t>
      </w:r>
      <w:r w:rsidRPr="00894474" w:rsidR="00680B0F">
        <w:t xml:space="preserve"> </w:t>
      </w:r>
      <w:r w:rsidRPr="00894474">
        <w:t>other Commission rules or requirements, or</w:t>
      </w:r>
    </w:p>
    <w:p w:rsidR="004F256E" w:rsidRPr="00894474" w14:paraId="08931AD5" w14:textId="77777777">
      <w:pPr>
        <w:pStyle w:val="BodyText"/>
        <w:spacing w:before="10"/>
      </w:pPr>
    </w:p>
    <w:p w:rsidR="004F256E" w:rsidRPr="00894474" w:rsidP="00680B0F" w14:paraId="08931AD6" w14:textId="77777777">
      <w:pPr>
        <w:pStyle w:val="ListParagraph"/>
        <w:numPr>
          <w:ilvl w:val="0"/>
          <w:numId w:val="1"/>
        </w:numPr>
        <w:tabs>
          <w:tab w:val="left" w:pos="2160"/>
        </w:tabs>
        <w:spacing w:before="1"/>
        <w:ind w:left="2160" w:right="230" w:hanging="720"/>
      </w:pPr>
      <w:r w:rsidRPr="00894474">
        <w:t>Application</w:t>
      </w:r>
      <w:r w:rsidRPr="00894474">
        <w:rPr>
          <w:spacing w:val="-5"/>
        </w:rPr>
        <w:t xml:space="preserve"> </w:t>
      </w:r>
      <w:r w:rsidRPr="00894474">
        <w:t>of</w:t>
      </w:r>
      <w:r w:rsidRPr="00894474">
        <w:rPr>
          <w:spacing w:val="-4"/>
        </w:rPr>
        <w:t xml:space="preserve"> </w:t>
      </w:r>
      <w:r w:rsidRPr="00894474">
        <w:t>the</w:t>
      </w:r>
      <w:r w:rsidRPr="00894474">
        <w:rPr>
          <w:spacing w:val="-4"/>
        </w:rPr>
        <w:t xml:space="preserve"> </w:t>
      </w:r>
      <w:r w:rsidRPr="00894474">
        <w:t>regulation</w:t>
      </w:r>
      <w:r w:rsidRPr="00894474">
        <w:rPr>
          <w:spacing w:val="-4"/>
        </w:rPr>
        <w:t xml:space="preserve"> </w:t>
      </w:r>
      <w:r w:rsidRPr="00894474">
        <w:t>in</w:t>
      </w:r>
      <w:r w:rsidRPr="00894474">
        <w:rPr>
          <w:spacing w:val="-4"/>
        </w:rPr>
        <w:t xml:space="preserve"> </w:t>
      </w:r>
      <w:r w:rsidRPr="00894474">
        <w:t>the</w:t>
      </w:r>
      <w:r w:rsidRPr="00894474">
        <w:rPr>
          <w:spacing w:val="-4"/>
        </w:rPr>
        <w:t xml:space="preserve"> </w:t>
      </w:r>
      <w:r w:rsidRPr="00894474">
        <w:t>particular</w:t>
      </w:r>
      <w:r w:rsidRPr="00894474">
        <w:rPr>
          <w:spacing w:val="-4"/>
        </w:rPr>
        <w:t xml:space="preserve"> </w:t>
      </w:r>
      <w:r w:rsidRPr="00894474">
        <w:t>circumstances</w:t>
      </w:r>
      <w:r w:rsidRPr="00894474">
        <w:rPr>
          <w:spacing w:val="-5"/>
        </w:rPr>
        <w:t xml:space="preserve"> </w:t>
      </w:r>
      <w:r w:rsidRPr="00894474">
        <w:t>would</w:t>
      </w:r>
      <w:r w:rsidRPr="00894474">
        <w:rPr>
          <w:spacing w:val="-4"/>
        </w:rPr>
        <w:t xml:space="preserve"> </w:t>
      </w:r>
      <w:r w:rsidRPr="00894474">
        <w:t>not</w:t>
      </w:r>
      <w:r w:rsidRPr="00894474">
        <w:rPr>
          <w:spacing w:val="-4"/>
        </w:rPr>
        <w:t xml:space="preserve"> </w:t>
      </w:r>
      <w:r w:rsidRPr="00894474">
        <w:t>serve the underlying purpose of the rule or is not necessary to achieve the underlying purpose of the rule, or</w:t>
      </w:r>
    </w:p>
    <w:p w:rsidR="004F256E" w:rsidRPr="00894474" w14:paraId="08931AD7" w14:textId="77777777">
      <w:pPr>
        <w:pStyle w:val="BodyText"/>
        <w:spacing w:before="11"/>
      </w:pPr>
    </w:p>
    <w:p w:rsidR="004F256E" w:rsidRPr="00894474" w:rsidP="00680B0F" w14:paraId="08931AD8" w14:textId="77777777">
      <w:pPr>
        <w:pStyle w:val="ListParagraph"/>
        <w:numPr>
          <w:ilvl w:val="0"/>
          <w:numId w:val="1"/>
        </w:numPr>
        <w:tabs>
          <w:tab w:val="left" w:pos="2160"/>
        </w:tabs>
        <w:ind w:left="2160" w:right="374" w:hanging="720"/>
      </w:pPr>
      <w:r w:rsidRPr="00894474">
        <w:t>Compliance</w:t>
      </w:r>
      <w:r w:rsidRPr="00894474">
        <w:rPr>
          <w:spacing w:val="-4"/>
        </w:rPr>
        <w:t xml:space="preserve"> </w:t>
      </w:r>
      <w:r w:rsidRPr="00894474">
        <w:t>with</w:t>
      </w:r>
      <w:r w:rsidRPr="00894474">
        <w:rPr>
          <w:spacing w:val="-4"/>
        </w:rPr>
        <w:t xml:space="preserve"> </w:t>
      </w:r>
      <w:r w:rsidRPr="00894474">
        <w:t>the</w:t>
      </w:r>
      <w:r w:rsidRPr="00894474">
        <w:rPr>
          <w:spacing w:val="-4"/>
        </w:rPr>
        <w:t xml:space="preserve"> </w:t>
      </w:r>
      <w:r w:rsidRPr="00894474">
        <w:t>regulation</w:t>
      </w:r>
      <w:r w:rsidRPr="00894474">
        <w:rPr>
          <w:spacing w:val="-4"/>
        </w:rPr>
        <w:t xml:space="preserve"> </w:t>
      </w:r>
      <w:r w:rsidRPr="00894474">
        <w:t>would</w:t>
      </w:r>
      <w:r w:rsidRPr="00894474">
        <w:rPr>
          <w:spacing w:val="-4"/>
        </w:rPr>
        <w:t xml:space="preserve"> </w:t>
      </w:r>
      <w:r w:rsidRPr="00894474">
        <w:t>result</w:t>
      </w:r>
      <w:r w:rsidRPr="00894474">
        <w:rPr>
          <w:spacing w:val="-4"/>
        </w:rPr>
        <w:t xml:space="preserve"> </w:t>
      </w:r>
      <w:r w:rsidRPr="00894474">
        <w:t>in</w:t>
      </w:r>
      <w:r w:rsidRPr="00894474">
        <w:rPr>
          <w:spacing w:val="-4"/>
        </w:rPr>
        <w:t xml:space="preserve"> </w:t>
      </w:r>
      <w:r w:rsidRPr="00894474">
        <w:t>hardship</w:t>
      </w:r>
      <w:r w:rsidRPr="00894474">
        <w:rPr>
          <w:spacing w:val="-4"/>
        </w:rPr>
        <w:t xml:space="preserve"> </w:t>
      </w:r>
      <w:r w:rsidRPr="00894474">
        <w:t>or</w:t>
      </w:r>
      <w:r w:rsidRPr="00894474">
        <w:rPr>
          <w:spacing w:val="-2"/>
        </w:rPr>
        <w:t xml:space="preserve"> </w:t>
      </w:r>
      <w:r w:rsidRPr="00894474">
        <w:t>other</w:t>
      </w:r>
      <w:r w:rsidRPr="00894474">
        <w:rPr>
          <w:spacing w:val="-4"/>
        </w:rPr>
        <w:t xml:space="preserve"> </w:t>
      </w:r>
      <w:r w:rsidRPr="00894474">
        <w:t>costs</w:t>
      </w:r>
      <w:r w:rsidRPr="00894474">
        <w:rPr>
          <w:spacing w:val="-4"/>
        </w:rPr>
        <w:t xml:space="preserve"> </w:t>
      </w:r>
      <w:r w:rsidRPr="00894474">
        <w:t xml:space="preserve">that are significantly </w:t>
      </w:r>
      <w:r w:rsidRPr="00894474">
        <w:t>in excess of</w:t>
      </w:r>
      <w:r w:rsidRPr="00894474">
        <w:t xml:space="preserve"> those contemplated when the regulation was adopted, or that are significantly in excess of those incurred by others similarly situated, or</w:t>
      </w:r>
    </w:p>
    <w:p w:rsidR="004F256E" w:rsidRPr="00894474" w14:paraId="08931AD9" w14:textId="77777777">
      <w:pPr>
        <w:pStyle w:val="BodyText"/>
        <w:spacing w:before="1"/>
      </w:pPr>
    </w:p>
    <w:p w:rsidR="004F256E" w:rsidRPr="00894474" w:rsidP="00680B0F" w14:paraId="08931ADA" w14:textId="77777777">
      <w:pPr>
        <w:pStyle w:val="ListParagraph"/>
        <w:numPr>
          <w:ilvl w:val="0"/>
          <w:numId w:val="1"/>
        </w:numPr>
        <w:tabs>
          <w:tab w:val="left" w:pos="2160"/>
        </w:tabs>
        <w:ind w:left="2160" w:right="276" w:hanging="720"/>
      </w:pPr>
      <w:r w:rsidRPr="00894474">
        <w:t>The</w:t>
      </w:r>
      <w:r w:rsidRPr="00894474">
        <w:rPr>
          <w:spacing w:val="-4"/>
        </w:rPr>
        <w:t xml:space="preserve"> </w:t>
      </w:r>
      <w:r w:rsidRPr="00894474">
        <w:t>exemption</w:t>
      </w:r>
      <w:r w:rsidRPr="00894474">
        <w:rPr>
          <w:spacing w:val="-4"/>
        </w:rPr>
        <w:t xml:space="preserve"> </w:t>
      </w:r>
      <w:r w:rsidRPr="00894474">
        <w:t>would</w:t>
      </w:r>
      <w:r w:rsidRPr="00894474">
        <w:rPr>
          <w:spacing w:val="-4"/>
        </w:rPr>
        <w:t xml:space="preserve"> </w:t>
      </w:r>
      <w:r w:rsidRPr="00894474">
        <w:t>benefit</w:t>
      </w:r>
      <w:r w:rsidRPr="00894474">
        <w:rPr>
          <w:spacing w:val="-4"/>
        </w:rPr>
        <w:t xml:space="preserve"> </w:t>
      </w:r>
      <w:r w:rsidRPr="00894474">
        <w:t>public</w:t>
      </w:r>
      <w:r w:rsidRPr="00894474">
        <w:rPr>
          <w:spacing w:val="-5"/>
        </w:rPr>
        <w:t xml:space="preserve"> </w:t>
      </w:r>
      <w:r w:rsidRPr="00894474">
        <w:t>health</w:t>
      </w:r>
      <w:r w:rsidRPr="00894474">
        <w:rPr>
          <w:spacing w:val="-4"/>
        </w:rPr>
        <w:t xml:space="preserve"> </w:t>
      </w:r>
      <w:r w:rsidRPr="00894474">
        <w:t>and</w:t>
      </w:r>
      <w:r w:rsidRPr="00894474">
        <w:rPr>
          <w:spacing w:val="-4"/>
        </w:rPr>
        <w:t xml:space="preserve"> </w:t>
      </w:r>
      <w:r w:rsidRPr="00894474">
        <w:t>safety</w:t>
      </w:r>
      <w:r w:rsidRPr="00894474">
        <w:rPr>
          <w:spacing w:val="-4"/>
        </w:rPr>
        <w:t xml:space="preserve"> </w:t>
      </w:r>
      <w:r w:rsidRPr="00894474">
        <w:t>and</w:t>
      </w:r>
      <w:r w:rsidRPr="00894474">
        <w:rPr>
          <w:spacing w:val="-4"/>
        </w:rPr>
        <w:t xml:space="preserve"> </w:t>
      </w:r>
      <w:r w:rsidRPr="00894474">
        <w:t>compensates</w:t>
      </w:r>
      <w:r w:rsidRPr="00894474">
        <w:rPr>
          <w:spacing w:val="-4"/>
        </w:rPr>
        <w:t xml:space="preserve"> </w:t>
      </w:r>
      <w:r w:rsidRPr="00894474">
        <w:t>for any decrease in safety, or</w:t>
      </w:r>
    </w:p>
    <w:p w:rsidR="004F256E" w:rsidRPr="00894474" w14:paraId="08931ADB" w14:textId="77777777">
      <w:pPr>
        <w:pStyle w:val="BodyText"/>
        <w:spacing w:before="11"/>
      </w:pPr>
    </w:p>
    <w:p w:rsidR="004F256E" w:rsidRPr="00894474" w:rsidP="00680B0F" w14:paraId="08931ADC" w14:textId="77777777">
      <w:pPr>
        <w:pStyle w:val="ListParagraph"/>
        <w:numPr>
          <w:ilvl w:val="0"/>
          <w:numId w:val="1"/>
        </w:numPr>
        <w:tabs>
          <w:tab w:val="left" w:pos="2160"/>
        </w:tabs>
        <w:ind w:left="2160" w:right="728" w:hanging="720"/>
        <w:jc w:val="both"/>
      </w:pPr>
      <w:r w:rsidRPr="00894474">
        <w:t>The</w:t>
      </w:r>
      <w:r w:rsidRPr="00894474">
        <w:rPr>
          <w:spacing w:val="-4"/>
        </w:rPr>
        <w:t xml:space="preserve"> </w:t>
      </w:r>
      <w:r w:rsidRPr="00894474">
        <w:t>exemption</w:t>
      </w:r>
      <w:r w:rsidRPr="00894474">
        <w:rPr>
          <w:spacing w:val="-4"/>
        </w:rPr>
        <w:t xml:space="preserve"> </w:t>
      </w:r>
      <w:r w:rsidRPr="00894474">
        <w:t>would</w:t>
      </w:r>
      <w:r w:rsidRPr="00894474">
        <w:rPr>
          <w:spacing w:val="-4"/>
        </w:rPr>
        <w:t xml:space="preserve"> </w:t>
      </w:r>
      <w:r w:rsidRPr="00894474">
        <w:t>provide</w:t>
      </w:r>
      <w:r w:rsidRPr="00894474">
        <w:rPr>
          <w:spacing w:val="-4"/>
        </w:rPr>
        <w:t xml:space="preserve"> </w:t>
      </w:r>
      <w:r w:rsidRPr="00894474">
        <w:t>only</w:t>
      </w:r>
      <w:r w:rsidRPr="00894474">
        <w:rPr>
          <w:spacing w:val="-4"/>
        </w:rPr>
        <w:t xml:space="preserve"> </w:t>
      </w:r>
      <w:r w:rsidRPr="00894474">
        <w:t>temporary</w:t>
      </w:r>
      <w:r w:rsidRPr="00894474">
        <w:rPr>
          <w:spacing w:val="-4"/>
        </w:rPr>
        <w:t xml:space="preserve"> </w:t>
      </w:r>
      <w:r w:rsidRPr="00894474">
        <w:t>relief</w:t>
      </w:r>
      <w:r w:rsidRPr="00894474">
        <w:rPr>
          <w:spacing w:val="-4"/>
        </w:rPr>
        <w:t xml:space="preserve"> </w:t>
      </w:r>
      <w:r w:rsidRPr="00894474">
        <w:t>from</w:t>
      </w:r>
      <w:r w:rsidRPr="00894474">
        <w:rPr>
          <w:spacing w:val="-4"/>
        </w:rPr>
        <w:t xml:space="preserve"> </w:t>
      </w:r>
      <w:r w:rsidRPr="00894474">
        <w:t>the</w:t>
      </w:r>
      <w:r w:rsidRPr="00894474">
        <w:rPr>
          <w:spacing w:val="-4"/>
        </w:rPr>
        <w:t xml:space="preserve"> </w:t>
      </w:r>
      <w:r w:rsidRPr="00894474">
        <w:t>applicable regulation and the applicant or licensee has made good faith efforts to comply with the regulation, or</w:t>
      </w:r>
    </w:p>
    <w:p w:rsidR="004F256E" w:rsidRPr="00894474" w14:paraId="08931ADD" w14:textId="77777777">
      <w:pPr>
        <w:pStyle w:val="BodyText"/>
        <w:spacing w:before="11"/>
      </w:pPr>
    </w:p>
    <w:p w:rsidR="004F256E" w:rsidP="00680B0F" w14:paraId="08931ADE" w14:textId="77777777">
      <w:pPr>
        <w:pStyle w:val="ListParagraph"/>
        <w:numPr>
          <w:ilvl w:val="0"/>
          <w:numId w:val="1"/>
        </w:numPr>
        <w:tabs>
          <w:tab w:val="left" w:pos="2160"/>
        </w:tabs>
        <w:ind w:left="2160" w:right="460" w:hanging="720"/>
      </w:pPr>
      <w:r w:rsidRPr="00894474">
        <w:t>There</w:t>
      </w:r>
      <w:r w:rsidRPr="00894474">
        <w:rPr>
          <w:spacing w:val="-2"/>
        </w:rPr>
        <w:t xml:space="preserve"> </w:t>
      </w:r>
      <w:r w:rsidRPr="00894474">
        <w:t>are</w:t>
      </w:r>
      <w:r w:rsidRPr="00894474">
        <w:rPr>
          <w:spacing w:val="-2"/>
        </w:rPr>
        <w:t xml:space="preserve"> </w:t>
      </w:r>
      <w:r w:rsidRPr="00894474">
        <w:t>other</w:t>
      </w:r>
      <w:r w:rsidRPr="00894474">
        <w:rPr>
          <w:spacing w:val="-2"/>
        </w:rPr>
        <w:t xml:space="preserve"> </w:t>
      </w:r>
      <w:r w:rsidRPr="00894474">
        <w:t>material</w:t>
      </w:r>
      <w:r w:rsidRPr="00894474">
        <w:rPr>
          <w:spacing w:val="-2"/>
        </w:rPr>
        <w:t xml:space="preserve"> </w:t>
      </w:r>
      <w:r w:rsidRPr="00894474">
        <w:t>circumstances</w:t>
      </w:r>
      <w:r w:rsidRPr="00894474">
        <w:rPr>
          <w:spacing w:val="-2"/>
        </w:rPr>
        <w:t xml:space="preserve"> </w:t>
      </w:r>
      <w:r w:rsidRPr="00894474">
        <w:t>present</w:t>
      </w:r>
      <w:r w:rsidRPr="00894474">
        <w:rPr>
          <w:spacing w:val="-2"/>
        </w:rPr>
        <w:t xml:space="preserve"> </w:t>
      </w:r>
      <w:r w:rsidRPr="00894474">
        <w:t>that</w:t>
      </w:r>
      <w:r w:rsidRPr="00894474">
        <w:rPr>
          <w:spacing w:val="-2"/>
        </w:rPr>
        <w:t xml:space="preserve"> </w:t>
      </w:r>
      <w:r w:rsidRPr="00894474">
        <w:t>were</w:t>
      </w:r>
      <w:r w:rsidRPr="00894474">
        <w:rPr>
          <w:spacing w:val="-2"/>
        </w:rPr>
        <w:t xml:space="preserve"> </w:t>
      </w:r>
      <w:r w:rsidRPr="00894474">
        <w:t>not</w:t>
      </w:r>
      <w:r w:rsidRPr="00894474">
        <w:rPr>
          <w:spacing w:val="-2"/>
        </w:rPr>
        <w:t xml:space="preserve"> </w:t>
      </w:r>
      <w:r w:rsidRPr="00894474">
        <w:t>considered when the regulation was adopted and for which would be in the public’s interest</w:t>
      </w:r>
      <w:r w:rsidRPr="00894474">
        <w:rPr>
          <w:spacing w:val="-3"/>
        </w:rPr>
        <w:t xml:space="preserve"> </w:t>
      </w:r>
      <w:r w:rsidRPr="00894474">
        <w:t>to</w:t>
      </w:r>
      <w:r w:rsidRPr="00894474">
        <w:rPr>
          <w:spacing w:val="-3"/>
        </w:rPr>
        <w:t xml:space="preserve"> </w:t>
      </w:r>
      <w:r w:rsidRPr="00894474">
        <w:t>grant</w:t>
      </w:r>
      <w:r w:rsidRPr="00894474">
        <w:rPr>
          <w:spacing w:val="-3"/>
        </w:rPr>
        <w:t xml:space="preserve"> </w:t>
      </w:r>
      <w:r w:rsidRPr="00894474">
        <w:t>the</w:t>
      </w:r>
      <w:r w:rsidRPr="00894474">
        <w:rPr>
          <w:spacing w:val="-3"/>
        </w:rPr>
        <w:t xml:space="preserve"> </w:t>
      </w:r>
      <w:r w:rsidRPr="00894474">
        <w:t>exemption.</w:t>
      </w:r>
      <w:r w:rsidRPr="00894474">
        <w:rPr>
          <w:spacing w:val="40"/>
        </w:rPr>
        <w:t xml:space="preserve"> </w:t>
      </w:r>
      <w:r w:rsidRPr="00894474">
        <w:t>If</w:t>
      </w:r>
      <w:r w:rsidRPr="00894474">
        <w:rPr>
          <w:spacing w:val="-3"/>
        </w:rPr>
        <w:t xml:space="preserve"> </w:t>
      </w:r>
      <w:r w:rsidRPr="00894474">
        <w:t>this</w:t>
      </w:r>
      <w:r w:rsidRPr="00894474">
        <w:rPr>
          <w:spacing w:val="-3"/>
        </w:rPr>
        <w:t xml:space="preserve"> </w:t>
      </w:r>
      <w:r w:rsidRPr="00894474">
        <w:t>condition</w:t>
      </w:r>
      <w:r w:rsidRPr="00894474">
        <w:rPr>
          <w:spacing w:val="-3"/>
        </w:rPr>
        <w:t xml:space="preserve"> </w:t>
      </w:r>
      <w:r w:rsidRPr="00894474">
        <w:t>is</w:t>
      </w:r>
      <w:r w:rsidRPr="00894474">
        <w:rPr>
          <w:spacing w:val="-3"/>
        </w:rPr>
        <w:t xml:space="preserve"> </w:t>
      </w:r>
      <w:r w:rsidRPr="00894474">
        <w:t>relied</w:t>
      </w:r>
      <w:r w:rsidRPr="00894474">
        <w:rPr>
          <w:spacing w:val="-3"/>
        </w:rPr>
        <w:t xml:space="preserve"> </w:t>
      </w:r>
      <w:r w:rsidRPr="00894474">
        <w:t>on</w:t>
      </w:r>
      <w:r w:rsidRPr="00894474">
        <w:rPr>
          <w:spacing w:val="-3"/>
        </w:rPr>
        <w:t xml:space="preserve"> </w:t>
      </w:r>
      <w:r w:rsidRPr="00894474">
        <w:t>exclusively</w:t>
      </w:r>
      <w:r w:rsidRPr="00894474">
        <w:rPr>
          <w:spacing w:val="-3"/>
        </w:rPr>
        <w:t xml:space="preserve"> </w:t>
      </w:r>
      <w:r w:rsidRPr="00894474">
        <w:t>to satisfy the criteria of “special circumstances,” the exemption may not be granted without consultation with the</w:t>
      </w:r>
      <w:r>
        <w:t xml:space="preserve"> Commission.</w:t>
      </w:r>
    </w:p>
    <w:sectPr w:rsidSect="0037036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318821"/>
      <w:docPartObj>
        <w:docPartGallery w:val="Page Numbers (Bottom of Page)"/>
        <w:docPartUnique/>
      </w:docPartObj>
    </w:sdtPr>
    <w:sdtEndPr>
      <w:rPr>
        <w:noProof/>
      </w:rPr>
    </w:sdtEndPr>
    <w:sdtContent>
      <w:p w:rsidR="00DC16F2" w14:paraId="5F2DA8F8" w14:textId="10E27F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0367" w14:paraId="2AEB162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93E4E"/>
    <w:multiLevelType w:val="hybridMultilevel"/>
    <w:tmpl w:val="E256BBA2"/>
    <w:lvl w:ilvl="0">
      <w:start w:val="1"/>
      <w:numFmt w:val="upperLetter"/>
      <w:lvlText w:val="%1."/>
      <w:lvlJc w:val="left"/>
      <w:pPr>
        <w:ind w:left="1320" w:hanging="841"/>
        <w:jc w:val="righ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320" w:hanging="601"/>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3028" w:hanging="601"/>
      </w:pPr>
      <w:rPr>
        <w:rFonts w:hint="default"/>
        <w:lang w:val="en-US" w:eastAsia="en-US" w:bidi="ar-SA"/>
      </w:rPr>
    </w:lvl>
    <w:lvl w:ilvl="3">
      <w:start w:val="0"/>
      <w:numFmt w:val="bullet"/>
      <w:lvlText w:val="•"/>
      <w:lvlJc w:val="left"/>
      <w:pPr>
        <w:ind w:left="3882" w:hanging="601"/>
      </w:pPr>
      <w:rPr>
        <w:rFonts w:hint="default"/>
        <w:lang w:val="en-US" w:eastAsia="en-US" w:bidi="ar-SA"/>
      </w:rPr>
    </w:lvl>
    <w:lvl w:ilvl="4">
      <w:start w:val="0"/>
      <w:numFmt w:val="bullet"/>
      <w:lvlText w:val="•"/>
      <w:lvlJc w:val="left"/>
      <w:pPr>
        <w:ind w:left="4736" w:hanging="601"/>
      </w:pPr>
      <w:rPr>
        <w:rFonts w:hint="default"/>
        <w:lang w:val="en-US" w:eastAsia="en-US" w:bidi="ar-SA"/>
      </w:rPr>
    </w:lvl>
    <w:lvl w:ilvl="5">
      <w:start w:val="0"/>
      <w:numFmt w:val="bullet"/>
      <w:lvlText w:val="•"/>
      <w:lvlJc w:val="left"/>
      <w:pPr>
        <w:ind w:left="5590" w:hanging="601"/>
      </w:pPr>
      <w:rPr>
        <w:rFonts w:hint="default"/>
        <w:lang w:val="en-US" w:eastAsia="en-US" w:bidi="ar-SA"/>
      </w:rPr>
    </w:lvl>
    <w:lvl w:ilvl="6">
      <w:start w:val="0"/>
      <w:numFmt w:val="bullet"/>
      <w:lvlText w:val="•"/>
      <w:lvlJc w:val="left"/>
      <w:pPr>
        <w:ind w:left="6444" w:hanging="601"/>
      </w:pPr>
      <w:rPr>
        <w:rFonts w:hint="default"/>
        <w:lang w:val="en-US" w:eastAsia="en-US" w:bidi="ar-SA"/>
      </w:rPr>
    </w:lvl>
    <w:lvl w:ilvl="7">
      <w:start w:val="0"/>
      <w:numFmt w:val="bullet"/>
      <w:lvlText w:val="•"/>
      <w:lvlJc w:val="left"/>
      <w:pPr>
        <w:ind w:left="7298" w:hanging="601"/>
      </w:pPr>
      <w:rPr>
        <w:rFonts w:hint="default"/>
        <w:lang w:val="en-US" w:eastAsia="en-US" w:bidi="ar-SA"/>
      </w:rPr>
    </w:lvl>
    <w:lvl w:ilvl="8">
      <w:start w:val="0"/>
      <w:numFmt w:val="bullet"/>
      <w:lvlText w:val="•"/>
      <w:lvlJc w:val="left"/>
      <w:pPr>
        <w:ind w:left="8152" w:hanging="601"/>
      </w:pPr>
      <w:rPr>
        <w:rFonts w:hint="default"/>
        <w:lang w:val="en-US" w:eastAsia="en-US" w:bidi="ar-SA"/>
      </w:rPr>
    </w:lvl>
  </w:abstractNum>
  <w:abstractNum w:abstractNumId="1">
    <w:nsid w:val="0E5D2E03"/>
    <w:multiLevelType w:val="hybridMultilevel"/>
    <w:tmpl w:val="C58C3AF8"/>
    <w:lvl w:ilvl="0">
      <w:start w:val="1"/>
      <w:numFmt w:val="decimal"/>
      <w:lvlText w:val="(%1)"/>
      <w:lvlJc w:val="left"/>
      <w:pPr>
        <w:ind w:left="2279" w:hanging="721"/>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3038" w:hanging="721"/>
      </w:pPr>
      <w:rPr>
        <w:rFonts w:hint="default"/>
        <w:lang w:val="en-US" w:eastAsia="en-US" w:bidi="ar-SA"/>
      </w:rPr>
    </w:lvl>
    <w:lvl w:ilvl="2">
      <w:start w:val="0"/>
      <w:numFmt w:val="bullet"/>
      <w:lvlText w:val="•"/>
      <w:lvlJc w:val="left"/>
      <w:pPr>
        <w:ind w:left="3796" w:hanging="721"/>
      </w:pPr>
      <w:rPr>
        <w:rFonts w:hint="default"/>
        <w:lang w:val="en-US" w:eastAsia="en-US" w:bidi="ar-SA"/>
      </w:rPr>
    </w:lvl>
    <w:lvl w:ilvl="3">
      <w:start w:val="0"/>
      <w:numFmt w:val="bullet"/>
      <w:lvlText w:val="•"/>
      <w:lvlJc w:val="left"/>
      <w:pPr>
        <w:ind w:left="4554" w:hanging="721"/>
      </w:pPr>
      <w:rPr>
        <w:rFonts w:hint="default"/>
        <w:lang w:val="en-US" w:eastAsia="en-US" w:bidi="ar-SA"/>
      </w:rPr>
    </w:lvl>
    <w:lvl w:ilvl="4">
      <w:start w:val="0"/>
      <w:numFmt w:val="bullet"/>
      <w:lvlText w:val="•"/>
      <w:lvlJc w:val="left"/>
      <w:pPr>
        <w:ind w:left="5312" w:hanging="721"/>
      </w:pPr>
      <w:rPr>
        <w:rFonts w:hint="default"/>
        <w:lang w:val="en-US" w:eastAsia="en-US" w:bidi="ar-SA"/>
      </w:rPr>
    </w:lvl>
    <w:lvl w:ilvl="5">
      <w:start w:val="0"/>
      <w:numFmt w:val="bullet"/>
      <w:lvlText w:val="•"/>
      <w:lvlJc w:val="left"/>
      <w:pPr>
        <w:ind w:left="6070" w:hanging="721"/>
      </w:pPr>
      <w:rPr>
        <w:rFonts w:hint="default"/>
        <w:lang w:val="en-US" w:eastAsia="en-US" w:bidi="ar-SA"/>
      </w:rPr>
    </w:lvl>
    <w:lvl w:ilvl="6">
      <w:start w:val="0"/>
      <w:numFmt w:val="bullet"/>
      <w:lvlText w:val="•"/>
      <w:lvlJc w:val="left"/>
      <w:pPr>
        <w:ind w:left="6828" w:hanging="721"/>
      </w:pPr>
      <w:rPr>
        <w:rFonts w:hint="default"/>
        <w:lang w:val="en-US" w:eastAsia="en-US" w:bidi="ar-SA"/>
      </w:rPr>
    </w:lvl>
    <w:lvl w:ilvl="7">
      <w:start w:val="0"/>
      <w:numFmt w:val="bullet"/>
      <w:lvlText w:val="•"/>
      <w:lvlJc w:val="left"/>
      <w:pPr>
        <w:ind w:left="7586" w:hanging="721"/>
      </w:pPr>
      <w:rPr>
        <w:rFonts w:hint="default"/>
        <w:lang w:val="en-US" w:eastAsia="en-US" w:bidi="ar-SA"/>
      </w:rPr>
    </w:lvl>
    <w:lvl w:ilvl="8">
      <w:start w:val="0"/>
      <w:numFmt w:val="bullet"/>
      <w:lvlText w:val="•"/>
      <w:lvlJc w:val="left"/>
      <w:pPr>
        <w:ind w:left="8344" w:hanging="721"/>
      </w:pPr>
      <w:rPr>
        <w:rFonts w:hint="default"/>
        <w:lang w:val="en-US" w:eastAsia="en-US" w:bidi="ar-SA"/>
      </w:rPr>
    </w:lvl>
  </w:abstractNum>
  <w:num w:numId="1" w16cid:durableId="1602105986">
    <w:abstractNumId w:val="1"/>
  </w:num>
  <w:num w:numId="2" w16cid:durableId="200974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6E"/>
    <w:rsid w:val="000226FA"/>
    <w:rsid w:val="000267E9"/>
    <w:rsid w:val="00033AB6"/>
    <w:rsid w:val="0004375D"/>
    <w:rsid w:val="00062367"/>
    <w:rsid w:val="00063C47"/>
    <w:rsid w:val="00075284"/>
    <w:rsid w:val="000800D4"/>
    <w:rsid w:val="000951F7"/>
    <w:rsid w:val="000A76CA"/>
    <w:rsid w:val="000C5838"/>
    <w:rsid w:val="000E7972"/>
    <w:rsid w:val="00101FB4"/>
    <w:rsid w:val="00103D23"/>
    <w:rsid w:val="0010505C"/>
    <w:rsid w:val="001232A8"/>
    <w:rsid w:val="00144A97"/>
    <w:rsid w:val="0015103F"/>
    <w:rsid w:val="0017635E"/>
    <w:rsid w:val="0018523B"/>
    <w:rsid w:val="0018548F"/>
    <w:rsid w:val="001C2B7D"/>
    <w:rsid w:val="001D7CFA"/>
    <w:rsid w:val="002126F4"/>
    <w:rsid w:val="00220D0C"/>
    <w:rsid w:val="0022611E"/>
    <w:rsid w:val="002444D2"/>
    <w:rsid w:val="00263D09"/>
    <w:rsid w:val="002652D7"/>
    <w:rsid w:val="00267CFC"/>
    <w:rsid w:val="0028551D"/>
    <w:rsid w:val="002D1EC6"/>
    <w:rsid w:val="002E0104"/>
    <w:rsid w:val="002E41CF"/>
    <w:rsid w:val="00307E2D"/>
    <w:rsid w:val="00313CBE"/>
    <w:rsid w:val="00313F1E"/>
    <w:rsid w:val="00335746"/>
    <w:rsid w:val="0034103A"/>
    <w:rsid w:val="003427DA"/>
    <w:rsid w:val="003564E5"/>
    <w:rsid w:val="00361D26"/>
    <w:rsid w:val="00365C3E"/>
    <w:rsid w:val="00366E8E"/>
    <w:rsid w:val="00370367"/>
    <w:rsid w:val="003742FA"/>
    <w:rsid w:val="003D1FF5"/>
    <w:rsid w:val="0044258C"/>
    <w:rsid w:val="00454953"/>
    <w:rsid w:val="00455B06"/>
    <w:rsid w:val="00466E61"/>
    <w:rsid w:val="00482657"/>
    <w:rsid w:val="00487C57"/>
    <w:rsid w:val="0049342C"/>
    <w:rsid w:val="004D4776"/>
    <w:rsid w:val="004E25D5"/>
    <w:rsid w:val="004F256E"/>
    <w:rsid w:val="004F73D1"/>
    <w:rsid w:val="00501590"/>
    <w:rsid w:val="00505DC5"/>
    <w:rsid w:val="00537B9C"/>
    <w:rsid w:val="005457A2"/>
    <w:rsid w:val="00572A8E"/>
    <w:rsid w:val="005768CD"/>
    <w:rsid w:val="00585A4F"/>
    <w:rsid w:val="00586EAD"/>
    <w:rsid w:val="005A26E7"/>
    <w:rsid w:val="005A4B7F"/>
    <w:rsid w:val="005B709C"/>
    <w:rsid w:val="00626476"/>
    <w:rsid w:val="00680B0F"/>
    <w:rsid w:val="00686B63"/>
    <w:rsid w:val="006C0DD9"/>
    <w:rsid w:val="006C2DDF"/>
    <w:rsid w:val="007005F5"/>
    <w:rsid w:val="0070287C"/>
    <w:rsid w:val="00736A9F"/>
    <w:rsid w:val="007676C8"/>
    <w:rsid w:val="00770EF0"/>
    <w:rsid w:val="007C77BA"/>
    <w:rsid w:val="007D025A"/>
    <w:rsid w:val="007E0378"/>
    <w:rsid w:val="00822146"/>
    <w:rsid w:val="00873A87"/>
    <w:rsid w:val="00875537"/>
    <w:rsid w:val="00884556"/>
    <w:rsid w:val="00894474"/>
    <w:rsid w:val="008960BC"/>
    <w:rsid w:val="008A16C8"/>
    <w:rsid w:val="008A2C02"/>
    <w:rsid w:val="008A58C2"/>
    <w:rsid w:val="008C19AF"/>
    <w:rsid w:val="008D4577"/>
    <w:rsid w:val="008F03DC"/>
    <w:rsid w:val="008F2A0D"/>
    <w:rsid w:val="008F74A4"/>
    <w:rsid w:val="009226B8"/>
    <w:rsid w:val="00941C6D"/>
    <w:rsid w:val="00964C15"/>
    <w:rsid w:val="0096586B"/>
    <w:rsid w:val="00966137"/>
    <w:rsid w:val="009C3331"/>
    <w:rsid w:val="009F124D"/>
    <w:rsid w:val="00A16BDF"/>
    <w:rsid w:val="00A35F20"/>
    <w:rsid w:val="00A41C1F"/>
    <w:rsid w:val="00A52BFE"/>
    <w:rsid w:val="00A54148"/>
    <w:rsid w:val="00AA0AC9"/>
    <w:rsid w:val="00AC49F6"/>
    <w:rsid w:val="00AD14E0"/>
    <w:rsid w:val="00AF2964"/>
    <w:rsid w:val="00AF583C"/>
    <w:rsid w:val="00B044C3"/>
    <w:rsid w:val="00B402CD"/>
    <w:rsid w:val="00B47661"/>
    <w:rsid w:val="00B6668D"/>
    <w:rsid w:val="00B738D8"/>
    <w:rsid w:val="00B82847"/>
    <w:rsid w:val="00C104DF"/>
    <w:rsid w:val="00C16EE9"/>
    <w:rsid w:val="00C35DF1"/>
    <w:rsid w:val="00C70B54"/>
    <w:rsid w:val="00C768C0"/>
    <w:rsid w:val="00C92FE1"/>
    <w:rsid w:val="00C94953"/>
    <w:rsid w:val="00CA2E92"/>
    <w:rsid w:val="00CB3803"/>
    <w:rsid w:val="00CD33C0"/>
    <w:rsid w:val="00CF1A48"/>
    <w:rsid w:val="00CF569B"/>
    <w:rsid w:val="00D1373D"/>
    <w:rsid w:val="00D2336D"/>
    <w:rsid w:val="00D2664D"/>
    <w:rsid w:val="00D358C4"/>
    <w:rsid w:val="00D853C1"/>
    <w:rsid w:val="00D863AC"/>
    <w:rsid w:val="00DB3D7B"/>
    <w:rsid w:val="00DC16F2"/>
    <w:rsid w:val="00DC28AE"/>
    <w:rsid w:val="00DD0310"/>
    <w:rsid w:val="00DF5F6E"/>
    <w:rsid w:val="00E061DD"/>
    <w:rsid w:val="00E23C8B"/>
    <w:rsid w:val="00E41439"/>
    <w:rsid w:val="00E634C7"/>
    <w:rsid w:val="00E67DF4"/>
    <w:rsid w:val="00E75453"/>
    <w:rsid w:val="00E92B7C"/>
    <w:rsid w:val="00E97861"/>
    <w:rsid w:val="00E97DDB"/>
    <w:rsid w:val="00EA3FF6"/>
    <w:rsid w:val="00EA4644"/>
    <w:rsid w:val="00EA76F6"/>
    <w:rsid w:val="00EC5343"/>
    <w:rsid w:val="00ED039E"/>
    <w:rsid w:val="00F115E7"/>
    <w:rsid w:val="00F279E5"/>
    <w:rsid w:val="00F610E4"/>
    <w:rsid w:val="00F81377"/>
    <w:rsid w:val="00FA12D5"/>
    <w:rsid w:val="00FA541F"/>
    <w:rsid w:val="00FA6CDC"/>
    <w:rsid w:val="00FD24E9"/>
    <w:rsid w:val="00FD64A7"/>
    <w:rsid w:val="00FE1B1F"/>
    <w:rsid w:val="00FF2403"/>
    <w:rsid w:val="23D6C90A"/>
    <w:rsid w:val="45D009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931A1C"/>
  <w15:docId w15:val="{562E539A-3E3E-48D3-97B8-D5516BA9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8845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19" w:hanging="600"/>
    </w:pPr>
  </w:style>
  <w:style w:type="paragraph" w:customStyle="1" w:styleId="TableParagraph">
    <w:name w:val="Table Paragraph"/>
    <w:basedOn w:val="Normal"/>
    <w:uiPriority w:val="1"/>
    <w:qFormat/>
    <w:pPr>
      <w:spacing w:line="233" w:lineRule="exact"/>
      <w:ind w:left="107"/>
    </w:pPr>
  </w:style>
  <w:style w:type="paragraph" w:styleId="Revision">
    <w:name w:val="Revision"/>
    <w:hidden/>
    <w:uiPriority w:val="99"/>
    <w:semiHidden/>
    <w:rsid w:val="0082214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853C1"/>
    <w:rPr>
      <w:sz w:val="16"/>
      <w:szCs w:val="16"/>
    </w:rPr>
  </w:style>
  <w:style w:type="paragraph" w:styleId="CommentText">
    <w:name w:val="annotation text"/>
    <w:basedOn w:val="Normal"/>
    <w:link w:val="CommentTextChar"/>
    <w:uiPriority w:val="99"/>
    <w:unhideWhenUsed/>
    <w:rsid w:val="00D853C1"/>
    <w:rPr>
      <w:sz w:val="20"/>
      <w:szCs w:val="20"/>
    </w:rPr>
  </w:style>
  <w:style w:type="character" w:customStyle="1" w:styleId="CommentTextChar">
    <w:name w:val="Comment Text Char"/>
    <w:basedOn w:val="DefaultParagraphFont"/>
    <w:link w:val="CommentText"/>
    <w:uiPriority w:val="99"/>
    <w:rsid w:val="00D853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53C1"/>
    <w:rPr>
      <w:b/>
      <w:bCs/>
    </w:rPr>
  </w:style>
  <w:style w:type="character" w:customStyle="1" w:styleId="CommentSubjectChar">
    <w:name w:val="Comment Subject Char"/>
    <w:basedOn w:val="CommentTextChar"/>
    <w:link w:val="CommentSubject"/>
    <w:uiPriority w:val="99"/>
    <w:semiHidden/>
    <w:rsid w:val="00D853C1"/>
    <w:rPr>
      <w:rFonts w:ascii="Arial" w:eastAsia="Arial" w:hAnsi="Arial" w:cs="Arial"/>
      <w:b/>
      <w:bCs/>
      <w:sz w:val="20"/>
      <w:szCs w:val="20"/>
    </w:rPr>
  </w:style>
  <w:style w:type="character" w:customStyle="1" w:styleId="normaltextrun">
    <w:name w:val="normaltextrun"/>
    <w:basedOn w:val="DefaultParagraphFont"/>
    <w:rsid w:val="00F81377"/>
  </w:style>
  <w:style w:type="paragraph" w:styleId="Header">
    <w:name w:val="header"/>
    <w:basedOn w:val="Normal"/>
    <w:link w:val="HeaderChar"/>
    <w:uiPriority w:val="99"/>
    <w:unhideWhenUsed/>
    <w:rsid w:val="0028551D"/>
    <w:pPr>
      <w:tabs>
        <w:tab w:val="center" w:pos="4680"/>
        <w:tab w:val="right" w:pos="9360"/>
      </w:tabs>
    </w:pPr>
  </w:style>
  <w:style w:type="character" w:customStyle="1" w:styleId="HeaderChar">
    <w:name w:val="Header Char"/>
    <w:basedOn w:val="DefaultParagraphFont"/>
    <w:link w:val="Header"/>
    <w:uiPriority w:val="99"/>
    <w:rsid w:val="0028551D"/>
    <w:rPr>
      <w:rFonts w:ascii="Arial" w:eastAsia="Arial" w:hAnsi="Arial" w:cs="Arial"/>
    </w:rPr>
  </w:style>
  <w:style w:type="paragraph" w:styleId="Footer">
    <w:name w:val="footer"/>
    <w:basedOn w:val="Normal"/>
    <w:link w:val="FooterChar"/>
    <w:uiPriority w:val="99"/>
    <w:unhideWhenUsed/>
    <w:rsid w:val="0028551D"/>
    <w:pPr>
      <w:tabs>
        <w:tab w:val="center" w:pos="4680"/>
        <w:tab w:val="right" w:pos="9360"/>
      </w:tabs>
    </w:pPr>
  </w:style>
  <w:style w:type="character" w:customStyle="1" w:styleId="FooterChar">
    <w:name w:val="Footer Char"/>
    <w:basedOn w:val="DefaultParagraphFont"/>
    <w:link w:val="Footer"/>
    <w:uiPriority w:val="99"/>
    <w:rsid w:val="0028551D"/>
    <w:rPr>
      <w:rFonts w:ascii="Arial" w:eastAsia="Arial" w:hAnsi="Arial" w:cs="Arial"/>
    </w:rPr>
  </w:style>
  <w:style w:type="character" w:customStyle="1" w:styleId="Heading1Char">
    <w:name w:val="Heading 1 Char"/>
    <w:basedOn w:val="DefaultParagraphFont"/>
    <w:link w:val="Heading1"/>
    <w:uiPriority w:val="9"/>
    <w:rsid w:val="0088455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8523B"/>
    <w:rPr>
      <w:color w:val="0000FF" w:themeColor="hyperlink"/>
      <w:u w:val="single"/>
    </w:rPr>
  </w:style>
  <w:style w:type="character" w:styleId="UnresolvedMention">
    <w:name w:val="Unresolved Mention"/>
    <w:basedOn w:val="DefaultParagraphFont"/>
    <w:uiPriority w:val="99"/>
    <w:semiHidden/>
    <w:unhideWhenUsed/>
    <w:rsid w:val="0018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DJXZ7D336C7E-259460999-1152</_dlc_DocId>
    <_dlc_DocIdUrl xmlns="b3a34a53-9a19-47a4-8acc-4e423288e9ad">
      <Url>https://usnrc.sharepoint.com/teams/OCIO-Information-Collections-Site/_layouts/15/DocIdRedir.aspx?ID=DJXZ7D336C7E-259460999-1152</Url>
      <Description>DJXZ7D336C7E-259460999-1152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479AF-3C2D-425E-BBFB-0A8F12CD4A74}">
  <ds:schemaRefs>
    <ds:schemaRef ds:uri="http://schemas.microsoft.com/office/2006/metadata/properties"/>
    <ds:schemaRef ds:uri="http://schemas.microsoft.com/office/infopath/2007/PartnerControls"/>
    <ds:schemaRef ds:uri="b3a34a53-9a19-47a4-8acc-4e423288e9ad"/>
  </ds:schemaRefs>
</ds:datastoreItem>
</file>

<file path=customXml/itemProps2.xml><?xml version="1.0" encoding="utf-8"?>
<ds:datastoreItem xmlns:ds="http://schemas.openxmlformats.org/officeDocument/2006/customXml" ds:itemID="{ABCA84F5-CB4B-40A6-B109-9719F03A8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8639C-E35E-482B-957B-8E68E627965C}">
  <ds:schemaRefs>
    <ds:schemaRef ds:uri="http://schemas.microsoft.com/sharepoint/events"/>
  </ds:schemaRefs>
</ds:datastoreItem>
</file>

<file path=customXml/itemProps4.xml><?xml version="1.0" encoding="utf-8"?>
<ds:datastoreItem xmlns:ds="http://schemas.openxmlformats.org/officeDocument/2006/customXml" ds:itemID="{145238BA-3974-4BED-953A-DF5E8B5A9DF7}">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1974</Words>
  <Characters>11272</Characters>
  <Application>Microsoft Office Word</Application>
  <DocSecurity>0</DocSecurity>
  <Lines>245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Fishman</dc:creator>
  <cp:lastModifiedBy>Kristen Benney</cp:lastModifiedBy>
  <cp:revision>8</cp:revision>
  <dcterms:created xsi:type="dcterms:W3CDTF">2024-10-17T19:07:00Z</dcterms:created>
  <dcterms:modified xsi:type="dcterms:W3CDTF">2024-10-17T20:49:00Z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edff5ae3-520f-4e2a-82f0-fbcc72accea8</vt:lpwstr>
  </property>
</Properties>
</file>