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91B" w:rsidRPr="00F06197" w:rsidP="00FE562B" w14:paraId="3D5986DE" w14:textId="7409596F">
      <w:pPr>
        <w:pStyle w:val="BodyText"/>
        <w:spacing w:before="73"/>
        <w:ind w:left="1623" w:right="1190"/>
        <w:jc w:val="center"/>
      </w:pPr>
      <w:r w:rsidRPr="00F06197">
        <w:t>FINAL</w:t>
      </w:r>
      <w:r w:rsidRPr="00F06197" w:rsidR="00FE562B">
        <w:rPr>
          <w:spacing w:val="-7"/>
        </w:rPr>
        <w:t xml:space="preserve"> </w:t>
      </w:r>
      <w:r w:rsidRPr="00F06197" w:rsidR="00FE562B">
        <w:t>OMB</w:t>
      </w:r>
      <w:r w:rsidRPr="00F06197" w:rsidR="00FE562B">
        <w:rPr>
          <w:spacing w:val="-7"/>
        </w:rPr>
        <w:t xml:space="preserve"> </w:t>
      </w:r>
      <w:r w:rsidRPr="00F06197" w:rsidR="00FE562B">
        <w:t>SUPPORTING</w:t>
      </w:r>
      <w:r w:rsidRPr="00F06197" w:rsidR="00FE562B">
        <w:rPr>
          <w:spacing w:val="-7"/>
        </w:rPr>
        <w:t xml:space="preserve"> </w:t>
      </w:r>
      <w:r w:rsidRPr="00F06197" w:rsidR="00FE562B">
        <w:t>STATEMENT</w:t>
      </w:r>
      <w:r w:rsidRPr="00F06197" w:rsidR="00FE562B">
        <w:rPr>
          <w:spacing w:val="-7"/>
        </w:rPr>
        <w:t xml:space="preserve"> </w:t>
      </w:r>
      <w:r w:rsidRPr="00F06197" w:rsidR="00FE562B">
        <w:t>FOR</w:t>
      </w:r>
      <w:r w:rsidRPr="00F06197" w:rsidR="00FE562B">
        <w:rPr>
          <w:spacing w:val="-7"/>
        </w:rPr>
        <w:t xml:space="preserve"> </w:t>
      </w:r>
      <w:r w:rsidRPr="00F06197" w:rsidR="00FE562B">
        <w:t>10</w:t>
      </w:r>
      <w:r w:rsidRPr="00F06197" w:rsidR="00FE562B">
        <w:rPr>
          <w:spacing w:val="-6"/>
        </w:rPr>
        <w:t xml:space="preserve"> </w:t>
      </w:r>
      <w:r w:rsidRPr="00F06197" w:rsidR="00FE562B">
        <w:t>CFR</w:t>
      </w:r>
      <w:r w:rsidRPr="00F06197" w:rsidR="00FE562B">
        <w:rPr>
          <w:spacing w:val="-7"/>
        </w:rPr>
        <w:t xml:space="preserve"> </w:t>
      </w:r>
      <w:r w:rsidRPr="00F06197" w:rsidR="00FE562B">
        <w:t>PART</w:t>
      </w:r>
      <w:r w:rsidRPr="00F06197" w:rsidR="00FE562B">
        <w:rPr>
          <w:spacing w:val="-7"/>
        </w:rPr>
        <w:t xml:space="preserve"> </w:t>
      </w:r>
      <w:r w:rsidRPr="00F06197" w:rsidR="00FE562B">
        <w:rPr>
          <w:spacing w:val="-5"/>
        </w:rPr>
        <w:t>50</w:t>
      </w:r>
    </w:p>
    <w:p w:rsidR="004B491B" w:rsidRPr="00F06197" w14:paraId="3D5986DF" w14:textId="77777777">
      <w:pPr>
        <w:pStyle w:val="BodyText"/>
        <w:spacing w:before="1"/>
      </w:pPr>
    </w:p>
    <w:p w:rsidR="004B491B" w:rsidRPr="00F06197" w14:paraId="3D5986E0" w14:textId="77777777">
      <w:pPr>
        <w:pStyle w:val="BodyText"/>
        <w:ind w:left="2587" w:right="2584"/>
        <w:jc w:val="center"/>
      </w:pPr>
      <w:r w:rsidRPr="00F06197">
        <w:t>“DOMESTIC</w:t>
      </w:r>
      <w:r w:rsidRPr="00F06197">
        <w:rPr>
          <w:spacing w:val="-14"/>
        </w:rPr>
        <w:t xml:space="preserve"> </w:t>
      </w:r>
      <w:r w:rsidRPr="00F06197">
        <w:t>LICENSING</w:t>
      </w:r>
      <w:r w:rsidRPr="00F06197">
        <w:rPr>
          <w:spacing w:val="-12"/>
        </w:rPr>
        <w:t xml:space="preserve"> </w:t>
      </w:r>
      <w:r w:rsidRPr="00F06197">
        <w:t>OF</w:t>
      </w:r>
      <w:r w:rsidRPr="00F06197">
        <w:rPr>
          <w:spacing w:val="-13"/>
        </w:rPr>
        <w:t xml:space="preserve"> </w:t>
      </w:r>
      <w:r w:rsidRPr="00F06197">
        <w:t>PRODUCTION AND UTILIZATION FACILITIES”</w:t>
      </w:r>
    </w:p>
    <w:p w:rsidR="004B491B" w:rsidRPr="00F06197" w14:paraId="3D5986E1" w14:textId="77777777">
      <w:pPr>
        <w:pStyle w:val="BodyText"/>
        <w:spacing w:before="11"/>
      </w:pPr>
    </w:p>
    <w:p w:rsidR="004B491B" w:rsidRPr="00F06197" w14:paraId="3D5986E2" w14:textId="77777777">
      <w:pPr>
        <w:pStyle w:val="BodyText"/>
        <w:spacing w:line="480" w:lineRule="auto"/>
        <w:ind w:left="2586" w:right="2584"/>
        <w:jc w:val="center"/>
      </w:pPr>
      <w:r w:rsidRPr="00F06197">
        <w:t>(OMB</w:t>
      </w:r>
      <w:r w:rsidRPr="00F06197">
        <w:rPr>
          <w:spacing w:val="-13"/>
        </w:rPr>
        <w:t xml:space="preserve"> </w:t>
      </w:r>
      <w:r w:rsidRPr="00F06197">
        <w:t>CLEARANCE</w:t>
      </w:r>
      <w:r w:rsidRPr="00F06197">
        <w:rPr>
          <w:spacing w:val="-13"/>
        </w:rPr>
        <w:t xml:space="preserve"> </w:t>
      </w:r>
      <w:r w:rsidRPr="00F06197">
        <w:t>NO.</w:t>
      </w:r>
      <w:r w:rsidRPr="00F06197">
        <w:rPr>
          <w:spacing w:val="-12"/>
        </w:rPr>
        <w:t xml:space="preserve"> </w:t>
      </w:r>
      <w:r w:rsidRPr="00F06197">
        <w:t xml:space="preserve">3150-0011) </w:t>
      </w:r>
      <w:r w:rsidRPr="00F06197">
        <w:rPr>
          <w:spacing w:val="-2"/>
        </w:rPr>
        <w:t>EXTENSION</w:t>
      </w:r>
    </w:p>
    <w:p w:rsidR="004B491B" w:rsidRPr="00F06197" w14:paraId="3D5986E4" w14:textId="77777777">
      <w:pPr>
        <w:pStyle w:val="BodyText"/>
        <w:spacing w:before="93"/>
        <w:ind w:left="100"/>
      </w:pPr>
      <w:r w:rsidRPr="00F06197">
        <w:rPr>
          <w:spacing w:val="-2"/>
          <w:u w:val="single"/>
        </w:rPr>
        <w:t>ABSTRACT</w:t>
      </w:r>
    </w:p>
    <w:p w:rsidR="004B491B" w:rsidRPr="00F06197" w14:paraId="3D5986E5" w14:textId="77777777">
      <w:pPr>
        <w:pStyle w:val="BodyText"/>
      </w:pPr>
    </w:p>
    <w:p w:rsidR="004B491B" w:rsidRPr="00F06197" w:rsidP="003C1A3F" w14:paraId="3D5986E6" w14:textId="480130FA">
      <w:pPr>
        <w:pStyle w:val="BodyText"/>
        <w:spacing w:before="93"/>
        <w:ind w:left="100" w:right="20"/>
      </w:pPr>
      <w:r w:rsidRPr="00F06197">
        <w:t>The</w:t>
      </w:r>
      <w:r w:rsidRPr="00F06197">
        <w:rPr>
          <w:spacing w:val="-1"/>
        </w:rPr>
        <w:t xml:space="preserve"> </w:t>
      </w:r>
      <w:r w:rsidRPr="00F06197">
        <w:t>regulations</w:t>
      </w:r>
      <w:r w:rsidRPr="00F06197">
        <w:rPr>
          <w:spacing w:val="-1"/>
        </w:rPr>
        <w:t xml:space="preserve"> </w:t>
      </w:r>
      <w:r w:rsidRPr="00F06197">
        <w:t>in</w:t>
      </w:r>
      <w:r w:rsidRPr="00F06197">
        <w:rPr>
          <w:spacing w:val="-1"/>
        </w:rPr>
        <w:t xml:space="preserve"> </w:t>
      </w:r>
      <w:r w:rsidRPr="00F06197">
        <w:t>10</w:t>
      </w:r>
      <w:r w:rsidRPr="00F06197">
        <w:rPr>
          <w:spacing w:val="-1"/>
        </w:rPr>
        <w:t xml:space="preserve"> </w:t>
      </w:r>
      <w:r w:rsidRPr="00F06197">
        <w:t>CFR</w:t>
      </w:r>
      <w:r w:rsidRPr="00F06197">
        <w:rPr>
          <w:spacing w:val="-1"/>
        </w:rPr>
        <w:t xml:space="preserve"> </w:t>
      </w:r>
      <w:r w:rsidRPr="00F06197">
        <w:t>Part</w:t>
      </w:r>
      <w:r w:rsidRPr="00F06197">
        <w:rPr>
          <w:spacing w:val="-1"/>
        </w:rPr>
        <w:t xml:space="preserve"> </w:t>
      </w:r>
      <w:r w:rsidRPr="00F06197">
        <w:t>50,</w:t>
      </w:r>
      <w:r w:rsidRPr="00F06197">
        <w:rPr>
          <w:spacing w:val="-1"/>
        </w:rPr>
        <w:t xml:space="preserve"> </w:t>
      </w:r>
      <w:r w:rsidRPr="00F06197">
        <w:t>“Domestic</w:t>
      </w:r>
      <w:r w:rsidRPr="00F06197">
        <w:rPr>
          <w:spacing w:val="-1"/>
        </w:rPr>
        <w:t xml:space="preserve"> </w:t>
      </w:r>
      <w:r w:rsidRPr="00F06197">
        <w:t>Licensing</w:t>
      </w:r>
      <w:r w:rsidRPr="00F06197">
        <w:rPr>
          <w:spacing w:val="-1"/>
        </w:rPr>
        <w:t xml:space="preserve"> </w:t>
      </w:r>
      <w:r w:rsidRPr="00F06197">
        <w:t>of</w:t>
      </w:r>
      <w:r w:rsidRPr="00F06197">
        <w:rPr>
          <w:spacing w:val="-1"/>
        </w:rPr>
        <w:t xml:space="preserve"> </w:t>
      </w:r>
      <w:r w:rsidRPr="00F06197">
        <w:t>Production</w:t>
      </w:r>
      <w:r w:rsidRPr="00F06197">
        <w:rPr>
          <w:spacing w:val="-1"/>
        </w:rPr>
        <w:t xml:space="preserve"> </w:t>
      </w:r>
      <w:r w:rsidRPr="00F06197">
        <w:t>and</w:t>
      </w:r>
      <w:r w:rsidRPr="00F06197">
        <w:rPr>
          <w:spacing w:val="-1"/>
        </w:rPr>
        <w:t xml:space="preserve"> </w:t>
      </w:r>
      <w:r w:rsidRPr="00F06197">
        <w:t>Utilization</w:t>
      </w:r>
      <w:r w:rsidRPr="00F06197">
        <w:rPr>
          <w:spacing w:val="-2"/>
        </w:rPr>
        <w:t xml:space="preserve"> </w:t>
      </w:r>
      <w:r w:rsidRPr="00F06197">
        <w:t>Facilities,” are promulgated by the U.S. Nuclear Regulatory Commission (NRC) pursuant to the Atomic Energy Act of 1954, as amended (the Act), to provide for the licensing and regulation of production and utilization facilities.</w:t>
      </w:r>
      <w:r w:rsidRPr="00F06197">
        <w:rPr>
          <w:spacing w:val="40"/>
        </w:rPr>
        <w:t xml:space="preserve"> </w:t>
      </w:r>
      <w:r w:rsidRPr="00F06197">
        <w:t>They contain reporting, recordkeeping, third-party notification, and application requirements that are key components in the NRC’s licensing and regulatory</w:t>
      </w:r>
      <w:r w:rsidRPr="00F06197">
        <w:rPr>
          <w:spacing w:val="-3"/>
        </w:rPr>
        <w:t xml:space="preserve"> </w:t>
      </w:r>
      <w:r w:rsidRPr="00F06197">
        <w:t>processes.</w:t>
      </w:r>
      <w:r w:rsidRPr="00F06197">
        <w:rPr>
          <w:spacing w:val="40"/>
        </w:rPr>
        <w:t xml:space="preserve"> </w:t>
      </w:r>
      <w:r w:rsidRPr="00F06197">
        <w:t>Guidance</w:t>
      </w:r>
      <w:r w:rsidRPr="00F06197">
        <w:rPr>
          <w:spacing w:val="-3"/>
        </w:rPr>
        <w:t xml:space="preserve"> </w:t>
      </w:r>
      <w:r w:rsidRPr="00F06197">
        <w:t>on</w:t>
      </w:r>
      <w:r w:rsidRPr="00F06197">
        <w:rPr>
          <w:spacing w:val="-3"/>
        </w:rPr>
        <w:t xml:space="preserve"> </w:t>
      </w:r>
      <w:r w:rsidRPr="00F06197">
        <w:t>acceptable</w:t>
      </w:r>
      <w:r w:rsidRPr="00F06197">
        <w:rPr>
          <w:spacing w:val="-3"/>
        </w:rPr>
        <w:t xml:space="preserve"> </w:t>
      </w:r>
      <w:r w:rsidRPr="00F06197">
        <w:t>means</w:t>
      </w:r>
      <w:r w:rsidRPr="00F06197">
        <w:rPr>
          <w:spacing w:val="-3"/>
        </w:rPr>
        <w:t xml:space="preserve"> </w:t>
      </w:r>
      <w:r w:rsidRPr="00F06197">
        <w:t>of</w:t>
      </w:r>
      <w:r w:rsidRPr="00F06197">
        <w:rPr>
          <w:spacing w:val="-3"/>
        </w:rPr>
        <w:t xml:space="preserve"> </w:t>
      </w:r>
      <w:r w:rsidRPr="00F06197">
        <w:t>complying</w:t>
      </w:r>
      <w:r w:rsidRPr="00F06197">
        <w:rPr>
          <w:spacing w:val="-3"/>
        </w:rPr>
        <w:t xml:space="preserve"> </w:t>
      </w:r>
      <w:r w:rsidRPr="00F06197">
        <w:t>with</w:t>
      </w:r>
      <w:r w:rsidRPr="00F06197">
        <w:rPr>
          <w:spacing w:val="-3"/>
        </w:rPr>
        <w:t xml:space="preserve"> </w:t>
      </w:r>
      <w:r w:rsidRPr="00F06197">
        <w:t>10</w:t>
      </w:r>
      <w:r w:rsidRPr="00F06197">
        <w:rPr>
          <w:spacing w:val="-3"/>
        </w:rPr>
        <w:t xml:space="preserve"> </w:t>
      </w:r>
      <w:r w:rsidRPr="00F06197">
        <w:t>CFR</w:t>
      </w:r>
      <w:r w:rsidRPr="00F06197">
        <w:rPr>
          <w:spacing w:val="-3"/>
        </w:rPr>
        <w:t xml:space="preserve"> </w:t>
      </w:r>
      <w:r w:rsidRPr="00F06197">
        <w:t>50</w:t>
      </w:r>
      <w:r w:rsidRPr="00F06197">
        <w:rPr>
          <w:spacing w:val="-3"/>
        </w:rPr>
        <w:t xml:space="preserve"> </w:t>
      </w:r>
      <w:r w:rsidRPr="00F06197">
        <w:t>is</w:t>
      </w:r>
      <w:r w:rsidRPr="00F06197">
        <w:rPr>
          <w:spacing w:val="-3"/>
        </w:rPr>
        <w:t xml:space="preserve"> </w:t>
      </w:r>
      <w:r w:rsidRPr="00F06197">
        <w:t xml:space="preserve">provided through </w:t>
      </w:r>
      <w:r w:rsidRPr="00F06197" w:rsidR="00F65432">
        <w:t>several</w:t>
      </w:r>
      <w:r w:rsidRPr="00F06197">
        <w:t xml:space="preserve"> NRC publications including Regulatory Guides, the NUREG-series, Inspection Manual Chapters, and Interim Staff Guidance documents.</w:t>
      </w:r>
    </w:p>
    <w:p w:rsidR="004B491B" w:rsidRPr="00F06197" w14:paraId="3D5986E7" w14:textId="77777777">
      <w:pPr>
        <w:pStyle w:val="BodyText"/>
        <w:spacing w:before="10"/>
      </w:pPr>
    </w:p>
    <w:p w:rsidR="004B491B" w:rsidRPr="00F06197" w:rsidP="003C1A3F" w14:paraId="3D5986E8" w14:textId="756D0780">
      <w:pPr>
        <w:pStyle w:val="BodyText"/>
        <w:spacing w:before="1"/>
        <w:ind w:left="100" w:right="20"/>
      </w:pPr>
      <w:r w:rsidRPr="00F06197">
        <w:t>The information collection requirements in 10 CFR Part 50 apply to several types of facilities discussed in the rule, including nuclear power plants and non-power production and utilization facilities; moreover, 10 CFR Part 50 covers the lifecycle of facilities from initial licensing to decommissioning.</w:t>
      </w:r>
      <w:r w:rsidRPr="00F06197">
        <w:rPr>
          <w:spacing w:val="40"/>
        </w:rPr>
        <w:t xml:space="preserve"> </w:t>
      </w:r>
      <w:r w:rsidRPr="00F06197">
        <w:t>The number of respondents to the information collections in the rule varies due</w:t>
      </w:r>
      <w:r w:rsidRPr="00F06197">
        <w:rPr>
          <w:spacing w:val="-3"/>
        </w:rPr>
        <w:t xml:space="preserve"> </w:t>
      </w:r>
      <w:r w:rsidRPr="00F06197">
        <w:t>to</w:t>
      </w:r>
      <w:r w:rsidRPr="00F06197">
        <w:rPr>
          <w:spacing w:val="-3"/>
        </w:rPr>
        <w:t xml:space="preserve"> </w:t>
      </w:r>
      <w:r w:rsidRPr="00F06197" w:rsidR="00F65432">
        <w:t>several</w:t>
      </w:r>
      <w:r w:rsidRPr="00F06197">
        <w:rPr>
          <w:spacing w:val="-3"/>
        </w:rPr>
        <w:t xml:space="preserve"> </w:t>
      </w:r>
      <w:r w:rsidRPr="00F06197">
        <w:t>factors</w:t>
      </w:r>
      <w:r w:rsidRPr="00F06197">
        <w:rPr>
          <w:spacing w:val="-3"/>
        </w:rPr>
        <w:t xml:space="preserve"> </w:t>
      </w:r>
      <w:r w:rsidRPr="00F06197">
        <w:t>including</w:t>
      </w:r>
      <w:r w:rsidRPr="00F06197">
        <w:rPr>
          <w:spacing w:val="-3"/>
        </w:rPr>
        <w:t xml:space="preserve"> </w:t>
      </w:r>
      <w:r w:rsidRPr="00F06197">
        <w:t>the</w:t>
      </w:r>
      <w:r w:rsidRPr="00F06197">
        <w:rPr>
          <w:spacing w:val="-3"/>
        </w:rPr>
        <w:t xml:space="preserve"> </w:t>
      </w:r>
      <w:r w:rsidRPr="00F06197">
        <w:t>number</w:t>
      </w:r>
      <w:r w:rsidRPr="00F06197">
        <w:rPr>
          <w:spacing w:val="-3"/>
        </w:rPr>
        <w:t xml:space="preserve"> </w:t>
      </w:r>
      <w:r w:rsidRPr="00F06197">
        <w:t>of</w:t>
      </w:r>
      <w:r w:rsidRPr="00F06197">
        <w:rPr>
          <w:spacing w:val="-3"/>
        </w:rPr>
        <w:t xml:space="preserve"> </w:t>
      </w:r>
      <w:r w:rsidRPr="00F06197">
        <w:t>licensing</w:t>
      </w:r>
      <w:r w:rsidRPr="00F06197">
        <w:rPr>
          <w:spacing w:val="-3"/>
        </w:rPr>
        <w:t xml:space="preserve"> </w:t>
      </w:r>
      <w:r w:rsidRPr="00F06197">
        <w:t>requests</w:t>
      </w:r>
      <w:r w:rsidRPr="00F06197">
        <w:rPr>
          <w:spacing w:val="-3"/>
        </w:rPr>
        <w:t xml:space="preserve"> </w:t>
      </w:r>
      <w:r w:rsidRPr="00F06197">
        <w:t>initiated</w:t>
      </w:r>
      <w:r w:rsidRPr="00F06197">
        <w:rPr>
          <w:spacing w:val="-3"/>
        </w:rPr>
        <w:t xml:space="preserve"> </w:t>
      </w:r>
      <w:r w:rsidRPr="00F06197">
        <w:t>and/or</w:t>
      </w:r>
      <w:r w:rsidRPr="00F06197">
        <w:rPr>
          <w:spacing w:val="-3"/>
        </w:rPr>
        <w:t xml:space="preserve"> </w:t>
      </w:r>
      <w:r w:rsidRPr="00F06197" w:rsidR="00F65432">
        <w:t>completed,</w:t>
      </w:r>
      <w:r w:rsidRPr="00F06197">
        <w:t xml:space="preserve"> and the number of regulatory reports required by operating events and/or conditions.</w:t>
      </w:r>
      <w:r w:rsidRPr="00F06197">
        <w:rPr>
          <w:spacing w:val="40"/>
        </w:rPr>
        <w:t xml:space="preserve"> </w:t>
      </w:r>
      <w:r w:rsidRPr="00F06197">
        <w:t>The NRC estimates the average number of potential respondents during this clearance period will be:</w:t>
      </w:r>
    </w:p>
    <w:p w:rsidR="004B491B" w:rsidRPr="00F06197" w14:paraId="3D5986E9" w14:textId="77777777">
      <w:pPr>
        <w:pStyle w:val="BodyText"/>
      </w:pPr>
    </w:p>
    <w:p w:rsidR="001D35B7" w:rsidRPr="00F06197" w14:paraId="048D2DC9" w14:textId="1536B998">
      <w:pPr>
        <w:pStyle w:val="BodyText"/>
      </w:pPr>
      <w:r w:rsidRPr="00F06197">
        <w:tab/>
        <w:t>Part 50 Respondents</w:t>
      </w:r>
    </w:p>
    <w:p w:rsidR="004B491B" w:rsidRPr="00F06197" w:rsidP="007C3DA8" w14:paraId="3D5986EA" w14:textId="4A14FE44">
      <w:pPr>
        <w:pStyle w:val="BodyText"/>
        <w:ind w:left="720" w:right="5749"/>
      </w:pPr>
      <w:r w:rsidRPr="00F06197">
        <w:t>94</w:t>
      </w:r>
      <w:r w:rsidRPr="00F06197">
        <w:rPr>
          <w:spacing w:val="-9"/>
        </w:rPr>
        <w:t xml:space="preserve"> </w:t>
      </w:r>
      <w:r w:rsidRPr="00F06197">
        <w:t>-</w:t>
      </w:r>
      <w:r w:rsidRPr="00F06197">
        <w:rPr>
          <w:spacing w:val="-9"/>
        </w:rPr>
        <w:t xml:space="preserve"> </w:t>
      </w:r>
      <w:r w:rsidRPr="00F06197">
        <w:t>Operating</w:t>
      </w:r>
      <w:r w:rsidRPr="00F06197">
        <w:rPr>
          <w:spacing w:val="-9"/>
        </w:rPr>
        <w:t xml:space="preserve"> </w:t>
      </w:r>
      <w:r w:rsidRPr="00F06197">
        <w:t>Power</w:t>
      </w:r>
      <w:r w:rsidRPr="00F06197">
        <w:rPr>
          <w:spacing w:val="-9"/>
        </w:rPr>
        <w:t xml:space="preserve"> </w:t>
      </w:r>
      <w:r w:rsidRPr="00F06197">
        <w:t>Reactors 29 - Power Reactor Licensees 54 - Power Reactor Sites</w:t>
      </w:r>
    </w:p>
    <w:p w:rsidR="004B491B" w:rsidRPr="00F06197" w:rsidP="007C3DA8" w14:paraId="3D5986EB" w14:textId="615EA6EB">
      <w:pPr>
        <w:pStyle w:val="BodyText"/>
        <w:spacing w:line="252" w:lineRule="exact"/>
        <w:ind w:left="640" w:firstLine="80"/>
      </w:pPr>
      <w:r w:rsidRPr="00F06197">
        <w:t>2</w:t>
      </w:r>
      <w:r w:rsidRPr="00F06197" w:rsidR="00545AF2">
        <w:t>5</w:t>
      </w:r>
      <w:r w:rsidRPr="00F06197">
        <w:rPr>
          <w:spacing w:val="-5"/>
        </w:rPr>
        <w:t xml:space="preserve"> </w:t>
      </w:r>
      <w:r w:rsidRPr="00F06197">
        <w:t>-</w:t>
      </w:r>
      <w:r w:rsidRPr="00F06197">
        <w:rPr>
          <w:spacing w:val="-5"/>
        </w:rPr>
        <w:t xml:space="preserve"> </w:t>
      </w:r>
      <w:r w:rsidRPr="00F06197">
        <w:t>Power</w:t>
      </w:r>
      <w:r w:rsidRPr="00F06197">
        <w:rPr>
          <w:spacing w:val="-5"/>
        </w:rPr>
        <w:t xml:space="preserve"> </w:t>
      </w:r>
      <w:r w:rsidRPr="00F06197">
        <w:t>Reactors</w:t>
      </w:r>
      <w:r w:rsidRPr="00F06197">
        <w:rPr>
          <w:spacing w:val="-5"/>
        </w:rPr>
        <w:t xml:space="preserve"> </w:t>
      </w:r>
      <w:r w:rsidRPr="00F06197">
        <w:t>Being</w:t>
      </w:r>
      <w:r w:rsidRPr="00F06197">
        <w:rPr>
          <w:spacing w:val="-4"/>
        </w:rPr>
        <w:t xml:space="preserve"> </w:t>
      </w:r>
      <w:r w:rsidRPr="00F06197">
        <w:rPr>
          <w:spacing w:val="-2"/>
        </w:rPr>
        <w:t>Decommissioned</w:t>
      </w:r>
    </w:p>
    <w:p w:rsidR="001266C8" w:rsidRPr="00F06197" w:rsidP="007C3DA8" w14:paraId="3A124082" w14:textId="77777777">
      <w:pPr>
        <w:pStyle w:val="BodyText"/>
        <w:ind w:left="639" w:right="2784" w:firstLine="81"/>
      </w:pPr>
      <w:r w:rsidRPr="00F06197">
        <w:t>31</w:t>
      </w:r>
      <w:r w:rsidRPr="00F06197">
        <w:rPr>
          <w:spacing w:val="-6"/>
        </w:rPr>
        <w:t xml:space="preserve"> </w:t>
      </w:r>
      <w:r w:rsidRPr="00F06197">
        <w:t>-</w:t>
      </w:r>
      <w:r w:rsidRPr="00F06197">
        <w:rPr>
          <w:spacing w:val="-6"/>
        </w:rPr>
        <w:t xml:space="preserve"> </w:t>
      </w:r>
      <w:r w:rsidRPr="00F06197">
        <w:t>Licensed</w:t>
      </w:r>
      <w:r w:rsidRPr="00F06197">
        <w:rPr>
          <w:spacing w:val="-6"/>
        </w:rPr>
        <w:t xml:space="preserve"> </w:t>
      </w:r>
      <w:r w:rsidRPr="00F06197">
        <w:t>Non-Power</w:t>
      </w:r>
      <w:r w:rsidRPr="00F06197">
        <w:rPr>
          <w:spacing w:val="-6"/>
        </w:rPr>
        <w:t xml:space="preserve"> </w:t>
      </w:r>
      <w:r w:rsidRPr="00F06197">
        <w:t>Production</w:t>
      </w:r>
      <w:r w:rsidRPr="00F06197">
        <w:rPr>
          <w:spacing w:val="-7"/>
        </w:rPr>
        <w:t xml:space="preserve"> </w:t>
      </w:r>
      <w:r w:rsidRPr="00F06197">
        <w:t>and</w:t>
      </w:r>
      <w:r w:rsidRPr="00F06197">
        <w:rPr>
          <w:spacing w:val="-6"/>
        </w:rPr>
        <w:t xml:space="preserve"> </w:t>
      </w:r>
      <w:r w:rsidRPr="00F06197">
        <w:t>Utilization</w:t>
      </w:r>
      <w:r w:rsidRPr="00F06197">
        <w:rPr>
          <w:spacing w:val="-6"/>
        </w:rPr>
        <w:t xml:space="preserve"> </w:t>
      </w:r>
      <w:r w:rsidRPr="00F06197">
        <w:t>Facilities</w:t>
      </w:r>
    </w:p>
    <w:p w:rsidR="00F66430" w:rsidRPr="00F06197" w:rsidP="007C3DA8" w14:paraId="5D203E68" w14:textId="5ECFEA90">
      <w:pPr>
        <w:pStyle w:val="BodyText"/>
        <w:ind w:left="639" w:right="2784" w:firstLine="81"/>
      </w:pPr>
      <w:r w:rsidRPr="00F06197">
        <w:t xml:space="preserve">  1 </w:t>
      </w:r>
      <w:r w:rsidRPr="00F06197" w:rsidR="00142905">
        <w:t>-</w:t>
      </w:r>
      <w:r w:rsidRPr="00F06197">
        <w:t xml:space="preserve"> </w:t>
      </w:r>
      <w:r w:rsidRPr="00F06197" w:rsidR="00142905">
        <w:t>Early Site Permit, Light Water Reactor</w:t>
      </w:r>
    </w:p>
    <w:p w:rsidR="00142905" w:rsidRPr="00F06197" w:rsidP="000E1EF3" w14:paraId="647F4F23" w14:textId="1C9FB0C1">
      <w:pPr>
        <w:pStyle w:val="BodyText"/>
        <w:ind w:left="639" w:right="2360" w:firstLine="81"/>
      </w:pPr>
      <w:r w:rsidRPr="00F06197">
        <w:t xml:space="preserve"> </w:t>
      </w:r>
      <w:r w:rsidRPr="00F06197" w:rsidR="008D3AA4">
        <w:t>1</w:t>
      </w:r>
      <w:r w:rsidRPr="00F06197" w:rsidR="00AC1576">
        <w:t>0</w:t>
      </w:r>
      <w:r w:rsidRPr="00F06197">
        <w:t xml:space="preserve"> </w:t>
      </w:r>
      <w:r w:rsidRPr="00F06197" w:rsidR="00A86058">
        <w:t>-</w:t>
      </w:r>
      <w:r w:rsidRPr="00F06197">
        <w:t xml:space="preserve"> Construction Permit, non</w:t>
      </w:r>
      <w:r w:rsidRPr="00F06197" w:rsidR="000E1EF3">
        <w:t>-Light Water Reactor/adv Reactor</w:t>
      </w:r>
    </w:p>
    <w:p w:rsidR="000A61CC" w:rsidRPr="00F06197" w:rsidP="000A61CC" w14:paraId="6239913A" w14:textId="2BE0134D">
      <w:pPr>
        <w:pStyle w:val="BodyText"/>
        <w:ind w:left="639" w:right="560" w:firstLine="81"/>
      </w:pPr>
      <w:r w:rsidRPr="00F06197">
        <w:t xml:space="preserve">  1 </w:t>
      </w:r>
      <w:r w:rsidRPr="00F06197" w:rsidR="00234398">
        <w:t>-</w:t>
      </w:r>
      <w:r w:rsidRPr="00F06197">
        <w:t xml:space="preserve"> Construction Permit, Light Water Reactor</w:t>
      </w:r>
    </w:p>
    <w:p w:rsidR="007F204D" w:rsidRPr="00F06197" w:rsidP="000A61CC" w14:paraId="1F1FD7BA" w14:textId="6BABAC0B">
      <w:pPr>
        <w:pStyle w:val="BodyText"/>
        <w:ind w:left="639" w:right="560" w:firstLine="81"/>
      </w:pPr>
      <w:r w:rsidRPr="00F06197">
        <w:t xml:space="preserve"> </w:t>
      </w:r>
      <w:r w:rsidRPr="00F06197" w:rsidR="007B6862">
        <w:t xml:space="preserve"> </w:t>
      </w:r>
      <w:r w:rsidRPr="00F06197" w:rsidR="000202E8">
        <w:t>7</w:t>
      </w:r>
      <w:r w:rsidRPr="00F06197">
        <w:t xml:space="preserve"> </w:t>
      </w:r>
      <w:r w:rsidRPr="00F06197" w:rsidR="00234398">
        <w:t>-</w:t>
      </w:r>
      <w:r w:rsidRPr="00F06197">
        <w:t xml:space="preserve"> Operating License, non-Light Water</w:t>
      </w:r>
      <w:r w:rsidRPr="00F06197" w:rsidR="007B4E4C">
        <w:t xml:space="preserve"> Reactor/adv Reactor</w:t>
      </w:r>
    </w:p>
    <w:p w:rsidR="007B4E4C" w:rsidRPr="00F06197" w:rsidP="000A61CC" w14:paraId="77463A2A" w14:textId="0E5E0FFD">
      <w:pPr>
        <w:pStyle w:val="BodyText"/>
        <w:ind w:left="639" w:right="560" w:firstLine="81"/>
      </w:pPr>
      <w:r w:rsidRPr="00F06197">
        <w:t xml:space="preserve">  1 </w:t>
      </w:r>
      <w:r w:rsidRPr="00F06197" w:rsidR="00234398">
        <w:t>-</w:t>
      </w:r>
      <w:r w:rsidRPr="00F06197">
        <w:t xml:space="preserve"> Operating License</w:t>
      </w:r>
      <w:r w:rsidRPr="00F06197" w:rsidR="00BD7D2D">
        <w:t>, Light Water Reactor</w:t>
      </w:r>
    </w:p>
    <w:p w:rsidR="00BD7D2D" w:rsidRPr="00F06197" w:rsidP="000A61CC" w14:paraId="505E716E" w14:textId="77777777">
      <w:pPr>
        <w:pStyle w:val="BodyText"/>
        <w:ind w:left="639" w:right="560" w:firstLine="81"/>
      </w:pPr>
    </w:p>
    <w:p w:rsidR="00BD7D2D" w:rsidRPr="00F06197" w:rsidP="000A61CC" w14:paraId="74E2232A" w14:textId="6847467F">
      <w:pPr>
        <w:pStyle w:val="BodyText"/>
        <w:ind w:left="639" w:right="560" w:firstLine="81"/>
      </w:pPr>
      <w:r w:rsidRPr="00F06197">
        <w:t>Part 52 Respondents (applicants/holders)</w:t>
      </w:r>
    </w:p>
    <w:p w:rsidR="00331232" w:rsidRPr="00F06197" w:rsidP="000A61CC" w14:paraId="6BFBC288" w14:textId="6A3DB1AF">
      <w:pPr>
        <w:pStyle w:val="BodyText"/>
        <w:ind w:left="639" w:right="560" w:firstLine="81"/>
      </w:pPr>
      <w:r w:rsidRPr="00F06197">
        <w:t xml:space="preserve"> 6 </w:t>
      </w:r>
      <w:r w:rsidRPr="00F06197" w:rsidR="00234398">
        <w:t>-</w:t>
      </w:r>
      <w:r w:rsidRPr="00F06197">
        <w:t xml:space="preserve"> </w:t>
      </w:r>
      <w:r w:rsidRPr="00F06197" w:rsidR="00B75008">
        <w:t>Early Site Permit Holders</w:t>
      </w:r>
    </w:p>
    <w:p w:rsidR="004B491B" w:rsidRPr="00F06197" w14:paraId="3D5986EC" w14:textId="5330A9BE">
      <w:pPr>
        <w:pStyle w:val="BodyText"/>
        <w:ind w:left="639" w:right="2784"/>
      </w:pPr>
      <w:r w:rsidRPr="00F06197">
        <w:t xml:space="preserve"> </w:t>
      </w:r>
      <w:r w:rsidRPr="00F06197" w:rsidR="007C3DA8">
        <w:tab/>
      </w:r>
      <w:r w:rsidRPr="00F06197">
        <w:t xml:space="preserve"> 8 - Combined License Holders</w:t>
      </w:r>
    </w:p>
    <w:p w:rsidR="00AD5121" w:rsidRPr="00F06197" w14:paraId="1769DCD7" w14:textId="48725CAC">
      <w:pPr>
        <w:pStyle w:val="BodyText"/>
        <w:ind w:left="639" w:right="2784"/>
      </w:pPr>
      <w:r w:rsidRPr="00F06197">
        <w:t xml:space="preserve">  0 </w:t>
      </w:r>
      <w:r w:rsidRPr="00F06197" w:rsidR="0038335E">
        <w:t>-</w:t>
      </w:r>
      <w:r w:rsidRPr="00F06197">
        <w:t xml:space="preserve"> Manufac</w:t>
      </w:r>
      <w:r w:rsidRPr="00F06197" w:rsidR="00CB10DA">
        <w:t>turing Holders</w:t>
      </w:r>
    </w:p>
    <w:p w:rsidR="00CB10DA" w:rsidRPr="00F06197" w14:paraId="78F619B6" w14:textId="275E206A">
      <w:pPr>
        <w:pStyle w:val="BodyText"/>
        <w:ind w:left="639" w:right="2784"/>
      </w:pPr>
      <w:r w:rsidRPr="00F06197">
        <w:t xml:space="preserve">  1 </w:t>
      </w:r>
      <w:r w:rsidRPr="00F06197" w:rsidR="0038335E">
        <w:t>-</w:t>
      </w:r>
      <w:r w:rsidRPr="00F06197">
        <w:t xml:space="preserve"> Early Site Permit Applica</w:t>
      </w:r>
      <w:r w:rsidRPr="00F06197" w:rsidR="00EF59BD">
        <w:t>nts</w:t>
      </w:r>
    </w:p>
    <w:p w:rsidR="00EF59BD" w:rsidRPr="00F06197" w14:paraId="7D6F55C5" w14:textId="0D0050ED">
      <w:pPr>
        <w:pStyle w:val="BodyText"/>
        <w:ind w:left="639" w:right="2784"/>
      </w:pPr>
      <w:r w:rsidRPr="00F06197">
        <w:t xml:space="preserve"> </w:t>
      </w:r>
      <w:r w:rsidRPr="00F06197" w:rsidR="0038335E">
        <w:t xml:space="preserve"> </w:t>
      </w:r>
      <w:r w:rsidRPr="00F06197">
        <w:t xml:space="preserve">1 </w:t>
      </w:r>
      <w:r w:rsidRPr="00F06197" w:rsidR="0038335E">
        <w:t>-</w:t>
      </w:r>
      <w:r w:rsidRPr="00F06197">
        <w:t xml:space="preserve"> </w:t>
      </w:r>
      <w:r w:rsidRPr="00F06197" w:rsidR="0092099F">
        <w:t>Standard Design Certification Applicant</w:t>
      </w:r>
    </w:p>
    <w:p w:rsidR="004749C8" w14:paraId="434B05E0" w14:textId="77777777">
      <w:r>
        <w:br w:type="page"/>
      </w:r>
    </w:p>
    <w:p w:rsidR="0092099F" w:rsidRPr="00F06197" w14:paraId="77B8B43C" w14:textId="690015A3">
      <w:pPr>
        <w:pStyle w:val="BodyText"/>
        <w:ind w:left="639" w:right="2784"/>
      </w:pPr>
      <w:r w:rsidRPr="00F06197">
        <w:t xml:space="preserve"> </w:t>
      </w:r>
      <w:r w:rsidRPr="00F06197">
        <w:t xml:space="preserve"> 6 </w:t>
      </w:r>
      <w:r w:rsidRPr="00F06197" w:rsidR="0038335E">
        <w:t>-</w:t>
      </w:r>
      <w:r w:rsidRPr="00F06197">
        <w:t xml:space="preserve"> Combined License Applicant</w:t>
      </w:r>
    </w:p>
    <w:p w:rsidR="00694906" w:rsidRPr="00F06197" w14:paraId="7A62C9BA" w14:textId="55C093A2">
      <w:pPr>
        <w:pStyle w:val="BodyText"/>
        <w:ind w:left="639" w:right="2784"/>
      </w:pPr>
      <w:r w:rsidRPr="00F06197">
        <w:t xml:space="preserve"> </w:t>
      </w:r>
      <w:r w:rsidRPr="00F06197" w:rsidR="00B84B30">
        <w:t xml:space="preserve"> </w:t>
      </w:r>
      <w:r w:rsidRPr="00F06197">
        <w:t>2-</w:t>
      </w:r>
      <w:r w:rsidRPr="00F06197" w:rsidR="00B84B30">
        <w:t>Standard Design Approval applicant</w:t>
      </w:r>
    </w:p>
    <w:p w:rsidR="0092099F" w:rsidRPr="00F06197" w14:paraId="0E494448" w14:textId="0EADB4A5">
      <w:pPr>
        <w:pStyle w:val="BodyText"/>
        <w:ind w:left="639" w:right="2784"/>
      </w:pPr>
      <w:r w:rsidRPr="00F06197">
        <w:t xml:space="preserve"> 2 </w:t>
      </w:r>
      <w:r w:rsidRPr="00F06197" w:rsidR="0038335E">
        <w:t>-</w:t>
      </w:r>
      <w:r w:rsidRPr="00F06197">
        <w:t xml:space="preserve"> Manufacturing License Applicant</w:t>
      </w:r>
    </w:p>
    <w:p w:rsidR="00FB56CA" w:rsidRPr="00F06197" w14:paraId="0FE2968D" w14:textId="77777777">
      <w:pPr>
        <w:pStyle w:val="BodyText"/>
        <w:ind w:left="639" w:right="2784"/>
      </w:pPr>
    </w:p>
    <w:p w:rsidR="004B491B" w:rsidRPr="00F06197" w14:paraId="3D5986EE" w14:textId="77777777">
      <w:pPr>
        <w:pStyle w:val="BodyText"/>
        <w:ind w:left="100" w:right="222"/>
      </w:pPr>
      <w:r w:rsidRPr="00F06197">
        <w:t>Reporting requirements are directed toward licensees or applicants.</w:t>
      </w:r>
      <w:r w:rsidRPr="00F06197">
        <w:rPr>
          <w:spacing w:val="40"/>
        </w:rPr>
        <w:t xml:space="preserve"> </w:t>
      </w:r>
      <w:r w:rsidRPr="00F06197">
        <w:t>However, reporting requirements</w:t>
      </w:r>
      <w:r w:rsidRPr="00F06197">
        <w:rPr>
          <w:spacing w:val="-2"/>
        </w:rPr>
        <w:t xml:space="preserve"> </w:t>
      </w:r>
      <w:r w:rsidRPr="00F06197">
        <w:t>may</w:t>
      </w:r>
      <w:r w:rsidRPr="00F06197">
        <w:rPr>
          <w:spacing w:val="-2"/>
        </w:rPr>
        <w:t xml:space="preserve"> </w:t>
      </w:r>
      <w:r w:rsidRPr="00F06197">
        <w:t>not</w:t>
      </w:r>
      <w:r w:rsidRPr="00F06197">
        <w:rPr>
          <w:spacing w:val="-2"/>
        </w:rPr>
        <w:t xml:space="preserve"> </w:t>
      </w:r>
      <w:r w:rsidRPr="00F06197">
        <w:t>be</w:t>
      </w:r>
      <w:r w:rsidRPr="00F06197">
        <w:rPr>
          <w:spacing w:val="-2"/>
        </w:rPr>
        <w:t xml:space="preserve"> </w:t>
      </w:r>
      <w:r w:rsidRPr="00F06197">
        <w:t>reactor</w:t>
      </w:r>
      <w:r w:rsidRPr="00F06197">
        <w:rPr>
          <w:spacing w:val="-2"/>
        </w:rPr>
        <w:t xml:space="preserve"> </w:t>
      </w:r>
      <w:r w:rsidRPr="00F06197">
        <w:t>specific,</w:t>
      </w:r>
      <w:r w:rsidRPr="00F06197">
        <w:rPr>
          <w:spacing w:val="-2"/>
        </w:rPr>
        <w:t xml:space="preserve"> </w:t>
      </w:r>
      <w:r w:rsidRPr="00F06197">
        <w:t>but</w:t>
      </w:r>
      <w:r w:rsidRPr="00F06197">
        <w:rPr>
          <w:spacing w:val="-2"/>
        </w:rPr>
        <w:t xml:space="preserve"> </w:t>
      </w:r>
      <w:r w:rsidRPr="00F06197">
        <w:t>they</w:t>
      </w:r>
      <w:r w:rsidRPr="00F06197">
        <w:rPr>
          <w:spacing w:val="-2"/>
        </w:rPr>
        <w:t xml:space="preserve"> </w:t>
      </w:r>
      <w:r w:rsidRPr="00F06197">
        <w:t>may</w:t>
      </w:r>
      <w:r w:rsidRPr="00F06197">
        <w:rPr>
          <w:spacing w:val="-3"/>
        </w:rPr>
        <w:t xml:space="preserve"> </w:t>
      </w:r>
      <w:r w:rsidRPr="00F06197">
        <w:t>be</w:t>
      </w:r>
      <w:r w:rsidRPr="00F06197">
        <w:rPr>
          <w:spacing w:val="-2"/>
        </w:rPr>
        <w:t xml:space="preserve"> </w:t>
      </w:r>
      <w:r w:rsidRPr="00F06197">
        <w:t>of</w:t>
      </w:r>
      <w:r w:rsidRPr="00F06197">
        <w:rPr>
          <w:spacing w:val="-2"/>
        </w:rPr>
        <w:t xml:space="preserve"> </w:t>
      </w:r>
      <w:r w:rsidRPr="00F06197">
        <w:t>a</w:t>
      </w:r>
      <w:r w:rsidRPr="00F06197">
        <w:rPr>
          <w:spacing w:val="-3"/>
        </w:rPr>
        <w:t xml:space="preserve"> </w:t>
      </w:r>
      <w:r w:rsidRPr="00F06197">
        <w:t>type</w:t>
      </w:r>
      <w:r w:rsidRPr="00F06197">
        <w:rPr>
          <w:spacing w:val="-2"/>
        </w:rPr>
        <w:t xml:space="preserve"> </w:t>
      </w:r>
      <w:r w:rsidRPr="00F06197">
        <w:t>that</w:t>
      </w:r>
      <w:r w:rsidRPr="00F06197">
        <w:rPr>
          <w:spacing w:val="-2"/>
        </w:rPr>
        <w:t xml:space="preserve"> </w:t>
      </w:r>
      <w:r w:rsidRPr="00F06197">
        <w:t>applies</w:t>
      </w:r>
      <w:r w:rsidRPr="00F06197">
        <w:rPr>
          <w:spacing w:val="-2"/>
        </w:rPr>
        <w:t xml:space="preserve"> </w:t>
      </w:r>
      <w:r w:rsidRPr="00F06197">
        <w:t>to</w:t>
      </w:r>
      <w:r w:rsidRPr="00F06197">
        <w:rPr>
          <w:spacing w:val="-2"/>
        </w:rPr>
        <w:t xml:space="preserve"> </w:t>
      </w:r>
      <w:r w:rsidRPr="00F06197">
        <w:t>a</w:t>
      </w:r>
      <w:r w:rsidRPr="00F06197">
        <w:rPr>
          <w:spacing w:val="-3"/>
        </w:rPr>
        <w:t xml:space="preserve"> </w:t>
      </w:r>
      <w:r w:rsidRPr="00F06197">
        <w:t>site</w:t>
      </w:r>
      <w:r w:rsidRPr="00F06197">
        <w:rPr>
          <w:spacing w:val="-2"/>
        </w:rPr>
        <w:t xml:space="preserve"> </w:t>
      </w:r>
      <w:r w:rsidRPr="00F06197">
        <w:t>which is occupied by one or more reactors that have different licenses.</w:t>
      </w:r>
      <w:r w:rsidRPr="00F06197">
        <w:rPr>
          <w:spacing w:val="40"/>
        </w:rPr>
        <w:t xml:space="preserve"> </w:t>
      </w:r>
      <w:r w:rsidRPr="00F06197">
        <w:t>Other requirements may be utility specific and, thus, refer to several reactors at more than one site.</w:t>
      </w:r>
      <w:r w:rsidRPr="00F06197">
        <w:rPr>
          <w:spacing w:val="40"/>
        </w:rPr>
        <w:t xml:space="preserve"> </w:t>
      </w:r>
      <w:r w:rsidRPr="00F06197">
        <w:t>These considerations may cause apparent conflicts in the use of the terms:</w:t>
      </w:r>
      <w:r w:rsidRPr="00F06197">
        <w:rPr>
          <w:spacing w:val="40"/>
        </w:rPr>
        <w:t xml:space="preserve"> </w:t>
      </w:r>
      <w:r w:rsidRPr="00F06197">
        <w:t>licensees, reactor sites, facilities, or plants</w:t>
      </w:r>
      <w:r w:rsidRPr="00F06197">
        <w:rPr>
          <w:spacing w:val="-3"/>
        </w:rPr>
        <w:t xml:space="preserve"> </w:t>
      </w:r>
      <w:r w:rsidRPr="00F06197">
        <w:t>in</w:t>
      </w:r>
      <w:r w:rsidRPr="00F06197">
        <w:rPr>
          <w:spacing w:val="-3"/>
        </w:rPr>
        <w:t xml:space="preserve"> </w:t>
      </w:r>
      <w:r w:rsidRPr="00F06197">
        <w:t>our</w:t>
      </w:r>
      <w:r w:rsidRPr="00F06197">
        <w:rPr>
          <w:spacing w:val="-4"/>
        </w:rPr>
        <w:t xml:space="preserve"> </w:t>
      </w:r>
      <w:r w:rsidRPr="00F06197">
        <w:t>individual</w:t>
      </w:r>
      <w:r w:rsidRPr="00F06197">
        <w:rPr>
          <w:spacing w:val="-3"/>
        </w:rPr>
        <w:t xml:space="preserve"> </w:t>
      </w:r>
      <w:r w:rsidRPr="00F06197">
        <w:t>estimates</w:t>
      </w:r>
      <w:r w:rsidRPr="00F06197">
        <w:rPr>
          <w:spacing w:val="-3"/>
        </w:rPr>
        <w:t xml:space="preserve"> </w:t>
      </w:r>
      <w:r w:rsidRPr="00F06197">
        <w:t>of</w:t>
      </w:r>
      <w:r w:rsidRPr="00F06197">
        <w:rPr>
          <w:spacing w:val="-4"/>
        </w:rPr>
        <w:t xml:space="preserve"> </w:t>
      </w:r>
      <w:r w:rsidRPr="00F06197">
        <w:t>burden.</w:t>
      </w:r>
      <w:r w:rsidRPr="00F06197">
        <w:rPr>
          <w:spacing w:val="40"/>
        </w:rPr>
        <w:t xml:space="preserve"> </w:t>
      </w:r>
      <w:r w:rsidRPr="00F06197">
        <w:t>To</w:t>
      </w:r>
      <w:r w:rsidRPr="00F06197">
        <w:rPr>
          <w:spacing w:val="-3"/>
        </w:rPr>
        <w:t xml:space="preserve"> </w:t>
      </w:r>
      <w:r w:rsidRPr="00F06197">
        <w:t>avoid</w:t>
      </w:r>
      <w:r w:rsidRPr="00F06197">
        <w:rPr>
          <w:spacing w:val="-3"/>
        </w:rPr>
        <w:t xml:space="preserve"> </w:t>
      </w:r>
      <w:r w:rsidRPr="00F06197">
        <w:t>confusion,</w:t>
      </w:r>
      <w:r w:rsidRPr="00F06197">
        <w:rPr>
          <w:spacing w:val="-3"/>
        </w:rPr>
        <w:t xml:space="preserve"> </w:t>
      </w:r>
      <w:r w:rsidRPr="00F06197">
        <w:t>the</w:t>
      </w:r>
      <w:r w:rsidRPr="00F06197">
        <w:rPr>
          <w:spacing w:val="-3"/>
        </w:rPr>
        <w:t xml:space="preserve"> </w:t>
      </w:r>
      <w:r w:rsidRPr="00F06197">
        <w:t>term</w:t>
      </w:r>
      <w:r w:rsidRPr="00F06197">
        <w:rPr>
          <w:spacing w:val="-4"/>
        </w:rPr>
        <w:t xml:space="preserve"> </w:t>
      </w:r>
      <w:r w:rsidRPr="00F06197">
        <w:t>“respondents”</w:t>
      </w:r>
      <w:r w:rsidRPr="00F06197">
        <w:rPr>
          <w:spacing w:val="-3"/>
        </w:rPr>
        <w:t xml:space="preserve"> </w:t>
      </w:r>
      <w:r w:rsidRPr="00F06197">
        <w:t>will</w:t>
      </w:r>
      <w:r w:rsidRPr="00F06197">
        <w:rPr>
          <w:spacing w:val="-3"/>
        </w:rPr>
        <w:t xml:space="preserve"> </w:t>
      </w:r>
      <w:r w:rsidRPr="00F06197">
        <w:t>be used throughout this supporting statement to report burden.</w:t>
      </w:r>
    </w:p>
    <w:p w:rsidR="004B491B" w:rsidRPr="00F06197" w14:paraId="3D5986EF" w14:textId="77777777">
      <w:pPr>
        <w:pStyle w:val="BodyText"/>
      </w:pPr>
    </w:p>
    <w:p w:rsidR="000833F6" w:rsidRPr="00F06197" w:rsidP="000833F6" w14:paraId="0C38FB1D" w14:textId="126A2889">
      <w:pPr>
        <w:kinsoku w:val="0"/>
        <w:overflowPunct w:val="0"/>
        <w:adjustRightInd w:val="0"/>
        <w:ind w:left="40" w:right="122"/>
      </w:pPr>
      <w:r w:rsidRPr="00F06197">
        <w:t xml:space="preserve">It is important to note that 10 CFR 50 is related to </w:t>
      </w:r>
      <w:r w:rsidRPr="00F06197">
        <w:t>10 CFR Part 52,</w:t>
      </w:r>
      <w:r w:rsidRPr="00F06197">
        <w:rPr>
          <w:spacing w:val="-1"/>
        </w:rPr>
        <w:t xml:space="preserve"> </w:t>
      </w:r>
      <w:r w:rsidRPr="00F06197">
        <w:t>“Licenses,</w:t>
      </w:r>
      <w:r w:rsidRPr="00F06197">
        <w:rPr>
          <w:spacing w:val="-1"/>
        </w:rPr>
        <w:t xml:space="preserve"> </w:t>
      </w:r>
      <w:r w:rsidRPr="00F06197">
        <w:t>Certifications,</w:t>
      </w:r>
      <w:r w:rsidRPr="00F06197">
        <w:rPr>
          <w:spacing w:val="-1"/>
        </w:rPr>
        <w:t xml:space="preserve"> </w:t>
      </w:r>
      <w:r w:rsidRPr="00F06197">
        <w:t>and Approvals for Nuclear Power Plants,” provide for issuance of early</w:t>
      </w:r>
      <w:r w:rsidRPr="00F06197">
        <w:rPr>
          <w:spacing w:val="-1"/>
        </w:rPr>
        <w:t xml:space="preserve"> </w:t>
      </w:r>
      <w:r w:rsidRPr="00F06197">
        <w:t>site permits</w:t>
      </w:r>
      <w:r w:rsidRPr="00F06197">
        <w:rPr>
          <w:spacing w:val="-1"/>
        </w:rPr>
        <w:t xml:space="preserve"> </w:t>
      </w:r>
      <w:r w:rsidRPr="00F06197">
        <w:t>(ESPs), standard design approvals (SDAs) and certifications, manufacturing</w:t>
      </w:r>
      <w:r w:rsidRPr="00F06197">
        <w:rPr>
          <w:spacing w:val="-1"/>
        </w:rPr>
        <w:t xml:space="preserve"> </w:t>
      </w:r>
      <w:r w:rsidRPr="00F06197">
        <w:t>licenses (MLs), and combined licensees (COLs), for commercial nuclear power reactors.</w:t>
      </w:r>
      <w:r w:rsidRPr="00F06197">
        <w:rPr>
          <w:spacing w:val="61"/>
        </w:rPr>
        <w:t xml:space="preserve"> </w:t>
      </w:r>
      <w:r w:rsidRPr="00F06197">
        <w:t>These</w:t>
      </w:r>
      <w:r w:rsidRPr="00F06197">
        <w:rPr>
          <w:spacing w:val="-1"/>
        </w:rPr>
        <w:t xml:space="preserve"> </w:t>
      </w:r>
      <w:r w:rsidRPr="00F06197">
        <w:t>licensing procedures are options to</w:t>
      </w:r>
      <w:r w:rsidRPr="00F06197">
        <w:rPr>
          <w:spacing w:val="-1"/>
        </w:rPr>
        <w:t xml:space="preserve"> </w:t>
      </w:r>
      <w:r w:rsidRPr="00F06197">
        <w:t>the two-step licensing process in</w:t>
      </w:r>
      <w:r w:rsidRPr="00F06197">
        <w:rPr>
          <w:spacing w:val="-1"/>
        </w:rPr>
        <w:t xml:space="preserve"> </w:t>
      </w:r>
      <w:r w:rsidRPr="00F06197">
        <w:t>10</w:t>
      </w:r>
      <w:r w:rsidRPr="00F06197">
        <w:rPr>
          <w:spacing w:val="-1"/>
        </w:rPr>
        <w:t xml:space="preserve"> </w:t>
      </w:r>
      <w:r w:rsidRPr="00F06197">
        <w:t>CFR Part 50, which</w:t>
      </w:r>
      <w:r w:rsidRPr="00F06197">
        <w:rPr>
          <w:spacing w:val="-1"/>
        </w:rPr>
        <w:t xml:space="preserve"> </w:t>
      </w:r>
      <w:r w:rsidRPr="00F06197">
        <w:t>provides for a construction permit (CP) and an operating license (OL).</w:t>
      </w:r>
      <w:r w:rsidRPr="00F06197">
        <w:rPr>
          <w:spacing w:val="61"/>
        </w:rPr>
        <w:t xml:space="preserve"> </w:t>
      </w:r>
      <w:r w:rsidRPr="00F06197">
        <w:t>Part 52 can reduce the</w:t>
      </w:r>
      <w:r w:rsidRPr="00F06197">
        <w:rPr>
          <w:spacing w:val="-1"/>
        </w:rPr>
        <w:t xml:space="preserve"> </w:t>
      </w:r>
      <w:r w:rsidRPr="00F06197">
        <w:t>overall paperwork burden borne by applicants for</w:t>
      </w:r>
      <w:r w:rsidRPr="00F06197">
        <w:rPr>
          <w:spacing w:val="-1"/>
        </w:rPr>
        <w:t xml:space="preserve"> </w:t>
      </w:r>
      <w:r w:rsidRPr="00F06197">
        <w:t>CPs and OLs because</w:t>
      </w:r>
      <w:r w:rsidRPr="00F06197">
        <w:rPr>
          <w:spacing w:val="-1"/>
        </w:rPr>
        <w:t xml:space="preserve"> </w:t>
      </w:r>
      <w:r w:rsidRPr="00F06197">
        <w:t>Part 52 only requires a</w:t>
      </w:r>
      <w:r w:rsidRPr="00F06197">
        <w:rPr>
          <w:spacing w:val="-1"/>
        </w:rPr>
        <w:t xml:space="preserve"> </w:t>
      </w:r>
      <w:r w:rsidRPr="00F06197">
        <w:t>single application and provides options for referencing standardized designs. The licensing</w:t>
      </w:r>
      <w:r w:rsidRPr="00F06197">
        <w:rPr>
          <w:spacing w:val="-1"/>
        </w:rPr>
        <w:t xml:space="preserve"> </w:t>
      </w:r>
      <w:r w:rsidRPr="00F06197">
        <w:t>processes in 10 CFR Part 52 apply to light-water reactors (LWR) and non-light water reactors</w:t>
      </w:r>
      <w:r w:rsidRPr="00F06197">
        <w:rPr>
          <w:spacing w:val="-1"/>
        </w:rPr>
        <w:t xml:space="preserve"> </w:t>
      </w:r>
      <w:r w:rsidRPr="00F06197">
        <w:t>(NLWR).</w:t>
      </w:r>
    </w:p>
    <w:p w:rsidR="000833F6" w:rsidRPr="00F06197" w:rsidP="000833F6" w14:paraId="01064A9A" w14:textId="77777777">
      <w:pPr>
        <w:kinsoku w:val="0"/>
        <w:overflowPunct w:val="0"/>
        <w:adjustRightInd w:val="0"/>
        <w:spacing w:before="245"/>
        <w:ind w:left="40" w:right="122"/>
      </w:pPr>
      <w:r w:rsidRPr="00F06197">
        <w:t>The NRC information collection in Part 52 includes applications for ESPs, design certifications (DCs), COLs, SDAs and MLs. The applicants submit updated reports, applications for renewals, exemption requests and maintain records of changes to the facility and records of detailed design related information.</w:t>
      </w:r>
    </w:p>
    <w:p w:rsidR="000833F6" w:rsidRPr="00F06197" w:rsidP="000833F6" w14:paraId="696898DC" w14:textId="77777777">
      <w:pPr>
        <w:kinsoku w:val="0"/>
        <w:overflowPunct w:val="0"/>
        <w:adjustRightInd w:val="0"/>
      </w:pPr>
    </w:p>
    <w:p w:rsidR="000833F6" w:rsidRPr="00F06197" w:rsidP="006D041F" w14:paraId="2EE0F04D" w14:textId="7033EC82">
      <w:pPr>
        <w:kinsoku w:val="0"/>
        <w:overflowPunct w:val="0"/>
        <w:adjustRightInd w:val="0"/>
        <w:ind w:left="40" w:right="122"/>
      </w:pPr>
      <w:r w:rsidRPr="00F06197">
        <w:t>In January 2023, OMB approved the information collections contained in the final rule</w:t>
      </w:r>
      <w:r w:rsidRPr="00F06197">
        <w:rPr>
          <w:spacing w:val="-1"/>
        </w:rPr>
        <w:t xml:space="preserve"> </w:t>
      </w:r>
      <w:r w:rsidRPr="00F06197">
        <w:t>amending</w:t>
      </w:r>
      <w:r w:rsidRPr="00F06197">
        <w:rPr>
          <w:spacing w:val="-1"/>
        </w:rPr>
        <w:t xml:space="preserve"> </w:t>
      </w:r>
      <w:r w:rsidRPr="00F06197">
        <w:t xml:space="preserve">Part 52 to certify the </w:t>
      </w:r>
      <w:r w:rsidRPr="00F06197">
        <w:t>NuScale</w:t>
      </w:r>
      <w:r w:rsidRPr="00F06197">
        <w:t xml:space="preserve"> standard design (88 FR 3287).</w:t>
      </w:r>
      <w:r w:rsidRPr="00F06197">
        <w:rPr>
          <w:spacing w:val="55"/>
        </w:rPr>
        <w:t xml:space="preserve"> </w:t>
      </w:r>
      <w:r w:rsidRPr="00F06197">
        <w:t>Applicants or licensees intending</w:t>
      </w:r>
      <w:r w:rsidRPr="00F06197">
        <w:rPr>
          <w:spacing w:val="-1"/>
        </w:rPr>
        <w:t xml:space="preserve"> </w:t>
      </w:r>
      <w:r w:rsidRPr="00F06197">
        <w:t>to construct</w:t>
      </w:r>
      <w:r w:rsidRPr="00F06197">
        <w:rPr>
          <w:spacing w:val="-1"/>
        </w:rPr>
        <w:t xml:space="preserve"> </w:t>
      </w:r>
      <w:r w:rsidRPr="00F06197">
        <w:t xml:space="preserve">and operate a </w:t>
      </w:r>
      <w:r w:rsidRPr="00F06197">
        <w:t>NuScale</w:t>
      </w:r>
      <w:r w:rsidRPr="00F06197">
        <w:t xml:space="preserve"> design may do so by referencing this design</w:t>
      </w:r>
      <w:r w:rsidRPr="00F06197">
        <w:rPr>
          <w:spacing w:val="-1"/>
        </w:rPr>
        <w:t xml:space="preserve"> </w:t>
      </w:r>
      <w:r w:rsidRPr="00F06197">
        <w:t>certification</w:t>
      </w:r>
      <w:r w:rsidRPr="00F06197">
        <w:rPr>
          <w:spacing w:val="-1"/>
        </w:rPr>
        <w:t xml:space="preserve"> </w:t>
      </w:r>
      <w:r w:rsidRPr="00F06197">
        <w:t>(DC) rule and need not demonstrate in their applications the</w:t>
      </w:r>
      <w:r w:rsidRPr="00F06197">
        <w:rPr>
          <w:spacing w:val="-1"/>
        </w:rPr>
        <w:t xml:space="preserve"> </w:t>
      </w:r>
      <w:r w:rsidRPr="00F06197">
        <w:t>safety of the certified design as</w:t>
      </w:r>
      <w:r w:rsidRPr="00F06197">
        <w:rPr>
          <w:spacing w:val="-1"/>
        </w:rPr>
        <w:t xml:space="preserve"> </w:t>
      </w:r>
      <w:r w:rsidRPr="00F06197" w:rsidR="007B6862">
        <w:t>amended.</w:t>
      </w:r>
      <w:r w:rsidRPr="00F06197">
        <w:rPr>
          <w:spacing w:val="61"/>
        </w:rPr>
        <w:t xml:space="preserve"> </w:t>
      </w:r>
      <w:r w:rsidRPr="00F06197">
        <w:t xml:space="preserve">Because the </w:t>
      </w:r>
      <w:r w:rsidRPr="00F06197">
        <w:t>NuScale</w:t>
      </w:r>
      <w:r w:rsidRPr="00F06197">
        <w:t xml:space="preserve"> design</w:t>
      </w:r>
      <w:r w:rsidRPr="00F06197">
        <w:rPr>
          <w:spacing w:val="-1"/>
        </w:rPr>
        <w:t xml:space="preserve"> </w:t>
      </w:r>
      <w:r w:rsidRPr="00F06197">
        <w:t>certification is contained</w:t>
      </w:r>
      <w:r w:rsidRPr="00F06197">
        <w:rPr>
          <w:spacing w:val="-1"/>
        </w:rPr>
        <w:t xml:space="preserve"> </w:t>
      </w:r>
      <w:r w:rsidRPr="00F06197">
        <w:t>in 10 CFR Part 52, the burden for</w:t>
      </w:r>
      <w:r w:rsidRPr="00F06197">
        <w:rPr>
          <w:spacing w:val="-1"/>
        </w:rPr>
        <w:t xml:space="preserve"> </w:t>
      </w:r>
      <w:r w:rsidRPr="00F06197">
        <w:t>this design certification</w:t>
      </w:r>
      <w:r w:rsidRPr="00F06197">
        <w:rPr>
          <w:spacing w:val="-1"/>
        </w:rPr>
        <w:t xml:space="preserve"> </w:t>
      </w:r>
      <w:r w:rsidRPr="00F06197" w:rsidR="00137590">
        <w:t xml:space="preserve">is in the </w:t>
      </w:r>
      <w:r w:rsidRPr="00F06197" w:rsidR="0097614C">
        <w:t>10 CFR Part 52 clearance (3150-0151</w:t>
      </w:r>
      <w:r w:rsidRPr="00F06197" w:rsidR="00A60462">
        <w:t>).</w:t>
      </w:r>
    </w:p>
    <w:p w:rsidR="004B491B" w:rsidRPr="00F06197" w14:paraId="3D5986F3" w14:textId="77777777">
      <w:pPr>
        <w:pStyle w:val="BodyText"/>
      </w:pPr>
    </w:p>
    <w:p w:rsidR="004B491B" w:rsidRPr="00F06197" w14:paraId="3D5986F4" w14:textId="77777777">
      <w:pPr>
        <w:pStyle w:val="BodyText"/>
        <w:ind w:left="100"/>
      </w:pPr>
      <w:r w:rsidRPr="00F06197">
        <w:rPr>
          <w:u w:val="single"/>
        </w:rPr>
        <w:t>Recordkeeping</w:t>
      </w:r>
      <w:r w:rsidRPr="00F06197">
        <w:rPr>
          <w:spacing w:val="-15"/>
          <w:u w:val="single"/>
        </w:rPr>
        <w:t xml:space="preserve"> </w:t>
      </w:r>
      <w:r w:rsidRPr="00F06197">
        <w:rPr>
          <w:spacing w:val="-2"/>
          <w:u w:val="single"/>
        </w:rPr>
        <w:t>Requirements</w:t>
      </w:r>
    </w:p>
    <w:p w:rsidR="004B491B" w:rsidRPr="00F06197" w14:paraId="3D5986F5" w14:textId="77777777">
      <w:pPr>
        <w:pStyle w:val="BodyText"/>
      </w:pPr>
    </w:p>
    <w:p w:rsidR="004B491B" w:rsidRPr="00F06197" w14:paraId="3D5986F6" w14:textId="77777777">
      <w:pPr>
        <w:pStyle w:val="BodyText"/>
        <w:spacing w:before="93"/>
        <w:ind w:left="100" w:right="123"/>
      </w:pPr>
      <w:r w:rsidRPr="00F06197">
        <w:t>The</w:t>
      </w:r>
      <w:r w:rsidRPr="00F06197">
        <w:rPr>
          <w:spacing w:val="-1"/>
        </w:rPr>
        <w:t xml:space="preserve"> </w:t>
      </w:r>
      <w:r w:rsidRPr="00F06197">
        <w:t>recordkeeping</w:t>
      </w:r>
      <w:r w:rsidRPr="00F06197">
        <w:rPr>
          <w:spacing w:val="-1"/>
        </w:rPr>
        <w:t xml:space="preserve"> </w:t>
      </w:r>
      <w:r w:rsidRPr="00F06197">
        <w:t>requirements</w:t>
      </w:r>
      <w:r w:rsidRPr="00F06197">
        <w:rPr>
          <w:spacing w:val="-1"/>
        </w:rPr>
        <w:t xml:space="preserve"> </w:t>
      </w:r>
      <w:r w:rsidRPr="00F06197">
        <w:t>mandated</w:t>
      </w:r>
      <w:r w:rsidRPr="00F06197">
        <w:rPr>
          <w:spacing w:val="-1"/>
        </w:rPr>
        <w:t xml:space="preserve"> </w:t>
      </w:r>
      <w:r w:rsidRPr="00F06197">
        <w:t>by</w:t>
      </w:r>
      <w:r w:rsidRPr="00F06197">
        <w:rPr>
          <w:spacing w:val="-1"/>
        </w:rPr>
        <w:t xml:space="preserve"> </w:t>
      </w:r>
      <w:r w:rsidRPr="00F06197">
        <w:t>10</w:t>
      </w:r>
      <w:r w:rsidRPr="00F06197">
        <w:rPr>
          <w:spacing w:val="-1"/>
        </w:rPr>
        <w:t xml:space="preserve"> </w:t>
      </w:r>
      <w:r w:rsidRPr="00F06197">
        <w:t>CFR</w:t>
      </w:r>
      <w:r w:rsidRPr="00F06197">
        <w:rPr>
          <w:spacing w:val="-1"/>
        </w:rPr>
        <w:t xml:space="preserve"> </w:t>
      </w:r>
      <w:r w:rsidRPr="00F06197">
        <w:t>Part 50</w:t>
      </w:r>
      <w:r w:rsidRPr="00F06197">
        <w:rPr>
          <w:spacing w:val="-1"/>
        </w:rPr>
        <w:t xml:space="preserve"> </w:t>
      </w:r>
      <w:r w:rsidRPr="00F06197">
        <w:t>are</w:t>
      </w:r>
      <w:r w:rsidRPr="00F06197">
        <w:rPr>
          <w:spacing w:val="-1"/>
        </w:rPr>
        <w:t xml:space="preserve"> </w:t>
      </w:r>
      <w:r w:rsidRPr="00F06197">
        <w:t>of</w:t>
      </w:r>
      <w:r w:rsidRPr="00F06197">
        <w:rPr>
          <w:spacing w:val="-1"/>
        </w:rPr>
        <w:t xml:space="preserve"> </w:t>
      </w:r>
      <w:r w:rsidRPr="00F06197">
        <w:t>two</w:t>
      </w:r>
      <w:r w:rsidRPr="00F06197">
        <w:rPr>
          <w:spacing w:val="-1"/>
        </w:rPr>
        <w:t xml:space="preserve"> </w:t>
      </w:r>
      <w:r w:rsidRPr="00F06197">
        <w:t>broad</w:t>
      </w:r>
      <w:r w:rsidRPr="00F06197">
        <w:rPr>
          <w:spacing w:val="-1"/>
        </w:rPr>
        <w:t xml:space="preserve"> </w:t>
      </w:r>
      <w:r w:rsidRPr="00F06197">
        <w:t>types.</w:t>
      </w:r>
      <w:r w:rsidRPr="00F06197">
        <w:rPr>
          <w:spacing w:val="40"/>
        </w:rPr>
        <w:t xml:space="preserve"> </w:t>
      </w:r>
      <w:r w:rsidRPr="00F06197">
        <w:t>The</w:t>
      </w:r>
      <w:r w:rsidRPr="00F06197">
        <w:rPr>
          <w:spacing w:val="-1"/>
        </w:rPr>
        <w:t xml:space="preserve"> </w:t>
      </w:r>
      <w:r w:rsidRPr="00F06197">
        <w:t>first type</w:t>
      </w:r>
      <w:r w:rsidRPr="00F06197">
        <w:rPr>
          <w:spacing w:val="-3"/>
        </w:rPr>
        <w:t xml:space="preserve"> </w:t>
      </w:r>
      <w:r w:rsidRPr="00F06197">
        <w:t>is</w:t>
      </w:r>
      <w:r w:rsidRPr="00F06197">
        <w:rPr>
          <w:spacing w:val="-3"/>
        </w:rPr>
        <w:t xml:space="preserve"> </w:t>
      </w:r>
      <w:r w:rsidRPr="00F06197">
        <w:t>the</w:t>
      </w:r>
      <w:r w:rsidRPr="00F06197">
        <w:rPr>
          <w:spacing w:val="-3"/>
        </w:rPr>
        <w:t xml:space="preserve"> </w:t>
      </w:r>
      <w:r w:rsidRPr="00F06197">
        <w:t>simple</w:t>
      </w:r>
      <w:r w:rsidRPr="00F06197">
        <w:rPr>
          <w:spacing w:val="-3"/>
        </w:rPr>
        <w:t xml:space="preserve"> </w:t>
      </w:r>
      <w:r w:rsidRPr="00F06197">
        <w:t>filing</w:t>
      </w:r>
      <w:r w:rsidRPr="00F06197">
        <w:rPr>
          <w:spacing w:val="-3"/>
        </w:rPr>
        <w:t xml:space="preserve"> </w:t>
      </w:r>
      <w:r w:rsidRPr="00F06197">
        <w:t>of</w:t>
      </w:r>
      <w:r w:rsidRPr="00F06197">
        <w:rPr>
          <w:spacing w:val="-3"/>
        </w:rPr>
        <w:t xml:space="preserve"> </w:t>
      </w:r>
      <w:r w:rsidRPr="00F06197">
        <w:t>copies</w:t>
      </w:r>
      <w:r w:rsidRPr="00F06197">
        <w:rPr>
          <w:spacing w:val="-3"/>
        </w:rPr>
        <w:t xml:space="preserve"> </w:t>
      </w:r>
      <w:r w:rsidRPr="00F06197">
        <w:t>of</w:t>
      </w:r>
      <w:r w:rsidRPr="00F06197">
        <w:rPr>
          <w:spacing w:val="-3"/>
        </w:rPr>
        <w:t xml:space="preserve"> </w:t>
      </w:r>
      <w:r w:rsidRPr="00F06197">
        <w:t>reports,</w:t>
      </w:r>
      <w:r w:rsidRPr="00F06197">
        <w:rPr>
          <w:spacing w:val="-3"/>
        </w:rPr>
        <w:t xml:space="preserve"> </w:t>
      </w:r>
      <w:r w:rsidRPr="00F06197">
        <w:t>letters,</w:t>
      </w:r>
      <w:r w:rsidRPr="00F06197">
        <w:rPr>
          <w:spacing w:val="-3"/>
        </w:rPr>
        <w:t xml:space="preserve"> </w:t>
      </w:r>
      <w:r w:rsidRPr="00F06197">
        <w:t>and</w:t>
      </w:r>
      <w:r w:rsidRPr="00F06197">
        <w:rPr>
          <w:spacing w:val="-3"/>
        </w:rPr>
        <w:t xml:space="preserve"> </w:t>
      </w:r>
      <w:r w:rsidRPr="00F06197">
        <w:t>other</w:t>
      </w:r>
      <w:r w:rsidRPr="00F06197">
        <w:rPr>
          <w:spacing w:val="-4"/>
        </w:rPr>
        <w:t xml:space="preserve"> </w:t>
      </w:r>
      <w:r w:rsidRPr="00F06197">
        <w:t>written</w:t>
      </w:r>
      <w:r w:rsidRPr="00F06197">
        <w:rPr>
          <w:spacing w:val="-3"/>
        </w:rPr>
        <w:t xml:space="preserve"> </w:t>
      </w:r>
      <w:r w:rsidRPr="00F06197">
        <w:t>documentation</w:t>
      </w:r>
      <w:r w:rsidRPr="00F06197">
        <w:rPr>
          <w:spacing w:val="-3"/>
        </w:rPr>
        <w:t xml:space="preserve"> </w:t>
      </w:r>
      <w:r w:rsidRPr="00F06197">
        <w:t>that</w:t>
      </w:r>
      <w:r w:rsidRPr="00F06197">
        <w:rPr>
          <w:spacing w:val="-3"/>
        </w:rPr>
        <w:t xml:space="preserve"> </w:t>
      </w:r>
      <w:r w:rsidRPr="00F06197">
        <w:t>already exist because of a reporting requirement found elsewhere in the regulations or in the license</w:t>
      </w:r>
      <w:r w:rsidRPr="00F06197">
        <w:rPr>
          <w:spacing w:val="40"/>
        </w:rPr>
        <w:t xml:space="preserve"> </w:t>
      </w:r>
      <w:r w:rsidRPr="00F06197">
        <w:t>and technical specifications.</w:t>
      </w:r>
      <w:r w:rsidRPr="00F06197">
        <w:rPr>
          <w:spacing w:val="40"/>
        </w:rPr>
        <w:t xml:space="preserve"> </w:t>
      </w:r>
      <w:r w:rsidRPr="00F06197">
        <w:t>The second type of recordkeeping is the generation, updating and filing of records for information is needed to demonstrate compliance with the regulations or for event assessment.</w:t>
      </w:r>
    </w:p>
    <w:p w:rsidR="004B491B" w:rsidRPr="00F06197" w14:paraId="3D5986F7" w14:textId="77777777">
      <w:pPr>
        <w:pStyle w:val="BodyText"/>
        <w:spacing w:before="10"/>
      </w:pPr>
    </w:p>
    <w:p w:rsidR="004B491B" w:rsidRPr="00F06197" w14:paraId="3D5986F8" w14:textId="77777777">
      <w:pPr>
        <w:pStyle w:val="BodyText"/>
        <w:spacing w:before="1"/>
        <w:ind w:left="100"/>
      </w:pPr>
      <w:r w:rsidRPr="00F06197">
        <w:t>The</w:t>
      </w:r>
      <w:r w:rsidRPr="00F06197">
        <w:rPr>
          <w:spacing w:val="-3"/>
        </w:rPr>
        <w:t xml:space="preserve"> </w:t>
      </w:r>
      <w:r w:rsidRPr="00F06197">
        <w:t>large</w:t>
      </w:r>
      <w:r w:rsidRPr="00F06197">
        <w:rPr>
          <w:spacing w:val="-3"/>
        </w:rPr>
        <w:t xml:space="preserve"> </w:t>
      </w:r>
      <w:r w:rsidRPr="00F06197">
        <w:t>volume</w:t>
      </w:r>
      <w:r w:rsidRPr="00F06197">
        <w:rPr>
          <w:spacing w:val="-3"/>
        </w:rPr>
        <w:t xml:space="preserve"> </w:t>
      </w:r>
      <w:r w:rsidRPr="00F06197">
        <w:t>of</w:t>
      </w:r>
      <w:r w:rsidRPr="00F06197">
        <w:rPr>
          <w:spacing w:val="-3"/>
        </w:rPr>
        <w:t xml:space="preserve"> </w:t>
      </w:r>
      <w:r w:rsidRPr="00F06197">
        <w:t>records</w:t>
      </w:r>
      <w:r w:rsidRPr="00F06197">
        <w:rPr>
          <w:spacing w:val="-3"/>
        </w:rPr>
        <w:t xml:space="preserve"> </w:t>
      </w:r>
      <w:r w:rsidRPr="00F06197">
        <w:t>which</w:t>
      </w:r>
      <w:r w:rsidRPr="00F06197">
        <w:rPr>
          <w:spacing w:val="-3"/>
        </w:rPr>
        <w:t xml:space="preserve"> </w:t>
      </w:r>
      <w:r w:rsidRPr="00F06197">
        <w:t>are</w:t>
      </w:r>
      <w:r w:rsidRPr="00F06197">
        <w:rPr>
          <w:spacing w:val="-3"/>
        </w:rPr>
        <w:t xml:space="preserve"> </w:t>
      </w:r>
      <w:r w:rsidRPr="00F06197">
        <w:t>kept</w:t>
      </w:r>
      <w:r w:rsidRPr="00F06197">
        <w:rPr>
          <w:spacing w:val="-3"/>
        </w:rPr>
        <w:t xml:space="preserve"> </w:t>
      </w:r>
      <w:r w:rsidRPr="00F06197">
        <w:t>for</w:t>
      </w:r>
      <w:r w:rsidRPr="00F06197">
        <w:rPr>
          <w:spacing w:val="-3"/>
        </w:rPr>
        <w:t xml:space="preserve"> </w:t>
      </w:r>
      <w:r w:rsidRPr="00F06197">
        <w:t>10</w:t>
      </w:r>
      <w:r w:rsidRPr="00F06197">
        <w:rPr>
          <w:spacing w:val="-4"/>
        </w:rPr>
        <w:t xml:space="preserve"> </w:t>
      </w:r>
      <w:r w:rsidRPr="00F06197">
        <w:t>CFR</w:t>
      </w:r>
      <w:r w:rsidRPr="00F06197">
        <w:rPr>
          <w:spacing w:val="-3"/>
        </w:rPr>
        <w:t xml:space="preserve"> </w:t>
      </w:r>
      <w:r w:rsidRPr="00F06197">
        <w:t>Part</w:t>
      </w:r>
      <w:r w:rsidRPr="00F06197">
        <w:rPr>
          <w:spacing w:val="-3"/>
        </w:rPr>
        <w:t xml:space="preserve"> </w:t>
      </w:r>
      <w:r w:rsidRPr="00F06197">
        <w:t>50</w:t>
      </w:r>
      <w:r w:rsidRPr="00F06197">
        <w:rPr>
          <w:spacing w:val="-3"/>
        </w:rPr>
        <w:t xml:space="preserve"> </w:t>
      </w:r>
      <w:r w:rsidRPr="00F06197">
        <w:t>is</w:t>
      </w:r>
      <w:r w:rsidRPr="00F06197">
        <w:rPr>
          <w:spacing w:val="-3"/>
        </w:rPr>
        <w:t xml:space="preserve"> </w:t>
      </w:r>
      <w:r w:rsidRPr="00F06197">
        <w:t>required</w:t>
      </w:r>
      <w:r w:rsidRPr="00F06197">
        <w:rPr>
          <w:spacing w:val="-4"/>
        </w:rPr>
        <w:t xml:space="preserve"> </w:t>
      </w:r>
      <w:r w:rsidRPr="00F06197">
        <w:t>primarily</w:t>
      </w:r>
      <w:r w:rsidRPr="00F06197">
        <w:rPr>
          <w:spacing w:val="-3"/>
        </w:rPr>
        <w:t xml:space="preserve"> </w:t>
      </w:r>
      <w:r w:rsidRPr="00F06197">
        <w:t>by</w:t>
      </w:r>
      <w:r w:rsidRPr="00F06197">
        <w:rPr>
          <w:spacing w:val="-3"/>
        </w:rPr>
        <w:t xml:space="preserve"> </w:t>
      </w:r>
      <w:r w:rsidRPr="00F06197">
        <w:t>the technical specifications, the quality assurance program, reports of changes specified in</w:t>
      </w:r>
    </w:p>
    <w:p w:rsidR="004B491B" w:rsidRPr="00F06197" w14:paraId="3D5986F9" w14:textId="77777777">
      <w:pPr>
        <w:pStyle w:val="BodyText"/>
        <w:ind w:left="100"/>
      </w:pPr>
      <w:r w:rsidRPr="00F06197">
        <w:t>10</w:t>
      </w:r>
      <w:r w:rsidRPr="00F06197">
        <w:rPr>
          <w:spacing w:val="-5"/>
        </w:rPr>
        <w:t xml:space="preserve"> </w:t>
      </w:r>
      <w:r w:rsidRPr="00F06197">
        <w:t>CFR</w:t>
      </w:r>
      <w:r w:rsidRPr="00F06197">
        <w:rPr>
          <w:spacing w:val="-5"/>
        </w:rPr>
        <w:t xml:space="preserve"> </w:t>
      </w:r>
      <w:r w:rsidRPr="00F06197">
        <w:t>50.59(b),</w:t>
      </w:r>
      <w:r w:rsidRPr="00F06197">
        <w:rPr>
          <w:spacing w:val="-5"/>
        </w:rPr>
        <w:t xml:space="preserve"> </w:t>
      </w:r>
      <w:r w:rsidRPr="00F06197">
        <w:t>environmental</w:t>
      </w:r>
      <w:r w:rsidRPr="00F06197">
        <w:rPr>
          <w:spacing w:val="-5"/>
        </w:rPr>
        <w:t xml:space="preserve"> </w:t>
      </w:r>
      <w:r w:rsidRPr="00F06197">
        <w:t>qualification</w:t>
      </w:r>
      <w:r w:rsidRPr="00F06197">
        <w:rPr>
          <w:spacing w:val="-5"/>
        </w:rPr>
        <w:t xml:space="preserve"> </w:t>
      </w:r>
      <w:r w:rsidRPr="00F06197">
        <w:t>of</w:t>
      </w:r>
      <w:r w:rsidRPr="00F06197">
        <w:rPr>
          <w:spacing w:val="-5"/>
        </w:rPr>
        <w:t xml:space="preserve"> </w:t>
      </w:r>
      <w:r w:rsidRPr="00F06197">
        <w:t>equipment,</w:t>
      </w:r>
      <w:r w:rsidRPr="00F06197">
        <w:rPr>
          <w:spacing w:val="-5"/>
        </w:rPr>
        <w:t xml:space="preserve"> </w:t>
      </w:r>
      <w:r w:rsidRPr="00F06197">
        <w:t>decommissioning,</w:t>
      </w:r>
      <w:r w:rsidRPr="00F06197">
        <w:rPr>
          <w:spacing w:val="-5"/>
        </w:rPr>
        <w:t xml:space="preserve"> </w:t>
      </w:r>
      <w:r w:rsidRPr="00F06197">
        <w:t>monitoring</w:t>
      </w:r>
      <w:r w:rsidRPr="00F06197">
        <w:rPr>
          <w:spacing w:val="-5"/>
        </w:rPr>
        <w:t xml:space="preserve"> </w:t>
      </w:r>
      <w:r w:rsidRPr="00F06197">
        <w:t>the effectiveness of maintenance at nuclear power plants, training and qualification of plant personnel, for highly enriched uranium, and for primary reactor containment leakage testing.</w:t>
      </w:r>
    </w:p>
    <w:p w:rsidR="004B491B" w:rsidRPr="00F06197" w14:paraId="3D5986FB" w14:textId="77777777">
      <w:pPr>
        <w:pStyle w:val="BodyText"/>
        <w:ind w:left="100"/>
      </w:pPr>
      <w:r w:rsidRPr="00F06197">
        <w:rPr>
          <w:u w:val="single"/>
        </w:rPr>
        <w:t>Additional</w:t>
      </w:r>
      <w:r w:rsidRPr="00F06197">
        <w:rPr>
          <w:spacing w:val="-10"/>
          <w:u w:val="single"/>
        </w:rPr>
        <w:t xml:space="preserve"> </w:t>
      </w:r>
      <w:r w:rsidRPr="00F06197">
        <w:rPr>
          <w:spacing w:val="-2"/>
          <w:u w:val="single"/>
        </w:rPr>
        <w:t>Requirements</w:t>
      </w:r>
    </w:p>
    <w:p w:rsidR="004B491B" w:rsidRPr="00F06197" w14:paraId="3D5986FC" w14:textId="77777777">
      <w:pPr>
        <w:pStyle w:val="BodyText"/>
      </w:pPr>
    </w:p>
    <w:p w:rsidR="004B491B" w:rsidRPr="00F06197" w14:paraId="3D5986FD" w14:textId="77777777">
      <w:pPr>
        <w:pStyle w:val="BodyText"/>
        <w:spacing w:before="93"/>
        <w:ind w:left="100" w:right="774"/>
      </w:pPr>
      <w:r w:rsidRPr="00F06197">
        <w:t>This</w:t>
      </w:r>
      <w:r w:rsidRPr="00F06197">
        <w:rPr>
          <w:spacing w:val="-4"/>
        </w:rPr>
        <w:t xml:space="preserve"> </w:t>
      </w:r>
      <w:r w:rsidRPr="00F06197">
        <w:t>submittal</w:t>
      </w:r>
      <w:r w:rsidRPr="00F06197">
        <w:rPr>
          <w:spacing w:val="-4"/>
        </w:rPr>
        <w:t xml:space="preserve"> </w:t>
      </w:r>
      <w:r w:rsidRPr="00F06197">
        <w:t>incorporates</w:t>
      </w:r>
      <w:r w:rsidRPr="00F06197">
        <w:rPr>
          <w:spacing w:val="-4"/>
        </w:rPr>
        <w:t xml:space="preserve"> </w:t>
      </w:r>
      <w:r w:rsidRPr="00F06197">
        <w:t>all</w:t>
      </w:r>
      <w:r w:rsidRPr="00F06197">
        <w:rPr>
          <w:spacing w:val="-4"/>
        </w:rPr>
        <w:t xml:space="preserve"> </w:t>
      </w:r>
      <w:r w:rsidRPr="00F06197">
        <w:t>finalized</w:t>
      </w:r>
      <w:r w:rsidRPr="00F06197">
        <w:rPr>
          <w:spacing w:val="-4"/>
        </w:rPr>
        <w:t xml:space="preserve"> </w:t>
      </w:r>
      <w:r w:rsidRPr="00F06197">
        <w:t>information</w:t>
      </w:r>
      <w:r w:rsidRPr="00F06197">
        <w:rPr>
          <w:spacing w:val="-4"/>
        </w:rPr>
        <w:t xml:space="preserve"> </w:t>
      </w:r>
      <w:r w:rsidRPr="00F06197">
        <w:t>collection</w:t>
      </w:r>
      <w:r w:rsidRPr="00F06197">
        <w:rPr>
          <w:spacing w:val="-5"/>
        </w:rPr>
        <w:t xml:space="preserve"> </w:t>
      </w:r>
      <w:r w:rsidRPr="00F06197">
        <w:t>requirements</w:t>
      </w:r>
      <w:r w:rsidRPr="00F06197">
        <w:rPr>
          <w:spacing w:val="-4"/>
        </w:rPr>
        <w:t xml:space="preserve"> </w:t>
      </w:r>
      <w:r w:rsidRPr="00F06197">
        <w:t>contained</w:t>
      </w:r>
      <w:r w:rsidRPr="00F06197">
        <w:rPr>
          <w:spacing w:val="-5"/>
        </w:rPr>
        <w:t xml:space="preserve"> </w:t>
      </w:r>
      <w:r w:rsidRPr="00F06197">
        <w:t>in 10 CFR 50 that have been approved by OMB since the last extension request for</w:t>
      </w:r>
    </w:p>
    <w:p w:rsidR="004B491B" w:rsidRPr="00F06197" w14:paraId="3D5986FE" w14:textId="77777777">
      <w:pPr>
        <w:pStyle w:val="BodyText"/>
        <w:ind w:left="100" w:right="76"/>
      </w:pPr>
      <w:r w:rsidRPr="00F06197">
        <w:t>10</w:t>
      </w:r>
      <w:r w:rsidRPr="00F06197">
        <w:rPr>
          <w:spacing w:val="-3"/>
        </w:rPr>
        <w:t xml:space="preserve"> </w:t>
      </w:r>
      <w:r w:rsidRPr="00F06197">
        <w:t>CFR</w:t>
      </w:r>
      <w:r w:rsidRPr="00F06197">
        <w:rPr>
          <w:spacing w:val="-3"/>
        </w:rPr>
        <w:t xml:space="preserve"> </w:t>
      </w:r>
      <w:r w:rsidRPr="00F06197">
        <w:t>Part</w:t>
      </w:r>
      <w:r w:rsidRPr="00F06197">
        <w:rPr>
          <w:spacing w:val="-2"/>
        </w:rPr>
        <w:t xml:space="preserve"> </w:t>
      </w:r>
      <w:r w:rsidRPr="00F06197">
        <w:t>50.</w:t>
      </w:r>
      <w:r w:rsidRPr="00F06197">
        <w:rPr>
          <w:spacing w:val="40"/>
        </w:rPr>
        <w:t xml:space="preserve"> </w:t>
      </w:r>
      <w:r w:rsidRPr="00F06197">
        <w:t>These</w:t>
      </w:r>
      <w:r w:rsidRPr="00F06197">
        <w:rPr>
          <w:spacing w:val="-4"/>
        </w:rPr>
        <w:t xml:space="preserve"> </w:t>
      </w:r>
      <w:r w:rsidRPr="00F06197">
        <w:t>rulemakings</w:t>
      </w:r>
      <w:r w:rsidRPr="00F06197">
        <w:rPr>
          <w:spacing w:val="-3"/>
        </w:rPr>
        <w:t xml:space="preserve"> </w:t>
      </w:r>
      <w:r w:rsidRPr="00F06197">
        <w:t>are</w:t>
      </w:r>
      <w:r w:rsidRPr="00F06197">
        <w:rPr>
          <w:spacing w:val="-3"/>
        </w:rPr>
        <w:t xml:space="preserve"> </w:t>
      </w:r>
      <w:r w:rsidRPr="00F06197">
        <w:t>itemized</w:t>
      </w:r>
      <w:r w:rsidRPr="00F06197">
        <w:rPr>
          <w:spacing w:val="-3"/>
        </w:rPr>
        <w:t xml:space="preserve"> </w:t>
      </w:r>
      <w:r w:rsidRPr="00F06197">
        <w:t>below</w:t>
      </w:r>
      <w:r w:rsidRPr="00F06197">
        <w:rPr>
          <w:spacing w:val="-3"/>
        </w:rPr>
        <w:t xml:space="preserve"> </w:t>
      </w:r>
      <w:r w:rsidRPr="00F06197">
        <w:t>and</w:t>
      </w:r>
      <w:r w:rsidRPr="00F06197">
        <w:rPr>
          <w:spacing w:val="-3"/>
        </w:rPr>
        <w:t xml:space="preserve"> </w:t>
      </w:r>
      <w:r w:rsidRPr="00F06197">
        <w:t>the</w:t>
      </w:r>
      <w:r w:rsidRPr="00F06197">
        <w:rPr>
          <w:spacing w:val="-3"/>
        </w:rPr>
        <w:t xml:space="preserve"> </w:t>
      </w:r>
      <w:r w:rsidRPr="00F06197">
        <w:t>information</w:t>
      </w:r>
      <w:r w:rsidRPr="00F06197">
        <w:rPr>
          <w:spacing w:val="-3"/>
        </w:rPr>
        <w:t xml:space="preserve"> </w:t>
      </w:r>
      <w:r w:rsidRPr="00F06197">
        <w:t>collections</w:t>
      </w:r>
      <w:r w:rsidRPr="00F06197">
        <w:rPr>
          <w:spacing w:val="-3"/>
        </w:rPr>
        <w:t xml:space="preserve"> </w:t>
      </w:r>
      <w:r w:rsidRPr="00F06197">
        <w:t>are described in detail in the applicable supporting statements.</w:t>
      </w:r>
    </w:p>
    <w:p w:rsidR="004B491B" w:rsidRPr="00F06197" w14:paraId="3D5986FF" w14:textId="77777777">
      <w:pPr>
        <w:pStyle w:val="BodyText"/>
        <w:spacing w:before="11"/>
      </w:pPr>
    </w:p>
    <w:p w:rsidR="004B491B" w:rsidRPr="00F06197" w:rsidP="00A7734D" w14:paraId="3D598705" w14:textId="1AFFEA5B">
      <w:pPr>
        <w:pStyle w:val="ListParagraph"/>
        <w:numPr>
          <w:ilvl w:val="0"/>
          <w:numId w:val="1"/>
        </w:numPr>
        <w:tabs>
          <w:tab w:val="left" w:pos="459"/>
        </w:tabs>
        <w:spacing w:line="269" w:lineRule="exact"/>
        <w:ind w:left="459" w:hanging="359"/>
      </w:pPr>
      <w:r w:rsidRPr="00F06197">
        <w:rPr>
          <w:rStyle w:val="normaltextrun"/>
        </w:rPr>
        <w:t xml:space="preserve">Emergency Preparedness for Small Modular Reactors and Other New, </w:t>
      </w:r>
      <w:r w:rsidRPr="00F06197" w:rsidR="000E0F91">
        <w:rPr>
          <w:rStyle w:val="normaltextrun"/>
        </w:rPr>
        <w:t>a</w:t>
      </w:r>
      <w:r w:rsidRPr="00F06197">
        <w:rPr>
          <w:rStyle w:val="normaltextrun"/>
        </w:rPr>
        <w:t>pproved</w:t>
      </w:r>
      <w:r w:rsidRPr="00F06197" w:rsidR="000E0F91">
        <w:rPr>
          <w:rStyle w:val="normaltextrun"/>
        </w:rPr>
        <w:t xml:space="preserve"> </w:t>
      </w:r>
      <w:r w:rsidRPr="00F06197" w:rsidR="00954AC0">
        <w:t>Emergency Preparedness (EP) for Small Modular Reactors (SMR) and Other</w:t>
      </w:r>
      <w:r w:rsidRPr="00F06197" w:rsidR="00954AC0">
        <w:rPr>
          <w:spacing w:val="-1"/>
        </w:rPr>
        <w:t xml:space="preserve"> </w:t>
      </w:r>
      <w:r w:rsidRPr="00F06197" w:rsidR="00954AC0">
        <w:t>New Technologies (ONT) Final Rule, approved by OMB on October 13, 2023</w:t>
      </w:r>
      <w:r w:rsidRPr="00F06197" w:rsidR="00633262">
        <w:t>.</w:t>
      </w:r>
    </w:p>
    <w:p w:rsidR="004B491B" w:rsidRPr="00F06197" w14:paraId="3D598706" w14:textId="77777777">
      <w:pPr>
        <w:pStyle w:val="BodyText"/>
      </w:pPr>
    </w:p>
    <w:p w:rsidR="00181EBE" w:rsidRPr="00F06197" w14:paraId="006C06DF" w14:textId="13248D5B">
      <w:pPr>
        <w:pStyle w:val="BodyText"/>
      </w:pPr>
      <w:r w:rsidRPr="00F06197">
        <w:t xml:space="preserve">In addition, </w:t>
      </w:r>
      <w:r w:rsidRPr="00F06197" w:rsidR="006C1DE8">
        <w:t>i</w:t>
      </w:r>
      <w:r w:rsidRPr="00F06197">
        <w:t xml:space="preserve">n 2023, the NRC staff submitted a request for a new clearance to cover information collections contained in 10 CFR 50.55a, “Codes and Standards.”  These information collections pertain to voluntary consensus standards developed by the American Society of Mechanical Engineers (ASME), a voluntary consensus body.  The standards are regularly updated by rulemaking; therefore, having a stand-alone information collection allows for more timely processing of these rules.  </w:t>
      </w:r>
      <w:r w:rsidRPr="00F06197" w:rsidR="00EF718D">
        <w:t>These</w:t>
      </w:r>
      <w:r w:rsidRPr="00F06197">
        <w:t xml:space="preserve"> information collections were </w:t>
      </w:r>
      <w:r w:rsidRPr="00F06197" w:rsidR="00EF718D">
        <w:t xml:space="preserve">previously </w:t>
      </w:r>
      <w:r w:rsidRPr="00F06197">
        <w:t>included in Section 5 of the Part 50 renewal</w:t>
      </w:r>
      <w:r w:rsidRPr="00F06197" w:rsidR="00EF718D">
        <w:t xml:space="preserve"> but now are contained in their own clearance, </w:t>
      </w:r>
      <w:r w:rsidRPr="00F06197" w:rsidR="00E61C68">
        <w:t>“</w:t>
      </w:r>
      <w:r w:rsidRPr="00F06197" w:rsidR="00E61C68">
        <w:rPr>
          <w:color w:val="000000"/>
          <w:shd w:val="clear" w:color="auto" w:fill="FFFFFF"/>
        </w:rPr>
        <w:t>10 CFR 50.55a, Codes and Standards” (3150-0264)</w:t>
      </w:r>
      <w:r w:rsidRPr="00F06197">
        <w:t xml:space="preserve">.  </w:t>
      </w:r>
      <w:r w:rsidRPr="00F06197" w:rsidR="00CA7ECC">
        <w:t xml:space="preserve">The burden for these requirements has been removed from the part 50 </w:t>
      </w:r>
      <w:r w:rsidRPr="00F06197" w:rsidR="006C1DE8">
        <w:t>in the current submission.</w:t>
      </w:r>
    </w:p>
    <w:p w:rsidR="00181EBE" w:rsidRPr="00F06197" w14:paraId="78362E17" w14:textId="77777777">
      <w:pPr>
        <w:pStyle w:val="BodyText"/>
      </w:pPr>
    </w:p>
    <w:p w:rsidR="004B491B" w:rsidRPr="00F06197" w14:paraId="3D598707" w14:textId="77777777">
      <w:pPr>
        <w:pStyle w:val="ListParagraph"/>
        <w:numPr>
          <w:ilvl w:val="0"/>
          <w:numId w:val="2"/>
        </w:numPr>
        <w:tabs>
          <w:tab w:val="left" w:pos="640"/>
        </w:tabs>
        <w:spacing w:before="1"/>
        <w:ind w:hanging="540"/>
      </w:pPr>
      <w:r w:rsidRPr="00F06197">
        <w:rPr>
          <w:spacing w:val="-2"/>
          <w:u w:val="single"/>
        </w:rPr>
        <w:t>JUSTIFICATION</w:t>
      </w:r>
    </w:p>
    <w:p w:rsidR="004B491B" w:rsidRPr="00F06197" w14:paraId="3D598708" w14:textId="77777777">
      <w:pPr>
        <w:pStyle w:val="BodyText"/>
        <w:spacing w:before="10"/>
      </w:pPr>
    </w:p>
    <w:p w:rsidR="004B491B" w:rsidRPr="00F06197" w14:paraId="3D598709" w14:textId="77777777">
      <w:pPr>
        <w:pStyle w:val="ListParagraph"/>
        <w:numPr>
          <w:ilvl w:val="1"/>
          <w:numId w:val="2"/>
        </w:numPr>
        <w:tabs>
          <w:tab w:val="left" w:pos="1090"/>
        </w:tabs>
        <w:spacing w:before="92"/>
      </w:pPr>
      <w:r w:rsidRPr="00F06197">
        <w:rPr>
          <w:u w:val="single"/>
        </w:rPr>
        <w:t>Need</w:t>
      </w:r>
      <w:r w:rsidRPr="00F06197">
        <w:rPr>
          <w:spacing w:val="-5"/>
          <w:u w:val="single"/>
        </w:rPr>
        <w:t xml:space="preserve"> </w:t>
      </w:r>
      <w:r w:rsidRPr="00F06197">
        <w:rPr>
          <w:u w:val="single"/>
        </w:rPr>
        <w:t>for</w:t>
      </w:r>
      <w:r w:rsidRPr="00F06197">
        <w:rPr>
          <w:spacing w:val="-5"/>
          <w:u w:val="single"/>
        </w:rPr>
        <w:t xml:space="preserve"> </w:t>
      </w:r>
      <w:r w:rsidRPr="00F06197">
        <w:rPr>
          <w:u w:val="single"/>
        </w:rPr>
        <w:t>and</w:t>
      </w:r>
      <w:r w:rsidRPr="00F06197">
        <w:rPr>
          <w:spacing w:val="-5"/>
          <w:u w:val="single"/>
        </w:rPr>
        <w:t xml:space="preserve"> </w:t>
      </w:r>
      <w:r w:rsidRPr="00F06197">
        <w:rPr>
          <w:u w:val="single"/>
        </w:rPr>
        <w:t>Practical</w:t>
      </w:r>
      <w:r w:rsidRPr="00F06197">
        <w:rPr>
          <w:spacing w:val="-5"/>
          <w:u w:val="single"/>
        </w:rPr>
        <w:t xml:space="preserve"> </w:t>
      </w:r>
      <w:r w:rsidRPr="00F06197">
        <w:rPr>
          <w:u w:val="single"/>
        </w:rPr>
        <w:t>Utility</w:t>
      </w:r>
      <w:r w:rsidRPr="00F06197">
        <w:rPr>
          <w:spacing w:val="-5"/>
          <w:u w:val="single"/>
        </w:rPr>
        <w:t xml:space="preserve"> </w:t>
      </w:r>
      <w:r w:rsidRPr="00F06197">
        <w:rPr>
          <w:u w:val="single"/>
        </w:rPr>
        <w:t>of</w:t>
      </w:r>
      <w:r w:rsidRPr="00F06197">
        <w:rPr>
          <w:spacing w:val="-5"/>
          <w:u w:val="single"/>
        </w:rPr>
        <w:t xml:space="preserve"> </w:t>
      </w:r>
      <w:r w:rsidRPr="00F06197">
        <w:rPr>
          <w:u w:val="single"/>
        </w:rPr>
        <w:t>the</w:t>
      </w:r>
      <w:r w:rsidRPr="00F06197">
        <w:rPr>
          <w:spacing w:val="-5"/>
          <w:u w:val="single"/>
        </w:rPr>
        <w:t xml:space="preserve"> </w:t>
      </w:r>
      <w:r w:rsidRPr="00F06197">
        <w:rPr>
          <w:u w:val="single"/>
        </w:rPr>
        <w:t>Collection</w:t>
      </w:r>
      <w:r w:rsidRPr="00F06197">
        <w:rPr>
          <w:spacing w:val="-5"/>
          <w:u w:val="single"/>
        </w:rPr>
        <w:t xml:space="preserve"> </w:t>
      </w:r>
      <w:r w:rsidRPr="00F06197">
        <w:rPr>
          <w:u w:val="single"/>
        </w:rPr>
        <w:t>of</w:t>
      </w:r>
      <w:r w:rsidRPr="00F06197">
        <w:rPr>
          <w:spacing w:val="-5"/>
          <w:u w:val="single"/>
        </w:rPr>
        <w:t xml:space="preserve"> </w:t>
      </w:r>
      <w:r w:rsidRPr="00F06197">
        <w:rPr>
          <w:spacing w:val="-2"/>
          <w:u w:val="single"/>
        </w:rPr>
        <w:t>Information</w:t>
      </w:r>
    </w:p>
    <w:p w:rsidR="004B491B" w:rsidRPr="00F06197" w14:paraId="3D59870A" w14:textId="77777777">
      <w:pPr>
        <w:pStyle w:val="BodyText"/>
      </w:pPr>
    </w:p>
    <w:p w:rsidR="004B491B" w:rsidRPr="00F06197" w:rsidP="00B811D4" w14:paraId="3D59870D" w14:textId="65E86A0F">
      <w:pPr>
        <w:pStyle w:val="BodyText"/>
        <w:spacing w:before="93"/>
        <w:ind w:left="1090"/>
      </w:pPr>
      <w:r w:rsidRPr="00F06197">
        <w:t>Pursuant to the Atomic Energy Act of 1954, as amended, NRC has the responsibility and authority for licensing and regulating nuclear power plants, non-power reactors (research and test facilities), fuel reprocessing plants and other utilization and production facilities. This review responsibility also encompasses applications for approval of design certifications.</w:t>
      </w:r>
      <w:r w:rsidRPr="00F06197">
        <w:rPr>
          <w:spacing w:val="40"/>
        </w:rPr>
        <w:t xml:space="preserve"> </w:t>
      </w:r>
      <w:r w:rsidRPr="00F06197">
        <w:t>Information provided by the applicant as part of the application is crucial to the licensing process as it provides the NRC with the information</w:t>
      </w:r>
      <w:r w:rsidRPr="00F06197">
        <w:rPr>
          <w:spacing w:val="-3"/>
        </w:rPr>
        <w:t xml:space="preserve"> </w:t>
      </w:r>
      <w:r w:rsidRPr="00F06197">
        <w:t>it</w:t>
      </w:r>
      <w:r w:rsidRPr="00F06197">
        <w:rPr>
          <w:spacing w:val="-3"/>
        </w:rPr>
        <w:t xml:space="preserve"> </w:t>
      </w:r>
      <w:r w:rsidRPr="00F06197">
        <w:t>needs</w:t>
      </w:r>
      <w:r w:rsidRPr="00F06197">
        <w:rPr>
          <w:spacing w:val="-3"/>
        </w:rPr>
        <w:t xml:space="preserve"> </w:t>
      </w:r>
      <w:r w:rsidRPr="00F06197">
        <w:t>to</w:t>
      </w:r>
      <w:r w:rsidRPr="00F06197">
        <w:rPr>
          <w:spacing w:val="-3"/>
        </w:rPr>
        <w:t xml:space="preserve"> </w:t>
      </w:r>
      <w:r w:rsidRPr="00F06197">
        <w:t>make</w:t>
      </w:r>
      <w:r w:rsidRPr="00F06197">
        <w:rPr>
          <w:spacing w:val="-3"/>
        </w:rPr>
        <w:t xml:space="preserve"> </w:t>
      </w:r>
      <w:r w:rsidRPr="00F06197">
        <w:t>a</w:t>
      </w:r>
      <w:r w:rsidRPr="00F06197">
        <w:rPr>
          <w:spacing w:val="-3"/>
        </w:rPr>
        <w:t xml:space="preserve"> </w:t>
      </w:r>
      <w:r w:rsidRPr="00F06197">
        <w:t>decision</w:t>
      </w:r>
      <w:r w:rsidRPr="00F06197">
        <w:rPr>
          <w:spacing w:val="-3"/>
        </w:rPr>
        <w:t xml:space="preserve"> </w:t>
      </w:r>
      <w:r w:rsidRPr="00F06197">
        <w:t>with</w:t>
      </w:r>
      <w:r w:rsidRPr="00F06197">
        <w:rPr>
          <w:spacing w:val="-3"/>
        </w:rPr>
        <w:t xml:space="preserve"> </w:t>
      </w:r>
      <w:r w:rsidRPr="00F06197">
        <w:t>regard</w:t>
      </w:r>
      <w:r w:rsidRPr="00F06197">
        <w:rPr>
          <w:spacing w:val="-3"/>
        </w:rPr>
        <w:t xml:space="preserve"> </w:t>
      </w:r>
      <w:r w:rsidRPr="00F06197">
        <w:t>to</w:t>
      </w:r>
      <w:r w:rsidRPr="00F06197">
        <w:rPr>
          <w:spacing w:val="-3"/>
        </w:rPr>
        <w:t xml:space="preserve"> </w:t>
      </w:r>
      <w:r w:rsidRPr="00F06197">
        <w:t>the</w:t>
      </w:r>
      <w:r w:rsidRPr="00F06197">
        <w:rPr>
          <w:spacing w:val="-3"/>
        </w:rPr>
        <w:t xml:space="preserve"> </w:t>
      </w:r>
      <w:r w:rsidRPr="00F06197">
        <w:t>proposed</w:t>
      </w:r>
      <w:r w:rsidRPr="00F06197">
        <w:rPr>
          <w:spacing w:val="-3"/>
        </w:rPr>
        <w:t xml:space="preserve"> </w:t>
      </w:r>
      <w:r w:rsidRPr="00F06197">
        <w:t>plant’s</w:t>
      </w:r>
      <w:r w:rsidRPr="00F06197">
        <w:rPr>
          <w:spacing w:val="-3"/>
        </w:rPr>
        <w:t xml:space="preserve"> </w:t>
      </w:r>
      <w:r w:rsidRPr="00F06197">
        <w:t>impact</w:t>
      </w:r>
      <w:r w:rsidRPr="00F06197">
        <w:rPr>
          <w:spacing w:val="-3"/>
        </w:rPr>
        <w:t xml:space="preserve"> </w:t>
      </w:r>
      <w:r w:rsidRPr="00F06197">
        <w:t>on</w:t>
      </w:r>
      <w:r w:rsidRPr="00F06197" w:rsidR="00B811D4">
        <w:t xml:space="preserve"> </w:t>
      </w:r>
      <w:r w:rsidRPr="00F06197">
        <w:t>the health and safety of the public.</w:t>
      </w:r>
      <w:r w:rsidRPr="00F06197">
        <w:rPr>
          <w:spacing w:val="40"/>
        </w:rPr>
        <w:t xml:space="preserve"> </w:t>
      </w:r>
      <w:r w:rsidRPr="00F06197">
        <w:t>Once a facility is licensed, the NRC continues to regulate its licensed activities.</w:t>
      </w:r>
      <w:r w:rsidRPr="00F06197">
        <w:rPr>
          <w:spacing w:val="40"/>
        </w:rPr>
        <w:t xml:space="preserve"> </w:t>
      </w:r>
      <w:r w:rsidRPr="00F06197">
        <w:t>Licensees must comply with the reporting and recordkeeping requirements in 10 CFR Part 50 so that the NRC will have the information it needs to ensure that licensed activities are being conducted without endangering</w:t>
      </w:r>
      <w:r w:rsidRPr="00F06197">
        <w:rPr>
          <w:spacing w:val="-4"/>
        </w:rPr>
        <w:t xml:space="preserve"> </w:t>
      </w:r>
      <w:r w:rsidRPr="00F06197">
        <w:t>the</w:t>
      </w:r>
      <w:r w:rsidRPr="00F06197">
        <w:rPr>
          <w:spacing w:val="-3"/>
        </w:rPr>
        <w:t xml:space="preserve"> </w:t>
      </w:r>
      <w:r w:rsidRPr="00F06197">
        <w:t>health</w:t>
      </w:r>
      <w:r w:rsidRPr="00F06197">
        <w:rPr>
          <w:spacing w:val="-3"/>
        </w:rPr>
        <w:t xml:space="preserve"> </w:t>
      </w:r>
      <w:r w:rsidRPr="00F06197">
        <w:t>and</w:t>
      </w:r>
      <w:r w:rsidRPr="00F06197">
        <w:rPr>
          <w:spacing w:val="-3"/>
        </w:rPr>
        <w:t xml:space="preserve"> </w:t>
      </w:r>
      <w:r w:rsidRPr="00F06197">
        <w:t>safety</w:t>
      </w:r>
      <w:r w:rsidRPr="00F06197">
        <w:rPr>
          <w:spacing w:val="-3"/>
        </w:rPr>
        <w:t xml:space="preserve"> </w:t>
      </w:r>
      <w:r w:rsidRPr="00F06197">
        <w:t>of</w:t>
      </w:r>
      <w:r w:rsidRPr="00F06197">
        <w:rPr>
          <w:spacing w:val="-3"/>
        </w:rPr>
        <w:t xml:space="preserve"> </w:t>
      </w:r>
      <w:r w:rsidRPr="00F06197">
        <w:t>the</w:t>
      </w:r>
      <w:r w:rsidRPr="00F06197">
        <w:rPr>
          <w:spacing w:val="-3"/>
        </w:rPr>
        <w:t xml:space="preserve"> </w:t>
      </w:r>
      <w:r w:rsidRPr="00F06197">
        <w:t>public.</w:t>
      </w:r>
      <w:r w:rsidRPr="00F06197">
        <w:rPr>
          <w:spacing w:val="40"/>
        </w:rPr>
        <w:t xml:space="preserve"> </w:t>
      </w:r>
      <w:r w:rsidRPr="00F06197">
        <w:t>Detailed</w:t>
      </w:r>
      <w:r w:rsidRPr="00F06197">
        <w:rPr>
          <w:spacing w:val="-3"/>
        </w:rPr>
        <w:t xml:space="preserve"> </w:t>
      </w:r>
      <w:r w:rsidRPr="00F06197">
        <w:t>information</w:t>
      </w:r>
      <w:r w:rsidRPr="00F06197">
        <w:rPr>
          <w:spacing w:val="-3"/>
        </w:rPr>
        <w:t xml:space="preserve"> </w:t>
      </w:r>
      <w:r w:rsidRPr="00F06197">
        <w:t>required</w:t>
      </w:r>
      <w:r w:rsidRPr="00F06197">
        <w:rPr>
          <w:spacing w:val="-3"/>
        </w:rPr>
        <w:t xml:space="preserve"> </w:t>
      </w:r>
      <w:r w:rsidRPr="00F06197">
        <w:t>by</w:t>
      </w:r>
      <w:r w:rsidRPr="00F06197">
        <w:rPr>
          <w:spacing w:val="-3"/>
        </w:rPr>
        <w:t xml:space="preserve"> </w:t>
      </w:r>
      <w:r w:rsidRPr="00F06197">
        <w:t>the NRC to be included in each application for a construction permit, operating license, combined operating license, or required to monitor and ensure safe operation is addressed in the following Supporting Statements specific to the 10 CFR Part 50 Sections (see Supplementary Documents).</w:t>
      </w:r>
    </w:p>
    <w:p w:rsidR="004B491B" w:rsidRPr="00F06197" w14:paraId="3D59870E" w14:textId="77777777">
      <w:pPr>
        <w:pStyle w:val="BodyText"/>
      </w:pPr>
    </w:p>
    <w:p w:rsidR="004B491B" w:rsidRPr="00F06197" w14:paraId="3D59870F" w14:textId="22A38BE8">
      <w:pPr>
        <w:pStyle w:val="ListParagraph"/>
        <w:numPr>
          <w:ilvl w:val="1"/>
          <w:numId w:val="2"/>
        </w:numPr>
        <w:tabs>
          <w:tab w:val="left" w:pos="830"/>
        </w:tabs>
        <w:ind w:left="830" w:hanging="183"/>
      </w:pPr>
      <w:r w:rsidRPr="00F06197">
        <w:rPr>
          <w:spacing w:val="27"/>
        </w:rPr>
        <w:t xml:space="preserve"> </w:t>
      </w:r>
      <w:r w:rsidRPr="00F06197" w:rsidR="00165A01">
        <w:rPr>
          <w:spacing w:val="27"/>
        </w:rPr>
        <w:t xml:space="preserve">  </w:t>
      </w:r>
      <w:r w:rsidRPr="00F06197" w:rsidR="00165A01">
        <w:rPr>
          <w:u w:val="single"/>
        </w:rPr>
        <w:t>Agency</w:t>
      </w:r>
      <w:r w:rsidRPr="00F06197" w:rsidR="00165A01">
        <w:rPr>
          <w:spacing w:val="-3"/>
          <w:u w:val="single"/>
        </w:rPr>
        <w:t xml:space="preserve"> </w:t>
      </w:r>
      <w:r w:rsidRPr="00F06197" w:rsidR="00165A01">
        <w:rPr>
          <w:u w:val="single"/>
        </w:rPr>
        <w:t>Use</w:t>
      </w:r>
      <w:r w:rsidRPr="00F06197" w:rsidR="00165A01">
        <w:rPr>
          <w:spacing w:val="-2"/>
          <w:u w:val="single"/>
        </w:rPr>
        <w:t xml:space="preserve"> </w:t>
      </w:r>
      <w:r w:rsidRPr="00F06197" w:rsidR="00165A01">
        <w:rPr>
          <w:u w:val="single"/>
        </w:rPr>
        <w:t>of</w:t>
      </w:r>
      <w:r w:rsidRPr="00F06197" w:rsidR="00165A01">
        <w:rPr>
          <w:spacing w:val="-2"/>
          <w:u w:val="single"/>
        </w:rPr>
        <w:t xml:space="preserve"> Information</w:t>
      </w:r>
    </w:p>
    <w:p w:rsidR="004B491B" w:rsidRPr="00F06197" w14:paraId="3D598710" w14:textId="77777777">
      <w:pPr>
        <w:pStyle w:val="BodyText"/>
      </w:pPr>
    </w:p>
    <w:p w:rsidR="004B491B" w:rsidRPr="00F06197" w14:paraId="3D598711" w14:textId="77777777">
      <w:pPr>
        <w:pStyle w:val="BodyText"/>
        <w:spacing w:before="93"/>
        <w:ind w:left="1090" w:right="103"/>
      </w:pPr>
      <w:r w:rsidRPr="00F06197">
        <w:t>The NRC conducts a detailed review of all applications for licenses to construct and operate utilization and production facilities, in addition to applications for approval of design certifications.</w:t>
      </w:r>
      <w:r w:rsidRPr="00F06197">
        <w:rPr>
          <w:spacing w:val="40"/>
        </w:rPr>
        <w:t xml:space="preserve"> </w:t>
      </w:r>
      <w:r w:rsidRPr="00F06197">
        <w:t xml:space="preserve">The purpose of the detailed review is to ensure that the </w:t>
      </w:r>
      <w:r w:rsidRPr="00F06197">
        <w:t>proposed facilities can be built and operated safely at the proposed locations, and</w:t>
      </w:r>
      <w:r w:rsidRPr="00F06197">
        <w:rPr>
          <w:spacing w:val="40"/>
        </w:rPr>
        <w:t xml:space="preserve"> </w:t>
      </w:r>
      <w:r w:rsidRPr="00F06197">
        <w:t>that all structures, systems, and components important to safety will be designed to withstand</w:t>
      </w:r>
      <w:r w:rsidRPr="00F06197">
        <w:rPr>
          <w:spacing w:val="-4"/>
        </w:rPr>
        <w:t xml:space="preserve"> </w:t>
      </w:r>
      <w:r w:rsidRPr="00F06197">
        <w:t>the</w:t>
      </w:r>
      <w:r w:rsidRPr="00F06197">
        <w:rPr>
          <w:spacing w:val="-4"/>
        </w:rPr>
        <w:t xml:space="preserve"> </w:t>
      </w:r>
      <w:r w:rsidRPr="00F06197">
        <w:t>effects</w:t>
      </w:r>
      <w:r w:rsidRPr="00F06197">
        <w:rPr>
          <w:spacing w:val="-4"/>
        </w:rPr>
        <w:t xml:space="preserve"> </w:t>
      </w:r>
      <w:r w:rsidRPr="00F06197">
        <w:t>of</w:t>
      </w:r>
      <w:r w:rsidRPr="00F06197">
        <w:rPr>
          <w:spacing w:val="-4"/>
        </w:rPr>
        <w:t xml:space="preserve"> </w:t>
      </w:r>
      <w:r w:rsidRPr="00F06197">
        <w:t>postulated</w:t>
      </w:r>
      <w:r w:rsidRPr="00F06197">
        <w:rPr>
          <w:spacing w:val="-4"/>
        </w:rPr>
        <w:t xml:space="preserve"> </w:t>
      </w:r>
      <w:r w:rsidRPr="00F06197">
        <w:t>accident</w:t>
      </w:r>
      <w:r w:rsidRPr="00F06197">
        <w:rPr>
          <w:spacing w:val="-4"/>
        </w:rPr>
        <w:t xml:space="preserve"> </w:t>
      </w:r>
      <w:r w:rsidRPr="00F06197">
        <w:t>conditions</w:t>
      </w:r>
      <w:r w:rsidRPr="00F06197">
        <w:rPr>
          <w:spacing w:val="-4"/>
        </w:rPr>
        <w:t xml:space="preserve"> </w:t>
      </w:r>
      <w:r w:rsidRPr="00F06197">
        <w:t>without</w:t>
      </w:r>
      <w:r w:rsidRPr="00F06197">
        <w:rPr>
          <w:spacing w:val="-4"/>
        </w:rPr>
        <w:t xml:space="preserve"> </w:t>
      </w:r>
      <w:r w:rsidRPr="00F06197">
        <w:t>undue</w:t>
      </w:r>
      <w:r w:rsidRPr="00F06197">
        <w:rPr>
          <w:spacing w:val="-4"/>
        </w:rPr>
        <w:t xml:space="preserve"> </w:t>
      </w:r>
      <w:r w:rsidRPr="00F06197">
        <w:t>risk</w:t>
      </w:r>
      <w:r w:rsidRPr="00F06197">
        <w:rPr>
          <w:spacing w:val="-4"/>
        </w:rPr>
        <w:t xml:space="preserve"> </w:t>
      </w:r>
      <w:r w:rsidRPr="00F06197">
        <w:t>to</w:t>
      </w:r>
      <w:r w:rsidRPr="00F06197">
        <w:rPr>
          <w:spacing w:val="-4"/>
        </w:rPr>
        <w:t xml:space="preserve"> </w:t>
      </w:r>
      <w:r w:rsidRPr="00F06197">
        <w:t>the</w:t>
      </w:r>
      <w:r w:rsidRPr="00F06197">
        <w:rPr>
          <w:spacing w:val="-4"/>
        </w:rPr>
        <w:t xml:space="preserve"> </w:t>
      </w:r>
      <w:r w:rsidRPr="00F06197">
        <w:t>health and safety of the public.</w:t>
      </w:r>
      <w:r w:rsidRPr="00F06197">
        <w:rPr>
          <w:spacing w:val="40"/>
        </w:rPr>
        <w:t xml:space="preserve"> </w:t>
      </w:r>
      <w:r w:rsidRPr="00F06197">
        <w:t>A detailed review of operating reports and records continues during the lifetime of the licensed plant until it is decommissioned, and its license terminated.</w:t>
      </w:r>
      <w:r w:rsidRPr="00F06197">
        <w:rPr>
          <w:spacing w:val="80"/>
        </w:rPr>
        <w:t xml:space="preserve"> </w:t>
      </w:r>
      <w:r w:rsidRPr="00F06197">
        <w:t>Applicants and licensees are required by the Act to provide such technical information and data that the NRC may determine necessary to ensure the public health and safety.</w:t>
      </w:r>
    </w:p>
    <w:p w:rsidR="004B491B" w:rsidRPr="00F06197" w14:paraId="17B993D4" w14:textId="77777777">
      <w:pPr>
        <w:pStyle w:val="BodyText"/>
      </w:pPr>
    </w:p>
    <w:p w:rsidR="004B491B" w:rsidRPr="00F06197" w14:paraId="3D598713" w14:textId="77777777">
      <w:pPr>
        <w:pStyle w:val="ListParagraph"/>
        <w:numPr>
          <w:ilvl w:val="1"/>
          <w:numId w:val="2"/>
        </w:numPr>
        <w:tabs>
          <w:tab w:val="left" w:pos="1090"/>
        </w:tabs>
      </w:pPr>
      <w:r w:rsidRPr="00F06197">
        <w:rPr>
          <w:u w:val="single"/>
        </w:rPr>
        <w:t>Reduction</w:t>
      </w:r>
      <w:r w:rsidRPr="00F06197">
        <w:rPr>
          <w:spacing w:val="-8"/>
          <w:u w:val="single"/>
        </w:rPr>
        <w:t xml:space="preserve"> </w:t>
      </w:r>
      <w:r w:rsidRPr="00F06197">
        <w:rPr>
          <w:u w:val="single"/>
        </w:rPr>
        <w:t>of</w:t>
      </w:r>
      <w:r w:rsidRPr="00F06197">
        <w:rPr>
          <w:spacing w:val="-9"/>
          <w:u w:val="single"/>
        </w:rPr>
        <w:t xml:space="preserve"> </w:t>
      </w:r>
      <w:r w:rsidRPr="00F06197">
        <w:rPr>
          <w:u w:val="single"/>
        </w:rPr>
        <w:t>Burden</w:t>
      </w:r>
      <w:r w:rsidRPr="00F06197">
        <w:rPr>
          <w:spacing w:val="-8"/>
          <w:u w:val="single"/>
        </w:rPr>
        <w:t xml:space="preserve"> </w:t>
      </w:r>
      <w:r w:rsidRPr="00F06197">
        <w:rPr>
          <w:u w:val="single"/>
        </w:rPr>
        <w:t>Through</w:t>
      </w:r>
      <w:r w:rsidRPr="00F06197">
        <w:rPr>
          <w:spacing w:val="-8"/>
          <w:u w:val="single"/>
        </w:rPr>
        <w:t xml:space="preserve"> </w:t>
      </w:r>
      <w:r w:rsidRPr="00F06197">
        <w:rPr>
          <w:u w:val="single"/>
        </w:rPr>
        <w:t>Information</w:t>
      </w:r>
      <w:r w:rsidRPr="00F06197">
        <w:rPr>
          <w:spacing w:val="-8"/>
          <w:u w:val="single"/>
        </w:rPr>
        <w:t xml:space="preserve"> </w:t>
      </w:r>
      <w:r w:rsidRPr="00F06197">
        <w:rPr>
          <w:spacing w:val="-2"/>
          <w:u w:val="single"/>
        </w:rPr>
        <w:t>Technology</w:t>
      </w:r>
    </w:p>
    <w:p w:rsidR="004B491B" w:rsidRPr="00F06197" w14:paraId="3D598714" w14:textId="77777777">
      <w:pPr>
        <w:pStyle w:val="BodyText"/>
        <w:spacing w:before="10"/>
      </w:pPr>
    </w:p>
    <w:p w:rsidR="00A179E0" w:rsidRPr="00F06197" w:rsidP="00A179E0" w14:paraId="64A60F2F" w14:textId="1A571AEB">
      <w:pPr>
        <w:ind w:left="1089"/>
      </w:pPr>
      <w:r w:rsidRPr="00F06197">
        <w:t xml:space="preserve">The NRC has issued </w:t>
      </w:r>
      <w:hyperlink r:id="rId10" w:history="1">
        <w:r w:rsidRPr="00F06197">
          <w:rPr>
            <w:rStyle w:val="Hyperlink"/>
          </w:rPr>
          <w:t>Guidance for Electronic Submissions</w:t>
        </w:r>
      </w:hyperlink>
      <w:r w:rsidRPr="00F06197">
        <w:t xml:space="preserve"> to the NRC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 CD-ROM, DVD), or by e-mail. It is estimated that approximately 55% of the potential responses are filed electronically. </w:t>
      </w:r>
    </w:p>
    <w:p w:rsidR="004B491B" w:rsidRPr="00F06197" w14:paraId="3D598716" w14:textId="77777777">
      <w:pPr>
        <w:pStyle w:val="BodyText"/>
      </w:pPr>
    </w:p>
    <w:p w:rsidR="004B491B" w:rsidRPr="00F06197" w14:paraId="3D598717" w14:textId="77777777">
      <w:pPr>
        <w:pStyle w:val="ListParagraph"/>
        <w:numPr>
          <w:ilvl w:val="1"/>
          <w:numId w:val="2"/>
        </w:numPr>
        <w:tabs>
          <w:tab w:val="left" w:pos="1089"/>
        </w:tabs>
        <w:ind w:left="1089" w:hanging="450"/>
      </w:pPr>
      <w:r w:rsidRPr="00F06197">
        <w:rPr>
          <w:u w:val="single"/>
        </w:rPr>
        <w:t>Effort</w:t>
      </w:r>
      <w:r w:rsidRPr="00F06197">
        <w:rPr>
          <w:spacing w:val="-6"/>
          <w:u w:val="single"/>
        </w:rPr>
        <w:t xml:space="preserve"> </w:t>
      </w:r>
      <w:r w:rsidRPr="00F06197">
        <w:rPr>
          <w:u w:val="single"/>
        </w:rPr>
        <w:t>to</w:t>
      </w:r>
      <w:r w:rsidRPr="00F06197">
        <w:rPr>
          <w:spacing w:val="-6"/>
          <w:u w:val="single"/>
        </w:rPr>
        <w:t xml:space="preserve"> </w:t>
      </w:r>
      <w:r w:rsidRPr="00F06197">
        <w:rPr>
          <w:u w:val="single"/>
        </w:rPr>
        <w:t>Identify</w:t>
      </w:r>
      <w:r w:rsidRPr="00F06197">
        <w:rPr>
          <w:spacing w:val="-6"/>
          <w:u w:val="single"/>
        </w:rPr>
        <w:t xml:space="preserve"> </w:t>
      </w:r>
      <w:r w:rsidRPr="00F06197">
        <w:rPr>
          <w:u w:val="single"/>
        </w:rPr>
        <w:t>Duplication</w:t>
      </w:r>
      <w:r w:rsidRPr="00F06197">
        <w:rPr>
          <w:spacing w:val="-6"/>
          <w:u w:val="single"/>
        </w:rPr>
        <w:t xml:space="preserve"> </w:t>
      </w:r>
      <w:r w:rsidRPr="00F06197">
        <w:rPr>
          <w:u w:val="single"/>
        </w:rPr>
        <w:t>and</w:t>
      </w:r>
      <w:r w:rsidRPr="00F06197">
        <w:rPr>
          <w:spacing w:val="-5"/>
          <w:u w:val="single"/>
        </w:rPr>
        <w:t xml:space="preserve"> </w:t>
      </w:r>
      <w:r w:rsidRPr="00F06197">
        <w:rPr>
          <w:u w:val="single"/>
        </w:rPr>
        <w:t>Use</w:t>
      </w:r>
      <w:r w:rsidRPr="00F06197">
        <w:rPr>
          <w:spacing w:val="-6"/>
          <w:u w:val="single"/>
        </w:rPr>
        <w:t xml:space="preserve"> </w:t>
      </w:r>
      <w:r w:rsidRPr="00F06197">
        <w:rPr>
          <w:u w:val="single"/>
        </w:rPr>
        <w:t>Similar</w:t>
      </w:r>
      <w:r w:rsidRPr="00F06197">
        <w:rPr>
          <w:spacing w:val="-6"/>
          <w:u w:val="single"/>
        </w:rPr>
        <w:t xml:space="preserve"> </w:t>
      </w:r>
      <w:r w:rsidRPr="00F06197">
        <w:rPr>
          <w:spacing w:val="-2"/>
          <w:u w:val="single"/>
        </w:rPr>
        <w:t>Information</w:t>
      </w:r>
    </w:p>
    <w:p w:rsidR="004B491B" w:rsidRPr="00F06197" w14:paraId="3D598718" w14:textId="77777777">
      <w:pPr>
        <w:pStyle w:val="BodyText"/>
        <w:spacing w:before="10"/>
      </w:pPr>
    </w:p>
    <w:p w:rsidR="004B491B" w:rsidRPr="00F06197" w14:paraId="3D598719" w14:textId="77777777">
      <w:pPr>
        <w:pStyle w:val="BodyText"/>
        <w:spacing w:before="93"/>
        <w:ind w:left="1090" w:right="109"/>
      </w:pPr>
      <w:r w:rsidRPr="00F06197">
        <w:t>No</w:t>
      </w:r>
      <w:r w:rsidRPr="00F06197">
        <w:rPr>
          <w:spacing w:val="-3"/>
        </w:rPr>
        <w:t xml:space="preserve"> </w:t>
      </w:r>
      <w:r w:rsidRPr="00F06197">
        <w:t>sources</w:t>
      </w:r>
      <w:r w:rsidRPr="00F06197">
        <w:rPr>
          <w:spacing w:val="-4"/>
        </w:rPr>
        <w:t xml:space="preserve"> </w:t>
      </w:r>
      <w:r w:rsidRPr="00F06197">
        <w:t>of</w:t>
      </w:r>
      <w:r w:rsidRPr="00F06197">
        <w:rPr>
          <w:spacing w:val="-3"/>
        </w:rPr>
        <w:t xml:space="preserve"> </w:t>
      </w:r>
      <w:r w:rsidRPr="00F06197">
        <w:t>similar</w:t>
      </w:r>
      <w:r w:rsidRPr="00F06197">
        <w:rPr>
          <w:spacing w:val="-3"/>
        </w:rPr>
        <w:t xml:space="preserve"> </w:t>
      </w:r>
      <w:r w:rsidRPr="00F06197">
        <w:t>information</w:t>
      </w:r>
      <w:r w:rsidRPr="00F06197">
        <w:rPr>
          <w:spacing w:val="-3"/>
        </w:rPr>
        <w:t xml:space="preserve"> </w:t>
      </w:r>
      <w:r w:rsidRPr="00F06197">
        <w:t>are</w:t>
      </w:r>
      <w:r w:rsidRPr="00F06197">
        <w:rPr>
          <w:spacing w:val="-3"/>
        </w:rPr>
        <w:t xml:space="preserve"> </w:t>
      </w:r>
      <w:r w:rsidRPr="00F06197">
        <w:t>available.</w:t>
      </w:r>
      <w:r w:rsidRPr="00F06197">
        <w:rPr>
          <w:spacing w:val="40"/>
        </w:rPr>
        <w:t xml:space="preserve"> </w:t>
      </w:r>
      <w:r w:rsidRPr="00F06197">
        <w:t>There</w:t>
      </w:r>
      <w:r w:rsidRPr="00F06197">
        <w:rPr>
          <w:spacing w:val="-3"/>
        </w:rPr>
        <w:t xml:space="preserve"> </w:t>
      </w:r>
      <w:r w:rsidRPr="00F06197">
        <w:t>is</w:t>
      </w:r>
      <w:r w:rsidRPr="00F06197">
        <w:rPr>
          <w:spacing w:val="-3"/>
        </w:rPr>
        <w:t xml:space="preserve"> </w:t>
      </w:r>
      <w:r w:rsidRPr="00F06197">
        <w:t>no</w:t>
      </w:r>
      <w:r w:rsidRPr="00F06197">
        <w:rPr>
          <w:spacing w:val="-4"/>
        </w:rPr>
        <w:t xml:space="preserve"> </w:t>
      </w:r>
      <w:r w:rsidRPr="00F06197">
        <w:t>duplication</w:t>
      </w:r>
      <w:r w:rsidRPr="00F06197">
        <w:rPr>
          <w:spacing w:val="-6"/>
        </w:rPr>
        <w:t xml:space="preserve"> </w:t>
      </w:r>
      <w:r w:rsidRPr="00F06197">
        <w:t xml:space="preserve">of </w:t>
      </w:r>
      <w:r w:rsidRPr="00F06197">
        <w:rPr>
          <w:spacing w:val="-2"/>
        </w:rPr>
        <w:t>requirements.</w:t>
      </w:r>
    </w:p>
    <w:p w:rsidR="004B491B" w:rsidRPr="00F06197" w14:paraId="3D59871A" w14:textId="77777777">
      <w:pPr>
        <w:pStyle w:val="BodyText"/>
      </w:pPr>
    </w:p>
    <w:p w:rsidR="004B491B" w:rsidRPr="00F06197" w14:paraId="3D59871B" w14:textId="77777777">
      <w:pPr>
        <w:pStyle w:val="ListParagraph"/>
        <w:numPr>
          <w:ilvl w:val="1"/>
          <w:numId w:val="2"/>
        </w:numPr>
        <w:tabs>
          <w:tab w:val="left" w:pos="1090"/>
        </w:tabs>
        <w:spacing w:before="1"/>
      </w:pPr>
      <w:r w:rsidRPr="00F06197">
        <w:rPr>
          <w:u w:val="single"/>
        </w:rPr>
        <w:t>Effort</w:t>
      </w:r>
      <w:r w:rsidRPr="00F06197">
        <w:rPr>
          <w:spacing w:val="-7"/>
          <w:u w:val="single"/>
        </w:rPr>
        <w:t xml:space="preserve"> </w:t>
      </w:r>
      <w:r w:rsidRPr="00F06197">
        <w:rPr>
          <w:u w:val="single"/>
        </w:rPr>
        <w:t>to</w:t>
      </w:r>
      <w:r w:rsidRPr="00F06197">
        <w:rPr>
          <w:spacing w:val="-6"/>
          <w:u w:val="single"/>
        </w:rPr>
        <w:t xml:space="preserve"> </w:t>
      </w:r>
      <w:r w:rsidRPr="00F06197">
        <w:rPr>
          <w:u w:val="single"/>
        </w:rPr>
        <w:t>Reduce</w:t>
      </w:r>
      <w:r w:rsidRPr="00F06197">
        <w:rPr>
          <w:spacing w:val="-6"/>
          <w:u w:val="single"/>
        </w:rPr>
        <w:t xml:space="preserve"> </w:t>
      </w:r>
      <w:r w:rsidRPr="00F06197">
        <w:rPr>
          <w:u w:val="single"/>
        </w:rPr>
        <w:t>Small</w:t>
      </w:r>
      <w:r w:rsidRPr="00F06197">
        <w:rPr>
          <w:spacing w:val="-6"/>
          <w:u w:val="single"/>
        </w:rPr>
        <w:t xml:space="preserve"> </w:t>
      </w:r>
      <w:r w:rsidRPr="00F06197">
        <w:rPr>
          <w:u w:val="single"/>
        </w:rPr>
        <w:t>Business</w:t>
      </w:r>
      <w:r w:rsidRPr="00F06197">
        <w:rPr>
          <w:spacing w:val="-6"/>
          <w:u w:val="single"/>
        </w:rPr>
        <w:t xml:space="preserve"> </w:t>
      </w:r>
      <w:r w:rsidRPr="00F06197">
        <w:rPr>
          <w:spacing w:val="-2"/>
          <w:u w:val="single"/>
        </w:rPr>
        <w:t>Burden</w:t>
      </w:r>
    </w:p>
    <w:p w:rsidR="004B491B" w:rsidRPr="00F06197" w14:paraId="3D59871C" w14:textId="77777777">
      <w:pPr>
        <w:pStyle w:val="BodyText"/>
        <w:spacing w:before="10"/>
      </w:pPr>
    </w:p>
    <w:p w:rsidR="004B491B" w:rsidRPr="00F06197" w14:paraId="3D59871D" w14:textId="11CC3422">
      <w:pPr>
        <w:pStyle w:val="BodyText"/>
        <w:spacing w:before="92"/>
        <w:ind w:left="1090"/>
        <w:rPr>
          <w:spacing w:val="-2"/>
        </w:rPr>
      </w:pPr>
      <w:r w:rsidRPr="00F06197">
        <w:t>Not</w:t>
      </w:r>
      <w:r w:rsidRPr="00F06197">
        <w:rPr>
          <w:spacing w:val="-4"/>
        </w:rPr>
        <w:t xml:space="preserve"> </w:t>
      </w:r>
      <w:r w:rsidRPr="00F06197">
        <w:rPr>
          <w:spacing w:val="-2"/>
        </w:rPr>
        <w:t>Applicable</w:t>
      </w:r>
      <w:r w:rsidRPr="00F06197" w:rsidR="003C1A3F">
        <w:rPr>
          <w:spacing w:val="-2"/>
        </w:rPr>
        <w:t>.</w:t>
      </w:r>
    </w:p>
    <w:p w:rsidR="00664B10" w:rsidRPr="00F06197" w14:paraId="45E7FA31" w14:textId="77777777">
      <w:pPr>
        <w:pStyle w:val="BodyText"/>
        <w:spacing w:before="92"/>
        <w:ind w:left="1090"/>
        <w:rPr>
          <w:spacing w:val="-2"/>
        </w:rPr>
      </w:pPr>
    </w:p>
    <w:p w:rsidR="004B491B" w:rsidRPr="00F06197" w14:paraId="3D59871F" w14:textId="77777777">
      <w:pPr>
        <w:pStyle w:val="ListParagraph"/>
        <w:numPr>
          <w:ilvl w:val="1"/>
          <w:numId w:val="2"/>
        </w:numPr>
        <w:tabs>
          <w:tab w:val="left" w:pos="1090"/>
        </w:tabs>
        <w:spacing w:before="73"/>
        <w:ind w:right="1020" w:hanging="450"/>
      </w:pPr>
      <w:r w:rsidRPr="00F06197">
        <w:rPr>
          <w:u w:val="single"/>
        </w:rPr>
        <w:t>Consequences</w:t>
      </w:r>
      <w:r w:rsidRPr="00F06197">
        <w:rPr>
          <w:spacing w:val="-4"/>
          <w:u w:val="single"/>
        </w:rPr>
        <w:t xml:space="preserve"> </w:t>
      </w:r>
      <w:r w:rsidRPr="00F06197">
        <w:rPr>
          <w:u w:val="single"/>
        </w:rPr>
        <w:t>to</w:t>
      </w:r>
      <w:r w:rsidRPr="00F06197">
        <w:rPr>
          <w:spacing w:val="-4"/>
          <w:u w:val="single"/>
        </w:rPr>
        <w:t xml:space="preserve"> </w:t>
      </w:r>
      <w:r w:rsidRPr="00F06197">
        <w:rPr>
          <w:u w:val="single"/>
        </w:rPr>
        <w:t>Federal</w:t>
      </w:r>
      <w:r w:rsidRPr="00F06197">
        <w:rPr>
          <w:spacing w:val="-4"/>
          <w:u w:val="single"/>
        </w:rPr>
        <w:t xml:space="preserve"> </w:t>
      </w:r>
      <w:r w:rsidRPr="00F06197">
        <w:rPr>
          <w:u w:val="single"/>
        </w:rPr>
        <w:t>Program</w:t>
      </w:r>
      <w:r w:rsidRPr="00F06197">
        <w:rPr>
          <w:spacing w:val="-3"/>
          <w:u w:val="single"/>
        </w:rPr>
        <w:t xml:space="preserve"> </w:t>
      </w:r>
      <w:r w:rsidRPr="00F06197">
        <w:rPr>
          <w:u w:val="single"/>
        </w:rPr>
        <w:t>or</w:t>
      </w:r>
      <w:r w:rsidRPr="00F06197">
        <w:rPr>
          <w:spacing w:val="-4"/>
          <w:u w:val="single"/>
        </w:rPr>
        <w:t xml:space="preserve"> </w:t>
      </w:r>
      <w:r w:rsidRPr="00F06197">
        <w:rPr>
          <w:u w:val="single"/>
        </w:rPr>
        <w:t>Policy</w:t>
      </w:r>
      <w:r w:rsidRPr="00F06197">
        <w:rPr>
          <w:spacing w:val="-4"/>
          <w:u w:val="single"/>
        </w:rPr>
        <w:t xml:space="preserve"> </w:t>
      </w:r>
      <w:r w:rsidRPr="00F06197">
        <w:rPr>
          <w:u w:val="single"/>
        </w:rPr>
        <w:t>Activities</w:t>
      </w:r>
      <w:r w:rsidRPr="00F06197">
        <w:rPr>
          <w:spacing w:val="-4"/>
          <w:u w:val="single"/>
        </w:rPr>
        <w:t xml:space="preserve"> </w:t>
      </w:r>
      <w:r w:rsidRPr="00F06197">
        <w:rPr>
          <w:u w:val="single"/>
        </w:rPr>
        <w:t>if</w:t>
      </w:r>
      <w:r w:rsidRPr="00F06197">
        <w:rPr>
          <w:spacing w:val="-4"/>
          <w:u w:val="single"/>
        </w:rPr>
        <w:t xml:space="preserve"> </w:t>
      </w:r>
      <w:r w:rsidRPr="00F06197">
        <w:rPr>
          <w:u w:val="single"/>
        </w:rPr>
        <w:t>the</w:t>
      </w:r>
      <w:r w:rsidRPr="00F06197">
        <w:rPr>
          <w:spacing w:val="-6"/>
          <w:u w:val="single"/>
        </w:rPr>
        <w:t xml:space="preserve"> </w:t>
      </w:r>
      <w:r w:rsidRPr="00F06197">
        <w:rPr>
          <w:u w:val="single"/>
        </w:rPr>
        <w:t>Collection</w:t>
      </w:r>
      <w:r w:rsidRPr="00F06197">
        <w:rPr>
          <w:spacing w:val="-4"/>
          <w:u w:val="single"/>
        </w:rPr>
        <w:t xml:space="preserve"> </w:t>
      </w:r>
      <w:r w:rsidRPr="00F06197">
        <w:rPr>
          <w:u w:val="single"/>
        </w:rPr>
        <w:t>is</w:t>
      </w:r>
      <w:r w:rsidRPr="00F06197">
        <w:rPr>
          <w:spacing w:val="-4"/>
          <w:u w:val="single"/>
        </w:rPr>
        <w:t xml:space="preserve"> </w:t>
      </w:r>
      <w:r w:rsidRPr="00F06197">
        <w:rPr>
          <w:u w:val="single"/>
        </w:rPr>
        <w:t>Not</w:t>
      </w:r>
      <w:r w:rsidRPr="00F06197">
        <w:t xml:space="preserve"> </w:t>
      </w:r>
      <w:r w:rsidRPr="00F06197">
        <w:rPr>
          <w:u w:val="single"/>
        </w:rPr>
        <w:t>Conducted or is Conducted Less Frequently</w:t>
      </w:r>
    </w:p>
    <w:p w:rsidR="004B491B" w:rsidRPr="00F06197" w14:paraId="3D598720" w14:textId="77777777">
      <w:pPr>
        <w:pStyle w:val="BodyText"/>
        <w:spacing w:before="11"/>
      </w:pPr>
    </w:p>
    <w:p w:rsidR="004B491B" w:rsidRPr="00F06197" w14:paraId="3D598721" w14:textId="77777777">
      <w:pPr>
        <w:pStyle w:val="BodyText"/>
        <w:spacing w:before="92"/>
        <w:ind w:left="1090" w:right="1044"/>
        <w:jc w:val="both"/>
      </w:pPr>
      <w:r w:rsidRPr="00F06197">
        <w:t>See</w:t>
      </w:r>
      <w:r w:rsidRPr="00F06197">
        <w:rPr>
          <w:spacing w:val="-5"/>
        </w:rPr>
        <w:t xml:space="preserve"> </w:t>
      </w:r>
      <w:r w:rsidRPr="00F06197">
        <w:t>each</w:t>
      </w:r>
      <w:r w:rsidRPr="00F06197">
        <w:rPr>
          <w:spacing w:val="-5"/>
        </w:rPr>
        <w:t xml:space="preserve"> </w:t>
      </w:r>
      <w:r w:rsidRPr="00F06197">
        <w:t>section</w:t>
      </w:r>
      <w:r w:rsidRPr="00F06197">
        <w:rPr>
          <w:spacing w:val="-5"/>
        </w:rPr>
        <w:t xml:space="preserve"> </w:t>
      </w:r>
      <w:r w:rsidRPr="00F06197">
        <w:t>(Supplementary</w:t>
      </w:r>
      <w:r w:rsidRPr="00F06197">
        <w:rPr>
          <w:spacing w:val="-4"/>
        </w:rPr>
        <w:t xml:space="preserve"> </w:t>
      </w:r>
      <w:r w:rsidRPr="00F06197">
        <w:t>Documents)</w:t>
      </w:r>
      <w:r w:rsidRPr="00F06197">
        <w:rPr>
          <w:spacing w:val="-5"/>
        </w:rPr>
        <w:t xml:space="preserve"> </w:t>
      </w:r>
      <w:r w:rsidRPr="00F06197">
        <w:t>for</w:t>
      </w:r>
      <w:r w:rsidRPr="00F06197">
        <w:rPr>
          <w:spacing w:val="-5"/>
        </w:rPr>
        <w:t xml:space="preserve"> </w:t>
      </w:r>
      <w:r w:rsidRPr="00F06197">
        <w:t>information</w:t>
      </w:r>
      <w:r w:rsidRPr="00F06197">
        <w:rPr>
          <w:spacing w:val="-5"/>
        </w:rPr>
        <w:t xml:space="preserve"> </w:t>
      </w:r>
      <w:r w:rsidRPr="00F06197">
        <w:t>specific</w:t>
      </w:r>
      <w:r w:rsidRPr="00F06197">
        <w:rPr>
          <w:spacing w:val="-5"/>
        </w:rPr>
        <w:t xml:space="preserve"> </w:t>
      </w:r>
      <w:r w:rsidRPr="00F06197">
        <w:t>to</w:t>
      </w:r>
      <w:r w:rsidRPr="00F06197">
        <w:rPr>
          <w:spacing w:val="-6"/>
        </w:rPr>
        <w:t xml:space="preserve"> </w:t>
      </w:r>
      <w:r w:rsidRPr="00F06197">
        <w:t>the consequences to the Federal program if the collection is not conducted or is conducted less frequently.</w:t>
      </w:r>
    </w:p>
    <w:p w:rsidR="004B491B" w:rsidRPr="00F06197" w14:paraId="3D598722" w14:textId="77777777">
      <w:pPr>
        <w:pStyle w:val="BodyText"/>
        <w:spacing w:before="1"/>
      </w:pPr>
    </w:p>
    <w:p w:rsidR="004B491B" w:rsidRPr="00F06197" w14:paraId="3D598723" w14:textId="77777777">
      <w:pPr>
        <w:pStyle w:val="ListParagraph"/>
        <w:numPr>
          <w:ilvl w:val="1"/>
          <w:numId w:val="2"/>
        </w:numPr>
        <w:tabs>
          <w:tab w:val="left" w:pos="1090"/>
        </w:tabs>
      </w:pPr>
      <w:r w:rsidRPr="00F06197">
        <w:rPr>
          <w:u w:val="single"/>
        </w:rPr>
        <w:t>Circumstances</w:t>
      </w:r>
      <w:r w:rsidRPr="00F06197">
        <w:rPr>
          <w:spacing w:val="-8"/>
          <w:u w:val="single"/>
        </w:rPr>
        <w:t xml:space="preserve"> </w:t>
      </w:r>
      <w:r w:rsidRPr="00F06197">
        <w:rPr>
          <w:u w:val="single"/>
        </w:rPr>
        <w:t>which</w:t>
      </w:r>
      <w:r w:rsidRPr="00F06197">
        <w:rPr>
          <w:spacing w:val="-8"/>
          <w:u w:val="single"/>
        </w:rPr>
        <w:t xml:space="preserve"> </w:t>
      </w:r>
      <w:r w:rsidRPr="00F06197">
        <w:rPr>
          <w:u w:val="single"/>
        </w:rPr>
        <w:t>Justify</w:t>
      </w:r>
      <w:r w:rsidRPr="00F06197">
        <w:rPr>
          <w:spacing w:val="-8"/>
          <w:u w:val="single"/>
        </w:rPr>
        <w:t xml:space="preserve"> </w:t>
      </w:r>
      <w:r w:rsidRPr="00F06197">
        <w:rPr>
          <w:u w:val="single"/>
        </w:rPr>
        <w:t>Variation</w:t>
      </w:r>
      <w:r w:rsidRPr="00F06197">
        <w:rPr>
          <w:spacing w:val="-8"/>
          <w:u w:val="single"/>
        </w:rPr>
        <w:t xml:space="preserve"> </w:t>
      </w:r>
      <w:r w:rsidRPr="00F06197">
        <w:rPr>
          <w:u w:val="single"/>
        </w:rPr>
        <w:t>from</w:t>
      </w:r>
      <w:r w:rsidRPr="00F06197">
        <w:rPr>
          <w:spacing w:val="-8"/>
          <w:u w:val="single"/>
        </w:rPr>
        <w:t xml:space="preserve"> </w:t>
      </w:r>
      <w:r w:rsidRPr="00F06197">
        <w:rPr>
          <w:u w:val="single"/>
        </w:rPr>
        <w:t>OMB</w:t>
      </w:r>
      <w:r w:rsidRPr="00F06197">
        <w:rPr>
          <w:spacing w:val="-8"/>
          <w:u w:val="single"/>
        </w:rPr>
        <w:t xml:space="preserve"> </w:t>
      </w:r>
      <w:r w:rsidRPr="00F06197">
        <w:rPr>
          <w:spacing w:val="-2"/>
          <w:u w:val="single"/>
        </w:rPr>
        <w:t>Guidelines</w:t>
      </w:r>
    </w:p>
    <w:p w:rsidR="004B491B" w:rsidRPr="00F06197" w14:paraId="3D598724" w14:textId="77777777">
      <w:pPr>
        <w:pStyle w:val="BodyText"/>
        <w:spacing w:before="10"/>
      </w:pPr>
    </w:p>
    <w:p w:rsidR="004B491B" w:rsidRPr="00F06197" w14:paraId="3D598725" w14:textId="77777777">
      <w:pPr>
        <w:pStyle w:val="BodyText"/>
        <w:spacing w:before="93"/>
        <w:ind w:left="1090" w:right="76"/>
      </w:pPr>
      <w:r w:rsidRPr="00F06197">
        <w:t>See</w:t>
      </w:r>
      <w:r w:rsidRPr="00F06197">
        <w:rPr>
          <w:spacing w:val="-4"/>
        </w:rPr>
        <w:t xml:space="preserve"> </w:t>
      </w:r>
      <w:r w:rsidRPr="00F06197">
        <w:t>each</w:t>
      </w:r>
      <w:r w:rsidRPr="00F06197">
        <w:rPr>
          <w:spacing w:val="-4"/>
        </w:rPr>
        <w:t xml:space="preserve"> </w:t>
      </w:r>
      <w:r w:rsidRPr="00F06197">
        <w:t>section</w:t>
      </w:r>
      <w:r w:rsidRPr="00F06197">
        <w:rPr>
          <w:spacing w:val="-4"/>
        </w:rPr>
        <w:t xml:space="preserve"> </w:t>
      </w:r>
      <w:r w:rsidRPr="00F06197">
        <w:t>(Supplementary</w:t>
      </w:r>
      <w:r w:rsidRPr="00F06197">
        <w:rPr>
          <w:spacing w:val="-3"/>
        </w:rPr>
        <w:t xml:space="preserve"> </w:t>
      </w:r>
      <w:r w:rsidRPr="00F06197">
        <w:t>Documents)</w:t>
      </w:r>
      <w:r w:rsidRPr="00F06197">
        <w:rPr>
          <w:spacing w:val="-4"/>
        </w:rPr>
        <w:t xml:space="preserve"> </w:t>
      </w:r>
      <w:r w:rsidRPr="00F06197">
        <w:t>for</w:t>
      </w:r>
      <w:r w:rsidRPr="00F06197">
        <w:rPr>
          <w:spacing w:val="-4"/>
        </w:rPr>
        <w:t xml:space="preserve"> </w:t>
      </w:r>
      <w:r w:rsidRPr="00F06197">
        <w:t>information</w:t>
      </w:r>
      <w:r w:rsidRPr="00F06197">
        <w:rPr>
          <w:spacing w:val="-4"/>
        </w:rPr>
        <w:t xml:space="preserve"> </w:t>
      </w:r>
      <w:r w:rsidRPr="00F06197">
        <w:t>specific</w:t>
      </w:r>
      <w:r w:rsidRPr="00F06197">
        <w:rPr>
          <w:spacing w:val="-4"/>
        </w:rPr>
        <w:t xml:space="preserve"> </w:t>
      </w:r>
      <w:r w:rsidRPr="00F06197">
        <w:t>to</w:t>
      </w:r>
      <w:r w:rsidRPr="00F06197">
        <w:rPr>
          <w:spacing w:val="-5"/>
        </w:rPr>
        <w:t xml:space="preserve"> </w:t>
      </w:r>
      <w:r w:rsidRPr="00F06197">
        <w:t>any</w:t>
      </w:r>
      <w:r w:rsidRPr="00F06197">
        <w:rPr>
          <w:spacing w:val="-4"/>
        </w:rPr>
        <w:t xml:space="preserve"> </w:t>
      </w:r>
      <w:r w:rsidRPr="00F06197">
        <w:t>variance from OMB’s guidelines.</w:t>
      </w:r>
    </w:p>
    <w:p w:rsidR="004B491B" w:rsidRPr="00F06197" w14:paraId="3D598726" w14:textId="77777777">
      <w:pPr>
        <w:pStyle w:val="BodyText"/>
      </w:pPr>
    </w:p>
    <w:p w:rsidR="004B491B" w:rsidRPr="00F06197" w14:paraId="3D598727" w14:textId="77777777">
      <w:pPr>
        <w:pStyle w:val="ListParagraph"/>
        <w:numPr>
          <w:ilvl w:val="1"/>
          <w:numId w:val="2"/>
        </w:numPr>
        <w:tabs>
          <w:tab w:val="left" w:pos="1090"/>
        </w:tabs>
        <w:spacing w:before="1"/>
      </w:pPr>
      <w:r w:rsidRPr="00F06197">
        <w:rPr>
          <w:u w:val="single"/>
        </w:rPr>
        <w:t>Consultations</w:t>
      </w:r>
      <w:r w:rsidRPr="00F06197">
        <w:rPr>
          <w:spacing w:val="-9"/>
          <w:u w:val="single"/>
        </w:rPr>
        <w:t xml:space="preserve"> </w:t>
      </w:r>
      <w:r w:rsidRPr="00F06197">
        <w:rPr>
          <w:u w:val="single"/>
        </w:rPr>
        <w:t>Outside</w:t>
      </w:r>
      <w:r w:rsidRPr="00F06197">
        <w:rPr>
          <w:spacing w:val="-9"/>
          <w:u w:val="single"/>
        </w:rPr>
        <w:t xml:space="preserve"> </w:t>
      </w:r>
      <w:r w:rsidRPr="00F06197">
        <w:rPr>
          <w:u w:val="single"/>
        </w:rPr>
        <w:t>the</w:t>
      </w:r>
      <w:r w:rsidRPr="00F06197">
        <w:rPr>
          <w:spacing w:val="-9"/>
          <w:u w:val="single"/>
        </w:rPr>
        <w:t xml:space="preserve"> </w:t>
      </w:r>
      <w:r w:rsidRPr="00F06197">
        <w:rPr>
          <w:spacing w:val="-5"/>
          <w:u w:val="single"/>
        </w:rPr>
        <w:t>NRC</w:t>
      </w:r>
    </w:p>
    <w:p w:rsidR="004B491B" w:rsidRPr="00F06197" w14:paraId="3D598728" w14:textId="77777777">
      <w:pPr>
        <w:pStyle w:val="BodyText"/>
        <w:spacing w:before="10"/>
      </w:pPr>
    </w:p>
    <w:p w:rsidR="00E96B0E" w:rsidRPr="00F06197" w:rsidP="00DE00FA" w14:paraId="63AD5630" w14:textId="77777777">
      <w:pPr>
        <w:ind w:left="1089"/>
      </w:pPr>
      <w:r w:rsidRPr="00F06197">
        <w:t xml:space="preserve">Opportunity for public comment on the information collection requirements for this clearance package was published In the </w:t>
      </w:r>
      <w:r w:rsidRPr="00F06197">
        <w:rPr>
          <w:i/>
          <w:iCs/>
        </w:rPr>
        <w:t>Federal Register</w:t>
      </w:r>
      <w:r w:rsidRPr="00F06197">
        <w:t xml:space="preserve"> on June 13, 2024 (89 FR 50381). </w:t>
      </w:r>
      <w:r w:rsidRPr="00F06197">
        <w:rPr>
          <w:iCs/>
        </w:rPr>
        <w:t xml:space="preserve">Additionally, NRC staff contacted eight stakeholders via email. The stakeholders included operating reactor licensees, </w:t>
      </w:r>
      <w:r w:rsidRPr="00F06197">
        <w:t xml:space="preserve">licensed and under construction </w:t>
      </w:r>
      <w:r w:rsidRPr="00F06197">
        <w:t xml:space="preserve">non-power production and utilization facilities, as well as power reactors being decommissioned </w:t>
      </w:r>
      <w:r w:rsidRPr="00F06197">
        <w:rPr>
          <w:iCs/>
        </w:rPr>
        <w:t xml:space="preserve">and industry representatives from </w:t>
      </w:r>
      <w:r w:rsidRPr="00F06197">
        <w:t xml:space="preserve">Constellation Energy, </w:t>
      </w:r>
      <w:r w:rsidRPr="00F06197">
        <w:t>Holtec</w:t>
      </w:r>
      <w:r w:rsidRPr="00F06197">
        <w:t xml:space="preserve"> International, Southern Nuclear Operating Co., Inc, SHINE Technologies, Abilene Christian University, Oregon State University, Texas A &amp; M University, and Energy Solutions.</w:t>
      </w:r>
      <w:r w:rsidRPr="00F06197" w:rsidR="008F3CDE">
        <w:t xml:space="preserve">  </w:t>
      </w:r>
    </w:p>
    <w:p w:rsidR="00DE00FA" w:rsidRPr="00F06197" w:rsidP="00DE00FA" w14:paraId="7320D0BB" w14:textId="47B9A7FE">
      <w:pPr>
        <w:ind w:left="1089"/>
        <w:rPr>
          <w:iCs/>
        </w:rPr>
      </w:pPr>
      <w:r w:rsidRPr="00F06197">
        <w:t>Abilene Christian University submitted comments related only to the requirements in Section 2</w:t>
      </w:r>
      <w:r w:rsidRPr="00F06197" w:rsidR="00F35C4C">
        <w:t xml:space="preserve"> </w:t>
      </w:r>
      <w:r w:rsidRPr="00F06197" w:rsidR="004A382E">
        <w:t>in response to</w:t>
      </w:r>
      <w:r w:rsidRPr="00F06197" w:rsidR="00F35C4C">
        <w:t xml:space="preserve"> the publication of the FRN</w:t>
      </w:r>
      <w:r w:rsidRPr="00F06197">
        <w:t xml:space="preserve">; staff’s response </w:t>
      </w:r>
      <w:r w:rsidRPr="00F06197" w:rsidR="00F35C4C">
        <w:t>is</w:t>
      </w:r>
      <w:r w:rsidRPr="00F06197">
        <w:t xml:space="preserve"> </w:t>
      </w:r>
      <w:r w:rsidRPr="00F06197" w:rsidR="004A382E">
        <w:t>documented</w:t>
      </w:r>
      <w:r w:rsidRPr="00F06197">
        <w:t xml:space="preserve"> in the related section.  No other comments were received from the</w:t>
      </w:r>
      <w:r w:rsidRPr="00F06197">
        <w:t xml:space="preserve"> staff’s direct solicitation of comments.</w:t>
      </w:r>
      <w:r w:rsidRPr="00F06197">
        <w:rPr>
          <w:iCs/>
        </w:rPr>
        <w:t xml:space="preserve"> </w:t>
      </w:r>
    </w:p>
    <w:p w:rsidR="004B491B" w:rsidRPr="00F06197" w14:paraId="3D59872D" w14:textId="77777777">
      <w:pPr>
        <w:pStyle w:val="BodyText"/>
      </w:pPr>
    </w:p>
    <w:p w:rsidR="004B491B" w:rsidRPr="00F06197" w14:paraId="3D59872E" w14:textId="77777777">
      <w:pPr>
        <w:pStyle w:val="ListParagraph"/>
        <w:numPr>
          <w:ilvl w:val="1"/>
          <w:numId w:val="2"/>
        </w:numPr>
        <w:tabs>
          <w:tab w:val="left" w:pos="1089"/>
        </w:tabs>
        <w:ind w:left="1089" w:hanging="450"/>
      </w:pPr>
      <w:r w:rsidRPr="00F06197">
        <w:rPr>
          <w:u w:val="single"/>
        </w:rPr>
        <w:t>Payment</w:t>
      </w:r>
      <w:r w:rsidRPr="00F06197">
        <w:rPr>
          <w:spacing w:val="-5"/>
          <w:u w:val="single"/>
        </w:rPr>
        <w:t xml:space="preserve"> </w:t>
      </w:r>
      <w:r w:rsidRPr="00F06197">
        <w:rPr>
          <w:u w:val="single"/>
        </w:rPr>
        <w:t>or</w:t>
      </w:r>
      <w:r w:rsidRPr="00F06197">
        <w:rPr>
          <w:spacing w:val="-4"/>
          <w:u w:val="single"/>
        </w:rPr>
        <w:t xml:space="preserve"> </w:t>
      </w:r>
      <w:r w:rsidRPr="00F06197">
        <w:rPr>
          <w:u w:val="single"/>
        </w:rPr>
        <w:t>Gift</w:t>
      </w:r>
      <w:r w:rsidRPr="00F06197">
        <w:rPr>
          <w:spacing w:val="-4"/>
          <w:u w:val="single"/>
        </w:rPr>
        <w:t xml:space="preserve"> </w:t>
      </w:r>
      <w:r w:rsidRPr="00F06197">
        <w:rPr>
          <w:u w:val="single"/>
        </w:rPr>
        <w:t>to</w:t>
      </w:r>
      <w:r w:rsidRPr="00F06197">
        <w:rPr>
          <w:spacing w:val="-4"/>
          <w:u w:val="single"/>
        </w:rPr>
        <w:t xml:space="preserve"> </w:t>
      </w:r>
      <w:r w:rsidRPr="00F06197">
        <w:rPr>
          <w:spacing w:val="-2"/>
          <w:u w:val="single"/>
        </w:rPr>
        <w:t>Respondents</w:t>
      </w:r>
    </w:p>
    <w:p w:rsidR="004B491B" w:rsidRPr="00F06197" w14:paraId="3D59872F" w14:textId="77777777">
      <w:pPr>
        <w:pStyle w:val="BodyText"/>
      </w:pPr>
    </w:p>
    <w:p w:rsidR="004B491B" w:rsidRPr="00F06197" w14:paraId="3D598730" w14:textId="77777777">
      <w:pPr>
        <w:pStyle w:val="BodyText"/>
        <w:spacing w:before="92"/>
        <w:ind w:left="1090"/>
      </w:pPr>
      <w:r w:rsidRPr="00F06197">
        <w:t>Not</w:t>
      </w:r>
      <w:r w:rsidRPr="00F06197">
        <w:rPr>
          <w:spacing w:val="-4"/>
        </w:rPr>
        <w:t xml:space="preserve"> </w:t>
      </w:r>
      <w:r w:rsidRPr="00F06197">
        <w:rPr>
          <w:spacing w:val="-2"/>
        </w:rPr>
        <w:t>applicable.</w:t>
      </w:r>
    </w:p>
    <w:p w:rsidR="004B491B" w:rsidRPr="00F06197" w14:paraId="3D598731" w14:textId="77777777">
      <w:pPr>
        <w:pStyle w:val="BodyText"/>
        <w:spacing w:before="1"/>
      </w:pPr>
    </w:p>
    <w:p w:rsidR="004B491B" w:rsidRPr="00F06197" w14:paraId="3D598732" w14:textId="77777777">
      <w:pPr>
        <w:pStyle w:val="ListParagraph"/>
        <w:numPr>
          <w:ilvl w:val="1"/>
          <w:numId w:val="2"/>
        </w:numPr>
        <w:tabs>
          <w:tab w:val="left" w:pos="1088"/>
        </w:tabs>
        <w:ind w:left="1088" w:hanging="449"/>
      </w:pPr>
      <w:r w:rsidRPr="00F06197">
        <w:rPr>
          <w:u w:val="single"/>
        </w:rPr>
        <w:t>Confidentiality</w:t>
      </w:r>
      <w:r w:rsidRPr="00F06197">
        <w:rPr>
          <w:spacing w:val="-9"/>
          <w:u w:val="single"/>
        </w:rPr>
        <w:t xml:space="preserve"> </w:t>
      </w:r>
      <w:r w:rsidRPr="00F06197">
        <w:rPr>
          <w:u w:val="single"/>
        </w:rPr>
        <w:t>of</w:t>
      </w:r>
      <w:r w:rsidRPr="00F06197">
        <w:rPr>
          <w:spacing w:val="-8"/>
          <w:u w:val="single"/>
        </w:rPr>
        <w:t xml:space="preserve"> </w:t>
      </w:r>
      <w:r w:rsidRPr="00F06197">
        <w:rPr>
          <w:spacing w:val="-2"/>
          <w:u w:val="single"/>
        </w:rPr>
        <w:t>Information</w:t>
      </w:r>
    </w:p>
    <w:p w:rsidR="004B491B" w:rsidRPr="00F06197" w14:paraId="3D598733" w14:textId="77777777">
      <w:pPr>
        <w:pStyle w:val="BodyText"/>
        <w:spacing w:before="10"/>
      </w:pPr>
    </w:p>
    <w:p w:rsidR="004B491B" w:rsidRPr="00F06197" w14:paraId="3D598734" w14:textId="77777777">
      <w:pPr>
        <w:pStyle w:val="BodyText"/>
        <w:spacing w:before="92"/>
        <w:ind w:left="1090"/>
      </w:pPr>
      <w:r w:rsidRPr="00F06197">
        <w:t>Confidential</w:t>
      </w:r>
      <w:r w:rsidRPr="00F06197">
        <w:rPr>
          <w:spacing w:val="-6"/>
        </w:rPr>
        <w:t xml:space="preserve"> </w:t>
      </w:r>
      <w:r w:rsidRPr="00F06197">
        <w:t>and</w:t>
      </w:r>
      <w:r w:rsidRPr="00F06197">
        <w:rPr>
          <w:spacing w:val="-5"/>
        </w:rPr>
        <w:t xml:space="preserve"> </w:t>
      </w:r>
      <w:r w:rsidRPr="00F06197">
        <w:t>proprietary</w:t>
      </w:r>
      <w:r w:rsidRPr="00F06197">
        <w:rPr>
          <w:spacing w:val="-5"/>
        </w:rPr>
        <w:t xml:space="preserve"> </w:t>
      </w:r>
      <w:r w:rsidRPr="00F06197">
        <w:t>information</w:t>
      </w:r>
      <w:r w:rsidRPr="00F06197">
        <w:rPr>
          <w:spacing w:val="-5"/>
        </w:rPr>
        <w:t xml:space="preserve"> </w:t>
      </w:r>
      <w:r w:rsidRPr="00F06197">
        <w:t>is</w:t>
      </w:r>
      <w:r w:rsidRPr="00F06197">
        <w:rPr>
          <w:spacing w:val="-5"/>
        </w:rPr>
        <w:t xml:space="preserve"> </w:t>
      </w:r>
      <w:r w:rsidRPr="00F06197">
        <w:t>protected</w:t>
      </w:r>
      <w:r w:rsidRPr="00F06197">
        <w:rPr>
          <w:spacing w:val="-5"/>
        </w:rPr>
        <w:t xml:space="preserve"> </w:t>
      </w:r>
      <w:r w:rsidRPr="00F06197">
        <w:t>in</w:t>
      </w:r>
      <w:r w:rsidRPr="00F06197">
        <w:rPr>
          <w:spacing w:val="-5"/>
        </w:rPr>
        <w:t xml:space="preserve"> </w:t>
      </w:r>
      <w:r w:rsidRPr="00F06197">
        <w:t>accordance</w:t>
      </w:r>
      <w:r w:rsidRPr="00F06197">
        <w:rPr>
          <w:spacing w:val="-5"/>
        </w:rPr>
        <w:t xml:space="preserve"> </w:t>
      </w:r>
      <w:r w:rsidRPr="00F06197">
        <w:t>with</w:t>
      </w:r>
      <w:r w:rsidRPr="00F06197">
        <w:rPr>
          <w:spacing w:val="-5"/>
        </w:rPr>
        <w:t xml:space="preserve"> </w:t>
      </w:r>
      <w:r w:rsidRPr="00F06197">
        <w:t>NRC regulations at 10 CFR 9.17(a) and 10 CFR 2.390(b).</w:t>
      </w:r>
    </w:p>
    <w:p w:rsidR="004B491B" w:rsidRPr="00F06197" w14:paraId="3D598735" w14:textId="77777777">
      <w:pPr>
        <w:pStyle w:val="BodyText"/>
        <w:spacing w:before="1"/>
      </w:pPr>
    </w:p>
    <w:p w:rsidR="004B491B" w:rsidRPr="00F06197" w14:paraId="3D598736" w14:textId="77777777">
      <w:pPr>
        <w:pStyle w:val="ListParagraph"/>
        <w:numPr>
          <w:ilvl w:val="1"/>
          <w:numId w:val="2"/>
        </w:numPr>
        <w:tabs>
          <w:tab w:val="left" w:pos="1088"/>
        </w:tabs>
        <w:ind w:left="1088" w:hanging="449"/>
      </w:pPr>
      <w:r w:rsidRPr="00F06197">
        <w:rPr>
          <w:u w:val="single"/>
        </w:rPr>
        <w:t>Justification</w:t>
      </w:r>
      <w:r w:rsidRPr="00F06197">
        <w:rPr>
          <w:spacing w:val="-9"/>
          <w:u w:val="single"/>
        </w:rPr>
        <w:t xml:space="preserve"> </w:t>
      </w:r>
      <w:r w:rsidRPr="00F06197">
        <w:rPr>
          <w:u w:val="single"/>
        </w:rPr>
        <w:t>for</w:t>
      </w:r>
      <w:r w:rsidRPr="00F06197">
        <w:rPr>
          <w:spacing w:val="-8"/>
          <w:u w:val="single"/>
        </w:rPr>
        <w:t xml:space="preserve"> </w:t>
      </w:r>
      <w:r w:rsidRPr="00F06197">
        <w:rPr>
          <w:u w:val="single"/>
        </w:rPr>
        <w:t>Sensitive</w:t>
      </w:r>
      <w:r w:rsidRPr="00F06197">
        <w:rPr>
          <w:spacing w:val="-7"/>
          <w:u w:val="single"/>
        </w:rPr>
        <w:t xml:space="preserve"> </w:t>
      </w:r>
      <w:r w:rsidRPr="00F06197">
        <w:rPr>
          <w:spacing w:val="-2"/>
          <w:u w:val="single"/>
        </w:rPr>
        <w:t>Questions</w:t>
      </w:r>
    </w:p>
    <w:p w:rsidR="004B491B" w:rsidRPr="00F06197" w14:paraId="3D598737" w14:textId="77777777">
      <w:pPr>
        <w:pStyle w:val="BodyText"/>
        <w:spacing w:before="10"/>
      </w:pPr>
    </w:p>
    <w:p w:rsidR="004B491B" w:rsidRPr="00F06197" w14:paraId="3D598738" w14:textId="77777777">
      <w:pPr>
        <w:pStyle w:val="BodyText"/>
        <w:spacing w:before="93"/>
        <w:ind w:left="1090" w:right="362"/>
      </w:pPr>
      <w:r w:rsidRPr="00F06197">
        <w:t>The provisions of 10 CFR 50 regulations generally do not require sensitive information.</w:t>
      </w:r>
      <w:r w:rsidRPr="00F06197">
        <w:rPr>
          <w:spacing w:val="40"/>
        </w:rPr>
        <w:t xml:space="preserve"> </w:t>
      </w:r>
      <w:r w:rsidRPr="00F06197">
        <w:t>However,</w:t>
      </w:r>
      <w:r w:rsidRPr="00F06197">
        <w:rPr>
          <w:spacing w:val="-5"/>
        </w:rPr>
        <w:t xml:space="preserve"> </w:t>
      </w:r>
      <w:r w:rsidRPr="00F06197">
        <w:t>personally</w:t>
      </w:r>
      <w:r w:rsidRPr="00F06197">
        <w:rPr>
          <w:spacing w:val="-5"/>
        </w:rPr>
        <w:t xml:space="preserve"> </w:t>
      </w:r>
      <w:r w:rsidRPr="00F06197">
        <w:t>identifiable</w:t>
      </w:r>
      <w:r w:rsidRPr="00F06197">
        <w:rPr>
          <w:spacing w:val="-5"/>
        </w:rPr>
        <w:t xml:space="preserve"> </w:t>
      </w:r>
      <w:r w:rsidRPr="00F06197">
        <w:t>information</w:t>
      </w:r>
      <w:r w:rsidRPr="00F06197">
        <w:rPr>
          <w:spacing w:val="-5"/>
        </w:rPr>
        <w:t xml:space="preserve"> </w:t>
      </w:r>
      <w:r w:rsidRPr="00F06197">
        <w:t>(e.g.,</w:t>
      </w:r>
      <w:r w:rsidRPr="00F06197">
        <w:rPr>
          <w:spacing w:val="-5"/>
        </w:rPr>
        <w:t xml:space="preserve"> </w:t>
      </w:r>
      <w:r w:rsidRPr="00F06197">
        <w:t>telephone</w:t>
      </w:r>
      <w:r w:rsidRPr="00F06197">
        <w:rPr>
          <w:spacing w:val="-5"/>
        </w:rPr>
        <w:t xml:space="preserve"> </w:t>
      </w:r>
      <w:r w:rsidRPr="00F06197">
        <w:t>numbers) provided in Emergency Plans is protected in accordance with NRC regulations at 10 CFR 9.17(a) and 10 CFR 2.790(b).</w:t>
      </w:r>
    </w:p>
    <w:p w:rsidR="00664B10" w:rsidRPr="00F06197" w14:paraId="67F0D606" w14:textId="77777777">
      <w:pPr>
        <w:pStyle w:val="BodyText"/>
        <w:spacing w:before="93"/>
        <w:ind w:left="1090" w:right="362"/>
      </w:pPr>
    </w:p>
    <w:p w:rsidR="004B491B" w:rsidRPr="00F06197" w14:paraId="3D59873A" w14:textId="0FFB22C1">
      <w:pPr>
        <w:pStyle w:val="ListParagraph"/>
        <w:numPr>
          <w:ilvl w:val="1"/>
          <w:numId w:val="2"/>
        </w:numPr>
        <w:tabs>
          <w:tab w:val="left" w:pos="1089"/>
        </w:tabs>
        <w:spacing w:before="73"/>
        <w:ind w:left="1089" w:hanging="449"/>
      </w:pPr>
      <w:r w:rsidRPr="00F06197">
        <w:rPr>
          <w:u w:val="single"/>
        </w:rPr>
        <w:t>Estimate</w:t>
      </w:r>
      <w:r w:rsidRPr="00F06197">
        <w:rPr>
          <w:spacing w:val="-6"/>
          <w:u w:val="single"/>
        </w:rPr>
        <w:t xml:space="preserve"> </w:t>
      </w:r>
      <w:r w:rsidRPr="00F06197">
        <w:rPr>
          <w:u w:val="single"/>
        </w:rPr>
        <w:t>of</w:t>
      </w:r>
      <w:r w:rsidRPr="00F06197">
        <w:rPr>
          <w:spacing w:val="-6"/>
          <w:u w:val="single"/>
        </w:rPr>
        <w:t xml:space="preserve"> </w:t>
      </w:r>
      <w:r w:rsidRPr="00F06197">
        <w:rPr>
          <w:u w:val="single"/>
        </w:rPr>
        <w:t>Industry</w:t>
      </w:r>
      <w:r w:rsidRPr="00F06197">
        <w:rPr>
          <w:spacing w:val="-6"/>
          <w:u w:val="single"/>
        </w:rPr>
        <w:t xml:space="preserve"> </w:t>
      </w:r>
      <w:r w:rsidRPr="00F06197">
        <w:rPr>
          <w:u w:val="single"/>
        </w:rPr>
        <w:t>Burden</w:t>
      </w:r>
      <w:r w:rsidRPr="00F06197">
        <w:rPr>
          <w:spacing w:val="-6"/>
          <w:u w:val="single"/>
        </w:rPr>
        <w:t xml:space="preserve"> </w:t>
      </w:r>
      <w:r w:rsidRPr="00F06197">
        <w:rPr>
          <w:u w:val="single"/>
        </w:rPr>
        <w:t>and</w:t>
      </w:r>
      <w:r w:rsidRPr="00F06197">
        <w:rPr>
          <w:spacing w:val="-6"/>
          <w:u w:val="single"/>
        </w:rPr>
        <w:t xml:space="preserve"> </w:t>
      </w:r>
      <w:r w:rsidRPr="00F06197">
        <w:rPr>
          <w:u w:val="single"/>
        </w:rPr>
        <w:t>Burden</w:t>
      </w:r>
      <w:r w:rsidRPr="00F06197">
        <w:rPr>
          <w:spacing w:val="-6"/>
          <w:u w:val="single"/>
        </w:rPr>
        <w:t xml:space="preserve"> </w:t>
      </w:r>
      <w:r w:rsidRPr="00F06197">
        <w:rPr>
          <w:u w:val="single"/>
        </w:rPr>
        <w:t>Hour</w:t>
      </w:r>
      <w:r w:rsidRPr="00F06197">
        <w:rPr>
          <w:spacing w:val="-6"/>
          <w:u w:val="single"/>
        </w:rPr>
        <w:t xml:space="preserve"> </w:t>
      </w:r>
      <w:r w:rsidRPr="00F06197">
        <w:rPr>
          <w:spacing w:val="-2"/>
          <w:u w:val="single"/>
        </w:rPr>
        <w:t>Cost</w:t>
      </w:r>
      <w:r>
        <w:rPr>
          <w:rStyle w:val="FootnoteReference"/>
          <w:spacing w:val="-2"/>
          <w:u w:val="single"/>
        </w:rPr>
        <w:footnoteReference w:id="3"/>
      </w:r>
    </w:p>
    <w:p w:rsidR="004B491B" w:rsidRPr="00F06197" w14:paraId="3D59873B" w14:textId="77777777">
      <w:pPr>
        <w:pStyle w:val="BodyText"/>
      </w:pPr>
    </w:p>
    <w:p w:rsidR="004B491B" w:rsidRPr="00F06197" w14:paraId="3D59873C" w14:textId="77777777">
      <w:pPr>
        <w:pStyle w:val="BodyText"/>
        <w:spacing w:before="93"/>
        <w:ind w:left="1090"/>
        <w:rPr>
          <w:spacing w:val="-2"/>
        </w:rPr>
      </w:pPr>
      <w:r w:rsidRPr="00F06197">
        <w:t>Below</w:t>
      </w:r>
      <w:r w:rsidRPr="00F06197">
        <w:rPr>
          <w:spacing w:val="-5"/>
        </w:rPr>
        <w:t xml:space="preserve"> </w:t>
      </w:r>
      <w:r w:rsidRPr="00F06197">
        <w:t>is</w:t>
      </w:r>
      <w:r w:rsidRPr="00F06197">
        <w:rPr>
          <w:spacing w:val="-5"/>
        </w:rPr>
        <w:t xml:space="preserve"> </w:t>
      </w:r>
      <w:r w:rsidRPr="00F06197">
        <w:t>a</w:t>
      </w:r>
      <w:r w:rsidRPr="00F06197">
        <w:rPr>
          <w:spacing w:val="-4"/>
        </w:rPr>
        <w:t xml:space="preserve"> </w:t>
      </w:r>
      <w:r w:rsidRPr="00F06197">
        <w:t>summary</w:t>
      </w:r>
      <w:r w:rsidRPr="00F06197">
        <w:rPr>
          <w:spacing w:val="-5"/>
        </w:rPr>
        <w:t xml:space="preserve"> </w:t>
      </w:r>
      <w:r w:rsidRPr="00F06197">
        <w:t>burden</w:t>
      </w:r>
      <w:r w:rsidRPr="00F06197">
        <w:rPr>
          <w:spacing w:val="-4"/>
        </w:rPr>
        <w:t xml:space="preserve"> </w:t>
      </w:r>
      <w:r w:rsidRPr="00F06197">
        <w:t>table</w:t>
      </w:r>
      <w:r w:rsidRPr="00F06197">
        <w:rPr>
          <w:spacing w:val="-5"/>
        </w:rPr>
        <w:t xml:space="preserve"> </w:t>
      </w:r>
      <w:r w:rsidRPr="00F06197">
        <w:t>by</w:t>
      </w:r>
      <w:r w:rsidRPr="00F06197">
        <w:rPr>
          <w:spacing w:val="-4"/>
        </w:rPr>
        <w:t xml:space="preserve"> </w:t>
      </w:r>
      <w:r w:rsidRPr="00F06197">
        <w:rPr>
          <w:spacing w:val="-2"/>
        </w:rPr>
        <w:t>section.</w:t>
      </w:r>
    </w:p>
    <w:p w:rsidR="005B318D" w:rsidRPr="00F06197" w14:paraId="4B0E286D" w14:textId="77777777">
      <w:pPr>
        <w:pStyle w:val="BodyText"/>
        <w:spacing w:before="93"/>
        <w:ind w:left="1090"/>
        <w:rPr>
          <w:spacing w:val="-2"/>
        </w:rPr>
      </w:pPr>
    </w:p>
    <w:tbl>
      <w:tblPr>
        <w:tblW w:w="8020" w:type="dxa"/>
        <w:tblInd w:w="805" w:type="dxa"/>
        <w:tblLook w:val="04A0"/>
      </w:tblPr>
      <w:tblGrid>
        <w:gridCol w:w="950"/>
        <w:gridCol w:w="1210"/>
        <w:gridCol w:w="1696"/>
        <w:gridCol w:w="1223"/>
        <w:gridCol w:w="1195"/>
        <w:gridCol w:w="1746"/>
      </w:tblGrid>
      <w:tr w14:paraId="1B4E4B7F" w14:textId="0D6E5DDD" w:rsidTr="007902FA">
        <w:tblPrEx>
          <w:tblW w:w="8020" w:type="dxa"/>
          <w:tblInd w:w="805" w:type="dxa"/>
          <w:tblLook w:val="04A0"/>
        </w:tblPrEx>
        <w:trPr>
          <w:trHeight w:val="280"/>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DFE" w:rsidRPr="00F06197" w:rsidP="00A57DFE" w14:paraId="24E667B6" w14:textId="77777777">
            <w:pPr>
              <w:widowControl/>
              <w:autoSpaceDE/>
              <w:autoSpaceDN/>
              <w:rPr>
                <w:rFonts w:eastAsia="Times New Roman"/>
                <w:color w:val="000000"/>
              </w:rPr>
            </w:pPr>
            <w:r w:rsidRPr="00F06197">
              <w:rPr>
                <w:rFonts w:eastAsia="Times New Roman"/>
                <w:color w:val="000000"/>
              </w:rPr>
              <w:t>Section</w:t>
            </w:r>
          </w:p>
        </w:tc>
        <w:tc>
          <w:tcPr>
            <w:tcW w:w="1210" w:type="dxa"/>
            <w:tcBorders>
              <w:top w:val="single" w:sz="4" w:space="0" w:color="auto"/>
              <w:left w:val="nil"/>
              <w:bottom w:val="single" w:sz="4" w:space="0" w:color="auto"/>
              <w:right w:val="single" w:sz="4" w:space="0" w:color="auto"/>
            </w:tcBorders>
            <w:shd w:val="clear" w:color="auto" w:fill="auto"/>
            <w:noWrap/>
            <w:vAlign w:val="bottom"/>
            <w:hideMark/>
          </w:tcPr>
          <w:p w:rsidR="00A57DFE" w:rsidRPr="00F06197" w:rsidP="00A57DFE" w14:paraId="36258915" w14:textId="3AF285F1">
            <w:pPr>
              <w:widowControl/>
              <w:autoSpaceDE/>
              <w:autoSpaceDN/>
              <w:rPr>
                <w:rFonts w:eastAsia="Times New Roman"/>
                <w:color w:val="000000"/>
              </w:rPr>
            </w:pPr>
            <w:r w:rsidRPr="00F06197">
              <w:rPr>
                <w:rFonts w:eastAsia="Times New Roman"/>
                <w:color w:val="000000"/>
              </w:rPr>
              <w:t>Annual Reporting Burden</w:t>
            </w:r>
          </w:p>
        </w:tc>
        <w:tc>
          <w:tcPr>
            <w:tcW w:w="1696" w:type="dxa"/>
            <w:tcBorders>
              <w:top w:val="single" w:sz="4" w:space="0" w:color="auto"/>
              <w:left w:val="nil"/>
              <w:bottom w:val="single" w:sz="4" w:space="0" w:color="auto"/>
              <w:right w:val="single" w:sz="4" w:space="0" w:color="auto"/>
            </w:tcBorders>
            <w:shd w:val="clear" w:color="auto" w:fill="auto"/>
            <w:noWrap/>
            <w:vAlign w:val="bottom"/>
            <w:hideMark/>
          </w:tcPr>
          <w:p w:rsidR="00A57DFE" w:rsidRPr="00F06197" w:rsidP="00A57DFE" w14:paraId="5908CDE8" w14:textId="44D0843A">
            <w:pPr>
              <w:widowControl/>
              <w:autoSpaceDE/>
              <w:autoSpaceDN/>
              <w:rPr>
                <w:rFonts w:eastAsia="Times New Roman"/>
                <w:color w:val="000000"/>
              </w:rPr>
            </w:pPr>
            <w:r w:rsidRPr="00F06197">
              <w:rPr>
                <w:spacing w:val="-2"/>
              </w:rPr>
              <w:t>Annual Recordkeeping Burden</w:t>
            </w:r>
          </w:p>
        </w:tc>
        <w:tc>
          <w:tcPr>
            <w:tcW w:w="1223" w:type="dxa"/>
            <w:tcBorders>
              <w:top w:val="single" w:sz="4" w:space="0" w:color="auto"/>
              <w:left w:val="nil"/>
              <w:bottom w:val="single" w:sz="4" w:space="0" w:color="auto"/>
              <w:right w:val="single" w:sz="4" w:space="0" w:color="auto"/>
            </w:tcBorders>
            <w:shd w:val="clear" w:color="auto" w:fill="auto"/>
            <w:noWrap/>
            <w:hideMark/>
          </w:tcPr>
          <w:p w:rsidR="00A57DFE" w:rsidRPr="00F06197" w:rsidP="00A57DFE" w14:paraId="41D030F9" w14:textId="5A0374D3">
            <w:pPr>
              <w:widowControl/>
              <w:autoSpaceDE/>
              <w:autoSpaceDN/>
              <w:rPr>
                <w:rFonts w:eastAsia="Times New Roman"/>
                <w:color w:val="000000"/>
              </w:rPr>
            </w:pPr>
            <w:r w:rsidRPr="00F06197">
              <w:t>Annual</w:t>
            </w:r>
            <w:r w:rsidRPr="00F06197">
              <w:rPr>
                <w:spacing w:val="-2"/>
              </w:rPr>
              <w:t xml:space="preserve"> </w:t>
            </w:r>
            <w:r w:rsidRPr="00F06197">
              <w:t>3</w:t>
            </w:r>
            <w:r w:rsidRPr="00F06197">
              <w:rPr>
                <w:position w:val="7"/>
              </w:rPr>
              <w:t>rd</w:t>
            </w:r>
            <w:r w:rsidRPr="00F06197">
              <w:rPr>
                <w:spacing w:val="40"/>
                <w:position w:val="7"/>
              </w:rPr>
              <w:t xml:space="preserve"> </w:t>
            </w:r>
            <w:r w:rsidRPr="00F06197">
              <w:rPr>
                <w:spacing w:val="-2"/>
              </w:rPr>
              <w:t>Party Disclosure Burden</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rsidR="00A57DFE" w:rsidRPr="00F06197" w:rsidP="00A57DFE" w14:paraId="5D0EA928" w14:textId="77777777">
            <w:pPr>
              <w:pStyle w:val="TableParagraph"/>
              <w:spacing w:before="2" w:line="240" w:lineRule="auto"/>
              <w:jc w:val="left"/>
            </w:pPr>
          </w:p>
          <w:p w:rsidR="00A57DFE" w:rsidRPr="00F06197" w:rsidP="00A57DFE" w14:paraId="6AF38550" w14:textId="167C416B">
            <w:pPr>
              <w:widowControl/>
              <w:autoSpaceDE/>
              <w:autoSpaceDN/>
              <w:rPr>
                <w:rFonts w:eastAsia="Times New Roman"/>
                <w:color w:val="000000"/>
              </w:rPr>
            </w:pPr>
            <w:r w:rsidRPr="00F06197">
              <w:rPr>
                <w:spacing w:val="-2"/>
              </w:rPr>
              <w:t>Total Burden</w:t>
            </w:r>
          </w:p>
        </w:tc>
        <w:tc>
          <w:tcPr>
            <w:tcW w:w="1746" w:type="dxa"/>
            <w:tcBorders>
              <w:top w:val="single" w:sz="4" w:space="0" w:color="auto"/>
              <w:left w:val="nil"/>
              <w:bottom w:val="single" w:sz="4" w:space="0" w:color="auto"/>
              <w:right w:val="single" w:sz="4" w:space="0" w:color="auto"/>
            </w:tcBorders>
            <w:shd w:val="clear" w:color="auto" w:fill="auto"/>
          </w:tcPr>
          <w:p w:rsidR="00A57DFE" w:rsidRPr="00F06197" w:rsidP="00A57DFE" w14:paraId="3F1F3E09" w14:textId="77777777">
            <w:pPr>
              <w:pStyle w:val="TableParagraph"/>
              <w:spacing w:before="2" w:line="240" w:lineRule="auto"/>
              <w:jc w:val="left"/>
            </w:pPr>
          </w:p>
          <w:p w:rsidR="00A57DFE" w:rsidRPr="00F06197" w:rsidP="00A57DFE" w14:paraId="2C9BA42B" w14:textId="77777777">
            <w:pPr>
              <w:pStyle w:val="TableParagraph"/>
              <w:spacing w:line="252" w:lineRule="exact"/>
              <w:ind w:left="109"/>
              <w:jc w:val="left"/>
            </w:pPr>
            <w:r w:rsidRPr="00F06197">
              <w:t>Total</w:t>
            </w:r>
            <w:r w:rsidRPr="00F06197">
              <w:rPr>
                <w:spacing w:val="-5"/>
              </w:rPr>
              <w:t xml:space="preserve"> </w:t>
            </w:r>
            <w:r w:rsidRPr="00F06197">
              <w:t>Cost</w:t>
            </w:r>
            <w:r w:rsidRPr="00F06197">
              <w:rPr>
                <w:spacing w:val="-5"/>
              </w:rPr>
              <w:t xml:space="preserve"> at</w:t>
            </w:r>
          </w:p>
          <w:p w:rsidR="00A57DFE" w:rsidRPr="00F06197" w:rsidP="00A57DFE" w14:paraId="5E13A207" w14:textId="69F5CCF3">
            <w:pPr>
              <w:widowControl/>
              <w:autoSpaceDE/>
              <w:autoSpaceDN/>
              <w:rPr>
                <w:rFonts w:eastAsia="Times New Roman"/>
                <w:color w:val="000000"/>
              </w:rPr>
            </w:pPr>
            <w:r w:rsidRPr="00F06197">
              <w:rPr>
                <w:spacing w:val="-2"/>
              </w:rPr>
              <w:t>$300/</w:t>
            </w:r>
            <w:r w:rsidRPr="00F06197">
              <w:rPr>
                <w:spacing w:val="-2"/>
              </w:rPr>
              <w:t>hr</w:t>
            </w:r>
          </w:p>
        </w:tc>
      </w:tr>
      <w:tr w14:paraId="699B5276" w14:textId="2BBE9218" w:rsidTr="007902FA">
        <w:tblPrEx>
          <w:tblW w:w="8020" w:type="dxa"/>
          <w:tblInd w:w="805" w:type="dxa"/>
          <w:tblLook w:val="04A0"/>
        </w:tblPrEx>
        <w:trPr>
          <w:trHeight w:val="28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7902FA" w:rsidRPr="00F06197" w:rsidP="007902FA" w14:paraId="64691723" w14:textId="77777777">
            <w:pPr>
              <w:widowControl/>
              <w:autoSpaceDE/>
              <w:autoSpaceDN/>
              <w:jc w:val="right"/>
              <w:rPr>
                <w:rFonts w:eastAsia="Times New Roman"/>
                <w:color w:val="000000"/>
              </w:rPr>
            </w:pPr>
            <w:r w:rsidRPr="00F06197">
              <w:rPr>
                <w:rFonts w:eastAsia="Times New Roman"/>
                <w:color w:val="000000"/>
              </w:rPr>
              <w:t>2</w:t>
            </w:r>
          </w:p>
        </w:tc>
        <w:tc>
          <w:tcPr>
            <w:tcW w:w="1210"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2EA98085" w14:textId="0089A39E">
            <w:pPr>
              <w:widowControl/>
              <w:autoSpaceDE/>
              <w:autoSpaceDN/>
              <w:jc w:val="right"/>
              <w:rPr>
                <w:rFonts w:eastAsia="Times New Roman"/>
                <w:color w:val="000000"/>
              </w:rPr>
            </w:pPr>
            <w:r w:rsidRPr="00F06197">
              <w:rPr>
                <w:rFonts w:eastAsia="Times New Roman"/>
                <w:color w:val="000000"/>
              </w:rPr>
              <w:t>7</w:t>
            </w:r>
            <w:r w:rsidRPr="00F06197" w:rsidR="00F35C4C">
              <w:rPr>
                <w:rFonts w:eastAsia="Times New Roman"/>
                <w:color w:val="000000"/>
              </w:rPr>
              <w:t>48,749</w:t>
            </w:r>
          </w:p>
        </w:tc>
        <w:tc>
          <w:tcPr>
            <w:tcW w:w="1696"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37B429E3" w14:textId="77777777">
            <w:pPr>
              <w:widowControl/>
              <w:autoSpaceDE/>
              <w:autoSpaceDN/>
              <w:jc w:val="right"/>
              <w:rPr>
                <w:rFonts w:eastAsia="Times New Roman"/>
                <w:color w:val="000000"/>
              </w:rPr>
            </w:pPr>
            <w:r w:rsidRPr="00F06197">
              <w:rPr>
                <w:rFonts w:eastAsia="Times New Roman"/>
                <w:color w:val="000000"/>
              </w:rPr>
              <w:t>242,107</w:t>
            </w:r>
          </w:p>
        </w:tc>
        <w:tc>
          <w:tcPr>
            <w:tcW w:w="1223"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15B7AC74" w14:textId="77777777">
            <w:pPr>
              <w:widowControl/>
              <w:autoSpaceDE/>
              <w:autoSpaceDN/>
              <w:jc w:val="right"/>
              <w:rPr>
                <w:rFonts w:eastAsia="Times New Roman"/>
                <w:color w:val="000000"/>
              </w:rPr>
            </w:pPr>
            <w:r w:rsidRPr="00F06197">
              <w:rPr>
                <w:rFonts w:eastAsia="Times New Roman"/>
                <w:color w:val="000000"/>
              </w:rPr>
              <w:t>0</w:t>
            </w:r>
          </w:p>
        </w:tc>
        <w:tc>
          <w:tcPr>
            <w:tcW w:w="1195"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425FA074" w14:textId="44B3AC42">
            <w:pPr>
              <w:widowControl/>
              <w:autoSpaceDE/>
              <w:autoSpaceDN/>
              <w:jc w:val="right"/>
              <w:rPr>
                <w:rFonts w:eastAsia="Times New Roman"/>
                <w:color w:val="000000"/>
              </w:rPr>
            </w:pPr>
            <w:r w:rsidRPr="00F06197">
              <w:rPr>
                <w:rFonts w:eastAsia="Times New Roman"/>
                <w:color w:val="000000"/>
              </w:rPr>
              <w:t>9</w:t>
            </w:r>
            <w:r w:rsidRPr="00F06197" w:rsidR="00F35C4C">
              <w:rPr>
                <w:rFonts w:eastAsia="Times New Roman"/>
                <w:color w:val="000000"/>
              </w:rPr>
              <w:t>90,856</w:t>
            </w:r>
          </w:p>
        </w:tc>
        <w:tc>
          <w:tcPr>
            <w:tcW w:w="1746" w:type="dxa"/>
            <w:tcBorders>
              <w:top w:val="nil"/>
              <w:left w:val="nil"/>
              <w:bottom w:val="single" w:sz="4" w:space="0" w:color="auto"/>
              <w:right w:val="single" w:sz="4" w:space="0" w:color="auto"/>
            </w:tcBorders>
            <w:vAlign w:val="bottom"/>
          </w:tcPr>
          <w:p w:rsidR="007902FA" w:rsidRPr="00F06197" w:rsidP="007902FA" w14:paraId="48F77331" w14:textId="78415067">
            <w:pPr>
              <w:widowControl/>
              <w:autoSpaceDE/>
              <w:autoSpaceDN/>
              <w:jc w:val="right"/>
              <w:rPr>
                <w:rFonts w:eastAsia="Times New Roman"/>
                <w:color w:val="000000"/>
              </w:rPr>
            </w:pPr>
            <w:r w:rsidRPr="00F06197">
              <w:rPr>
                <w:color w:val="000000"/>
              </w:rPr>
              <w:t>$29</w:t>
            </w:r>
            <w:r w:rsidRPr="00F06197" w:rsidR="00F35C4C">
              <w:rPr>
                <w:color w:val="000000"/>
              </w:rPr>
              <w:t>7</w:t>
            </w:r>
            <w:r w:rsidRPr="00F06197">
              <w:rPr>
                <w:color w:val="000000"/>
              </w:rPr>
              <w:t>,2</w:t>
            </w:r>
            <w:r w:rsidRPr="00F06197" w:rsidR="00F35C4C">
              <w:rPr>
                <w:color w:val="000000"/>
              </w:rPr>
              <w:t>5</w:t>
            </w:r>
            <w:r w:rsidRPr="00F06197">
              <w:rPr>
                <w:color w:val="000000"/>
              </w:rPr>
              <w:t>6,740</w:t>
            </w:r>
          </w:p>
        </w:tc>
      </w:tr>
      <w:tr w14:paraId="74D6A023" w14:textId="5DEC390C" w:rsidTr="007902FA">
        <w:tblPrEx>
          <w:tblW w:w="8020" w:type="dxa"/>
          <w:tblInd w:w="805" w:type="dxa"/>
          <w:tblLook w:val="04A0"/>
        </w:tblPrEx>
        <w:trPr>
          <w:trHeight w:val="28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7902FA" w:rsidRPr="00F06197" w:rsidP="007902FA" w14:paraId="06B76E49" w14:textId="77777777">
            <w:pPr>
              <w:widowControl/>
              <w:autoSpaceDE/>
              <w:autoSpaceDN/>
              <w:jc w:val="right"/>
              <w:rPr>
                <w:rFonts w:eastAsia="Times New Roman"/>
                <w:color w:val="000000"/>
              </w:rPr>
            </w:pPr>
            <w:r w:rsidRPr="00F06197">
              <w:rPr>
                <w:rFonts w:eastAsia="Times New Roman"/>
                <w:color w:val="000000"/>
              </w:rPr>
              <w:t>3</w:t>
            </w:r>
          </w:p>
        </w:tc>
        <w:tc>
          <w:tcPr>
            <w:tcW w:w="1210"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460E8BD5" w14:textId="77777777">
            <w:pPr>
              <w:widowControl/>
              <w:autoSpaceDE/>
              <w:autoSpaceDN/>
              <w:jc w:val="right"/>
              <w:rPr>
                <w:rFonts w:eastAsia="Times New Roman"/>
                <w:color w:val="000000"/>
              </w:rPr>
            </w:pPr>
            <w:r w:rsidRPr="00F06197">
              <w:rPr>
                <w:rFonts w:eastAsia="Times New Roman"/>
                <w:color w:val="000000"/>
              </w:rPr>
              <w:t>4,167</w:t>
            </w:r>
          </w:p>
        </w:tc>
        <w:tc>
          <w:tcPr>
            <w:tcW w:w="1696"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371755C1" w14:textId="77777777">
            <w:pPr>
              <w:widowControl/>
              <w:autoSpaceDE/>
              <w:autoSpaceDN/>
              <w:jc w:val="right"/>
              <w:rPr>
                <w:rFonts w:eastAsia="Times New Roman"/>
                <w:color w:val="000000"/>
              </w:rPr>
            </w:pPr>
            <w:r w:rsidRPr="00F06197">
              <w:rPr>
                <w:rFonts w:eastAsia="Times New Roman"/>
                <w:color w:val="000000"/>
              </w:rPr>
              <w:t>8,619</w:t>
            </w:r>
          </w:p>
        </w:tc>
        <w:tc>
          <w:tcPr>
            <w:tcW w:w="1223"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15418BC2" w14:textId="77777777">
            <w:pPr>
              <w:widowControl/>
              <w:autoSpaceDE/>
              <w:autoSpaceDN/>
              <w:jc w:val="right"/>
              <w:rPr>
                <w:rFonts w:eastAsia="Times New Roman"/>
                <w:color w:val="000000"/>
              </w:rPr>
            </w:pPr>
            <w:r w:rsidRPr="00F06197">
              <w:rPr>
                <w:rFonts w:eastAsia="Times New Roman"/>
                <w:color w:val="000000"/>
              </w:rPr>
              <w:t>0</w:t>
            </w:r>
          </w:p>
        </w:tc>
        <w:tc>
          <w:tcPr>
            <w:tcW w:w="1195"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0E9B3F43" w14:textId="77777777">
            <w:pPr>
              <w:widowControl/>
              <w:autoSpaceDE/>
              <w:autoSpaceDN/>
              <w:jc w:val="right"/>
              <w:rPr>
                <w:rFonts w:eastAsia="Times New Roman"/>
                <w:color w:val="000000"/>
              </w:rPr>
            </w:pPr>
            <w:r w:rsidRPr="00F06197">
              <w:rPr>
                <w:rFonts w:eastAsia="Times New Roman"/>
                <w:color w:val="000000"/>
              </w:rPr>
              <w:t>12,786</w:t>
            </w:r>
          </w:p>
        </w:tc>
        <w:tc>
          <w:tcPr>
            <w:tcW w:w="1746" w:type="dxa"/>
            <w:tcBorders>
              <w:top w:val="nil"/>
              <w:left w:val="nil"/>
              <w:bottom w:val="single" w:sz="4" w:space="0" w:color="auto"/>
              <w:right w:val="single" w:sz="4" w:space="0" w:color="auto"/>
            </w:tcBorders>
            <w:vAlign w:val="bottom"/>
          </w:tcPr>
          <w:p w:rsidR="007902FA" w:rsidRPr="00F06197" w:rsidP="007902FA" w14:paraId="4A555F52" w14:textId="60435843">
            <w:pPr>
              <w:widowControl/>
              <w:autoSpaceDE/>
              <w:autoSpaceDN/>
              <w:jc w:val="right"/>
              <w:rPr>
                <w:rFonts w:eastAsia="Times New Roman"/>
                <w:color w:val="000000"/>
              </w:rPr>
            </w:pPr>
            <w:r w:rsidRPr="00F06197">
              <w:rPr>
                <w:color w:val="000000"/>
              </w:rPr>
              <w:t>$3,835,800</w:t>
            </w:r>
          </w:p>
        </w:tc>
      </w:tr>
      <w:tr w14:paraId="42EDA2A2" w14:textId="3D8616C0" w:rsidTr="007902FA">
        <w:tblPrEx>
          <w:tblW w:w="8020" w:type="dxa"/>
          <w:tblInd w:w="805" w:type="dxa"/>
          <w:tblLook w:val="04A0"/>
        </w:tblPrEx>
        <w:trPr>
          <w:trHeight w:val="28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7902FA" w:rsidRPr="00F06197" w:rsidP="007902FA" w14:paraId="68CA64C2" w14:textId="77777777">
            <w:pPr>
              <w:widowControl/>
              <w:autoSpaceDE/>
              <w:autoSpaceDN/>
              <w:jc w:val="right"/>
              <w:rPr>
                <w:rFonts w:eastAsia="Times New Roman"/>
                <w:color w:val="000000"/>
              </w:rPr>
            </w:pPr>
            <w:r w:rsidRPr="00F06197">
              <w:rPr>
                <w:rFonts w:eastAsia="Times New Roman"/>
                <w:color w:val="000000"/>
              </w:rPr>
              <w:t>4</w:t>
            </w:r>
          </w:p>
        </w:tc>
        <w:tc>
          <w:tcPr>
            <w:tcW w:w="1210"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37886508" w14:textId="77777777">
            <w:pPr>
              <w:widowControl/>
              <w:autoSpaceDE/>
              <w:autoSpaceDN/>
              <w:jc w:val="right"/>
              <w:rPr>
                <w:rFonts w:eastAsia="Times New Roman"/>
                <w:color w:val="000000"/>
              </w:rPr>
            </w:pPr>
            <w:r w:rsidRPr="00F06197">
              <w:rPr>
                <w:rFonts w:eastAsia="Times New Roman"/>
                <w:color w:val="000000"/>
              </w:rPr>
              <w:t>78,661</w:t>
            </w:r>
          </w:p>
        </w:tc>
        <w:tc>
          <w:tcPr>
            <w:tcW w:w="1696"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0698B5BB" w14:textId="77777777">
            <w:pPr>
              <w:widowControl/>
              <w:autoSpaceDE/>
              <w:autoSpaceDN/>
              <w:jc w:val="right"/>
              <w:rPr>
                <w:rFonts w:eastAsia="Times New Roman"/>
                <w:color w:val="000000"/>
              </w:rPr>
            </w:pPr>
            <w:r w:rsidRPr="00F06197">
              <w:rPr>
                <w:rFonts w:eastAsia="Times New Roman"/>
                <w:color w:val="000000"/>
              </w:rPr>
              <w:t>48,264</w:t>
            </w:r>
          </w:p>
        </w:tc>
        <w:tc>
          <w:tcPr>
            <w:tcW w:w="1223"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2B8087E6" w14:textId="77777777">
            <w:pPr>
              <w:widowControl/>
              <w:autoSpaceDE/>
              <w:autoSpaceDN/>
              <w:jc w:val="right"/>
              <w:rPr>
                <w:rFonts w:eastAsia="Times New Roman"/>
                <w:color w:val="000000"/>
              </w:rPr>
            </w:pPr>
            <w:r w:rsidRPr="00F06197">
              <w:rPr>
                <w:rFonts w:eastAsia="Times New Roman"/>
                <w:color w:val="000000"/>
              </w:rPr>
              <w:t>0</w:t>
            </w:r>
          </w:p>
        </w:tc>
        <w:tc>
          <w:tcPr>
            <w:tcW w:w="1195"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7CEA4889" w14:textId="77777777">
            <w:pPr>
              <w:widowControl/>
              <w:autoSpaceDE/>
              <w:autoSpaceDN/>
              <w:jc w:val="right"/>
              <w:rPr>
                <w:rFonts w:eastAsia="Times New Roman"/>
                <w:color w:val="000000"/>
              </w:rPr>
            </w:pPr>
            <w:r w:rsidRPr="00F06197">
              <w:rPr>
                <w:rFonts w:eastAsia="Times New Roman"/>
                <w:color w:val="000000"/>
              </w:rPr>
              <w:t>126,925</w:t>
            </w:r>
          </w:p>
        </w:tc>
        <w:tc>
          <w:tcPr>
            <w:tcW w:w="1746" w:type="dxa"/>
            <w:tcBorders>
              <w:top w:val="nil"/>
              <w:left w:val="nil"/>
              <w:bottom w:val="single" w:sz="4" w:space="0" w:color="auto"/>
              <w:right w:val="single" w:sz="4" w:space="0" w:color="auto"/>
            </w:tcBorders>
            <w:vAlign w:val="bottom"/>
          </w:tcPr>
          <w:p w:rsidR="007902FA" w:rsidRPr="00F06197" w:rsidP="007902FA" w14:paraId="5C238DB4" w14:textId="129DE6BF">
            <w:pPr>
              <w:widowControl/>
              <w:autoSpaceDE/>
              <w:autoSpaceDN/>
              <w:jc w:val="right"/>
              <w:rPr>
                <w:rFonts w:eastAsia="Times New Roman"/>
                <w:color w:val="000000"/>
              </w:rPr>
            </w:pPr>
            <w:r w:rsidRPr="00F06197">
              <w:rPr>
                <w:color w:val="000000"/>
              </w:rPr>
              <w:t>$38,077,598</w:t>
            </w:r>
          </w:p>
        </w:tc>
      </w:tr>
      <w:tr w14:paraId="60592EF9" w14:textId="323FDC90" w:rsidTr="007902FA">
        <w:tblPrEx>
          <w:tblW w:w="8020" w:type="dxa"/>
          <w:tblInd w:w="805" w:type="dxa"/>
          <w:tblLook w:val="04A0"/>
        </w:tblPrEx>
        <w:trPr>
          <w:trHeight w:val="28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7902FA" w:rsidRPr="00F06197" w:rsidP="007902FA" w14:paraId="31850C3A" w14:textId="77777777">
            <w:pPr>
              <w:widowControl/>
              <w:autoSpaceDE/>
              <w:autoSpaceDN/>
              <w:jc w:val="right"/>
              <w:rPr>
                <w:rFonts w:eastAsia="Times New Roman"/>
                <w:color w:val="000000"/>
              </w:rPr>
            </w:pPr>
            <w:r w:rsidRPr="00F06197">
              <w:rPr>
                <w:rFonts w:eastAsia="Times New Roman"/>
                <w:color w:val="000000"/>
              </w:rPr>
              <w:t>5</w:t>
            </w:r>
          </w:p>
        </w:tc>
        <w:tc>
          <w:tcPr>
            <w:tcW w:w="1210"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5832CBB6" w14:textId="77777777">
            <w:pPr>
              <w:widowControl/>
              <w:autoSpaceDE/>
              <w:autoSpaceDN/>
              <w:jc w:val="right"/>
              <w:rPr>
                <w:rFonts w:eastAsia="Times New Roman"/>
                <w:color w:val="000000"/>
              </w:rPr>
            </w:pPr>
            <w:r w:rsidRPr="00F06197">
              <w:rPr>
                <w:rFonts w:eastAsia="Times New Roman"/>
                <w:color w:val="000000"/>
              </w:rPr>
              <w:t>70,056</w:t>
            </w:r>
          </w:p>
        </w:tc>
        <w:tc>
          <w:tcPr>
            <w:tcW w:w="1696"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2FBDD943" w14:textId="77777777">
            <w:pPr>
              <w:widowControl/>
              <w:autoSpaceDE/>
              <w:autoSpaceDN/>
              <w:jc w:val="right"/>
              <w:rPr>
                <w:rFonts w:eastAsia="Times New Roman"/>
                <w:color w:val="000000"/>
              </w:rPr>
            </w:pPr>
            <w:r w:rsidRPr="00F06197">
              <w:rPr>
                <w:rFonts w:eastAsia="Times New Roman"/>
                <w:color w:val="000000"/>
              </w:rPr>
              <w:t>1,405,251</w:t>
            </w:r>
          </w:p>
        </w:tc>
        <w:tc>
          <w:tcPr>
            <w:tcW w:w="1223"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2144B882" w14:textId="77777777">
            <w:pPr>
              <w:widowControl/>
              <w:autoSpaceDE/>
              <w:autoSpaceDN/>
              <w:jc w:val="right"/>
              <w:rPr>
                <w:rFonts w:eastAsia="Times New Roman"/>
                <w:color w:val="000000"/>
              </w:rPr>
            </w:pPr>
            <w:r w:rsidRPr="00F06197">
              <w:rPr>
                <w:rFonts w:eastAsia="Times New Roman"/>
                <w:color w:val="000000"/>
              </w:rPr>
              <w:t>0</w:t>
            </w:r>
          </w:p>
        </w:tc>
        <w:tc>
          <w:tcPr>
            <w:tcW w:w="1195"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64670C8B" w14:textId="77777777">
            <w:pPr>
              <w:widowControl/>
              <w:autoSpaceDE/>
              <w:autoSpaceDN/>
              <w:jc w:val="right"/>
              <w:rPr>
                <w:rFonts w:eastAsia="Times New Roman"/>
                <w:color w:val="000000"/>
              </w:rPr>
            </w:pPr>
            <w:r w:rsidRPr="00F06197">
              <w:rPr>
                <w:rFonts w:eastAsia="Times New Roman"/>
                <w:color w:val="000000"/>
              </w:rPr>
              <w:t>1,475,307</w:t>
            </w:r>
          </w:p>
        </w:tc>
        <w:tc>
          <w:tcPr>
            <w:tcW w:w="1746" w:type="dxa"/>
            <w:tcBorders>
              <w:top w:val="nil"/>
              <w:left w:val="nil"/>
              <w:bottom w:val="single" w:sz="4" w:space="0" w:color="auto"/>
              <w:right w:val="single" w:sz="4" w:space="0" w:color="auto"/>
            </w:tcBorders>
            <w:vAlign w:val="bottom"/>
          </w:tcPr>
          <w:p w:rsidR="007902FA" w:rsidRPr="00F06197" w:rsidP="007902FA" w14:paraId="56FD5DBF" w14:textId="4EA9F026">
            <w:pPr>
              <w:widowControl/>
              <w:autoSpaceDE/>
              <w:autoSpaceDN/>
              <w:jc w:val="right"/>
              <w:rPr>
                <w:rFonts w:eastAsia="Times New Roman"/>
                <w:color w:val="000000"/>
              </w:rPr>
            </w:pPr>
            <w:r w:rsidRPr="00F06197">
              <w:rPr>
                <w:color w:val="000000"/>
              </w:rPr>
              <w:t>$442,592,100</w:t>
            </w:r>
          </w:p>
        </w:tc>
      </w:tr>
      <w:tr w14:paraId="6E3BF62C" w14:textId="38028018" w:rsidTr="007902FA">
        <w:tblPrEx>
          <w:tblW w:w="8020" w:type="dxa"/>
          <w:tblInd w:w="805" w:type="dxa"/>
          <w:tblLook w:val="04A0"/>
        </w:tblPrEx>
        <w:trPr>
          <w:trHeight w:val="28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7902FA" w:rsidRPr="00F06197" w:rsidP="007902FA" w14:paraId="586BF7AC" w14:textId="77777777">
            <w:pPr>
              <w:widowControl/>
              <w:autoSpaceDE/>
              <w:autoSpaceDN/>
              <w:jc w:val="right"/>
              <w:rPr>
                <w:rFonts w:eastAsia="Times New Roman"/>
                <w:color w:val="000000"/>
              </w:rPr>
            </w:pPr>
            <w:r w:rsidRPr="00F06197">
              <w:rPr>
                <w:rFonts w:eastAsia="Times New Roman"/>
                <w:color w:val="000000"/>
              </w:rPr>
              <w:t>6</w:t>
            </w:r>
          </w:p>
        </w:tc>
        <w:tc>
          <w:tcPr>
            <w:tcW w:w="1210"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41096CEF" w14:textId="77777777">
            <w:pPr>
              <w:widowControl/>
              <w:autoSpaceDE/>
              <w:autoSpaceDN/>
              <w:jc w:val="right"/>
              <w:rPr>
                <w:rFonts w:eastAsia="Times New Roman"/>
                <w:color w:val="000000"/>
              </w:rPr>
            </w:pPr>
            <w:r w:rsidRPr="00F06197">
              <w:rPr>
                <w:rFonts w:eastAsia="Times New Roman"/>
                <w:color w:val="000000"/>
              </w:rPr>
              <w:t>9,720</w:t>
            </w:r>
          </w:p>
        </w:tc>
        <w:tc>
          <w:tcPr>
            <w:tcW w:w="1696"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21A4D26F" w14:textId="0CD664C5">
            <w:pPr>
              <w:widowControl/>
              <w:autoSpaceDE/>
              <w:autoSpaceDN/>
              <w:jc w:val="right"/>
              <w:rPr>
                <w:rFonts w:eastAsia="Times New Roman"/>
                <w:color w:val="000000"/>
              </w:rPr>
            </w:pPr>
            <w:r w:rsidRPr="00F06197">
              <w:rPr>
                <w:rFonts w:eastAsia="Times New Roman"/>
                <w:color w:val="000000"/>
              </w:rPr>
              <w:t>1,08</w:t>
            </w:r>
            <w:r w:rsidRPr="00F06197" w:rsidR="00796999">
              <w:rPr>
                <w:rFonts w:eastAsia="Times New Roman"/>
                <w:color w:val="000000"/>
              </w:rPr>
              <w:t>5</w:t>
            </w:r>
          </w:p>
        </w:tc>
        <w:tc>
          <w:tcPr>
            <w:tcW w:w="1223"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4B29BC59" w14:textId="77777777">
            <w:pPr>
              <w:widowControl/>
              <w:autoSpaceDE/>
              <w:autoSpaceDN/>
              <w:jc w:val="right"/>
              <w:rPr>
                <w:rFonts w:eastAsia="Times New Roman"/>
                <w:color w:val="000000"/>
              </w:rPr>
            </w:pPr>
            <w:r w:rsidRPr="00F06197">
              <w:rPr>
                <w:rFonts w:eastAsia="Times New Roman"/>
                <w:color w:val="000000"/>
              </w:rPr>
              <w:t>0</w:t>
            </w:r>
          </w:p>
        </w:tc>
        <w:tc>
          <w:tcPr>
            <w:tcW w:w="1195"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1B2B7BE0" w14:textId="37CCBC1B">
            <w:pPr>
              <w:widowControl/>
              <w:autoSpaceDE/>
              <w:autoSpaceDN/>
              <w:jc w:val="right"/>
              <w:rPr>
                <w:rFonts w:eastAsia="Times New Roman"/>
                <w:color w:val="000000"/>
              </w:rPr>
            </w:pPr>
            <w:r w:rsidRPr="00F06197">
              <w:rPr>
                <w:rFonts w:eastAsia="Times New Roman"/>
                <w:color w:val="000000"/>
              </w:rPr>
              <w:t>10,80</w:t>
            </w:r>
            <w:r w:rsidRPr="00F06197" w:rsidR="00796999">
              <w:rPr>
                <w:rFonts w:eastAsia="Times New Roman"/>
                <w:color w:val="000000"/>
              </w:rPr>
              <w:t>5</w:t>
            </w:r>
          </w:p>
        </w:tc>
        <w:tc>
          <w:tcPr>
            <w:tcW w:w="1746" w:type="dxa"/>
            <w:tcBorders>
              <w:top w:val="nil"/>
              <w:left w:val="nil"/>
              <w:bottom w:val="single" w:sz="4" w:space="0" w:color="auto"/>
              <w:right w:val="single" w:sz="4" w:space="0" w:color="auto"/>
            </w:tcBorders>
            <w:vAlign w:val="bottom"/>
          </w:tcPr>
          <w:p w:rsidR="007902FA" w:rsidRPr="00F06197" w:rsidP="007902FA" w14:paraId="52F8FB40" w14:textId="2C4B650E">
            <w:pPr>
              <w:widowControl/>
              <w:autoSpaceDE/>
              <w:autoSpaceDN/>
              <w:jc w:val="right"/>
              <w:rPr>
                <w:rFonts w:eastAsia="Times New Roman"/>
                <w:color w:val="000000"/>
              </w:rPr>
            </w:pPr>
            <w:r w:rsidRPr="00F06197">
              <w:rPr>
                <w:color w:val="000000"/>
              </w:rPr>
              <w:t>$3,24</w:t>
            </w:r>
            <w:r w:rsidRPr="00F06197" w:rsidR="00F35C4C">
              <w:rPr>
                <w:color w:val="000000"/>
              </w:rPr>
              <w:t>1</w:t>
            </w:r>
            <w:r w:rsidRPr="00F06197">
              <w:rPr>
                <w:color w:val="000000"/>
              </w:rPr>
              <w:t>,</w:t>
            </w:r>
            <w:r w:rsidRPr="00F06197" w:rsidR="00796999">
              <w:rPr>
                <w:color w:val="000000"/>
              </w:rPr>
              <w:t>5</w:t>
            </w:r>
            <w:r w:rsidRPr="00F06197">
              <w:rPr>
                <w:color w:val="000000"/>
              </w:rPr>
              <w:t>00</w:t>
            </w:r>
          </w:p>
        </w:tc>
      </w:tr>
      <w:tr w14:paraId="7C37F48F" w14:textId="10FB07EB" w:rsidTr="007902FA">
        <w:tblPrEx>
          <w:tblW w:w="8020" w:type="dxa"/>
          <w:tblInd w:w="805" w:type="dxa"/>
          <w:tblLook w:val="04A0"/>
        </w:tblPrEx>
        <w:trPr>
          <w:trHeight w:val="280"/>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7902FA" w:rsidRPr="00F06197" w:rsidP="007902FA" w14:paraId="0D5FDFDD" w14:textId="77777777">
            <w:pPr>
              <w:widowControl/>
              <w:autoSpaceDE/>
              <w:autoSpaceDN/>
              <w:jc w:val="right"/>
              <w:rPr>
                <w:rFonts w:eastAsia="Times New Roman"/>
                <w:color w:val="000000"/>
              </w:rPr>
            </w:pPr>
            <w:r w:rsidRPr="00F06197">
              <w:rPr>
                <w:rFonts w:eastAsia="Times New Roman"/>
                <w:color w:val="000000"/>
              </w:rPr>
              <w:t>7</w:t>
            </w:r>
          </w:p>
        </w:tc>
        <w:tc>
          <w:tcPr>
            <w:tcW w:w="1210"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321BC7B9" w14:textId="77777777">
            <w:pPr>
              <w:widowControl/>
              <w:autoSpaceDE/>
              <w:autoSpaceDN/>
              <w:jc w:val="right"/>
              <w:rPr>
                <w:rFonts w:eastAsia="Times New Roman"/>
                <w:color w:val="000000"/>
              </w:rPr>
            </w:pPr>
            <w:r w:rsidRPr="00F06197">
              <w:rPr>
                <w:rFonts w:eastAsia="Times New Roman"/>
                <w:color w:val="000000"/>
              </w:rPr>
              <w:t>716,106</w:t>
            </w:r>
          </w:p>
        </w:tc>
        <w:tc>
          <w:tcPr>
            <w:tcW w:w="1696"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6EC9E503" w14:textId="77777777">
            <w:pPr>
              <w:widowControl/>
              <w:autoSpaceDE/>
              <w:autoSpaceDN/>
              <w:jc w:val="right"/>
              <w:rPr>
                <w:rFonts w:eastAsia="Times New Roman"/>
                <w:color w:val="000000"/>
              </w:rPr>
            </w:pPr>
            <w:r w:rsidRPr="00F06197">
              <w:rPr>
                <w:rFonts w:eastAsia="Times New Roman"/>
                <w:color w:val="000000"/>
              </w:rPr>
              <w:t>381,622</w:t>
            </w:r>
          </w:p>
        </w:tc>
        <w:tc>
          <w:tcPr>
            <w:tcW w:w="1223"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52639801" w14:textId="77777777">
            <w:pPr>
              <w:widowControl/>
              <w:autoSpaceDE/>
              <w:autoSpaceDN/>
              <w:jc w:val="right"/>
              <w:rPr>
                <w:rFonts w:eastAsia="Times New Roman"/>
                <w:color w:val="000000"/>
              </w:rPr>
            </w:pPr>
            <w:r w:rsidRPr="00F06197">
              <w:rPr>
                <w:rFonts w:eastAsia="Times New Roman"/>
                <w:color w:val="000000"/>
              </w:rPr>
              <w:t>0</w:t>
            </w:r>
          </w:p>
        </w:tc>
        <w:tc>
          <w:tcPr>
            <w:tcW w:w="1195"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51CB3834" w14:textId="77777777">
            <w:pPr>
              <w:widowControl/>
              <w:autoSpaceDE/>
              <w:autoSpaceDN/>
              <w:jc w:val="right"/>
              <w:rPr>
                <w:rFonts w:eastAsia="Times New Roman"/>
                <w:color w:val="000000"/>
              </w:rPr>
            </w:pPr>
            <w:r w:rsidRPr="00F06197">
              <w:rPr>
                <w:rFonts w:eastAsia="Times New Roman"/>
                <w:color w:val="000000"/>
              </w:rPr>
              <w:t>1,097,727</w:t>
            </w:r>
          </w:p>
        </w:tc>
        <w:tc>
          <w:tcPr>
            <w:tcW w:w="1746" w:type="dxa"/>
            <w:tcBorders>
              <w:top w:val="nil"/>
              <w:left w:val="nil"/>
              <w:bottom w:val="single" w:sz="4" w:space="0" w:color="auto"/>
              <w:right w:val="single" w:sz="4" w:space="0" w:color="auto"/>
            </w:tcBorders>
            <w:vAlign w:val="bottom"/>
          </w:tcPr>
          <w:p w:rsidR="007902FA" w:rsidRPr="00F06197" w:rsidP="007902FA" w14:paraId="096B7541" w14:textId="7A38A516">
            <w:pPr>
              <w:widowControl/>
              <w:autoSpaceDE/>
              <w:autoSpaceDN/>
              <w:jc w:val="right"/>
              <w:rPr>
                <w:rFonts w:eastAsia="Times New Roman"/>
                <w:color w:val="000000"/>
              </w:rPr>
            </w:pPr>
            <w:r w:rsidRPr="00F06197">
              <w:rPr>
                <w:color w:val="000000"/>
              </w:rPr>
              <w:t>$329,318,190</w:t>
            </w:r>
          </w:p>
        </w:tc>
      </w:tr>
      <w:tr w14:paraId="3A94AD0B" w14:textId="6B418BA6" w:rsidTr="007902FA">
        <w:tblPrEx>
          <w:tblW w:w="8020" w:type="dxa"/>
          <w:tblInd w:w="805" w:type="dxa"/>
          <w:tblLook w:val="04A0"/>
        </w:tblPrEx>
        <w:trPr>
          <w:trHeight w:val="285"/>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7902FA" w:rsidRPr="00F06197" w:rsidP="007902FA" w14:paraId="09AE11B5" w14:textId="77777777">
            <w:pPr>
              <w:widowControl/>
              <w:autoSpaceDE/>
              <w:autoSpaceDN/>
              <w:rPr>
                <w:rFonts w:eastAsia="Times New Roman"/>
                <w:b/>
                <w:bCs/>
                <w:color w:val="000000"/>
              </w:rPr>
            </w:pPr>
            <w:r w:rsidRPr="00F06197">
              <w:rPr>
                <w:rFonts w:eastAsia="Times New Roman"/>
                <w:b/>
                <w:bCs/>
                <w:color w:val="000000"/>
              </w:rPr>
              <w:t>Total</w:t>
            </w:r>
          </w:p>
        </w:tc>
        <w:tc>
          <w:tcPr>
            <w:tcW w:w="1210"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75E9F4B0" w14:textId="0D7E6E9C">
            <w:pPr>
              <w:widowControl/>
              <w:autoSpaceDE/>
              <w:autoSpaceDN/>
              <w:jc w:val="right"/>
              <w:rPr>
                <w:rFonts w:eastAsia="Times New Roman"/>
                <w:b/>
                <w:bCs/>
                <w:color w:val="000000"/>
              </w:rPr>
            </w:pPr>
            <w:r w:rsidRPr="00F06197">
              <w:rPr>
                <w:rFonts w:eastAsia="Times New Roman"/>
                <w:b/>
                <w:bCs/>
                <w:color w:val="000000"/>
              </w:rPr>
              <w:t>1,6</w:t>
            </w:r>
            <w:r w:rsidRPr="00F06197" w:rsidR="00F35C4C">
              <w:rPr>
                <w:rFonts w:eastAsia="Times New Roman"/>
                <w:b/>
                <w:bCs/>
                <w:color w:val="000000"/>
              </w:rPr>
              <w:t>27</w:t>
            </w:r>
            <w:r w:rsidRPr="00F06197">
              <w:rPr>
                <w:rFonts w:eastAsia="Times New Roman"/>
                <w:b/>
                <w:bCs/>
                <w:color w:val="000000"/>
              </w:rPr>
              <w:t>,</w:t>
            </w:r>
            <w:r w:rsidRPr="00F06197" w:rsidR="00F35C4C">
              <w:rPr>
                <w:rFonts w:eastAsia="Times New Roman"/>
                <w:b/>
                <w:bCs/>
                <w:color w:val="000000"/>
              </w:rPr>
              <w:t>4</w:t>
            </w:r>
            <w:r w:rsidRPr="00F06197">
              <w:rPr>
                <w:rFonts w:eastAsia="Times New Roman"/>
                <w:b/>
                <w:bCs/>
                <w:color w:val="000000"/>
              </w:rPr>
              <w:t>59</w:t>
            </w:r>
          </w:p>
        </w:tc>
        <w:tc>
          <w:tcPr>
            <w:tcW w:w="1696"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2B5CFD06" w14:textId="73842A4F">
            <w:pPr>
              <w:widowControl/>
              <w:autoSpaceDE/>
              <w:autoSpaceDN/>
              <w:jc w:val="right"/>
              <w:rPr>
                <w:rFonts w:eastAsia="Times New Roman"/>
                <w:b/>
                <w:bCs/>
                <w:color w:val="000000"/>
              </w:rPr>
            </w:pPr>
            <w:r w:rsidRPr="00F06197">
              <w:rPr>
                <w:rFonts w:eastAsia="Times New Roman"/>
                <w:b/>
                <w:bCs/>
                <w:color w:val="000000"/>
              </w:rPr>
              <w:t>2,086,94</w:t>
            </w:r>
            <w:r w:rsidRPr="00F06197" w:rsidR="00796999">
              <w:rPr>
                <w:rFonts w:eastAsia="Times New Roman"/>
                <w:b/>
                <w:bCs/>
                <w:color w:val="000000"/>
              </w:rPr>
              <w:t>7</w:t>
            </w:r>
          </w:p>
        </w:tc>
        <w:tc>
          <w:tcPr>
            <w:tcW w:w="1223"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2963970A" w14:textId="77777777">
            <w:pPr>
              <w:widowControl/>
              <w:autoSpaceDE/>
              <w:autoSpaceDN/>
              <w:jc w:val="right"/>
              <w:rPr>
                <w:rFonts w:eastAsia="Times New Roman"/>
                <w:b/>
                <w:bCs/>
                <w:color w:val="000000"/>
              </w:rPr>
            </w:pPr>
            <w:r w:rsidRPr="00F06197">
              <w:rPr>
                <w:rFonts w:eastAsia="Times New Roman"/>
                <w:b/>
                <w:bCs/>
                <w:color w:val="000000"/>
              </w:rPr>
              <w:t>0</w:t>
            </w:r>
          </w:p>
        </w:tc>
        <w:tc>
          <w:tcPr>
            <w:tcW w:w="1195" w:type="dxa"/>
            <w:tcBorders>
              <w:top w:val="nil"/>
              <w:left w:val="nil"/>
              <w:bottom w:val="single" w:sz="4" w:space="0" w:color="auto"/>
              <w:right w:val="single" w:sz="4" w:space="0" w:color="auto"/>
            </w:tcBorders>
            <w:shd w:val="clear" w:color="auto" w:fill="auto"/>
            <w:noWrap/>
            <w:vAlign w:val="bottom"/>
            <w:hideMark/>
          </w:tcPr>
          <w:p w:rsidR="007902FA" w:rsidRPr="00F06197" w:rsidP="007902FA" w14:paraId="6CA61586" w14:textId="3E728B15">
            <w:pPr>
              <w:widowControl/>
              <w:autoSpaceDE/>
              <w:autoSpaceDN/>
              <w:jc w:val="right"/>
              <w:rPr>
                <w:rFonts w:eastAsia="Times New Roman"/>
                <w:b/>
                <w:bCs/>
                <w:color w:val="000000"/>
              </w:rPr>
            </w:pPr>
            <w:r w:rsidRPr="00F06197">
              <w:rPr>
                <w:rFonts w:eastAsia="Times New Roman"/>
                <w:b/>
                <w:bCs/>
                <w:color w:val="000000"/>
              </w:rPr>
              <w:t>3,7</w:t>
            </w:r>
            <w:r w:rsidRPr="00F06197" w:rsidR="00F35C4C">
              <w:rPr>
                <w:rFonts w:eastAsia="Times New Roman"/>
                <w:b/>
                <w:bCs/>
                <w:color w:val="000000"/>
              </w:rPr>
              <w:t>14</w:t>
            </w:r>
            <w:r w:rsidRPr="00F06197">
              <w:rPr>
                <w:rFonts w:eastAsia="Times New Roman"/>
                <w:b/>
                <w:bCs/>
                <w:color w:val="000000"/>
              </w:rPr>
              <w:t>,</w:t>
            </w:r>
            <w:r w:rsidRPr="00F06197" w:rsidR="00F35C4C">
              <w:rPr>
                <w:rFonts w:eastAsia="Times New Roman"/>
                <w:b/>
                <w:bCs/>
                <w:color w:val="000000"/>
              </w:rPr>
              <w:t>40</w:t>
            </w:r>
            <w:r w:rsidRPr="00F06197" w:rsidR="00796999">
              <w:rPr>
                <w:rFonts w:eastAsia="Times New Roman"/>
                <w:b/>
                <w:bCs/>
                <w:color w:val="000000"/>
              </w:rPr>
              <w:t>6</w:t>
            </w:r>
          </w:p>
        </w:tc>
        <w:tc>
          <w:tcPr>
            <w:tcW w:w="1746" w:type="dxa"/>
            <w:tcBorders>
              <w:top w:val="nil"/>
              <w:left w:val="nil"/>
              <w:bottom w:val="single" w:sz="4" w:space="0" w:color="auto"/>
              <w:right w:val="single" w:sz="4" w:space="0" w:color="auto"/>
            </w:tcBorders>
            <w:vAlign w:val="bottom"/>
          </w:tcPr>
          <w:p w:rsidR="007902FA" w:rsidRPr="00F06197" w:rsidP="007902FA" w14:paraId="4C974728" w14:textId="1CB2BAA4">
            <w:pPr>
              <w:widowControl/>
              <w:autoSpaceDE/>
              <w:autoSpaceDN/>
              <w:jc w:val="right"/>
              <w:rPr>
                <w:rFonts w:eastAsia="Times New Roman"/>
                <w:b/>
                <w:bCs/>
                <w:color w:val="000000"/>
              </w:rPr>
            </w:pPr>
            <w:r w:rsidRPr="00F06197">
              <w:rPr>
                <w:b/>
                <w:bCs/>
                <w:color w:val="000000"/>
              </w:rPr>
              <w:t>$1,11</w:t>
            </w:r>
            <w:r w:rsidRPr="00F06197" w:rsidR="00F35C4C">
              <w:rPr>
                <w:b/>
                <w:bCs/>
                <w:color w:val="000000"/>
              </w:rPr>
              <w:t>4</w:t>
            </w:r>
            <w:r w:rsidRPr="00F06197">
              <w:rPr>
                <w:b/>
                <w:bCs/>
                <w:color w:val="000000"/>
              </w:rPr>
              <w:t>,3</w:t>
            </w:r>
            <w:r w:rsidRPr="00F06197" w:rsidR="00F35C4C">
              <w:rPr>
                <w:b/>
                <w:bCs/>
                <w:color w:val="000000"/>
              </w:rPr>
              <w:t>21</w:t>
            </w:r>
            <w:r w:rsidRPr="00F06197">
              <w:rPr>
                <w:b/>
                <w:bCs/>
                <w:color w:val="000000"/>
              </w:rPr>
              <w:t>,</w:t>
            </w:r>
            <w:r w:rsidRPr="00F06197" w:rsidR="00796999">
              <w:rPr>
                <w:b/>
                <w:bCs/>
                <w:color w:val="000000"/>
              </w:rPr>
              <w:t>9</w:t>
            </w:r>
            <w:r w:rsidRPr="00F06197">
              <w:rPr>
                <w:b/>
                <w:bCs/>
                <w:color w:val="000000"/>
              </w:rPr>
              <w:t>28</w:t>
            </w:r>
          </w:p>
        </w:tc>
      </w:tr>
    </w:tbl>
    <w:p w:rsidR="004B491B" w:rsidRPr="00F06197" w14:paraId="3D59877A" w14:textId="77777777">
      <w:pPr>
        <w:pStyle w:val="BodyText"/>
        <w:spacing w:before="10"/>
      </w:pPr>
    </w:p>
    <w:p w:rsidR="004B491B" w:rsidRPr="00F06197" w14:paraId="3D59877B" w14:textId="074926E3">
      <w:pPr>
        <w:pStyle w:val="BodyText"/>
        <w:ind w:left="1180" w:right="109"/>
      </w:pPr>
      <w:r w:rsidRPr="00F06197">
        <w:t>The $</w:t>
      </w:r>
      <w:r w:rsidRPr="00F06197" w:rsidR="000E5966">
        <w:t>300</w:t>
      </w:r>
      <w:r w:rsidRPr="00F06197">
        <w:t xml:space="preserve"> hourly rate used in the burden estimates is based on the Nuclear Regulatory Commission’s fee for hourly rates as noted in 10 CFR 170.20 “Average cost</w:t>
      </w:r>
      <w:r w:rsidRPr="00F06197">
        <w:rPr>
          <w:spacing w:val="-3"/>
        </w:rPr>
        <w:t xml:space="preserve"> </w:t>
      </w:r>
      <w:r w:rsidRPr="00F06197">
        <w:t>per</w:t>
      </w:r>
      <w:r w:rsidRPr="00F06197">
        <w:rPr>
          <w:spacing w:val="-3"/>
        </w:rPr>
        <w:t xml:space="preserve"> </w:t>
      </w:r>
      <w:r w:rsidRPr="00F06197">
        <w:t>professional</w:t>
      </w:r>
      <w:r w:rsidRPr="00F06197">
        <w:rPr>
          <w:spacing w:val="-4"/>
        </w:rPr>
        <w:t xml:space="preserve"> </w:t>
      </w:r>
      <w:r w:rsidRPr="00F06197">
        <w:t>staff-hour.”</w:t>
      </w:r>
      <w:r w:rsidRPr="00F06197">
        <w:rPr>
          <w:spacing w:val="40"/>
        </w:rPr>
        <w:t xml:space="preserve"> </w:t>
      </w:r>
      <w:r w:rsidRPr="00F06197">
        <w:t>For</w:t>
      </w:r>
      <w:r w:rsidRPr="00F06197">
        <w:rPr>
          <w:spacing w:val="-3"/>
        </w:rPr>
        <w:t xml:space="preserve"> </w:t>
      </w:r>
      <w:r w:rsidRPr="00F06197">
        <w:t>more</w:t>
      </w:r>
      <w:r w:rsidRPr="00F06197">
        <w:rPr>
          <w:spacing w:val="-3"/>
        </w:rPr>
        <w:t xml:space="preserve"> </w:t>
      </w:r>
      <w:r w:rsidRPr="00F06197">
        <w:t>information</w:t>
      </w:r>
      <w:r w:rsidRPr="00F06197">
        <w:rPr>
          <w:spacing w:val="-3"/>
        </w:rPr>
        <w:t xml:space="preserve"> </w:t>
      </w:r>
      <w:r w:rsidRPr="00F06197">
        <w:t>on</w:t>
      </w:r>
      <w:r w:rsidRPr="00F06197">
        <w:rPr>
          <w:spacing w:val="-3"/>
        </w:rPr>
        <w:t xml:space="preserve"> </w:t>
      </w:r>
      <w:r w:rsidRPr="00F06197">
        <w:t>the</w:t>
      </w:r>
      <w:r w:rsidRPr="00F06197">
        <w:rPr>
          <w:spacing w:val="-4"/>
        </w:rPr>
        <w:t xml:space="preserve"> </w:t>
      </w:r>
      <w:r w:rsidRPr="00F06197">
        <w:t>basis</w:t>
      </w:r>
      <w:r w:rsidRPr="00F06197">
        <w:rPr>
          <w:spacing w:val="-3"/>
        </w:rPr>
        <w:t xml:space="preserve"> </w:t>
      </w:r>
      <w:r w:rsidRPr="00F06197">
        <w:t>of</w:t>
      </w:r>
      <w:r w:rsidRPr="00F06197">
        <w:rPr>
          <w:spacing w:val="-3"/>
        </w:rPr>
        <w:t xml:space="preserve"> </w:t>
      </w:r>
      <w:r w:rsidRPr="00F06197">
        <w:t>this</w:t>
      </w:r>
      <w:r w:rsidRPr="00F06197">
        <w:rPr>
          <w:spacing w:val="-4"/>
        </w:rPr>
        <w:t xml:space="preserve"> </w:t>
      </w:r>
      <w:r w:rsidRPr="00F06197">
        <w:t>rate,</w:t>
      </w:r>
      <w:r w:rsidRPr="00F06197">
        <w:rPr>
          <w:spacing w:val="-3"/>
        </w:rPr>
        <w:t xml:space="preserve"> </w:t>
      </w:r>
      <w:r w:rsidRPr="00F06197">
        <w:t>see the Revision of Fee Schedules; Fee Recovery for Fiscal Year 2019 (</w:t>
      </w:r>
      <w:r w:rsidRPr="00F06197">
        <w:rPr>
          <w:color w:val="323232"/>
        </w:rPr>
        <w:t>85 FR 37250</w:t>
      </w:r>
      <w:r w:rsidRPr="00F06197">
        <w:t>, June 19, 2020).</w:t>
      </w:r>
    </w:p>
    <w:p w:rsidR="004B491B" w:rsidRPr="00F06197" w14:paraId="4119B1F1" w14:textId="77777777">
      <w:pPr>
        <w:pStyle w:val="BodyText"/>
      </w:pPr>
    </w:p>
    <w:p w:rsidR="004B491B" w:rsidRPr="00F06197" w14:paraId="3D59877D" w14:textId="77777777">
      <w:pPr>
        <w:pStyle w:val="ListParagraph"/>
        <w:numPr>
          <w:ilvl w:val="1"/>
          <w:numId w:val="2"/>
        </w:numPr>
        <w:tabs>
          <w:tab w:val="left" w:pos="1088"/>
        </w:tabs>
        <w:ind w:left="1088" w:hanging="449"/>
      </w:pPr>
      <w:r w:rsidRPr="00F06197">
        <w:rPr>
          <w:u w:val="single"/>
        </w:rPr>
        <w:t>Estimate</w:t>
      </w:r>
      <w:r w:rsidRPr="00F06197">
        <w:rPr>
          <w:spacing w:val="-7"/>
          <w:u w:val="single"/>
        </w:rPr>
        <w:t xml:space="preserve"> </w:t>
      </w:r>
      <w:r w:rsidRPr="00F06197">
        <w:rPr>
          <w:u w:val="single"/>
        </w:rPr>
        <w:t>of</w:t>
      </w:r>
      <w:r w:rsidRPr="00F06197">
        <w:rPr>
          <w:spacing w:val="-7"/>
          <w:u w:val="single"/>
        </w:rPr>
        <w:t xml:space="preserve"> </w:t>
      </w:r>
      <w:r w:rsidRPr="00F06197">
        <w:rPr>
          <w:u w:val="single"/>
        </w:rPr>
        <w:t>Other</w:t>
      </w:r>
      <w:r w:rsidRPr="00F06197">
        <w:rPr>
          <w:spacing w:val="-6"/>
          <w:u w:val="single"/>
        </w:rPr>
        <w:t xml:space="preserve"> </w:t>
      </w:r>
      <w:r w:rsidRPr="00F06197">
        <w:rPr>
          <w:u w:val="single"/>
        </w:rPr>
        <w:t>Additional</w:t>
      </w:r>
      <w:r w:rsidRPr="00F06197">
        <w:rPr>
          <w:spacing w:val="-7"/>
          <w:u w:val="single"/>
        </w:rPr>
        <w:t xml:space="preserve"> </w:t>
      </w:r>
      <w:r w:rsidRPr="00F06197">
        <w:rPr>
          <w:spacing w:val="-2"/>
          <w:u w:val="single"/>
        </w:rPr>
        <w:t>Costs</w:t>
      </w:r>
    </w:p>
    <w:p w:rsidR="004B491B" w:rsidRPr="00F06197" w14:paraId="3D59877E" w14:textId="77777777">
      <w:pPr>
        <w:pStyle w:val="BodyText"/>
      </w:pPr>
    </w:p>
    <w:p w:rsidR="004B491B" w:rsidRPr="00F06197" w14:paraId="3D59877F" w14:textId="77777777">
      <w:pPr>
        <w:pStyle w:val="BodyText"/>
        <w:spacing w:before="92"/>
        <w:ind w:left="1090"/>
      </w:pPr>
      <w:r w:rsidRPr="00F06197">
        <w:t>The</w:t>
      </w:r>
      <w:r w:rsidRPr="00F06197">
        <w:rPr>
          <w:spacing w:val="-4"/>
        </w:rPr>
        <w:t xml:space="preserve"> </w:t>
      </w:r>
      <w:r w:rsidRPr="00F06197">
        <w:t>quantity</w:t>
      </w:r>
      <w:r w:rsidRPr="00F06197">
        <w:rPr>
          <w:spacing w:val="-4"/>
        </w:rPr>
        <w:t xml:space="preserve"> </w:t>
      </w:r>
      <w:r w:rsidRPr="00F06197">
        <w:t>of</w:t>
      </w:r>
      <w:r w:rsidRPr="00F06197">
        <w:rPr>
          <w:spacing w:val="-4"/>
        </w:rPr>
        <w:t xml:space="preserve"> </w:t>
      </w:r>
      <w:r w:rsidRPr="00F06197">
        <w:t>records</w:t>
      </w:r>
      <w:r w:rsidRPr="00F06197">
        <w:rPr>
          <w:spacing w:val="-4"/>
        </w:rPr>
        <w:t xml:space="preserve"> </w:t>
      </w:r>
      <w:r w:rsidRPr="00F06197">
        <w:t>to</w:t>
      </w:r>
      <w:r w:rsidRPr="00F06197">
        <w:rPr>
          <w:spacing w:val="-4"/>
        </w:rPr>
        <w:t xml:space="preserve"> </w:t>
      </w:r>
      <w:r w:rsidRPr="00F06197">
        <w:t>be</w:t>
      </w:r>
      <w:r w:rsidRPr="00F06197">
        <w:rPr>
          <w:spacing w:val="-4"/>
        </w:rPr>
        <w:t xml:space="preserve"> </w:t>
      </w:r>
      <w:r w:rsidRPr="00F06197">
        <w:t>maintained</w:t>
      </w:r>
      <w:r w:rsidRPr="00F06197">
        <w:rPr>
          <w:spacing w:val="-4"/>
        </w:rPr>
        <w:t xml:space="preserve"> </w:t>
      </w:r>
      <w:r w:rsidRPr="00F06197">
        <w:t>is</w:t>
      </w:r>
      <w:r w:rsidRPr="00F06197">
        <w:rPr>
          <w:spacing w:val="-4"/>
        </w:rPr>
        <w:t xml:space="preserve"> </w:t>
      </w:r>
      <w:r w:rsidRPr="00F06197">
        <w:t>roughly</w:t>
      </w:r>
      <w:r w:rsidRPr="00F06197">
        <w:rPr>
          <w:spacing w:val="-4"/>
        </w:rPr>
        <w:t xml:space="preserve"> </w:t>
      </w:r>
      <w:r w:rsidRPr="00F06197">
        <w:t>proportional</w:t>
      </w:r>
      <w:r w:rsidRPr="00F06197">
        <w:rPr>
          <w:spacing w:val="-4"/>
        </w:rPr>
        <w:t xml:space="preserve"> </w:t>
      </w:r>
      <w:r w:rsidRPr="00F06197">
        <w:t>to</w:t>
      </w:r>
      <w:r w:rsidRPr="00F06197">
        <w:rPr>
          <w:spacing w:val="-4"/>
        </w:rPr>
        <w:t xml:space="preserve"> </w:t>
      </w:r>
      <w:r w:rsidRPr="00F06197">
        <w:t>the</w:t>
      </w:r>
      <w:r w:rsidRPr="00F06197">
        <w:rPr>
          <w:spacing w:val="-4"/>
        </w:rPr>
        <w:t xml:space="preserve"> </w:t>
      </w:r>
      <w:r w:rsidRPr="00F06197">
        <w:t>recordkeeping burden and therefore can be used to calculate approximate records storage costs.</w:t>
      </w:r>
    </w:p>
    <w:p w:rsidR="004B491B" w:rsidRPr="00F06197" w14:paraId="3D598780" w14:textId="08B2446F">
      <w:pPr>
        <w:pStyle w:val="BodyText"/>
        <w:spacing w:before="1"/>
        <w:ind w:left="1090"/>
      </w:pPr>
      <w:r w:rsidRPr="00F06197">
        <w:t>Based</w:t>
      </w:r>
      <w:r w:rsidRPr="00F06197">
        <w:rPr>
          <w:spacing w:val="-3"/>
        </w:rPr>
        <w:t xml:space="preserve"> </w:t>
      </w:r>
      <w:r w:rsidRPr="00F06197">
        <w:t>on</w:t>
      </w:r>
      <w:r w:rsidRPr="00F06197">
        <w:rPr>
          <w:spacing w:val="-3"/>
        </w:rPr>
        <w:t xml:space="preserve"> </w:t>
      </w:r>
      <w:r w:rsidRPr="00F06197">
        <w:t>the</w:t>
      </w:r>
      <w:r w:rsidRPr="00F06197">
        <w:rPr>
          <w:spacing w:val="-3"/>
        </w:rPr>
        <w:t xml:space="preserve"> </w:t>
      </w:r>
      <w:r w:rsidRPr="00F06197">
        <w:t>number</w:t>
      </w:r>
      <w:r w:rsidRPr="00F06197">
        <w:rPr>
          <w:spacing w:val="-3"/>
        </w:rPr>
        <w:t xml:space="preserve"> </w:t>
      </w:r>
      <w:r w:rsidRPr="00F06197">
        <w:t>of</w:t>
      </w:r>
      <w:r w:rsidRPr="00F06197">
        <w:rPr>
          <w:spacing w:val="-3"/>
        </w:rPr>
        <w:t xml:space="preserve"> </w:t>
      </w:r>
      <w:r w:rsidRPr="00F06197">
        <w:t>pages</w:t>
      </w:r>
      <w:r w:rsidRPr="00F06197">
        <w:rPr>
          <w:spacing w:val="-3"/>
        </w:rPr>
        <w:t xml:space="preserve"> </w:t>
      </w:r>
      <w:r w:rsidRPr="00F06197">
        <w:t>maintained</w:t>
      </w:r>
      <w:r w:rsidRPr="00F06197">
        <w:rPr>
          <w:spacing w:val="-3"/>
        </w:rPr>
        <w:t xml:space="preserve"> </w:t>
      </w:r>
      <w:r w:rsidRPr="00F06197">
        <w:t>for</w:t>
      </w:r>
      <w:r w:rsidRPr="00F06197">
        <w:rPr>
          <w:spacing w:val="-3"/>
        </w:rPr>
        <w:t xml:space="preserve"> </w:t>
      </w:r>
      <w:r w:rsidRPr="00F06197">
        <w:t>a</w:t>
      </w:r>
      <w:r w:rsidRPr="00F06197">
        <w:rPr>
          <w:spacing w:val="-3"/>
        </w:rPr>
        <w:t xml:space="preserve"> </w:t>
      </w:r>
      <w:r w:rsidRPr="00F06197">
        <w:t>typical</w:t>
      </w:r>
      <w:r w:rsidRPr="00F06197">
        <w:rPr>
          <w:spacing w:val="-3"/>
        </w:rPr>
        <w:t xml:space="preserve"> </w:t>
      </w:r>
      <w:r w:rsidRPr="00F06197">
        <w:t>clearance,</w:t>
      </w:r>
      <w:r w:rsidRPr="00F06197">
        <w:rPr>
          <w:spacing w:val="-3"/>
        </w:rPr>
        <w:t xml:space="preserve"> </w:t>
      </w:r>
      <w:r w:rsidRPr="00F06197">
        <w:t>the</w:t>
      </w:r>
      <w:r w:rsidRPr="00F06197">
        <w:rPr>
          <w:spacing w:val="-3"/>
        </w:rPr>
        <w:t xml:space="preserve"> </w:t>
      </w:r>
      <w:r w:rsidRPr="00F06197">
        <w:t>records</w:t>
      </w:r>
      <w:r w:rsidRPr="00F06197">
        <w:rPr>
          <w:spacing w:val="-3"/>
        </w:rPr>
        <w:t xml:space="preserve"> </w:t>
      </w:r>
      <w:r w:rsidRPr="00F06197">
        <w:t>storage cost has been determined to be equal to .0004 times the recordkeeping burden cost. Therefore, the storage cost for this clearance is estimated to be $2</w:t>
      </w:r>
      <w:r w:rsidRPr="00F06197" w:rsidR="00F52067">
        <w:t>5</w:t>
      </w:r>
      <w:r w:rsidRPr="00F06197" w:rsidR="001B2664">
        <w:t>0</w:t>
      </w:r>
      <w:r w:rsidRPr="00F06197">
        <w:t>,</w:t>
      </w:r>
      <w:r w:rsidRPr="00F06197" w:rsidR="001B2664">
        <w:t>43</w:t>
      </w:r>
      <w:r w:rsidRPr="00F06197" w:rsidR="00796999">
        <w:t>4</w:t>
      </w:r>
      <w:r w:rsidRPr="00F06197">
        <w:t xml:space="preserve"> (2,</w:t>
      </w:r>
      <w:r w:rsidRPr="00F06197" w:rsidR="00E56C4A">
        <w:t>0</w:t>
      </w:r>
      <w:r w:rsidRPr="00F06197" w:rsidR="001B2664">
        <w:t>86,94</w:t>
      </w:r>
      <w:r w:rsidRPr="00F06197" w:rsidR="00796999">
        <w:t>7</w:t>
      </w:r>
      <w:r w:rsidRPr="00F06197">
        <w:t xml:space="preserve"> recordkeeping hours x $</w:t>
      </w:r>
      <w:r w:rsidRPr="00F06197" w:rsidR="000E5966">
        <w:t>300</w:t>
      </w:r>
      <w:r w:rsidRPr="00F06197">
        <w:t xml:space="preserve"> x .0004).</w:t>
      </w:r>
    </w:p>
    <w:p w:rsidR="004B491B" w:rsidRPr="00F06197" w14:paraId="3D598781" w14:textId="77777777">
      <w:pPr>
        <w:pStyle w:val="BodyText"/>
      </w:pPr>
    </w:p>
    <w:p w:rsidR="004B491B" w:rsidRPr="00F06197" w14:paraId="3D598782" w14:textId="77777777">
      <w:pPr>
        <w:pStyle w:val="ListParagraph"/>
        <w:numPr>
          <w:ilvl w:val="1"/>
          <w:numId w:val="2"/>
        </w:numPr>
        <w:tabs>
          <w:tab w:val="left" w:pos="1088"/>
        </w:tabs>
        <w:ind w:left="1088" w:hanging="449"/>
      </w:pPr>
      <w:r w:rsidRPr="00F06197">
        <w:rPr>
          <w:u w:val="single"/>
        </w:rPr>
        <w:t>Estimated</w:t>
      </w:r>
      <w:r w:rsidRPr="00F06197">
        <w:rPr>
          <w:spacing w:val="-7"/>
          <w:u w:val="single"/>
        </w:rPr>
        <w:t xml:space="preserve"> </w:t>
      </w:r>
      <w:r w:rsidRPr="00F06197">
        <w:rPr>
          <w:u w:val="single"/>
        </w:rPr>
        <w:t>Annualized</w:t>
      </w:r>
      <w:r w:rsidRPr="00F06197">
        <w:rPr>
          <w:spacing w:val="-7"/>
          <w:u w:val="single"/>
        </w:rPr>
        <w:t xml:space="preserve"> </w:t>
      </w:r>
      <w:r w:rsidRPr="00F06197">
        <w:rPr>
          <w:u w:val="single"/>
        </w:rPr>
        <w:t>Cost</w:t>
      </w:r>
      <w:r w:rsidRPr="00F06197">
        <w:rPr>
          <w:spacing w:val="-7"/>
          <w:u w:val="single"/>
        </w:rPr>
        <w:t xml:space="preserve"> </w:t>
      </w:r>
      <w:r w:rsidRPr="00F06197">
        <w:rPr>
          <w:u w:val="single"/>
        </w:rPr>
        <w:t>to</w:t>
      </w:r>
      <w:r w:rsidRPr="00F06197">
        <w:rPr>
          <w:spacing w:val="-7"/>
          <w:u w:val="single"/>
        </w:rPr>
        <w:t xml:space="preserve"> </w:t>
      </w:r>
      <w:r w:rsidRPr="00F06197">
        <w:rPr>
          <w:u w:val="single"/>
        </w:rPr>
        <w:t>the</w:t>
      </w:r>
      <w:r w:rsidRPr="00F06197">
        <w:rPr>
          <w:spacing w:val="-7"/>
          <w:u w:val="single"/>
        </w:rPr>
        <w:t xml:space="preserve"> </w:t>
      </w:r>
      <w:r w:rsidRPr="00F06197">
        <w:rPr>
          <w:u w:val="single"/>
        </w:rPr>
        <w:t>Federal</w:t>
      </w:r>
      <w:r w:rsidRPr="00F06197">
        <w:rPr>
          <w:spacing w:val="-7"/>
          <w:u w:val="single"/>
        </w:rPr>
        <w:t xml:space="preserve"> </w:t>
      </w:r>
      <w:r w:rsidRPr="00F06197">
        <w:rPr>
          <w:spacing w:val="-2"/>
          <w:u w:val="single"/>
        </w:rPr>
        <w:t>Government</w:t>
      </w:r>
    </w:p>
    <w:p w:rsidR="004B491B" w:rsidRPr="00F06197" w14:paraId="3D598783" w14:textId="77777777">
      <w:pPr>
        <w:pStyle w:val="BodyText"/>
        <w:spacing w:before="10"/>
      </w:pPr>
    </w:p>
    <w:p w:rsidR="004B491B" w:rsidRPr="00F06197" w:rsidP="002D42F4" w14:paraId="3D598788" w14:textId="7224194F">
      <w:pPr>
        <w:pStyle w:val="BodyText"/>
        <w:spacing w:before="93"/>
        <w:ind w:left="1089" w:right="76"/>
      </w:pPr>
      <w:r w:rsidRPr="00F06197">
        <w:t>The staff has developed estimates of annualized costs to the Federal Government related</w:t>
      </w:r>
      <w:r w:rsidRPr="00F06197">
        <w:rPr>
          <w:spacing w:val="-3"/>
        </w:rPr>
        <w:t xml:space="preserve"> </w:t>
      </w:r>
      <w:r w:rsidRPr="00F06197">
        <w:t>to</w:t>
      </w:r>
      <w:r w:rsidRPr="00F06197">
        <w:rPr>
          <w:spacing w:val="-3"/>
        </w:rPr>
        <w:t xml:space="preserve"> </w:t>
      </w:r>
      <w:r w:rsidRPr="00F06197">
        <w:t>the</w:t>
      </w:r>
      <w:r w:rsidRPr="00F06197">
        <w:rPr>
          <w:spacing w:val="-3"/>
        </w:rPr>
        <w:t xml:space="preserve"> </w:t>
      </w:r>
      <w:r w:rsidRPr="00F06197">
        <w:t>conduct</w:t>
      </w:r>
      <w:r w:rsidRPr="00F06197">
        <w:rPr>
          <w:spacing w:val="-3"/>
        </w:rPr>
        <w:t xml:space="preserve"> </w:t>
      </w:r>
      <w:r w:rsidRPr="00F06197">
        <w:t>of</w:t>
      </w:r>
      <w:r w:rsidRPr="00F06197">
        <w:rPr>
          <w:spacing w:val="-4"/>
        </w:rPr>
        <w:t xml:space="preserve"> </w:t>
      </w:r>
      <w:r w:rsidRPr="00F06197">
        <w:t>this</w:t>
      </w:r>
      <w:r w:rsidRPr="00F06197">
        <w:rPr>
          <w:spacing w:val="-3"/>
        </w:rPr>
        <w:t xml:space="preserve"> </w:t>
      </w:r>
      <w:r w:rsidRPr="00F06197">
        <w:t>collection</w:t>
      </w:r>
      <w:r w:rsidRPr="00F06197">
        <w:rPr>
          <w:spacing w:val="-3"/>
        </w:rPr>
        <w:t xml:space="preserve"> </w:t>
      </w:r>
      <w:r w:rsidRPr="00F06197">
        <w:t>of</w:t>
      </w:r>
      <w:r w:rsidRPr="00F06197">
        <w:rPr>
          <w:spacing w:val="-3"/>
        </w:rPr>
        <w:t xml:space="preserve"> </w:t>
      </w:r>
      <w:r w:rsidRPr="00F06197">
        <w:t>information.</w:t>
      </w:r>
      <w:r w:rsidRPr="00F06197">
        <w:rPr>
          <w:spacing w:val="40"/>
        </w:rPr>
        <w:t xml:space="preserve"> </w:t>
      </w:r>
      <w:r w:rsidRPr="00F06197">
        <w:t>These</w:t>
      </w:r>
      <w:r w:rsidRPr="00F06197">
        <w:rPr>
          <w:spacing w:val="-3"/>
        </w:rPr>
        <w:t xml:space="preserve"> </w:t>
      </w:r>
      <w:r w:rsidRPr="00F06197">
        <w:t>estimates</w:t>
      </w:r>
      <w:r w:rsidRPr="00F06197">
        <w:rPr>
          <w:spacing w:val="-4"/>
        </w:rPr>
        <w:t xml:space="preserve"> </w:t>
      </w:r>
      <w:r w:rsidRPr="00F06197">
        <w:t>are</w:t>
      </w:r>
      <w:r w:rsidRPr="00F06197">
        <w:rPr>
          <w:spacing w:val="-3"/>
        </w:rPr>
        <w:t xml:space="preserve"> </w:t>
      </w:r>
      <w:r w:rsidRPr="00F06197">
        <w:t>based</w:t>
      </w:r>
      <w:r w:rsidRPr="00F06197">
        <w:rPr>
          <w:spacing w:val="-3"/>
        </w:rPr>
        <w:t xml:space="preserve"> </w:t>
      </w:r>
      <w:r w:rsidRPr="00F06197">
        <w:t xml:space="preserve">on staff experience and subject matter expertise and include the burden needed to review, analyze, and process the collected information and any relevant operational </w:t>
      </w:r>
      <w:r w:rsidRPr="00F06197">
        <w:rPr>
          <w:spacing w:val="-2"/>
        </w:rPr>
        <w:t>expenses.</w:t>
      </w:r>
      <w:r w:rsidRPr="00F06197" w:rsidR="002D42F4">
        <w:rPr>
          <w:spacing w:val="-2"/>
        </w:rPr>
        <w:t xml:space="preserve"> </w:t>
      </w:r>
    </w:p>
    <w:p w:rsidR="004B491B" w:rsidRPr="00F06197" w14:paraId="3D598789" w14:textId="77777777">
      <w:pPr>
        <w:pStyle w:val="BodyText"/>
      </w:pPr>
    </w:p>
    <w:p w:rsidR="004B491B" w:rsidRPr="00F06197" w14:paraId="3D59878E" w14:textId="5E0A2564">
      <w:pPr>
        <w:pStyle w:val="BodyText"/>
        <w:spacing w:before="73"/>
        <w:ind w:left="1090"/>
      </w:pPr>
      <w:r w:rsidRPr="00F06197">
        <w:t>The</w:t>
      </w:r>
      <w:r w:rsidRPr="00F06197">
        <w:rPr>
          <w:spacing w:val="-3"/>
        </w:rPr>
        <w:t xml:space="preserve"> </w:t>
      </w:r>
      <w:r w:rsidRPr="00F06197">
        <w:t>estimated</w:t>
      </w:r>
      <w:r w:rsidRPr="00F06197">
        <w:rPr>
          <w:spacing w:val="-3"/>
        </w:rPr>
        <w:t xml:space="preserve"> </w:t>
      </w:r>
      <w:r w:rsidRPr="00F06197">
        <w:t>annualized</w:t>
      </w:r>
      <w:r w:rsidRPr="00F06197">
        <w:rPr>
          <w:spacing w:val="-3"/>
        </w:rPr>
        <w:t xml:space="preserve"> </w:t>
      </w:r>
      <w:r w:rsidRPr="00F06197">
        <w:t>cost</w:t>
      </w:r>
      <w:r w:rsidRPr="00F06197">
        <w:rPr>
          <w:spacing w:val="-3"/>
        </w:rPr>
        <w:t xml:space="preserve"> </w:t>
      </w:r>
      <w:r w:rsidRPr="00F06197">
        <w:t>to</w:t>
      </w:r>
      <w:r w:rsidRPr="00F06197">
        <w:rPr>
          <w:spacing w:val="-3"/>
        </w:rPr>
        <w:t xml:space="preserve"> </w:t>
      </w:r>
      <w:r w:rsidRPr="00F06197">
        <w:t>the</w:t>
      </w:r>
      <w:r w:rsidRPr="00F06197">
        <w:rPr>
          <w:spacing w:val="-3"/>
        </w:rPr>
        <w:t xml:space="preserve"> </w:t>
      </w:r>
      <w:r w:rsidRPr="00F06197">
        <w:t>Federal</w:t>
      </w:r>
      <w:r w:rsidRPr="00F06197">
        <w:rPr>
          <w:spacing w:val="-3"/>
        </w:rPr>
        <w:t xml:space="preserve"> </w:t>
      </w:r>
      <w:r w:rsidRPr="00F06197">
        <w:t>government</w:t>
      </w:r>
      <w:r w:rsidRPr="00F06197">
        <w:rPr>
          <w:spacing w:val="-3"/>
        </w:rPr>
        <w:t xml:space="preserve"> </w:t>
      </w:r>
      <w:r w:rsidRPr="00F06197">
        <w:t>by</w:t>
      </w:r>
      <w:r w:rsidRPr="00F06197">
        <w:rPr>
          <w:spacing w:val="-3"/>
        </w:rPr>
        <w:t xml:space="preserve"> </w:t>
      </w:r>
      <w:r w:rsidRPr="00F06197">
        <w:t>section</w:t>
      </w:r>
      <w:r w:rsidRPr="00F06197">
        <w:rPr>
          <w:spacing w:val="-3"/>
        </w:rPr>
        <w:t xml:space="preserve"> </w:t>
      </w:r>
      <w:r w:rsidRPr="00F06197">
        <w:t>is</w:t>
      </w:r>
      <w:r w:rsidRPr="00F06197">
        <w:rPr>
          <w:spacing w:val="-4"/>
        </w:rPr>
        <w:t xml:space="preserve"> </w:t>
      </w:r>
      <w:r w:rsidRPr="00F06197">
        <w:t>in</w:t>
      </w:r>
      <w:r w:rsidRPr="00F06197">
        <w:rPr>
          <w:spacing w:val="-3"/>
        </w:rPr>
        <w:t xml:space="preserve"> </w:t>
      </w:r>
      <w:r w:rsidRPr="00F06197">
        <w:t>the</w:t>
      </w:r>
      <w:r w:rsidRPr="00F06197">
        <w:rPr>
          <w:spacing w:val="-3"/>
        </w:rPr>
        <w:t xml:space="preserve"> </w:t>
      </w:r>
      <w:r w:rsidRPr="00F06197">
        <w:t>table below.</w:t>
      </w:r>
      <w:r w:rsidRPr="00F06197">
        <w:rPr>
          <w:spacing w:val="40"/>
        </w:rPr>
        <w:t xml:space="preserve"> </w:t>
      </w:r>
      <w:r w:rsidRPr="00F06197">
        <w:t>The overall annual cost to the Federal government is $</w:t>
      </w:r>
      <w:r w:rsidRPr="00F06197" w:rsidR="004045FF">
        <w:rPr>
          <w:bCs/>
        </w:rPr>
        <w:t>72,124,200</w:t>
      </w:r>
      <w:r w:rsidRPr="00F06197">
        <w:t>.</w:t>
      </w:r>
    </w:p>
    <w:p w:rsidR="004B491B" w:rsidRPr="00F06197" w14:paraId="3D59878F" w14:textId="77777777">
      <w:pPr>
        <w:pStyle w:val="BodyText"/>
        <w:spacing w:before="2"/>
      </w:pPr>
    </w:p>
    <w:tbl>
      <w:tblPr>
        <w:tblW w:w="0" w:type="auto"/>
        <w:tblInd w:w="3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80"/>
        <w:gridCol w:w="2261"/>
      </w:tblGrid>
      <w:tr w14:paraId="3D598795" w14:textId="77777777">
        <w:tblPrEx>
          <w:tblW w:w="0" w:type="auto"/>
          <w:tblInd w:w="3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55"/>
        </w:trPr>
        <w:tc>
          <w:tcPr>
            <w:tcW w:w="1080" w:type="dxa"/>
          </w:tcPr>
          <w:p w:rsidR="004B491B" w:rsidRPr="00F06197" w14:paraId="3D598790" w14:textId="77777777">
            <w:pPr>
              <w:pStyle w:val="TableParagraph"/>
              <w:spacing w:line="240" w:lineRule="auto"/>
              <w:jc w:val="left"/>
            </w:pPr>
          </w:p>
          <w:p w:rsidR="004B491B" w:rsidRPr="00F06197" w14:paraId="3D598791" w14:textId="77777777">
            <w:pPr>
              <w:pStyle w:val="TableParagraph"/>
              <w:spacing w:before="1" w:line="240" w:lineRule="auto"/>
              <w:jc w:val="left"/>
            </w:pPr>
          </w:p>
          <w:p w:rsidR="004B491B" w:rsidRPr="00F06197" w14:paraId="3D598792" w14:textId="77777777">
            <w:pPr>
              <w:pStyle w:val="TableParagraph"/>
              <w:spacing w:before="1"/>
              <w:ind w:left="107"/>
              <w:jc w:val="left"/>
            </w:pPr>
            <w:r w:rsidRPr="00F06197">
              <w:rPr>
                <w:spacing w:val="-2"/>
              </w:rPr>
              <w:t>Section</w:t>
            </w:r>
          </w:p>
        </w:tc>
        <w:tc>
          <w:tcPr>
            <w:tcW w:w="2261" w:type="dxa"/>
          </w:tcPr>
          <w:p w:rsidR="004B491B" w:rsidRPr="00F06197" w14:paraId="3D598793" w14:textId="77777777">
            <w:pPr>
              <w:pStyle w:val="TableParagraph"/>
              <w:spacing w:before="94" w:line="240" w:lineRule="auto"/>
              <w:ind w:left="107"/>
              <w:jc w:val="left"/>
            </w:pPr>
            <w:r w:rsidRPr="00F06197">
              <w:t>Annual</w:t>
            </w:r>
            <w:r w:rsidRPr="00F06197">
              <w:rPr>
                <w:spacing w:val="-6"/>
              </w:rPr>
              <w:t xml:space="preserve"> </w:t>
            </w:r>
            <w:r w:rsidRPr="00F06197">
              <w:t>Cost</w:t>
            </w:r>
            <w:r w:rsidRPr="00F06197">
              <w:rPr>
                <w:spacing w:val="-6"/>
              </w:rPr>
              <w:t xml:space="preserve"> </w:t>
            </w:r>
            <w:r w:rsidRPr="00F06197">
              <w:rPr>
                <w:spacing w:val="-5"/>
              </w:rPr>
              <w:t>to</w:t>
            </w:r>
          </w:p>
          <w:p w:rsidR="004B491B" w:rsidRPr="00F06197" w14:paraId="3D598794" w14:textId="5486E7D0">
            <w:pPr>
              <w:pStyle w:val="TableParagraph"/>
              <w:spacing w:line="252" w:lineRule="exact"/>
              <w:ind w:left="107" w:right="122"/>
              <w:jc w:val="left"/>
            </w:pPr>
            <w:r w:rsidRPr="00F06197">
              <w:t>Federal</w:t>
            </w:r>
            <w:r w:rsidRPr="00F06197">
              <w:rPr>
                <w:spacing w:val="-16"/>
              </w:rPr>
              <w:t xml:space="preserve"> </w:t>
            </w:r>
            <w:r w:rsidRPr="00F06197">
              <w:t>Government at $</w:t>
            </w:r>
            <w:r w:rsidRPr="00F06197" w:rsidR="000E5966">
              <w:t>300</w:t>
            </w:r>
            <w:r w:rsidRPr="00F06197">
              <w:t>/</w:t>
            </w:r>
            <w:r w:rsidRPr="00F06197">
              <w:t>hr</w:t>
            </w:r>
          </w:p>
        </w:tc>
      </w:tr>
      <w:tr w14:paraId="3D598798" w14:textId="77777777">
        <w:tblPrEx>
          <w:tblW w:w="0" w:type="auto"/>
          <w:tblInd w:w="3114" w:type="dxa"/>
          <w:tblLayout w:type="fixed"/>
          <w:tblCellMar>
            <w:left w:w="0" w:type="dxa"/>
            <w:right w:w="0" w:type="dxa"/>
          </w:tblCellMar>
          <w:tblLook w:val="01E0"/>
        </w:tblPrEx>
        <w:trPr>
          <w:trHeight w:val="285"/>
        </w:trPr>
        <w:tc>
          <w:tcPr>
            <w:tcW w:w="1080" w:type="dxa"/>
          </w:tcPr>
          <w:p w:rsidR="004B491B" w:rsidRPr="00F06197" w14:paraId="3D598796" w14:textId="77777777">
            <w:pPr>
              <w:pStyle w:val="TableParagraph"/>
              <w:spacing w:before="30"/>
              <w:ind w:right="96"/>
            </w:pPr>
            <w:r w:rsidRPr="00F06197">
              <w:rPr>
                <w:w w:val="99"/>
              </w:rPr>
              <w:t>2</w:t>
            </w:r>
          </w:p>
        </w:tc>
        <w:tc>
          <w:tcPr>
            <w:tcW w:w="2261" w:type="dxa"/>
          </w:tcPr>
          <w:p w:rsidR="004B491B" w:rsidRPr="00F06197" w14:paraId="3D598797" w14:textId="706C6AB6">
            <w:pPr>
              <w:pStyle w:val="TableParagraph"/>
              <w:spacing w:before="30"/>
              <w:ind w:right="96"/>
            </w:pPr>
            <w:r w:rsidRPr="00F06197">
              <w:rPr>
                <w:spacing w:val="-2"/>
              </w:rPr>
              <w:t>$</w:t>
            </w:r>
            <w:r w:rsidRPr="00F06197" w:rsidR="00AD6A9F">
              <w:rPr>
                <w:spacing w:val="-2"/>
              </w:rPr>
              <w:t>30,585,900</w:t>
            </w:r>
          </w:p>
        </w:tc>
      </w:tr>
      <w:tr w14:paraId="3D59879B" w14:textId="77777777">
        <w:tblPrEx>
          <w:tblW w:w="0" w:type="auto"/>
          <w:tblInd w:w="3114" w:type="dxa"/>
          <w:tblLayout w:type="fixed"/>
          <w:tblCellMar>
            <w:left w:w="0" w:type="dxa"/>
            <w:right w:w="0" w:type="dxa"/>
          </w:tblCellMar>
          <w:tblLook w:val="01E0"/>
        </w:tblPrEx>
        <w:trPr>
          <w:trHeight w:val="285"/>
        </w:trPr>
        <w:tc>
          <w:tcPr>
            <w:tcW w:w="1080" w:type="dxa"/>
          </w:tcPr>
          <w:p w:rsidR="004B491B" w:rsidRPr="00F06197" w14:paraId="3D598799" w14:textId="77777777">
            <w:pPr>
              <w:pStyle w:val="TableParagraph"/>
              <w:spacing w:before="30"/>
              <w:ind w:right="96"/>
            </w:pPr>
            <w:r w:rsidRPr="00F06197">
              <w:rPr>
                <w:w w:val="99"/>
              </w:rPr>
              <w:t>3</w:t>
            </w:r>
          </w:p>
        </w:tc>
        <w:tc>
          <w:tcPr>
            <w:tcW w:w="2261" w:type="dxa"/>
          </w:tcPr>
          <w:p w:rsidR="004B491B" w:rsidRPr="00F06197" w14:paraId="3D59879A" w14:textId="0A46B13F">
            <w:pPr>
              <w:pStyle w:val="TableParagraph"/>
              <w:spacing w:before="30"/>
              <w:ind w:right="97"/>
            </w:pPr>
            <w:r w:rsidRPr="00F06197">
              <w:rPr>
                <w:spacing w:val="-2"/>
              </w:rPr>
              <w:t>$</w:t>
            </w:r>
            <w:r w:rsidRPr="00F06197" w:rsidR="00D57027">
              <w:rPr>
                <w:spacing w:val="-2"/>
              </w:rPr>
              <w:t>457,800</w:t>
            </w:r>
          </w:p>
        </w:tc>
      </w:tr>
      <w:tr w14:paraId="3D59879E" w14:textId="77777777">
        <w:tblPrEx>
          <w:tblW w:w="0" w:type="auto"/>
          <w:tblInd w:w="3114" w:type="dxa"/>
          <w:tblLayout w:type="fixed"/>
          <w:tblCellMar>
            <w:left w:w="0" w:type="dxa"/>
            <w:right w:w="0" w:type="dxa"/>
          </w:tblCellMar>
          <w:tblLook w:val="01E0"/>
        </w:tblPrEx>
        <w:trPr>
          <w:trHeight w:val="285"/>
        </w:trPr>
        <w:tc>
          <w:tcPr>
            <w:tcW w:w="1080" w:type="dxa"/>
          </w:tcPr>
          <w:p w:rsidR="004B491B" w:rsidRPr="00F06197" w14:paraId="3D59879C" w14:textId="77777777">
            <w:pPr>
              <w:pStyle w:val="TableParagraph"/>
              <w:spacing w:before="30"/>
              <w:ind w:right="96"/>
            </w:pPr>
            <w:r w:rsidRPr="00F06197">
              <w:rPr>
                <w:w w:val="99"/>
              </w:rPr>
              <w:t>4</w:t>
            </w:r>
          </w:p>
        </w:tc>
        <w:tc>
          <w:tcPr>
            <w:tcW w:w="2261" w:type="dxa"/>
          </w:tcPr>
          <w:p w:rsidR="004B491B" w:rsidRPr="00F06197" w14:paraId="3D59879D" w14:textId="53B43DA3">
            <w:pPr>
              <w:pStyle w:val="TableParagraph"/>
              <w:spacing w:before="30"/>
              <w:ind w:right="96"/>
            </w:pPr>
            <w:r w:rsidRPr="00F06197">
              <w:rPr>
                <w:spacing w:val="-2"/>
              </w:rPr>
              <w:t>$</w:t>
            </w:r>
            <w:r w:rsidRPr="00F06197" w:rsidR="00D57027">
              <w:rPr>
                <w:spacing w:val="-2"/>
              </w:rPr>
              <w:t>12,388,500</w:t>
            </w:r>
          </w:p>
        </w:tc>
      </w:tr>
      <w:tr w14:paraId="3D5987A1" w14:textId="77777777">
        <w:tblPrEx>
          <w:tblW w:w="0" w:type="auto"/>
          <w:tblInd w:w="3114" w:type="dxa"/>
          <w:tblLayout w:type="fixed"/>
          <w:tblCellMar>
            <w:left w:w="0" w:type="dxa"/>
            <w:right w:w="0" w:type="dxa"/>
          </w:tblCellMar>
          <w:tblLook w:val="01E0"/>
        </w:tblPrEx>
        <w:trPr>
          <w:trHeight w:val="285"/>
        </w:trPr>
        <w:tc>
          <w:tcPr>
            <w:tcW w:w="1080" w:type="dxa"/>
          </w:tcPr>
          <w:p w:rsidR="004B491B" w:rsidRPr="00F06197" w14:paraId="3D59879F" w14:textId="77777777">
            <w:pPr>
              <w:pStyle w:val="TableParagraph"/>
              <w:spacing w:before="30"/>
              <w:ind w:right="96"/>
            </w:pPr>
            <w:r w:rsidRPr="00F06197">
              <w:rPr>
                <w:w w:val="99"/>
              </w:rPr>
              <w:t>5</w:t>
            </w:r>
          </w:p>
        </w:tc>
        <w:tc>
          <w:tcPr>
            <w:tcW w:w="2261" w:type="dxa"/>
          </w:tcPr>
          <w:p w:rsidR="004B491B" w:rsidRPr="00F06197" w14:paraId="3D5987A0" w14:textId="44AD82C9">
            <w:pPr>
              <w:pStyle w:val="TableParagraph"/>
              <w:spacing w:before="30"/>
              <w:ind w:right="96"/>
            </w:pPr>
            <w:r w:rsidRPr="00F06197">
              <w:rPr>
                <w:spacing w:val="-2"/>
              </w:rPr>
              <w:t>$</w:t>
            </w:r>
            <w:r w:rsidRPr="00F06197" w:rsidR="00D57027">
              <w:rPr>
                <w:spacing w:val="-2"/>
              </w:rPr>
              <w:t>21,934,500</w:t>
            </w:r>
          </w:p>
        </w:tc>
      </w:tr>
      <w:tr w14:paraId="3D5987A4" w14:textId="77777777">
        <w:tblPrEx>
          <w:tblW w:w="0" w:type="auto"/>
          <w:tblInd w:w="3114" w:type="dxa"/>
          <w:tblLayout w:type="fixed"/>
          <w:tblCellMar>
            <w:left w:w="0" w:type="dxa"/>
            <w:right w:w="0" w:type="dxa"/>
          </w:tblCellMar>
          <w:tblLook w:val="01E0"/>
        </w:tblPrEx>
        <w:trPr>
          <w:trHeight w:val="283"/>
        </w:trPr>
        <w:tc>
          <w:tcPr>
            <w:tcW w:w="1080" w:type="dxa"/>
          </w:tcPr>
          <w:p w:rsidR="004B491B" w:rsidRPr="00F06197" w14:paraId="3D5987A2" w14:textId="77777777">
            <w:pPr>
              <w:pStyle w:val="TableParagraph"/>
              <w:spacing w:before="30" w:line="234" w:lineRule="exact"/>
              <w:ind w:right="96"/>
            </w:pPr>
            <w:r w:rsidRPr="00F06197">
              <w:rPr>
                <w:w w:val="99"/>
              </w:rPr>
              <w:t>6</w:t>
            </w:r>
          </w:p>
        </w:tc>
        <w:tc>
          <w:tcPr>
            <w:tcW w:w="2261" w:type="dxa"/>
          </w:tcPr>
          <w:p w:rsidR="004B491B" w:rsidRPr="00F06197" w14:paraId="3D5987A3" w14:textId="4F7F3A6D">
            <w:pPr>
              <w:pStyle w:val="TableParagraph"/>
              <w:spacing w:before="30" w:line="234" w:lineRule="exact"/>
              <w:ind w:right="97"/>
            </w:pPr>
            <w:r w:rsidRPr="00F06197">
              <w:rPr>
                <w:spacing w:val="-2"/>
              </w:rPr>
              <w:t>$</w:t>
            </w:r>
            <w:r w:rsidRPr="00F06197" w:rsidR="0054760C">
              <w:rPr>
                <w:spacing w:val="-2"/>
              </w:rPr>
              <w:t>675,000</w:t>
            </w:r>
          </w:p>
        </w:tc>
      </w:tr>
      <w:tr w14:paraId="3D5987A7" w14:textId="77777777">
        <w:tblPrEx>
          <w:tblW w:w="0" w:type="auto"/>
          <w:tblInd w:w="3114" w:type="dxa"/>
          <w:tblLayout w:type="fixed"/>
          <w:tblCellMar>
            <w:left w:w="0" w:type="dxa"/>
            <w:right w:w="0" w:type="dxa"/>
          </w:tblCellMar>
          <w:tblLook w:val="01E0"/>
        </w:tblPrEx>
        <w:trPr>
          <w:trHeight w:val="285"/>
        </w:trPr>
        <w:tc>
          <w:tcPr>
            <w:tcW w:w="1080" w:type="dxa"/>
          </w:tcPr>
          <w:p w:rsidR="004B491B" w:rsidRPr="00F06197" w14:paraId="3D5987A5" w14:textId="77777777">
            <w:pPr>
              <w:pStyle w:val="TableParagraph"/>
              <w:spacing w:before="30"/>
              <w:ind w:right="96"/>
            </w:pPr>
            <w:r w:rsidRPr="00F06197">
              <w:rPr>
                <w:w w:val="99"/>
              </w:rPr>
              <w:t>7</w:t>
            </w:r>
          </w:p>
        </w:tc>
        <w:tc>
          <w:tcPr>
            <w:tcW w:w="2261" w:type="dxa"/>
          </w:tcPr>
          <w:p w:rsidR="004B491B" w:rsidRPr="00F06197" w14:paraId="3D5987A6" w14:textId="5EF14688">
            <w:pPr>
              <w:pStyle w:val="TableParagraph"/>
              <w:spacing w:before="30"/>
              <w:ind w:right="97"/>
            </w:pPr>
            <w:r w:rsidRPr="00F06197">
              <w:rPr>
                <w:spacing w:val="-2"/>
              </w:rPr>
              <w:t>$</w:t>
            </w:r>
            <w:r w:rsidRPr="00F06197" w:rsidR="0012400F">
              <w:rPr>
                <w:spacing w:val="-2"/>
              </w:rPr>
              <w:t>6,082,500</w:t>
            </w:r>
          </w:p>
        </w:tc>
      </w:tr>
      <w:tr w14:paraId="3D5987AA" w14:textId="77777777">
        <w:tblPrEx>
          <w:tblW w:w="0" w:type="auto"/>
          <w:tblInd w:w="3114" w:type="dxa"/>
          <w:tblLayout w:type="fixed"/>
          <w:tblCellMar>
            <w:left w:w="0" w:type="dxa"/>
            <w:right w:w="0" w:type="dxa"/>
          </w:tblCellMar>
          <w:tblLook w:val="01E0"/>
        </w:tblPrEx>
        <w:trPr>
          <w:trHeight w:val="285"/>
        </w:trPr>
        <w:tc>
          <w:tcPr>
            <w:tcW w:w="1080" w:type="dxa"/>
          </w:tcPr>
          <w:p w:rsidR="004B491B" w:rsidRPr="00F06197" w14:paraId="3D5987A8" w14:textId="77777777">
            <w:pPr>
              <w:pStyle w:val="TableParagraph"/>
              <w:spacing w:before="30"/>
              <w:ind w:left="107"/>
              <w:jc w:val="left"/>
            </w:pPr>
            <w:r w:rsidRPr="00F06197">
              <w:rPr>
                <w:spacing w:val="-2"/>
              </w:rPr>
              <w:t>Total</w:t>
            </w:r>
          </w:p>
        </w:tc>
        <w:tc>
          <w:tcPr>
            <w:tcW w:w="2261" w:type="dxa"/>
          </w:tcPr>
          <w:p w:rsidR="004B491B" w:rsidRPr="00F06197" w14:paraId="3D5987A9" w14:textId="692BAE90">
            <w:pPr>
              <w:pStyle w:val="TableParagraph"/>
              <w:spacing w:before="31" w:line="234" w:lineRule="exact"/>
              <w:ind w:right="96"/>
              <w:rPr>
                <w:b/>
              </w:rPr>
            </w:pPr>
            <w:r w:rsidRPr="00F06197">
              <w:rPr>
                <w:b/>
                <w:spacing w:val="-2"/>
              </w:rPr>
              <w:t>$</w:t>
            </w:r>
            <w:bookmarkStart w:id="0" w:name="_Hlk156223783"/>
            <w:r w:rsidRPr="00F06197" w:rsidR="0012400F">
              <w:rPr>
                <w:b/>
                <w:spacing w:val="-2"/>
              </w:rPr>
              <w:t>72,124,200</w:t>
            </w:r>
            <w:bookmarkEnd w:id="0"/>
          </w:p>
        </w:tc>
      </w:tr>
    </w:tbl>
    <w:p w:rsidR="004B491B" w:rsidRPr="00F06197" w14:paraId="3D5987AB" w14:textId="77777777">
      <w:pPr>
        <w:pStyle w:val="BodyText"/>
      </w:pPr>
    </w:p>
    <w:p w:rsidR="004749C8" w14:paraId="3D5987AC" w14:textId="5AA838FD">
      <w:r>
        <w:br w:type="page"/>
      </w:r>
    </w:p>
    <w:p w:rsidR="004B491B" w:rsidRPr="00F06197" w14:paraId="3D5987AD" w14:textId="77777777">
      <w:pPr>
        <w:pStyle w:val="ListParagraph"/>
        <w:numPr>
          <w:ilvl w:val="1"/>
          <w:numId w:val="2"/>
        </w:numPr>
        <w:tabs>
          <w:tab w:val="left" w:pos="1088"/>
        </w:tabs>
        <w:ind w:left="1088" w:hanging="449"/>
      </w:pPr>
      <w:r w:rsidRPr="00F06197">
        <w:rPr>
          <w:u w:val="single"/>
        </w:rPr>
        <w:t>Reasons</w:t>
      </w:r>
      <w:r w:rsidRPr="00F06197">
        <w:rPr>
          <w:spacing w:val="-6"/>
          <w:u w:val="single"/>
        </w:rPr>
        <w:t xml:space="preserve"> </w:t>
      </w:r>
      <w:r w:rsidRPr="00F06197">
        <w:rPr>
          <w:u w:val="single"/>
        </w:rPr>
        <w:t>for</w:t>
      </w:r>
      <w:r w:rsidRPr="00F06197">
        <w:rPr>
          <w:spacing w:val="-6"/>
          <w:u w:val="single"/>
        </w:rPr>
        <w:t xml:space="preserve"> </w:t>
      </w:r>
      <w:r w:rsidRPr="00F06197">
        <w:rPr>
          <w:u w:val="single"/>
        </w:rPr>
        <w:t>Changes</w:t>
      </w:r>
      <w:r w:rsidRPr="00F06197">
        <w:rPr>
          <w:spacing w:val="-5"/>
          <w:u w:val="single"/>
        </w:rPr>
        <w:t xml:space="preserve"> </w:t>
      </w:r>
      <w:r w:rsidRPr="00F06197">
        <w:rPr>
          <w:u w:val="single"/>
        </w:rPr>
        <w:t>in</w:t>
      </w:r>
      <w:r w:rsidRPr="00F06197">
        <w:rPr>
          <w:spacing w:val="-7"/>
          <w:u w:val="single"/>
        </w:rPr>
        <w:t xml:space="preserve"> </w:t>
      </w:r>
      <w:r w:rsidRPr="00F06197">
        <w:rPr>
          <w:u w:val="single"/>
        </w:rPr>
        <w:t>Burden</w:t>
      </w:r>
      <w:r w:rsidRPr="00F06197">
        <w:rPr>
          <w:spacing w:val="-5"/>
          <w:u w:val="single"/>
        </w:rPr>
        <w:t xml:space="preserve"> </w:t>
      </w:r>
      <w:r w:rsidRPr="00F06197">
        <w:rPr>
          <w:u w:val="single"/>
        </w:rPr>
        <w:t>or</w:t>
      </w:r>
      <w:r w:rsidRPr="00F06197">
        <w:rPr>
          <w:spacing w:val="-5"/>
          <w:u w:val="single"/>
        </w:rPr>
        <w:t xml:space="preserve"> </w:t>
      </w:r>
      <w:r w:rsidRPr="00F06197">
        <w:rPr>
          <w:spacing w:val="-4"/>
          <w:u w:val="single"/>
        </w:rPr>
        <w:t>Cost</w:t>
      </w:r>
    </w:p>
    <w:p w:rsidR="004B491B" w:rsidRPr="00F06197" w14:paraId="3D5987AE" w14:textId="77777777">
      <w:pPr>
        <w:pStyle w:val="BodyText"/>
      </w:pPr>
    </w:p>
    <w:p w:rsidR="004B491B" w:rsidRPr="00F06197" w14:paraId="3D5987AF" w14:textId="77777777">
      <w:pPr>
        <w:pStyle w:val="BodyText"/>
        <w:spacing w:before="92"/>
        <w:ind w:left="1089" w:right="222"/>
      </w:pPr>
      <w:r w:rsidRPr="00F06197">
        <w:t>The</w:t>
      </w:r>
      <w:r w:rsidRPr="00F06197">
        <w:rPr>
          <w:spacing w:val="-3"/>
        </w:rPr>
        <w:t xml:space="preserve"> </w:t>
      </w:r>
      <w:r w:rsidRPr="00F06197">
        <w:t>burden</w:t>
      </w:r>
      <w:r w:rsidRPr="00F06197">
        <w:rPr>
          <w:spacing w:val="-3"/>
        </w:rPr>
        <w:t xml:space="preserve"> </w:t>
      </w:r>
      <w:r w:rsidRPr="00F06197">
        <w:t>and</w:t>
      </w:r>
      <w:r w:rsidRPr="00F06197">
        <w:rPr>
          <w:spacing w:val="-3"/>
        </w:rPr>
        <w:t xml:space="preserve"> </w:t>
      </w:r>
      <w:r w:rsidRPr="00F06197">
        <w:t>number</w:t>
      </w:r>
      <w:r w:rsidRPr="00F06197">
        <w:rPr>
          <w:spacing w:val="-3"/>
        </w:rPr>
        <w:t xml:space="preserve"> </w:t>
      </w:r>
      <w:r w:rsidRPr="00F06197">
        <w:t>of</w:t>
      </w:r>
      <w:r w:rsidRPr="00F06197">
        <w:rPr>
          <w:spacing w:val="-3"/>
        </w:rPr>
        <w:t xml:space="preserve"> </w:t>
      </w:r>
      <w:r w:rsidRPr="00F06197">
        <w:t>responses</w:t>
      </w:r>
      <w:r w:rsidRPr="00F06197">
        <w:rPr>
          <w:spacing w:val="-3"/>
        </w:rPr>
        <w:t xml:space="preserve"> </w:t>
      </w:r>
      <w:r w:rsidRPr="00F06197">
        <w:t>have</w:t>
      </w:r>
      <w:r w:rsidRPr="00F06197">
        <w:rPr>
          <w:spacing w:val="-3"/>
        </w:rPr>
        <w:t xml:space="preserve"> </w:t>
      </w:r>
      <w:r w:rsidRPr="00F06197">
        <w:t>changed</w:t>
      </w:r>
      <w:r w:rsidRPr="00F06197">
        <w:rPr>
          <w:spacing w:val="-3"/>
        </w:rPr>
        <w:t xml:space="preserve"> </w:t>
      </w:r>
      <w:r w:rsidRPr="00F06197">
        <w:t>as</w:t>
      </w:r>
      <w:r w:rsidRPr="00F06197">
        <w:rPr>
          <w:spacing w:val="-3"/>
        </w:rPr>
        <w:t xml:space="preserve"> </w:t>
      </w:r>
      <w:r w:rsidRPr="00F06197">
        <w:t>described</w:t>
      </w:r>
      <w:r w:rsidRPr="00F06197">
        <w:rPr>
          <w:spacing w:val="-3"/>
        </w:rPr>
        <w:t xml:space="preserve"> </w:t>
      </w:r>
      <w:r w:rsidRPr="00F06197">
        <w:t>in</w:t>
      </w:r>
      <w:r w:rsidRPr="00F06197">
        <w:rPr>
          <w:spacing w:val="-3"/>
        </w:rPr>
        <w:t xml:space="preserve"> </w:t>
      </w:r>
      <w:r w:rsidRPr="00F06197">
        <w:t>the</w:t>
      </w:r>
      <w:r w:rsidRPr="00F06197">
        <w:rPr>
          <w:spacing w:val="-3"/>
        </w:rPr>
        <w:t xml:space="preserve"> </w:t>
      </w:r>
      <w:r w:rsidRPr="00F06197">
        <w:t xml:space="preserve">tables </w:t>
      </w:r>
      <w:r w:rsidRPr="00F06197">
        <w:rPr>
          <w:spacing w:val="-2"/>
        </w:rPr>
        <w:t>below:</w:t>
      </w:r>
    </w:p>
    <w:p w:rsidR="004B491B" w:rsidRPr="00F06197" w14:paraId="3D5987B0" w14:textId="77777777">
      <w:pPr>
        <w:pStyle w:val="BodyText"/>
        <w:spacing w:before="1"/>
      </w:pPr>
    </w:p>
    <w:p w:rsidR="004B491B" w:rsidRPr="00F06197" w14:paraId="3D5987B1" w14:textId="77777777">
      <w:pPr>
        <w:ind w:left="1300"/>
        <w:rPr>
          <w:b/>
        </w:rPr>
      </w:pPr>
      <w:r w:rsidRPr="00F06197">
        <w:rPr>
          <w:b/>
        </w:rPr>
        <w:t>Burden</w:t>
      </w:r>
      <w:r w:rsidRPr="00F06197">
        <w:rPr>
          <w:b/>
          <w:spacing w:val="-8"/>
        </w:rPr>
        <w:t xml:space="preserve"> </w:t>
      </w:r>
      <w:r w:rsidRPr="00F06197">
        <w:rPr>
          <w:b/>
          <w:spacing w:val="-2"/>
        </w:rPr>
        <w:t>change</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70"/>
        <w:gridCol w:w="2003"/>
        <w:gridCol w:w="2044"/>
        <w:gridCol w:w="1935"/>
      </w:tblGrid>
      <w:tr w14:paraId="3D5987B6" w14:textId="77777777">
        <w:tblPrEx>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2170" w:type="dxa"/>
          </w:tcPr>
          <w:p w:rsidR="004B491B" w:rsidRPr="00F06197" w14:paraId="3D5987B2" w14:textId="77777777">
            <w:pPr>
              <w:pStyle w:val="TableParagraph"/>
              <w:spacing w:line="240" w:lineRule="auto"/>
              <w:jc w:val="left"/>
            </w:pPr>
          </w:p>
        </w:tc>
        <w:tc>
          <w:tcPr>
            <w:tcW w:w="2003" w:type="dxa"/>
          </w:tcPr>
          <w:p w:rsidR="004B491B" w:rsidRPr="00F06197" w14:paraId="3D5987B3" w14:textId="77777777">
            <w:pPr>
              <w:pStyle w:val="TableParagraph"/>
              <w:spacing w:line="250" w:lineRule="exact"/>
              <w:ind w:left="107"/>
              <w:jc w:val="left"/>
            </w:pPr>
            <w:r w:rsidRPr="00F06197">
              <w:t>Previous</w:t>
            </w:r>
            <w:r w:rsidRPr="00F06197">
              <w:rPr>
                <w:spacing w:val="-10"/>
              </w:rPr>
              <w:t xml:space="preserve"> </w:t>
            </w:r>
            <w:r w:rsidRPr="00F06197">
              <w:rPr>
                <w:spacing w:val="-2"/>
              </w:rPr>
              <w:t>total</w:t>
            </w:r>
          </w:p>
        </w:tc>
        <w:tc>
          <w:tcPr>
            <w:tcW w:w="2044" w:type="dxa"/>
          </w:tcPr>
          <w:p w:rsidR="004B491B" w:rsidRPr="00F06197" w14:paraId="3D5987B4" w14:textId="77777777">
            <w:pPr>
              <w:pStyle w:val="TableParagraph"/>
              <w:spacing w:line="254" w:lineRule="exact"/>
              <w:ind w:left="107" w:right="147" w:hanging="1"/>
              <w:jc w:val="left"/>
            </w:pPr>
            <w:r w:rsidRPr="00F06197">
              <w:rPr>
                <w:spacing w:val="-2"/>
              </w:rPr>
              <w:t>Current submission</w:t>
            </w:r>
          </w:p>
        </w:tc>
        <w:tc>
          <w:tcPr>
            <w:tcW w:w="1935" w:type="dxa"/>
          </w:tcPr>
          <w:p w:rsidR="004B491B" w:rsidRPr="00F06197" w14:paraId="3D5987B5" w14:textId="77777777">
            <w:pPr>
              <w:pStyle w:val="TableParagraph"/>
              <w:spacing w:line="250" w:lineRule="exact"/>
              <w:ind w:left="106"/>
              <w:jc w:val="left"/>
            </w:pPr>
            <w:r w:rsidRPr="00F06197">
              <w:rPr>
                <w:spacing w:val="-2"/>
              </w:rPr>
              <w:t>Change</w:t>
            </w:r>
          </w:p>
        </w:tc>
      </w:tr>
      <w:tr w14:paraId="3D5987BB" w14:textId="77777777">
        <w:tblPrEx>
          <w:tblW w:w="0" w:type="auto"/>
          <w:tblInd w:w="1310" w:type="dxa"/>
          <w:tblLayout w:type="fixed"/>
          <w:tblCellMar>
            <w:left w:w="0" w:type="dxa"/>
            <w:right w:w="0" w:type="dxa"/>
          </w:tblCellMar>
          <w:tblLook w:val="01E0"/>
        </w:tblPrEx>
        <w:trPr>
          <w:trHeight w:val="250"/>
        </w:trPr>
        <w:tc>
          <w:tcPr>
            <w:tcW w:w="2170" w:type="dxa"/>
          </w:tcPr>
          <w:p w:rsidR="004B491B" w:rsidRPr="00F06197" w14:paraId="3D5987B7" w14:textId="77777777">
            <w:pPr>
              <w:pStyle w:val="TableParagraph"/>
              <w:spacing w:line="231" w:lineRule="exact"/>
              <w:ind w:left="107"/>
              <w:jc w:val="left"/>
            </w:pPr>
            <w:r w:rsidRPr="00F06197">
              <w:rPr>
                <w:spacing w:val="-2"/>
              </w:rPr>
              <w:t>Reporting</w:t>
            </w:r>
          </w:p>
        </w:tc>
        <w:tc>
          <w:tcPr>
            <w:tcW w:w="2003" w:type="dxa"/>
          </w:tcPr>
          <w:p w:rsidR="004B491B" w:rsidRPr="00F06197" w14:paraId="3D5987B8" w14:textId="4414592D">
            <w:pPr>
              <w:pStyle w:val="TableParagraph"/>
              <w:spacing w:line="231" w:lineRule="exact"/>
              <w:ind w:right="97"/>
            </w:pPr>
            <w:r w:rsidRPr="00F06197">
              <w:t>1</w:t>
            </w:r>
            <w:r w:rsidRPr="00F06197" w:rsidR="00114983">
              <w:t>,</w:t>
            </w:r>
            <w:r w:rsidRPr="00F06197">
              <w:t>184</w:t>
            </w:r>
            <w:r w:rsidRPr="00F06197" w:rsidR="00114983">
              <w:t>,</w:t>
            </w:r>
            <w:r w:rsidRPr="00F06197">
              <w:t>556</w:t>
            </w:r>
          </w:p>
        </w:tc>
        <w:tc>
          <w:tcPr>
            <w:tcW w:w="2044" w:type="dxa"/>
          </w:tcPr>
          <w:p w:rsidR="004B491B" w:rsidRPr="00F06197" w14:paraId="3D5987B9" w14:textId="725ACE55">
            <w:pPr>
              <w:pStyle w:val="TableParagraph"/>
              <w:spacing w:line="231" w:lineRule="exact"/>
              <w:ind w:right="97"/>
            </w:pPr>
            <w:r w:rsidRPr="00F06197">
              <w:t>1,6</w:t>
            </w:r>
            <w:r w:rsidRPr="00F06197" w:rsidR="00F35C4C">
              <w:t>27</w:t>
            </w:r>
            <w:r w:rsidRPr="00F06197">
              <w:t>,</w:t>
            </w:r>
            <w:r w:rsidRPr="00F06197" w:rsidR="00F35C4C">
              <w:t>4</w:t>
            </w:r>
            <w:r w:rsidRPr="00F06197">
              <w:t>59</w:t>
            </w:r>
          </w:p>
        </w:tc>
        <w:tc>
          <w:tcPr>
            <w:tcW w:w="1935" w:type="dxa"/>
          </w:tcPr>
          <w:p w:rsidR="004B491B" w:rsidRPr="00F06197" w14:paraId="3D5987BA" w14:textId="7D99F11A">
            <w:pPr>
              <w:pStyle w:val="TableParagraph"/>
              <w:spacing w:line="231" w:lineRule="exact"/>
              <w:ind w:right="98"/>
            </w:pPr>
            <w:r w:rsidRPr="00F06197">
              <w:t>+4</w:t>
            </w:r>
            <w:r w:rsidRPr="00F06197" w:rsidR="00F35C4C">
              <w:t>42</w:t>
            </w:r>
            <w:r w:rsidRPr="00F06197" w:rsidR="004B2561">
              <w:t>,</w:t>
            </w:r>
            <w:r w:rsidRPr="00F06197" w:rsidR="00F35C4C">
              <w:t>903</w:t>
            </w:r>
          </w:p>
        </w:tc>
      </w:tr>
      <w:tr w14:paraId="3D5987C0" w14:textId="77777777">
        <w:tblPrEx>
          <w:tblW w:w="0" w:type="auto"/>
          <w:tblInd w:w="1310" w:type="dxa"/>
          <w:tblLayout w:type="fixed"/>
          <w:tblCellMar>
            <w:left w:w="0" w:type="dxa"/>
            <w:right w:w="0" w:type="dxa"/>
          </w:tblCellMar>
          <w:tblLook w:val="01E0"/>
        </w:tblPrEx>
        <w:trPr>
          <w:trHeight w:val="252"/>
        </w:trPr>
        <w:tc>
          <w:tcPr>
            <w:tcW w:w="2170" w:type="dxa"/>
          </w:tcPr>
          <w:p w:rsidR="004B491B" w:rsidRPr="00F06197" w14:paraId="3D5987BC" w14:textId="77777777">
            <w:pPr>
              <w:pStyle w:val="TableParagraph"/>
              <w:spacing w:line="233" w:lineRule="exact"/>
              <w:ind w:left="107"/>
              <w:jc w:val="left"/>
            </w:pPr>
            <w:r w:rsidRPr="00F06197">
              <w:rPr>
                <w:spacing w:val="-2"/>
              </w:rPr>
              <w:t>Recordkeeping</w:t>
            </w:r>
          </w:p>
        </w:tc>
        <w:tc>
          <w:tcPr>
            <w:tcW w:w="2003" w:type="dxa"/>
          </w:tcPr>
          <w:p w:rsidR="004B491B" w:rsidRPr="00F06197" w14:paraId="3D5987BD" w14:textId="3C962369">
            <w:pPr>
              <w:pStyle w:val="TableParagraph"/>
              <w:spacing w:line="233" w:lineRule="exact"/>
              <w:ind w:right="97"/>
            </w:pPr>
            <w:r w:rsidRPr="00F06197">
              <w:t>2</w:t>
            </w:r>
            <w:r w:rsidRPr="00F06197" w:rsidR="00114983">
              <w:t>,</w:t>
            </w:r>
            <w:r w:rsidRPr="00F06197">
              <w:t>448</w:t>
            </w:r>
            <w:r w:rsidRPr="00F06197" w:rsidR="00114983">
              <w:t>,</w:t>
            </w:r>
            <w:r w:rsidRPr="00F06197">
              <w:t>598</w:t>
            </w:r>
          </w:p>
        </w:tc>
        <w:tc>
          <w:tcPr>
            <w:tcW w:w="2044" w:type="dxa"/>
          </w:tcPr>
          <w:p w:rsidR="004B491B" w:rsidRPr="00F06197" w14:paraId="3D5987BE" w14:textId="32FABC79">
            <w:pPr>
              <w:pStyle w:val="TableParagraph"/>
              <w:spacing w:line="233" w:lineRule="exact"/>
              <w:ind w:right="98"/>
            </w:pPr>
            <w:r w:rsidRPr="00F06197">
              <w:t>2,086,94</w:t>
            </w:r>
            <w:r w:rsidRPr="00F06197" w:rsidR="00796999">
              <w:t>7</w:t>
            </w:r>
          </w:p>
        </w:tc>
        <w:tc>
          <w:tcPr>
            <w:tcW w:w="1935" w:type="dxa"/>
          </w:tcPr>
          <w:p w:rsidR="004B491B" w:rsidRPr="00F06197" w14:paraId="3D5987BF" w14:textId="770D46A1">
            <w:pPr>
              <w:pStyle w:val="TableParagraph"/>
              <w:spacing w:line="233" w:lineRule="exact"/>
              <w:ind w:right="98"/>
            </w:pPr>
            <w:r w:rsidRPr="00F06197">
              <w:t>-3</w:t>
            </w:r>
            <w:r w:rsidRPr="00F06197" w:rsidR="004B2561">
              <w:t>61,65</w:t>
            </w:r>
            <w:r w:rsidRPr="00F06197" w:rsidR="00796999">
              <w:t>1</w:t>
            </w:r>
          </w:p>
        </w:tc>
      </w:tr>
      <w:tr w14:paraId="3D5987C5" w14:textId="77777777">
        <w:tblPrEx>
          <w:tblW w:w="0" w:type="auto"/>
          <w:tblInd w:w="1310" w:type="dxa"/>
          <w:tblLayout w:type="fixed"/>
          <w:tblCellMar>
            <w:left w:w="0" w:type="dxa"/>
            <w:right w:w="0" w:type="dxa"/>
          </w:tblCellMar>
          <w:tblLook w:val="01E0"/>
        </w:tblPrEx>
        <w:trPr>
          <w:trHeight w:val="506"/>
        </w:trPr>
        <w:tc>
          <w:tcPr>
            <w:tcW w:w="2170" w:type="dxa"/>
          </w:tcPr>
          <w:p w:rsidR="004B491B" w:rsidRPr="00F06197" w14:paraId="3D5987C1" w14:textId="77777777">
            <w:pPr>
              <w:pStyle w:val="TableParagraph"/>
              <w:spacing w:line="252" w:lineRule="exact"/>
              <w:ind w:left="107" w:right="973"/>
              <w:jc w:val="left"/>
            </w:pPr>
            <w:r w:rsidRPr="00F06197">
              <w:t>Third</w:t>
            </w:r>
            <w:r w:rsidRPr="00F06197">
              <w:rPr>
                <w:spacing w:val="-16"/>
              </w:rPr>
              <w:t xml:space="preserve"> </w:t>
            </w:r>
            <w:r w:rsidRPr="00F06197">
              <w:t xml:space="preserve">Party </w:t>
            </w:r>
            <w:r w:rsidRPr="00F06197">
              <w:rPr>
                <w:spacing w:val="-2"/>
              </w:rPr>
              <w:t>Disclosure</w:t>
            </w:r>
          </w:p>
        </w:tc>
        <w:tc>
          <w:tcPr>
            <w:tcW w:w="2003" w:type="dxa"/>
          </w:tcPr>
          <w:p w:rsidR="004B491B" w:rsidRPr="00F06197" w14:paraId="3D5987C2" w14:textId="72E586C0">
            <w:pPr>
              <w:pStyle w:val="TableParagraph"/>
              <w:spacing w:before="124" w:line="240" w:lineRule="auto"/>
              <w:ind w:right="96"/>
            </w:pPr>
            <w:r w:rsidRPr="00F06197">
              <w:t>200</w:t>
            </w:r>
          </w:p>
        </w:tc>
        <w:tc>
          <w:tcPr>
            <w:tcW w:w="2044" w:type="dxa"/>
          </w:tcPr>
          <w:p w:rsidR="004B491B" w:rsidRPr="00F06197" w14:paraId="3D5987C3" w14:textId="6A6F6DCE">
            <w:pPr>
              <w:pStyle w:val="TableParagraph"/>
              <w:spacing w:before="124" w:line="240" w:lineRule="auto"/>
              <w:ind w:right="97"/>
            </w:pPr>
            <w:r w:rsidRPr="00F06197">
              <w:t>0</w:t>
            </w:r>
          </w:p>
        </w:tc>
        <w:tc>
          <w:tcPr>
            <w:tcW w:w="1935" w:type="dxa"/>
          </w:tcPr>
          <w:p w:rsidR="004B491B" w:rsidRPr="00F06197" w14:paraId="3D5987C4" w14:textId="194078D9">
            <w:pPr>
              <w:pStyle w:val="TableParagraph"/>
              <w:spacing w:before="124" w:line="240" w:lineRule="auto"/>
              <w:ind w:right="98"/>
            </w:pPr>
            <w:r w:rsidRPr="00F06197">
              <w:t>-200</w:t>
            </w:r>
          </w:p>
        </w:tc>
      </w:tr>
      <w:tr w14:paraId="3D5987CA" w14:textId="77777777">
        <w:tblPrEx>
          <w:tblW w:w="0" w:type="auto"/>
          <w:tblInd w:w="1310" w:type="dxa"/>
          <w:tblLayout w:type="fixed"/>
          <w:tblCellMar>
            <w:left w:w="0" w:type="dxa"/>
            <w:right w:w="0" w:type="dxa"/>
          </w:tblCellMar>
          <w:tblLook w:val="01E0"/>
        </w:tblPrEx>
        <w:trPr>
          <w:trHeight w:val="253"/>
        </w:trPr>
        <w:tc>
          <w:tcPr>
            <w:tcW w:w="2170" w:type="dxa"/>
          </w:tcPr>
          <w:p w:rsidR="004B491B" w:rsidRPr="00F06197" w14:paraId="3D5987C6" w14:textId="77777777">
            <w:pPr>
              <w:pStyle w:val="TableParagraph"/>
              <w:spacing w:line="234" w:lineRule="exact"/>
              <w:ind w:left="107"/>
              <w:jc w:val="left"/>
            </w:pPr>
            <w:r w:rsidRPr="00F06197">
              <w:rPr>
                <w:spacing w:val="-2"/>
              </w:rPr>
              <w:t>Total</w:t>
            </w:r>
          </w:p>
        </w:tc>
        <w:tc>
          <w:tcPr>
            <w:tcW w:w="2003" w:type="dxa"/>
          </w:tcPr>
          <w:p w:rsidR="004B491B" w:rsidRPr="00F06197" w14:paraId="3D5987C7" w14:textId="16F89423">
            <w:pPr>
              <w:pStyle w:val="TableParagraph"/>
              <w:spacing w:line="234" w:lineRule="exact"/>
              <w:ind w:right="97"/>
            </w:pPr>
            <w:r w:rsidRPr="00F06197">
              <w:t>3</w:t>
            </w:r>
            <w:r w:rsidRPr="00F06197" w:rsidR="00054C96">
              <w:t>,</w:t>
            </w:r>
            <w:r w:rsidRPr="00F06197">
              <w:t>633</w:t>
            </w:r>
            <w:r w:rsidRPr="00F06197" w:rsidR="00054C96">
              <w:t>,</w:t>
            </w:r>
            <w:r w:rsidRPr="00F06197">
              <w:t>35</w:t>
            </w:r>
            <w:r w:rsidR="005F315E">
              <w:t>4</w:t>
            </w:r>
          </w:p>
        </w:tc>
        <w:tc>
          <w:tcPr>
            <w:tcW w:w="2044" w:type="dxa"/>
          </w:tcPr>
          <w:p w:rsidR="004B491B" w:rsidRPr="00F06197" w14:paraId="3D5987C8" w14:textId="7DEA2021">
            <w:pPr>
              <w:pStyle w:val="TableParagraph"/>
              <w:spacing w:line="234" w:lineRule="exact"/>
              <w:ind w:right="98"/>
            </w:pPr>
            <w:r w:rsidRPr="00F06197">
              <w:t>3,7</w:t>
            </w:r>
            <w:r w:rsidRPr="00F06197" w:rsidR="00F35C4C">
              <w:t>14</w:t>
            </w:r>
            <w:r w:rsidRPr="00F06197" w:rsidR="004B2561">
              <w:t>,</w:t>
            </w:r>
            <w:r w:rsidRPr="00F06197" w:rsidR="00F35C4C">
              <w:t>40</w:t>
            </w:r>
            <w:r w:rsidRPr="00F06197" w:rsidR="00796999">
              <w:t>6</w:t>
            </w:r>
          </w:p>
        </w:tc>
        <w:tc>
          <w:tcPr>
            <w:tcW w:w="1935" w:type="dxa"/>
          </w:tcPr>
          <w:p w:rsidR="004B491B" w:rsidRPr="00F06197" w14:paraId="3D5987C9" w14:textId="7AF88EC8">
            <w:pPr>
              <w:pStyle w:val="TableParagraph"/>
              <w:spacing w:line="234" w:lineRule="exact"/>
              <w:ind w:right="98"/>
            </w:pPr>
            <w:r w:rsidRPr="00F06197">
              <w:t>+</w:t>
            </w:r>
            <w:r w:rsidRPr="00F06197" w:rsidR="0045216A">
              <w:t>81,05</w:t>
            </w:r>
            <w:r w:rsidR="007A47F0">
              <w:t>2</w:t>
            </w:r>
          </w:p>
        </w:tc>
      </w:tr>
    </w:tbl>
    <w:p w:rsidR="004B491B" w:rsidRPr="00F06197" w14:paraId="3D5987CB" w14:textId="77777777">
      <w:pPr>
        <w:pStyle w:val="BodyText"/>
        <w:spacing w:before="1"/>
        <w:rPr>
          <w:b/>
        </w:rPr>
      </w:pPr>
    </w:p>
    <w:p w:rsidR="004B491B" w:rsidRPr="00F06197" w14:paraId="3D5987CC" w14:textId="77777777">
      <w:pPr>
        <w:ind w:left="1300"/>
        <w:rPr>
          <w:b/>
        </w:rPr>
      </w:pPr>
      <w:r w:rsidRPr="00F06197">
        <w:rPr>
          <w:b/>
        </w:rPr>
        <w:t>Change</w:t>
      </w:r>
      <w:r w:rsidRPr="00F06197">
        <w:rPr>
          <w:b/>
          <w:spacing w:val="-6"/>
        </w:rPr>
        <w:t xml:space="preserve"> </w:t>
      </w:r>
      <w:r w:rsidRPr="00F06197">
        <w:rPr>
          <w:b/>
        </w:rPr>
        <w:t>in</w:t>
      </w:r>
      <w:r w:rsidRPr="00F06197">
        <w:rPr>
          <w:b/>
          <w:spacing w:val="-5"/>
        </w:rPr>
        <w:t xml:space="preserve"> </w:t>
      </w:r>
      <w:r w:rsidRPr="00F06197">
        <w:rPr>
          <w:b/>
          <w:spacing w:val="-2"/>
        </w:rPr>
        <w:t>Responses</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71"/>
        <w:gridCol w:w="1995"/>
        <w:gridCol w:w="2048"/>
        <w:gridCol w:w="1939"/>
      </w:tblGrid>
      <w:tr w14:paraId="3D5987D1" w14:textId="77777777">
        <w:tblPrEx>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2171" w:type="dxa"/>
          </w:tcPr>
          <w:p w:rsidR="004B491B" w:rsidRPr="00F06197" w14:paraId="3D5987CD" w14:textId="77777777">
            <w:pPr>
              <w:pStyle w:val="TableParagraph"/>
              <w:spacing w:line="240" w:lineRule="auto"/>
              <w:jc w:val="left"/>
            </w:pPr>
          </w:p>
        </w:tc>
        <w:tc>
          <w:tcPr>
            <w:tcW w:w="1995" w:type="dxa"/>
          </w:tcPr>
          <w:p w:rsidR="004B491B" w:rsidRPr="00F06197" w14:paraId="3D5987CE" w14:textId="77777777">
            <w:pPr>
              <w:pStyle w:val="TableParagraph"/>
              <w:spacing w:line="252" w:lineRule="exact"/>
              <w:ind w:left="107"/>
              <w:jc w:val="left"/>
            </w:pPr>
            <w:r w:rsidRPr="00F06197">
              <w:t>Previous</w:t>
            </w:r>
            <w:r w:rsidRPr="00F06197">
              <w:rPr>
                <w:spacing w:val="-10"/>
              </w:rPr>
              <w:t xml:space="preserve"> </w:t>
            </w:r>
            <w:r w:rsidRPr="00F06197">
              <w:rPr>
                <w:spacing w:val="-2"/>
              </w:rPr>
              <w:t>total</w:t>
            </w:r>
          </w:p>
        </w:tc>
        <w:tc>
          <w:tcPr>
            <w:tcW w:w="2048" w:type="dxa"/>
          </w:tcPr>
          <w:p w:rsidR="004B491B" w:rsidRPr="00F06197" w14:paraId="3D5987CF" w14:textId="77777777">
            <w:pPr>
              <w:pStyle w:val="TableParagraph"/>
              <w:spacing w:line="252" w:lineRule="exact"/>
              <w:ind w:left="107" w:right="151" w:hanging="1"/>
              <w:jc w:val="left"/>
            </w:pPr>
            <w:r w:rsidRPr="00F06197">
              <w:rPr>
                <w:spacing w:val="-2"/>
              </w:rPr>
              <w:t>Current submission</w:t>
            </w:r>
          </w:p>
        </w:tc>
        <w:tc>
          <w:tcPr>
            <w:tcW w:w="1939" w:type="dxa"/>
          </w:tcPr>
          <w:p w:rsidR="004B491B" w:rsidRPr="00F06197" w14:paraId="3D5987D0" w14:textId="77777777">
            <w:pPr>
              <w:pStyle w:val="TableParagraph"/>
              <w:spacing w:line="252" w:lineRule="exact"/>
              <w:ind w:left="106"/>
              <w:jc w:val="left"/>
            </w:pPr>
            <w:r w:rsidRPr="00F06197">
              <w:rPr>
                <w:spacing w:val="-2"/>
              </w:rPr>
              <w:t>Change</w:t>
            </w:r>
          </w:p>
        </w:tc>
      </w:tr>
      <w:tr w14:paraId="3D5987D6" w14:textId="77777777">
        <w:tblPrEx>
          <w:tblW w:w="0" w:type="auto"/>
          <w:tblInd w:w="1310" w:type="dxa"/>
          <w:tblLayout w:type="fixed"/>
          <w:tblCellMar>
            <w:left w:w="0" w:type="dxa"/>
            <w:right w:w="0" w:type="dxa"/>
          </w:tblCellMar>
          <w:tblLook w:val="01E0"/>
        </w:tblPrEx>
        <w:trPr>
          <w:trHeight w:val="252"/>
        </w:trPr>
        <w:tc>
          <w:tcPr>
            <w:tcW w:w="2171" w:type="dxa"/>
          </w:tcPr>
          <w:p w:rsidR="004B491B" w:rsidRPr="00F06197" w14:paraId="3D5987D2" w14:textId="77777777">
            <w:pPr>
              <w:pStyle w:val="TableParagraph"/>
              <w:spacing w:line="233" w:lineRule="exact"/>
              <w:ind w:left="107"/>
              <w:jc w:val="left"/>
            </w:pPr>
            <w:r w:rsidRPr="00F06197">
              <w:rPr>
                <w:spacing w:val="-2"/>
              </w:rPr>
              <w:t>Reporting</w:t>
            </w:r>
          </w:p>
        </w:tc>
        <w:tc>
          <w:tcPr>
            <w:tcW w:w="1995" w:type="dxa"/>
          </w:tcPr>
          <w:p w:rsidR="004B491B" w:rsidRPr="00F06197" w14:paraId="3D5987D3" w14:textId="67410C94">
            <w:pPr>
              <w:pStyle w:val="TableParagraph"/>
              <w:spacing w:line="233" w:lineRule="exact"/>
              <w:ind w:right="97"/>
            </w:pPr>
            <w:r w:rsidRPr="00F06197">
              <w:t>42,025</w:t>
            </w:r>
          </w:p>
        </w:tc>
        <w:tc>
          <w:tcPr>
            <w:tcW w:w="2048" w:type="dxa"/>
          </w:tcPr>
          <w:p w:rsidR="004B491B" w:rsidRPr="00F06197" w14:paraId="3D5987D4" w14:textId="302A51FD">
            <w:pPr>
              <w:pStyle w:val="TableParagraph"/>
              <w:spacing w:line="233" w:lineRule="exact"/>
              <w:ind w:right="98"/>
            </w:pPr>
            <w:r w:rsidRPr="00F06197">
              <w:rPr>
                <w:spacing w:val="-2"/>
              </w:rPr>
              <w:t>42,</w:t>
            </w:r>
            <w:r w:rsidRPr="00F06197" w:rsidR="007D06A4">
              <w:rPr>
                <w:spacing w:val="-2"/>
              </w:rPr>
              <w:t>69</w:t>
            </w:r>
            <w:r w:rsidRPr="00F06197" w:rsidR="003C1A3F">
              <w:rPr>
                <w:spacing w:val="-2"/>
              </w:rPr>
              <w:t>4</w:t>
            </w:r>
          </w:p>
        </w:tc>
        <w:tc>
          <w:tcPr>
            <w:tcW w:w="1939" w:type="dxa"/>
          </w:tcPr>
          <w:p w:rsidR="004B491B" w:rsidRPr="00F06197" w14:paraId="3D5987D5" w14:textId="3FF9FDEF">
            <w:pPr>
              <w:pStyle w:val="TableParagraph"/>
              <w:spacing w:line="233" w:lineRule="exact"/>
              <w:ind w:right="99"/>
            </w:pPr>
            <w:r w:rsidRPr="00F06197">
              <w:rPr>
                <w:spacing w:val="-2"/>
              </w:rPr>
              <w:t>+</w:t>
            </w:r>
            <w:r w:rsidRPr="00F06197" w:rsidR="007D06A4">
              <w:rPr>
                <w:spacing w:val="-2"/>
              </w:rPr>
              <w:t>66</w:t>
            </w:r>
            <w:r w:rsidRPr="00F06197" w:rsidR="003C1A3F">
              <w:rPr>
                <w:spacing w:val="-2"/>
              </w:rPr>
              <w:t>9</w:t>
            </w:r>
          </w:p>
        </w:tc>
      </w:tr>
      <w:tr w14:paraId="3D5987DB" w14:textId="77777777">
        <w:tblPrEx>
          <w:tblW w:w="0" w:type="auto"/>
          <w:tblInd w:w="1310" w:type="dxa"/>
          <w:tblLayout w:type="fixed"/>
          <w:tblCellMar>
            <w:left w:w="0" w:type="dxa"/>
            <w:right w:w="0" w:type="dxa"/>
          </w:tblCellMar>
          <w:tblLook w:val="01E0"/>
        </w:tblPrEx>
        <w:trPr>
          <w:trHeight w:val="254"/>
        </w:trPr>
        <w:tc>
          <w:tcPr>
            <w:tcW w:w="2171" w:type="dxa"/>
          </w:tcPr>
          <w:p w:rsidR="004B491B" w:rsidRPr="00F06197" w14:paraId="3D5987D7" w14:textId="77777777">
            <w:pPr>
              <w:pStyle w:val="TableParagraph"/>
              <w:spacing w:line="234" w:lineRule="exact"/>
              <w:ind w:left="107"/>
              <w:jc w:val="left"/>
            </w:pPr>
            <w:r w:rsidRPr="00F06197">
              <w:rPr>
                <w:spacing w:val="-2"/>
              </w:rPr>
              <w:t>Recordkeeping</w:t>
            </w:r>
          </w:p>
        </w:tc>
        <w:tc>
          <w:tcPr>
            <w:tcW w:w="1995" w:type="dxa"/>
          </w:tcPr>
          <w:p w:rsidR="004B491B" w:rsidRPr="00F06197" w14:paraId="3D5987D8" w14:textId="456C34E6">
            <w:pPr>
              <w:pStyle w:val="TableParagraph"/>
              <w:spacing w:line="234" w:lineRule="exact"/>
              <w:ind w:right="97"/>
            </w:pPr>
            <w:r w:rsidRPr="00F06197">
              <w:rPr>
                <w:spacing w:val="-5"/>
              </w:rPr>
              <w:t>164</w:t>
            </w:r>
          </w:p>
        </w:tc>
        <w:tc>
          <w:tcPr>
            <w:tcW w:w="2048" w:type="dxa"/>
          </w:tcPr>
          <w:p w:rsidR="004B491B" w:rsidRPr="00F06197" w14:paraId="3D5987D9" w14:textId="337D549A">
            <w:pPr>
              <w:pStyle w:val="TableParagraph"/>
              <w:spacing w:line="234" w:lineRule="exact"/>
              <w:ind w:right="98"/>
            </w:pPr>
            <w:r w:rsidRPr="00F06197">
              <w:rPr>
                <w:spacing w:val="-5"/>
              </w:rPr>
              <w:t>169</w:t>
            </w:r>
          </w:p>
        </w:tc>
        <w:tc>
          <w:tcPr>
            <w:tcW w:w="1939" w:type="dxa"/>
          </w:tcPr>
          <w:p w:rsidR="004B491B" w:rsidRPr="00F06197" w14:paraId="3D5987DA" w14:textId="1B31EF24">
            <w:pPr>
              <w:pStyle w:val="TableParagraph"/>
              <w:spacing w:line="234" w:lineRule="exact"/>
              <w:ind w:right="99"/>
            </w:pPr>
            <w:r w:rsidRPr="00F06197">
              <w:rPr>
                <w:spacing w:val="-5"/>
              </w:rPr>
              <w:t>+5</w:t>
            </w:r>
          </w:p>
        </w:tc>
      </w:tr>
      <w:tr w14:paraId="3D5987E0" w14:textId="77777777">
        <w:tblPrEx>
          <w:tblW w:w="0" w:type="auto"/>
          <w:tblInd w:w="1310" w:type="dxa"/>
          <w:tblLayout w:type="fixed"/>
          <w:tblCellMar>
            <w:left w:w="0" w:type="dxa"/>
            <w:right w:w="0" w:type="dxa"/>
          </w:tblCellMar>
          <w:tblLook w:val="01E0"/>
        </w:tblPrEx>
        <w:trPr>
          <w:trHeight w:val="506"/>
        </w:trPr>
        <w:tc>
          <w:tcPr>
            <w:tcW w:w="2171" w:type="dxa"/>
          </w:tcPr>
          <w:p w:rsidR="004B491B" w:rsidRPr="00F06197" w14:paraId="3D5987DC" w14:textId="77777777">
            <w:pPr>
              <w:pStyle w:val="TableParagraph"/>
              <w:spacing w:line="254" w:lineRule="exact"/>
              <w:ind w:left="107" w:right="974"/>
              <w:jc w:val="left"/>
            </w:pPr>
            <w:r w:rsidRPr="00F06197">
              <w:t>Third</w:t>
            </w:r>
            <w:r w:rsidRPr="00F06197">
              <w:rPr>
                <w:spacing w:val="-16"/>
              </w:rPr>
              <w:t xml:space="preserve"> </w:t>
            </w:r>
            <w:r w:rsidRPr="00F06197">
              <w:t xml:space="preserve">Party </w:t>
            </w:r>
            <w:r w:rsidRPr="00F06197">
              <w:rPr>
                <w:spacing w:val="-2"/>
              </w:rPr>
              <w:t>Disclosure</w:t>
            </w:r>
          </w:p>
        </w:tc>
        <w:tc>
          <w:tcPr>
            <w:tcW w:w="1995" w:type="dxa"/>
          </w:tcPr>
          <w:p w:rsidR="004B491B" w:rsidRPr="00F06197" w14:paraId="3D5987DD" w14:textId="1555ACAB">
            <w:pPr>
              <w:pStyle w:val="TableParagraph"/>
              <w:spacing w:before="123" w:line="240" w:lineRule="auto"/>
              <w:ind w:right="97"/>
            </w:pPr>
            <w:r w:rsidRPr="00F06197">
              <w:t>2</w:t>
            </w:r>
          </w:p>
        </w:tc>
        <w:tc>
          <w:tcPr>
            <w:tcW w:w="2048" w:type="dxa"/>
          </w:tcPr>
          <w:p w:rsidR="004B491B" w:rsidRPr="00F06197" w14:paraId="3D5987DE" w14:textId="1BB86567">
            <w:pPr>
              <w:pStyle w:val="TableParagraph"/>
              <w:spacing w:before="123" w:line="240" w:lineRule="auto"/>
              <w:ind w:right="98"/>
            </w:pPr>
            <w:r w:rsidRPr="00F06197">
              <w:t>0</w:t>
            </w:r>
          </w:p>
        </w:tc>
        <w:tc>
          <w:tcPr>
            <w:tcW w:w="1939" w:type="dxa"/>
          </w:tcPr>
          <w:p w:rsidR="004B491B" w:rsidRPr="00F06197" w14:paraId="3D5987DF" w14:textId="63F3DC8A">
            <w:pPr>
              <w:pStyle w:val="TableParagraph"/>
              <w:spacing w:before="123" w:line="240" w:lineRule="auto"/>
              <w:ind w:right="99"/>
            </w:pPr>
            <w:r w:rsidRPr="00F06197">
              <w:t>-2</w:t>
            </w:r>
          </w:p>
        </w:tc>
      </w:tr>
      <w:tr w14:paraId="3D5987E5" w14:textId="77777777">
        <w:tblPrEx>
          <w:tblW w:w="0" w:type="auto"/>
          <w:tblInd w:w="1310" w:type="dxa"/>
          <w:tblLayout w:type="fixed"/>
          <w:tblCellMar>
            <w:left w:w="0" w:type="dxa"/>
            <w:right w:w="0" w:type="dxa"/>
          </w:tblCellMar>
          <w:tblLook w:val="01E0"/>
        </w:tblPrEx>
        <w:trPr>
          <w:trHeight w:val="250"/>
        </w:trPr>
        <w:tc>
          <w:tcPr>
            <w:tcW w:w="2171" w:type="dxa"/>
          </w:tcPr>
          <w:p w:rsidR="004B491B" w:rsidRPr="00F06197" w14:paraId="3D5987E1" w14:textId="77777777">
            <w:pPr>
              <w:pStyle w:val="TableParagraph"/>
              <w:spacing w:line="231" w:lineRule="exact"/>
              <w:ind w:left="107"/>
              <w:jc w:val="left"/>
            </w:pPr>
            <w:r w:rsidRPr="00F06197">
              <w:rPr>
                <w:spacing w:val="-2"/>
              </w:rPr>
              <w:t>Total</w:t>
            </w:r>
          </w:p>
        </w:tc>
        <w:tc>
          <w:tcPr>
            <w:tcW w:w="1995" w:type="dxa"/>
          </w:tcPr>
          <w:p w:rsidR="004B491B" w:rsidRPr="00F06197" w14:paraId="3D5987E2" w14:textId="1B6430E9">
            <w:pPr>
              <w:pStyle w:val="TableParagraph"/>
              <w:spacing w:line="231" w:lineRule="exact"/>
              <w:ind w:right="97"/>
            </w:pPr>
            <w:r w:rsidRPr="00F06197">
              <w:rPr>
                <w:spacing w:val="-2"/>
              </w:rPr>
              <w:t>42,191</w:t>
            </w:r>
          </w:p>
        </w:tc>
        <w:tc>
          <w:tcPr>
            <w:tcW w:w="2048" w:type="dxa"/>
          </w:tcPr>
          <w:p w:rsidR="004B491B" w:rsidRPr="00F06197" w14:paraId="3D5987E3" w14:textId="126B509B">
            <w:pPr>
              <w:pStyle w:val="TableParagraph"/>
              <w:spacing w:line="231" w:lineRule="exact"/>
              <w:ind w:right="98"/>
            </w:pPr>
            <w:r w:rsidRPr="00F06197">
              <w:rPr>
                <w:spacing w:val="-2"/>
              </w:rPr>
              <w:t>42,</w:t>
            </w:r>
            <w:r w:rsidRPr="00F06197" w:rsidR="007D06A4">
              <w:rPr>
                <w:spacing w:val="-2"/>
              </w:rPr>
              <w:t>86</w:t>
            </w:r>
            <w:r w:rsidRPr="00F06197" w:rsidR="003C1A3F">
              <w:rPr>
                <w:spacing w:val="-2"/>
              </w:rPr>
              <w:t>3</w:t>
            </w:r>
          </w:p>
        </w:tc>
        <w:tc>
          <w:tcPr>
            <w:tcW w:w="1939" w:type="dxa"/>
          </w:tcPr>
          <w:p w:rsidR="004B491B" w:rsidRPr="00F06197" w14:paraId="3D5987E4" w14:textId="4088B04E">
            <w:pPr>
              <w:pStyle w:val="TableParagraph"/>
              <w:spacing w:line="231" w:lineRule="exact"/>
              <w:ind w:right="99"/>
            </w:pPr>
            <w:r w:rsidRPr="00F06197">
              <w:rPr>
                <w:spacing w:val="-2"/>
              </w:rPr>
              <w:t>+67</w:t>
            </w:r>
            <w:r w:rsidRPr="00F06197" w:rsidR="003C1A3F">
              <w:rPr>
                <w:spacing w:val="-2"/>
              </w:rPr>
              <w:t>2</w:t>
            </w:r>
          </w:p>
        </w:tc>
      </w:tr>
    </w:tbl>
    <w:p w:rsidR="004B491B" w:rsidRPr="00F06197" w14:paraId="3D5987E6" w14:textId="77777777">
      <w:pPr>
        <w:pStyle w:val="BodyText"/>
        <w:rPr>
          <w:b/>
        </w:rPr>
      </w:pPr>
    </w:p>
    <w:p w:rsidR="000E1E9D" w:rsidRPr="00F06197" w:rsidP="000E1E9D" w14:paraId="3D5987E9" w14:textId="518FAAC8">
      <w:pPr>
        <w:pStyle w:val="BodyText"/>
        <w:ind w:left="1090" w:right="134"/>
      </w:pPr>
      <w:r w:rsidRPr="00F06197">
        <w:t>The reasons for the estimated burden changes</w:t>
      </w:r>
      <w:r w:rsidRPr="00F06197">
        <w:rPr>
          <w:spacing w:val="-1"/>
        </w:rPr>
        <w:t xml:space="preserve"> </w:t>
      </w:r>
      <w:r w:rsidRPr="00F06197">
        <w:t xml:space="preserve">(reflecting an overall burden </w:t>
      </w:r>
      <w:r w:rsidRPr="00F06197" w:rsidR="00AD7416">
        <w:t>in</w:t>
      </w:r>
      <w:r w:rsidRPr="00F06197">
        <w:t>crease of</w:t>
      </w:r>
      <w:r w:rsidRPr="00F06197">
        <w:rPr>
          <w:spacing w:val="-1"/>
        </w:rPr>
        <w:t xml:space="preserve"> </w:t>
      </w:r>
      <w:r w:rsidRPr="00F06197" w:rsidR="003C1A3F">
        <w:rPr>
          <w:spacing w:val="-1"/>
        </w:rPr>
        <w:t>81,052</w:t>
      </w:r>
      <w:r w:rsidRPr="00F06197">
        <w:rPr>
          <w:spacing w:val="-1"/>
        </w:rPr>
        <w:t xml:space="preserve"> </w:t>
      </w:r>
      <w:r w:rsidRPr="00F06197">
        <w:t>hours,</w:t>
      </w:r>
      <w:r w:rsidRPr="00F06197">
        <w:rPr>
          <w:spacing w:val="-1"/>
        </w:rPr>
        <w:t xml:space="preserve"> </w:t>
      </w:r>
      <w:r w:rsidRPr="00F06197">
        <w:t>from</w:t>
      </w:r>
      <w:r w:rsidRPr="00F06197">
        <w:rPr>
          <w:spacing w:val="-1"/>
        </w:rPr>
        <w:t xml:space="preserve"> </w:t>
      </w:r>
      <w:r w:rsidRPr="00F06197" w:rsidR="00F40ABF">
        <w:rPr>
          <w:spacing w:val="-1"/>
        </w:rPr>
        <w:t>3</w:t>
      </w:r>
      <w:r w:rsidRPr="00F06197" w:rsidR="007D06A4">
        <w:rPr>
          <w:spacing w:val="-1"/>
        </w:rPr>
        <w:t>.6M</w:t>
      </w:r>
      <w:r w:rsidRPr="00F06197">
        <w:rPr>
          <w:spacing w:val="-1"/>
        </w:rPr>
        <w:t xml:space="preserve"> </w:t>
      </w:r>
      <w:r w:rsidRPr="00F06197">
        <w:t>hours</w:t>
      </w:r>
      <w:r w:rsidRPr="00F06197">
        <w:rPr>
          <w:spacing w:val="-1"/>
        </w:rPr>
        <w:t xml:space="preserve"> </w:t>
      </w:r>
      <w:r w:rsidRPr="00F06197">
        <w:t>to</w:t>
      </w:r>
      <w:r w:rsidRPr="00F06197">
        <w:rPr>
          <w:spacing w:val="-1"/>
        </w:rPr>
        <w:t xml:space="preserve"> </w:t>
      </w:r>
      <w:r w:rsidRPr="00F06197" w:rsidR="00B53763">
        <w:rPr>
          <w:spacing w:val="-1"/>
        </w:rPr>
        <w:t>3</w:t>
      </w:r>
      <w:r w:rsidRPr="00F06197" w:rsidR="007D06A4">
        <w:rPr>
          <w:spacing w:val="-1"/>
        </w:rPr>
        <w:t>.7M</w:t>
      </w:r>
      <w:r w:rsidRPr="00F06197">
        <w:rPr>
          <w:spacing w:val="-1"/>
        </w:rPr>
        <w:t xml:space="preserve"> </w:t>
      </w:r>
      <w:r w:rsidRPr="00F06197">
        <w:t>hours)</w:t>
      </w:r>
      <w:r w:rsidRPr="00F06197">
        <w:rPr>
          <w:spacing w:val="-1"/>
        </w:rPr>
        <w:t xml:space="preserve"> </w:t>
      </w:r>
      <w:r w:rsidRPr="00F06197">
        <w:t>are</w:t>
      </w:r>
      <w:r w:rsidRPr="00F06197">
        <w:rPr>
          <w:spacing w:val="-1"/>
        </w:rPr>
        <w:t xml:space="preserve"> </w:t>
      </w:r>
      <w:r w:rsidRPr="00F06197">
        <w:t>primarily</w:t>
      </w:r>
      <w:r w:rsidRPr="00F06197">
        <w:rPr>
          <w:spacing w:val="-1"/>
        </w:rPr>
        <w:t xml:space="preserve"> </w:t>
      </w:r>
      <w:r w:rsidRPr="00F06197">
        <w:t>related</w:t>
      </w:r>
      <w:r w:rsidRPr="00F06197">
        <w:rPr>
          <w:spacing w:val="-1"/>
        </w:rPr>
        <w:t xml:space="preserve"> </w:t>
      </w:r>
      <w:r w:rsidRPr="00F06197" w:rsidR="00E37694">
        <w:rPr>
          <w:rStyle w:val="normaltextrun"/>
          <w:color w:val="000000"/>
          <w:shd w:val="clear" w:color="auto" w:fill="FFFFFF"/>
        </w:rPr>
        <w:t xml:space="preserve">to </w:t>
      </w:r>
      <w:r w:rsidRPr="00F06197" w:rsidR="007D06A4">
        <w:t xml:space="preserve">external programs which are contributing to the progression of advanced reactor designs, causing an influx of applications during this clearance cycle.  Due to these programs, ongoing robust pre-application engagements (i.e., topical report reviews), meetings, discussions and continuous contact with prospective stakeholders, the agency is expected to receive applications for, construction permits (CP), early site permits (ESP), standard design approvals (SDAs) and certifications, manufacturing license (MLs), combined licensees (COLs), for commercial nuclear power reactors, as well as operating licenses (OLs) related to the licensing processes that apply to light-water reactors (LWR) and non-light water reactors (NLWR).  </w:t>
      </w:r>
      <w:r w:rsidRPr="00F06197">
        <w:t>The section- specific supporting statements (Supplementary Documents, Sections 2 through 7)</w:t>
      </w:r>
      <w:r w:rsidRPr="00F06197">
        <w:rPr>
          <w:spacing w:val="40"/>
        </w:rPr>
        <w:t xml:space="preserve"> </w:t>
      </w:r>
      <w:r w:rsidRPr="00F06197">
        <w:t>has the detail on the burden changes for that section.</w:t>
      </w:r>
      <w:r w:rsidRPr="00F06197">
        <w:rPr>
          <w:spacing w:val="40"/>
        </w:rPr>
        <w:t xml:space="preserve"> </w:t>
      </w:r>
      <w:r w:rsidRPr="00F06197">
        <w:t xml:space="preserve">The </w:t>
      </w:r>
      <w:r w:rsidRPr="00F06197" w:rsidR="003C1A3F">
        <w:t>81,052</w:t>
      </w:r>
      <w:r w:rsidRPr="00F06197" w:rsidR="007B6862">
        <w:t>-hour</w:t>
      </w:r>
      <w:r w:rsidRPr="00F06197">
        <w:t xml:space="preserve"> change in burden was calculated by summing the burden from the individual sections and</w:t>
      </w:r>
      <w:r w:rsidRPr="00F06197" w:rsidR="0043649A">
        <w:t xml:space="preserve"> </w:t>
      </w:r>
      <w:r w:rsidRPr="00F06197">
        <w:t>comparing the total to the burden from currently in ROCIS (the burden from the previous clearance plus the burden from the previously mentioned</w:t>
      </w:r>
      <w:r w:rsidRPr="00F06197" w:rsidR="008E2F04">
        <w:t xml:space="preserve"> EPSMR</w:t>
      </w:r>
      <w:r w:rsidRPr="00F06197">
        <w:t xml:space="preserve"> final rule). </w:t>
      </w:r>
    </w:p>
    <w:p w:rsidR="008E2F04" w:rsidRPr="00F06197" w:rsidP="000E1E9D" w14:paraId="4E9859A3" w14:textId="77777777">
      <w:pPr>
        <w:pStyle w:val="BodyText"/>
        <w:ind w:left="1090" w:right="134"/>
      </w:pPr>
    </w:p>
    <w:p w:rsidR="004B491B" w:rsidRPr="00F06197" w:rsidP="004367FD" w14:paraId="3D5987EC" w14:textId="3F05E502">
      <w:pPr>
        <w:pStyle w:val="BodyText"/>
        <w:ind w:left="1090" w:right="166"/>
        <w:rPr>
          <w:rStyle w:val="normaltextrun"/>
          <w:color w:val="000000"/>
          <w:shd w:val="clear" w:color="auto" w:fill="FFFFFF"/>
        </w:rPr>
      </w:pPr>
      <w:r w:rsidRPr="00F06197">
        <w:t>The decrease in recordkeeping burden</w:t>
      </w:r>
      <w:r w:rsidRPr="00F06197">
        <w:rPr>
          <w:spacing w:val="-5"/>
        </w:rPr>
        <w:t xml:space="preserve"> </w:t>
      </w:r>
      <w:r w:rsidRPr="00F06197">
        <w:t>is</w:t>
      </w:r>
      <w:r w:rsidRPr="00F06197">
        <w:rPr>
          <w:spacing w:val="-5"/>
        </w:rPr>
        <w:t xml:space="preserve"> </w:t>
      </w:r>
      <w:r w:rsidRPr="00F06197">
        <w:t>primarily</w:t>
      </w:r>
      <w:r w:rsidRPr="00F06197">
        <w:rPr>
          <w:spacing w:val="-5"/>
        </w:rPr>
        <w:t xml:space="preserve"> </w:t>
      </w:r>
      <w:r w:rsidRPr="00F06197">
        <w:t>due</w:t>
      </w:r>
      <w:r w:rsidRPr="00F06197">
        <w:rPr>
          <w:spacing w:val="-5"/>
        </w:rPr>
        <w:t xml:space="preserve"> </w:t>
      </w:r>
      <w:r w:rsidRPr="00F06197">
        <w:t>to</w:t>
      </w:r>
      <w:r w:rsidRPr="00F06197">
        <w:rPr>
          <w:spacing w:val="-5"/>
        </w:rPr>
        <w:t xml:space="preserve"> </w:t>
      </w:r>
      <w:r w:rsidRPr="00F06197">
        <w:t>a</w:t>
      </w:r>
      <w:r w:rsidRPr="00F06197">
        <w:rPr>
          <w:spacing w:val="-5"/>
        </w:rPr>
        <w:t xml:space="preserve"> </w:t>
      </w:r>
      <w:r w:rsidRPr="00F06197">
        <w:t>review</w:t>
      </w:r>
      <w:r w:rsidRPr="00F06197">
        <w:rPr>
          <w:spacing w:val="-4"/>
        </w:rPr>
        <w:t xml:space="preserve"> </w:t>
      </w:r>
      <w:r w:rsidRPr="00F06197">
        <w:t>of</w:t>
      </w:r>
      <w:r w:rsidRPr="00F06197">
        <w:rPr>
          <w:spacing w:val="-5"/>
        </w:rPr>
        <w:t xml:space="preserve"> </w:t>
      </w:r>
      <w:r w:rsidRPr="00F06197">
        <w:t>data</w:t>
      </w:r>
      <w:r w:rsidRPr="00F06197">
        <w:rPr>
          <w:spacing w:val="-5"/>
        </w:rPr>
        <w:t xml:space="preserve"> </w:t>
      </w:r>
      <w:r w:rsidRPr="00F06197">
        <w:t>associated</w:t>
      </w:r>
      <w:r w:rsidRPr="00F06197">
        <w:rPr>
          <w:spacing w:val="-5"/>
        </w:rPr>
        <w:t xml:space="preserve"> </w:t>
      </w:r>
      <w:r w:rsidRPr="00F06197">
        <w:t>with</w:t>
      </w:r>
      <w:r w:rsidRPr="00F06197">
        <w:rPr>
          <w:spacing w:val="-5"/>
        </w:rPr>
        <w:t xml:space="preserve"> </w:t>
      </w:r>
      <w:r w:rsidRPr="00F06197">
        <w:t>50.6</w:t>
      </w:r>
      <w:r w:rsidRPr="00F06197" w:rsidR="004237E7">
        <w:t>5</w:t>
      </w:r>
      <w:r w:rsidRPr="00F06197">
        <w:t>,</w:t>
      </w:r>
      <w:r w:rsidRPr="00F06197">
        <w:rPr>
          <w:spacing w:val="-5"/>
        </w:rPr>
        <w:t xml:space="preserve"> </w:t>
      </w:r>
      <w:r w:rsidRPr="00F06197">
        <w:t>described</w:t>
      </w:r>
      <w:r w:rsidRPr="00F06197">
        <w:rPr>
          <w:spacing w:val="-4"/>
        </w:rPr>
        <w:t xml:space="preserve"> </w:t>
      </w:r>
      <w:r w:rsidRPr="00F06197">
        <w:t>in</w:t>
      </w:r>
      <w:r w:rsidRPr="00F06197">
        <w:rPr>
          <w:spacing w:val="-5"/>
        </w:rPr>
        <w:t xml:space="preserve"> </w:t>
      </w:r>
      <w:r w:rsidRPr="00F06197">
        <w:rPr>
          <w:spacing w:val="-2"/>
        </w:rPr>
        <w:t>section</w:t>
      </w:r>
      <w:r w:rsidRPr="00F06197" w:rsidR="004237E7">
        <w:rPr>
          <w:spacing w:val="-2"/>
        </w:rPr>
        <w:t xml:space="preserve"> </w:t>
      </w:r>
      <w:r w:rsidRPr="00F06197">
        <w:t>5</w:t>
      </w:r>
      <w:r w:rsidRPr="00F06197" w:rsidR="007B7A61">
        <w:t xml:space="preserve">, </w:t>
      </w:r>
      <w:r w:rsidRPr="00F06197" w:rsidR="00175AC2">
        <w:t xml:space="preserve">through </w:t>
      </w:r>
      <w:r w:rsidRPr="00F06197" w:rsidR="002B453C">
        <w:rPr>
          <w:rStyle w:val="normaltextrun"/>
          <w:color w:val="000000"/>
          <w:shd w:val="clear" w:color="auto" w:fill="FFFFFF"/>
        </w:rPr>
        <w:t>NRC staff and industry interactions</w:t>
      </w:r>
      <w:r w:rsidRPr="00F06197" w:rsidR="00175AC2">
        <w:rPr>
          <w:rStyle w:val="normaltextrun"/>
          <w:color w:val="000000"/>
          <w:shd w:val="clear" w:color="auto" w:fill="FFFFFF"/>
        </w:rPr>
        <w:t>, program effi</w:t>
      </w:r>
      <w:r w:rsidRPr="00F06197" w:rsidR="00753A91">
        <w:rPr>
          <w:rStyle w:val="normaltextrun"/>
          <w:color w:val="000000"/>
          <w:shd w:val="clear" w:color="auto" w:fill="FFFFFF"/>
        </w:rPr>
        <w:t xml:space="preserve">ciencies have been achieved </w:t>
      </w:r>
      <w:r w:rsidRPr="00F06197" w:rsidR="005550A5">
        <w:rPr>
          <w:rStyle w:val="normaltextrun"/>
          <w:color w:val="000000"/>
          <w:shd w:val="clear" w:color="auto" w:fill="FFFFFF"/>
        </w:rPr>
        <w:t>fostering the reduction in burden</w:t>
      </w:r>
      <w:r w:rsidRPr="00F06197" w:rsidR="004367FD">
        <w:rPr>
          <w:rStyle w:val="normaltextrun"/>
          <w:color w:val="000000"/>
          <w:shd w:val="clear" w:color="auto" w:fill="FFFFFF"/>
        </w:rPr>
        <w:t>.</w:t>
      </w:r>
    </w:p>
    <w:p w:rsidR="008E2F04" w:rsidRPr="00F06197" w:rsidP="004367FD" w14:paraId="7AD25272" w14:textId="77777777">
      <w:pPr>
        <w:pStyle w:val="BodyText"/>
        <w:ind w:left="1090" w:right="166"/>
        <w:rPr>
          <w:rStyle w:val="normaltextrun"/>
          <w:color w:val="000000"/>
          <w:shd w:val="clear" w:color="auto" w:fill="FFFFFF"/>
        </w:rPr>
      </w:pPr>
    </w:p>
    <w:p w:rsidR="008E2F04" w:rsidRPr="00F06197" w:rsidP="004367FD" w14:paraId="4CFCA341" w14:textId="4CC5377F">
      <w:pPr>
        <w:pStyle w:val="BodyText"/>
        <w:ind w:left="1090" w:right="166"/>
      </w:pPr>
      <w:r w:rsidRPr="00F06197">
        <w:t xml:space="preserve">In addition, in 2023, the NRC staff submitted a request for a new clearance to cover information collections contained in 10 CFR 50.55a, “Codes and Standards.”  These information collections pertain to voluntary consensus standards developed by the American Society of Mechanical Engineers (ASME), a voluntary consensus body.  </w:t>
      </w:r>
      <w:r w:rsidRPr="00F06197">
        <w:t>The standards are regularly updated by rulemaking; therefore, having a stand-alone information collection allows for more timely processing of these rules.  These information collections were previously included in Section 5 of the Part 50 renewal but now are contained in their own clearance, “</w:t>
      </w:r>
      <w:r w:rsidRPr="00F06197">
        <w:rPr>
          <w:color w:val="000000"/>
          <w:shd w:val="clear" w:color="auto" w:fill="FFFFFF"/>
        </w:rPr>
        <w:t>10 CFR 50.55a, Codes and Standards” (3150-0264)</w:t>
      </w:r>
      <w:r w:rsidRPr="00F06197">
        <w:t>.  The burden for these requirements has been removed from the part 50 in the current submission.</w:t>
      </w:r>
    </w:p>
    <w:p w:rsidR="004B491B" w:rsidRPr="00F06197" w14:paraId="3D5987ED" w14:textId="77777777">
      <w:pPr>
        <w:pStyle w:val="BodyText"/>
      </w:pPr>
    </w:p>
    <w:p w:rsidR="004B491B" w:rsidRPr="00F06197" w14:paraId="3D5987EE" w14:textId="32888E93">
      <w:pPr>
        <w:pStyle w:val="BodyText"/>
        <w:ind w:left="1090"/>
      </w:pPr>
      <w:r w:rsidRPr="00F06197">
        <w:t>This submission contains the full scope of the 10 CFR Part 50 information collections that were last approved by OMB in 20</w:t>
      </w:r>
      <w:r w:rsidRPr="00F06197" w:rsidR="004367FD">
        <w:t>21</w:t>
      </w:r>
      <w:r w:rsidRPr="00F06197">
        <w:t>.</w:t>
      </w:r>
      <w:r w:rsidRPr="00F06197">
        <w:rPr>
          <w:spacing w:val="40"/>
        </w:rPr>
        <w:t xml:space="preserve"> </w:t>
      </w:r>
      <w:r w:rsidRPr="00F06197">
        <w:t xml:space="preserve">In the interim there have been </w:t>
      </w:r>
      <w:r w:rsidRPr="00F06197">
        <w:t>a number of</w:t>
      </w:r>
      <w:r w:rsidRPr="00F06197">
        <w:t xml:space="preserve"> updates</w:t>
      </w:r>
      <w:r w:rsidRPr="00F06197">
        <w:rPr>
          <w:spacing w:val="-3"/>
        </w:rPr>
        <w:t xml:space="preserve"> </w:t>
      </w:r>
      <w:r w:rsidRPr="00F06197">
        <w:t>to</w:t>
      </w:r>
      <w:r w:rsidRPr="00F06197">
        <w:rPr>
          <w:spacing w:val="-3"/>
        </w:rPr>
        <w:t xml:space="preserve"> </w:t>
      </w:r>
      <w:r w:rsidRPr="00F06197">
        <w:t>the</w:t>
      </w:r>
      <w:r w:rsidRPr="00F06197">
        <w:rPr>
          <w:spacing w:val="-3"/>
        </w:rPr>
        <w:t xml:space="preserve"> </w:t>
      </w:r>
      <w:r w:rsidRPr="00F06197">
        <w:t>10</w:t>
      </w:r>
      <w:r w:rsidRPr="00F06197">
        <w:rPr>
          <w:spacing w:val="-3"/>
        </w:rPr>
        <w:t xml:space="preserve"> </w:t>
      </w:r>
      <w:r w:rsidRPr="00F06197">
        <w:t>CFR</w:t>
      </w:r>
      <w:r w:rsidRPr="00F06197">
        <w:rPr>
          <w:spacing w:val="-3"/>
        </w:rPr>
        <w:t xml:space="preserve"> </w:t>
      </w:r>
      <w:r w:rsidRPr="00F06197">
        <w:t>Part</w:t>
      </w:r>
      <w:r w:rsidRPr="00F06197">
        <w:rPr>
          <w:spacing w:val="-3"/>
        </w:rPr>
        <w:t xml:space="preserve"> </w:t>
      </w:r>
      <w:r w:rsidRPr="00F06197">
        <w:t>50</w:t>
      </w:r>
      <w:r w:rsidRPr="00F06197">
        <w:rPr>
          <w:spacing w:val="-3"/>
        </w:rPr>
        <w:t xml:space="preserve"> </w:t>
      </w:r>
      <w:r w:rsidRPr="00F06197">
        <w:t>burden</w:t>
      </w:r>
      <w:r w:rsidRPr="00F06197">
        <w:rPr>
          <w:spacing w:val="-3"/>
        </w:rPr>
        <w:t xml:space="preserve"> </w:t>
      </w:r>
      <w:r w:rsidRPr="00F06197">
        <w:t>that</w:t>
      </w:r>
      <w:r w:rsidRPr="00F06197">
        <w:rPr>
          <w:spacing w:val="-3"/>
        </w:rPr>
        <w:t xml:space="preserve"> </w:t>
      </w:r>
      <w:r w:rsidRPr="00F06197">
        <w:t>reflect</w:t>
      </w:r>
      <w:r w:rsidRPr="00F06197">
        <w:rPr>
          <w:spacing w:val="-3"/>
        </w:rPr>
        <w:t xml:space="preserve"> </w:t>
      </w:r>
      <w:r w:rsidRPr="00F06197">
        <w:t>changes</w:t>
      </w:r>
      <w:r w:rsidRPr="00F06197">
        <w:rPr>
          <w:spacing w:val="-3"/>
        </w:rPr>
        <w:t xml:space="preserve"> </w:t>
      </w:r>
      <w:r w:rsidRPr="00F06197">
        <w:t>to</w:t>
      </w:r>
      <w:r w:rsidRPr="00F06197">
        <w:rPr>
          <w:spacing w:val="-3"/>
        </w:rPr>
        <w:t xml:space="preserve"> </w:t>
      </w:r>
      <w:r w:rsidRPr="00F06197">
        <w:t>selected</w:t>
      </w:r>
      <w:r w:rsidRPr="00F06197">
        <w:rPr>
          <w:spacing w:val="-4"/>
        </w:rPr>
        <w:t xml:space="preserve"> </w:t>
      </w:r>
      <w:r w:rsidRPr="00F06197">
        <w:t>sections</w:t>
      </w:r>
      <w:r w:rsidRPr="00F06197">
        <w:rPr>
          <w:spacing w:val="-3"/>
        </w:rPr>
        <w:t xml:space="preserve"> </w:t>
      </w:r>
      <w:r w:rsidRPr="00F06197">
        <w:t>of</w:t>
      </w:r>
      <w:r w:rsidRPr="00F06197">
        <w:rPr>
          <w:spacing w:val="-3"/>
        </w:rPr>
        <w:t xml:space="preserve"> </w:t>
      </w:r>
      <w:r w:rsidRPr="00F06197">
        <w:t>the rule.</w:t>
      </w:r>
      <w:r w:rsidRPr="00F06197" w:rsidR="00CF40BE">
        <w:t xml:space="preserve">  All </w:t>
      </w:r>
      <w:r w:rsidRPr="00F06197" w:rsidR="00A27449">
        <w:t xml:space="preserve">approved </w:t>
      </w:r>
      <w:r w:rsidRPr="00F06197" w:rsidR="00CF40BE">
        <w:t>information</w:t>
      </w:r>
      <w:r w:rsidRPr="00F06197" w:rsidR="00A27449">
        <w:t xml:space="preserve"> collections associated with Part 50 are reflected in the current submission.</w:t>
      </w:r>
    </w:p>
    <w:p w:rsidR="004B491B" w:rsidRPr="00F06197" w14:paraId="79418E99" w14:textId="77777777">
      <w:pPr>
        <w:pStyle w:val="BodyText"/>
      </w:pPr>
    </w:p>
    <w:p w:rsidR="004B491B" w:rsidRPr="00F06197" w14:paraId="3D5987F0" w14:textId="77777777">
      <w:pPr>
        <w:pStyle w:val="ListParagraph"/>
        <w:numPr>
          <w:ilvl w:val="1"/>
          <w:numId w:val="2"/>
        </w:numPr>
        <w:tabs>
          <w:tab w:val="left" w:pos="1088"/>
        </w:tabs>
        <w:ind w:left="1088" w:hanging="449"/>
      </w:pPr>
      <w:r w:rsidRPr="00F06197">
        <w:rPr>
          <w:u w:val="single"/>
        </w:rPr>
        <w:t>Publication</w:t>
      </w:r>
      <w:r w:rsidRPr="00F06197">
        <w:rPr>
          <w:spacing w:val="-9"/>
          <w:u w:val="single"/>
        </w:rPr>
        <w:t xml:space="preserve"> </w:t>
      </w:r>
      <w:r w:rsidRPr="00F06197">
        <w:rPr>
          <w:u w:val="single"/>
        </w:rPr>
        <w:t>for</w:t>
      </w:r>
      <w:r w:rsidRPr="00F06197">
        <w:rPr>
          <w:spacing w:val="-9"/>
          <w:u w:val="single"/>
        </w:rPr>
        <w:t xml:space="preserve"> </w:t>
      </w:r>
      <w:r w:rsidRPr="00F06197">
        <w:rPr>
          <w:u w:val="single"/>
        </w:rPr>
        <w:t>Statistical</w:t>
      </w:r>
      <w:r w:rsidRPr="00F06197">
        <w:rPr>
          <w:spacing w:val="-8"/>
          <w:u w:val="single"/>
        </w:rPr>
        <w:t xml:space="preserve"> </w:t>
      </w:r>
      <w:r w:rsidRPr="00F06197">
        <w:rPr>
          <w:spacing w:val="-5"/>
          <w:u w:val="single"/>
        </w:rPr>
        <w:t>Use</w:t>
      </w:r>
    </w:p>
    <w:p w:rsidR="004B491B" w:rsidRPr="00F06197" w14:paraId="3D5987F1" w14:textId="77777777">
      <w:pPr>
        <w:pStyle w:val="BodyText"/>
      </w:pPr>
    </w:p>
    <w:p w:rsidR="004B491B" w:rsidRPr="00F06197" w14:paraId="3D5987F2" w14:textId="77777777">
      <w:pPr>
        <w:pStyle w:val="BodyText"/>
        <w:spacing w:before="93"/>
        <w:ind w:left="1090"/>
      </w:pPr>
      <w:r w:rsidRPr="00F06197">
        <w:t>The</w:t>
      </w:r>
      <w:r w:rsidRPr="00F06197">
        <w:rPr>
          <w:spacing w:val="-7"/>
        </w:rPr>
        <w:t xml:space="preserve"> </w:t>
      </w:r>
      <w:r w:rsidRPr="00F06197">
        <w:t>collected</w:t>
      </w:r>
      <w:r w:rsidRPr="00F06197">
        <w:rPr>
          <w:spacing w:val="-6"/>
        </w:rPr>
        <w:t xml:space="preserve"> </w:t>
      </w:r>
      <w:r w:rsidRPr="00F06197">
        <w:t>information</w:t>
      </w:r>
      <w:r w:rsidRPr="00F06197">
        <w:rPr>
          <w:spacing w:val="-7"/>
        </w:rPr>
        <w:t xml:space="preserve"> </w:t>
      </w:r>
      <w:r w:rsidRPr="00F06197">
        <w:t>is</w:t>
      </w:r>
      <w:r w:rsidRPr="00F06197">
        <w:rPr>
          <w:spacing w:val="-7"/>
        </w:rPr>
        <w:t xml:space="preserve"> </w:t>
      </w:r>
      <w:r w:rsidRPr="00F06197">
        <w:t>not</w:t>
      </w:r>
      <w:r w:rsidRPr="00F06197">
        <w:rPr>
          <w:spacing w:val="-6"/>
        </w:rPr>
        <w:t xml:space="preserve"> </w:t>
      </w:r>
      <w:r w:rsidRPr="00F06197">
        <w:t>published</w:t>
      </w:r>
      <w:r w:rsidRPr="00F06197">
        <w:rPr>
          <w:spacing w:val="-7"/>
        </w:rPr>
        <w:t xml:space="preserve"> </w:t>
      </w:r>
      <w:r w:rsidRPr="00F06197">
        <w:t>for</w:t>
      </w:r>
      <w:r w:rsidRPr="00F06197">
        <w:rPr>
          <w:spacing w:val="-6"/>
        </w:rPr>
        <w:t xml:space="preserve"> </w:t>
      </w:r>
      <w:r w:rsidRPr="00F06197">
        <w:t>statistical</w:t>
      </w:r>
      <w:r w:rsidRPr="00F06197">
        <w:rPr>
          <w:spacing w:val="-7"/>
        </w:rPr>
        <w:t xml:space="preserve"> </w:t>
      </w:r>
      <w:r w:rsidRPr="00F06197">
        <w:rPr>
          <w:spacing w:val="-2"/>
        </w:rPr>
        <w:t>purposes.</w:t>
      </w:r>
    </w:p>
    <w:p w:rsidR="004B491B" w:rsidRPr="00F06197" w14:paraId="3D5987F3" w14:textId="77777777">
      <w:pPr>
        <w:pStyle w:val="BodyText"/>
        <w:spacing w:before="10"/>
      </w:pPr>
    </w:p>
    <w:p w:rsidR="004B491B" w:rsidRPr="00F06197" w14:paraId="3D5987F4" w14:textId="77777777">
      <w:pPr>
        <w:pStyle w:val="ListParagraph"/>
        <w:numPr>
          <w:ilvl w:val="1"/>
          <w:numId w:val="2"/>
        </w:numPr>
        <w:tabs>
          <w:tab w:val="left" w:pos="1088"/>
        </w:tabs>
        <w:ind w:left="1088" w:hanging="449"/>
      </w:pPr>
      <w:r w:rsidRPr="00F06197">
        <w:rPr>
          <w:u w:val="single"/>
        </w:rPr>
        <w:t>Reason</w:t>
      </w:r>
      <w:r w:rsidRPr="00F06197">
        <w:rPr>
          <w:spacing w:val="-7"/>
          <w:u w:val="single"/>
        </w:rPr>
        <w:t xml:space="preserve"> </w:t>
      </w:r>
      <w:r w:rsidRPr="00F06197">
        <w:rPr>
          <w:u w:val="single"/>
        </w:rPr>
        <w:t>for</w:t>
      </w:r>
      <w:r w:rsidRPr="00F06197">
        <w:rPr>
          <w:spacing w:val="-6"/>
          <w:u w:val="single"/>
        </w:rPr>
        <w:t xml:space="preserve"> </w:t>
      </w:r>
      <w:r w:rsidRPr="00F06197">
        <w:rPr>
          <w:u w:val="single"/>
        </w:rPr>
        <w:t>Not</w:t>
      </w:r>
      <w:r w:rsidRPr="00F06197">
        <w:rPr>
          <w:spacing w:val="-6"/>
          <w:u w:val="single"/>
        </w:rPr>
        <w:t xml:space="preserve"> </w:t>
      </w:r>
      <w:r w:rsidRPr="00F06197">
        <w:rPr>
          <w:u w:val="single"/>
        </w:rPr>
        <w:t>Displaying</w:t>
      </w:r>
      <w:r w:rsidRPr="00F06197">
        <w:rPr>
          <w:spacing w:val="-7"/>
          <w:u w:val="single"/>
        </w:rPr>
        <w:t xml:space="preserve"> </w:t>
      </w:r>
      <w:r w:rsidRPr="00F06197">
        <w:rPr>
          <w:u w:val="single"/>
        </w:rPr>
        <w:t>the</w:t>
      </w:r>
      <w:r w:rsidRPr="00F06197">
        <w:rPr>
          <w:spacing w:val="-6"/>
          <w:u w:val="single"/>
        </w:rPr>
        <w:t xml:space="preserve"> </w:t>
      </w:r>
      <w:r w:rsidRPr="00F06197">
        <w:rPr>
          <w:u w:val="single"/>
        </w:rPr>
        <w:t>Expiration</w:t>
      </w:r>
      <w:r w:rsidRPr="00F06197">
        <w:rPr>
          <w:spacing w:val="-6"/>
          <w:u w:val="single"/>
        </w:rPr>
        <w:t xml:space="preserve"> </w:t>
      </w:r>
      <w:r w:rsidRPr="00F06197">
        <w:rPr>
          <w:spacing w:val="-4"/>
          <w:u w:val="single"/>
        </w:rPr>
        <w:t>Date</w:t>
      </w:r>
    </w:p>
    <w:p w:rsidR="004B491B" w:rsidRPr="00F06197" w14:paraId="3D5987F5" w14:textId="77777777">
      <w:pPr>
        <w:pStyle w:val="BodyText"/>
      </w:pPr>
    </w:p>
    <w:p w:rsidR="004B491B" w:rsidRPr="00F06197" w14:paraId="3D5987F6" w14:textId="77777777">
      <w:pPr>
        <w:pStyle w:val="BodyText"/>
        <w:spacing w:before="93"/>
        <w:ind w:left="1090" w:right="109"/>
      </w:pPr>
      <w:r w:rsidRPr="00F06197">
        <w:t>The recordkeeping and reporting requirement for this information collection are associated with regulations and are not submitted on instruments such as forms or surveys.</w:t>
      </w:r>
      <w:r w:rsidRPr="00F06197">
        <w:rPr>
          <w:spacing w:val="40"/>
        </w:rPr>
        <w:t xml:space="preserve"> </w:t>
      </w:r>
      <w:r w:rsidRPr="00F06197">
        <w:t>For</w:t>
      </w:r>
      <w:r w:rsidRPr="00F06197">
        <w:rPr>
          <w:spacing w:val="-3"/>
        </w:rPr>
        <w:t xml:space="preserve"> </w:t>
      </w:r>
      <w:r w:rsidRPr="00F06197">
        <w:t>this</w:t>
      </w:r>
      <w:r w:rsidRPr="00F06197">
        <w:rPr>
          <w:spacing w:val="-3"/>
        </w:rPr>
        <w:t xml:space="preserve"> </w:t>
      </w:r>
      <w:r w:rsidRPr="00F06197">
        <w:t>reason,</w:t>
      </w:r>
      <w:r w:rsidRPr="00F06197">
        <w:rPr>
          <w:spacing w:val="-3"/>
        </w:rPr>
        <w:t xml:space="preserve"> </w:t>
      </w:r>
      <w:r w:rsidRPr="00F06197">
        <w:t>there</w:t>
      </w:r>
      <w:r w:rsidRPr="00F06197">
        <w:rPr>
          <w:spacing w:val="-3"/>
        </w:rPr>
        <w:t xml:space="preserve"> </w:t>
      </w:r>
      <w:r w:rsidRPr="00F06197">
        <w:t>are</w:t>
      </w:r>
      <w:r w:rsidRPr="00F06197">
        <w:rPr>
          <w:spacing w:val="-3"/>
        </w:rPr>
        <w:t xml:space="preserve"> </w:t>
      </w:r>
      <w:r w:rsidRPr="00F06197">
        <w:t>no</w:t>
      </w:r>
      <w:r w:rsidRPr="00F06197">
        <w:rPr>
          <w:spacing w:val="-3"/>
        </w:rPr>
        <w:t xml:space="preserve"> </w:t>
      </w:r>
      <w:r w:rsidRPr="00F06197">
        <w:t>data</w:t>
      </w:r>
      <w:r w:rsidRPr="00F06197">
        <w:rPr>
          <w:spacing w:val="-3"/>
        </w:rPr>
        <w:t xml:space="preserve"> </w:t>
      </w:r>
      <w:r w:rsidRPr="00F06197">
        <w:t>instruments</w:t>
      </w:r>
      <w:r w:rsidRPr="00F06197">
        <w:rPr>
          <w:spacing w:val="-3"/>
        </w:rPr>
        <w:t xml:space="preserve"> </w:t>
      </w:r>
      <w:r w:rsidRPr="00F06197">
        <w:t>on</w:t>
      </w:r>
      <w:r w:rsidRPr="00F06197">
        <w:rPr>
          <w:spacing w:val="-3"/>
        </w:rPr>
        <w:t xml:space="preserve"> </w:t>
      </w:r>
      <w:r w:rsidRPr="00F06197">
        <w:t>which</w:t>
      </w:r>
      <w:r w:rsidRPr="00F06197">
        <w:rPr>
          <w:spacing w:val="-3"/>
        </w:rPr>
        <w:t xml:space="preserve"> </w:t>
      </w:r>
      <w:r w:rsidRPr="00F06197">
        <w:t>to</w:t>
      </w:r>
      <w:r w:rsidRPr="00F06197">
        <w:rPr>
          <w:spacing w:val="-3"/>
        </w:rPr>
        <w:t xml:space="preserve"> </w:t>
      </w:r>
      <w:r w:rsidRPr="00F06197">
        <w:t>display</w:t>
      </w:r>
      <w:r w:rsidRPr="00F06197">
        <w:rPr>
          <w:spacing w:val="-3"/>
        </w:rPr>
        <w:t xml:space="preserve"> </w:t>
      </w:r>
      <w:r w:rsidRPr="00F06197">
        <w:t>an</w:t>
      </w:r>
      <w:r w:rsidRPr="00F06197">
        <w:rPr>
          <w:spacing w:val="-3"/>
        </w:rPr>
        <w:t xml:space="preserve"> </w:t>
      </w:r>
      <w:r w:rsidRPr="00F06197">
        <w:t>OMB expiration date. Further, amending the regulatory text of the CFR to display information that, in an annual publication, could become obsolete would be unduly burdensome and too difficult to keep current.</w:t>
      </w:r>
    </w:p>
    <w:p w:rsidR="004B491B" w:rsidRPr="00F06197" w14:paraId="3D5987F7" w14:textId="77777777">
      <w:pPr>
        <w:pStyle w:val="BodyText"/>
      </w:pPr>
    </w:p>
    <w:p w:rsidR="004B491B" w:rsidRPr="00F06197" w14:paraId="3D5987F8" w14:textId="77777777">
      <w:pPr>
        <w:pStyle w:val="ListParagraph"/>
        <w:numPr>
          <w:ilvl w:val="1"/>
          <w:numId w:val="2"/>
        </w:numPr>
        <w:tabs>
          <w:tab w:val="left" w:pos="1088"/>
        </w:tabs>
        <w:ind w:left="1088" w:hanging="449"/>
      </w:pPr>
      <w:r w:rsidRPr="00F06197">
        <w:rPr>
          <w:u w:val="single"/>
        </w:rPr>
        <w:t>Exceptions</w:t>
      </w:r>
      <w:r w:rsidRPr="00F06197">
        <w:rPr>
          <w:spacing w:val="-8"/>
          <w:u w:val="single"/>
        </w:rPr>
        <w:t xml:space="preserve"> </w:t>
      </w:r>
      <w:r w:rsidRPr="00F06197">
        <w:rPr>
          <w:u w:val="single"/>
        </w:rPr>
        <w:t>to</w:t>
      </w:r>
      <w:r w:rsidRPr="00F06197">
        <w:rPr>
          <w:spacing w:val="-7"/>
          <w:u w:val="single"/>
        </w:rPr>
        <w:t xml:space="preserve"> </w:t>
      </w:r>
      <w:r w:rsidRPr="00F06197">
        <w:rPr>
          <w:u w:val="single"/>
        </w:rPr>
        <w:t>the</w:t>
      </w:r>
      <w:r w:rsidRPr="00F06197">
        <w:rPr>
          <w:spacing w:val="-7"/>
          <w:u w:val="single"/>
        </w:rPr>
        <w:t xml:space="preserve"> </w:t>
      </w:r>
      <w:r w:rsidRPr="00F06197">
        <w:rPr>
          <w:u w:val="single"/>
        </w:rPr>
        <w:t>Certification</w:t>
      </w:r>
      <w:r w:rsidRPr="00F06197">
        <w:rPr>
          <w:spacing w:val="-7"/>
          <w:u w:val="single"/>
        </w:rPr>
        <w:t xml:space="preserve"> </w:t>
      </w:r>
      <w:r w:rsidRPr="00F06197">
        <w:rPr>
          <w:spacing w:val="-2"/>
          <w:u w:val="single"/>
        </w:rPr>
        <w:t>Statement</w:t>
      </w:r>
    </w:p>
    <w:p w:rsidR="004B491B" w:rsidRPr="00F06197" w14:paraId="3D5987F9" w14:textId="77777777">
      <w:pPr>
        <w:pStyle w:val="BodyText"/>
        <w:spacing w:before="10"/>
      </w:pPr>
    </w:p>
    <w:p w:rsidR="004B491B" w:rsidRPr="00F06197" w14:paraId="3D5987FA" w14:textId="77777777">
      <w:pPr>
        <w:pStyle w:val="BodyText"/>
        <w:spacing w:before="93"/>
        <w:ind w:left="1090"/>
      </w:pPr>
      <w:r w:rsidRPr="00F06197">
        <w:rPr>
          <w:spacing w:val="-2"/>
        </w:rPr>
        <w:t>None.</w:t>
      </w:r>
    </w:p>
    <w:p w:rsidR="004B491B" w:rsidRPr="00F06197" w14:paraId="3D5987FB" w14:textId="77777777">
      <w:pPr>
        <w:pStyle w:val="BodyText"/>
      </w:pPr>
    </w:p>
    <w:p w:rsidR="004B491B" w:rsidRPr="00F06197" w14:paraId="3D5987FC" w14:textId="77777777">
      <w:pPr>
        <w:pStyle w:val="ListParagraph"/>
        <w:numPr>
          <w:ilvl w:val="0"/>
          <w:numId w:val="2"/>
        </w:numPr>
        <w:tabs>
          <w:tab w:val="left" w:pos="640"/>
        </w:tabs>
        <w:ind w:hanging="540"/>
      </w:pPr>
      <w:r w:rsidRPr="00F06197">
        <w:rPr>
          <w:u w:val="single"/>
        </w:rPr>
        <w:t>COLLECTIONS</w:t>
      </w:r>
      <w:r w:rsidRPr="00F06197">
        <w:rPr>
          <w:spacing w:val="-12"/>
          <w:u w:val="single"/>
        </w:rPr>
        <w:t xml:space="preserve"> </w:t>
      </w:r>
      <w:r w:rsidRPr="00F06197">
        <w:rPr>
          <w:u w:val="single"/>
        </w:rPr>
        <w:t>OF</w:t>
      </w:r>
      <w:r w:rsidRPr="00F06197">
        <w:rPr>
          <w:spacing w:val="-12"/>
          <w:u w:val="single"/>
        </w:rPr>
        <w:t xml:space="preserve"> </w:t>
      </w:r>
      <w:r w:rsidRPr="00F06197">
        <w:rPr>
          <w:u w:val="single"/>
        </w:rPr>
        <w:t>INFORMATION</w:t>
      </w:r>
      <w:r w:rsidRPr="00F06197">
        <w:rPr>
          <w:spacing w:val="-12"/>
          <w:u w:val="single"/>
        </w:rPr>
        <w:t xml:space="preserve"> </w:t>
      </w:r>
      <w:r w:rsidRPr="00F06197">
        <w:rPr>
          <w:u w:val="single"/>
        </w:rPr>
        <w:t>EMPLOYING</w:t>
      </w:r>
      <w:r w:rsidRPr="00F06197">
        <w:rPr>
          <w:spacing w:val="-12"/>
          <w:u w:val="single"/>
        </w:rPr>
        <w:t xml:space="preserve"> </w:t>
      </w:r>
      <w:r w:rsidRPr="00F06197">
        <w:rPr>
          <w:u w:val="single"/>
        </w:rPr>
        <w:t>STATISTICAL</w:t>
      </w:r>
      <w:r w:rsidRPr="00F06197">
        <w:rPr>
          <w:spacing w:val="-13"/>
          <w:u w:val="single"/>
        </w:rPr>
        <w:t xml:space="preserve"> </w:t>
      </w:r>
      <w:r w:rsidRPr="00F06197">
        <w:rPr>
          <w:spacing w:val="-2"/>
          <w:u w:val="single"/>
        </w:rPr>
        <w:t>METHODS</w:t>
      </w:r>
    </w:p>
    <w:p w:rsidR="004B491B" w:rsidRPr="00F06197" w14:paraId="3D5987FD" w14:textId="77777777">
      <w:pPr>
        <w:pStyle w:val="BodyText"/>
      </w:pPr>
    </w:p>
    <w:p w:rsidR="004B491B" w:rsidRPr="00F06197" w14:paraId="3D5987FE" w14:textId="77777777">
      <w:pPr>
        <w:pStyle w:val="BodyText"/>
        <w:spacing w:before="93"/>
        <w:ind w:left="639"/>
      </w:pPr>
      <w:r w:rsidRPr="00F06197">
        <w:t>Not</w:t>
      </w:r>
      <w:r w:rsidRPr="00F06197">
        <w:rPr>
          <w:spacing w:val="-4"/>
        </w:rPr>
        <w:t xml:space="preserve"> </w:t>
      </w:r>
      <w:r w:rsidRPr="00F06197">
        <w:rPr>
          <w:spacing w:val="-2"/>
        </w:rPr>
        <w:t>applicable.</w:t>
      </w:r>
    </w:p>
    <w:p w:rsidR="004B491B" w:rsidRPr="00F06197" w14:paraId="3D5987FF" w14:textId="77777777">
      <w:pPr>
        <w:sectPr w:rsidSect="00454D8A">
          <w:footerReference w:type="default" r:id="rId11"/>
          <w:pgSz w:w="12240" w:h="15840"/>
          <w:pgMar w:top="1640" w:right="1340" w:bottom="1680" w:left="1340" w:header="0" w:footer="1452" w:gutter="0"/>
          <w:cols w:space="720"/>
        </w:sectPr>
      </w:pPr>
    </w:p>
    <w:p w:rsidR="004B491B" w:rsidRPr="00F06197" w14:paraId="3D598800" w14:textId="77777777">
      <w:pPr>
        <w:pStyle w:val="BodyText"/>
        <w:spacing w:before="73"/>
        <w:ind w:left="100"/>
      </w:pPr>
      <w:r w:rsidRPr="00F06197">
        <w:t>Supplementary</w:t>
      </w:r>
      <w:r w:rsidRPr="00F06197">
        <w:rPr>
          <w:spacing w:val="-15"/>
        </w:rPr>
        <w:t xml:space="preserve"> </w:t>
      </w:r>
      <w:r w:rsidRPr="00F06197">
        <w:rPr>
          <w:spacing w:val="-2"/>
        </w:rPr>
        <w:t>Documents:</w:t>
      </w:r>
    </w:p>
    <w:p w:rsidR="004B491B" w:rsidRPr="00F06197" w14:paraId="3D598801" w14:textId="68846B58">
      <w:pPr>
        <w:pStyle w:val="ListParagraph"/>
        <w:numPr>
          <w:ilvl w:val="1"/>
          <w:numId w:val="2"/>
        </w:numPr>
        <w:tabs>
          <w:tab w:val="left" w:pos="818"/>
        </w:tabs>
        <w:spacing w:before="1"/>
        <w:ind w:left="818" w:hanging="359"/>
      </w:pPr>
      <w:r w:rsidRPr="00F06197">
        <w:t>Table</w:t>
      </w:r>
      <w:r w:rsidRPr="00F06197">
        <w:rPr>
          <w:spacing w:val="-4"/>
        </w:rPr>
        <w:t xml:space="preserve"> </w:t>
      </w:r>
      <w:r w:rsidRPr="00F06197">
        <w:t>1</w:t>
      </w:r>
      <w:r w:rsidRPr="00F06197">
        <w:rPr>
          <w:spacing w:val="-4"/>
        </w:rPr>
        <w:t xml:space="preserve"> </w:t>
      </w:r>
      <w:r w:rsidRPr="00F06197">
        <w:t>-</w:t>
      </w:r>
      <w:r w:rsidRPr="00F06197">
        <w:rPr>
          <w:spacing w:val="-3"/>
        </w:rPr>
        <w:t xml:space="preserve"> </w:t>
      </w:r>
      <w:r w:rsidRPr="00F06197" w:rsidR="0092277E">
        <w:t>Summary of Supporting Statements (</w:t>
      </w:r>
      <w:r w:rsidRPr="00F06197">
        <w:t>Burden</w:t>
      </w:r>
      <w:r w:rsidRPr="00F06197">
        <w:rPr>
          <w:spacing w:val="-4"/>
        </w:rPr>
        <w:t xml:space="preserve"> </w:t>
      </w:r>
      <w:r w:rsidRPr="00F06197" w:rsidR="0092277E">
        <w:rPr>
          <w:spacing w:val="-4"/>
        </w:rPr>
        <w:t>S</w:t>
      </w:r>
      <w:r w:rsidRPr="00F06197">
        <w:rPr>
          <w:spacing w:val="-2"/>
        </w:rPr>
        <w:t>preadsheet</w:t>
      </w:r>
      <w:r w:rsidRPr="00F06197" w:rsidR="0092277E">
        <w:rPr>
          <w:spacing w:val="-2"/>
        </w:rPr>
        <w:t>)</w:t>
      </w:r>
    </w:p>
    <w:p w:rsidR="004B491B" w:rsidRPr="00F06197" w14:paraId="3D598802" w14:textId="77777777">
      <w:pPr>
        <w:pStyle w:val="ListParagraph"/>
        <w:numPr>
          <w:ilvl w:val="1"/>
          <w:numId w:val="2"/>
        </w:numPr>
        <w:tabs>
          <w:tab w:val="left" w:pos="819"/>
        </w:tabs>
        <w:ind w:left="819" w:right="993" w:hanging="360"/>
      </w:pPr>
      <w:r w:rsidRPr="00F06197">
        <w:t>Supporting</w:t>
      </w:r>
      <w:r w:rsidRPr="00F06197">
        <w:rPr>
          <w:spacing w:val="-4"/>
        </w:rPr>
        <w:t xml:space="preserve"> </w:t>
      </w:r>
      <w:r w:rsidRPr="00F06197">
        <w:t>Statement</w:t>
      </w:r>
      <w:r w:rsidRPr="00F06197">
        <w:rPr>
          <w:spacing w:val="-4"/>
        </w:rPr>
        <w:t xml:space="preserve"> </w:t>
      </w:r>
      <w:r w:rsidRPr="00F06197">
        <w:t>Section</w:t>
      </w:r>
      <w:r w:rsidRPr="00F06197">
        <w:rPr>
          <w:spacing w:val="-4"/>
        </w:rPr>
        <w:t xml:space="preserve"> </w:t>
      </w:r>
      <w:r w:rsidRPr="00F06197">
        <w:t>2</w:t>
      </w:r>
      <w:r w:rsidRPr="00F06197">
        <w:rPr>
          <w:spacing w:val="-4"/>
        </w:rPr>
        <w:t xml:space="preserve"> </w:t>
      </w:r>
      <w:r w:rsidRPr="00F06197">
        <w:t>–</w:t>
      </w:r>
      <w:r w:rsidRPr="00F06197">
        <w:rPr>
          <w:spacing w:val="-4"/>
        </w:rPr>
        <w:t xml:space="preserve"> </w:t>
      </w:r>
      <w:r w:rsidRPr="00F06197">
        <w:t>“Applications</w:t>
      </w:r>
      <w:r w:rsidRPr="00F06197">
        <w:rPr>
          <w:spacing w:val="-4"/>
        </w:rPr>
        <w:t xml:space="preserve"> </w:t>
      </w:r>
      <w:r w:rsidRPr="00F06197">
        <w:t>for</w:t>
      </w:r>
      <w:r w:rsidRPr="00F06197">
        <w:rPr>
          <w:spacing w:val="-4"/>
        </w:rPr>
        <w:t xml:space="preserve"> </w:t>
      </w:r>
      <w:r w:rsidRPr="00F06197">
        <w:t>Licenses,</w:t>
      </w:r>
      <w:r w:rsidRPr="00F06197">
        <w:rPr>
          <w:spacing w:val="-4"/>
        </w:rPr>
        <w:t xml:space="preserve"> </w:t>
      </w:r>
      <w:r w:rsidRPr="00F06197">
        <w:t>Certifications,</w:t>
      </w:r>
      <w:r w:rsidRPr="00F06197">
        <w:rPr>
          <w:spacing w:val="-4"/>
        </w:rPr>
        <w:t xml:space="preserve"> </w:t>
      </w:r>
      <w:r w:rsidRPr="00F06197">
        <w:t>and Regulatory Approvals”</w:t>
      </w:r>
    </w:p>
    <w:p w:rsidR="004B491B" w:rsidRPr="00F06197" w14:paraId="3D598803" w14:textId="77777777">
      <w:pPr>
        <w:pStyle w:val="ListParagraph"/>
        <w:numPr>
          <w:ilvl w:val="1"/>
          <w:numId w:val="2"/>
        </w:numPr>
        <w:tabs>
          <w:tab w:val="left" w:pos="818"/>
        </w:tabs>
        <w:spacing w:line="252" w:lineRule="exact"/>
        <w:ind w:left="818" w:hanging="359"/>
      </w:pPr>
      <w:r w:rsidRPr="00F06197">
        <w:t>Supporting</w:t>
      </w:r>
      <w:r w:rsidRPr="00F06197">
        <w:rPr>
          <w:spacing w:val="-7"/>
        </w:rPr>
        <w:t xml:space="preserve"> </w:t>
      </w:r>
      <w:r w:rsidRPr="00F06197">
        <w:t>Statement</w:t>
      </w:r>
      <w:r w:rsidRPr="00F06197">
        <w:rPr>
          <w:spacing w:val="-6"/>
        </w:rPr>
        <w:t xml:space="preserve"> </w:t>
      </w:r>
      <w:r w:rsidRPr="00F06197">
        <w:t>Section</w:t>
      </w:r>
      <w:r w:rsidRPr="00F06197">
        <w:rPr>
          <w:spacing w:val="-6"/>
        </w:rPr>
        <w:t xml:space="preserve"> </w:t>
      </w:r>
      <w:r w:rsidRPr="00F06197">
        <w:t>3</w:t>
      </w:r>
      <w:r w:rsidRPr="00F06197">
        <w:rPr>
          <w:spacing w:val="-7"/>
        </w:rPr>
        <w:t xml:space="preserve"> </w:t>
      </w:r>
      <w:r w:rsidRPr="00F06197">
        <w:t>–</w:t>
      </w:r>
      <w:r w:rsidRPr="00F06197">
        <w:rPr>
          <w:spacing w:val="-6"/>
        </w:rPr>
        <w:t xml:space="preserve"> </w:t>
      </w:r>
      <w:r w:rsidRPr="00F06197">
        <w:rPr>
          <w:spacing w:val="-2"/>
        </w:rPr>
        <w:t>“Decommissioning”</w:t>
      </w:r>
    </w:p>
    <w:p w:rsidR="004B491B" w:rsidRPr="00F06197" w14:paraId="3D598804" w14:textId="77777777">
      <w:pPr>
        <w:pStyle w:val="ListParagraph"/>
        <w:numPr>
          <w:ilvl w:val="1"/>
          <w:numId w:val="2"/>
        </w:numPr>
        <w:tabs>
          <w:tab w:val="left" w:pos="818"/>
        </w:tabs>
        <w:ind w:left="818" w:hanging="359"/>
      </w:pPr>
      <w:r w:rsidRPr="00F06197">
        <w:t>Supporting</w:t>
      </w:r>
      <w:r w:rsidRPr="00F06197">
        <w:rPr>
          <w:spacing w:val="-9"/>
        </w:rPr>
        <w:t xml:space="preserve"> </w:t>
      </w:r>
      <w:r w:rsidRPr="00F06197">
        <w:t>Statement</w:t>
      </w:r>
      <w:r w:rsidRPr="00F06197">
        <w:rPr>
          <w:spacing w:val="-8"/>
        </w:rPr>
        <w:t xml:space="preserve"> </w:t>
      </w:r>
      <w:r w:rsidRPr="00F06197">
        <w:t>Section</w:t>
      </w:r>
      <w:r w:rsidRPr="00F06197">
        <w:rPr>
          <w:spacing w:val="-8"/>
        </w:rPr>
        <w:t xml:space="preserve"> </w:t>
      </w:r>
      <w:r w:rsidRPr="00F06197">
        <w:t>4</w:t>
      </w:r>
      <w:r w:rsidRPr="00F06197">
        <w:rPr>
          <w:spacing w:val="-8"/>
        </w:rPr>
        <w:t xml:space="preserve"> </w:t>
      </w:r>
      <w:r w:rsidRPr="00F06197">
        <w:t>–</w:t>
      </w:r>
      <w:r w:rsidRPr="00F06197">
        <w:rPr>
          <w:spacing w:val="-8"/>
        </w:rPr>
        <w:t xml:space="preserve"> </w:t>
      </w:r>
      <w:r w:rsidRPr="00F06197">
        <w:t>“Inspections,</w:t>
      </w:r>
      <w:r w:rsidRPr="00F06197">
        <w:rPr>
          <w:spacing w:val="-8"/>
        </w:rPr>
        <w:t xml:space="preserve"> </w:t>
      </w:r>
      <w:r w:rsidRPr="00F06197">
        <w:t>Records,</w:t>
      </w:r>
      <w:r w:rsidRPr="00F06197">
        <w:rPr>
          <w:spacing w:val="-9"/>
        </w:rPr>
        <w:t xml:space="preserve"> </w:t>
      </w:r>
      <w:r w:rsidRPr="00F06197">
        <w:t>Reports,</w:t>
      </w:r>
      <w:r w:rsidRPr="00F06197">
        <w:rPr>
          <w:spacing w:val="-8"/>
        </w:rPr>
        <w:t xml:space="preserve"> </w:t>
      </w:r>
      <w:r w:rsidRPr="00F06197">
        <w:rPr>
          <w:spacing w:val="-2"/>
        </w:rPr>
        <w:t>Notifications”</w:t>
      </w:r>
    </w:p>
    <w:p w:rsidR="004B491B" w:rsidRPr="00F06197" w14:paraId="3D598805" w14:textId="77777777">
      <w:pPr>
        <w:pStyle w:val="ListParagraph"/>
        <w:numPr>
          <w:ilvl w:val="1"/>
          <w:numId w:val="2"/>
        </w:numPr>
        <w:tabs>
          <w:tab w:val="left" w:pos="819"/>
        </w:tabs>
        <w:ind w:left="819" w:right="496" w:hanging="360"/>
      </w:pPr>
      <w:r w:rsidRPr="00F06197">
        <w:t>Supporting</w:t>
      </w:r>
      <w:r w:rsidRPr="00F06197">
        <w:rPr>
          <w:spacing w:val="-4"/>
        </w:rPr>
        <w:t xml:space="preserve"> </w:t>
      </w:r>
      <w:r w:rsidRPr="00F06197">
        <w:t>Statement</w:t>
      </w:r>
      <w:r w:rsidRPr="00F06197">
        <w:rPr>
          <w:spacing w:val="-4"/>
        </w:rPr>
        <w:t xml:space="preserve"> </w:t>
      </w:r>
      <w:r w:rsidRPr="00F06197">
        <w:t>Section</w:t>
      </w:r>
      <w:r w:rsidRPr="00F06197">
        <w:rPr>
          <w:spacing w:val="-4"/>
        </w:rPr>
        <w:t xml:space="preserve"> </w:t>
      </w:r>
      <w:r w:rsidRPr="00F06197">
        <w:t>5</w:t>
      </w:r>
      <w:r w:rsidRPr="00F06197">
        <w:rPr>
          <w:spacing w:val="-4"/>
        </w:rPr>
        <w:t xml:space="preserve"> </w:t>
      </w:r>
      <w:r w:rsidRPr="00F06197">
        <w:t>–</w:t>
      </w:r>
      <w:r w:rsidRPr="00F06197">
        <w:rPr>
          <w:spacing w:val="-4"/>
        </w:rPr>
        <w:t xml:space="preserve"> </w:t>
      </w:r>
      <w:r w:rsidRPr="00F06197">
        <w:t>“Issuance,</w:t>
      </w:r>
      <w:r w:rsidRPr="00F06197">
        <w:rPr>
          <w:spacing w:val="-4"/>
        </w:rPr>
        <w:t xml:space="preserve"> </w:t>
      </w:r>
      <w:r w:rsidRPr="00F06197">
        <w:t>Limitations,</w:t>
      </w:r>
      <w:r w:rsidRPr="00F06197">
        <w:rPr>
          <w:spacing w:val="-4"/>
        </w:rPr>
        <w:t xml:space="preserve"> </w:t>
      </w:r>
      <w:r w:rsidRPr="00F06197">
        <w:t>and</w:t>
      </w:r>
      <w:r w:rsidRPr="00F06197">
        <w:rPr>
          <w:spacing w:val="-4"/>
        </w:rPr>
        <w:t xml:space="preserve"> </w:t>
      </w:r>
      <w:r w:rsidRPr="00F06197">
        <w:t>Conditions</w:t>
      </w:r>
      <w:r w:rsidRPr="00F06197">
        <w:rPr>
          <w:spacing w:val="-4"/>
        </w:rPr>
        <w:t xml:space="preserve"> </w:t>
      </w:r>
      <w:r w:rsidRPr="00F06197">
        <w:t>of</w:t>
      </w:r>
      <w:r w:rsidRPr="00F06197">
        <w:rPr>
          <w:spacing w:val="-4"/>
        </w:rPr>
        <w:t xml:space="preserve"> </w:t>
      </w:r>
      <w:r w:rsidRPr="00F06197">
        <w:t>Licenses and Construction Permits”</w:t>
      </w:r>
    </w:p>
    <w:p w:rsidR="004B491B" w:rsidRPr="00F06197" w14:paraId="3D598806" w14:textId="77777777">
      <w:pPr>
        <w:pStyle w:val="ListParagraph"/>
        <w:numPr>
          <w:ilvl w:val="1"/>
          <w:numId w:val="2"/>
        </w:numPr>
        <w:tabs>
          <w:tab w:val="left" w:pos="818"/>
        </w:tabs>
        <w:spacing w:before="1" w:line="252" w:lineRule="exact"/>
        <w:ind w:left="818" w:hanging="359"/>
      </w:pPr>
      <w:r w:rsidRPr="00F06197">
        <w:t>Supporting</w:t>
      </w:r>
      <w:r w:rsidRPr="00F06197">
        <w:rPr>
          <w:spacing w:val="-7"/>
        </w:rPr>
        <w:t xml:space="preserve"> </w:t>
      </w:r>
      <w:r w:rsidRPr="00F06197">
        <w:t>Statement</w:t>
      </w:r>
      <w:r w:rsidRPr="00F06197">
        <w:rPr>
          <w:spacing w:val="-7"/>
        </w:rPr>
        <w:t xml:space="preserve"> </w:t>
      </w:r>
      <w:r w:rsidRPr="00F06197">
        <w:t>Section</w:t>
      </w:r>
      <w:r w:rsidRPr="00F06197">
        <w:rPr>
          <w:spacing w:val="-6"/>
        </w:rPr>
        <w:t xml:space="preserve"> </w:t>
      </w:r>
      <w:r w:rsidRPr="00F06197">
        <w:t>6</w:t>
      </w:r>
      <w:r w:rsidRPr="00F06197">
        <w:rPr>
          <w:spacing w:val="-7"/>
        </w:rPr>
        <w:t xml:space="preserve"> </w:t>
      </w:r>
      <w:r w:rsidRPr="00F06197">
        <w:t>-</w:t>
      </w:r>
      <w:r w:rsidRPr="00F06197">
        <w:rPr>
          <w:spacing w:val="-6"/>
        </w:rPr>
        <w:t xml:space="preserve"> </w:t>
      </w:r>
      <w:r w:rsidRPr="00F06197">
        <w:t>“License</w:t>
      </w:r>
      <w:r w:rsidRPr="00F06197">
        <w:rPr>
          <w:spacing w:val="-7"/>
        </w:rPr>
        <w:t xml:space="preserve"> </w:t>
      </w:r>
      <w:r w:rsidRPr="00F06197">
        <w:rPr>
          <w:spacing w:val="-2"/>
        </w:rPr>
        <w:t>Requirements”</w:t>
      </w:r>
    </w:p>
    <w:p w:rsidR="004B491B" w:rsidRPr="00F06197" w14:paraId="3D598807" w14:textId="77777777">
      <w:pPr>
        <w:pStyle w:val="ListParagraph"/>
        <w:numPr>
          <w:ilvl w:val="1"/>
          <w:numId w:val="2"/>
        </w:numPr>
        <w:tabs>
          <w:tab w:val="left" w:pos="819"/>
        </w:tabs>
        <w:ind w:left="819" w:right="1179" w:hanging="360"/>
      </w:pPr>
      <w:r w:rsidRPr="00F06197">
        <w:t>Supporting</w:t>
      </w:r>
      <w:r w:rsidRPr="00F06197">
        <w:rPr>
          <w:spacing w:val="-4"/>
        </w:rPr>
        <w:t xml:space="preserve"> </w:t>
      </w:r>
      <w:r w:rsidRPr="00F06197">
        <w:t>Statement</w:t>
      </w:r>
      <w:r w:rsidRPr="00F06197">
        <w:rPr>
          <w:spacing w:val="-4"/>
        </w:rPr>
        <w:t xml:space="preserve"> </w:t>
      </w:r>
      <w:r w:rsidRPr="00F06197">
        <w:t>Section</w:t>
      </w:r>
      <w:r w:rsidRPr="00F06197">
        <w:rPr>
          <w:spacing w:val="-4"/>
        </w:rPr>
        <w:t xml:space="preserve"> </w:t>
      </w:r>
      <w:r w:rsidRPr="00F06197">
        <w:t>7</w:t>
      </w:r>
      <w:r w:rsidRPr="00F06197">
        <w:rPr>
          <w:spacing w:val="-4"/>
        </w:rPr>
        <w:t xml:space="preserve"> </w:t>
      </w:r>
      <w:r w:rsidRPr="00F06197">
        <w:t>–</w:t>
      </w:r>
      <w:r w:rsidRPr="00F06197">
        <w:rPr>
          <w:spacing w:val="-4"/>
        </w:rPr>
        <w:t xml:space="preserve"> </w:t>
      </w:r>
      <w:r w:rsidRPr="00F06197">
        <w:t>“Standards</w:t>
      </w:r>
      <w:r w:rsidRPr="00F06197">
        <w:rPr>
          <w:spacing w:val="-4"/>
        </w:rPr>
        <w:t xml:space="preserve"> </w:t>
      </w:r>
      <w:r w:rsidRPr="00F06197">
        <w:t>for</w:t>
      </w:r>
      <w:r w:rsidRPr="00F06197">
        <w:rPr>
          <w:spacing w:val="-4"/>
        </w:rPr>
        <w:t xml:space="preserve"> </w:t>
      </w:r>
      <w:r w:rsidRPr="00F06197">
        <w:t>Licenses,</w:t>
      </w:r>
      <w:r w:rsidRPr="00F06197">
        <w:rPr>
          <w:spacing w:val="-5"/>
        </w:rPr>
        <w:t xml:space="preserve"> </w:t>
      </w:r>
      <w:r w:rsidRPr="00F06197">
        <w:t>Certifications,</w:t>
      </w:r>
      <w:r w:rsidRPr="00F06197">
        <w:rPr>
          <w:spacing w:val="-4"/>
        </w:rPr>
        <w:t xml:space="preserve"> </w:t>
      </w:r>
      <w:r w:rsidRPr="00F06197">
        <w:t>and Regulatory Approvals”</w:t>
      </w:r>
    </w:p>
    <w:sectPr>
      <w:pgSz w:w="12240" w:h="15840"/>
      <w:pgMar w:top="1640" w:right="1340" w:bottom="1680" w:left="1340" w:header="0" w:footer="145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50277471"/>
      <w:docPartObj>
        <w:docPartGallery w:val="Page Numbers (Bottom of Page)"/>
        <w:docPartUnique/>
      </w:docPartObj>
    </w:sdtPr>
    <w:sdtEndPr>
      <w:rPr>
        <w:noProof/>
      </w:rPr>
    </w:sdtEndPr>
    <w:sdtContent>
      <w:p w:rsidR="00930CEF" w14:paraId="0A2B6F91" w14:textId="676A6A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B491B" w14:paraId="3D59880A" w14:textId="792B38B5">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12326" w14:paraId="4CA13CCF" w14:textId="77777777">
      <w:r>
        <w:separator/>
      </w:r>
    </w:p>
  </w:footnote>
  <w:footnote w:type="continuationSeparator" w:id="1">
    <w:p w:rsidR="00712326" w14:paraId="78498A48" w14:textId="77777777">
      <w:r>
        <w:continuationSeparator/>
      </w:r>
    </w:p>
  </w:footnote>
  <w:footnote w:type="continuationNotice" w:id="2">
    <w:p w:rsidR="00712326" w14:paraId="29F07E7C" w14:textId="77777777"/>
  </w:footnote>
  <w:footnote w:id="3">
    <w:p w:rsidR="00A10BC2" w14:paraId="6644A00D" w14:textId="78250FD1">
      <w:pPr>
        <w:pStyle w:val="FootnoteText"/>
      </w:pPr>
      <w:r>
        <w:rPr>
          <w:rStyle w:val="FootnoteReference"/>
        </w:rPr>
        <w:footnoteRef/>
      </w:r>
      <w:r>
        <w:t xml:space="preserve"> Items</w:t>
      </w:r>
      <w:r>
        <w:rPr>
          <w:spacing w:val="-4"/>
        </w:rPr>
        <w:t xml:space="preserve"> </w:t>
      </w:r>
      <w:r>
        <w:t>12,</w:t>
      </w:r>
      <w:r>
        <w:rPr>
          <w:spacing w:val="-4"/>
        </w:rPr>
        <w:t xml:space="preserve"> </w:t>
      </w:r>
      <w:r>
        <w:t>13</w:t>
      </w:r>
      <w:r>
        <w:rPr>
          <w:spacing w:val="-4"/>
        </w:rPr>
        <w:t xml:space="preserve"> </w:t>
      </w:r>
      <w:r>
        <w:t>and</w:t>
      </w:r>
      <w:r>
        <w:rPr>
          <w:spacing w:val="-4"/>
        </w:rPr>
        <w:t xml:space="preserve"> </w:t>
      </w:r>
      <w:r>
        <w:t>14</w:t>
      </w:r>
      <w:r>
        <w:rPr>
          <w:spacing w:val="-4"/>
        </w:rPr>
        <w:t xml:space="preserve"> </w:t>
      </w:r>
      <w:r>
        <w:t>are</w:t>
      </w:r>
      <w:r>
        <w:rPr>
          <w:spacing w:val="-4"/>
        </w:rPr>
        <w:t xml:space="preserve"> </w:t>
      </w:r>
      <w:r>
        <w:t>covered</w:t>
      </w:r>
      <w:r>
        <w:rPr>
          <w:spacing w:val="-4"/>
        </w:rPr>
        <w:t xml:space="preserve"> </w:t>
      </w:r>
      <w:r>
        <w:t>in</w:t>
      </w:r>
      <w:r>
        <w:rPr>
          <w:spacing w:val="-4"/>
        </w:rPr>
        <w:t xml:space="preserve"> </w:t>
      </w:r>
      <w:r>
        <w:t>the</w:t>
      </w:r>
      <w:r>
        <w:rPr>
          <w:spacing w:val="-4"/>
        </w:rPr>
        <w:t xml:space="preserve"> </w:t>
      </w:r>
      <w:r>
        <w:t>section-specific</w:t>
      </w:r>
      <w:r>
        <w:rPr>
          <w:spacing w:val="-4"/>
        </w:rPr>
        <w:t xml:space="preserve"> </w:t>
      </w:r>
      <w:r>
        <w:t>statements</w:t>
      </w:r>
      <w:r>
        <w:rPr>
          <w:spacing w:val="-4"/>
        </w:rPr>
        <w:t xml:space="preserve"> </w:t>
      </w:r>
      <w:r>
        <w:t>(see Supplementary Document 2, Sections 2 through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970E5C"/>
    <w:multiLevelType w:val="hybridMultilevel"/>
    <w:tmpl w:val="FF367596"/>
    <w:lvl w:ilvl="0">
      <w:start w:val="0"/>
      <w:numFmt w:val="bullet"/>
      <w:lvlText w:val=""/>
      <w:lvlJc w:val="left"/>
      <w:pPr>
        <w:ind w:left="460" w:hanging="361"/>
      </w:pPr>
      <w:rPr>
        <w:rFonts w:ascii="Symbol" w:eastAsia="Symbol" w:hAnsi="Symbol" w:cs="Symbol" w:hint="default"/>
        <w:b w:val="0"/>
        <w:bCs w:val="0"/>
        <w:i w:val="0"/>
        <w:iCs w:val="0"/>
        <w:spacing w:val="0"/>
        <w:w w:val="99"/>
        <w:sz w:val="22"/>
        <w:szCs w:val="22"/>
        <w:lang w:val="en-US" w:eastAsia="en-US" w:bidi="ar-SA"/>
      </w:rPr>
    </w:lvl>
    <w:lvl w:ilvl="1">
      <w:start w:val="0"/>
      <w:numFmt w:val="bullet"/>
      <w:lvlText w:val="•"/>
      <w:lvlJc w:val="left"/>
      <w:pPr>
        <w:ind w:left="1370" w:hanging="361"/>
      </w:pPr>
      <w:rPr>
        <w:rFonts w:hint="default"/>
        <w:lang w:val="en-US" w:eastAsia="en-US" w:bidi="ar-SA"/>
      </w:rPr>
    </w:lvl>
    <w:lvl w:ilvl="2">
      <w:start w:val="0"/>
      <w:numFmt w:val="bullet"/>
      <w:lvlText w:val="•"/>
      <w:lvlJc w:val="left"/>
      <w:pPr>
        <w:ind w:left="2280" w:hanging="361"/>
      </w:pPr>
      <w:rPr>
        <w:rFonts w:hint="default"/>
        <w:lang w:val="en-US" w:eastAsia="en-US" w:bidi="ar-SA"/>
      </w:rPr>
    </w:lvl>
    <w:lvl w:ilvl="3">
      <w:start w:val="0"/>
      <w:numFmt w:val="bullet"/>
      <w:lvlText w:val="•"/>
      <w:lvlJc w:val="left"/>
      <w:pPr>
        <w:ind w:left="3190" w:hanging="361"/>
      </w:pPr>
      <w:rPr>
        <w:rFonts w:hint="default"/>
        <w:lang w:val="en-US" w:eastAsia="en-US" w:bidi="ar-SA"/>
      </w:rPr>
    </w:lvl>
    <w:lvl w:ilvl="4">
      <w:start w:val="0"/>
      <w:numFmt w:val="bullet"/>
      <w:lvlText w:val="•"/>
      <w:lvlJc w:val="left"/>
      <w:pPr>
        <w:ind w:left="4100" w:hanging="361"/>
      </w:pPr>
      <w:rPr>
        <w:rFonts w:hint="default"/>
        <w:lang w:val="en-US" w:eastAsia="en-US" w:bidi="ar-SA"/>
      </w:rPr>
    </w:lvl>
    <w:lvl w:ilvl="5">
      <w:start w:val="0"/>
      <w:numFmt w:val="bullet"/>
      <w:lvlText w:val="•"/>
      <w:lvlJc w:val="left"/>
      <w:pPr>
        <w:ind w:left="5010" w:hanging="361"/>
      </w:pPr>
      <w:rPr>
        <w:rFonts w:hint="default"/>
        <w:lang w:val="en-US" w:eastAsia="en-US" w:bidi="ar-SA"/>
      </w:rPr>
    </w:lvl>
    <w:lvl w:ilvl="6">
      <w:start w:val="0"/>
      <w:numFmt w:val="bullet"/>
      <w:lvlText w:val="•"/>
      <w:lvlJc w:val="left"/>
      <w:pPr>
        <w:ind w:left="5920" w:hanging="361"/>
      </w:pPr>
      <w:rPr>
        <w:rFonts w:hint="default"/>
        <w:lang w:val="en-US" w:eastAsia="en-US" w:bidi="ar-SA"/>
      </w:rPr>
    </w:lvl>
    <w:lvl w:ilvl="7">
      <w:start w:val="0"/>
      <w:numFmt w:val="bullet"/>
      <w:lvlText w:val="•"/>
      <w:lvlJc w:val="left"/>
      <w:pPr>
        <w:ind w:left="6830" w:hanging="361"/>
      </w:pPr>
      <w:rPr>
        <w:rFonts w:hint="default"/>
        <w:lang w:val="en-US" w:eastAsia="en-US" w:bidi="ar-SA"/>
      </w:rPr>
    </w:lvl>
    <w:lvl w:ilvl="8">
      <w:start w:val="0"/>
      <w:numFmt w:val="bullet"/>
      <w:lvlText w:val="•"/>
      <w:lvlJc w:val="left"/>
      <w:pPr>
        <w:ind w:left="7740" w:hanging="361"/>
      </w:pPr>
      <w:rPr>
        <w:rFonts w:hint="default"/>
        <w:lang w:val="en-US" w:eastAsia="en-US" w:bidi="ar-SA"/>
      </w:rPr>
    </w:lvl>
  </w:abstractNum>
  <w:abstractNum w:abstractNumId="1">
    <w:nsid w:val="6EA04B11"/>
    <w:multiLevelType w:val="hybridMultilevel"/>
    <w:tmpl w:val="0DB89FEC"/>
    <w:lvl w:ilvl="0">
      <w:start w:val="1"/>
      <w:numFmt w:val="upperLetter"/>
      <w:lvlText w:val="%1."/>
      <w:lvlJc w:val="left"/>
      <w:pPr>
        <w:ind w:left="640" w:hanging="541"/>
        <w:jc w:val="left"/>
      </w:pPr>
      <w:rPr>
        <w:rFonts w:ascii="Arial" w:eastAsia="Arial" w:hAnsi="Arial" w:cs="Arial" w:hint="default"/>
        <w:b w:val="0"/>
        <w:bCs w:val="0"/>
        <w:i w:val="0"/>
        <w:iCs w:val="0"/>
        <w:spacing w:val="0"/>
        <w:w w:val="99"/>
        <w:sz w:val="22"/>
        <w:szCs w:val="22"/>
        <w:lang w:val="en-US" w:eastAsia="en-US" w:bidi="ar-SA"/>
      </w:rPr>
    </w:lvl>
    <w:lvl w:ilvl="1">
      <w:start w:val="1"/>
      <w:numFmt w:val="decimal"/>
      <w:lvlText w:val="%2."/>
      <w:lvlJc w:val="left"/>
      <w:pPr>
        <w:ind w:left="1090" w:hanging="451"/>
        <w:jc w:val="left"/>
      </w:pPr>
      <w:rPr>
        <w:rFonts w:ascii="Arial" w:eastAsia="Arial" w:hAnsi="Arial" w:cs="Arial" w:hint="default"/>
        <w:b w:val="0"/>
        <w:bCs w:val="0"/>
        <w:i w:val="0"/>
        <w:iCs w:val="0"/>
        <w:spacing w:val="0"/>
        <w:w w:val="88"/>
        <w:sz w:val="22"/>
        <w:szCs w:val="22"/>
        <w:lang w:val="en-US" w:eastAsia="en-US" w:bidi="ar-SA"/>
      </w:rPr>
    </w:lvl>
    <w:lvl w:ilvl="2">
      <w:start w:val="0"/>
      <w:numFmt w:val="bullet"/>
      <w:lvlText w:val="•"/>
      <w:lvlJc w:val="left"/>
      <w:pPr>
        <w:ind w:left="1100" w:hanging="451"/>
      </w:pPr>
      <w:rPr>
        <w:rFonts w:hint="default"/>
        <w:lang w:val="en-US" w:eastAsia="en-US" w:bidi="ar-SA"/>
      </w:rPr>
    </w:lvl>
    <w:lvl w:ilvl="3">
      <w:start w:val="0"/>
      <w:numFmt w:val="bullet"/>
      <w:lvlText w:val="•"/>
      <w:lvlJc w:val="left"/>
      <w:pPr>
        <w:ind w:left="2157" w:hanging="451"/>
      </w:pPr>
      <w:rPr>
        <w:rFonts w:hint="default"/>
        <w:lang w:val="en-US" w:eastAsia="en-US" w:bidi="ar-SA"/>
      </w:rPr>
    </w:lvl>
    <w:lvl w:ilvl="4">
      <w:start w:val="0"/>
      <w:numFmt w:val="bullet"/>
      <w:lvlText w:val="•"/>
      <w:lvlJc w:val="left"/>
      <w:pPr>
        <w:ind w:left="3215" w:hanging="451"/>
      </w:pPr>
      <w:rPr>
        <w:rFonts w:hint="default"/>
        <w:lang w:val="en-US" w:eastAsia="en-US" w:bidi="ar-SA"/>
      </w:rPr>
    </w:lvl>
    <w:lvl w:ilvl="5">
      <w:start w:val="0"/>
      <w:numFmt w:val="bullet"/>
      <w:lvlText w:val="•"/>
      <w:lvlJc w:val="left"/>
      <w:pPr>
        <w:ind w:left="4272" w:hanging="451"/>
      </w:pPr>
      <w:rPr>
        <w:rFonts w:hint="default"/>
        <w:lang w:val="en-US" w:eastAsia="en-US" w:bidi="ar-SA"/>
      </w:rPr>
    </w:lvl>
    <w:lvl w:ilvl="6">
      <w:start w:val="0"/>
      <w:numFmt w:val="bullet"/>
      <w:lvlText w:val="•"/>
      <w:lvlJc w:val="left"/>
      <w:pPr>
        <w:ind w:left="5330" w:hanging="451"/>
      </w:pPr>
      <w:rPr>
        <w:rFonts w:hint="default"/>
        <w:lang w:val="en-US" w:eastAsia="en-US" w:bidi="ar-SA"/>
      </w:rPr>
    </w:lvl>
    <w:lvl w:ilvl="7">
      <w:start w:val="0"/>
      <w:numFmt w:val="bullet"/>
      <w:lvlText w:val="•"/>
      <w:lvlJc w:val="left"/>
      <w:pPr>
        <w:ind w:left="6387" w:hanging="451"/>
      </w:pPr>
      <w:rPr>
        <w:rFonts w:hint="default"/>
        <w:lang w:val="en-US" w:eastAsia="en-US" w:bidi="ar-SA"/>
      </w:rPr>
    </w:lvl>
    <w:lvl w:ilvl="8">
      <w:start w:val="0"/>
      <w:numFmt w:val="bullet"/>
      <w:lvlText w:val="•"/>
      <w:lvlJc w:val="left"/>
      <w:pPr>
        <w:ind w:left="7445" w:hanging="451"/>
      </w:pPr>
      <w:rPr>
        <w:rFonts w:hint="default"/>
        <w:lang w:val="en-US" w:eastAsia="en-US" w:bidi="ar-SA"/>
      </w:rPr>
    </w:lvl>
  </w:abstractNum>
  <w:num w:numId="1" w16cid:durableId="152987595">
    <w:abstractNumId w:val="0"/>
  </w:num>
  <w:num w:numId="2" w16cid:durableId="1177312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91B"/>
    <w:rsid w:val="000170A3"/>
    <w:rsid w:val="000202E8"/>
    <w:rsid w:val="00030FEC"/>
    <w:rsid w:val="000524CC"/>
    <w:rsid w:val="00054C96"/>
    <w:rsid w:val="000774BE"/>
    <w:rsid w:val="000833F6"/>
    <w:rsid w:val="000A61CC"/>
    <w:rsid w:val="000C2896"/>
    <w:rsid w:val="000E0F91"/>
    <w:rsid w:val="000E1E9D"/>
    <w:rsid w:val="000E1EF3"/>
    <w:rsid w:val="000E5966"/>
    <w:rsid w:val="000F48D5"/>
    <w:rsid w:val="001006DC"/>
    <w:rsid w:val="00114983"/>
    <w:rsid w:val="0012400F"/>
    <w:rsid w:val="001266C8"/>
    <w:rsid w:val="00137590"/>
    <w:rsid w:val="00142905"/>
    <w:rsid w:val="00147AD1"/>
    <w:rsid w:val="0016041F"/>
    <w:rsid w:val="00164FF3"/>
    <w:rsid w:val="00165A01"/>
    <w:rsid w:val="00175AC2"/>
    <w:rsid w:val="00181EBE"/>
    <w:rsid w:val="001975D0"/>
    <w:rsid w:val="001B2664"/>
    <w:rsid w:val="001D19C1"/>
    <w:rsid w:val="001D35B7"/>
    <w:rsid w:val="001D6258"/>
    <w:rsid w:val="001F1E71"/>
    <w:rsid w:val="001F4264"/>
    <w:rsid w:val="001F72B6"/>
    <w:rsid w:val="002023AF"/>
    <w:rsid w:val="00234398"/>
    <w:rsid w:val="00246AD9"/>
    <w:rsid w:val="00297436"/>
    <w:rsid w:val="002B453C"/>
    <w:rsid w:val="002C5812"/>
    <w:rsid w:val="002D42F4"/>
    <w:rsid w:val="003000F8"/>
    <w:rsid w:val="00300222"/>
    <w:rsid w:val="00311325"/>
    <w:rsid w:val="00315CE6"/>
    <w:rsid w:val="003266FE"/>
    <w:rsid w:val="00331232"/>
    <w:rsid w:val="00350478"/>
    <w:rsid w:val="0037476C"/>
    <w:rsid w:val="0038335E"/>
    <w:rsid w:val="00394811"/>
    <w:rsid w:val="003A1177"/>
    <w:rsid w:val="003B37CC"/>
    <w:rsid w:val="003C1A3F"/>
    <w:rsid w:val="003C5C19"/>
    <w:rsid w:val="003C6010"/>
    <w:rsid w:val="003E23E5"/>
    <w:rsid w:val="003F1CC7"/>
    <w:rsid w:val="004045FF"/>
    <w:rsid w:val="00417742"/>
    <w:rsid w:val="004237E7"/>
    <w:rsid w:val="0043649A"/>
    <w:rsid w:val="004367FD"/>
    <w:rsid w:val="0045216A"/>
    <w:rsid w:val="00454D8A"/>
    <w:rsid w:val="004749C8"/>
    <w:rsid w:val="004972C1"/>
    <w:rsid w:val="004A382E"/>
    <w:rsid w:val="004B2561"/>
    <w:rsid w:val="004B491B"/>
    <w:rsid w:val="004B4E2B"/>
    <w:rsid w:val="004B6518"/>
    <w:rsid w:val="004C7044"/>
    <w:rsid w:val="004E3666"/>
    <w:rsid w:val="00504DC1"/>
    <w:rsid w:val="00515507"/>
    <w:rsid w:val="00521204"/>
    <w:rsid w:val="00544DA2"/>
    <w:rsid w:val="005457A2"/>
    <w:rsid w:val="00545AF2"/>
    <w:rsid w:val="0054760C"/>
    <w:rsid w:val="005550A5"/>
    <w:rsid w:val="00566111"/>
    <w:rsid w:val="00572CD5"/>
    <w:rsid w:val="00585DB2"/>
    <w:rsid w:val="005B318D"/>
    <w:rsid w:val="005F315E"/>
    <w:rsid w:val="00633262"/>
    <w:rsid w:val="00651D85"/>
    <w:rsid w:val="00652131"/>
    <w:rsid w:val="00664B10"/>
    <w:rsid w:val="0066569D"/>
    <w:rsid w:val="006673B2"/>
    <w:rsid w:val="00682622"/>
    <w:rsid w:val="00694906"/>
    <w:rsid w:val="006C1DE8"/>
    <w:rsid w:val="006C6D35"/>
    <w:rsid w:val="006D041F"/>
    <w:rsid w:val="006D6212"/>
    <w:rsid w:val="006E516D"/>
    <w:rsid w:val="00707371"/>
    <w:rsid w:val="00712326"/>
    <w:rsid w:val="00720CD2"/>
    <w:rsid w:val="00726D14"/>
    <w:rsid w:val="00736A9F"/>
    <w:rsid w:val="00753A91"/>
    <w:rsid w:val="0076388E"/>
    <w:rsid w:val="00772148"/>
    <w:rsid w:val="007835EA"/>
    <w:rsid w:val="0078460B"/>
    <w:rsid w:val="007902FA"/>
    <w:rsid w:val="0079588A"/>
    <w:rsid w:val="00796999"/>
    <w:rsid w:val="007A47F0"/>
    <w:rsid w:val="007B4E4C"/>
    <w:rsid w:val="007B6862"/>
    <w:rsid w:val="007B7A61"/>
    <w:rsid w:val="007C05DD"/>
    <w:rsid w:val="007C3DA8"/>
    <w:rsid w:val="007D06A4"/>
    <w:rsid w:val="007D3FE0"/>
    <w:rsid w:val="007F204D"/>
    <w:rsid w:val="008121A3"/>
    <w:rsid w:val="008367B4"/>
    <w:rsid w:val="008A1152"/>
    <w:rsid w:val="008C19AF"/>
    <w:rsid w:val="008C40C2"/>
    <w:rsid w:val="008C5A49"/>
    <w:rsid w:val="008D3AA4"/>
    <w:rsid w:val="008E2F04"/>
    <w:rsid w:val="008F3CDE"/>
    <w:rsid w:val="00905D5F"/>
    <w:rsid w:val="0092099F"/>
    <w:rsid w:val="0092277E"/>
    <w:rsid w:val="00923C6F"/>
    <w:rsid w:val="00930CEF"/>
    <w:rsid w:val="00932306"/>
    <w:rsid w:val="00954AC0"/>
    <w:rsid w:val="0097614C"/>
    <w:rsid w:val="0098224E"/>
    <w:rsid w:val="009825A9"/>
    <w:rsid w:val="00982C8D"/>
    <w:rsid w:val="00985535"/>
    <w:rsid w:val="009869C4"/>
    <w:rsid w:val="009A070E"/>
    <w:rsid w:val="009A53A7"/>
    <w:rsid w:val="009B3B4C"/>
    <w:rsid w:val="009C4ACD"/>
    <w:rsid w:val="009F5E30"/>
    <w:rsid w:val="009F6548"/>
    <w:rsid w:val="00A10BC2"/>
    <w:rsid w:val="00A128A1"/>
    <w:rsid w:val="00A16E86"/>
    <w:rsid w:val="00A179E0"/>
    <w:rsid w:val="00A20FEB"/>
    <w:rsid w:val="00A27449"/>
    <w:rsid w:val="00A30885"/>
    <w:rsid w:val="00A54148"/>
    <w:rsid w:val="00A57DFE"/>
    <w:rsid w:val="00A60462"/>
    <w:rsid w:val="00A667C0"/>
    <w:rsid w:val="00A7734D"/>
    <w:rsid w:val="00A84EA1"/>
    <w:rsid w:val="00A86058"/>
    <w:rsid w:val="00AA2CB2"/>
    <w:rsid w:val="00AA3F77"/>
    <w:rsid w:val="00AB26D4"/>
    <w:rsid w:val="00AC1576"/>
    <w:rsid w:val="00AD5121"/>
    <w:rsid w:val="00AD6A9F"/>
    <w:rsid w:val="00AD7416"/>
    <w:rsid w:val="00B01F6B"/>
    <w:rsid w:val="00B16AE2"/>
    <w:rsid w:val="00B20D9F"/>
    <w:rsid w:val="00B3712E"/>
    <w:rsid w:val="00B53763"/>
    <w:rsid w:val="00B669D8"/>
    <w:rsid w:val="00B67CDC"/>
    <w:rsid w:val="00B75008"/>
    <w:rsid w:val="00B7531C"/>
    <w:rsid w:val="00B766AA"/>
    <w:rsid w:val="00B769B5"/>
    <w:rsid w:val="00B811D4"/>
    <w:rsid w:val="00B84B30"/>
    <w:rsid w:val="00BD6AF3"/>
    <w:rsid w:val="00BD7D2D"/>
    <w:rsid w:val="00BE53E6"/>
    <w:rsid w:val="00C25750"/>
    <w:rsid w:val="00C62972"/>
    <w:rsid w:val="00C62FD3"/>
    <w:rsid w:val="00C73D39"/>
    <w:rsid w:val="00C96B43"/>
    <w:rsid w:val="00CA7ECC"/>
    <w:rsid w:val="00CB10DA"/>
    <w:rsid w:val="00CB48D3"/>
    <w:rsid w:val="00CE01B0"/>
    <w:rsid w:val="00CE58AE"/>
    <w:rsid w:val="00CF40BE"/>
    <w:rsid w:val="00D04B70"/>
    <w:rsid w:val="00D117A8"/>
    <w:rsid w:val="00D273D9"/>
    <w:rsid w:val="00D57027"/>
    <w:rsid w:val="00D638B1"/>
    <w:rsid w:val="00DA19D0"/>
    <w:rsid w:val="00DC38EE"/>
    <w:rsid w:val="00DC6F8A"/>
    <w:rsid w:val="00DC719E"/>
    <w:rsid w:val="00DE00FA"/>
    <w:rsid w:val="00DE08FA"/>
    <w:rsid w:val="00E06D6D"/>
    <w:rsid w:val="00E10283"/>
    <w:rsid w:val="00E10D05"/>
    <w:rsid w:val="00E37694"/>
    <w:rsid w:val="00E56C4A"/>
    <w:rsid w:val="00E61C68"/>
    <w:rsid w:val="00E6497D"/>
    <w:rsid w:val="00E65CF0"/>
    <w:rsid w:val="00E96B0E"/>
    <w:rsid w:val="00EA69FA"/>
    <w:rsid w:val="00EA6D56"/>
    <w:rsid w:val="00EB0F08"/>
    <w:rsid w:val="00EE4811"/>
    <w:rsid w:val="00EE7B13"/>
    <w:rsid w:val="00EF59BD"/>
    <w:rsid w:val="00EF718D"/>
    <w:rsid w:val="00F02DCA"/>
    <w:rsid w:val="00F06197"/>
    <w:rsid w:val="00F20183"/>
    <w:rsid w:val="00F31BD6"/>
    <w:rsid w:val="00F35C4C"/>
    <w:rsid w:val="00F40ABF"/>
    <w:rsid w:val="00F52067"/>
    <w:rsid w:val="00F57A05"/>
    <w:rsid w:val="00F64A83"/>
    <w:rsid w:val="00F65432"/>
    <w:rsid w:val="00F66430"/>
    <w:rsid w:val="00F92F17"/>
    <w:rsid w:val="00F96CBF"/>
    <w:rsid w:val="00FA455C"/>
    <w:rsid w:val="00FA6375"/>
    <w:rsid w:val="00FB56CA"/>
    <w:rsid w:val="00FE56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59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8" w:hanging="449"/>
    </w:pPr>
  </w:style>
  <w:style w:type="paragraph" w:customStyle="1" w:styleId="TableParagraph">
    <w:name w:val="Table Paragraph"/>
    <w:basedOn w:val="Normal"/>
    <w:uiPriority w:val="1"/>
    <w:qFormat/>
    <w:pPr>
      <w:spacing w:line="235" w:lineRule="exact"/>
      <w:jc w:val="right"/>
    </w:pPr>
  </w:style>
  <w:style w:type="character" w:customStyle="1" w:styleId="normaltextrun">
    <w:name w:val="normaltextrun"/>
    <w:basedOn w:val="DefaultParagraphFont"/>
    <w:rsid w:val="00A7734D"/>
  </w:style>
  <w:style w:type="paragraph" w:styleId="Header">
    <w:name w:val="header"/>
    <w:basedOn w:val="Normal"/>
    <w:link w:val="HeaderChar"/>
    <w:uiPriority w:val="99"/>
    <w:unhideWhenUsed/>
    <w:rsid w:val="009869C4"/>
    <w:pPr>
      <w:tabs>
        <w:tab w:val="center" w:pos="4680"/>
        <w:tab w:val="right" w:pos="9360"/>
      </w:tabs>
    </w:pPr>
  </w:style>
  <w:style w:type="character" w:customStyle="1" w:styleId="HeaderChar">
    <w:name w:val="Header Char"/>
    <w:basedOn w:val="DefaultParagraphFont"/>
    <w:link w:val="Header"/>
    <w:uiPriority w:val="99"/>
    <w:rsid w:val="009869C4"/>
    <w:rPr>
      <w:rFonts w:ascii="Arial" w:eastAsia="Arial" w:hAnsi="Arial" w:cs="Arial"/>
    </w:rPr>
  </w:style>
  <w:style w:type="paragraph" w:styleId="Footer">
    <w:name w:val="footer"/>
    <w:basedOn w:val="Normal"/>
    <w:link w:val="FooterChar"/>
    <w:uiPriority w:val="99"/>
    <w:unhideWhenUsed/>
    <w:rsid w:val="009869C4"/>
    <w:pPr>
      <w:tabs>
        <w:tab w:val="center" w:pos="4680"/>
        <w:tab w:val="right" w:pos="9360"/>
      </w:tabs>
    </w:pPr>
  </w:style>
  <w:style w:type="character" w:customStyle="1" w:styleId="FooterChar">
    <w:name w:val="Footer Char"/>
    <w:basedOn w:val="DefaultParagraphFont"/>
    <w:link w:val="Footer"/>
    <w:uiPriority w:val="99"/>
    <w:rsid w:val="009869C4"/>
    <w:rPr>
      <w:rFonts w:ascii="Arial" w:eastAsia="Arial" w:hAnsi="Arial" w:cs="Arial"/>
    </w:rPr>
  </w:style>
  <w:style w:type="paragraph" w:styleId="Revision">
    <w:name w:val="Revision"/>
    <w:hidden/>
    <w:uiPriority w:val="99"/>
    <w:semiHidden/>
    <w:rsid w:val="00B3712E"/>
    <w:pPr>
      <w:widowControl/>
      <w:autoSpaceDE/>
      <w:autoSpaceDN/>
    </w:pPr>
    <w:rPr>
      <w:rFonts w:ascii="Arial" w:eastAsia="Arial" w:hAnsi="Arial" w:cs="Arial"/>
    </w:rPr>
  </w:style>
  <w:style w:type="paragraph" w:styleId="FootnoteText">
    <w:name w:val="footnote text"/>
    <w:basedOn w:val="Normal"/>
    <w:link w:val="FootnoteTextChar"/>
    <w:uiPriority w:val="99"/>
    <w:semiHidden/>
    <w:unhideWhenUsed/>
    <w:rsid w:val="00A10BC2"/>
    <w:rPr>
      <w:sz w:val="20"/>
      <w:szCs w:val="20"/>
    </w:rPr>
  </w:style>
  <w:style w:type="character" w:customStyle="1" w:styleId="FootnoteTextChar">
    <w:name w:val="Footnote Text Char"/>
    <w:basedOn w:val="DefaultParagraphFont"/>
    <w:link w:val="FootnoteText"/>
    <w:uiPriority w:val="99"/>
    <w:semiHidden/>
    <w:rsid w:val="00A10BC2"/>
    <w:rPr>
      <w:rFonts w:ascii="Arial" w:eastAsia="Arial" w:hAnsi="Arial" w:cs="Arial"/>
      <w:sz w:val="20"/>
      <w:szCs w:val="20"/>
    </w:rPr>
  </w:style>
  <w:style w:type="character" w:styleId="FootnoteReference">
    <w:name w:val="footnote reference"/>
    <w:basedOn w:val="DefaultParagraphFont"/>
    <w:uiPriority w:val="99"/>
    <w:semiHidden/>
    <w:unhideWhenUsed/>
    <w:rsid w:val="00A10BC2"/>
    <w:rPr>
      <w:vertAlign w:val="superscript"/>
    </w:rPr>
  </w:style>
  <w:style w:type="character" w:styleId="CommentReference">
    <w:name w:val="annotation reference"/>
    <w:basedOn w:val="DefaultParagraphFont"/>
    <w:uiPriority w:val="99"/>
    <w:semiHidden/>
    <w:unhideWhenUsed/>
    <w:rsid w:val="009F6548"/>
    <w:rPr>
      <w:sz w:val="16"/>
      <w:szCs w:val="16"/>
    </w:rPr>
  </w:style>
  <w:style w:type="paragraph" w:styleId="CommentText">
    <w:name w:val="annotation text"/>
    <w:basedOn w:val="Normal"/>
    <w:link w:val="CommentTextChar"/>
    <w:uiPriority w:val="99"/>
    <w:semiHidden/>
    <w:unhideWhenUsed/>
    <w:rsid w:val="009F6548"/>
    <w:rPr>
      <w:sz w:val="20"/>
      <w:szCs w:val="20"/>
    </w:rPr>
  </w:style>
  <w:style w:type="character" w:customStyle="1" w:styleId="CommentTextChar">
    <w:name w:val="Comment Text Char"/>
    <w:basedOn w:val="DefaultParagraphFont"/>
    <w:link w:val="CommentText"/>
    <w:uiPriority w:val="99"/>
    <w:semiHidden/>
    <w:rsid w:val="009F654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F6548"/>
    <w:rPr>
      <w:b/>
      <w:bCs/>
    </w:rPr>
  </w:style>
  <w:style w:type="character" w:customStyle="1" w:styleId="CommentSubjectChar">
    <w:name w:val="Comment Subject Char"/>
    <w:basedOn w:val="CommentTextChar"/>
    <w:link w:val="CommentSubject"/>
    <w:uiPriority w:val="99"/>
    <w:semiHidden/>
    <w:rsid w:val="009F6548"/>
    <w:rPr>
      <w:rFonts w:ascii="Arial" w:eastAsia="Arial" w:hAnsi="Arial" w:cs="Arial"/>
      <w:b/>
      <w:bCs/>
      <w:sz w:val="20"/>
      <w:szCs w:val="20"/>
    </w:rPr>
  </w:style>
  <w:style w:type="character" w:styleId="Hyperlink">
    <w:name w:val="Hyperlink"/>
    <w:basedOn w:val="DefaultParagraphFont"/>
    <w:uiPriority w:val="99"/>
    <w:unhideWhenUsed/>
    <w:rsid w:val="00C96B43"/>
    <w:rPr>
      <w:color w:val="0000FF" w:themeColor="hyperlink"/>
      <w:u w:val="single"/>
    </w:rPr>
  </w:style>
  <w:style w:type="character" w:styleId="UnresolvedMention">
    <w:name w:val="Unresolved Mention"/>
    <w:basedOn w:val="DefaultParagraphFont"/>
    <w:uiPriority w:val="99"/>
    <w:semiHidden/>
    <w:unhideWhenUsed/>
    <w:rsid w:val="00C96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rc.gov/docs/ML1303/ML13031A056.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3a34a53-9a19-47a4-8acc-4e423288e9ad">DJXZ7D336C7E-259460999-1171</_dlc_DocId>
    <_dlc_DocIdUrl xmlns="b3a34a53-9a19-47a4-8acc-4e423288e9ad">
      <Url>https://usnrc.sharepoint.com/teams/OCIO-Information-Collections-Site/_layouts/15/DocIdRedir.aspx?ID=DJXZ7D336C7E-259460999-1171</Url>
      <Description>DJXZ7D336C7E-259460999-1171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0" ma:contentTypeDescription="Create a new document." ma:contentTypeScope="" ma:versionID="e1907ec62d3c84e9dea31f5fb2469d74">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d7d48dca1ba9b1ec061b86f9147b14f2"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7F20-58D7-4C8E-B357-35547CB04C2C}">
  <ds:schemaRefs>
    <ds:schemaRef ds:uri="http://schemas.microsoft.com/sharepoint/events"/>
  </ds:schemaRefs>
</ds:datastoreItem>
</file>

<file path=customXml/itemProps2.xml><?xml version="1.0" encoding="utf-8"?>
<ds:datastoreItem xmlns:ds="http://schemas.openxmlformats.org/officeDocument/2006/customXml" ds:itemID="{90265C5F-EA9B-4FD0-B2DF-C8F9A41DB53F}">
  <ds:schemaRefs>
    <ds:schemaRef ds:uri="http://schemas.microsoft.com/sharepoint/v3/contenttype/forms"/>
  </ds:schemaRefs>
</ds:datastoreItem>
</file>

<file path=customXml/itemProps3.xml><?xml version="1.0" encoding="utf-8"?>
<ds:datastoreItem xmlns:ds="http://schemas.openxmlformats.org/officeDocument/2006/customXml" ds:itemID="{BB1FFBDA-9BDE-4D67-A93B-3EC539E4975C}">
  <ds:schemaRefs>
    <ds:schemaRef ds:uri="http://schemas.microsoft.com/office/2006/metadata/properties"/>
    <ds:schemaRef ds:uri="http://schemas.microsoft.com/office/infopath/2007/PartnerControls"/>
    <ds:schemaRef ds:uri="b3a34a53-9a19-47a4-8acc-4e423288e9ad"/>
  </ds:schemaRefs>
</ds:datastoreItem>
</file>

<file path=customXml/itemProps4.xml><?xml version="1.0" encoding="utf-8"?>
<ds:datastoreItem xmlns:ds="http://schemas.openxmlformats.org/officeDocument/2006/customXml" ds:itemID="{F0897748-8B36-4DB4-BFB5-EDC7F2D47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8606B0-E351-446C-84B7-64DA06C130DB}">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2774</Words>
  <Characters>15816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2024-10-24T19:09:00Z</dcterms:created>
  <dcterms:modified xsi:type="dcterms:W3CDTF">2024-10-24T19:09:00Z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_dlc_DocIdItemGuid">
    <vt:lpwstr>1c1de940-1219-490f-837a-84a14929fe65</vt:lpwstr>
  </property>
</Properties>
</file>