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RPr="00BF6D43" w:rsidP="005F1FFC" w14:paraId="7E088B25" w14:textId="77777777"/>
    <w:p w:rsidR="003225D2" w:rsidP="001650D5" w14:paraId="00B8C0D6" w14:textId="52DE246B">
      <w:pPr>
        <w:jc w:val="center"/>
        <w:rPr>
          <w:b/>
          <w:caps/>
          <w:sz w:val="24"/>
          <w:szCs w:val="24"/>
        </w:rPr>
      </w:pPr>
      <w:r w:rsidRPr="00BF6D43">
        <w:rPr>
          <w:b/>
          <w:caps/>
          <w:sz w:val="24"/>
          <w:szCs w:val="24"/>
        </w:rPr>
        <w:t>Supporting</w:t>
      </w:r>
      <w:r w:rsidRPr="00BF6D43">
        <w:rPr>
          <w:b/>
          <w:sz w:val="24"/>
          <w:szCs w:val="24"/>
        </w:rPr>
        <w:t xml:space="preserve"> </w:t>
      </w:r>
      <w:r w:rsidRPr="00BF6D43">
        <w:rPr>
          <w:b/>
          <w:caps/>
          <w:sz w:val="24"/>
          <w:szCs w:val="24"/>
        </w:rPr>
        <w:t>Statement</w:t>
      </w:r>
      <w:r w:rsidRPr="00BF6D43" w:rsidR="00A4452C">
        <w:rPr>
          <w:b/>
          <w:caps/>
          <w:sz w:val="24"/>
          <w:szCs w:val="24"/>
        </w:rPr>
        <w:t xml:space="preserve"> For</w:t>
      </w:r>
    </w:p>
    <w:p w:rsidR="001650D5" w:rsidRPr="00BF6D43" w:rsidP="001650D5" w14:paraId="2F27FDD4" w14:textId="42ECFEE4">
      <w:pPr>
        <w:jc w:val="center"/>
        <w:rPr>
          <w:b/>
          <w:caps/>
          <w:sz w:val="24"/>
          <w:szCs w:val="24"/>
        </w:rPr>
      </w:pPr>
      <w:r>
        <w:rPr>
          <w:b/>
          <w:caps/>
          <w:sz w:val="24"/>
          <w:szCs w:val="24"/>
        </w:rPr>
        <w:t>Making Ends meet survey</w:t>
      </w:r>
    </w:p>
    <w:p w:rsidR="003225D2" w:rsidRPr="00BF6D43" w:rsidP="003225D2" w14:paraId="4ACA79D4" w14:textId="394DF012">
      <w:pPr>
        <w:jc w:val="center"/>
        <w:rPr>
          <w:b/>
          <w:bCs/>
          <w:sz w:val="24"/>
          <w:szCs w:val="24"/>
        </w:rPr>
      </w:pPr>
      <w:r w:rsidRPr="00BF6D43">
        <w:rPr>
          <w:b/>
          <w:bCs/>
          <w:sz w:val="24"/>
          <w:szCs w:val="24"/>
        </w:rPr>
        <w:t>OMB CONTROL NO.</w:t>
      </w:r>
      <w:r w:rsidR="004D6F7D">
        <w:rPr>
          <w:b/>
          <w:bCs/>
          <w:sz w:val="24"/>
          <w:szCs w:val="24"/>
        </w:rPr>
        <w:t>:</w:t>
      </w:r>
      <w:r w:rsidRPr="00BF6D43">
        <w:rPr>
          <w:b/>
          <w:bCs/>
          <w:sz w:val="24"/>
          <w:szCs w:val="24"/>
        </w:rPr>
        <w:t xml:space="preserve"> </w:t>
      </w:r>
      <w:r w:rsidRPr="00BF6D43" w:rsidR="00E81562">
        <w:rPr>
          <w:b/>
          <w:bCs/>
          <w:sz w:val="24"/>
          <w:szCs w:val="24"/>
        </w:rPr>
        <w:t>3170-</w:t>
      </w:r>
      <w:r w:rsidRPr="00BF6D43" w:rsidR="008C6F5E">
        <w:rPr>
          <w:b/>
          <w:bCs/>
          <w:sz w:val="24"/>
          <w:szCs w:val="24"/>
        </w:rPr>
        <w:t>0</w:t>
      </w:r>
      <w:r w:rsidR="008C6F5E">
        <w:rPr>
          <w:b/>
          <w:bCs/>
          <w:sz w:val="24"/>
          <w:szCs w:val="24"/>
        </w:rPr>
        <w:t>080</w:t>
      </w:r>
    </w:p>
    <w:p w:rsidR="00A4452C" w:rsidRPr="00BF6D43" w:rsidP="000F0DD6" w14:paraId="7DC5C315" w14:textId="0B2A5A15">
      <w:pPr>
        <w:tabs>
          <w:tab w:val="left" w:pos="880"/>
        </w:tabs>
        <w:rPr>
          <w:b/>
          <w:caps/>
          <w:sz w:val="24"/>
        </w:rPr>
      </w:pPr>
      <w:r w:rsidRPr="00BF6D43">
        <w:rPr>
          <w:b/>
          <w:caps/>
          <w:sz w:val="24"/>
        </w:rPr>
        <w:tab/>
      </w:r>
    </w:p>
    <w:p w:rsidR="005F1FFC" w:rsidRPr="00BF6D43" w:rsidP="005F1FFC" w14:paraId="14A29F18" w14:textId="77777777">
      <w:pPr>
        <w:jc w:val="center"/>
        <w:rPr>
          <w:b/>
          <w:sz w:val="24"/>
        </w:rPr>
      </w:pPr>
    </w:p>
    <w:p w:rsidR="005F1FFC" w:rsidRPr="00BF6D43" w:rsidP="005F1FFC" w14:paraId="3DBE2AB2" w14:textId="77777777">
      <w:pPr>
        <w:rPr>
          <w:b/>
          <w:sz w:val="24"/>
        </w:rPr>
      </w:pPr>
      <w:r w:rsidRPr="00BF6D43">
        <w:rPr>
          <w:b/>
          <w:sz w:val="24"/>
        </w:rPr>
        <w:t xml:space="preserve">A.  </w:t>
      </w:r>
      <w:r w:rsidRPr="00BF6D43">
        <w:rPr>
          <w:b/>
          <w:caps/>
          <w:sz w:val="24"/>
        </w:rPr>
        <w:t>Justification</w:t>
      </w:r>
    </w:p>
    <w:p w:rsidR="005F1FFC" w:rsidRPr="00BF6D43" w:rsidP="005F1FFC" w14:paraId="4378B360" w14:textId="77777777">
      <w:pPr>
        <w:rPr>
          <w:b/>
          <w:sz w:val="24"/>
        </w:rPr>
      </w:pPr>
    </w:p>
    <w:p w:rsidR="00092D91" w:rsidRPr="00BF6D43" w:rsidP="00092D91" w14:paraId="08863302" w14:textId="77777777">
      <w:pPr>
        <w:rPr>
          <w:sz w:val="24"/>
        </w:rPr>
      </w:pPr>
      <w:r w:rsidRPr="00BF6D43">
        <w:rPr>
          <w:b/>
          <w:bCs/>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F1FFC" w:rsidP="005F1FFC" w14:paraId="1F5F91FF" w14:textId="6FC5D99D">
      <w:pPr>
        <w:rPr>
          <w:sz w:val="24"/>
        </w:rPr>
      </w:pPr>
    </w:p>
    <w:p w:rsidR="00490C96" w:rsidRPr="00490C96" w:rsidP="00490C96" w14:paraId="26E36FCE" w14:textId="71C8B769">
      <w:pPr>
        <w:rPr>
          <w:sz w:val="24"/>
        </w:rPr>
      </w:pPr>
      <w:r w:rsidRPr="00490C96">
        <w:rPr>
          <w:sz w:val="24"/>
        </w:rPr>
        <w:t xml:space="preserve">One of the “primary functions” of the Consumer Financial Protection </w:t>
      </w:r>
      <w:r w:rsidR="003C6A57">
        <w:rPr>
          <w:sz w:val="24"/>
        </w:rPr>
        <w:t xml:space="preserve">Bureau </w:t>
      </w:r>
      <w:r w:rsidRPr="00490C96">
        <w:rPr>
          <w:sz w:val="24"/>
        </w:rPr>
        <w:t>(</w:t>
      </w:r>
      <w:r w:rsidR="008C2592">
        <w:rPr>
          <w:sz w:val="24"/>
        </w:rPr>
        <w:t>CFPB</w:t>
      </w:r>
      <w:r w:rsidRPr="00490C96">
        <w:rPr>
          <w:sz w:val="24"/>
        </w:rPr>
        <w:t xml:space="preserve">) as set forth in section 1021(c) of the Dodd-Frank Act is “collecting, researching, monitoring and publishing information relevant to the functioning of markets for consumer financial products and services.” Effectively performing that function is integral to assuring that the </w:t>
      </w:r>
      <w:r w:rsidR="008C2592">
        <w:rPr>
          <w:sz w:val="24"/>
        </w:rPr>
        <w:t>CFPB</w:t>
      </w:r>
      <w:r w:rsidRPr="00490C96">
        <w:rPr>
          <w:sz w:val="24"/>
        </w:rPr>
        <w:t xml:space="preserve"> achieves the purposes and objectives set forth in sections 1021(a) and 1021(b) of the Act.</w:t>
      </w:r>
    </w:p>
    <w:p w:rsidR="00490C96" w:rsidRPr="00490C96" w:rsidP="00490C96" w14:paraId="7E450201" w14:textId="77777777">
      <w:pPr>
        <w:rPr>
          <w:sz w:val="24"/>
        </w:rPr>
      </w:pPr>
    </w:p>
    <w:p w:rsidR="00490C96" w:rsidRPr="00490C96" w:rsidP="00490C96" w14:paraId="386AEE34" w14:textId="77777777">
      <w:pPr>
        <w:rPr>
          <w:sz w:val="24"/>
        </w:rPr>
      </w:pPr>
      <w:r w:rsidRPr="00490C96">
        <w:rPr>
          <w:sz w:val="24"/>
        </w:rPr>
        <w:t>To that end, section 1013(b)(1) of the Dodd-Frank Act required the creation of a research unit whose “functions shall include researching, analyzing and reporting on” a number of topics including “consumer awareness, understanding, and use of disclosures and communications regarding consumer financial products or services;” “consumer awareness and understanding of costs, risks, and benefits of consumer financial products or services;” and “consumer behavior with respect to consumer financial products or services.”</w:t>
      </w:r>
    </w:p>
    <w:p w:rsidR="00490C96" w:rsidRPr="00490C96" w:rsidP="00490C96" w14:paraId="794114E2" w14:textId="77777777">
      <w:pPr>
        <w:rPr>
          <w:sz w:val="24"/>
        </w:rPr>
      </w:pPr>
    </w:p>
    <w:p w:rsidR="00490C96" w:rsidRPr="00490C96" w:rsidP="00490C96" w14:paraId="50CB13B1" w14:textId="3C3139BF">
      <w:pPr>
        <w:rPr>
          <w:sz w:val="24"/>
        </w:rPr>
      </w:pPr>
      <w:r w:rsidRPr="00490C96">
        <w:rPr>
          <w:sz w:val="24"/>
        </w:rPr>
        <w:t xml:space="preserve">Additionally, section 1013(d)(1) established the Office of Financial Education within the </w:t>
      </w:r>
      <w:r w:rsidR="001860C8">
        <w:rPr>
          <w:sz w:val="24"/>
        </w:rPr>
        <w:t>CFPB</w:t>
      </w:r>
      <w:r w:rsidRPr="00490C96">
        <w:rPr>
          <w:sz w:val="24"/>
        </w:rPr>
        <w:t xml:space="preserve">, which is responsible for “developing and implementing initiatives intended to educate and empower consumers to make better informed financial decisions.” Section 1013(d)(3)(B) requires the Office of Financial Education to work with the Office of Research to “conduct research related to consumer financial education and counseling.” </w:t>
      </w:r>
    </w:p>
    <w:p w:rsidR="00490C96" w:rsidRPr="00490C96" w:rsidP="00490C96" w14:paraId="19BF553B" w14:textId="77777777">
      <w:pPr>
        <w:rPr>
          <w:sz w:val="24"/>
        </w:rPr>
      </w:pPr>
    </w:p>
    <w:p w:rsidR="00490C96" w:rsidRPr="00490C96" w:rsidP="00490C96" w14:paraId="5C35696F" w14:textId="47811EF1">
      <w:pPr>
        <w:rPr>
          <w:sz w:val="24"/>
        </w:rPr>
      </w:pPr>
      <w:r w:rsidRPr="00490C96">
        <w:rPr>
          <w:sz w:val="24"/>
        </w:rPr>
        <w:t xml:space="preserve">The </w:t>
      </w:r>
      <w:r w:rsidR="001860C8">
        <w:rPr>
          <w:sz w:val="24"/>
        </w:rPr>
        <w:t>CFPB</w:t>
      </w:r>
      <w:r w:rsidRPr="00490C96">
        <w:rPr>
          <w:sz w:val="24"/>
        </w:rPr>
        <w:t xml:space="preserve"> seeks approval to continue data collection under the survey program known as the “Making Ends Meet” survey. Making Ends Meet surveys use the Consumer Credit Information Panel (CCIP), a proprietary random sample of de-identified credit records from one of the three major national credit reporting agencies, as a frame to survey people about their experiences in consumer credit markets. This survey will also solicit information on the sampled consumer’s experience related to use of credit products contained in the CCIP as well as credit products that are not reported to credit reporting agencies. Because the CCIP includes extensive historical credit-record information, surveys based off the CCIP will be especially helpful in understanding how households’ finances evolve as a result of economic shifts, changes in financial products and service, and consumers’ decisions. The size of the CCIP and auxiliary information it includes, such as estimated demographic information, will help in identifying specific </w:t>
      </w:r>
      <w:r w:rsidRPr="00490C96">
        <w:rPr>
          <w:sz w:val="24"/>
        </w:rPr>
        <w:t>subpopulations for whom obtaining or using a specific financial product may warrant deeper future research.</w:t>
      </w:r>
    </w:p>
    <w:p w:rsidR="00490C96" w:rsidRPr="00490C96" w:rsidP="00490C96" w14:paraId="081ABF96" w14:textId="77777777">
      <w:pPr>
        <w:rPr>
          <w:sz w:val="24"/>
        </w:rPr>
      </w:pPr>
    </w:p>
    <w:p w:rsidR="00490C96" w:rsidRPr="00490C96" w:rsidP="00490C96" w14:paraId="0534A56D" w14:textId="6A643A56">
      <w:pPr>
        <w:rPr>
          <w:sz w:val="24"/>
        </w:rPr>
      </w:pPr>
      <w:r w:rsidRPr="00490C96">
        <w:rPr>
          <w:sz w:val="24"/>
        </w:rPr>
        <w:t xml:space="preserve">A key </w:t>
      </w:r>
      <w:r w:rsidR="00E14DA3">
        <w:rPr>
          <w:sz w:val="24"/>
        </w:rPr>
        <w:t>p</w:t>
      </w:r>
      <w:r w:rsidR="001A478D">
        <w:rPr>
          <w:sz w:val="24"/>
        </w:rPr>
        <w:t xml:space="preserve">art </w:t>
      </w:r>
      <w:r w:rsidR="00B077EE">
        <w:rPr>
          <w:sz w:val="24"/>
        </w:rPr>
        <w:t xml:space="preserve">of the </w:t>
      </w:r>
      <w:r w:rsidRPr="00490C96">
        <w:rPr>
          <w:sz w:val="24"/>
        </w:rPr>
        <w:t>CFPB</w:t>
      </w:r>
      <w:r w:rsidR="00E02A2C">
        <w:rPr>
          <w:sz w:val="24"/>
        </w:rPr>
        <w:t xml:space="preserve"> is its </w:t>
      </w:r>
      <w:r w:rsidRPr="00490C96">
        <w:rPr>
          <w:sz w:val="24"/>
        </w:rPr>
        <w:t>focus on monitoring consumer financial markets and rigorously study</w:t>
      </w:r>
      <w:r w:rsidR="00EE4D88">
        <w:rPr>
          <w:sz w:val="24"/>
        </w:rPr>
        <w:t>ing</w:t>
      </w:r>
      <w:r w:rsidRPr="00490C96">
        <w:rPr>
          <w:sz w:val="24"/>
        </w:rPr>
        <w:t xml:space="preserve"> and report</w:t>
      </w:r>
      <w:r w:rsidR="00EE4D88">
        <w:rPr>
          <w:sz w:val="24"/>
        </w:rPr>
        <w:t>ing</w:t>
      </w:r>
      <w:r w:rsidRPr="00490C96">
        <w:rPr>
          <w:sz w:val="24"/>
        </w:rPr>
        <w:t xml:space="preserve"> on consumer decisions and outcomes. The Dodd-Frank Wall Street Reform and Consumer Protection Act (Dodd-Frank Act) authorizes the CFPB to engage in research and market monitoring activities to assess trends and to identify emerging risks in consumer financial markets. Section 1013(b)(1) of the Dodd-Frank Act establishes the</w:t>
      </w:r>
      <w:r w:rsidR="003C6A57">
        <w:rPr>
          <w:sz w:val="24"/>
        </w:rPr>
        <w:t xml:space="preserve"> functions of the</w:t>
      </w:r>
      <w:r w:rsidRPr="00490C96">
        <w:rPr>
          <w:sz w:val="24"/>
        </w:rPr>
        <w:t xml:space="preserve"> Office of Research for the purpose of researching, analyzing, and reporting on topics related to the </w:t>
      </w:r>
      <w:r w:rsidR="004E3FF9">
        <w:rPr>
          <w:sz w:val="24"/>
        </w:rPr>
        <w:t>CFPB</w:t>
      </w:r>
      <w:r w:rsidRPr="00490C96">
        <w:rPr>
          <w:sz w:val="24"/>
        </w:rPr>
        <w:t xml:space="preserve">’s mission, including consumer behavior, consumer awareness, and developments in markets for consumer financial products and services. The Office of Research grounds its understanding in these areas in rigorous empirical analyses that can, in turn, be used to benefit consumers, businesses, and researchers, among others. </w:t>
      </w:r>
    </w:p>
    <w:p w:rsidR="00381BD8" w:rsidP="00490C96" w14:paraId="241D7AD5" w14:textId="77777777">
      <w:pPr>
        <w:rPr>
          <w:sz w:val="24"/>
        </w:rPr>
      </w:pPr>
    </w:p>
    <w:p w:rsidR="00490C96" w:rsidRPr="00490C96" w:rsidP="00490C96" w14:paraId="4FBB0876" w14:textId="6BB3B289">
      <w:pPr>
        <w:rPr>
          <w:sz w:val="24"/>
        </w:rPr>
      </w:pPr>
      <w:r w:rsidRPr="00490C96">
        <w:rPr>
          <w:sz w:val="24"/>
        </w:rPr>
        <w:t>Surveys that are directly linked to the CCIP are invaluable to this research agenda because the CCIP provides extensive longitudinal data on households’ liabilities and their credit score—a key measure of creditworthiness as perceived by lenders. Surveys connected to the CCIP can provide information that are not available in credit records such as perceptions, behaviors, experiences, income, expenditures, economic shocks, and ownership and values of various assets (homes, savings accounts, etc.)</w:t>
      </w:r>
    </w:p>
    <w:p w:rsidR="00490C96" w:rsidRPr="00490C96" w:rsidP="00490C96" w14:paraId="554063BE" w14:textId="77777777">
      <w:pPr>
        <w:rPr>
          <w:sz w:val="24"/>
        </w:rPr>
      </w:pPr>
    </w:p>
    <w:p w:rsidR="00490C96" w:rsidRPr="00BF6D43" w:rsidP="00490C96" w14:paraId="143A581F" w14:textId="1611A6BD">
      <w:pPr>
        <w:rPr>
          <w:sz w:val="24"/>
        </w:rPr>
      </w:pPr>
      <w:r w:rsidRPr="00490C96">
        <w:rPr>
          <w:sz w:val="24"/>
        </w:rPr>
        <w:t xml:space="preserve">This research will improve the </w:t>
      </w:r>
      <w:r w:rsidR="00D94FB1">
        <w:rPr>
          <w:sz w:val="24"/>
        </w:rPr>
        <w:t>CFPB</w:t>
      </w:r>
      <w:r w:rsidRPr="00490C96">
        <w:rPr>
          <w:sz w:val="24"/>
        </w:rPr>
        <w:t xml:space="preserve">’s understanding of consumer financial markets, including, potentially, mortgage loans, car loans, student loans, installment loans, small dollar loans, and credit, debit, and prepaid cards, as well as markets for emerging financial products. In addition, research may be related to the </w:t>
      </w:r>
      <w:r w:rsidR="002D1F7B">
        <w:rPr>
          <w:sz w:val="24"/>
        </w:rPr>
        <w:t>CFPB</w:t>
      </w:r>
      <w:r w:rsidRPr="00490C96">
        <w:rPr>
          <w:sz w:val="24"/>
        </w:rPr>
        <w:t>’s mission regarding financial education, including financial planning behaviors, including savings, spending, and investing behavior.</w:t>
      </w:r>
    </w:p>
    <w:p w:rsidR="00E939D3" w:rsidRPr="00BF6D43" w:rsidP="005F1FFC" w14:paraId="2A8A43BC" w14:textId="77777777">
      <w:pPr>
        <w:rPr>
          <w:sz w:val="24"/>
        </w:rPr>
      </w:pPr>
    </w:p>
    <w:p w:rsidR="00092D91" w:rsidRPr="00BF6D43" w:rsidP="00092D91" w14:paraId="15554E87" w14:textId="77777777">
      <w:pPr>
        <w:rPr>
          <w:sz w:val="24"/>
        </w:rPr>
      </w:pPr>
      <w:r w:rsidRPr="00BF6D43">
        <w:rPr>
          <w:b/>
          <w:bCs/>
          <w:sz w:val="24"/>
        </w:rPr>
        <w:t>2.  Indicate how, by whom, and for what purpose the information is to be used.  Except for a new collection, indicate the actual use the agency has made of the information received from the current collection.</w:t>
      </w:r>
    </w:p>
    <w:p w:rsidR="005F1FFC" w:rsidP="005F1FFC" w14:paraId="04B2529C" w14:textId="6E3EC4AE">
      <w:pPr>
        <w:rPr>
          <w:sz w:val="24"/>
        </w:rPr>
      </w:pPr>
    </w:p>
    <w:p w:rsidR="00490C96" w:rsidRPr="00490C96" w:rsidP="00490C96" w14:paraId="13B89A6A" w14:textId="6F14F6B7">
      <w:pPr>
        <w:rPr>
          <w:sz w:val="24"/>
        </w:rPr>
      </w:pPr>
      <w:r w:rsidRPr="00490C96">
        <w:rPr>
          <w:sz w:val="24"/>
        </w:rPr>
        <w:t xml:space="preserve">The specific purpose of these two surveys is to advance the </w:t>
      </w:r>
      <w:r w:rsidR="002D1F7B">
        <w:rPr>
          <w:sz w:val="24"/>
        </w:rPr>
        <w:t>CFPB</w:t>
      </w:r>
      <w:r w:rsidRPr="00490C96">
        <w:rPr>
          <w:sz w:val="24"/>
        </w:rPr>
        <w:t xml:space="preserve">’s research into household balance sheets allowing the </w:t>
      </w:r>
      <w:r w:rsidR="002D1F7B">
        <w:rPr>
          <w:sz w:val="24"/>
        </w:rPr>
        <w:t>CFPB</w:t>
      </w:r>
      <w:r w:rsidRPr="00490C96">
        <w:rPr>
          <w:sz w:val="24"/>
        </w:rPr>
        <w:t xml:space="preserve"> to inform and advance scientific understanding of consumer credit markets and household finance. This research program aims to help the </w:t>
      </w:r>
      <w:r w:rsidR="009C3F08">
        <w:rPr>
          <w:sz w:val="24"/>
        </w:rPr>
        <w:t>CFPB,</w:t>
      </w:r>
      <w:r w:rsidRPr="00490C96">
        <w:rPr>
          <w:sz w:val="24"/>
        </w:rPr>
        <w:t xml:space="preserve"> and stakeholders better understand how consumer experiences, perceptions, and decisions affect households’ balance sheets over time. These data collections will allow the </w:t>
      </w:r>
      <w:r w:rsidR="009C3F08">
        <w:rPr>
          <w:sz w:val="24"/>
        </w:rPr>
        <w:t>CFPB</w:t>
      </w:r>
      <w:r w:rsidRPr="00490C96">
        <w:rPr>
          <w:sz w:val="24"/>
        </w:rPr>
        <w:t xml:space="preserve"> to understand how markets are evolving and to discover problems or concerns, providing opportunity for further study with more targeted research projects. </w:t>
      </w:r>
    </w:p>
    <w:p w:rsidR="00490C96" w:rsidRPr="00490C96" w:rsidP="00490C96" w14:paraId="0C109219" w14:textId="3B05639B">
      <w:pPr>
        <w:rPr>
          <w:sz w:val="24"/>
        </w:rPr>
      </w:pPr>
    </w:p>
    <w:p w:rsidR="00490C96" w:rsidRPr="00490C96" w:rsidP="00490C96" w14:paraId="72C17690" w14:textId="77777777">
      <w:pPr>
        <w:rPr>
          <w:sz w:val="24"/>
        </w:rPr>
      </w:pPr>
      <w:r w:rsidRPr="00490C96">
        <w:rPr>
          <w:sz w:val="24"/>
        </w:rPr>
        <w:t xml:space="preserve">The main research question for this information collection relates to the persistence of external shocks (for example, an unemployment episode) on the dynamics of household balance sheets. Because the necessary data is scarce, very little is known about the persistence of these effects over time, or how they interact with financial services and </w:t>
      </w:r>
      <w:r w:rsidRPr="00490C96">
        <w:rPr>
          <w:sz w:val="24"/>
        </w:rPr>
        <w:t>other strategies consumers use to cope with financial difficulties. For example, are consumers able to use credit effectively to smooth these types of shocks and recover relatively quickly? Or does the income disruption have ramifications that affect the household’s balance sheet for years, or a lifetime? How can financial markets affect these outcomes? How do households use savings to avoid having a shock become a larger financial problem?</w:t>
      </w:r>
    </w:p>
    <w:p w:rsidR="00490C96" w:rsidRPr="00490C96" w:rsidP="00490C96" w14:paraId="02EE55F9" w14:textId="77777777">
      <w:pPr>
        <w:rPr>
          <w:sz w:val="24"/>
        </w:rPr>
      </w:pPr>
    </w:p>
    <w:p w:rsidR="00490C96" w:rsidRPr="00490C96" w:rsidP="00490C96" w14:paraId="0C64D50D" w14:textId="77777777">
      <w:pPr>
        <w:rPr>
          <w:sz w:val="24"/>
        </w:rPr>
      </w:pPr>
      <w:r w:rsidRPr="00490C96">
        <w:rPr>
          <w:sz w:val="24"/>
        </w:rPr>
        <w:t>The information will also serve as the basis for the CFPB’s Making Ends Meet report, which the CFPB produces annually, and which serves as an ongoing gauge of consumers’ financial wellbeing and balance sheet conditions. The data collected will also provide information on topics of interest to researchers who study consumer finances, especially areas where existing data cannot answer key research questions. For example, recent work using the Making Ends Meet survey has provided unprecedented detail on the use of Buy-Now-Pay-Later products.</w:t>
      </w:r>
      <w:r>
        <w:rPr>
          <w:sz w:val="24"/>
          <w:vertAlign w:val="superscript"/>
        </w:rPr>
        <w:footnoteReference w:id="3"/>
      </w:r>
    </w:p>
    <w:p w:rsidR="00490C96" w:rsidRPr="00490C96" w:rsidP="00490C96" w14:paraId="134E11EB" w14:textId="77777777">
      <w:pPr>
        <w:rPr>
          <w:sz w:val="24"/>
        </w:rPr>
      </w:pPr>
    </w:p>
    <w:p w:rsidR="00490C96" w:rsidRPr="00BF6D43" w:rsidP="00490C96" w14:paraId="790C423D" w14:textId="61ED15CD">
      <w:pPr>
        <w:rPr>
          <w:sz w:val="24"/>
        </w:rPr>
      </w:pPr>
      <w:r w:rsidRPr="00490C96">
        <w:rPr>
          <w:sz w:val="24"/>
        </w:rPr>
        <w:t xml:space="preserve">Where appropriate, the Office of Research plans to disseminate the results of this research and make versions of the data and analysis available publicly. Therefore, the data to be collected under this proposed clearance will not only improve the CFPB’s understanding of consumer financial markets, but it will also increase the knowledge available to </w:t>
      </w:r>
      <w:r w:rsidR="003C6A57">
        <w:rPr>
          <w:sz w:val="24"/>
        </w:rPr>
        <w:t xml:space="preserve">the public, </w:t>
      </w:r>
      <w:r w:rsidRPr="00490C96">
        <w:rPr>
          <w:sz w:val="24"/>
        </w:rPr>
        <w:t>other policymakers</w:t>
      </w:r>
      <w:r w:rsidR="003C6A57">
        <w:rPr>
          <w:sz w:val="24"/>
        </w:rPr>
        <w:t>,</w:t>
      </w:r>
      <w:r w:rsidRPr="00490C96">
        <w:rPr>
          <w:sz w:val="24"/>
        </w:rPr>
        <w:t xml:space="preserve"> and researchers. </w:t>
      </w:r>
    </w:p>
    <w:p w:rsidR="00E939D3" w:rsidRPr="00BF6D43" w:rsidP="005F1FFC" w14:paraId="19B9EB12" w14:textId="77777777"/>
    <w:p w:rsidR="005F1FFC" w:rsidRPr="004931B5" w:rsidP="005F1FFC" w14:paraId="07836B1D" w14:textId="0CA84674">
      <w:pPr>
        <w:rPr>
          <w:b/>
          <w:sz w:val="24"/>
        </w:rPr>
      </w:pPr>
      <w:r w:rsidRPr="00BF6D43">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554FB" w:rsidP="005F1FFC" w14:paraId="40F965B7" w14:textId="77777777"/>
    <w:p w:rsidR="00490C96" w:rsidRPr="00BF6D43" w:rsidP="005F1FFC" w14:paraId="01712321" w14:textId="173C9309">
      <w:r w:rsidRPr="00CE760F">
        <w:rPr>
          <w:sz w:val="24"/>
          <w:szCs w:val="24"/>
        </w:rPr>
        <w:t xml:space="preserve">The </w:t>
      </w:r>
      <w:r w:rsidR="005B5054">
        <w:rPr>
          <w:sz w:val="24"/>
          <w:szCs w:val="24"/>
        </w:rPr>
        <w:t>CFPB</w:t>
      </w:r>
      <w:r w:rsidRPr="00CE760F">
        <w:rPr>
          <w:sz w:val="24"/>
          <w:szCs w:val="24"/>
        </w:rPr>
        <w:t xml:space="preserve"> will employ information technology as appropriate to reduce the burden of respondents who agree to participate in its research. </w:t>
      </w:r>
      <w:r>
        <w:rPr>
          <w:sz w:val="24"/>
          <w:szCs w:val="24"/>
        </w:rPr>
        <w:t>The survey is provided to respondents in both paper and electronic forms, and respondents are encouraged to use the electronic form if they find it most convenient.</w:t>
      </w:r>
    </w:p>
    <w:p w:rsidR="00E939D3" w:rsidRPr="00BF6D43" w:rsidP="00E81562" w14:paraId="7CEBA56C" w14:textId="77777777">
      <w:pPr>
        <w:rPr>
          <w:b/>
          <w:sz w:val="24"/>
        </w:rPr>
      </w:pPr>
    </w:p>
    <w:p w:rsidR="00092D91" w:rsidRPr="00BF6D43" w:rsidP="00092D91" w14:paraId="77362514"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sz w:val="24"/>
          <w:szCs w:val="24"/>
        </w:rPr>
        <w:t xml:space="preserve">4.  </w:t>
      </w:r>
      <w:r w:rsidRPr="00BF6D43">
        <w:rPr>
          <w:b/>
          <w:bCs/>
          <w:sz w:val="24"/>
          <w:szCs w:val="24"/>
        </w:rPr>
        <w:t>Describe efforts to identify duplication.  Show specifically why any similar information already available cannot be used or modified for use for the purposes described in Item A.2 above.</w:t>
      </w:r>
    </w:p>
    <w:p w:rsidR="005F1FFC" w:rsidP="005F1FFC" w14:paraId="7339726A" w14:textId="201759E7">
      <w:pPr>
        <w:rPr>
          <w:sz w:val="24"/>
        </w:rPr>
      </w:pPr>
    </w:p>
    <w:p w:rsidR="00490C96" w:rsidP="00490C96" w14:paraId="5AEFC868" w14:textId="09E190AC">
      <w:pPr>
        <w:pStyle w:val="BodyText"/>
        <w:ind w:right="111"/>
      </w:pPr>
      <w:r>
        <w:t xml:space="preserve">To the best of our knowledge, the Making Ends Meet survey program is one of the only surveys of American Consumers that uses a panel dataset of consumer credit information as a sampling frame. The information that this design provides is unique among data available on consumer finances. Other surveys that employ similar methods focus specifically on mortgage borrowing (American Survey of Mortgage Borrowers, </w:t>
      </w:r>
      <w:r>
        <w:t>National Survey of Mortgage Originations). Making Ends Meet, on the other hand, is a holistic survey of many aspects of a consumer’s financial life.</w:t>
      </w:r>
    </w:p>
    <w:p w:rsidR="00490C96" w:rsidP="00490C96" w14:paraId="3BE81D9D" w14:textId="77777777">
      <w:pPr>
        <w:pStyle w:val="BodyText"/>
        <w:ind w:right="111"/>
      </w:pPr>
    </w:p>
    <w:p w:rsidR="00490C96" w:rsidRPr="00AB1EF8" w:rsidP="00490C96" w14:paraId="52C4F616" w14:textId="2D77C624">
      <w:pPr>
        <w:pStyle w:val="BodyText"/>
        <w:ind w:right="111"/>
        <w:rPr>
          <w:b/>
          <w:bCs/>
        </w:rPr>
      </w:pPr>
      <w:r>
        <w:t xml:space="preserve">In addition, we consult with internal and external experts to determine the content of the survey and ensure that the research questions we are asking are novel, timely, and/or tailored to specific </w:t>
      </w:r>
      <w:r w:rsidR="00C07C4D">
        <w:t>CFPB</w:t>
      </w:r>
      <w:r>
        <w:t xml:space="preserve"> needs.</w:t>
      </w:r>
    </w:p>
    <w:p w:rsidR="00BE61FE" w:rsidRPr="00BF6D43" w:rsidP="005F1FFC" w14:paraId="1111F676" w14:textId="77777777">
      <w:pPr>
        <w:rPr>
          <w:sz w:val="24"/>
        </w:rPr>
      </w:pPr>
    </w:p>
    <w:p w:rsidR="00092D91" w:rsidRPr="00BF6D43" w:rsidP="00092D91" w14:paraId="78977288" w14:textId="77777777">
      <w:pPr>
        <w:pStyle w:val="BodyText"/>
        <w:rPr>
          <w:b/>
        </w:rPr>
      </w:pPr>
      <w:r w:rsidRPr="00BF6D43">
        <w:rPr>
          <w:b/>
        </w:rPr>
        <w:t xml:space="preserve">5.  </w:t>
      </w:r>
      <w:r w:rsidRPr="00BF6D43">
        <w:rPr>
          <w:b/>
          <w:bCs/>
        </w:rPr>
        <w:t>If the collection of information impacts small businesses or other small entities, describe any methods used to minimize burden.</w:t>
      </w:r>
    </w:p>
    <w:p w:rsidR="005F1FFC" w:rsidP="00092D91" w14:paraId="6511B9A0" w14:textId="300D6DEC">
      <w:pPr>
        <w:pStyle w:val="BodyText"/>
      </w:pPr>
    </w:p>
    <w:p w:rsidR="00490C96" w:rsidRPr="00BF6D43" w:rsidP="00092D91" w14:paraId="0E3EC7BC" w14:textId="66F91AA2">
      <w:pPr>
        <w:pStyle w:val="BodyText"/>
      </w:pPr>
      <w:r w:rsidRPr="7C73EF4B">
        <w:rPr>
          <w:szCs w:val="24"/>
        </w:rPr>
        <w:t xml:space="preserve">Data collection under this clearance </w:t>
      </w:r>
      <w:r>
        <w:rPr>
          <w:szCs w:val="24"/>
        </w:rPr>
        <w:t>is</w:t>
      </w:r>
      <w:r w:rsidRPr="7C73EF4B">
        <w:rPr>
          <w:szCs w:val="24"/>
        </w:rPr>
        <w:t xml:space="preserve"> not anticipated to burden small entities significantly.</w:t>
      </w:r>
      <w:r>
        <w:rPr>
          <w:szCs w:val="24"/>
        </w:rPr>
        <w:t xml:space="preserve"> Information collected under this clearance will come from individuals</w:t>
      </w:r>
      <w:r w:rsidRPr="7C73EF4B">
        <w:rPr>
          <w:szCs w:val="24"/>
        </w:rPr>
        <w:t>, not small entities.</w:t>
      </w:r>
      <w:r>
        <w:rPr>
          <w:szCs w:val="24"/>
        </w:rPr>
        <w:t xml:space="preserve"> Further, </w:t>
      </w:r>
      <w:r w:rsidRPr="00D94D15">
        <w:rPr>
          <w:szCs w:val="24"/>
        </w:rPr>
        <w:t xml:space="preserve">participation in </w:t>
      </w:r>
      <w:r>
        <w:rPr>
          <w:szCs w:val="24"/>
        </w:rPr>
        <w:t xml:space="preserve">the Making Ends Meet program </w:t>
      </w:r>
      <w:r w:rsidRPr="00D94D15">
        <w:rPr>
          <w:szCs w:val="24"/>
        </w:rPr>
        <w:t>is voluntary, and participants may opt out of them at any time</w:t>
      </w:r>
      <w:r>
        <w:rPr>
          <w:szCs w:val="24"/>
        </w:rPr>
        <w:t xml:space="preserve">. The </w:t>
      </w:r>
      <w:r w:rsidR="004669BB">
        <w:rPr>
          <w:szCs w:val="24"/>
        </w:rPr>
        <w:t>CFPB</w:t>
      </w:r>
      <w:r>
        <w:rPr>
          <w:szCs w:val="24"/>
        </w:rPr>
        <w:t xml:space="preserve"> will provide </w:t>
      </w:r>
      <w:r w:rsidRPr="009C0C9A">
        <w:rPr>
          <w:szCs w:val="24"/>
        </w:rPr>
        <w:t xml:space="preserve">details regarding such </w:t>
      </w:r>
      <w:r>
        <w:rPr>
          <w:szCs w:val="24"/>
        </w:rPr>
        <w:t>efforts within each collection request.</w:t>
      </w:r>
    </w:p>
    <w:p w:rsidR="00E939D3" w:rsidRPr="00BF6D43" w:rsidP="005F1FFC" w14:paraId="2EE74F06" w14:textId="77777777">
      <w:pPr>
        <w:pStyle w:val="BodyText"/>
      </w:pPr>
    </w:p>
    <w:p w:rsidR="00F660E8" w:rsidRPr="00BF6D43" w:rsidP="00F660E8" w14:paraId="7ACF7470" w14:textId="77777777">
      <w:pPr>
        <w:rPr>
          <w:b/>
          <w:sz w:val="24"/>
          <w:szCs w:val="24"/>
        </w:rPr>
      </w:pPr>
      <w:r w:rsidRPr="00BF6D43">
        <w:rPr>
          <w:b/>
          <w:sz w:val="24"/>
          <w:szCs w:val="24"/>
        </w:rPr>
        <w:t xml:space="preserve">6.  </w:t>
      </w:r>
      <w:r w:rsidRPr="00BF6D43">
        <w:rPr>
          <w:b/>
          <w:bCs/>
          <w:sz w:val="24"/>
          <w:szCs w:val="24"/>
        </w:rPr>
        <w:t xml:space="preserve">Describe the consequence to federal program or policy activities if the collection is not conducted or is conducted less frequently, as well as any technical or legal obstacles to reducing burden. </w:t>
      </w:r>
    </w:p>
    <w:p w:rsidR="005F1FFC" w:rsidP="005F1FFC" w14:paraId="039568CD" w14:textId="3F629F7A">
      <w:pPr>
        <w:rPr>
          <w:sz w:val="24"/>
        </w:rPr>
      </w:pPr>
    </w:p>
    <w:p w:rsidR="00490C96" w:rsidRPr="00CE760F" w:rsidP="00490C96" w14:paraId="5EB74886" w14:textId="2367098A">
      <w:pPr>
        <w:pStyle w:val="BodyText"/>
        <w:ind w:right="111"/>
      </w:pPr>
      <w:r w:rsidRPr="00CE760F">
        <w:t xml:space="preserve">The proposed clearance will allow the </w:t>
      </w:r>
      <w:r w:rsidR="00D234F3">
        <w:t>CFPB</w:t>
      </w:r>
      <w:r w:rsidRPr="00CE760F">
        <w:t xml:space="preserve"> to collect a variety of types of data to develop a more complete understanding of consumers’ decision-making regarding consumer financial products and the characteristics of markets for these products. This knowledge will improve the Office of Research’s ability to inform the </w:t>
      </w:r>
      <w:r w:rsidR="00D234F3">
        <w:t>CFPB</w:t>
      </w:r>
      <w:r w:rsidRPr="00CE760F">
        <w:t xml:space="preserve"> in developmental and formative ways.</w:t>
      </w:r>
      <w:r>
        <w:t xml:space="preserve"> </w:t>
      </w:r>
      <w:r w:rsidRPr="00CE760F">
        <w:t xml:space="preserve">Without </w:t>
      </w:r>
      <w:r w:rsidR="002E3048">
        <w:t>this</w:t>
      </w:r>
      <w:r w:rsidRPr="00CE760F" w:rsidR="002E3048">
        <w:t xml:space="preserve"> </w:t>
      </w:r>
      <w:r w:rsidRPr="00CE760F">
        <w:t xml:space="preserve">data collection, the </w:t>
      </w:r>
      <w:r w:rsidR="00D234F3">
        <w:t>CFPB</w:t>
      </w:r>
      <w:r w:rsidRPr="00CE760F">
        <w:t xml:space="preserve"> will </w:t>
      </w:r>
      <w:r>
        <w:t xml:space="preserve">be </w:t>
      </w:r>
      <w:r w:rsidRPr="00CE760F">
        <w:t xml:space="preserve">hindered in its work to achieve its mission to </w:t>
      </w:r>
      <w:r w:rsidR="003C6A57">
        <w:t>i</w:t>
      </w:r>
      <w:r w:rsidRPr="003C6A57" w:rsidR="003C6A57">
        <w:t>nform public policy with data-driven</w:t>
      </w:r>
      <w:r w:rsidR="003C6A57">
        <w:t xml:space="preserve"> </w:t>
      </w:r>
      <w:r w:rsidRPr="003C6A57" w:rsidR="003C6A57">
        <w:t>analysis on consumers’ experiences with financial institutions, products, and</w:t>
      </w:r>
      <w:r w:rsidR="003C6A57">
        <w:t xml:space="preserve"> </w:t>
      </w:r>
      <w:r w:rsidRPr="003C6A57" w:rsidR="003C6A57">
        <w:t>services</w:t>
      </w:r>
      <w:r w:rsidRPr="00CE760F">
        <w:t>.</w:t>
      </w:r>
      <w:r>
        <w:rPr>
          <w:rStyle w:val="FootnoteReference"/>
        </w:rPr>
        <w:footnoteReference w:id="4"/>
      </w:r>
    </w:p>
    <w:p w:rsidR="00490C96" w:rsidP="00490C96" w14:paraId="3866140C" w14:textId="77777777">
      <w:pPr>
        <w:pStyle w:val="BodyText"/>
        <w:ind w:right="590"/>
      </w:pPr>
    </w:p>
    <w:p w:rsidR="00490C96" w:rsidRPr="00BF6D43" w:rsidP="00B441A5" w14:paraId="458CD37A" w14:textId="5403C798">
      <w:pPr>
        <w:pStyle w:val="BodyText"/>
        <w:ind w:right="111"/>
      </w:pPr>
      <w:r w:rsidRPr="00CE760F">
        <w:t xml:space="preserve">In addition, Congress has mandated that the </w:t>
      </w:r>
      <w:r w:rsidR="00174DFC">
        <w:t>CFPB</w:t>
      </w:r>
      <w:r w:rsidRPr="00CE760F">
        <w:t xml:space="preserve">, in consultation with the Financial Literacy and Education Commission and consistent with the National Strategy for Financial Literacy, “develop and implement a strategy to improve the financial literacy of consumers that includes measurable goals and objectives” (12 U.S.C. 5493 Sec. 1013(d)(1)). The </w:t>
      </w:r>
      <w:r w:rsidR="00174DFC">
        <w:t>CFPB</w:t>
      </w:r>
      <w:r w:rsidRPr="00CE760F">
        <w:t xml:space="preserve"> will be unable to carry out this mandate if it does not have information about consumer experiences navigating the financial marketplace and what strategies can improve financial literacy. Without periodic information collections on consumer experiences and best practices in financial</w:t>
      </w:r>
      <w:r w:rsidRPr="00B441A5">
        <w:t xml:space="preserve"> </w:t>
      </w:r>
      <w:r w:rsidRPr="00CE760F">
        <w:t xml:space="preserve">education, the </w:t>
      </w:r>
      <w:r w:rsidR="00174DFC">
        <w:t>CFPB</w:t>
      </w:r>
      <w:r w:rsidRPr="00CE760F">
        <w:t xml:space="preserve"> will not have timely information to adjust its programming to meet consumer needs.</w:t>
      </w:r>
    </w:p>
    <w:p w:rsidR="00E939D3" w:rsidRPr="00BF6D43" w:rsidP="00BE61FE" w14:paraId="224E9EAF" w14:textId="77777777">
      <w:pPr>
        <w:rPr>
          <w:sz w:val="24"/>
        </w:rPr>
      </w:pPr>
    </w:p>
    <w:p w:rsidR="00F660E8" w:rsidRPr="00BF6D43" w:rsidP="00F660E8" w14:paraId="3D2A6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BF6D43">
        <w:rPr>
          <w:b/>
          <w:sz w:val="24"/>
          <w:szCs w:val="24"/>
        </w:rPr>
        <w:t xml:space="preserve">7.  </w:t>
      </w:r>
      <w:r w:rsidRPr="00BF6D43">
        <w:rPr>
          <w:b/>
          <w:bCs/>
          <w:sz w:val="24"/>
          <w:szCs w:val="24"/>
        </w:rPr>
        <w:t>Explain any special circumstances that would cause an information collection to be conducted in a manner:</w:t>
      </w:r>
    </w:p>
    <w:p w:rsidR="00F660E8" w:rsidRPr="00BF6D43" w:rsidP="00F660E8" w14:paraId="1E4D6E0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report information to the agency more often than quarterly;</w:t>
      </w:r>
    </w:p>
    <w:p w:rsidR="00F660E8" w:rsidRPr="00BF6D43" w:rsidP="00F660E8" w14:paraId="1B834044"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prepare a written response to a collection of information in fewer than 30 days after receipt of it;</w:t>
      </w:r>
    </w:p>
    <w:p w:rsidR="00F660E8" w:rsidRPr="00BF6D43" w:rsidP="00F660E8" w14:paraId="154520E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submit more than an original and two copies of any document;</w:t>
      </w:r>
    </w:p>
    <w:p w:rsidR="00F660E8" w:rsidRPr="00BF6D43" w:rsidP="00F660E8" w14:paraId="180B501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retain records, other than health, medical, government contract, grant-in-aid, or tax records for more than three years;</w:t>
      </w:r>
    </w:p>
    <w:p w:rsidR="00F660E8" w:rsidRPr="00BF6D43" w:rsidP="00F660E8" w14:paraId="050BB7CE"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in connection with a statistical survey, that is not designed to produce valid and reliable results that can be generalized to the universe of study;</w:t>
      </w:r>
    </w:p>
    <w:p w:rsidR="00F660E8" w:rsidRPr="00BF6D43" w:rsidP="00F660E8" w14:paraId="2D97179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requiring the use of statistical data classification that has not been reviewed and approved by OMB;</w:t>
      </w:r>
    </w:p>
    <w:p w:rsidR="00F660E8" w:rsidRPr="00BF6D43" w:rsidP="00F660E8" w14:paraId="1870560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60E8" w:rsidRPr="00BF6D43" w:rsidP="00F660E8" w14:paraId="28A0BBB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F6D43">
        <w:rPr>
          <w:b/>
          <w:bCs/>
        </w:rPr>
        <w:t>requiring respondents to submit proprietary trade secret, or other confidential information unless the agency can demonstrate that it has instituted procedures to protect the information's confidentially to the extent permitted by law.</w:t>
      </w:r>
    </w:p>
    <w:p w:rsidR="005F1FFC" w:rsidP="00490C96" w14:paraId="394DE9F1" w14:textId="52851F56">
      <w:pPr>
        <w:rPr>
          <w:sz w:val="24"/>
        </w:rPr>
      </w:pPr>
    </w:p>
    <w:p w:rsidR="00490C96" w:rsidRPr="00CE760F" w:rsidP="009E7A8F" w14:paraId="388489FC" w14:textId="77701937">
      <w:pPr>
        <w:pStyle w:val="BodyText"/>
        <w:ind w:right="104"/>
      </w:pPr>
      <w:r>
        <w:t>T</w:t>
      </w:r>
      <w:r w:rsidRPr="00CE760F">
        <w:t>here are no special circumstances. The collection under this information collection plan is conducted in a manner consistent with the guidelines in 5 CFR 1320.5(d)(2).</w:t>
      </w:r>
      <w:r w:rsidR="00174DFC">
        <w:t xml:space="preserve"> In addition, </w:t>
      </w:r>
      <w:r w:rsidR="009E7A8F">
        <w:t xml:space="preserve">this </w:t>
      </w:r>
      <w:r w:rsidR="00365BE8">
        <w:t xml:space="preserve">revision </w:t>
      </w:r>
      <w:r w:rsidRPr="009E7A8F" w:rsidR="009E7A8F">
        <w:t>confirm</w:t>
      </w:r>
      <w:r w:rsidR="00365BE8">
        <w:t>s</w:t>
      </w:r>
      <w:r w:rsidRPr="009E7A8F" w:rsidR="009E7A8F">
        <w:t xml:space="preserve"> the race/ethnicity question</w:t>
      </w:r>
      <w:r w:rsidR="002A2368">
        <w:t>s</w:t>
      </w:r>
      <w:r w:rsidRPr="009E7A8F" w:rsidR="009E7A8F">
        <w:t xml:space="preserve"> aligns with</w:t>
      </w:r>
      <w:r w:rsidR="00032FC6">
        <w:t xml:space="preserve"> </w:t>
      </w:r>
      <w:r w:rsidRPr="009E7A8F" w:rsidR="009E7A8F">
        <w:t>as described in the</w:t>
      </w:r>
      <w:r w:rsidR="00032FC6">
        <w:t xml:space="preserve"> </w:t>
      </w:r>
      <w:r w:rsidRPr="009E7A8F" w:rsidR="009E7A8F">
        <w:t>2024 S</w:t>
      </w:r>
      <w:r w:rsidR="00296DCE">
        <w:t xml:space="preserve">tatistical </w:t>
      </w:r>
      <w:r w:rsidRPr="009E7A8F" w:rsidR="009E7A8F">
        <w:t>P</w:t>
      </w:r>
      <w:r w:rsidR="00296DCE">
        <w:t xml:space="preserve">olicy </w:t>
      </w:r>
      <w:r w:rsidRPr="009E7A8F" w:rsidR="009E7A8F">
        <w:t>D</w:t>
      </w:r>
      <w:r w:rsidR="00296DCE">
        <w:t>irective No.</w:t>
      </w:r>
      <w:r w:rsidRPr="009E7A8F" w:rsidR="009E7A8F">
        <w:t xml:space="preserve"> 15.</w:t>
      </w:r>
    </w:p>
    <w:p w:rsidR="00490C96" w:rsidRPr="00CE760F" w:rsidP="00490C96" w14:paraId="4FAE5ECA" w14:textId="77777777">
      <w:pPr>
        <w:pStyle w:val="BodyText"/>
        <w:ind w:right="104" w:firstLine="450"/>
      </w:pPr>
    </w:p>
    <w:p w:rsidR="00F660E8" w:rsidRPr="00BF6D43" w:rsidP="00F660E8" w14:paraId="57D65F4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8.  </w:t>
      </w:r>
      <w:r w:rsidRPr="00BF6D43">
        <w:rPr>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0E8" w:rsidRPr="00BF6D43" w:rsidP="00F660E8" w14:paraId="561307E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3324121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BF6D43" w:rsidP="00F660E8" w14:paraId="09D629D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7810B74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F1FFC" w:rsidRPr="00BF6D43" w:rsidP="005F1FFC" w14:paraId="3454479C" w14:textId="77777777">
      <w:pPr>
        <w:rPr>
          <w:sz w:val="24"/>
        </w:rPr>
      </w:pPr>
    </w:p>
    <w:p w:rsidR="00055F8F" w:rsidP="00BC56A2" w14:paraId="76592B30" w14:textId="300CFD4B">
      <w:pPr>
        <w:rPr>
          <w:bCs/>
          <w:sz w:val="24"/>
        </w:rPr>
      </w:pPr>
      <w:r w:rsidRPr="00BC56A2">
        <w:rPr>
          <w:bCs/>
          <w:sz w:val="24"/>
        </w:rPr>
        <w:t xml:space="preserve">In accordance with 5 CFR §1320.8(d)(1), the </w:t>
      </w:r>
      <w:r w:rsidR="00FA7C4A">
        <w:rPr>
          <w:bCs/>
          <w:sz w:val="24"/>
        </w:rPr>
        <w:t>CFPB</w:t>
      </w:r>
      <w:r w:rsidRPr="00BC56A2">
        <w:rPr>
          <w:bCs/>
          <w:sz w:val="24"/>
        </w:rPr>
        <w:t xml:space="preserve"> has published a notice</w:t>
      </w:r>
      <w:r w:rsidRPr="00BF6D43">
        <w:rPr>
          <w:bCs/>
          <w:sz w:val="24"/>
        </w:rPr>
        <w:t xml:space="preserve"> in</w:t>
      </w:r>
      <w:r w:rsidRPr="00BC56A2">
        <w:rPr>
          <w:bCs/>
          <w:sz w:val="24"/>
        </w:rPr>
        <w:t xml:space="preserve"> </w:t>
      </w:r>
      <w:r w:rsidRPr="00BC56A2">
        <w:rPr>
          <w:bCs/>
          <w:iCs/>
          <w:sz w:val="24"/>
        </w:rPr>
        <w:t>Federal Register</w:t>
      </w:r>
      <w:r w:rsidRPr="00BC56A2">
        <w:rPr>
          <w:bCs/>
          <w:sz w:val="24"/>
        </w:rPr>
        <w:t xml:space="preserve"> </w:t>
      </w:r>
      <w:r w:rsidRPr="00BF6D43">
        <w:rPr>
          <w:bCs/>
          <w:sz w:val="24"/>
        </w:rPr>
        <w:t>that provides</w:t>
      </w:r>
      <w:r w:rsidRPr="00BC56A2">
        <w:rPr>
          <w:bCs/>
          <w:sz w:val="24"/>
        </w:rPr>
        <w:t xml:space="preserve"> the public 60 </w:t>
      </w:r>
      <w:r w:rsidRPr="00BF6D43">
        <w:rPr>
          <w:bCs/>
          <w:sz w:val="24"/>
        </w:rPr>
        <w:t xml:space="preserve">calendar </w:t>
      </w:r>
      <w:r w:rsidRPr="00BC56A2">
        <w:rPr>
          <w:bCs/>
          <w:sz w:val="24"/>
        </w:rPr>
        <w:t>days to comment on the extension of</w:t>
      </w:r>
      <w:r w:rsidRPr="00BF6D43">
        <w:rPr>
          <w:bCs/>
          <w:sz w:val="24"/>
        </w:rPr>
        <w:t xml:space="preserve"> </w:t>
      </w:r>
      <w:r w:rsidRPr="00BF6D43">
        <w:rPr>
          <w:bCs/>
          <w:sz w:val="24"/>
        </w:rPr>
        <w:t>reporting requirements contained within OMB Control No. 3170-</w:t>
      </w:r>
      <w:r w:rsidRPr="00BF6D43" w:rsidR="001E51D4">
        <w:rPr>
          <w:bCs/>
          <w:sz w:val="24"/>
        </w:rPr>
        <w:t>00</w:t>
      </w:r>
      <w:r w:rsidR="001E51D4">
        <w:rPr>
          <w:bCs/>
          <w:sz w:val="24"/>
        </w:rPr>
        <w:t>80</w:t>
      </w:r>
      <w:r w:rsidRPr="00BF6D43">
        <w:rPr>
          <w:bCs/>
          <w:sz w:val="24"/>
        </w:rPr>
        <w:t>.</w:t>
      </w:r>
      <w:r>
        <w:rPr>
          <w:rStyle w:val="FootnoteReference"/>
          <w:bCs/>
          <w:sz w:val="24"/>
        </w:rPr>
        <w:footnoteReference w:id="5"/>
      </w:r>
      <w:r w:rsidR="007753E6">
        <w:rPr>
          <w:bCs/>
          <w:sz w:val="24"/>
        </w:rPr>
        <w:t xml:space="preserve">  No comments were received. </w:t>
      </w:r>
    </w:p>
    <w:p w:rsidR="007753E6" w:rsidRPr="00BC56A2" w:rsidP="00BC56A2" w14:paraId="1BA0CD0D" w14:textId="7D6D55A8">
      <w:pPr>
        <w:rPr>
          <w:bCs/>
          <w:sz w:val="24"/>
        </w:rPr>
      </w:pPr>
      <w:r>
        <w:rPr>
          <w:bCs/>
          <w:sz w:val="24"/>
        </w:rPr>
        <w:t xml:space="preserve"> </w:t>
      </w:r>
    </w:p>
    <w:p w:rsidR="00055F8F" w:rsidP="00BC56A2" w14:paraId="398C6932" w14:textId="12060944">
      <w:pPr>
        <w:rPr>
          <w:bCs/>
          <w:sz w:val="24"/>
        </w:rPr>
      </w:pPr>
      <w:r w:rsidRPr="00BF6D43">
        <w:rPr>
          <w:bCs/>
          <w:sz w:val="24"/>
        </w:rPr>
        <w:t xml:space="preserve">Also, </w:t>
      </w:r>
      <w:r w:rsidRPr="00BF6D43" w:rsidR="00BC56A2">
        <w:rPr>
          <w:bCs/>
          <w:sz w:val="24"/>
        </w:rPr>
        <w:t xml:space="preserve">in accordance with 5 CFR §1320.5(a)(1)(iv), the </w:t>
      </w:r>
      <w:r w:rsidR="00FA7C4A">
        <w:rPr>
          <w:bCs/>
          <w:sz w:val="24"/>
        </w:rPr>
        <w:t>CFPB</w:t>
      </w:r>
      <w:r w:rsidRPr="00BF6D43" w:rsidR="00BC56A2">
        <w:rPr>
          <w:bCs/>
          <w:sz w:val="24"/>
        </w:rPr>
        <w:t xml:space="preserve"> has also published a notice in the </w:t>
      </w:r>
      <w:r w:rsidRPr="00BF6D43" w:rsidR="00BC56A2">
        <w:rPr>
          <w:bCs/>
          <w:iCs/>
          <w:sz w:val="24"/>
        </w:rPr>
        <w:t>Federal Register</w:t>
      </w:r>
      <w:r w:rsidRPr="00BF6D43" w:rsidR="00BC56A2">
        <w:rPr>
          <w:bCs/>
          <w:sz w:val="24"/>
        </w:rPr>
        <w:t xml:space="preserve"> </w:t>
      </w:r>
      <w:r w:rsidRPr="00BF6D43">
        <w:rPr>
          <w:bCs/>
          <w:sz w:val="24"/>
        </w:rPr>
        <w:t>providing</w:t>
      </w:r>
      <w:r w:rsidRPr="00BF6D43" w:rsidR="00BC56A2">
        <w:rPr>
          <w:bCs/>
          <w:sz w:val="24"/>
        </w:rPr>
        <w:t xml:space="preserve"> the public 30 days to comment </w:t>
      </w:r>
      <w:r w:rsidRPr="00BF6D43">
        <w:rPr>
          <w:bCs/>
          <w:sz w:val="24"/>
        </w:rPr>
        <w:t>on reporting requirements contained within th</w:t>
      </w:r>
      <w:r w:rsidRPr="00BF6D43" w:rsidR="009D7886">
        <w:rPr>
          <w:bCs/>
          <w:sz w:val="24"/>
        </w:rPr>
        <w:t>is</w:t>
      </w:r>
      <w:r w:rsidRPr="00BF6D43">
        <w:rPr>
          <w:bCs/>
          <w:sz w:val="24"/>
        </w:rPr>
        <w:t xml:space="preserve"> information collection request.</w:t>
      </w:r>
      <w:r>
        <w:rPr>
          <w:rStyle w:val="FootnoteReference"/>
          <w:bCs/>
          <w:sz w:val="24"/>
        </w:rPr>
        <w:footnoteReference w:id="6"/>
      </w:r>
    </w:p>
    <w:p w:rsidR="00055F8F" w:rsidP="00BC56A2" w14:paraId="2276C14B" w14:textId="77777777">
      <w:pPr>
        <w:rPr>
          <w:bCs/>
          <w:sz w:val="24"/>
        </w:rPr>
      </w:pPr>
    </w:p>
    <w:p w:rsidR="00055F8F" w:rsidP="00BC56A2" w14:paraId="2FEB1209" w14:textId="0C9E3984">
      <w:pPr>
        <w:rPr>
          <w:bCs/>
          <w:sz w:val="24"/>
        </w:rPr>
      </w:pPr>
      <w:r>
        <w:rPr>
          <w:bCs/>
          <w:sz w:val="24"/>
        </w:rPr>
        <w:t xml:space="preserve">In addition, </w:t>
      </w:r>
      <w:r w:rsidR="00FA7C4A">
        <w:rPr>
          <w:bCs/>
          <w:sz w:val="24"/>
        </w:rPr>
        <w:t>CFPB</w:t>
      </w:r>
      <w:r>
        <w:rPr>
          <w:bCs/>
          <w:sz w:val="24"/>
        </w:rPr>
        <w:t xml:space="preserve"> </w:t>
      </w:r>
      <w:r w:rsidR="006F6F2F">
        <w:rPr>
          <w:bCs/>
          <w:sz w:val="24"/>
        </w:rPr>
        <w:t>employees have consulted with outside experts to ensure novelty and timeliness of the data</w:t>
      </w:r>
      <w:r w:rsidR="00EF3E6C">
        <w:rPr>
          <w:bCs/>
          <w:sz w:val="24"/>
        </w:rPr>
        <w:t xml:space="preserve"> collected under this clearance.</w:t>
      </w:r>
    </w:p>
    <w:p w:rsidR="00E939D3" w:rsidRPr="00BF6D43" w:rsidP="005F1FFC" w14:paraId="6891C959" w14:textId="77777777">
      <w:pPr>
        <w:rPr>
          <w:sz w:val="24"/>
        </w:rPr>
      </w:pPr>
    </w:p>
    <w:p w:rsidR="00F660E8" w:rsidRPr="00BF6D43" w:rsidP="00F660E8" w14:paraId="3BE65949" w14:textId="77777777">
      <w:pPr>
        <w:autoSpaceDE w:val="0"/>
        <w:autoSpaceDN w:val="0"/>
        <w:adjustRightInd w:val="0"/>
        <w:rPr>
          <w:b/>
          <w:sz w:val="24"/>
          <w:szCs w:val="24"/>
        </w:rPr>
      </w:pPr>
      <w:r w:rsidRPr="00BF6D43">
        <w:rPr>
          <w:b/>
          <w:sz w:val="24"/>
          <w:szCs w:val="24"/>
        </w:rPr>
        <w:t xml:space="preserve">9.  </w:t>
      </w:r>
      <w:r w:rsidRPr="00BF6D43">
        <w:rPr>
          <w:b/>
          <w:bCs/>
          <w:sz w:val="24"/>
          <w:szCs w:val="24"/>
        </w:rPr>
        <w:t>Explain any decision to provide any payments or gifts to respondents, other than remuneration of contractors or grantees.</w:t>
      </w:r>
    </w:p>
    <w:p w:rsidR="005F1FFC" w:rsidP="005F1FFC" w14:paraId="0EFC2C53" w14:textId="4518A620">
      <w:pPr>
        <w:rPr>
          <w:sz w:val="24"/>
        </w:rPr>
      </w:pPr>
    </w:p>
    <w:p w:rsidR="00490C96" w:rsidRPr="00BF6D43" w:rsidP="005F1FFC" w14:paraId="5DA9E959" w14:textId="74349BA3">
      <w:pPr>
        <w:rPr>
          <w:sz w:val="24"/>
        </w:rPr>
      </w:pPr>
      <w:r w:rsidRPr="00490C96">
        <w:rPr>
          <w:sz w:val="24"/>
        </w:rPr>
        <w:t>Respondents for activities conducted under this clearance will receive payment. This practice has proven necessary and effective in recruiting subjects to participate in this research and is also employed by the other Federal agencies. Survey respondents will receive a $5 pre-completion incentive and a $</w:t>
      </w:r>
      <w:r w:rsidR="004A74D1">
        <w:rPr>
          <w:sz w:val="24"/>
        </w:rPr>
        <w:t>3</w:t>
      </w:r>
      <w:r w:rsidRPr="00490C96">
        <w:rPr>
          <w:sz w:val="24"/>
        </w:rPr>
        <w:t>0 post-completion incentive. We may update this protocol as appropriate to reflect more recent survey response trends.</w:t>
      </w:r>
    </w:p>
    <w:p w:rsidR="00A93967" w:rsidRPr="00BF6D43" w:rsidP="009E1042" w14:paraId="7CFFEB9F" w14:textId="77777777">
      <w:pPr>
        <w:rPr>
          <w:sz w:val="24"/>
          <w:szCs w:val="24"/>
        </w:rPr>
      </w:pPr>
    </w:p>
    <w:p w:rsidR="00F660E8" w:rsidRPr="00BF6D43" w:rsidP="00F660E8" w14:paraId="00FF3777" w14:textId="77777777">
      <w:pPr>
        <w:rPr>
          <w:b/>
          <w:sz w:val="24"/>
          <w:szCs w:val="24"/>
        </w:rPr>
      </w:pPr>
      <w:r w:rsidRPr="00BF6D43">
        <w:rPr>
          <w:b/>
          <w:sz w:val="24"/>
          <w:szCs w:val="24"/>
        </w:rPr>
        <w:t xml:space="preserve">10.  </w:t>
      </w:r>
      <w:r w:rsidRPr="00BF6D43">
        <w:rPr>
          <w:b/>
          <w:bCs/>
          <w:sz w:val="24"/>
          <w:szCs w:val="24"/>
        </w:rPr>
        <w:t>Describe any assurance of confidentiality provided to respondents and the basis for the assurance in statute, regulation, or agency policy.</w:t>
      </w:r>
    </w:p>
    <w:p w:rsidR="005F1FFC" w:rsidP="00490C96" w14:paraId="59FF77B7" w14:textId="5022406A">
      <w:pPr>
        <w:rPr>
          <w:sz w:val="24"/>
        </w:rPr>
      </w:pPr>
    </w:p>
    <w:p w:rsidR="00490C96" w:rsidRPr="00CE760F" w:rsidP="00490C96" w14:paraId="3216EFC8" w14:textId="0D5645B4">
      <w:pPr>
        <w:pStyle w:val="BodyText"/>
        <w:ind w:right="611"/>
      </w:pPr>
      <w:r>
        <w:t>T</w:t>
      </w:r>
      <w:r w:rsidRPr="00CE760F">
        <w:t xml:space="preserve">he </w:t>
      </w:r>
      <w:r w:rsidR="004E0FBC">
        <w:t>CFPB</w:t>
      </w:r>
      <w:r w:rsidRPr="00CE760F">
        <w:t xml:space="preserve"> shall treat the information in accordance with applicable federal law, including but not limited to the </w:t>
      </w:r>
      <w:r w:rsidR="00BF5DB2">
        <w:t>CFPB</w:t>
      </w:r>
      <w:r w:rsidRPr="00CE760F">
        <w:t>’s confidentiality rules, 12 CFR Part 1070, and th</w:t>
      </w:r>
      <w:bookmarkStart w:id="0" w:name="_bookmark7"/>
      <w:bookmarkStart w:id="1" w:name="_bookmark8"/>
      <w:bookmarkStart w:id="2" w:name="_bookmark9"/>
      <w:bookmarkEnd w:id="0"/>
      <w:bookmarkEnd w:id="1"/>
      <w:bookmarkEnd w:id="2"/>
      <w:r w:rsidRPr="00CE760F">
        <w:t xml:space="preserve">e federal laws and regulations that apply to federal agencies for the protection of privacy, confidentiality, security and integrity. To the extent a pledge of confidentially is provided to respondents of covered studies, the </w:t>
      </w:r>
      <w:r w:rsidR="0021755B">
        <w:t>CFPB</w:t>
      </w:r>
      <w:r w:rsidRPr="00CE760F">
        <w:t xml:space="preserve"> will accompany such a pledge with the legal authority and discuss accordingly with the accompanying submission to OMB.</w:t>
      </w:r>
    </w:p>
    <w:p w:rsidR="00490C96" w:rsidP="00490C96" w14:paraId="34F98E45" w14:textId="77777777">
      <w:pPr>
        <w:pStyle w:val="BodyText"/>
        <w:ind w:right="137"/>
      </w:pPr>
    </w:p>
    <w:p w:rsidR="00490C96" w:rsidRPr="00CE760F" w:rsidP="00490C96" w14:paraId="64D3B2E6" w14:textId="454C0F69">
      <w:pPr>
        <w:pStyle w:val="BodyText"/>
        <w:ind w:right="137"/>
      </w:pPr>
      <w:r w:rsidRPr="00CE760F">
        <w:t xml:space="preserve">When collecting information about consumer credit markets, the </w:t>
      </w:r>
      <w:r w:rsidR="0021755B">
        <w:t>CFPB</w:t>
      </w:r>
      <w:r w:rsidRPr="00CE760F">
        <w:t xml:space="preserve"> recognizes that there are privacy and data security risks. The </w:t>
      </w:r>
      <w:r w:rsidR="00F45544">
        <w:t>CFPB</w:t>
      </w:r>
      <w:r w:rsidRPr="00CE760F">
        <w:t xml:space="preserve"> uses best practices of social science research design to inform the notice and consent vehicles. The </w:t>
      </w:r>
      <w:r w:rsidR="005D5C51">
        <w:t>CFPB</w:t>
      </w:r>
      <w:r w:rsidRPr="00CE760F">
        <w:t xml:space="preserve"> always provides notice to individuals that explain how their information will be used through appropriate vehicles, such as Privacy Notices, Privacy Act Statements or Informed Consent forms. Such notice is made available prior to the collection of information and explains whether the information is mandatory or voluntary; whether there are any opportunities to consent to sharing and submission of information; how the information will be secured, and when a System of Records is created under the Privacy Act. </w:t>
      </w:r>
    </w:p>
    <w:p w:rsidR="00490C96" w:rsidP="00490C96" w14:paraId="2883067C" w14:textId="77777777">
      <w:pPr>
        <w:pStyle w:val="BodyText"/>
        <w:ind w:right="83"/>
      </w:pPr>
    </w:p>
    <w:p w:rsidR="00490C96" w:rsidRPr="00CE760F" w:rsidP="00490C96" w14:paraId="459C9039" w14:textId="2E71DFC7">
      <w:pPr>
        <w:pStyle w:val="BodyText"/>
        <w:ind w:right="83"/>
      </w:pPr>
      <w:r w:rsidRPr="004931B5">
        <w:t xml:space="preserve">When the </w:t>
      </w:r>
      <w:r w:rsidR="00DA6BA6">
        <w:t>CFPB</w:t>
      </w:r>
      <w:r w:rsidRPr="004931B5">
        <w:t xml:space="preserve"> collects information from third parties, commercial sources, and public databases, individuals to whom information may pertain do not have the opportunity to consent to uses, decline to provide information, or opt out. In such cases, it is those third </w:t>
      </w:r>
      <w:r w:rsidRPr="004931B5">
        <w:t xml:space="preserve">parties’ responsibility to provide any opportunity that may be required to consent, decline, or opt out of how their information may be used. In such instances, the </w:t>
      </w:r>
      <w:r w:rsidR="0035362D">
        <w:t>CFPB</w:t>
      </w:r>
      <w:r w:rsidRPr="004931B5">
        <w:t xml:space="preserve"> reviews the privacy policies or other public disclosures from the third-parties regarding their use of the information to verify that there are no contradictions with information sharing and the research. Additionally, the </w:t>
      </w:r>
      <w:r w:rsidR="0035362D">
        <w:t>CFPB</w:t>
      </w:r>
      <w:r w:rsidRPr="004931B5">
        <w:t xml:space="preserve"> encourages the development of notice and consent opportunities.</w:t>
      </w:r>
    </w:p>
    <w:p w:rsidR="00693303" w:rsidRPr="00BF279C" w:rsidP="00835074" w14:paraId="60CA9C92" w14:textId="0E6B3D29">
      <w:pPr>
        <w:pStyle w:val="BodyText"/>
        <w:ind w:right="83"/>
      </w:pPr>
    </w:p>
    <w:p w:rsidR="00490C96" w:rsidP="00835074" w14:paraId="5285B1C4" w14:textId="574BA2E6">
      <w:pPr>
        <w:pStyle w:val="BodyText"/>
        <w:ind w:right="83"/>
      </w:pPr>
      <w:r>
        <w:t xml:space="preserve">Conducting this research study implicates privacy concerns because a breach of confidentiality, or re-identification, could result in an individual suffering harm. To reduce the risk of breaches of confidentiality, the </w:t>
      </w:r>
      <w:r w:rsidR="00FB6426">
        <w:t>CFPB</w:t>
      </w:r>
      <w:r>
        <w:t xml:space="preserve"> designs recruitment materials so as not to disclose sensitive information about those it seeks to recruit, and uses appropriate security controls to protect information used in research. There is also risk related to misuse of information collected for research. Misuse might involve secondary types of research that are incompatible with the purposes of the initial collection, or a use of the information that individuals do not understand or to which they have not provided consent.</w:t>
      </w:r>
    </w:p>
    <w:p w:rsidR="008E3406" w:rsidP="004931B5" w14:paraId="0CCCF405" w14:textId="77777777">
      <w:pPr>
        <w:pStyle w:val="BodyText"/>
        <w:ind w:right="83"/>
      </w:pPr>
    </w:p>
    <w:p w:rsidR="00CC7EF4" w:rsidP="00835074" w14:paraId="3072C67A" w14:textId="62E65C30">
      <w:pPr>
        <w:pStyle w:val="BodyText"/>
        <w:ind w:right="83"/>
      </w:pPr>
      <w:r w:rsidRPr="00BF279C">
        <w:t>The information collected under this clearance by contractors will include direct identifying personally identifiable information (PII) in order to contact survey participants and match the survey data to administrative records.</w:t>
      </w:r>
      <w:r>
        <w:t xml:space="preserve"> The CFPB, however, will not receive </w:t>
      </w:r>
      <w:r w:rsidR="00490C96">
        <w:t xml:space="preserve">direct identifying PII, as defined by the </w:t>
      </w:r>
      <w:r w:rsidR="00B372D7">
        <w:t>CFPB</w:t>
      </w:r>
      <w:r w:rsidR="00490C96">
        <w:t xml:space="preserve">’s privacy office, </w:t>
      </w:r>
      <w:r>
        <w:t>as part of this collection</w:t>
      </w:r>
      <w:r w:rsidR="00490C96">
        <w:t xml:space="preserve">. </w:t>
      </w:r>
      <w:r w:rsidR="00BA7FF6">
        <w:t xml:space="preserve">The CFPB will only receive and keep response data stripped of direct identifying PII. </w:t>
      </w:r>
      <w:r w:rsidR="00490C96">
        <w:t xml:space="preserve">Any contractor staff assigned to the project also sign confidentiality agreements. </w:t>
      </w:r>
    </w:p>
    <w:p w:rsidR="00CC7EF4" w:rsidP="00835074" w14:paraId="6E565205" w14:textId="77777777">
      <w:pPr>
        <w:pStyle w:val="BodyText"/>
        <w:ind w:right="83"/>
      </w:pPr>
    </w:p>
    <w:p w:rsidR="008E3406" w:rsidP="00835074" w14:paraId="1D92CA6B" w14:textId="4C663B71">
      <w:pPr>
        <w:pStyle w:val="BodyText"/>
        <w:ind w:right="83"/>
      </w:pPr>
      <w:r>
        <w:t xml:space="preserve">When appropriate, research results will be presented in aggregated form to protect the confidentiality of firms or consumers, and any publicly released version of data will use disclosure protection techniques (e.g., rounding, imputation, exclusion of some variables, aggregation of categorical responses) to minimize the risk of releasing personally identifiable or otherwise sensitive information (12 CFR 1070.40 </w:t>
      </w:r>
      <w:r w:rsidRPr="00835074">
        <w:rPr>
          <w:rFonts w:eastAsia="Calibri"/>
          <w:i/>
          <w:sz w:val="22"/>
          <w:szCs w:val="22"/>
        </w:rPr>
        <w:t>et seq.</w:t>
      </w:r>
      <w:r>
        <w:t xml:space="preserve">). The </w:t>
      </w:r>
      <w:r>
        <w:t>CFPB</w:t>
      </w:r>
      <w:r>
        <w:t xml:space="preserve"> treats the information collected from participating persons and institutions in a manner consistent with our confidentiality regulations, and all data and analyses are subject to legal and privacy review prior to their release. </w:t>
      </w:r>
    </w:p>
    <w:p w:rsidR="00437FE3" w:rsidP="00835074" w14:paraId="64591586" w14:textId="77777777">
      <w:pPr>
        <w:pStyle w:val="BodyText"/>
        <w:ind w:right="83"/>
      </w:pPr>
    </w:p>
    <w:p w:rsidR="00490C96" w:rsidP="00490C96" w14:paraId="4C57BBF8" w14:textId="61072DF3">
      <w:pPr>
        <w:pStyle w:val="BodyText"/>
        <w:ind w:right="257"/>
        <w:rPr>
          <w:bCs/>
        </w:rPr>
      </w:pPr>
      <w:r>
        <w:t xml:space="preserve">The </w:t>
      </w:r>
      <w:r w:rsidR="008E3406">
        <w:t>CFP</w:t>
      </w:r>
      <w:r>
        <w:t xml:space="preserve">B also evaluates the potential privacy risk and harm to individuals of specific research relative to that authorized purpose, and vets research proposals to ensure that they serve an authorized purpose. Research conducted under this clearance will be consistent with the Privacy Act and the E-Government Act. </w:t>
      </w:r>
      <w:r>
        <w:rPr>
          <w:bCs/>
        </w:rPr>
        <w:t>The requisite SORNs and PIAs will document the collection, use, disclosure, and retention of PII; the technical, administrative, and physical controls used to minimize privacy risks.</w:t>
      </w:r>
    </w:p>
    <w:p w:rsidR="002E3894" w:rsidP="00490C96" w14:paraId="667388F2" w14:textId="77777777">
      <w:pPr>
        <w:pStyle w:val="BodyText"/>
        <w:ind w:right="257"/>
      </w:pPr>
    </w:p>
    <w:p w:rsidR="00490C96" w:rsidRPr="00CE760F" w:rsidP="00490C96" w14:paraId="5CD2F062" w14:textId="77777777">
      <w:pPr>
        <w:pStyle w:val="BodyText"/>
        <w:ind w:right="257"/>
      </w:pPr>
      <w:r>
        <w:t>R</w:t>
      </w:r>
      <w:r w:rsidRPr="00CE760F">
        <w:t>esearch will be conducted consistent with the Privacy Act and the E- Government Act. The requisite SORNs and PIAs will document the collection, use, disclosure, and retention of PII; the technical, administrative, and physical controls used to minimize privacy risks.</w:t>
      </w:r>
      <w:r w:rsidRPr="00CE760F">
        <w:rPr>
          <w:sz w:val="20"/>
        </w:rPr>
        <w:t xml:space="preserve"> </w:t>
      </w:r>
      <w:r w:rsidRPr="00CE760F">
        <w:t>The</w:t>
      </w:r>
      <w:r>
        <w:t xml:space="preserve"> SORN that will cover this collection is </w:t>
      </w:r>
      <w:r w:rsidRPr="00CE760F">
        <w:t>CFPB.022 Market and Consumer Research Records, 83 FR 23435.</w:t>
      </w:r>
    </w:p>
    <w:p w:rsidR="00490C96" w:rsidP="00490C96" w14:paraId="72F10B5F" w14:textId="77777777">
      <w:pPr>
        <w:pStyle w:val="BodyText"/>
        <w:ind w:right="216"/>
      </w:pPr>
      <w:bookmarkStart w:id="3" w:name="_bookmark10"/>
      <w:bookmarkEnd w:id="3"/>
    </w:p>
    <w:p w:rsidR="00490C96" w:rsidRPr="00CE760F" w:rsidP="00490C96" w14:paraId="244E3246" w14:textId="2DE05614">
      <w:pPr>
        <w:pStyle w:val="BodyText"/>
        <w:ind w:right="216"/>
        <w:jc w:val="both"/>
      </w:pPr>
      <w:r w:rsidRPr="00CE760F">
        <w:t xml:space="preserve">When collecting information about consumer credit markets, the </w:t>
      </w:r>
      <w:r w:rsidR="00102F46">
        <w:t>CFPB</w:t>
      </w:r>
      <w:r w:rsidRPr="00CE760F">
        <w:t xml:space="preserve"> recognizes that there are privacy and data security risks. The </w:t>
      </w:r>
      <w:r w:rsidR="00102F46">
        <w:t>CFPB</w:t>
      </w:r>
      <w:r w:rsidRPr="00CE760F">
        <w:t xml:space="preserve"> outlines the way it plans to mitigate these risks when collecting data using this clearance later in this supporting statement. The </w:t>
      </w:r>
      <w:hyperlink r:id="rId11" w:history="1">
        <w:r w:rsidR="00F417F9">
          <w:rPr>
            <w:rStyle w:val="Hyperlink"/>
          </w:rPr>
          <w:t>Market Research in the Field PIA</w:t>
        </w:r>
      </w:hyperlink>
      <w:r w:rsidRPr="00CE760F">
        <w:t xml:space="preserve"> covers the data that will be collected under this clearance.</w:t>
      </w:r>
      <w:r>
        <w:rPr>
          <w:rStyle w:val="FootnoteReference"/>
        </w:rPr>
        <w:footnoteReference w:id="7"/>
      </w:r>
    </w:p>
    <w:p w:rsidR="00A93967" w:rsidRPr="00BF6D43" w:rsidP="005F1FFC" w14:paraId="2A4F7C4C" w14:textId="77777777">
      <w:pPr>
        <w:ind w:left="720"/>
        <w:rPr>
          <w:sz w:val="24"/>
        </w:rPr>
      </w:pPr>
    </w:p>
    <w:p w:rsidR="00F660E8" w:rsidRPr="00BF6D43" w:rsidP="00F660E8" w14:paraId="466038D0" w14:textId="77777777">
      <w:pPr>
        <w:rPr>
          <w:sz w:val="24"/>
        </w:rPr>
      </w:pPr>
      <w:r w:rsidRPr="00BF6D43">
        <w:rPr>
          <w:b/>
          <w:sz w:val="24"/>
          <w:szCs w:val="24"/>
        </w:rPr>
        <w:t xml:space="preserve">11.  </w:t>
      </w:r>
      <w:r w:rsidRPr="00BF6D43">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1FFC" w:rsidP="00490C96" w14:paraId="74706F28" w14:textId="5AA7679A">
      <w:pPr>
        <w:rPr>
          <w:sz w:val="24"/>
        </w:rPr>
      </w:pPr>
    </w:p>
    <w:p w:rsidR="00490C96" w:rsidRPr="00CE760F" w:rsidP="00490C96" w14:paraId="7784779B" w14:textId="77777777">
      <w:pPr>
        <w:pStyle w:val="BodyText"/>
        <w:ind w:right="184"/>
      </w:pPr>
      <w:r w:rsidRPr="00CE760F">
        <w:t>Questions about an individual’s finances, for example how much a person makes or how much their mortgage costs each month, are commonly considered sensitive.</w:t>
      </w:r>
    </w:p>
    <w:p w:rsidR="00490C96" w:rsidP="00490C96" w14:paraId="2FED6D92" w14:textId="77777777">
      <w:pPr>
        <w:pStyle w:val="BodyText"/>
        <w:ind w:right="150"/>
      </w:pPr>
    </w:p>
    <w:p w:rsidR="00490C96" w:rsidRPr="00CE760F" w:rsidP="00490C96" w14:paraId="4291420C" w14:textId="6DBE990E">
      <w:pPr>
        <w:pStyle w:val="BodyText"/>
        <w:ind w:right="150"/>
      </w:pPr>
      <w:r w:rsidRPr="00CE760F">
        <w:t xml:space="preserve">Nonetheless, the Office of Research must sometimes ask such questions to understand consumer behavior and recognize financial trends and emergent risks relevant to consumers. The </w:t>
      </w:r>
      <w:r w:rsidR="00102F46">
        <w:t>CFPB</w:t>
      </w:r>
      <w:r w:rsidRPr="00CE760F">
        <w:t xml:space="preserve"> believes that it is justified in asking these types of sensitive questions because they are central to its</w:t>
      </w:r>
      <w:r w:rsidRPr="00CE760F">
        <w:rPr>
          <w:spacing w:val="-10"/>
        </w:rPr>
        <w:t xml:space="preserve"> </w:t>
      </w:r>
      <w:r w:rsidRPr="00CE760F">
        <w:t>mission.</w:t>
      </w:r>
    </w:p>
    <w:p w:rsidR="00490C96" w:rsidP="00490C96" w14:paraId="599F8F30" w14:textId="77777777">
      <w:pPr>
        <w:pStyle w:val="BodyText"/>
        <w:ind w:right="198"/>
      </w:pPr>
    </w:p>
    <w:p w:rsidR="00490C96" w:rsidRPr="00CE760F" w:rsidP="00490C96" w14:paraId="5945138E" w14:textId="2E4558EF">
      <w:pPr>
        <w:pStyle w:val="BodyText"/>
        <w:ind w:right="198"/>
      </w:pPr>
      <w:r w:rsidRPr="00CE760F">
        <w:t xml:space="preserve">In addition, some people may believe that questions about race or other socioeconomic factors may be considered sensitive. However, the </w:t>
      </w:r>
      <w:r w:rsidR="00DE632C">
        <w:t>CFPB</w:t>
      </w:r>
      <w:r w:rsidRPr="00CE760F">
        <w:t xml:space="preserve"> is mandated to enforce fair lending laws and focus on the risks to vulnerable populations, including service members, older Americans, and lower-income consumers. For this reason, the </w:t>
      </w:r>
      <w:r w:rsidR="00DE632C">
        <w:t>CFPB</w:t>
      </w:r>
      <w:r w:rsidRPr="00CE760F">
        <w:t xml:space="preserve"> often needs to ask these types of sensitive questions. </w:t>
      </w:r>
    </w:p>
    <w:p w:rsidR="00490C96" w:rsidP="00490C96" w14:paraId="4A0C16BC" w14:textId="77777777">
      <w:pPr>
        <w:pStyle w:val="BodyText"/>
        <w:ind w:right="102"/>
      </w:pPr>
    </w:p>
    <w:p w:rsidR="00490C96" w:rsidRPr="00CE760F" w:rsidP="00490C96" w14:paraId="4CD11691" w14:textId="357193FA">
      <w:pPr>
        <w:pStyle w:val="BodyText"/>
        <w:ind w:right="102"/>
      </w:pPr>
      <w:r w:rsidRPr="00CE760F">
        <w:t xml:space="preserve">Respondent participation and all activities within the </w:t>
      </w:r>
      <w:r>
        <w:t xml:space="preserve">research </w:t>
      </w:r>
      <w:r w:rsidRPr="00CE760F">
        <w:t xml:space="preserve">setting are voluntary, and subjects will be made aware of this fact. All respondents are free to opt-out of </w:t>
      </w:r>
      <w:r>
        <w:t>this</w:t>
      </w:r>
      <w:r w:rsidRPr="00CE760F">
        <w:t xml:space="preserve"> data collection at any time and for any reason. The </w:t>
      </w:r>
      <w:r w:rsidR="00F05241">
        <w:t>CFPB</w:t>
      </w:r>
      <w:r w:rsidRPr="00CE760F">
        <w:t xml:space="preserve"> </w:t>
      </w:r>
      <w:r>
        <w:t xml:space="preserve">will </w:t>
      </w:r>
      <w:r w:rsidRPr="00CE760F">
        <w:t>use standard social science research practices to minimize risks of negative impacts to the respondents.</w:t>
      </w:r>
    </w:p>
    <w:p w:rsidR="00490C96" w:rsidP="00490C96" w14:paraId="0C5BA493" w14:textId="77777777">
      <w:pPr>
        <w:pStyle w:val="BodyText"/>
        <w:ind w:right="82"/>
      </w:pPr>
    </w:p>
    <w:p w:rsidR="00490C96" w:rsidRPr="00CE760F" w:rsidP="00490C96" w14:paraId="32C56475" w14:textId="6146BEC7">
      <w:pPr>
        <w:pStyle w:val="BodyText"/>
        <w:ind w:right="82"/>
      </w:pPr>
      <w:r w:rsidRPr="00CE760F">
        <w:t xml:space="preserve">The </w:t>
      </w:r>
      <w:r w:rsidR="00AC7715">
        <w:t>CFPB</w:t>
      </w:r>
      <w:r w:rsidRPr="00CE760F">
        <w:t xml:space="preserve"> will ensure that a citation is made to any applicable System of Records Notice (SORN), and a Privacy Impact Assessment (PIA) in the individual submissions under this clearance and in published research.</w:t>
      </w:r>
    </w:p>
    <w:p w:rsidR="00490C96" w:rsidRPr="00BF6D43" w:rsidP="00490C96" w14:paraId="633E7628" w14:textId="77777777">
      <w:pPr>
        <w:rPr>
          <w:sz w:val="24"/>
        </w:rPr>
      </w:pPr>
    </w:p>
    <w:p w:rsidR="00A93967" w:rsidRPr="00BF6D43" w:rsidP="005F1FFC" w14:paraId="42E5A68A" w14:textId="77777777">
      <w:pPr>
        <w:pStyle w:val="BodyText"/>
      </w:pPr>
    </w:p>
    <w:p w:rsidR="00F660E8" w:rsidRPr="00BF6D43" w:rsidP="00F660E8" w14:paraId="7F32CD21" w14:textId="77777777">
      <w:pPr>
        <w:contextualSpacing/>
        <w:rPr>
          <w:b/>
          <w:sz w:val="24"/>
          <w:szCs w:val="24"/>
        </w:rPr>
      </w:pPr>
      <w:r w:rsidRPr="00BF6D43">
        <w:rPr>
          <w:b/>
          <w:sz w:val="24"/>
          <w:szCs w:val="24"/>
        </w:rPr>
        <w:t>12.  Provide estimates of the hour burden of the collection of information.  The statement should:</w:t>
      </w:r>
    </w:p>
    <w:p w:rsidR="00F660E8" w:rsidRPr="00BF6D43" w:rsidP="00F660E8" w14:paraId="5AF45DD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 xml:space="preserve">Indicate the number of respondents, frequency of response, annual hour burden, and an explanation of how the burden was estimated.  Unless </w:t>
      </w:r>
      <w:r w:rsidRPr="00BF6D43">
        <w:rPr>
          <w:b/>
          <w:bCs/>
          <w:sz w:val="24"/>
          <w:szCs w:val="24"/>
        </w:rPr>
        <w:t>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660E8" w:rsidRPr="00BF6D43" w:rsidP="00F660E8" w14:paraId="6BC15F91"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If this request for approval covers more than one form, provide separate hour burden estimates for each form.</w:t>
      </w:r>
    </w:p>
    <w:p w:rsidR="00F660E8" w:rsidRPr="00BF6D43" w:rsidP="00F660E8" w14:paraId="747C22AD"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BC16BB" w:rsidP="005F1FFC" w14:paraId="18388E76" w14:textId="23CF03E1">
      <w:pPr>
        <w:rPr>
          <w:bCs/>
          <w:sz w:val="24"/>
        </w:rPr>
      </w:pPr>
    </w:p>
    <w:p w:rsidR="005F1FFC" w:rsidRPr="00BF6D43" w:rsidP="005F1FFC" w14:paraId="3717194D" w14:textId="4898364B">
      <w:pPr>
        <w:rPr>
          <w:bCs/>
          <w:sz w:val="24"/>
        </w:rPr>
      </w:pPr>
      <w:r w:rsidRPr="00490C96">
        <w:rPr>
          <w:bCs/>
          <w:sz w:val="24"/>
        </w:rPr>
        <w:t>The following tables present estimates of the total number of respondents and burden hours for proposed collection. The number of respondents and average burden per response is based on previous experience fielding surveys of similar length, complexity, and sample size</w:t>
      </w:r>
      <w:r>
        <w:rPr>
          <w:bCs/>
          <w:sz w:val="24"/>
        </w:rPr>
        <w:t xml:space="preserve">: </w:t>
      </w:r>
    </w:p>
    <w:p w:rsidR="0090025B" w:rsidRPr="00BF6D43" w:rsidP="005F1FFC" w14:paraId="17C41B7D" w14:textId="77777777">
      <w:pPr>
        <w:rPr>
          <w:bCs/>
          <w:sz w:val="24"/>
        </w:rPr>
      </w:pPr>
    </w:p>
    <w:tbl>
      <w:tblPr>
        <w:tblStyle w:val="TableGrid"/>
        <w:tblW w:w="8866" w:type="dxa"/>
        <w:tblLook w:val="04A0"/>
      </w:tblPr>
      <w:tblGrid>
        <w:gridCol w:w="1414"/>
        <w:gridCol w:w="1306"/>
        <w:gridCol w:w="1228"/>
        <w:gridCol w:w="1094"/>
        <w:gridCol w:w="927"/>
        <w:gridCol w:w="1143"/>
        <w:gridCol w:w="866"/>
        <w:gridCol w:w="888"/>
      </w:tblGrid>
      <w:tr w14:paraId="32C03BB1" w14:textId="77777777" w:rsidTr="006721B6">
        <w:tblPrEx>
          <w:tblW w:w="8866" w:type="dxa"/>
          <w:tblLook w:val="04A0"/>
        </w:tblPrEx>
        <w:tc>
          <w:tcPr>
            <w:tcW w:w="1415" w:type="dxa"/>
            <w:shd w:val="clear" w:color="auto" w:fill="D9D9D9" w:themeFill="background1" w:themeFillShade="D9"/>
          </w:tcPr>
          <w:p w:rsidR="0090025B" w:rsidRPr="00BF6D43" w:rsidP="005F1FFC" w14:paraId="38110A14" w14:textId="54D3543F">
            <w:pPr>
              <w:rPr>
                <w:b/>
                <w:bCs/>
              </w:rPr>
            </w:pPr>
            <w:r w:rsidRPr="00BF6D43">
              <w:rPr>
                <w:b/>
                <w:bCs/>
              </w:rPr>
              <w:t>Information Collection Requirement</w:t>
            </w:r>
          </w:p>
        </w:tc>
        <w:tc>
          <w:tcPr>
            <w:tcW w:w="1306" w:type="dxa"/>
            <w:shd w:val="clear" w:color="auto" w:fill="D9D9D9" w:themeFill="background1" w:themeFillShade="D9"/>
          </w:tcPr>
          <w:p w:rsidR="0090025B" w:rsidRPr="00BF6D43" w:rsidP="005F1FFC" w14:paraId="00BC74AA" w14:textId="4939F69C">
            <w:pPr>
              <w:rPr>
                <w:b/>
                <w:bCs/>
              </w:rPr>
            </w:pPr>
            <w:r w:rsidRPr="00BF6D43">
              <w:rPr>
                <w:b/>
                <w:bCs/>
              </w:rPr>
              <w:t>Number of Respondent</w:t>
            </w:r>
            <w:r w:rsidR="00B82457">
              <w:rPr>
                <w:b/>
                <w:bCs/>
              </w:rPr>
              <w:t>s</w:t>
            </w:r>
          </w:p>
        </w:tc>
        <w:tc>
          <w:tcPr>
            <w:tcW w:w="1228" w:type="dxa"/>
            <w:shd w:val="clear" w:color="auto" w:fill="D9D9D9" w:themeFill="background1" w:themeFillShade="D9"/>
          </w:tcPr>
          <w:p w:rsidR="0090025B" w:rsidRPr="00BF6D43" w:rsidP="005F1FFC" w14:paraId="58D4579A" w14:textId="1A50912F">
            <w:pPr>
              <w:rPr>
                <w:b/>
                <w:bCs/>
              </w:rPr>
            </w:pPr>
            <w:r w:rsidRPr="00BF6D43">
              <w:rPr>
                <w:b/>
                <w:bCs/>
              </w:rPr>
              <w:t>Number of Responses per Respondent</w:t>
            </w:r>
          </w:p>
        </w:tc>
        <w:tc>
          <w:tcPr>
            <w:tcW w:w="1094" w:type="dxa"/>
            <w:shd w:val="clear" w:color="auto" w:fill="D9D9D9" w:themeFill="background1" w:themeFillShade="D9"/>
          </w:tcPr>
          <w:p w:rsidR="0090025B" w:rsidRPr="00BF6D43" w:rsidP="005F1FFC" w14:paraId="6531917A" w14:textId="35F70E41">
            <w:pPr>
              <w:rPr>
                <w:b/>
                <w:bCs/>
              </w:rPr>
            </w:pPr>
            <w:r w:rsidRPr="00BF6D43">
              <w:rPr>
                <w:b/>
                <w:bCs/>
              </w:rPr>
              <w:t>Total Responses</w:t>
            </w:r>
          </w:p>
        </w:tc>
        <w:tc>
          <w:tcPr>
            <w:tcW w:w="927" w:type="dxa"/>
            <w:shd w:val="clear" w:color="auto" w:fill="D9D9D9" w:themeFill="background1" w:themeFillShade="D9"/>
          </w:tcPr>
          <w:p w:rsidR="0090025B" w:rsidRPr="00BF6D43" w:rsidP="005F1FFC" w14:paraId="39A6D528" w14:textId="1AE9708C">
            <w:pPr>
              <w:rPr>
                <w:b/>
                <w:bCs/>
              </w:rPr>
            </w:pPr>
            <w:r w:rsidRPr="00BF6D43">
              <w:rPr>
                <w:b/>
                <w:bCs/>
              </w:rPr>
              <w:t>Average Burden Hours</w:t>
            </w:r>
          </w:p>
        </w:tc>
        <w:tc>
          <w:tcPr>
            <w:tcW w:w="1146" w:type="dxa"/>
            <w:shd w:val="clear" w:color="auto" w:fill="D9D9D9" w:themeFill="background1" w:themeFillShade="D9"/>
          </w:tcPr>
          <w:p w:rsidR="0090025B" w:rsidRPr="00BF6D43" w:rsidP="005F1FFC" w14:paraId="504C1F38" w14:textId="2BF4539D">
            <w:pPr>
              <w:rPr>
                <w:b/>
                <w:bCs/>
              </w:rPr>
            </w:pPr>
            <w:r w:rsidRPr="00BF6D43">
              <w:rPr>
                <w:b/>
                <w:bCs/>
              </w:rPr>
              <w:t>Annual Burden Hours</w:t>
            </w:r>
          </w:p>
        </w:tc>
        <w:tc>
          <w:tcPr>
            <w:tcW w:w="862" w:type="dxa"/>
            <w:shd w:val="clear" w:color="auto" w:fill="D9D9D9" w:themeFill="background1" w:themeFillShade="D9"/>
          </w:tcPr>
          <w:p w:rsidR="0090025B" w:rsidRPr="00BF6D43" w:rsidP="005F1FFC" w14:paraId="13569052" w14:textId="33781E4F">
            <w:pPr>
              <w:rPr>
                <w:b/>
                <w:bCs/>
              </w:rPr>
            </w:pPr>
            <w:r w:rsidRPr="00BF6D43">
              <w:rPr>
                <w:b/>
                <w:bCs/>
              </w:rPr>
              <w:t>Wage Rate</w:t>
            </w:r>
          </w:p>
        </w:tc>
        <w:tc>
          <w:tcPr>
            <w:tcW w:w="888" w:type="dxa"/>
            <w:shd w:val="clear" w:color="auto" w:fill="D9D9D9" w:themeFill="background1" w:themeFillShade="D9"/>
          </w:tcPr>
          <w:p w:rsidR="0090025B" w:rsidRPr="00BF6D43" w:rsidP="005F1FFC" w14:paraId="7AEB5F9E" w14:textId="1F25FD6A">
            <w:pPr>
              <w:rPr>
                <w:b/>
                <w:bCs/>
              </w:rPr>
            </w:pPr>
            <w:r w:rsidRPr="00BF6D43">
              <w:rPr>
                <w:b/>
                <w:bCs/>
              </w:rPr>
              <w:t>Total Burden Cost</w:t>
            </w:r>
          </w:p>
        </w:tc>
      </w:tr>
      <w:tr w14:paraId="3C17D82E" w14:textId="77777777" w:rsidTr="00DB0191">
        <w:tblPrEx>
          <w:tblW w:w="8866" w:type="dxa"/>
          <w:tblLook w:val="04A0"/>
        </w:tblPrEx>
        <w:tc>
          <w:tcPr>
            <w:tcW w:w="1415" w:type="dxa"/>
          </w:tcPr>
          <w:p w:rsidR="00490C96" w:rsidRPr="00BF6D43" w:rsidP="00490C96" w14:paraId="13BEC28E" w14:textId="4F7A296C">
            <w:r>
              <w:t xml:space="preserve">MEM 2025 </w:t>
            </w:r>
            <w:r>
              <w:t xml:space="preserve">Sample </w:t>
            </w:r>
            <w:r w:rsidR="00B82457">
              <w:t>5</w:t>
            </w:r>
            <w:r>
              <w:t xml:space="preserve"> Wave </w:t>
            </w:r>
            <w:r w:rsidR="00B82457">
              <w:t>2</w:t>
            </w:r>
            <w:r>
              <w:t xml:space="preserve"> Follow-Up</w:t>
            </w:r>
            <w:r w:rsidR="0023052B">
              <w:t xml:space="preserve"> Survey</w:t>
            </w:r>
          </w:p>
        </w:tc>
        <w:tc>
          <w:tcPr>
            <w:tcW w:w="1306" w:type="dxa"/>
          </w:tcPr>
          <w:p w:rsidR="00490C96" w:rsidRPr="00BF6D43" w:rsidP="00490C96" w14:paraId="183A7F7B" w14:textId="1955697D">
            <w:pPr>
              <w:jc w:val="right"/>
            </w:pPr>
            <w:r>
              <w:t>2,000</w:t>
            </w:r>
          </w:p>
        </w:tc>
        <w:tc>
          <w:tcPr>
            <w:tcW w:w="1228" w:type="dxa"/>
          </w:tcPr>
          <w:p w:rsidR="00490C96" w:rsidRPr="00BF6D43" w:rsidP="00490C96" w14:paraId="17394683" w14:textId="1E3931A0">
            <w:pPr>
              <w:jc w:val="right"/>
            </w:pPr>
            <w:r>
              <w:t>1</w:t>
            </w:r>
          </w:p>
        </w:tc>
        <w:tc>
          <w:tcPr>
            <w:tcW w:w="1094" w:type="dxa"/>
          </w:tcPr>
          <w:p w:rsidR="00490C96" w:rsidRPr="00BF6D43" w:rsidP="00490C96" w14:paraId="0B52C53E" w14:textId="7C651927">
            <w:pPr>
              <w:jc w:val="right"/>
            </w:pPr>
            <w:r>
              <w:t>2,000</w:t>
            </w:r>
          </w:p>
        </w:tc>
        <w:tc>
          <w:tcPr>
            <w:tcW w:w="927" w:type="dxa"/>
          </w:tcPr>
          <w:p w:rsidR="00490C96" w:rsidRPr="00BF6D43" w:rsidP="00490C96" w14:paraId="0165911A" w14:textId="31FCA341">
            <w:pPr>
              <w:jc w:val="right"/>
            </w:pPr>
            <w:r>
              <w:t>.</w:t>
            </w:r>
            <w:r w:rsidR="00733C68">
              <w:t>33</w:t>
            </w:r>
          </w:p>
        </w:tc>
        <w:tc>
          <w:tcPr>
            <w:tcW w:w="1146" w:type="dxa"/>
          </w:tcPr>
          <w:p w:rsidR="00490C96" w:rsidRPr="00BF6D43" w:rsidP="00490C96" w14:paraId="307C410D" w14:textId="0139381F">
            <w:pPr>
              <w:jc w:val="right"/>
            </w:pPr>
            <w:r>
              <w:t>660</w:t>
            </w:r>
          </w:p>
        </w:tc>
        <w:tc>
          <w:tcPr>
            <w:tcW w:w="862" w:type="dxa"/>
          </w:tcPr>
          <w:p w:rsidR="00490C96" w:rsidRPr="00BF6D43" w:rsidP="00490C96" w14:paraId="29D868D1" w14:textId="7211B3C7">
            <w:pPr>
              <w:jc w:val="right"/>
            </w:pPr>
            <w:r w:rsidRPr="00BF6D43">
              <w:t>$</w:t>
            </w:r>
            <w:r w:rsidR="00AE3FB1">
              <w:t>31.48</w:t>
            </w:r>
            <w:r>
              <w:rPr>
                <w:rStyle w:val="FootnoteReference"/>
              </w:rPr>
              <w:footnoteReference w:id="8"/>
            </w:r>
          </w:p>
        </w:tc>
        <w:tc>
          <w:tcPr>
            <w:tcW w:w="888" w:type="dxa"/>
          </w:tcPr>
          <w:p w:rsidR="00490C96" w:rsidRPr="00BF6D43" w:rsidP="00490C96" w14:paraId="6E39D7C7" w14:textId="2C2AD12E">
            <w:pPr>
              <w:jc w:val="right"/>
            </w:pPr>
            <w:r>
              <w:t>$20,776</w:t>
            </w:r>
          </w:p>
        </w:tc>
      </w:tr>
      <w:tr w14:paraId="7355C8E3" w14:textId="77777777" w:rsidTr="00DB0191">
        <w:tblPrEx>
          <w:tblW w:w="8866" w:type="dxa"/>
          <w:tblLook w:val="04A0"/>
        </w:tblPrEx>
        <w:tc>
          <w:tcPr>
            <w:tcW w:w="1415" w:type="dxa"/>
          </w:tcPr>
          <w:p w:rsidR="00490C96" w:rsidP="00490C96" w14:paraId="7FC3C9E5" w14:textId="5229FE90">
            <w:r>
              <w:t xml:space="preserve">MEM 2025 Sample 6 Wave 1 </w:t>
            </w:r>
            <w:r>
              <w:t>Survey</w:t>
            </w:r>
          </w:p>
        </w:tc>
        <w:tc>
          <w:tcPr>
            <w:tcW w:w="1306" w:type="dxa"/>
          </w:tcPr>
          <w:p w:rsidR="00490C96" w:rsidP="00490C96" w14:paraId="15254503" w14:textId="026BC6AB">
            <w:pPr>
              <w:jc w:val="right"/>
            </w:pPr>
            <w:r>
              <w:t>3,</w:t>
            </w:r>
            <w:r w:rsidR="002722AB">
              <w:t>500</w:t>
            </w:r>
          </w:p>
        </w:tc>
        <w:tc>
          <w:tcPr>
            <w:tcW w:w="1228" w:type="dxa"/>
          </w:tcPr>
          <w:p w:rsidR="00490C96" w:rsidP="00490C96" w14:paraId="51D55071" w14:textId="47BCB57E">
            <w:pPr>
              <w:jc w:val="right"/>
            </w:pPr>
            <w:r>
              <w:t>1</w:t>
            </w:r>
          </w:p>
        </w:tc>
        <w:tc>
          <w:tcPr>
            <w:tcW w:w="1094" w:type="dxa"/>
          </w:tcPr>
          <w:p w:rsidR="00490C96" w:rsidP="00490C96" w14:paraId="7F7BDC68" w14:textId="0323382E">
            <w:pPr>
              <w:jc w:val="right"/>
            </w:pPr>
            <w:r>
              <w:t>3,500</w:t>
            </w:r>
          </w:p>
        </w:tc>
        <w:tc>
          <w:tcPr>
            <w:tcW w:w="927" w:type="dxa"/>
          </w:tcPr>
          <w:p w:rsidR="00490C96" w:rsidP="00490C96" w14:paraId="4DC38E6C" w14:textId="706C030F">
            <w:pPr>
              <w:jc w:val="right"/>
            </w:pPr>
            <w:r>
              <w:t>.</w:t>
            </w:r>
            <w:r w:rsidR="00B53253">
              <w:t>4</w:t>
            </w:r>
          </w:p>
        </w:tc>
        <w:tc>
          <w:tcPr>
            <w:tcW w:w="1146" w:type="dxa"/>
          </w:tcPr>
          <w:p w:rsidR="00490C96" w:rsidP="00490C96" w14:paraId="623B9CD3" w14:textId="01A79D2B">
            <w:pPr>
              <w:jc w:val="right"/>
            </w:pPr>
            <w:r>
              <w:t>1,</w:t>
            </w:r>
            <w:r w:rsidR="009A1699">
              <w:t>400</w:t>
            </w:r>
          </w:p>
        </w:tc>
        <w:tc>
          <w:tcPr>
            <w:tcW w:w="862" w:type="dxa"/>
          </w:tcPr>
          <w:p w:rsidR="00490C96" w:rsidRPr="00BF6D43" w:rsidP="00490C96" w14:paraId="23FC3175" w14:textId="261ED733">
            <w:pPr>
              <w:jc w:val="right"/>
            </w:pPr>
            <w:r>
              <w:t>$31.48</w:t>
            </w:r>
            <w:r w:rsidR="00070301">
              <w:t>*</w:t>
            </w:r>
          </w:p>
        </w:tc>
        <w:tc>
          <w:tcPr>
            <w:tcW w:w="888" w:type="dxa"/>
          </w:tcPr>
          <w:p w:rsidR="00490C96" w:rsidRPr="00BF6D43" w:rsidP="00490C96" w14:paraId="1D021113" w14:textId="5EEF4905">
            <w:pPr>
              <w:jc w:val="right"/>
            </w:pPr>
            <w:r>
              <w:t>$44,072</w:t>
            </w:r>
          </w:p>
        </w:tc>
      </w:tr>
      <w:tr w14:paraId="1A38636F" w14:textId="77777777" w:rsidTr="00DB0191">
        <w:tblPrEx>
          <w:tblW w:w="8866" w:type="dxa"/>
          <w:tblLook w:val="04A0"/>
        </w:tblPrEx>
        <w:tc>
          <w:tcPr>
            <w:tcW w:w="1415" w:type="dxa"/>
          </w:tcPr>
          <w:p w:rsidR="00E736E6" w:rsidRPr="00E736E6" w:rsidP="00490C96" w14:paraId="40F66D97" w14:textId="57350DB5">
            <w:pPr>
              <w:rPr>
                <w:b/>
                <w:bCs/>
              </w:rPr>
            </w:pPr>
            <w:r>
              <w:rPr>
                <w:b/>
                <w:bCs/>
              </w:rPr>
              <w:t>Total</w:t>
            </w:r>
          </w:p>
        </w:tc>
        <w:tc>
          <w:tcPr>
            <w:tcW w:w="1306" w:type="dxa"/>
          </w:tcPr>
          <w:p w:rsidR="00E736E6" w:rsidRPr="00641D40" w:rsidP="00490C96" w14:paraId="48D70562" w14:textId="682002A3">
            <w:pPr>
              <w:jc w:val="right"/>
              <w:rPr>
                <w:b/>
                <w:bCs/>
              </w:rPr>
            </w:pPr>
            <w:r>
              <w:rPr>
                <w:b/>
                <w:bCs/>
              </w:rPr>
              <w:t>5,500</w:t>
            </w:r>
          </w:p>
        </w:tc>
        <w:tc>
          <w:tcPr>
            <w:tcW w:w="1228" w:type="dxa"/>
          </w:tcPr>
          <w:p w:rsidR="00E736E6" w:rsidP="00490C96" w14:paraId="7BF65E09" w14:textId="77777777">
            <w:pPr>
              <w:jc w:val="right"/>
            </w:pPr>
          </w:p>
        </w:tc>
        <w:tc>
          <w:tcPr>
            <w:tcW w:w="1094" w:type="dxa"/>
          </w:tcPr>
          <w:p w:rsidR="00E736E6" w:rsidRPr="00FA5E0E" w:rsidP="00490C96" w14:paraId="35826C84" w14:textId="66AC1A87">
            <w:pPr>
              <w:jc w:val="right"/>
              <w:rPr>
                <w:b/>
                <w:bCs/>
              </w:rPr>
            </w:pPr>
            <w:r>
              <w:rPr>
                <w:b/>
                <w:bCs/>
              </w:rPr>
              <w:t>5,500</w:t>
            </w:r>
          </w:p>
        </w:tc>
        <w:tc>
          <w:tcPr>
            <w:tcW w:w="927" w:type="dxa"/>
          </w:tcPr>
          <w:p w:rsidR="00E736E6" w:rsidP="00490C96" w14:paraId="6789D77F" w14:textId="77777777">
            <w:pPr>
              <w:jc w:val="right"/>
            </w:pPr>
          </w:p>
        </w:tc>
        <w:tc>
          <w:tcPr>
            <w:tcW w:w="1146" w:type="dxa"/>
          </w:tcPr>
          <w:p w:rsidR="00E736E6" w:rsidRPr="002F36A4" w:rsidP="00490C96" w14:paraId="2E1D1148" w14:textId="336A7793">
            <w:pPr>
              <w:jc w:val="right"/>
              <w:rPr>
                <w:b/>
                <w:bCs/>
              </w:rPr>
            </w:pPr>
            <w:r>
              <w:rPr>
                <w:b/>
                <w:bCs/>
              </w:rPr>
              <w:t>2,060</w:t>
            </w:r>
          </w:p>
        </w:tc>
        <w:tc>
          <w:tcPr>
            <w:tcW w:w="862" w:type="dxa"/>
          </w:tcPr>
          <w:p w:rsidR="00E736E6" w:rsidP="00490C96" w14:paraId="2C2CD172" w14:textId="77777777">
            <w:pPr>
              <w:jc w:val="right"/>
            </w:pPr>
          </w:p>
        </w:tc>
        <w:tc>
          <w:tcPr>
            <w:tcW w:w="888" w:type="dxa"/>
          </w:tcPr>
          <w:p w:rsidR="00E736E6" w:rsidRPr="002F36A4" w:rsidP="00490C96" w14:paraId="4E6BD788" w14:textId="1DC9CD28">
            <w:pPr>
              <w:jc w:val="right"/>
              <w:rPr>
                <w:b/>
                <w:bCs/>
              </w:rPr>
            </w:pPr>
            <w:r>
              <w:rPr>
                <w:b/>
                <w:bCs/>
              </w:rPr>
              <w:t>$64,848</w:t>
            </w:r>
          </w:p>
        </w:tc>
      </w:tr>
    </w:tbl>
    <w:p w:rsidR="00A93967" w:rsidRPr="001F1B67" w:rsidP="005F1FFC" w14:paraId="0D6A5C78" w14:textId="6C4820CA">
      <w:pPr>
        <w:rPr>
          <w:bCs/>
        </w:rPr>
      </w:pPr>
      <w:r>
        <w:rPr>
          <w:bCs/>
        </w:rPr>
        <w:t xml:space="preserve">*Same </w:t>
      </w:r>
      <w:r w:rsidR="00077DCF">
        <w:rPr>
          <w:bCs/>
        </w:rPr>
        <w:t>w</w:t>
      </w:r>
      <w:r>
        <w:rPr>
          <w:bCs/>
        </w:rPr>
        <w:t xml:space="preserve">age </w:t>
      </w:r>
      <w:r w:rsidR="00077DCF">
        <w:rPr>
          <w:bCs/>
        </w:rPr>
        <w:t>r</w:t>
      </w:r>
      <w:r>
        <w:rPr>
          <w:bCs/>
        </w:rPr>
        <w:t xml:space="preserve">ate </w:t>
      </w:r>
      <w:r w:rsidR="00077DCF">
        <w:rPr>
          <w:bCs/>
        </w:rPr>
        <w:t xml:space="preserve">reference </w:t>
      </w:r>
      <w:r>
        <w:rPr>
          <w:bCs/>
        </w:rPr>
        <w:t xml:space="preserve">in </w:t>
      </w:r>
      <w:r w:rsidR="00070301">
        <w:rPr>
          <w:bCs/>
        </w:rPr>
        <w:t xml:space="preserve">above </w:t>
      </w:r>
      <w:r w:rsidR="00077DCF">
        <w:rPr>
          <w:bCs/>
        </w:rPr>
        <w:t>line item</w:t>
      </w:r>
      <w:r w:rsidR="00070301">
        <w:rPr>
          <w:bCs/>
        </w:rPr>
        <w:t>.</w:t>
      </w:r>
    </w:p>
    <w:p w:rsidR="001F1B67" w:rsidRPr="00BF6D43" w:rsidP="005F1FFC" w14:paraId="2551B048" w14:textId="77777777">
      <w:pPr>
        <w:rPr>
          <w:b/>
          <w:sz w:val="24"/>
          <w:szCs w:val="24"/>
        </w:rPr>
      </w:pPr>
    </w:p>
    <w:p w:rsidR="00F660E8" w:rsidRPr="00BF6D43" w:rsidP="00F660E8" w14:paraId="446A24E3" w14:textId="77777777">
      <w:pPr>
        <w:rPr>
          <w:b/>
          <w:sz w:val="24"/>
          <w:szCs w:val="24"/>
        </w:rPr>
      </w:pPr>
      <w:r w:rsidRPr="00BF6D43">
        <w:rPr>
          <w:b/>
          <w:sz w:val="24"/>
          <w:szCs w:val="24"/>
        </w:rPr>
        <w:t>13.  Provide an estimate of the total annual cost burden to respondents or record</w:t>
      </w:r>
      <w:r w:rsidRPr="00BF6D43" w:rsidR="007E7E37">
        <w:rPr>
          <w:b/>
          <w:sz w:val="24"/>
          <w:szCs w:val="24"/>
        </w:rPr>
        <w:t xml:space="preserve"> </w:t>
      </w:r>
      <w:r w:rsidRPr="00BF6D43">
        <w:rPr>
          <w:b/>
          <w:sz w:val="24"/>
          <w:szCs w:val="24"/>
        </w:rPr>
        <w:t>keepers resulting from the collection of information.  (Do not include the cost of any hour burden shown in Items 12 and 14).</w:t>
      </w:r>
    </w:p>
    <w:p w:rsidR="005F1FFC" w:rsidP="005F1FFC" w14:paraId="3715E245" w14:textId="61B6EC95">
      <w:pPr>
        <w:rPr>
          <w:b/>
          <w:sz w:val="24"/>
        </w:rPr>
      </w:pPr>
    </w:p>
    <w:p w:rsidR="00490C96" w:rsidRPr="00CE760F" w:rsidP="00490C96" w14:paraId="497F9597" w14:textId="77777777">
      <w:pPr>
        <w:pStyle w:val="BodyText"/>
        <w:ind w:right="97"/>
      </w:pPr>
      <w:r w:rsidRPr="00CE760F">
        <w:t>There will be no capital, operating, or maintenance costs to respondents as a result of participation in any information collection submitted under this clearance.</w:t>
      </w:r>
    </w:p>
    <w:p w:rsidR="00490C96" w:rsidRPr="00CE760F" w:rsidP="00490C96" w14:paraId="3E9AAD3A" w14:textId="77777777">
      <w:pPr>
        <w:pStyle w:val="BodyText"/>
      </w:pPr>
    </w:p>
    <w:p w:rsidR="00F660E8" w:rsidRPr="00BF6D43" w:rsidP="00F660E8" w14:paraId="090470D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sz w:val="24"/>
          <w:szCs w:val="24"/>
        </w:rPr>
        <w:t xml:space="preserve">14.  </w:t>
      </w:r>
      <w:r w:rsidRPr="00BF6D43">
        <w:rPr>
          <w:b/>
          <w:bCs/>
          <w:sz w:val="24"/>
          <w:szCs w:val="24"/>
        </w:rPr>
        <w:t xml:space="preserve">Provide estimates of the annualized cost to the Federal Government.  Also, provide a description of the method used to estimate cost, which should include </w:t>
      </w:r>
      <w:r w:rsidRPr="00BF6D43">
        <w:rPr>
          <w:b/>
          <w:bCs/>
          <w:sz w:val="24"/>
          <w:szCs w:val="24"/>
        </w:rPr>
        <w:t>quantification of hours, operational expenses (such as equipment, overhead, printing, and support staff), any other expense that would not have been incurred</w:t>
      </w:r>
      <w:r w:rsidRPr="00BF6D43">
        <w:rPr>
          <w:sz w:val="24"/>
          <w:szCs w:val="24"/>
        </w:rPr>
        <w:t xml:space="preserve"> </w:t>
      </w:r>
      <w:r w:rsidRPr="00BF6D43">
        <w:rPr>
          <w:b/>
          <w:bCs/>
          <w:sz w:val="24"/>
          <w:szCs w:val="24"/>
        </w:rPr>
        <w:t>without this collection of information.  Agencies also may aggregate cost estimates from Items 12, 13, and 14 into a single table.</w:t>
      </w:r>
    </w:p>
    <w:p w:rsidR="005F1FFC" w:rsidP="00490C96" w14:paraId="0A689257" w14:textId="08618EAE">
      <w:pPr>
        <w:rPr>
          <w:sz w:val="24"/>
        </w:rPr>
      </w:pPr>
    </w:p>
    <w:p w:rsidR="00490C96" w:rsidP="00490C96" w14:paraId="115E2028" w14:textId="7684EC92">
      <w:pPr>
        <w:pStyle w:val="BodyText"/>
        <w:ind w:right="97"/>
      </w:pPr>
      <w:r>
        <w:t>These surveys are estimated to cost a total of $</w:t>
      </w:r>
      <w:r w:rsidR="00CF00C4">
        <w:t>852</w:t>
      </w:r>
      <w:r>
        <w:t>,000.</w:t>
      </w:r>
    </w:p>
    <w:p w:rsidR="006B4904" w:rsidP="00490C96" w14:paraId="1E1A7B52" w14:textId="77777777">
      <w:pPr>
        <w:pStyle w:val="BodyText"/>
        <w:ind w:right="97"/>
      </w:pPr>
    </w:p>
    <w:tbl>
      <w:tblPr>
        <w:tblW w:w="0" w:type="auto"/>
        <w:tblCellMar>
          <w:left w:w="0" w:type="dxa"/>
          <w:right w:w="0" w:type="dxa"/>
        </w:tblCellMar>
        <w:tblLook w:val="04A0"/>
      </w:tblPr>
      <w:tblGrid>
        <w:gridCol w:w="6622"/>
        <w:gridCol w:w="1998"/>
      </w:tblGrid>
      <w:tr w14:paraId="65D058CA" w14:textId="77777777" w:rsidTr="00D25E6C">
        <w:tblPrEx>
          <w:tblW w:w="0" w:type="auto"/>
          <w:tblCellMar>
            <w:left w:w="0" w:type="dxa"/>
            <w:right w:w="0" w:type="dxa"/>
          </w:tblCellMar>
          <w:tblLook w:val="04A0"/>
        </w:tblPrEx>
        <w:tc>
          <w:tcPr>
            <w:tcW w:w="662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B4904" w14:paraId="1478DF80" w14:textId="77777777">
            <w:pPr>
              <w:spacing w:before="100" w:beforeAutospacing="1"/>
              <w:rPr>
                <w:b/>
                <w:bCs/>
              </w:rPr>
            </w:pPr>
            <w:r>
              <w:rPr>
                <w:b/>
                <w:bCs/>
                <w:color w:val="000000"/>
              </w:rPr>
              <w:t>Cost Item</w:t>
            </w:r>
          </w:p>
        </w:tc>
        <w:tc>
          <w:tcPr>
            <w:tcW w:w="19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B4904" w14:paraId="7C230053" w14:textId="77777777">
            <w:pPr>
              <w:spacing w:before="100" w:beforeAutospacing="1"/>
              <w:jc w:val="center"/>
              <w:rPr>
                <w:b/>
                <w:bCs/>
              </w:rPr>
            </w:pPr>
            <w:r>
              <w:rPr>
                <w:b/>
                <w:bCs/>
                <w:color w:val="000000"/>
              </w:rPr>
              <w:t>Total</w:t>
            </w:r>
          </w:p>
        </w:tc>
      </w:tr>
      <w:tr w14:paraId="091589A9" w14:textId="77777777" w:rsidTr="009172B2">
        <w:tblPrEx>
          <w:tblW w:w="0" w:type="auto"/>
          <w:tblCellMar>
            <w:left w:w="0" w:type="dxa"/>
            <w:right w:w="0" w:type="dxa"/>
          </w:tblCellMar>
          <w:tblLook w:val="04A0"/>
        </w:tblPrEx>
        <w:tc>
          <w:tcPr>
            <w:tcW w:w="6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E6C" w:rsidP="009172B2" w14:paraId="4300DE3B" w14:textId="31C271B1">
            <w:r>
              <w:t xml:space="preserve">Survey </w:t>
            </w:r>
            <w:r w:rsidR="0075247B">
              <w:t>s</w:t>
            </w:r>
            <w:r>
              <w:t>etup</w:t>
            </w:r>
          </w:p>
        </w:tc>
        <w:tc>
          <w:tcPr>
            <w:tcW w:w="19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25E6C" w:rsidP="00D25E6C" w14:paraId="135A44FE" w14:textId="2E4769CD">
            <w:pPr>
              <w:spacing w:before="100" w:beforeAutospacing="1"/>
              <w:jc w:val="center"/>
            </w:pPr>
            <w:r>
              <w:t>$</w:t>
            </w:r>
            <w:r w:rsidRPr="009172B2">
              <w:t>209,000.00</w:t>
            </w:r>
          </w:p>
        </w:tc>
      </w:tr>
      <w:tr w14:paraId="10A572D1" w14:textId="77777777" w:rsidTr="009172B2">
        <w:tblPrEx>
          <w:tblW w:w="0" w:type="auto"/>
          <w:tblCellMar>
            <w:left w:w="0" w:type="dxa"/>
            <w:right w:w="0" w:type="dxa"/>
          </w:tblCellMar>
          <w:tblLook w:val="04A0"/>
        </w:tblPrEx>
        <w:tc>
          <w:tcPr>
            <w:tcW w:w="6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E6C" w:rsidP="00D25E6C" w14:paraId="1A4ED384" w14:textId="4B360C42">
            <w:pPr>
              <w:spacing w:before="100" w:beforeAutospacing="1"/>
            </w:pPr>
            <w:r>
              <w:t>Survey administration</w:t>
            </w:r>
            <w:r w:rsidR="00D24BBC">
              <w:t xml:space="preserve"> and </w:t>
            </w:r>
            <w:r w:rsidR="00924FFD">
              <w:t>dataset production</w:t>
            </w:r>
          </w:p>
        </w:tc>
        <w:tc>
          <w:tcPr>
            <w:tcW w:w="19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25E6C" w:rsidP="00D25E6C" w14:paraId="5D152E7E" w14:textId="48A9CA46">
            <w:pPr>
              <w:spacing w:before="100" w:beforeAutospacing="1"/>
              <w:jc w:val="center"/>
            </w:pPr>
            <w:r>
              <w:t>$</w:t>
            </w:r>
            <w:r w:rsidR="00924FFD">
              <w:t>287</w:t>
            </w:r>
            <w:r w:rsidRPr="009172B2">
              <w:t>,000.00</w:t>
            </w:r>
          </w:p>
        </w:tc>
      </w:tr>
      <w:tr w14:paraId="0C27B334" w14:textId="77777777" w:rsidTr="009172B2">
        <w:tblPrEx>
          <w:tblW w:w="0" w:type="auto"/>
          <w:tblCellMar>
            <w:left w:w="0" w:type="dxa"/>
            <w:right w:w="0" w:type="dxa"/>
          </w:tblCellMar>
          <w:tblLook w:val="04A0"/>
        </w:tblPrEx>
        <w:tc>
          <w:tcPr>
            <w:tcW w:w="66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E6C" w:rsidP="00D25E6C" w14:paraId="6C49B0C6" w14:textId="1084E189">
            <w:pPr>
              <w:spacing w:before="100" w:beforeAutospacing="1"/>
            </w:pPr>
            <w:r>
              <w:t>Postage and incentives</w:t>
            </w:r>
          </w:p>
        </w:tc>
        <w:tc>
          <w:tcPr>
            <w:tcW w:w="199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25E6C" w:rsidP="00D25E6C" w14:paraId="620F9DDB" w14:textId="07152A8E">
            <w:pPr>
              <w:spacing w:before="100" w:beforeAutospacing="1"/>
              <w:jc w:val="center"/>
            </w:pPr>
            <w:r>
              <w:t>$</w:t>
            </w:r>
            <w:r w:rsidRPr="009172B2">
              <w:t>349,000.00</w:t>
            </w:r>
          </w:p>
        </w:tc>
      </w:tr>
      <w:tr w14:paraId="410F9844" w14:textId="77777777" w:rsidTr="009172B2">
        <w:tblPrEx>
          <w:tblW w:w="0" w:type="auto"/>
          <w:tblCellMar>
            <w:left w:w="0" w:type="dxa"/>
            <w:right w:w="0" w:type="dxa"/>
          </w:tblCellMar>
          <w:tblLook w:val="04A0"/>
        </w:tblPrEx>
        <w:tc>
          <w:tcPr>
            <w:tcW w:w="662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25E6C" w:rsidP="00D25E6C" w14:paraId="478143D8" w14:textId="127368F7">
            <w:pPr>
              <w:spacing w:before="100" w:beforeAutospacing="1"/>
            </w:pPr>
            <w:r>
              <w:t>Contractor time</w:t>
            </w:r>
          </w:p>
        </w:tc>
        <w:tc>
          <w:tcPr>
            <w:tcW w:w="1998" w:type="dxa"/>
            <w:tcBorders>
              <w:top w:val="nil"/>
              <w:left w:val="nil"/>
              <w:bottom w:val="single" w:sz="8" w:space="0" w:color="auto"/>
              <w:right w:val="single" w:sz="8" w:space="0" w:color="auto"/>
            </w:tcBorders>
            <w:tcMar>
              <w:top w:w="0" w:type="dxa"/>
              <w:left w:w="108" w:type="dxa"/>
              <w:bottom w:w="0" w:type="dxa"/>
              <w:right w:w="108" w:type="dxa"/>
            </w:tcMar>
            <w:vAlign w:val="bottom"/>
          </w:tcPr>
          <w:p w:rsidR="00D25E6C" w:rsidP="00D25E6C" w14:paraId="4514911B" w14:textId="70D127F8">
            <w:pPr>
              <w:spacing w:before="100" w:beforeAutospacing="1"/>
              <w:jc w:val="center"/>
            </w:pPr>
            <w:r>
              <w:t>$</w:t>
            </w:r>
            <w:r w:rsidRPr="009172B2">
              <w:t>7,000.00</w:t>
            </w:r>
          </w:p>
        </w:tc>
      </w:tr>
      <w:tr w14:paraId="5B306E59" w14:textId="77777777" w:rsidTr="00D25E6C">
        <w:tblPrEx>
          <w:tblW w:w="0" w:type="auto"/>
          <w:tblCellMar>
            <w:left w:w="0" w:type="dxa"/>
            <w:right w:w="0" w:type="dxa"/>
          </w:tblCellMar>
          <w:tblLook w:val="04A0"/>
        </w:tblPrEx>
        <w:tc>
          <w:tcPr>
            <w:tcW w:w="6622"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B4904" w14:paraId="6A1280CB" w14:textId="77777777">
            <w:pPr>
              <w:spacing w:before="100" w:beforeAutospacing="1"/>
              <w:rPr>
                <w:b/>
                <w:bCs/>
              </w:rPr>
            </w:pPr>
            <w:r>
              <w:rPr>
                <w:b/>
                <w:bCs/>
                <w:color w:val="000000"/>
              </w:rPr>
              <w:t xml:space="preserve">Total </w:t>
            </w:r>
          </w:p>
        </w:tc>
        <w:tc>
          <w:tcPr>
            <w:tcW w:w="199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6B4904" w14:paraId="62E3E0B5" w14:textId="7034A6A6">
            <w:pPr>
              <w:spacing w:before="100" w:beforeAutospacing="1"/>
              <w:jc w:val="center"/>
              <w:rPr>
                <w:b/>
                <w:bCs/>
              </w:rPr>
            </w:pPr>
            <w:r>
              <w:rPr>
                <w:b/>
                <w:bCs/>
                <w:color w:val="000000"/>
              </w:rPr>
              <w:t>$</w:t>
            </w:r>
            <w:r w:rsidR="00D25E6C">
              <w:rPr>
                <w:b/>
                <w:bCs/>
                <w:color w:val="000000"/>
              </w:rPr>
              <w:t>852,000</w:t>
            </w:r>
          </w:p>
        </w:tc>
      </w:tr>
    </w:tbl>
    <w:p w:rsidR="006B4904" w:rsidP="006B4904" w14:paraId="6C062A11" w14:textId="77777777">
      <w:pPr>
        <w:rPr>
          <w:rFonts w:ascii="Calibri" w:hAnsi="Calibri" w:eastAsiaTheme="minorHAnsi" w:cs="Calibri"/>
          <w:sz w:val="22"/>
          <w:szCs w:val="22"/>
        </w:rPr>
      </w:pPr>
    </w:p>
    <w:p w:rsidR="00F660E8" w:rsidRPr="00BF6D43" w:rsidP="00F660E8" w14:paraId="2B232019" w14:textId="77777777">
      <w:pPr>
        <w:rPr>
          <w:b/>
          <w:sz w:val="24"/>
          <w:szCs w:val="24"/>
        </w:rPr>
      </w:pPr>
      <w:r w:rsidRPr="00BF6D43">
        <w:rPr>
          <w:b/>
          <w:sz w:val="24"/>
          <w:szCs w:val="24"/>
        </w:rPr>
        <w:t xml:space="preserve">15.  </w:t>
      </w:r>
      <w:r w:rsidRPr="00BF6D43">
        <w:rPr>
          <w:b/>
          <w:bCs/>
          <w:sz w:val="24"/>
          <w:szCs w:val="24"/>
        </w:rPr>
        <w:t>Explain the reasons for any program changes or adjustments.</w:t>
      </w:r>
    </w:p>
    <w:p w:rsidR="005F1FFC" w:rsidP="005F1FFC" w14:paraId="7D933924" w14:textId="4CC75ED0">
      <w:pPr>
        <w:numPr>
          <w:ilvl w:val="12"/>
          <w:numId w:val="0"/>
        </w:numPr>
        <w:rPr>
          <w:sz w:val="24"/>
        </w:rPr>
      </w:pPr>
    </w:p>
    <w:p w:rsidR="00490C96" w:rsidRPr="00BF6D43" w:rsidP="005F1FFC" w14:paraId="178D2868" w14:textId="72E2801E">
      <w:pPr>
        <w:numPr>
          <w:ilvl w:val="12"/>
          <w:numId w:val="0"/>
        </w:numPr>
        <w:rPr>
          <w:sz w:val="24"/>
        </w:rPr>
      </w:pPr>
      <w:r>
        <w:rPr>
          <w:sz w:val="24"/>
        </w:rPr>
        <w:t>We are revising the survey instrument to incorporate questions on new developments in consumer finance and to reflect new CFPB priorities.</w:t>
      </w:r>
    </w:p>
    <w:p w:rsidR="00A93967" w:rsidRPr="00BF6D43" w:rsidP="00253FF0" w14:paraId="52F188B0" w14:textId="77777777">
      <w:pPr>
        <w:rPr>
          <w:sz w:val="24"/>
        </w:rPr>
      </w:pPr>
    </w:p>
    <w:p w:rsidR="00F660E8" w:rsidRPr="00BF6D43" w:rsidP="00F660E8" w14:paraId="1715AB5F" w14:textId="77777777">
      <w:pPr>
        <w:rPr>
          <w:b/>
          <w:sz w:val="24"/>
          <w:szCs w:val="24"/>
        </w:rPr>
      </w:pPr>
      <w:r w:rsidRPr="00BF6D43">
        <w:rPr>
          <w:b/>
          <w:sz w:val="24"/>
          <w:szCs w:val="24"/>
        </w:rPr>
        <w:t>16.  F</w:t>
      </w:r>
      <w:r w:rsidRPr="00BF6D43">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BF6D43">
        <w:rPr>
          <w:sz w:val="24"/>
          <w:szCs w:val="24"/>
        </w:rPr>
        <w:t>.</w:t>
      </w:r>
    </w:p>
    <w:p w:rsidR="005F1FFC" w:rsidP="005F1FFC" w14:paraId="3C07C2B3" w14:textId="7C04F0F8">
      <w:pPr>
        <w:rPr>
          <w:sz w:val="24"/>
        </w:rPr>
      </w:pPr>
    </w:p>
    <w:p w:rsidR="00490C96" w:rsidRPr="00490C96" w:rsidP="00490C96" w14:paraId="773C1704" w14:textId="2EAB876E">
      <w:pPr>
        <w:rPr>
          <w:sz w:val="24"/>
        </w:rPr>
      </w:pPr>
      <w:r w:rsidRPr="00490C96">
        <w:rPr>
          <w:sz w:val="24"/>
        </w:rPr>
        <w:t xml:space="preserve">The </w:t>
      </w:r>
      <w:r w:rsidR="00465C78">
        <w:rPr>
          <w:sz w:val="24"/>
        </w:rPr>
        <w:t>CFPB</w:t>
      </w:r>
      <w:r w:rsidRPr="00490C96">
        <w:rPr>
          <w:sz w:val="24"/>
        </w:rPr>
        <w:t xml:space="preserve">’s research projects are intended to expand scientific understanding of consumer decision-making in financial domains. Publication of our research will increase the public transparency about the work that we are doing. Research findings will be published as technical articles that are publicly disseminated as working papers, published in peer- reviewed journals, or published as </w:t>
      </w:r>
      <w:r w:rsidR="004E2E97">
        <w:rPr>
          <w:sz w:val="24"/>
        </w:rPr>
        <w:t>CFPB</w:t>
      </w:r>
      <w:r w:rsidRPr="00490C96">
        <w:rPr>
          <w:sz w:val="24"/>
        </w:rPr>
        <w:t xml:space="preserve"> white papers or </w:t>
      </w:r>
      <w:r w:rsidR="004E2E97">
        <w:rPr>
          <w:sz w:val="24"/>
        </w:rPr>
        <w:t>CFPB</w:t>
      </w:r>
      <w:r w:rsidRPr="00490C96">
        <w:rPr>
          <w:sz w:val="24"/>
        </w:rPr>
        <w:t xml:space="preserve"> staff reports. Where appropriate, the </w:t>
      </w:r>
      <w:r w:rsidR="004E2E97">
        <w:rPr>
          <w:sz w:val="24"/>
        </w:rPr>
        <w:t>CFPB</w:t>
      </w:r>
      <w:r w:rsidRPr="00490C96">
        <w:rPr>
          <w:sz w:val="24"/>
        </w:rPr>
        <w:t xml:space="preserve"> will make versions of the data and analysis available publicly.</w:t>
      </w:r>
    </w:p>
    <w:p w:rsidR="00490C96" w:rsidRPr="00490C96" w:rsidP="00490C96" w14:paraId="574BDEDA" w14:textId="77777777">
      <w:pPr>
        <w:rPr>
          <w:sz w:val="24"/>
        </w:rPr>
      </w:pPr>
    </w:p>
    <w:p w:rsidR="00490C96" w:rsidRPr="00490C96" w:rsidP="00490C96" w14:paraId="14B12857" w14:textId="77777777">
      <w:pPr>
        <w:rPr>
          <w:sz w:val="24"/>
        </w:rPr>
      </w:pPr>
      <w:r w:rsidRPr="00490C96">
        <w:rPr>
          <w:sz w:val="24"/>
        </w:rPr>
        <w:t>Collection, analysis, and publication of data will span the entire period of the anticipated clearance. The Office of Research plans to conduct an ongoing program of research and therefore plans to apply for an extension to the anticipated clearance when it expires.</w:t>
      </w:r>
    </w:p>
    <w:p w:rsidR="00490C96" w:rsidRPr="00490C96" w:rsidP="00490C96" w14:paraId="6B654E98" w14:textId="77777777">
      <w:pPr>
        <w:rPr>
          <w:sz w:val="24"/>
        </w:rPr>
      </w:pPr>
    </w:p>
    <w:p w:rsidR="00490C96" w:rsidRPr="00490C96" w:rsidP="00490C96" w14:paraId="288517E1" w14:textId="05775CFC">
      <w:pPr>
        <w:rPr>
          <w:sz w:val="24"/>
        </w:rPr>
      </w:pPr>
      <w:r w:rsidRPr="00490C96">
        <w:rPr>
          <w:sz w:val="24"/>
        </w:rPr>
        <w:t>Because of publication lag, a typical academic journal article is published one or more years after initial submission. Data collection for a professional publication typically takes at least three to four months, and in some cases could be longer. Data analysis and article preparation typically lasts another three to four months. Thus, professional articles in a peer-reviewed outlet of any kind are estimated to be published from 12 months to 36 months from the time that data collection begins.</w:t>
      </w:r>
      <w:r>
        <w:rPr>
          <w:sz w:val="24"/>
          <w:vertAlign w:val="superscript"/>
        </w:rPr>
        <w:footnoteReference w:id="9"/>
      </w:r>
      <w:r w:rsidRPr="00490C96">
        <w:rPr>
          <w:sz w:val="24"/>
        </w:rPr>
        <w:t xml:space="preserve"> The publication process for </w:t>
      </w:r>
      <w:r w:rsidR="004E2E97">
        <w:rPr>
          <w:sz w:val="24"/>
        </w:rPr>
        <w:t>CFPB</w:t>
      </w:r>
      <w:r w:rsidRPr="00490C96">
        <w:rPr>
          <w:sz w:val="24"/>
        </w:rPr>
        <w:t xml:space="preserve"> in-house products is shorter than that for external academic publications.</w:t>
      </w:r>
    </w:p>
    <w:p w:rsidR="005F1FFC" w:rsidRPr="00BF6D43" w:rsidP="005F1FFC" w14:paraId="77B89593" w14:textId="77777777">
      <w:pPr>
        <w:rPr>
          <w:sz w:val="24"/>
        </w:rPr>
      </w:pPr>
    </w:p>
    <w:p w:rsidR="00F660E8" w:rsidRPr="00BF6D43" w:rsidP="00F660E8" w14:paraId="7F4F1EB6" w14:textId="77777777">
      <w:pPr>
        <w:rPr>
          <w:b/>
          <w:sz w:val="24"/>
          <w:szCs w:val="24"/>
        </w:rPr>
      </w:pPr>
      <w:r w:rsidRPr="00BF6D43">
        <w:rPr>
          <w:b/>
          <w:sz w:val="24"/>
        </w:rPr>
        <w:t xml:space="preserve">17.  </w:t>
      </w:r>
      <w:r w:rsidRPr="00BF6D43">
        <w:rPr>
          <w:b/>
          <w:sz w:val="24"/>
          <w:szCs w:val="24"/>
        </w:rPr>
        <w:t>I</w:t>
      </w:r>
      <w:r w:rsidRPr="00BF6D43">
        <w:rPr>
          <w:b/>
          <w:bCs/>
          <w:sz w:val="24"/>
          <w:szCs w:val="24"/>
        </w:rPr>
        <w:t>f seeking approval to not display the expiration date for OMB approval of the information collection, explain the reasons that display would be inappropriate</w:t>
      </w:r>
      <w:r w:rsidRPr="00BF6D43">
        <w:rPr>
          <w:b/>
          <w:sz w:val="24"/>
          <w:szCs w:val="24"/>
        </w:rPr>
        <w:t>.</w:t>
      </w:r>
    </w:p>
    <w:p w:rsidR="005F1FFC" w:rsidRPr="00BF6D43" w:rsidP="005F1FFC" w14:paraId="195A2521" w14:textId="77777777">
      <w:pPr>
        <w:rPr>
          <w:sz w:val="24"/>
        </w:rPr>
      </w:pPr>
    </w:p>
    <w:p w:rsidR="00791AC9" w:rsidRPr="00BF6D43" w:rsidP="005F1FFC" w14:paraId="2449748D" w14:textId="7E8FC481">
      <w:pPr>
        <w:rPr>
          <w:sz w:val="24"/>
        </w:rPr>
      </w:pPr>
      <w:r w:rsidRPr="00BF6D43">
        <w:rPr>
          <w:sz w:val="24"/>
        </w:rPr>
        <w:t xml:space="preserve">The information collection is not collected in a manner that allows the display of the current expiration date. However, the expiration date can be found under the “Information Collections under Review” section of </w:t>
      </w:r>
      <w:hyperlink r:id="rId12" w:history="1">
        <w:r w:rsidRPr="00BF6D43">
          <w:rPr>
            <w:rStyle w:val="Hyperlink"/>
            <w:sz w:val="24"/>
          </w:rPr>
          <w:t>www.reginfo.gov</w:t>
        </w:r>
      </w:hyperlink>
      <w:r w:rsidRPr="00BF6D43">
        <w:rPr>
          <w:sz w:val="24"/>
        </w:rPr>
        <w:t xml:space="preserve"> (</w:t>
      </w:r>
      <w:hyperlink r:id="rId13" w:history="1">
        <w:r w:rsidRPr="00BF6D43">
          <w:rPr>
            <w:rStyle w:val="Hyperlink"/>
            <w:sz w:val="24"/>
          </w:rPr>
          <w:t>https://www.reginfo.gov/public/do/PRAMain</w:t>
        </w:r>
      </w:hyperlink>
      <w:r w:rsidRPr="00BF6D43">
        <w:rPr>
          <w:sz w:val="24"/>
        </w:rPr>
        <w:t>).</w:t>
      </w:r>
    </w:p>
    <w:p w:rsidR="00A93967" w:rsidRPr="00BF6D43" w:rsidP="003E083F" w14:paraId="58CE7FA0" w14:textId="77777777">
      <w:pPr>
        <w:rPr>
          <w:sz w:val="24"/>
        </w:rPr>
      </w:pPr>
    </w:p>
    <w:p w:rsidR="00F660E8" w:rsidRPr="00BF6D43" w:rsidP="00F660E8" w14:paraId="0503086D" w14:textId="77777777">
      <w:pPr>
        <w:rPr>
          <w:b/>
          <w:sz w:val="24"/>
        </w:rPr>
      </w:pPr>
      <w:r w:rsidRPr="00BF6D43">
        <w:rPr>
          <w:b/>
          <w:sz w:val="24"/>
        </w:rPr>
        <w:t>18.  Explain each exception to the certification statement.</w:t>
      </w:r>
    </w:p>
    <w:p w:rsidR="005F1FFC" w:rsidRPr="00BF6D43" w:rsidP="005F1FFC" w14:paraId="6066F545" w14:textId="77777777">
      <w:pPr>
        <w:pStyle w:val="BodyText"/>
      </w:pPr>
    </w:p>
    <w:p w:rsidR="00CA6DAB" w:rsidRPr="00A637BE" w:rsidP="00E76DDF" w14:paraId="235F0EA3" w14:textId="114F2E7E">
      <w:pPr>
        <w:pStyle w:val="NoSpacing"/>
        <w:rPr>
          <w:sz w:val="24"/>
        </w:rPr>
      </w:pPr>
      <w:bookmarkStart w:id="4" w:name="_Hlk70680085"/>
      <w:r w:rsidRPr="006E0366">
        <w:rPr>
          <w:sz w:val="24"/>
        </w:rPr>
        <w:t xml:space="preserve">The </w:t>
      </w:r>
      <w:r w:rsidR="004E2E97">
        <w:rPr>
          <w:sz w:val="24"/>
        </w:rPr>
        <w:t xml:space="preserve">CFPB </w:t>
      </w:r>
      <w:r w:rsidRPr="006E0366">
        <w:rPr>
          <w:sz w:val="24"/>
        </w:rPr>
        <w:t xml:space="preserve">certifies that this collection of information is consistent with the requirements of 5 CFR 1320.9 and the related provisions of 5 CFR 1320.8(b)(3).  </w:t>
      </w:r>
      <w:bookmarkEnd w:id="4"/>
      <w:r w:rsidRPr="006E0366">
        <w:rPr>
          <w:sz w:val="24"/>
        </w:rPr>
        <w:t xml:space="preserve">The </w:t>
      </w:r>
      <w:r w:rsidR="004E2E97">
        <w:rPr>
          <w:sz w:val="24"/>
        </w:rPr>
        <w:t>CFPB</w:t>
      </w:r>
      <w:r w:rsidRPr="006E0366">
        <w:rPr>
          <w:sz w:val="24"/>
        </w:rPr>
        <w:t xml:space="preserve"> is not seeking an exemption to these certification requirements.</w:t>
      </w:r>
    </w:p>
    <w:sectPr w:rsidSect="0079547E">
      <w:headerReference w:type="default" r:id="rId14"/>
      <w:footerReference w:type="default" r:id="rId15"/>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1CD8F4C2" w14:textId="77777777">
    <w:pPr>
      <w:pStyle w:val="Footer"/>
      <w:jc w:val="center"/>
    </w:pPr>
    <w:r>
      <w:fldChar w:fldCharType="begin"/>
    </w:r>
    <w:r>
      <w:instrText xml:space="preserve"> PAGE   \* MERGEFORMAT </w:instrText>
    </w:r>
    <w:r>
      <w:fldChar w:fldCharType="separate"/>
    </w:r>
    <w:r w:rsidR="001E418A">
      <w:rPr>
        <w:noProof/>
      </w:rPr>
      <w:t>8</w:t>
    </w:r>
    <w:r>
      <w:fldChar w:fldCharType="end"/>
    </w:r>
  </w:p>
  <w:p w:rsidR="00B35205" w14:paraId="4A3288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6960" w:rsidP="0079547E" w14:paraId="487EEC69" w14:textId="77777777">
      <w:r>
        <w:separator/>
      </w:r>
    </w:p>
  </w:footnote>
  <w:footnote w:type="continuationSeparator" w:id="1">
    <w:p w:rsidR="00746960" w:rsidP="0079547E" w14:paraId="6892CB53" w14:textId="77777777">
      <w:r>
        <w:continuationSeparator/>
      </w:r>
    </w:p>
  </w:footnote>
  <w:footnote w:type="continuationNotice" w:id="2">
    <w:p w:rsidR="00746960" w14:paraId="29F3296A" w14:textId="77777777"/>
  </w:footnote>
  <w:footnote w:id="3">
    <w:p w:rsidR="00490C96" w:rsidRPr="009E3500" w:rsidP="00490C96" w14:paraId="143D1D9B" w14:textId="77777777">
      <w:pPr>
        <w:pStyle w:val="FootnoteText"/>
      </w:pPr>
      <w:r>
        <w:rPr>
          <w:rStyle w:val="FootnoteReference"/>
        </w:rPr>
        <w:footnoteRef/>
      </w:r>
      <w:r>
        <w:t xml:space="preserve"> Li, Greta, Scott Fulford, and Cortnie Shupe, 2023 “Consumer Use of Buy Now, Pay Later: Insights from the CFPB Making Ends Meet Survey”, available at </w:t>
      </w:r>
      <w:hyperlink r:id="rId1" w:history="1">
        <w:r w:rsidRPr="009D55B3">
          <w:rPr>
            <w:rStyle w:val="Hyperlink"/>
          </w:rPr>
          <w:t>https://www.consumerfinance.gov/data-research/research-reports/consumer-use-of-buy-now-pay-later-insights-from-the-cfpb-making-ends-meet-survey/</w:t>
        </w:r>
      </w:hyperlink>
      <w:r>
        <w:t xml:space="preserve">. </w:t>
      </w:r>
    </w:p>
  </w:footnote>
  <w:footnote w:id="4">
    <w:p w:rsidR="00490C96" w:rsidP="00490C96" w14:paraId="2BC3C5E9" w14:textId="077BABB2">
      <w:pPr>
        <w:pStyle w:val="FootnoteText"/>
      </w:pPr>
      <w:r>
        <w:rPr>
          <w:rStyle w:val="FootnoteReference"/>
        </w:rPr>
        <w:footnoteRef/>
      </w:r>
      <w:r>
        <w:t xml:space="preserve"> Bureau of Consumer Financial Protection Strategic Plan FY </w:t>
      </w:r>
      <w:r w:rsidR="003C6A57">
        <w:t xml:space="preserve">2022 </w:t>
      </w:r>
      <w:r>
        <w:t xml:space="preserve">- </w:t>
      </w:r>
      <w:r w:rsidR="003C6A57">
        <w:t>2026</w:t>
      </w:r>
      <w:r>
        <w:t xml:space="preserve">, Goal </w:t>
      </w:r>
      <w:r w:rsidR="003C6A57">
        <w:t>3</w:t>
      </w:r>
      <w:r>
        <w:t xml:space="preserve">, </w:t>
      </w:r>
      <w:r w:rsidRPr="00D10264">
        <w:t>https://www.consumerfinance.gov/about-us/budget-strategy/strategic-plan/</w:t>
      </w:r>
    </w:p>
  </w:footnote>
  <w:footnote w:id="5">
    <w:p w:rsidR="00BC56A2" w14:paraId="1F586CAA" w14:textId="5B4D117B">
      <w:pPr>
        <w:pStyle w:val="FootnoteText"/>
      </w:pPr>
      <w:r>
        <w:rPr>
          <w:rStyle w:val="FootnoteReference"/>
        </w:rPr>
        <w:footnoteRef/>
      </w:r>
      <w:r>
        <w:t xml:space="preserve"> </w:t>
      </w:r>
      <w:r w:rsidR="007C40A0">
        <w:t xml:space="preserve">89 </w:t>
      </w:r>
      <w:r>
        <w:t xml:space="preserve">FR </w:t>
      </w:r>
      <w:r w:rsidR="00DA5622">
        <w:t xml:space="preserve">20950 </w:t>
      </w:r>
      <w:r>
        <w:t xml:space="preserve">(published on </w:t>
      </w:r>
      <w:r w:rsidR="00CF5C60">
        <w:t>3</w:t>
      </w:r>
      <w:r>
        <w:t>/</w:t>
      </w:r>
      <w:r w:rsidR="00491365">
        <w:t>26</w:t>
      </w:r>
      <w:r>
        <w:t>/</w:t>
      </w:r>
      <w:r w:rsidR="00491365">
        <w:t>2024</w:t>
      </w:r>
      <w:r>
        <w:t>)</w:t>
      </w:r>
      <w:r w:rsidR="009D7886">
        <w:t>.</w:t>
      </w:r>
    </w:p>
  </w:footnote>
  <w:footnote w:id="6">
    <w:p w:rsidR="009D7886" w14:paraId="1530F2D0" w14:textId="0E81C8EF">
      <w:pPr>
        <w:pStyle w:val="FootnoteText"/>
      </w:pPr>
      <w:r>
        <w:rPr>
          <w:rStyle w:val="FootnoteReference"/>
        </w:rPr>
        <w:footnoteRef/>
      </w:r>
      <w:r>
        <w:t xml:space="preserve"> </w:t>
      </w:r>
      <w:r w:rsidR="00CC4C33">
        <w:t>89</w:t>
      </w:r>
      <w:r>
        <w:t xml:space="preserve"> FR </w:t>
      </w:r>
      <w:r w:rsidR="00166F04">
        <w:t>79900</w:t>
      </w:r>
      <w:r w:rsidR="001650D5">
        <w:t xml:space="preserve"> </w:t>
      </w:r>
      <w:r>
        <w:t xml:space="preserve">(published on </w:t>
      </w:r>
      <w:r w:rsidR="00166F04">
        <w:t>10/1/2024</w:t>
      </w:r>
      <w:r>
        <w:t xml:space="preserve">; comment period ends on </w:t>
      </w:r>
      <w:r w:rsidR="00166F04">
        <w:t>10/31/2024</w:t>
      </w:r>
      <w:r>
        <w:t>).</w:t>
      </w:r>
    </w:p>
  </w:footnote>
  <w:footnote w:id="7">
    <w:p w:rsidR="00490C96" w:rsidP="00490C96" w14:paraId="66EB7D85" w14:textId="4E7B37E8">
      <w:pPr>
        <w:pStyle w:val="FootnoteText"/>
      </w:pPr>
      <w:r>
        <w:rPr>
          <w:rStyle w:val="FootnoteReference"/>
        </w:rPr>
        <w:footnoteRef/>
      </w:r>
      <w:r>
        <w:t xml:space="preserve"> </w:t>
      </w:r>
      <w:r w:rsidR="00EB2C64">
        <w:t>Market Research in the Field</w:t>
      </w:r>
      <w:r>
        <w:t xml:space="preserve"> PIA </w:t>
      </w:r>
      <w:hyperlink r:id="rId2" w:history="1">
        <w:r w:rsidRPr="00D91BED">
          <w:rPr>
            <w:rStyle w:val="Hyperlink"/>
          </w:rPr>
          <w:t>https://s3.amazonaws.com/files.consumerfinance.gov/f/201406_cfpb_consumer-experience-research_pia.pdf</w:t>
        </w:r>
      </w:hyperlink>
    </w:p>
  </w:footnote>
  <w:footnote w:id="8">
    <w:p w:rsidR="00BC3224" w14:paraId="7CC8BCB4" w14:textId="71C35FDD">
      <w:pPr>
        <w:pStyle w:val="FootnoteText"/>
      </w:pPr>
      <w:r>
        <w:rPr>
          <w:rStyle w:val="FootnoteReference"/>
        </w:rPr>
        <w:footnoteRef/>
      </w:r>
      <w:r>
        <w:t xml:space="preserve"> </w:t>
      </w:r>
      <w:r w:rsidR="0088308B">
        <w:t xml:space="preserve">Bureau of Labor Statistics, </w:t>
      </w:r>
      <w:hyperlink r:id="rId3" w:anchor="00-0000" w:history="1">
        <w:r w:rsidRPr="00D7666E" w:rsidR="0088308B">
          <w:rPr>
            <w:rStyle w:val="Hyperlink"/>
          </w:rPr>
          <w:t>https://www.bls.gov/oes/current/oes_nat.htm#00-0000</w:t>
        </w:r>
      </w:hyperlink>
      <w:r w:rsidR="0088308B">
        <w:t>, May 202</w:t>
      </w:r>
      <w:r w:rsidR="00380D13">
        <w:t>3</w:t>
      </w:r>
      <w:r w:rsidR="0088308B">
        <w:t xml:space="preserve"> National Occupational Employment and Wage Estimates (</w:t>
      </w:r>
      <w:r w:rsidR="005D1CA4">
        <w:t>All occupation</w:t>
      </w:r>
      <w:r w:rsidR="00380D13">
        <w:t>s</w:t>
      </w:r>
      <w:r w:rsidR="005D1CA4">
        <w:t xml:space="preserve">, </w:t>
      </w:r>
      <w:r w:rsidR="0088308B">
        <w:t>Occupation code: 00-0000).</w:t>
      </w:r>
    </w:p>
  </w:footnote>
  <w:footnote w:id="9">
    <w:p w:rsidR="00490C96" w:rsidP="00490C96" w14:paraId="69FE6998" w14:textId="77777777">
      <w:pPr>
        <w:pStyle w:val="FootnoteText"/>
      </w:pPr>
      <w:r>
        <w:rPr>
          <w:rStyle w:val="FootnoteReference"/>
        </w:rPr>
        <w:footnoteRef/>
      </w:r>
      <w:r>
        <w:t xml:space="preserve"> P.K. Trivedi (2006), “An Analysis of Publication Lags in Econometrics” </w:t>
      </w:r>
      <w:r>
        <w:rPr>
          <w:i/>
        </w:rPr>
        <w:t xml:space="preserve">Journal of Applied Econometrics </w:t>
      </w:r>
      <w:r>
        <w:t>8(1): 93-100.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3131924E" w14:textId="78F88063">
    <w:pPr>
      <w:pStyle w:val="Header"/>
    </w:pPr>
    <w:r>
      <w:t>Making Ends Meet Survey</w:t>
    </w:r>
  </w:p>
  <w:p w:rsidR="00B35205" w14:paraId="55C694D9" w14:textId="01E8CC73">
    <w:pPr>
      <w:pStyle w:val="Header"/>
    </w:pPr>
    <w:r>
      <w:t>OMB Control Number</w:t>
    </w:r>
    <w:r w:rsidR="004D6F7D">
      <w:t>:</w:t>
    </w:r>
    <w:r>
      <w:t xml:space="preserve"> </w:t>
    </w:r>
    <w:r w:rsidR="00E81562">
      <w:t>3170-</w:t>
    </w:r>
    <w:r w:rsidR="008C6F5E">
      <w:t>0080</w:t>
    </w:r>
  </w:p>
  <w:p w:rsidR="00B35205" w14:paraId="3E4932DB" w14:textId="25B7530B">
    <w:pPr>
      <w:pStyle w:val="Header"/>
    </w:pPr>
    <w:r>
      <w:t xml:space="preserve">OMB Expiration Date: </w:t>
    </w:r>
    <w:r w:rsidR="00B23061">
      <w:t>11/30/2026</w:t>
    </w:r>
  </w:p>
  <w:p w:rsidR="00B35205" w:rsidP="00F52D42" w14:paraId="1930D639" w14:textId="77777777">
    <w:pPr>
      <w:pStyle w:val="Header"/>
      <w:tabs>
        <w:tab w:val="clear" w:pos="4680"/>
        <w:tab w:val="left" w:pos="6526"/>
        <w:tab w:val="clear"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20B63"/>
    <w:multiLevelType w:val="hybridMultilevel"/>
    <w:tmpl w:val="018A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16564B"/>
    <w:multiLevelType w:val="hybridMultilevel"/>
    <w:tmpl w:val="86AA9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F075698"/>
    <w:multiLevelType w:val="hybridMultilevel"/>
    <w:tmpl w:val="816A664C"/>
    <w:lvl w:ilvl="0">
      <w:start w:val="1"/>
      <w:numFmt w:val="decimal"/>
      <w:lvlText w:val="%1."/>
      <w:lvlJc w:val="left"/>
      <w:pPr>
        <w:ind w:left="580" w:hanging="360"/>
      </w:pPr>
      <w:rPr>
        <w:rFonts w:ascii="Times New Roman" w:eastAsia="Times New Roman" w:hAnsi="Times New Roman" w:cs="Times New Roman" w:hint="default"/>
        <w:b/>
        <w:bCs/>
        <w:spacing w:val="-2"/>
        <w:w w:val="99"/>
        <w:sz w:val="24"/>
        <w:szCs w:val="24"/>
      </w:rPr>
    </w:lvl>
    <w:lvl w:ilvl="1">
      <w:start w:val="0"/>
      <w:numFmt w:val="bullet"/>
      <w:lvlText w:val=""/>
      <w:lvlJc w:val="left"/>
      <w:pPr>
        <w:ind w:left="940" w:hanging="360"/>
      </w:pPr>
      <w:rPr>
        <w:rFonts w:ascii="Symbol" w:eastAsia="Symbol" w:hAnsi="Symbol" w:cs="Symbol" w:hint="default"/>
        <w:w w:val="100"/>
        <w:sz w:val="24"/>
        <w:szCs w:val="24"/>
      </w:rPr>
    </w:lvl>
    <w:lvl w:ilvl="2">
      <w:start w:val="0"/>
      <w:numFmt w:val="bullet"/>
      <w:lvlText w:val="•"/>
      <w:lvlJc w:val="left"/>
      <w:pPr>
        <w:ind w:left="1924" w:hanging="360"/>
      </w:pPr>
      <w:rPr>
        <w:rFonts w:hint="default"/>
      </w:rPr>
    </w:lvl>
    <w:lvl w:ilvl="3">
      <w:start w:val="0"/>
      <w:numFmt w:val="bullet"/>
      <w:lvlText w:val="•"/>
      <w:lvlJc w:val="left"/>
      <w:pPr>
        <w:ind w:left="2908" w:hanging="360"/>
      </w:pPr>
      <w:rPr>
        <w:rFonts w:hint="default"/>
      </w:rPr>
    </w:lvl>
    <w:lvl w:ilvl="4">
      <w:start w:val="0"/>
      <w:numFmt w:val="bullet"/>
      <w:lvlText w:val="•"/>
      <w:lvlJc w:val="left"/>
      <w:pPr>
        <w:ind w:left="3893" w:hanging="360"/>
      </w:pPr>
      <w:rPr>
        <w:rFonts w:hint="default"/>
      </w:rPr>
    </w:lvl>
    <w:lvl w:ilvl="5">
      <w:start w:val="0"/>
      <w:numFmt w:val="bullet"/>
      <w:lvlText w:val="•"/>
      <w:lvlJc w:val="left"/>
      <w:pPr>
        <w:ind w:left="4877" w:hanging="360"/>
      </w:pPr>
      <w:rPr>
        <w:rFonts w:hint="default"/>
      </w:rPr>
    </w:lvl>
    <w:lvl w:ilvl="6">
      <w:start w:val="0"/>
      <w:numFmt w:val="bullet"/>
      <w:lvlText w:val="•"/>
      <w:lvlJc w:val="left"/>
      <w:pPr>
        <w:ind w:left="5862" w:hanging="360"/>
      </w:pPr>
      <w:rPr>
        <w:rFonts w:hint="default"/>
      </w:rPr>
    </w:lvl>
    <w:lvl w:ilvl="7">
      <w:start w:val="0"/>
      <w:numFmt w:val="bullet"/>
      <w:lvlText w:val="•"/>
      <w:lvlJc w:val="left"/>
      <w:pPr>
        <w:ind w:left="6846" w:hanging="360"/>
      </w:pPr>
      <w:rPr>
        <w:rFonts w:hint="default"/>
      </w:rPr>
    </w:lvl>
    <w:lvl w:ilvl="8">
      <w:start w:val="0"/>
      <w:numFmt w:val="bullet"/>
      <w:lvlText w:val="•"/>
      <w:lvlJc w:val="left"/>
      <w:pPr>
        <w:ind w:left="7831" w:hanging="360"/>
      </w:pPr>
      <w:rPr>
        <w:rFonts w:hint="default"/>
      </w:rPr>
    </w:lvl>
  </w:abstractNum>
  <w:abstractNum w:abstractNumId="7">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8">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9">
    <w:nsid w:val="51771B42"/>
    <w:multiLevelType w:val="hybridMultilevel"/>
    <w:tmpl w:val="D9DC5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11">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13">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14">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6FE3102"/>
    <w:multiLevelType w:val="hybridMultilevel"/>
    <w:tmpl w:val="BE681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18">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85495961">
    <w:abstractNumId w:val="10"/>
  </w:num>
  <w:num w:numId="2" w16cid:durableId="1283073048">
    <w:abstractNumId w:val="8"/>
  </w:num>
  <w:num w:numId="3" w16cid:durableId="2130589278">
    <w:abstractNumId w:val="17"/>
  </w:num>
  <w:num w:numId="4" w16cid:durableId="2000885098">
    <w:abstractNumId w:val="7"/>
  </w:num>
  <w:num w:numId="5" w16cid:durableId="624848207">
    <w:abstractNumId w:val="13"/>
  </w:num>
  <w:num w:numId="6" w16cid:durableId="590814226">
    <w:abstractNumId w:val="12"/>
  </w:num>
  <w:num w:numId="7" w16cid:durableId="72194488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40344">
    <w:abstractNumId w:val="15"/>
  </w:num>
  <w:num w:numId="9" w16cid:durableId="1342272240">
    <w:abstractNumId w:val="14"/>
  </w:num>
  <w:num w:numId="10" w16cid:durableId="797914436">
    <w:abstractNumId w:val="4"/>
  </w:num>
  <w:num w:numId="11" w16cid:durableId="6235800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3351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6045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8909">
    <w:abstractNumId w:val="5"/>
  </w:num>
  <w:num w:numId="15" w16cid:durableId="1362047880">
    <w:abstractNumId w:val="1"/>
  </w:num>
  <w:num w:numId="16" w16cid:durableId="574822581">
    <w:abstractNumId w:val="18"/>
  </w:num>
  <w:num w:numId="17" w16cid:durableId="883298877">
    <w:abstractNumId w:val="2"/>
  </w:num>
  <w:num w:numId="18" w16cid:durableId="1205606314">
    <w:abstractNumId w:val="6"/>
  </w:num>
  <w:num w:numId="19" w16cid:durableId="1237787146">
    <w:abstractNumId w:val="3"/>
  </w:num>
  <w:num w:numId="20" w16cid:durableId="1913539107">
    <w:abstractNumId w:val="9"/>
  </w:num>
  <w:num w:numId="21" w16cid:durableId="908537976">
    <w:abstractNumId w:val="0"/>
  </w:num>
  <w:num w:numId="22" w16cid:durableId="19633443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FC"/>
    <w:rsid w:val="0000044A"/>
    <w:rsid w:val="00000B69"/>
    <w:rsid w:val="0001380B"/>
    <w:rsid w:val="000140B2"/>
    <w:rsid w:val="00014936"/>
    <w:rsid w:val="000267DB"/>
    <w:rsid w:val="00032848"/>
    <w:rsid w:val="00032C14"/>
    <w:rsid w:val="00032FC6"/>
    <w:rsid w:val="00034C49"/>
    <w:rsid w:val="00035E5E"/>
    <w:rsid w:val="0004229D"/>
    <w:rsid w:val="0005070D"/>
    <w:rsid w:val="000533A4"/>
    <w:rsid w:val="00055847"/>
    <w:rsid w:val="00055F8F"/>
    <w:rsid w:val="0005687E"/>
    <w:rsid w:val="00057B87"/>
    <w:rsid w:val="0007006A"/>
    <w:rsid w:val="00070301"/>
    <w:rsid w:val="00071C66"/>
    <w:rsid w:val="000763B3"/>
    <w:rsid w:val="00077DCF"/>
    <w:rsid w:val="00080781"/>
    <w:rsid w:val="00081109"/>
    <w:rsid w:val="00083F6C"/>
    <w:rsid w:val="00091AE1"/>
    <w:rsid w:val="00092D91"/>
    <w:rsid w:val="0009401F"/>
    <w:rsid w:val="000976BE"/>
    <w:rsid w:val="000A44E3"/>
    <w:rsid w:val="000C0B64"/>
    <w:rsid w:val="000C1729"/>
    <w:rsid w:val="000C39BD"/>
    <w:rsid w:val="000D0B4D"/>
    <w:rsid w:val="000D3E1A"/>
    <w:rsid w:val="000D628F"/>
    <w:rsid w:val="000D74D0"/>
    <w:rsid w:val="000F0DD6"/>
    <w:rsid w:val="000F5117"/>
    <w:rsid w:val="00100120"/>
    <w:rsid w:val="00102F46"/>
    <w:rsid w:val="00110F8E"/>
    <w:rsid w:val="0013145B"/>
    <w:rsid w:val="001345AE"/>
    <w:rsid w:val="001346E6"/>
    <w:rsid w:val="00135A84"/>
    <w:rsid w:val="00141E34"/>
    <w:rsid w:val="00143C38"/>
    <w:rsid w:val="00143D87"/>
    <w:rsid w:val="00150D58"/>
    <w:rsid w:val="00152EEA"/>
    <w:rsid w:val="00161562"/>
    <w:rsid w:val="00162371"/>
    <w:rsid w:val="001636EF"/>
    <w:rsid w:val="001639C2"/>
    <w:rsid w:val="001650D5"/>
    <w:rsid w:val="00166D3B"/>
    <w:rsid w:val="00166F04"/>
    <w:rsid w:val="00166FBE"/>
    <w:rsid w:val="00174DFC"/>
    <w:rsid w:val="0017582B"/>
    <w:rsid w:val="00177293"/>
    <w:rsid w:val="001860C8"/>
    <w:rsid w:val="00187617"/>
    <w:rsid w:val="001912C5"/>
    <w:rsid w:val="00194264"/>
    <w:rsid w:val="001944F6"/>
    <w:rsid w:val="001A478D"/>
    <w:rsid w:val="001B12AF"/>
    <w:rsid w:val="001B50EB"/>
    <w:rsid w:val="001C1DAC"/>
    <w:rsid w:val="001C4457"/>
    <w:rsid w:val="001C59A8"/>
    <w:rsid w:val="001D5558"/>
    <w:rsid w:val="001E418A"/>
    <w:rsid w:val="001E51D4"/>
    <w:rsid w:val="001F0989"/>
    <w:rsid w:val="001F0BE6"/>
    <w:rsid w:val="001F1B67"/>
    <w:rsid w:val="001F2243"/>
    <w:rsid w:val="001F2BB0"/>
    <w:rsid w:val="002029FA"/>
    <w:rsid w:val="002063CD"/>
    <w:rsid w:val="00211F72"/>
    <w:rsid w:val="002153B7"/>
    <w:rsid w:val="0021738C"/>
    <w:rsid w:val="0021755B"/>
    <w:rsid w:val="002215EA"/>
    <w:rsid w:val="002247FC"/>
    <w:rsid w:val="00226237"/>
    <w:rsid w:val="0023052B"/>
    <w:rsid w:val="002341FB"/>
    <w:rsid w:val="00235BD3"/>
    <w:rsid w:val="00246661"/>
    <w:rsid w:val="0025091D"/>
    <w:rsid w:val="00253FF0"/>
    <w:rsid w:val="00255107"/>
    <w:rsid w:val="00256325"/>
    <w:rsid w:val="00260D48"/>
    <w:rsid w:val="00261A1E"/>
    <w:rsid w:val="002628E3"/>
    <w:rsid w:val="002678C2"/>
    <w:rsid w:val="00270580"/>
    <w:rsid w:val="002722AB"/>
    <w:rsid w:val="00274CC0"/>
    <w:rsid w:val="00277E2D"/>
    <w:rsid w:val="00286B07"/>
    <w:rsid w:val="00290F19"/>
    <w:rsid w:val="00294DF4"/>
    <w:rsid w:val="0029506E"/>
    <w:rsid w:val="00296DCE"/>
    <w:rsid w:val="002A0EC1"/>
    <w:rsid w:val="002A2368"/>
    <w:rsid w:val="002B0AB2"/>
    <w:rsid w:val="002B341A"/>
    <w:rsid w:val="002B7700"/>
    <w:rsid w:val="002C126F"/>
    <w:rsid w:val="002C4CE5"/>
    <w:rsid w:val="002C5F25"/>
    <w:rsid w:val="002C6BC6"/>
    <w:rsid w:val="002D1431"/>
    <w:rsid w:val="002D19AD"/>
    <w:rsid w:val="002D1F7B"/>
    <w:rsid w:val="002D2ABC"/>
    <w:rsid w:val="002D2C81"/>
    <w:rsid w:val="002D5173"/>
    <w:rsid w:val="002D789D"/>
    <w:rsid w:val="002D79E5"/>
    <w:rsid w:val="002E0E6B"/>
    <w:rsid w:val="002E3048"/>
    <w:rsid w:val="002E3894"/>
    <w:rsid w:val="002E5877"/>
    <w:rsid w:val="002E65EF"/>
    <w:rsid w:val="002E7B73"/>
    <w:rsid w:val="002F17DC"/>
    <w:rsid w:val="002F36A4"/>
    <w:rsid w:val="002F4F70"/>
    <w:rsid w:val="00302B1C"/>
    <w:rsid w:val="003105AC"/>
    <w:rsid w:val="00311D7A"/>
    <w:rsid w:val="00312C7C"/>
    <w:rsid w:val="003161D3"/>
    <w:rsid w:val="00316F7F"/>
    <w:rsid w:val="00316FE0"/>
    <w:rsid w:val="003225D2"/>
    <w:rsid w:val="003252C5"/>
    <w:rsid w:val="00327A0B"/>
    <w:rsid w:val="00331511"/>
    <w:rsid w:val="0033632B"/>
    <w:rsid w:val="003372E9"/>
    <w:rsid w:val="00340510"/>
    <w:rsid w:val="003427C8"/>
    <w:rsid w:val="00345720"/>
    <w:rsid w:val="00352CFC"/>
    <w:rsid w:val="0035362D"/>
    <w:rsid w:val="003560DF"/>
    <w:rsid w:val="0036198E"/>
    <w:rsid w:val="00365BE8"/>
    <w:rsid w:val="00366EAF"/>
    <w:rsid w:val="00380D13"/>
    <w:rsid w:val="00381BD8"/>
    <w:rsid w:val="0038607F"/>
    <w:rsid w:val="0038749E"/>
    <w:rsid w:val="003A1CBC"/>
    <w:rsid w:val="003A4F14"/>
    <w:rsid w:val="003A66A4"/>
    <w:rsid w:val="003B199B"/>
    <w:rsid w:val="003B4917"/>
    <w:rsid w:val="003C30A7"/>
    <w:rsid w:val="003C4F2E"/>
    <w:rsid w:val="003C6A57"/>
    <w:rsid w:val="003D1A46"/>
    <w:rsid w:val="003D25E4"/>
    <w:rsid w:val="003D3ED3"/>
    <w:rsid w:val="003D6C6B"/>
    <w:rsid w:val="003D6EA7"/>
    <w:rsid w:val="003E083F"/>
    <w:rsid w:val="003E34FA"/>
    <w:rsid w:val="003E73D5"/>
    <w:rsid w:val="003E78F9"/>
    <w:rsid w:val="003F152C"/>
    <w:rsid w:val="00426D4F"/>
    <w:rsid w:val="00427149"/>
    <w:rsid w:val="004318BF"/>
    <w:rsid w:val="00432BBA"/>
    <w:rsid w:val="00433D35"/>
    <w:rsid w:val="004342CA"/>
    <w:rsid w:val="00437FE3"/>
    <w:rsid w:val="00441BED"/>
    <w:rsid w:val="004460F3"/>
    <w:rsid w:val="00465C78"/>
    <w:rsid w:val="004669BB"/>
    <w:rsid w:val="00473ADB"/>
    <w:rsid w:val="0047444F"/>
    <w:rsid w:val="00475305"/>
    <w:rsid w:val="004758D0"/>
    <w:rsid w:val="00477376"/>
    <w:rsid w:val="00481A62"/>
    <w:rsid w:val="00486C34"/>
    <w:rsid w:val="00486ECB"/>
    <w:rsid w:val="00487A05"/>
    <w:rsid w:val="00490C96"/>
    <w:rsid w:val="00491365"/>
    <w:rsid w:val="004931B5"/>
    <w:rsid w:val="0049767C"/>
    <w:rsid w:val="004978DF"/>
    <w:rsid w:val="004A0C5F"/>
    <w:rsid w:val="004A5D8F"/>
    <w:rsid w:val="004A74D1"/>
    <w:rsid w:val="004A7DC4"/>
    <w:rsid w:val="004B45A2"/>
    <w:rsid w:val="004B7532"/>
    <w:rsid w:val="004C0C7E"/>
    <w:rsid w:val="004C0E57"/>
    <w:rsid w:val="004C77CB"/>
    <w:rsid w:val="004D665B"/>
    <w:rsid w:val="004D6F7D"/>
    <w:rsid w:val="004E0FBC"/>
    <w:rsid w:val="004E1F5B"/>
    <w:rsid w:val="004E2E97"/>
    <w:rsid w:val="004E3FF9"/>
    <w:rsid w:val="00511C92"/>
    <w:rsid w:val="00513ACA"/>
    <w:rsid w:val="005148FE"/>
    <w:rsid w:val="0051614E"/>
    <w:rsid w:val="005168DD"/>
    <w:rsid w:val="00516CC6"/>
    <w:rsid w:val="0051739D"/>
    <w:rsid w:val="005270DF"/>
    <w:rsid w:val="00532872"/>
    <w:rsid w:val="00533076"/>
    <w:rsid w:val="005339D5"/>
    <w:rsid w:val="00536912"/>
    <w:rsid w:val="0054251A"/>
    <w:rsid w:val="00553771"/>
    <w:rsid w:val="0057278C"/>
    <w:rsid w:val="00573509"/>
    <w:rsid w:val="0057551F"/>
    <w:rsid w:val="005802BC"/>
    <w:rsid w:val="00594C60"/>
    <w:rsid w:val="00595988"/>
    <w:rsid w:val="00595DD0"/>
    <w:rsid w:val="005A1AE0"/>
    <w:rsid w:val="005A7979"/>
    <w:rsid w:val="005B3933"/>
    <w:rsid w:val="005B42C9"/>
    <w:rsid w:val="005B5054"/>
    <w:rsid w:val="005B6341"/>
    <w:rsid w:val="005B7EBB"/>
    <w:rsid w:val="005D1CA4"/>
    <w:rsid w:val="005D2B19"/>
    <w:rsid w:val="005D5C51"/>
    <w:rsid w:val="005D6DBE"/>
    <w:rsid w:val="005E1284"/>
    <w:rsid w:val="005E5175"/>
    <w:rsid w:val="005F00B8"/>
    <w:rsid w:val="005F1FFC"/>
    <w:rsid w:val="005F249F"/>
    <w:rsid w:val="00600A9A"/>
    <w:rsid w:val="00607905"/>
    <w:rsid w:val="00615256"/>
    <w:rsid w:val="006213DD"/>
    <w:rsid w:val="00625395"/>
    <w:rsid w:val="00625FCB"/>
    <w:rsid w:val="00626F36"/>
    <w:rsid w:val="00633B42"/>
    <w:rsid w:val="00634112"/>
    <w:rsid w:val="00635013"/>
    <w:rsid w:val="00635204"/>
    <w:rsid w:val="00637913"/>
    <w:rsid w:val="00641707"/>
    <w:rsid w:val="00641D40"/>
    <w:rsid w:val="00643848"/>
    <w:rsid w:val="00650767"/>
    <w:rsid w:val="0065680E"/>
    <w:rsid w:val="00656851"/>
    <w:rsid w:val="00656929"/>
    <w:rsid w:val="00660B44"/>
    <w:rsid w:val="0066431D"/>
    <w:rsid w:val="00664D05"/>
    <w:rsid w:val="00665C34"/>
    <w:rsid w:val="006721B6"/>
    <w:rsid w:val="0068349A"/>
    <w:rsid w:val="00690426"/>
    <w:rsid w:val="00690B79"/>
    <w:rsid w:val="00693303"/>
    <w:rsid w:val="006962A2"/>
    <w:rsid w:val="00697E80"/>
    <w:rsid w:val="006A52CD"/>
    <w:rsid w:val="006A5577"/>
    <w:rsid w:val="006B4904"/>
    <w:rsid w:val="006B7AD2"/>
    <w:rsid w:val="006C0971"/>
    <w:rsid w:val="006C511F"/>
    <w:rsid w:val="006C7C21"/>
    <w:rsid w:val="006D1CC2"/>
    <w:rsid w:val="006D1E8C"/>
    <w:rsid w:val="006D37FD"/>
    <w:rsid w:val="006D4E10"/>
    <w:rsid w:val="006E0366"/>
    <w:rsid w:val="006E2197"/>
    <w:rsid w:val="006E39F3"/>
    <w:rsid w:val="006E6951"/>
    <w:rsid w:val="006F0A01"/>
    <w:rsid w:val="006F13DD"/>
    <w:rsid w:val="006F2252"/>
    <w:rsid w:val="006F6F2F"/>
    <w:rsid w:val="007011FA"/>
    <w:rsid w:val="007059EE"/>
    <w:rsid w:val="00706218"/>
    <w:rsid w:val="00710CC5"/>
    <w:rsid w:val="00715C7F"/>
    <w:rsid w:val="00717FA4"/>
    <w:rsid w:val="007319B7"/>
    <w:rsid w:val="00732F4F"/>
    <w:rsid w:val="00733C46"/>
    <w:rsid w:val="00733C68"/>
    <w:rsid w:val="007355AA"/>
    <w:rsid w:val="00741227"/>
    <w:rsid w:val="00743D21"/>
    <w:rsid w:val="00744ECB"/>
    <w:rsid w:val="0074629B"/>
    <w:rsid w:val="00746960"/>
    <w:rsid w:val="00751358"/>
    <w:rsid w:val="0075247B"/>
    <w:rsid w:val="00763D5B"/>
    <w:rsid w:val="00764E80"/>
    <w:rsid w:val="00765C7B"/>
    <w:rsid w:val="007753E6"/>
    <w:rsid w:val="00791AC9"/>
    <w:rsid w:val="0079339F"/>
    <w:rsid w:val="00793479"/>
    <w:rsid w:val="0079547E"/>
    <w:rsid w:val="007A30EB"/>
    <w:rsid w:val="007A6EE8"/>
    <w:rsid w:val="007C0923"/>
    <w:rsid w:val="007C3C35"/>
    <w:rsid w:val="007C40A0"/>
    <w:rsid w:val="007C7E60"/>
    <w:rsid w:val="007D3D93"/>
    <w:rsid w:val="007E7E37"/>
    <w:rsid w:val="007F3057"/>
    <w:rsid w:val="007F35B6"/>
    <w:rsid w:val="007F4556"/>
    <w:rsid w:val="0080291D"/>
    <w:rsid w:val="00810FF4"/>
    <w:rsid w:val="0081330B"/>
    <w:rsid w:val="00814193"/>
    <w:rsid w:val="00816792"/>
    <w:rsid w:val="00816AA8"/>
    <w:rsid w:val="00822AD9"/>
    <w:rsid w:val="00823FDC"/>
    <w:rsid w:val="0082763F"/>
    <w:rsid w:val="008277AF"/>
    <w:rsid w:val="00830D0E"/>
    <w:rsid w:val="00831B27"/>
    <w:rsid w:val="00835074"/>
    <w:rsid w:val="00855E15"/>
    <w:rsid w:val="008573A2"/>
    <w:rsid w:val="008576C7"/>
    <w:rsid w:val="008671F9"/>
    <w:rsid w:val="00873F1A"/>
    <w:rsid w:val="00875B65"/>
    <w:rsid w:val="008820AA"/>
    <w:rsid w:val="0088222A"/>
    <w:rsid w:val="00882935"/>
    <w:rsid w:val="0088308B"/>
    <w:rsid w:val="008964E9"/>
    <w:rsid w:val="008970DC"/>
    <w:rsid w:val="008A3994"/>
    <w:rsid w:val="008A6525"/>
    <w:rsid w:val="008A6F84"/>
    <w:rsid w:val="008B001F"/>
    <w:rsid w:val="008B2CB9"/>
    <w:rsid w:val="008B40CD"/>
    <w:rsid w:val="008B54DF"/>
    <w:rsid w:val="008C2592"/>
    <w:rsid w:val="008C3413"/>
    <w:rsid w:val="008C44A7"/>
    <w:rsid w:val="008C6F5E"/>
    <w:rsid w:val="008C7818"/>
    <w:rsid w:val="008D3161"/>
    <w:rsid w:val="008D38AE"/>
    <w:rsid w:val="008D3940"/>
    <w:rsid w:val="008E164F"/>
    <w:rsid w:val="008E3406"/>
    <w:rsid w:val="008E3E92"/>
    <w:rsid w:val="008E5D30"/>
    <w:rsid w:val="008E777F"/>
    <w:rsid w:val="0090025B"/>
    <w:rsid w:val="00904477"/>
    <w:rsid w:val="00911378"/>
    <w:rsid w:val="00914468"/>
    <w:rsid w:val="009146C1"/>
    <w:rsid w:val="009172B2"/>
    <w:rsid w:val="0092092B"/>
    <w:rsid w:val="0092145C"/>
    <w:rsid w:val="00923029"/>
    <w:rsid w:val="00924FFD"/>
    <w:rsid w:val="00927747"/>
    <w:rsid w:val="009336CF"/>
    <w:rsid w:val="009340B7"/>
    <w:rsid w:val="00950908"/>
    <w:rsid w:val="009542BD"/>
    <w:rsid w:val="00954684"/>
    <w:rsid w:val="00955CDF"/>
    <w:rsid w:val="00962BF3"/>
    <w:rsid w:val="0096415E"/>
    <w:rsid w:val="009664D0"/>
    <w:rsid w:val="00967432"/>
    <w:rsid w:val="0097154F"/>
    <w:rsid w:val="00973293"/>
    <w:rsid w:val="00977470"/>
    <w:rsid w:val="00990CFC"/>
    <w:rsid w:val="009936CA"/>
    <w:rsid w:val="00994943"/>
    <w:rsid w:val="00996A0D"/>
    <w:rsid w:val="009A13BD"/>
    <w:rsid w:val="009A1699"/>
    <w:rsid w:val="009A641F"/>
    <w:rsid w:val="009A7DC2"/>
    <w:rsid w:val="009B30FA"/>
    <w:rsid w:val="009B3CA2"/>
    <w:rsid w:val="009C0C9A"/>
    <w:rsid w:val="009C10E1"/>
    <w:rsid w:val="009C3F08"/>
    <w:rsid w:val="009C5ABF"/>
    <w:rsid w:val="009C7539"/>
    <w:rsid w:val="009D195A"/>
    <w:rsid w:val="009D33D2"/>
    <w:rsid w:val="009D412E"/>
    <w:rsid w:val="009D55B3"/>
    <w:rsid w:val="009D7886"/>
    <w:rsid w:val="009E1042"/>
    <w:rsid w:val="009E1635"/>
    <w:rsid w:val="009E2D82"/>
    <w:rsid w:val="009E3500"/>
    <w:rsid w:val="009E47CC"/>
    <w:rsid w:val="009E76E0"/>
    <w:rsid w:val="009E7A8F"/>
    <w:rsid w:val="009F0BC4"/>
    <w:rsid w:val="009F2781"/>
    <w:rsid w:val="009F3A08"/>
    <w:rsid w:val="009F4469"/>
    <w:rsid w:val="009F49A3"/>
    <w:rsid w:val="009F6E69"/>
    <w:rsid w:val="009F7E64"/>
    <w:rsid w:val="00A0364C"/>
    <w:rsid w:val="00A0474C"/>
    <w:rsid w:val="00A06C9A"/>
    <w:rsid w:val="00A120AA"/>
    <w:rsid w:val="00A13C84"/>
    <w:rsid w:val="00A16034"/>
    <w:rsid w:val="00A30AA0"/>
    <w:rsid w:val="00A358CE"/>
    <w:rsid w:val="00A36144"/>
    <w:rsid w:val="00A4452C"/>
    <w:rsid w:val="00A538E3"/>
    <w:rsid w:val="00A55878"/>
    <w:rsid w:val="00A622E9"/>
    <w:rsid w:val="00A637BE"/>
    <w:rsid w:val="00A67A6C"/>
    <w:rsid w:val="00A71151"/>
    <w:rsid w:val="00A818AE"/>
    <w:rsid w:val="00A83535"/>
    <w:rsid w:val="00A83ED2"/>
    <w:rsid w:val="00A84128"/>
    <w:rsid w:val="00A86EA4"/>
    <w:rsid w:val="00A90DA3"/>
    <w:rsid w:val="00A90DFA"/>
    <w:rsid w:val="00A92A19"/>
    <w:rsid w:val="00A93967"/>
    <w:rsid w:val="00AA633C"/>
    <w:rsid w:val="00AA66A0"/>
    <w:rsid w:val="00AA6EC1"/>
    <w:rsid w:val="00AB1EF8"/>
    <w:rsid w:val="00AC2DFF"/>
    <w:rsid w:val="00AC6CA3"/>
    <w:rsid w:val="00AC7715"/>
    <w:rsid w:val="00AD0BCB"/>
    <w:rsid w:val="00AD2890"/>
    <w:rsid w:val="00AD7C75"/>
    <w:rsid w:val="00AE3FB1"/>
    <w:rsid w:val="00AF1678"/>
    <w:rsid w:val="00AF51D0"/>
    <w:rsid w:val="00B0041E"/>
    <w:rsid w:val="00B02F1E"/>
    <w:rsid w:val="00B03988"/>
    <w:rsid w:val="00B077EE"/>
    <w:rsid w:val="00B07D28"/>
    <w:rsid w:val="00B10271"/>
    <w:rsid w:val="00B16815"/>
    <w:rsid w:val="00B23061"/>
    <w:rsid w:val="00B258FB"/>
    <w:rsid w:val="00B30BA4"/>
    <w:rsid w:val="00B35205"/>
    <w:rsid w:val="00B372D7"/>
    <w:rsid w:val="00B43909"/>
    <w:rsid w:val="00B43E7B"/>
    <w:rsid w:val="00B441A5"/>
    <w:rsid w:val="00B53253"/>
    <w:rsid w:val="00B55CB3"/>
    <w:rsid w:val="00B623B0"/>
    <w:rsid w:val="00B63C38"/>
    <w:rsid w:val="00B66BB1"/>
    <w:rsid w:val="00B7194A"/>
    <w:rsid w:val="00B76BED"/>
    <w:rsid w:val="00B804F3"/>
    <w:rsid w:val="00B82457"/>
    <w:rsid w:val="00B85F31"/>
    <w:rsid w:val="00B860C7"/>
    <w:rsid w:val="00B92BDE"/>
    <w:rsid w:val="00B96DD6"/>
    <w:rsid w:val="00B974E3"/>
    <w:rsid w:val="00BA1433"/>
    <w:rsid w:val="00BA4383"/>
    <w:rsid w:val="00BA7FF6"/>
    <w:rsid w:val="00BC10FD"/>
    <w:rsid w:val="00BC16BB"/>
    <w:rsid w:val="00BC3224"/>
    <w:rsid w:val="00BC56A2"/>
    <w:rsid w:val="00BC5B56"/>
    <w:rsid w:val="00BD42E6"/>
    <w:rsid w:val="00BD440C"/>
    <w:rsid w:val="00BD596F"/>
    <w:rsid w:val="00BD634B"/>
    <w:rsid w:val="00BD789B"/>
    <w:rsid w:val="00BD7D0B"/>
    <w:rsid w:val="00BE3DCE"/>
    <w:rsid w:val="00BE4034"/>
    <w:rsid w:val="00BE414D"/>
    <w:rsid w:val="00BE61FE"/>
    <w:rsid w:val="00BE6CB2"/>
    <w:rsid w:val="00BF279C"/>
    <w:rsid w:val="00BF3B8E"/>
    <w:rsid w:val="00BF5DB2"/>
    <w:rsid w:val="00BF6D43"/>
    <w:rsid w:val="00C0001F"/>
    <w:rsid w:val="00C01BBE"/>
    <w:rsid w:val="00C03445"/>
    <w:rsid w:val="00C0399E"/>
    <w:rsid w:val="00C05B3E"/>
    <w:rsid w:val="00C07C4D"/>
    <w:rsid w:val="00C10A6E"/>
    <w:rsid w:val="00C25FF7"/>
    <w:rsid w:val="00C26D14"/>
    <w:rsid w:val="00C3225C"/>
    <w:rsid w:val="00C34282"/>
    <w:rsid w:val="00C34CD3"/>
    <w:rsid w:val="00C37D4E"/>
    <w:rsid w:val="00C40CD8"/>
    <w:rsid w:val="00C41186"/>
    <w:rsid w:val="00C4132E"/>
    <w:rsid w:val="00C41820"/>
    <w:rsid w:val="00C44DA9"/>
    <w:rsid w:val="00C458D6"/>
    <w:rsid w:val="00C51760"/>
    <w:rsid w:val="00C54256"/>
    <w:rsid w:val="00C554FB"/>
    <w:rsid w:val="00C602F5"/>
    <w:rsid w:val="00C62364"/>
    <w:rsid w:val="00C65C2A"/>
    <w:rsid w:val="00C6633F"/>
    <w:rsid w:val="00C701D2"/>
    <w:rsid w:val="00C70859"/>
    <w:rsid w:val="00C7631A"/>
    <w:rsid w:val="00C801D4"/>
    <w:rsid w:val="00C812E5"/>
    <w:rsid w:val="00C86DD8"/>
    <w:rsid w:val="00C8745F"/>
    <w:rsid w:val="00C91052"/>
    <w:rsid w:val="00C92FDF"/>
    <w:rsid w:val="00CA5F79"/>
    <w:rsid w:val="00CA6DAB"/>
    <w:rsid w:val="00CB0925"/>
    <w:rsid w:val="00CB33D0"/>
    <w:rsid w:val="00CB5026"/>
    <w:rsid w:val="00CB6B31"/>
    <w:rsid w:val="00CB6D80"/>
    <w:rsid w:val="00CC2D48"/>
    <w:rsid w:val="00CC384D"/>
    <w:rsid w:val="00CC45DE"/>
    <w:rsid w:val="00CC4C33"/>
    <w:rsid w:val="00CC5231"/>
    <w:rsid w:val="00CC6269"/>
    <w:rsid w:val="00CC7299"/>
    <w:rsid w:val="00CC7831"/>
    <w:rsid w:val="00CC79D2"/>
    <w:rsid w:val="00CC7EF4"/>
    <w:rsid w:val="00CD5F33"/>
    <w:rsid w:val="00CE13C5"/>
    <w:rsid w:val="00CE2CA6"/>
    <w:rsid w:val="00CE36FF"/>
    <w:rsid w:val="00CE65D6"/>
    <w:rsid w:val="00CE6EF6"/>
    <w:rsid w:val="00CE760F"/>
    <w:rsid w:val="00CE781E"/>
    <w:rsid w:val="00CF00C4"/>
    <w:rsid w:val="00CF1807"/>
    <w:rsid w:val="00CF3C3B"/>
    <w:rsid w:val="00CF3EB6"/>
    <w:rsid w:val="00CF54AB"/>
    <w:rsid w:val="00CF5C60"/>
    <w:rsid w:val="00CF6131"/>
    <w:rsid w:val="00CF6E73"/>
    <w:rsid w:val="00D02463"/>
    <w:rsid w:val="00D10264"/>
    <w:rsid w:val="00D10E74"/>
    <w:rsid w:val="00D12709"/>
    <w:rsid w:val="00D13CC0"/>
    <w:rsid w:val="00D152D6"/>
    <w:rsid w:val="00D1640B"/>
    <w:rsid w:val="00D1702D"/>
    <w:rsid w:val="00D21CAF"/>
    <w:rsid w:val="00D234F3"/>
    <w:rsid w:val="00D24BBC"/>
    <w:rsid w:val="00D25E6C"/>
    <w:rsid w:val="00D27EE7"/>
    <w:rsid w:val="00D35E81"/>
    <w:rsid w:val="00D41323"/>
    <w:rsid w:val="00D51A8E"/>
    <w:rsid w:val="00D5266A"/>
    <w:rsid w:val="00D54E06"/>
    <w:rsid w:val="00D561AD"/>
    <w:rsid w:val="00D7666E"/>
    <w:rsid w:val="00D84541"/>
    <w:rsid w:val="00D86091"/>
    <w:rsid w:val="00D869A5"/>
    <w:rsid w:val="00D91BED"/>
    <w:rsid w:val="00D94D15"/>
    <w:rsid w:val="00D94FB1"/>
    <w:rsid w:val="00DA0CF0"/>
    <w:rsid w:val="00DA5622"/>
    <w:rsid w:val="00DA62F9"/>
    <w:rsid w:val="00DA6BA6"/>
    <w:rsid w:val="00DB0191"/>
    <w:rsid w:val="00DB1039"/>
    <w:rsid w:val="00DD0359"/>
    <w:rsid w:val="00DD1FDE"/>
    <w:rsid w:val="00DD20FC"/>
    <w:rsid w:val="00DD3EB0"/>
    <w:rsid w:val="00DD40BE"/>
    <w:rsid w:val="00DD66A6"/>
    <w:rsid w:val="00DD6F06"/>
    <w:rsid w:val="00DE2E05"/>
    <w:rsid w:val="00DE3025"/>
    <w:rsid w:val="00DE632C"/>
    <w:rsid w:val="00DE6849"/>
    <w:rsid w:val="00DE70D6"/>
    <w:rsid w:val="00DF2DAA"/>
    <w:rsid w:val="00DF5889"/>
    <w:rsid w:val="00E0047E"/>
    <w:rsid w:val="00E02A2C"/>
    <w:rsid w:val="00E0306E"/>
    <w:rsid w:val="00E14DA3"/>
    <w:rsid w:val="00E22A8C"/>
    <w:rsid w:val="00E2598F"/>
    <w:rsid w:val="00E30459"/>
    <w:rsid w:val="00E30F77"/>
    <w:rsid w:val="00E31770"/>
    <w:rsid w:val="00E34C47"/>
    <w:rsid w:val="00E35C99"/>
    <w:rsid w:val="00E365FF"/>
    <w:rsid w:val="00E40E30"/>
    <w:rsid w:val="00E44531"/>
    <w:rsid w:val="00E509E8"/>
    <w:rsid w:val="00E5640C"/>
    <w:rsid w:val="00E577E0"/>
    <w:rsid w:val="00E6073A"/>
    <w:rsid w:val="00E621CC"/>
    <w:rsid w:val="00E63DE1"/>
    <w:rsid w:val="00E66CDA"/>
    <w:rsid w:val="00E736E6"/>
    <w:rsid w:val="00E76DDF"/>
    <w:rsid w:val="00E81562"/>
    <w:rsid w:val="00E81DA1"/>
    <w:rsid w:val="00E85B4C"/>
    <w:rsid w:val="00E939D3"/>
    <w:rsid w:val="00EA1984"/>
    <w:rsid w:val="00EA669E"/>
    <w:rsid w:val="00EB0A8A"/>
    <w:rsid w:val="00EB2C64"/>
    <w:rsid w:val="00EB4DF0"/>
    <w:rsid w:val="00EB554A"/>
    <w:rsid w:val="00EB5DB2"/>
    <w:rsid w:val="00EC0609"/>
    <w:rsid w:val="00EC2804"/>
    <w:rsid w:val="00EC5302"/>
    <w:rsid w:val="00ED26B5"/>
    <w:rsid w:val="00EE31E1"/>
    <w:rsid w:val="00EE4D88"/>
    <w:rsid w:val="00EE6C88"/>
    <w:rsid w:val="00EF3E6C"/>
    <w:rsid w:val="00EF7C70"/>
    <w:rsid w:val="00F04735"/>
    <w:rsid w:val="00F05241"/>
    <w:rsid w:val="00F06FBD"/>
    <w:rsid w:val="00F07733"/>
    <w:rsid w:val="00F07C26"/>
    <w:rsid w:val="00F10718"/>
    <w:rsid w:val="00F10F75"/>
    <w:rsid w:val="00F13A08"/>
    <w:rsid w:val="00F1588B"/>
    <w:rsid w:val="00F213B5"/>
    <w:rsid w:val="00F2419A"/>
    <w:rsid w:val="00F26141"/>
    <w:rsid w:val="00F307E5"/>
    <w:rsid w:val="00F32331"/>
    <w:rsid w:val="00F32901"/>
    <w:rsid w:val="00F348C5"/>
    <w:rsid w:val="00F417F9"/>
    <w:rsid w:val="00F43FAC"/>
    <w:rsid w:val="00F449B5"/>
    <w:rsid w:val="00F45544"/>
    <w:rsid w:val="00F50D5F"/>
    <w:rsid w:val="00F52081"/>
    <w:rsid w:val="00F52D42"/>
    <w:rsid w:val="00F561CC"/>
    <w:rsid w:val="00F57567"/>
    <w:rsid w:val="00F60B0E"/>
    <w:rsid w:val="00F62EE2"/>
    <w:rsid w:val="00F660E8"/>
    <w:rsid w:val="00F70BBC"/>
    <w:rsid w:val="00F7353F"/>
    <w:rsid w:val="00F804DD"/>
    <w:rsid w:val="00F85F5D"/>
    <w:rsid w:val="00F9485D"/>
    <w:rsid w:val="00F97A0C"/>
    <w:rsid w:val="00F97E45"/>
    <w:rsid w:val="00FA5E0E"/>
    <w:rsid w:val="00FA7C4A"/>
    <w:rsid w:val="00FB4384"/>
    <w:rsid w:val="00FB4B0E"/>
    <w:rsid w:val="00FB531D"/>
    <w:rsid w:val="00FB6426"/>
    <w:rsid w:val="00FD39F0"/>
    <w:rsid w:val="00FD45EB"/>
    <w:rsid w:val="00FD666D"/>
    <w:rsid w:val="00FE187B"/>
    <w:rsid w:val="00FF6438"/>
    <w:rsid w:val="00FF6C53"/>
    <w:rsid w:val="7C73EF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835986"/>
  <w15:docId w15:val="{D4ED4F2A-9073-42C9-AC64-5E5CC060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FFC"/>
  </w:style>
  <w:style w:type="paragraph" w:styleId="Heading1">
    <w:name w:val="heading 1"/>
    <w:basedOn w:val="Normal"/>
    <w:next w:val="Normal"/>
    <w:qFormat/>
    <w:rsid w:val="005F1FFC"/>
    <w:pPr>
      <w:keepNext/>
      <w:numPr>
        <w:ilvl w:val="12"/>
      </w:numPr>
      <w:ind w:left="2160"/>
      <w:outlineLvl w:val="0"/>
    </w:pPr>
    <w:rPr>
      <w:sz w:val="24"/>
    </w:rPr>
  </w:style>
  <w:style w:type="paragraph" w:styleId="Heading2">
    <w:name w:val="heading 2"/>
    <w:basedOn w:val="Normal"/>
    <w:next w:val="Normal"/>
    <w:qFormat/>
    <w:rsid w:val="005F1FFC"/>
    <w:pPr>
      <w:keepNext/>
      <w:ind w:firstLine="720"/>
      <w:outlineLvl w:val="1"/>
    </w:pPr>
    <w:rPr>
      <w:b/>
      <w:sz w:val="24"/>
      <w:u w:val="single"/>
    </w:rPr>
  </w:style>
  <w:style w:type="paragraph" w:styleId="Heading3">
    <w:name w:val="heading 3"/>
    <w:basedOn w:val="Normal"/>
    <w:next w:val="Normal"/>
    <w:qFormat/>
    <w:rsid w:val="005F1FFC"/>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F1FFC"/>
    <w:rPr>
      <w:sz w:val="24"/>
    </w:rPr>
  </w:style>
  <w:style w:type="character" w:styleId="CommentReference">
    <w:name w:val="annotation reference"/>
    <w:uiPriority w:val="99"/>
    <w:semiHidden/>
    <w:rsid w:val="005F1FFC"/>
    <w:rPr>
      <w:sz w:val="16"/>
      <w:szCs w:val="16"/>
    </w:rPr>
  </w:style>
  <w:style w:type="paragraph" w:styleId="CommentText">
    <w:name w:val="annotation text"/>
    <w:basedOn w:val="Normal"/>
    <w:link w:val="CommentTextChar"/>
    <w:uiPriority w:val="99"/>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aliases w:val="Bullets,Ha,List Bullet Mary,List Paragraph (numbered (a)),List Paragraph nowy,List Paragraph1,List Paragraph_Table bullets,Liste 1,Medium Grid 1 - Accent 21,Numbered List Paragraph,References,ReferencesCxSpLast,Resume Title,Texte Général"/>
    <w:basedOn w:val="Normal"/>
    <w:link w:val="ListParagraphChar"/>
    <w:uiPriority w:val="34"/>
    <w:qFormat/>
    <w:rsid w:val="00E365FF"/>
    <w:pPr>
      <w:ind w:left="720"/>
    </w:pPr>
    <w:rPr>
      <w:rFonts w:ascii="Calibri" w:eastAsia="Calibri" w:hAnsi="Calibri"/>
      <w:sz w:val="22"/>
      <w:szCs w:val="22"/>
    </w:rPr>
  </w:style>
  <w:style w:type="table" w:styleId="TableGrid">
    <w:name w:val="Table Grid"/>
    <w:basedOn w:val="TableNormal"/>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basedOn w:val="Normal"/>
    <w:link w:val="FootnoteTextChar"/>
    <w:uiPriority w:val="99"/>
    <w:rsid w:val="00F26141"/>
  </w:style>
  <w:style w:type="character" w:customStyle="1" w:styleId="FootnoteTextChar">
    <w:name w:val="Footnote Text Char"/>
    <w:basedOn w:val="DefaultParagraphFont"/>
    <w:link w:val="FootnoteText"/>
    <w:uiPriority w:val="99"/>
    <w:rsid w:val="00F26141"/>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uiPriority w:val="99"/>
    <w:qFormat/>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 w:val="24"/>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uiPriority w:val="99"/>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 w:val="24"/>
      <w:szCs w:val="24"/>
    </w:rPr>
  </w:style>
  <w:style w:type="paragraph" w:customStyle="1" w:styleId="Level1">
    <w:name w:val="Level 1"/>
    <w:basedOn w:val="Normal"/>
    <w:rsid w:val="00F660E8"/>
    <w:pPr>
      <w:widowControl w:val="0"/>
      <w:autoSpaceDE w:val="0"/>
      <w:autoSpaceDN w:val="0"/>
      <w:adjustRightInd w:val="0"/>
      <w:ind w:left="360" w:hanging="360"/>
    </w:pPr>
    <w:rPr>
      <w:sz w:val="24"/>
      <w:szCs w:val="24"/>
    </w:rPr>
  </w:style>
  <w:style w:type="character" w:styleId="UnresolvedMention">
    <w:name w:val="Unresolved Mention"/>
    <w:basedOn w:val="DefaultParagraphFont"/>
    <w:uiPriority w:val="99"/>
    <w:semiHidden/>
    <w:unhideWhenUsed/>
    <w:rsid w:val="00E81562"/>
    <w:rPr>
      <w:color w:val="605E5C"/>
      <w:shd w:val="clear" w:color="auto" w:fill="E1DFDD"/>
    </w:rPr>
  </w:style>
  <w:style w:type="paragraph" w:styleId="NoSpacing">
    <w:name w:val="No Spacing"/>
    <w:uiPriority w:val="1"/>
    <w:qFormat/>
    <w:rsid w:val="00E76DDF"/>
    <w:rPr>
      <w:rFonts w:eastAsia="Calibri"/>
      <w:szCs w:val="24"/>
    </w:rPr>
  </w:style>
  <w:style w:type="paragraph" w:customStyle="1" w:styleId="Num-DocParagraph">
    <w:name w:val="Num-Doc Paragraph"/>
    <w:link w:val="Num-DocParagraphChar1"/>
    <w:uiPriority w:val="99"/>
    <w:rsid w:val="00490C96"/>
    <w:pPr>
      <w:spacing w:after="200" w:line="276" w:lineRule="auto"/>
    </w:pPr>
    <w:rPr>
      <w:rFonts w:ascii="Calibri" w:eastAsia="Calibri" w:hAnsi="Calibri" w:cs="Calibri"/>
      <w:sz w:val="22"/>
      <w:szCs w:val="22"/>
    </w:rPr>
  </w:style>
  <w:style w:type="character" w:customStyle="1" w:styleId="Num-DocParagraphChar1">
    <w:name w:val="Num-Doc Paragraph Char1"/>
    <w:basedOn w:val="DefaultParagraphFont"/>
    <w:link w:val="Num-DocParagraph"/>
    <w:uiPriority w:val="99"/>
    <w:rsid w:val="00490C96"/>
    <w:rPr>
      <w:rFonts w:ascii="Calibri" w:eastAsia="Calibri" w:hAnsi="Calibri" w:cs="Calibri"/>
      <w:sz w:val="22"/>
      <w:szCs w:val="22"/>
    </w:rPr>
  </w:style>
  <w:style w:type="paragraph" w:styleId="PlainText">
    <w:name w:val="Plain Text"/>
    <w:basedOn w:val="Normal"/>
    <w:link w:val="PlainTextChar"/>
    <w:uiPriority w:val="99"/>
    <w:unhideWhenUsed/>
    <w:rsid w:val="00490C96"/>
    <w:rPr>
      <w:rFonts w:ascii="Calibri" w:hAnsi="Calibri" w:eastAsiaTheme="minorHAnsi" w:cstheme="minorBidi"/>
      <w:sz w:val="22"/>
      <w:szCs w:val="21"/>
    </w:rPr>
  </w:style>
  <w:style w:type="character" w:customStyle="1" w:styleId="PlainTextChar">
    <w:name w:val="Plain Text Char"/>
    <w:basedOn w:val="DefaultParagraphFont"/>
    <w:link w:val="PlainText"/>
    <w:uiPriority w:val="99"/>
    <w:rsid w:val="00490C96"/>
    <w:rPr>
      <w:rFonts w:ascii="Calibri" w:hAnsi="Calibri" w:eastAsiaTheme="minorHAnsi" w:cstheme="minorBidi"/>
      <w:sz w:val="22"/>
      <w:szCs w:val="21"/>
    </w:rPr>
  </w:style>
  <w:style w:type="character" w:customStyle="1" w:styleId="ListParagraphChar">
    <w:name w:val="List Paragraph Char"/>
    <w:aliases w:val="Bullets Char,Ha Char,List Bullet Mary Char,List Paragraph (numbered (a)) Char,List Paragraph nowy Char,List Paragraph1 Char,List Paragraph_Table bullets Char,Liste 1 Char,References Char,ReferencesCxSpLast Char,Resume Title Char"/>
    <w:basedOn w:val="DefaultParagraphFont"/>
    <w:link w:val="ListParagraph"/>
    <w:uiPriority w:val="34"/>
    <w:locked/>
    <w:rsid w:val="006B490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files.consumerfinance.gov/f/201406_cfpb_consumer-experience-research_pia.pdf" TargetMode="External" /><Relationship Id="rId12" Type="http://schemas.openxmlformats.org/officeDocument/2006/relationships/hyperlink" Target="http://www.reginfo.gov" TargetMode="External" /><Relationship Id="rId13" Type="http://schemas.openxmlformats.org/officeDocument/2006/relationships/hyperlink" Target="https://www.reginfo.gov/public/do/PRAMain"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onsumerfinance.gov/data-research/research-reports/consumer-use-of-buy-now-pay-later-insights-from-the-cfpb-making-ends-meet-survey/" TargetMode="External" /><Relationship Id="rId2" Type="http://schemas.openxmlformats.org/officeDocument/2006/relationships/hyperlink" Target="https://s3.amazonaws.com/files.consumerfinance.gov/f/201406_cfpb_consumer-experience-research_pia.pdf" TargetMode="External" /><Relationship Id="rId3"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OPSOCDOPRA-2116056712-2137216</_dlc_DocId>
    <_dlc_DocIdUrl xmlns="8097749c-35e3-4292-9c41-d352b303d2cf">
      <Url>https://bcfp365.sharepoint.com/sites/ops-ocdo-pra/_layouts/15/DocIdRedir.aspx?ID=OPSOCDOPRA-2116056712-2137216</Url>
      <Description>OPSOCDOPRA-2116056712-2137216</Description>
    </_dlc_DocIdUrl>
    <md95245a80cd48af84779a6a8432aa88 xmlns="3c358492-2927-472d-85d8-14627d068203">
      <Terms xmlns="http://schemas.microsoft.com/office/infopath/2007/PartnerControls"/>
    </md95245a80cd48af84779a6a8432aa88>
  </documentManagement>
</p:properties>
</file>

<file path=customXml/item2.xml><?xml version="1.0" encoding="utf-8"?>
<?mso-contentType ?>
<SharedContentType xmlns="Microsoft.SharePoint.Taxonomy.ContentTypeSync" SourceId="05f0ae79-fa7d-42cd-a738-9aebccb3fb89" ContentTypeId="0x010100AF5D719A330BE9498B2C5974DBEAC038"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1" ma:contentTypeDescription="Create a new document." ma:contentTypeScope="" ma:versionID="ba803c46f29d7a6c984d8a5edfaed862">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51b5eb869d4744eeebde17bffa93e02e"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B63515-9552-4602-80A9-3E25B9B29895}">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customXml/itemProps2.xml><?xml version="1.0" encoding="utf-8"?>
<ds:datastoreItem xmlns:ds="http://schemas.openxmlformats.org/officeDocument/2006/customXml" ds:itemID="{14AE7401-DA87-4D8A-814C-27C11A6C0458}">
  <ds:schemaRefs>
    <ds:schemaRef ds:uri="Microsoft.SharePoint.Taxonomy.ContentTypeSync"/>
  </ds:schemaRefs>
</ds:datastoreItem>
</file>

<file path=customXml/itemProps3.xml><?xml version="1.0" encoding="utf-8"?>
<ds:datastoreItem xmlns:ds="http://schemas.openxmlformats.org/officeDocument/2006/customXml" ds:itemID="{C8D0DF7C-97A2-4A3B-A427-1AFB45DBC97A}">
  <ds:schemaRefs>
    <ds:schemaRef ds:uri="http://schemas.openxmlformats.org/officeDocument/2006/bibliography"/>
  </ds:schemaRefs>
</ds:datastoreItem>
</file>

<file path=customXml/itemProps4.xml><?xml version="1.0" encoding="utf-8"?>
<ds:datastoreItem xmlns:ds="http://schemas.openxmlformats.org/officeDocument/2006/customXml" ds:itemID="{42CED0D3-7229-43BB-8AFC-48D9FD45EDBF}">
  <ds:schemaRefs>
    <ds:schemaRef ds:uri="http://schemas.microsoft.com/sharepoint/v3/contenttype/forms"/>
  </ds:schemaRefs>
</ds:datastoreItem>
</file>

<file path=customXml/itemProps5.xml><?xml version="1.0" encoding="utf-8"?>
<ds:datastoreItem xmlns:ds="http://schemas.openxmlformats.org/officeDocument/2006/customXml" ds:itemID="{07A00B75-337E-4F00-9EFE-9FE61A913869}">
  <ds:schemaRefs>
    <ds:schemaRef ds:uri="http://schemas.microsoft.com/sharepoint/events"/>
  </ds:schemaRefs>
</ds:datastoreItem>
</file>

<file path=customXml/itemProps6.xml><?xml version="1.0" encoding="utf-8"?>
<ds:datastoreItem xmlns:ds="http://schemas.openxmlformats.org/officeDocument/2006/customXml" ds:itemID="{242615CA-27DA-4118-8EE0-6614F39CD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Anthony (CFPB)</dc:creator>
  <cp:lastModifiedBy>Watkins, Pamela (CFPB)</cp:lastModifiedBy>
  <cp:revision>24</cp:revision>
  <cp:lastPrinted>2017-07-25T10:39:00Z</cp:lastPrinted>
  <dcterms:created xsi:type="dcterms:W3CDTF">2024-10-17T15:12:00Z</dcterms:created>
  <dcterms:modified xsi:type="dcterms:W3CDTF">2024-10-22T17:10:00Z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MediaServiceImageTags">
    <vt:lpwstr/>
  </property>
  <property fmtid="{D5CDD505-2E9C-101B-9397-08002B2CF9AE}" pid="5" name="TaxKeyword">
    <vt:lpwstr/>
  </property>
  <property fmtid="{D5CDD505-2E9C-101B-9397-08002B2CF9AE}" pid="6" name="_dlc_DocIdItemGuid">
    <vt:lpwstr>fa50d5d5-5159-42a2-b7f3-aba2940cb9e4</vt:lpwstr>
  </property>
  <property fmtid="{D5CDD505-2E9C-101B-9397-08002B2CF9AE}" pid="7" name="_NewReviewCycle">
    <vt:lpwstr/>
  </property>
</Properties>
</file>