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2A933D7A"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14:paraId="2A933D7B" w14:textId="141B2901">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0584-</w:t>
      </w:r>
      <w:r w:rsidR="00C11DAB">
        <w:rPr>
          <w:rFonts w:ascii="Times New Roman" w:hAnsi="Times New Roman"/>
          <w:b/>
          <w:szCs w:val="24"/>
          <w:lang w:val=""/>
        </w:rPr>
        <w:t>0280</w:t>
      </w:r>
      <w:r w:rsidRPr="00BD1DD0" w:rsidR="00B335C9">
        <w:rPr>
          <w:rFonts w:ascii="Times New Roman" w:hAnsi="Times New Roman"/>
          <w:b/>
          <w:szCs w:val="24"/>
          <w:lang w:val=""/>
        </w:rPr>
        <w:t xml:space="preserve">:  </w:t>
      </w:r>
    </w:p>
    <w:p w:rsidR="00447C1E" w:rsidP="00447C1E" w14:paraId="2A933D7C" w14:textId="06519870">
      <w:pPr>
        <w:tabs>
          <w:tab w:val="right" w:pos="9360"/>
        </w:tabs>
        <w:spacing w:line="480" w:lineRule="auto"/>
        <w:jc w:val="center"/>
        <w:rPr>
          <w:rFonts w:ascii="Times New Roman" w:hAnsi="Times New Roman"/>
          <w:b/>
          <w:szCs w:val="24"/>
        </w:rPr>
      </w:pPr>
      <w:r>
        <w:rPr>
          <w:rFonts w:ascii="Times New Roman" w:hAnsi="Times New Roman"/>
          <w:b/>
          <w:szCs w:val="24"/>
        </w:rPr>
        <w:t xml:space="preserve">7 CFR Part 225, </w:t>
      </w:r>
      <w:r w:rsidR="00C11DAB">
        <w:rPr>
          <w:rFonts w:ascii="Times New Roman" w:hAnsi="Times New Roman"/>
          <w:b/>
          <w:szCs w:val="24"/>
        </w:rPr>
        <w:t xml:space="preserve">Summer Food Service Program </w:t>
      </w:r>
    </w:p>
    <w:p w:rsidR="00B335C9" w:rsidRPr="002568E6" w:rsidP="00447C1E" w14:paraId="2A933D7D" w14:textId="77777777">
      <w:pPr>
        <w:tabs>
          <w:tab w:val="right" w:pos="9360"/>
        </w:tabs>
        <w:spacing w:line="480" w:lineRule="auto"/>
        <w:jc w:val="center"/>
        <w:rPr>
          <w:rFonts w:ascii="Times New Roman" w:hAnsi="Times New Roman"/>
          <w:szCs w:val="24"/>
          <w:lang w:val=""/>
        </w:rPr>
      </w:pPr>
    </w:p>
    <w:p w:rsidR="00B335C9" w:rsidRPr="002568E6" w:rsidP="14F0A86E" w14:paraId="2A933D7F" w14:textId="6F710CD3">
      <w:pPr>
        <w:tabs>
          <w:tab w:val="center" w:pos="4680"/>
        </w:tabs>
        <w:suppressAutoHyphens/>
        <w:spacing w:line="480" w:lineRule="auto"/>
        <w:jc w:val="center"/>
        <w:rPr>
          <w:rFonts w:ascii="Times New Roman" w:hAnsi="Times New Roman"/>
        </w:rPr>
      </w:pPr>
      <w:r w:rsidRPr="5B64C100">
        <w:rPr>
          <w:rFonts w:ascii="Times New Roman" w:hAnsi="Times New Roman"/>
        </w:rPr>
        <w:t>Proposed</w:t>
      </w:r>
      <w:r w:rsidRPr="5B64C100" w:rsidR="00C11DAB">
        <w:rPr>
          <w:rFonts w:ascii="Times New Roman" w:hAnsi="Times New Roman"/>
        </w:rPr>
        <w:t xml:space="preserve"> </w:t>
      </w:r>
      <w:r w:rsidRPr="5B64C100">
        <w:rPr>
          <w:rFonts w:ascii="Times New Roman" w:hAnsi="Times New Roman"/>
        </w:rPr>
        <w:t xml:space="preserve">Rule: </w:t>
      </w:r>
      <w:r w:rsidRPr="5B64C100" w:rsidR="4E513973">
        <w:rPr>
          <w:rFonts w:ascii="Times New Roman" w:hAnsi="Times New Roman"/>
        </w:rPr>
        <w:t xml:space="preserve">Serious Deficiency Process in the Child and Adult Care Food Program and Summer Food Service Program </w:t>
      </w:r>
      <w:r w:rsidRPr="5B64C100">
        <w:rPr>
          <w:rFonts w:ascii="Times New Roman" w:hAnsi="Times New Roman"/>
        </w:rPr>
        <w:t>(RIN 0584-</w:t>
      </w:r>
      <w:r w:rsidRPr="5B64C100" w:rsidR="65265055">
        <w:rPr>
          <w:rFonts w:ascii="Times New Roman" w:hAnsi="Times New Roman"/>
        </w:rPr>
        <w:t>AE83</w:t>
      </w:r>
      <w:r w:rsidR="009175AF">
        <w:rPr>
          <w:rFonts w:ascii="Times New Roman" w:hAnsi="Times New Roman"/>
        </w:rPr>
        <w:t>)</w:t>
      </w:r>
      <w:r w:rsidRPr="5B64C100" w:rsidR="65265055">
        <w:rPr>
          <w:rFonts w:ascii="Times New Roman" w:hAnsi="Times New Roman"/>
        </w:rPr>
        <w:t xml:space="preserve"> </w:t>
      </w:r>
    </w:p>
    <w:p w:rsidR="00B335C9" w:rsidRPr="002568E6" w:rsidP="00447C1E" w14:paraId="2A933D80" w14:textId="77777777">
      <w:pPr>
        <w:tabs>
          <w:tab w:val="right" w:pos="9360"/>
        </w:tabs>
        <w:spacing w:line="480" w:lineRule="auto"/>
        <w:jc w:val="center"/>
        <w:rPr>
          <w:rFonts w:ascii="Times New Roman" w:hAnsi="Times New Roman"/>
          <w:szCs w:val="24"/>
          <w:lang w:val=""/>
        </w:rPr>
      </w:pPr>
    </w:p>
    <w:p w:rsidR="00447C1E" w:rsidRPr="0022192F" w:rsidP="00447C1E" w14:paraId="2A933D88" w14:textId="46DDAA83">
      <w:pPr>
        <w:spacing w:line="480" w:lineRule="auto"/>
        <w:jc w:val="center"/>
        <w:rPr>
          <w:rFonts w:ascii="Times New Roman" w:hAnsi="Times New Roman"/>
          <w:szCs w:val="24"/>
        </w:rPr>
      </w:pPr>
      <w:r w:rsidRPr="0022192F">
        <w:rPr>
          <w:rFonts w:ascii="Times New Roman" w:hAnsi="Times New Roman"/>
          <w:szCs w:val="24"/>
        </w:rPr>
        <w:t>Ethan Fox, Program Analys</w:t>
      </w:r>
      <w:r w:rsidR="007B1511">
        <w:rPr>
          <w:rFonts w:ascii="Times New Roman" w:hAnsi="Times New Roman"/>
          <w:szCs w:val="24"/>
        </w:rPr>
        <w:t>t</w:t>
      </w:r>
    </w:p>
    <w:p w:rsidR="00F5182F" w:rsidRPr="0022192F" w:rsidP="00447C1E" w14:paraId="7A40D510" w14:textId="6F59A6F9">
      <w:pPr>
        <w:spacing w:line="480" w:lineRule="auto"/>
        <w:jc w:val="center"/>
        <w:rPr>
          <w:rFonts w:ascii="Times New Roman" w:hAnsi="Times New Roman"/>
          <w:szCs w:val="24"/>
        </w:rPr>
      </w:pPr>
      <w:r w:rsidRPr="0022192F">
        <w:rPr>
          <w:rFonts w:ascii="Times New Roman" w:hAnsi="Times New Roman"/>
          <w:szCs w:val="24"/>
        </w:rPr>
        <w:t>Projects and Demonstrations Branch</w:t>
      </w:r>
    </w:p>
    <w:p w:rsidR="00F5182F" w:rsidRPr="0022192F" w:rsidP="00447C1E" w14:paraId="5D678808" w14:textId="4CD2C958">
      <w:pPr>
        <w:spacing w:line="480" w:lineRule="auto"/>
        <w:jc w:val="center"/>
        <w:rPr>
          <w:rFonts w:ascii="Times New Roman" w:hAnsi="Times New Roman"/>
          <w:szCs w:val="24"/>
        </w:rPr>
      </w:pPr>
      <w:r w:rsidRPr="0022192F">
        <w:rPr>
          <w:rFonts w:ascii="Times New Roman" w:hAnsi="Times New Roman"/>
          <w:szCs w:val="24"/>
        </w:rPr>
        <w:t>Program Integrity and Innovation Division</w:t>
      </w:r>
    </w:p>
    <w:p w:rsidR="00F5182F" w:rsidRPr="0022192F" w:rsidP="00447C1E" w14:paraId="4D83195F" w14:textId="6969BA96">
      <w:pPr>
        <w:spacing w:line="480" w:lineRule="auto"/>
        <w:jc w:val="center"/>
        <w:rPr>
          <w:rFonts w:ascii="Times New Roman" w:hAnsi="Times New Roman"/>
          <w:szCs w:val="24"/>
        </w:rPr>
      </w:pPr>
      <w:r w:rsidRPr="0022192F">
        <w:rPr>
          <w:rFonts w:ascii="Times New Roman" w:hAnsi="Times New Roman"/>
          <w:szCs w:val="24"/>
        </w:rPr>
        <w:t>Child Nutrition Programs</w:t>
      </w:r>
    </w:p>
    <w:p w:rsidR="00A0637C" w:rsidRPr="0022192F" w:rsidP="00447C1E" w14:paraId="1827FBC3" w14:textId="74B47EB9">
      <w:pPr>
        <w:spacing w:line="480" w:lineRule="auto"/>
        <w:jc w:val="center"/>
        <w:rPr>
          <w:rFonts w:ascii="Times New Roman" w:hAnsi="Times New Roman"/>
          <w:szCs w:val="24"/>
        </w:rPr>
      </w:pPr>
      <w:r w:rsidRPr="0022192F">
        <w:rPr>
          <w:rFonts w:ascii="Times New Roman" w:hAnsi="Times New Roman"/>
          <w:szCs w:val="24"/>
        </w:rPr>
        <w:t>7 CFR Part 226</w:t>
      </w:r>
    </w:p>
    <w:p w:rsidR="00A0637C" w:rsidRPr="0022192F" w:rsidP="00447C1E" w14:paraId="5DE2474D" w14:textId="19ACFD43">
      <w:pPr>
        <w:spacing w:line="480" w:lineRule="auto"/>
        <w:jc w:val="center"/>
        <w:rPr>
          <w:rFonts w:ascii="Times New Roman" w:hAnsi="Times New Roman"/>
          <w:szCs w:val="24"/>
        </w:rPr>
      </w:pPr>
      <w:r w:rsidRPr="0022192F">
        <w:rPr>
          <w:rFonts w:ascii="Times New Roman" w:hAnsi="Times New Roman"/>
          <w:szCs w:val="24"/>
        </w:rPr>
        <w:t>USDA, Food and Nutrition Service</w:t>
      </w:r>
    </w:p>
    <w:p w:rsidR="00A0637C" w:rsidRPr="0022192F" w:rsidP="00447C1E" w14:paraId="1C7CBF18" w14:textId="4BD07B59">
      <w:pPr>
        <w:spacing w:line="480" w:lineRule="auto"/>
        <w:jc w:val="center"/>
        <w:rPr>
          <w:rFonts w:ascii="Times New Roman" w:hAnsi="Times New Roman"/>
          <w:szCs w:val="24"/>
        </w:rPr>
      </w:pPr>
      <w:r w:rsidRPr="0022192F">
        <w:rPr>
          <w:rFonts w:ascii="Times New Roman" w:hAnsi="Times New Roman"/>
          <w:szCs w:val="24"/>
        </w:rPr>
        <w:t>1320 Braddock Place</w:t>
      </w:r>
    </w:p>
    <w:p w:rsidR="00A0637C" w:rsidP="00447C1E" w14:paraId="1818EA30" w14:textId="79F7AA18">
      <w:pPr>
        <w:spacing w:line="480" w:lineRule="auto"/>
        <w:jc w:val="center"/>
        <w:rPr>
          <w:rFonts w:ascii="Times New Roman" w:hAnsi="Times New Roman"/>
          <w:szCs w:val="24"/>
        </w:rPr>
      </w:pPr>
      <w:r w:rsidRPr="0022192F">
        <w:rPr>
          <w:rFonts w:ascii="Times New Roman" w:hAnsi="Times New Roman"/>
          <w:szCs w:val="24"/>
        </w:rPr>
        <w:t>Alexandria, Virginia 223</w:t>
      </w:r>
      <w:r w:rsidRPr="0022192F" w:rsidR="00521FF1">
        <w:rPr>
          <w:rFonts w:ascii="Times New Roman" w:hAnsi="Times New Roman"/>
          <w:szCs w:val="24"/>
        </w:rPr>
        <w:t>14</w:t>
      </w:r>
    </w:p>
    <w:p w:rsidR="00CD52CA" w:rsidP="00CD52CA" w14:paraId="39B61E69" w14:textId="77777777">
      <w:pPr>
        <w:spacing w:line="480" w:lineRule="auto"/>
        <w:jc w:val="center"/>
      </w:pPr>
      <w:bookmarkStart w:id="0" w:name="_Hlk160450637"/>
      <w:r w:rsidRPr="02617E28">
        <w:rPr>
          <w:rFonts w:ascii="Times New Roman" w:hAnsi="Times New Roman"/>
          <w:szCs w:val="24"/>
        </w:rPr>
        <w:t>(703) 305-2062</w:t>
      </w:r>
    </w:p>
    <w:p w:rsidR="00CD52CA" w:rsidP="00CD52CA" w14:paraId="1AB96A74" w14:textId="724E6D7B">
      <w:pPr>
        <w:spacing w:line="480" w:lineRule="auto"/>
        <w:jc w:val="center"/>
        <w:rPr>
          <w:rFonts w:ascii="Times New Roman" w:hAnsi="Times New Roman"/>
        </w:rPr>
      </w:pPr>
      <w:r w:rsidRPr="02617E28">
        <w:rPr>
          <w:rFonts w:ascii="Times New Roman" w:hAnsi="Times New Roman"/>
        </w:rPr>
        <w:t>ethan.fox@usda.go</w:t>
      </w:r>
      <w:r w:rsidR="00DF28C6">
        <w:rPr>
          <w:rFonts w:ascii="Times New Roman" w:hAnsi="Times New Roman"/>
        </w:rPr>
        <w:t>v</w:t>
      </w:r>
    </w:p>
    <w:bookmarkEnd w:id="0"/>
    <w:p w:rsidR="00CD52CA" w:rsidRPr="00CD52CA" w:rsidP="00447C1E" w14:paraId="6ED4A900" w14:textId="77777777">
      <w:pPr>
        <w:spacing w:line="480" w:lineRule="auto"/>
        <w:jc w:val="center"/>
        <w:rPr>
          <w:rFonts w:ascii="Times New Roman" w:hAnsi="Times New Roman"/>
          <w:szCs w:val="24"/>
        </w:rPr>
      </w:pPr>
    </w:p>
    <w:p w:rsidR="00905A5F" w14:paraId="2A933D89"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2A933D8A"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27472F" w14:paraId="7B8CD0A1" w14:textId="43E68D51">
      <w:pPr>
        <w:pStyle w:val="TOC1"/>
        <w:rPr>
          <w:rFonts w:asciiTheme="minorHAnsi" w:eastAsiaTheme="minorEastAsia" w:hAnsiTheme="minorHAnsi" w:cstheme="minorBidi"/>
          <w:b w:val="0"/>
          <w:bCs w:val="0"/>
          <w:caps w:val="0"/>
          <w:sz w:val="22"/>
          <w:szCs w:val="22"/>
        </w:rPr>
      </w:pPr>
      <w:r>
        <w:fldChar w:fldCharType="begin"/>
      </w:r>
      <w:r w:rsidR="00905A5F">
        <w:instrText>TOC \o "1-2" \h \z \u</w:instrText>
      </w:r>
      <w:r>
        <w:fldChar w:fldCharType="separate"/>
      </w:r>
      <w:hyperlink w:anchor="_Toc133329826" w:history="1">
        <w:r w:rsidRPr="00755ACF">
          <w:rPr>
            <w:rStyle w:val="Hyperlink"/>
          </w:rPr>
          <w:t>A1. Circumstances that make the collection of information necessary.</w:t>
        </w:r>
        <w:r>
          <w:rPr>
            <w:webHidden/>
          </w:rPr>
          <w:tab/>
        </w:r>
        <w:r>
          <w:rPr>
            <w:webHidden/>
          </w:rPr>
          <w:fldChar w:fldCharType="begin"/>
        </w:r>
        <w:r>
          <w:rPr>
            <w:webHidden/>
          </w:rPr>
          <w:instrText xml:space="preserve"> PAGEREF _Toc133329826 \h </w:instrText>
        </w:r>
        <w:r>
          <w:rPr>
            <w:webHidden/>
          </w:rPr>
          <w:fldChar w:fldCharType="separate"/>
        </w:r>
        <w:r w:rsidR="00431F69">
          <w:rPr>
            <w:webHidden/>
          </w:rPr>
          <w:t>3</w:t>
        </w:r>
        <w:r>
          <w:rPr>
            <w:webHidden/>
          </w:rPr>
          <w:fldChar w:fldCharType="end"/>
        </w:r>
      </w:hyperlink>
    </w:p>
    <w:p w:rsidR="0027472F" w14:paraId="642CA9A5" w14:textId="7EC82DB8">
      <w:pPr>
        <w:pStyle w:val="TOC1"/>
        <w:rPr>
          <w:rFonts w:asciiTheme="minorHAnsi" w:eastAsiaTheme="minorEastAsia" w:hAnsiTheme="minorHAnsi" w:cstheme="minorBidi"/>
          <w:b w:val="0"/>
          <w:bCs w:val="0"/>
          <w:caps w:val="0"/>
          <w:sz w:val="22"/>
          <w:szCs w:val="22"/>
        </w:rPr>
      </w:pPr>
      <w:hyperlink w:anchor="_Toc133329827" w:history="1">
        <w:r w:rsidRPr="00755ACF">
          <w:rPr>
            <w:rStyle w:val="Hyperlink"/>
          </w:rPr>
          <w:t>A2. Purpose and Use of the Information.</w:t>
        </w:r>
        <w:r>
          <w:rPr>
            <w:webHidden/>
          </w:rPr>
          <w:tab/>
        </w:r>
        <w:r>
          <w:rPr>
            <w:webHidden/>
          </w:rPr>
          <w:fldChar w:fldCharType="begin"/>
        </w:r>
        <w:r>
          <w:rPr>
            <w:webHidden/>
          </w:rPr>
          <w:instrText xml:space="preserve"> PAGEREF _Toc133329827 \h </w:instrText>
        </w:r>
        <w:r>
          <w:rPr>
            <w:webHidden/>
          </w:rPr>
          <w:fldChar w:fldCharType="separate"/>
        </w:r>
        <w:r w:rsidR="00431F69">
          <w:rPr>
            <w:webHidden/>
          </w:rPr>
          <w:t>5</w:t>
        </w:r>
        <w:r>
          <w:rPr>
            <w:webHidden/>
          </w:rPr>
          <w:fldChar w:fldCharType="end"/>
        </w:r>
      </w:hyperlink>
    </w:p>
    <w:p w:rsidR="0027472F" w14:paraId="20751435" w14:textId="76AD4DB9">
      <w:pPr>
        <w:pStyle w:val="TOC1"/>
        <w:rPr>
          <w:rFonts w:asciiTheme="minorHAnsi" w:eastAsiaTheme="minorEastAsia" w:hAnsiTheme="minorHAnsi" w:cstheme="minorBidi"/>
          <w:b w:val="0"/>
          <w:bCs w:val="0"/>
          <w:caps w:val="0"/>
          <w:sz w:val="22"/>
          <w:szCs w:val="22"/>
        </w:rPr>
      </w:pPr>
      <w:hyperlink w:anchor="_Toc133329828" w:history="1">
        <w:r w:rsidRPr="00755ACF">
          <w:rPr>
            <w:rStyle w:val="Hyperlink"/>
          </w:rPr>
          <w:t>A3.  Use of information technology and burden reduction.</w:t>
        </w:r>
        <w:r>
          <w:rPr>
            <w:webHidden/>
          </w:rPr>
          <w:tab/>
        </w:r>
        <w:r w:rsidR="00D92F09">
          <w:rPr>
            <w:webHidden/>
          </w:rPr>
          <w:t>6</w:t>
        </w:r>
      </w:hyperlink>
    </w:p>
    <w:p w:rsidR="0027472F" w14:paraId="4694F2FF" w14:textId="06FF4712">
      <w:pPr>
        <w:pStyle w:val="TOC1"/>
        <w:rPr>
          <w:rFonts w:asciiTheme="minorHAnsi" w:eastAsiaTheme="minorEastAsia" w:hAnsiTheme="minorHAnsi" w:cstheme="minorBidi"/>
          <w:b w:val="0"/>
          <w:bCs w:val="0"/>
          <w:caps w:val="0"/>
          <w:sz w:val="22"/>
          <w:szCs w:val="22"/>
        </w:rPr>
      </w:pPr>
      <w:hyperlink w:anchor="_Toc133329829" w:history="1">
        <w:r w:rsidRPr="00755ACF">
          <w:rPr>
            <w:rStyle w:val="Hyperlink"/>
          </w:rPr>
          <w:t>A4.  Efforts to identify duplication.</w:t>
        </w:r>
        <w:r>
          <w:rPr>
            <w:webHidden/>
          </w:rPr>
          <w:tab/>
        </w:r>
        <w:r w:rsidR="00337ED1">
          <w:rPr>
            <w:webHidden/>
          </w:rPr>
          <w:t>7</w:t>
        </w:r>
      </w:hyperlink>
    </w:p>
    <w:p w:rsidR="0027472F" w14:paraId="5B3AEDE3" w14:textId="6A96EDCD">
      <w:pPr>
        <w:pStyle w:val="TOC1"/>
        <w:rPr>
          <w:rFonts w:asciiTheme="minorHAnsi" w:eastAsiaTheme="minorEastAsia" w:hAnsiTheme="minorHAnsi" w:cstheme="minorBidi"/>
          <w:b w:val="0"/>
          <w:bCs w:val="0"/>
          <w:caps w:val="0"/>
          <w:sz w:val="22"/>
          <w:szCs w:val="22"/>
        </w:rPr>
      </w:pPr>
      <w:hyperlink w:anchor="_Toc133329830" w:history="1">
        <w:r w:rsidRPr="00755ACF">
          <w:rPr>
            <w:rStyle w:val="Hyperlink"/>
          </w:rPr>
          <w:t>A5.  Impacts on small businesses or other small entities.</w:t>
        </w:r>
        <w:r>
          <w:rPr>
            <w:webHidden/>
          </w:rPr>
          <w:tab/>
        </w:r>
      </w:hyperlink>
      <w:r w:rsidR="00123591">
        <w:t>8</w:t>
      </w:r>
    </w:p>
    <w:p w:rsidR="0027472F" w14:paraId="7EC501B7" w14:textId="1799AB5F">
      <w:pPr>
        <w:pStyle w:val="TOC1"/>
        <w:rPr>
          <w:rFonts w:asciiTheme="minorHAnsi" w:eastAsiaTheme="minorEastAsia" w:hAnsiTheme="minorHAnsi" w:cstheme="minorBidi"/>
          <w:b w:val="0"/>
          <w:bCs w:val="0"/>
          <w:caps w:val="0"/>
          <w:sz w:val="22"/>
          <w:szCs w:val="22"/>
        </w:rPr>
      </w:pPr>
      <w:hyperlink w:anchor="_Toc133329831" w:history="1">
        <w:r w:rsidRPr="00755ACF">
          <w:rPr>
            <w:rStyle w:val="Hyperlink"/>
          </w:rPr>
          <w:t>A6.  Consequences of collecting the information less frequently.</w:t>
        </w:r>
        <w:r>
          <w:rPr>
            <w:webHidden/>
          </w:rPr>
          <w:tab/>
        </w:r>
        <w:r w:rsidR="00337ED1">
          <w:rPr>
            <w:webHidden/>
          </w:rPr>
          <w:t>8</w:t>
        </w:r>
      </w:hyperlink>
    </w:p>
    <w:p w:rsidR="0027472F" w14:paraId="66DFCB08" w14:textId="530CEA60">
      <w:pPr>
        <w:pStyle w:val="TOC1"/>
        <w:rPr>
          <w:rFonts w:asciiTheme="minorHAnsi" w:eastAsiaTheme="minorEastAsia" w:hAnsiTheme="minorHAnsi" w:cstheme="minorBidi"/>
          <w:b w:val="0"/>
          <w:bCs w:val="0"/>
          <w:caps w:val="0"/>
          <w:sz w:val="22"/>
          <w:szCs w:val="22"/>
        </w:rPr>
      </w:pPr>
      <w:hyperlink w:anchor="_Toc133329832" w:history="1">
        <w:r w:rsidRPr="00755ACF">
          <w:rPr>
            <w:rStyle w:val="Hyperlink"/>
          </w:rPr>
          <w:t>A7.  Special circumstances relating to the Guidelines of 5 CFR 1320.5.</w:t>
        </w:r>
        <w:r>
          <w:rPr>
            <w:webHidden/>
          </w:rPr>
          <w:tab/>
        </w:r>
        <w:r w:rsidR="00706A17">
          <w:rPr>
            <w:webHidden/>
          </w:rPr>
          <w:t>10</w:t>
        </w:r>
      </w:hyperlink>
    </w:p>
    <w:p w:rsidR="0027472F" w14:paraId="327CCDFF" w14:textId="52A09E85">
      <w:pPr>
        <w:pStyle w:val="TOC1"/>
        <w:rPr>
          <w:rFonts w:asciiTheme="minorHAnsi" w:eastAsiaTheme="minorEastAsia" w:hAnsiTheme="minorHAnsi" w:cstheme="minorBidi"/>
          <w:b w:val="0"/>
          <w:bCs w:val="0"/>
          <w:caps w:val="0"/>
          <w:sz w:val="22"/>
          <w:szCs w:val="22"/>
        </w:rPr>
      </w:pPr>
      <w:hyperlink w:anchor="_Toc133329833" w:history="1">
        <w:r w:rsidRPr="00755ACF">
          <w:rPr>
            <w:rStyle w:val="Hyperlink"/>
          </w:rPr>
          <w:t>A8.  Comments to the Federal Register Notice and efforts for consultation</w:t>
        </w:r>
        <w:r>
          <w:rPr>
            <w:webHidden/>
          </w:rPr>
          <w:tab/>
        </w:r>
        <w:r w:rsidR="00706A17">
          <w:rPr>
            <w:webHidden/>
          </w:rPr>
          <w:t>11</w:t>
        </w:r>
      </w:hyperlink>
    </w:p>
    <w:p w:rsidR="0027472F" w14:paraId="78F76C2D" w14:textId="1A9503D8">
      <w:pPr>
        <w:pStyle w:val="TOC1"/>
        <w:rPr>
          <w:rFonts w:asciiTheme="minorHAnsi" w:eastAsiaTheme="minorEastAsia" w:hAnsiTheme="minorHAnsi" w:cstheme="minorBidi"/>
          <w:b w:val="0"/>
          <w:bCs w:val="0"/>
          <w:caps w:val="0"/>
          <w:sz w:val="22"/>
          <w:szCs w:val="22"/>
        </w:rPr>
      </w:pPr>
      <w:hyperlink w:anchor="_Toc133329834" w:history="1">
        <w:r w:rsidRPr="00755ACF">
          <w:rPr>
            <w:rStyle w:val="Hyperlink"/>
          </w:rPr>
          <w:t>A9.  Explain any decisions to provide any payment or gift to respondents.</w:t>
        </w:r>
        <w:r>
          <w:rPr>
            <w:webHidden/>
          </w:rPr>
          <w:tab/>
        </w:r>
        <w:r w:rsidR="00835FDE">
          <w:rPr>
            <w:webHidden/>
          </w:rPr>
          <w:t>12</w:t>
        </w:r>
      </w:hyperlink>
    </w:p>
    <w:p w:rsidR="0027472F" w14:paraId="46FDF18F" w14:textId="11D9BD77">
      <w:pPr>
        <w:pStyle w:val="TOC1"/>
        <w:rPr>
          <w:rFonts w:asciiTheme="minorHAnsi" w:eastAsiaTheme="minorEastAsia" w:hAnsiTheme="minorHAnsi" w:cstheme="minorBidi"/>
          <w:b w:val="0"/>
          <w:bCs w:val="0"/>
          <w:caps w:val="0"/>
          <w:sz w:val="22"/>
          <w:szCs w:val="22"/>
        </w:rPr>
      </w:pPr>
      <w:hyperlink w:anchor="_Toc133329835" w:history="1">
        <w:r w:rsidRPr="00755ACF">
          <w:rPr>
            <w:rStyle w:val="Hyperlink"/>
          </w:rPr>
          <w:t>A10.  Assurances of confidentiality provided to respondents.</w:t>
        </w:r>
        <w:r>
          <w:rPr>
            <w:webHidden/>
          </w:rPr>
          <w:tab/>
        </w:r>
        <w:r w:rsidR="00835FDE">
          <w:rPr>
            <w:webHidden/>
          </w:rPr>
          <w:t>12</w:t>
        </w:r>
      </w:hyperlink>
    </w:p>
    <w:p w:rsidR="0027472F" w14:paraId="1728D47E" w14:textId="2AEDFAD4">
      <w:pPr>
        <w:pStyle w:val="TOC1"/>
        <w:rPr>
          <w:rFonts w:asciiTheme="minorHAnsi" w:eastAsiaTheme="minorEastAsia" w:hAnsiTheme="minorHAnsi" w:cstheme="minorBidi"/>
          <w:b w:val="0"/>
          <w:bCs w:val="0"/>
          <w:caps w:val="0"/>
          <w:sz w:val="22"/>
          <w:szCs w:val="22"/>
        </w:rPr>
      </w:pPr>
      <w:hyperlink w:anchor="_Toc133329836" w:history="1">
        <w:r w:rsidRPr="00755ACF">
          <w:rPr>
            <w:rStyle w:val="Hyperlink"/>
          </w:rPr>
          <w:t>A11.  Justification for any questions of a sensitive nature.</w:t>
        </w:r>
        <w:r>
          <w:rPr>
            <w:webHidden/>
          </w:rPr>
          <w:tab/>
        </w:r>
        <w:r w:rsidR="00835FDE">
          <w:rPr>
            <w:webHidden/>
          </w:rPr>
          <w:t>14</w:t>
        </w:r>
      </w:hyperlink>
    </w:p>
    <w:p w:rsidR="0027472F" w14:paraId="146C9B93" w14:textId="13296E37">
      <w:pPr>
        <w:pStyle w:val="TOC1"/>
        <w:rPr>
          <w:rFonts w:asciiTheme="minorHAnsi" w:eastAsiaTheme="minorEastAsia" w:hAnsiTheme="minorHAnsi" w:cstheme="minorBidi"/>
          <w:b w:val="0"/>
          <w:bCs w:val="0"/>
          <w:caps w:val="0"/>
          <w:sz w:val="22"/>
          <w:szCs w:val="22"/>
        </w:rPr>
      </w:pPr>
      <w:hyperlink w:anchor="_Toc133329837" w:history="1">
        <w:r w:rsidRPr="00755ACF">
          <w:rPr>
            <w:rStyle w:val="Hyperlink"/>
          </w:rPr>
          <w:t>A12.  Estimates of the hour burden of the collection of information.</w:t>
        </w:r>
        <w:r>
          <w:rPr>
            <w:webHidden/>
          </w:rPr>
          <w:tab/>
        </w:r>
        <w:r w:rsidR="00E65AE0">
          <w:rPr>
            <w:webHidden/>
          </w:rPr>
          <w:t>15</w:t>
        </w:r>
      </w:hyperlink>
    </w:p>
    <w:p w:rsidR="0027472F" w14:paraId="259919EA" w14:textId="294EE1BA">
      <w:pPr>
        <w:pStyle w:val="TOC1"/>
        <w:rPr>
          <w:rFonts w:asciiTheme="minorHAnsi" w:eastAsiaTheme="minorEastAsia" w:hAnsiTheme="minorHAnsi" w:cstheme="minorBidi"/>
          <w:b w:val="0"/>
          <w:bCs w:val="0"/>
          <w:caps w:val="0"/>
          <w:sz w:val="22"/>
          <w:szCs w:val="22"/>
        </w:rPr>
      </w:pPr>
      <w:hyperlink w:anchor="_Toc133329838" w:history="1">
        <w:r w:rsidRPr="00755ACF">
          <w:rPr>
            <w:rStyle w:val="Hyperlink"/>
          </w:rPr>
          <w:t>A13.  Estimates of other total annual cost burden.</w:t>
        </w:r>
        <w:r>
          <w:rPr>
            <w:webHidden/>
          </w:rPr>
          <w:tab/>
        </w:r>
        <w:r w:rsidR="00E65AE0">
          <w:rPr>
            <w:webHidden/>
          </w:rPr>
          <w:t>23</w:t>
        </w:r>
      </w:hyperlink>
    </w:p>
    <w:p w:rsidR="0027472F" w14:paraId="7D83F2BB" w14:textId="798C422F">
      <w:pPr>
        <w:pStyle w:val="TOC1"/>
        <w:rPr>
          <w:rFonts w:asciiTheme="minorHAnsi" w:eastAsiaTheme="minorEastAsia" w:hAnsiTheme="minorHAnsi" w:cstheme="minorBidi"/>
          <w:b w:val="0"/>
          <w:bCs w:val="0"/>
          <w:caps w:val="0"/>
          <w:sz w:val="22"/>
          <w:szCs w:val="22"/>
        </w:rPr>
      </w:pPr>
      <w:hyperlink w:anchor="_Toc133329839" w:history="1">
        <w:r w:rsidRPr="00755ACF">
          <w:rPr>
            <w:rStyle w:val="Hyperlink"/>
          </w:rPr>
          <w:t>A14.  Provide estimates of annualized cost to the Federal government.</w:t>
        </w:r>
        <w:r>
          <w:rPr>
            <w:webHidden/>
          </w:rPr>
          <w:tab/>
        </w:r>
        <w:r w:rsidR="00E65AE0">
          <w:rPr>
            <w:webHidden/>
          </w:rPr>
          <w:t>24</w:t>
        </w:r>
      </w:hyperlink>
    </w:p>
    <w:p w:rsidR="0027472F" w14:paraId="4A03F023" w14:textId="67A02E29">
      <w:pPr>
        <w:pStyle w:val="TOC1"/>
        <w:rPr>
          <w:rFonts w:asciiTheme="minorHAnsi" w:eastAsiaTheme="minorEastAsia" w:hAnsiTheme="minorHAnsi" w:cstheme="minorBidi"/>
          <w:b w:val="0"/>
          <w:bCs w:val="0"/>
          <w:caps w:val="0"/>
          <w:sz w:val="22"/>
          <w:szCs w:val="22"/>
        </w:rPr>
      </w:pPr>
      <w:hyperlink w:anchor="_Toc133329840" w:history="1">
        <w:r w:rsidRPr="00755ACF">
          <w:rPr>
            <w:rStyle w:val="Hyperlink"/>
          </w:rPr>
          <w:t>A15.  Explanation of program changes or adjustments.</w:t>
        </w:r>
        <w:r>
          <w:rPr>
            <w:webHidden/>
          </w:rPr>
          <w:tab/>
        </w:r>
        <w:r w:rsidR="00A635A8">
          <w:rPr>
            <w:webHidden/>
          </w:rPr>
          <w:t>26</w:t>
        </w:r>
      </w:hyperlink>
    </w:p>
    <w:p w:rsidR="0027472F" w14:paraId="14204077" w14:textId="329D46DB">
      <w:pPr>
        <w:pStyle w:val="TOC1"/>
        <w:rPr>
          <w:rFonts w:asciiTheme="minorHAnsi" w:eastAsiaTheme="minorEastAsia" w:hAnsiTheme="minorHAnsi" w:cstheme="minorBidi"/>
          <w:b w:val="0"/>
          <w:bCs w:val="0"/>
          <w:caps w:val="0"/>
          <w:sz w:val="22"/>
          <w:szCs w:val="22"/>
        </w:rPr>
      </w:pPr>
      <w:hyperlink w:anchor="_Toc133329841" w:history="1">
        <w:r w:rsidRPr="00755ACF">
          <w:rPr>
            <w:rStyle w:val="Hyperlink"/>
          </w:rPr>
          <w:t>A16.  Plans for tabulation, and publication and project time schedule.</w:t>
        </w:r>
        <w:r>
          <w:rPr>
            <w:webHidden/>
          </w:rPr>
          <w:tab/>
        </w:r>
        <w:r w:rsidR="00A635A8">
          <w:rPr>
            <w:webHidden/>
          </w:rPr>
          <w:t>27</w:t>
        </w:r>
      </w:hyperlink>
    </w:p>
    <w:p w:rsidR="0027472F" w14:paraId="3455CF3A" w14:textId="54E49416">
      <w:pPr>
        <w:pStyle w:val="TOC1"/>
        <w:rPr>
          <w:rFonts w:asciiTheme="minorHAnsi" w:eastAsiaTheme="minorEastAsia" w:hAnsiTheme="minorHAnsi" w:cstheme="minorBidi"/>
          <w:b w:val="0"/>
          <w:bCs w:val="0"/>
          <w:caps w:val="0"/>
          <w:sz w:val="22"/>
          <w:szCs w:val="22"/>
        </w:rPr>
      </w:pPr>
      <w:hyperlink w:anchor="_Toc133329842" w:history="1">
        <w:r w:rsidRPr="00755ACF">
          <w:rPr>
            <w:rStyle w:val="Hyperlink"/>
          </w:rPr>
          <w:t>A17.  Displaying the OMB Approval Expiration Date.</w:t>
        </w:r>
        <w:r>
          <w:rPr>
            <w:webHidden/>
          </w:rPr>
          <w:tab/>
        </w:r>
        <w:r w:rsidR="00A635A8">
          <w:rPr>
            <w:webHidden/>
          </w:rPr>
          <w:t>27</w:t>
        </w:r>
      </w:hyperlink>
    </w:p>
    <w:p w:rsidR="0027472F" w14:paraId="5AFBAE2C" w14:textId="6AD531B2">
      <w:pPr>
        <w:pStyle w:val="TOC1"/>
        <w:rPr>
          <w:rFonts w:asciiTheme="minorHAnsi" w:eastAsiaTheme="minorEastAsia" w:hAnsiTheme="minorHAnsi" w:cstheme="minorBidi"/>
          <w:b w:val="0"/>
          <w:bCs w:val="0"/>
          <w:caps w:val="0"/>
          <w:sz w:val="22"/>
          <w:szCs w:val="22"/>
        </w:rPr>
      </w:pPr>
      <w:hyperlink w:anchor="_Toc133329843" w:history="1">
        <w:r w:rsidRPr="00755ACF">
          <w:rPr>
            <w:rStyle w:val="Hyperlink"/>
          </w:rPr>
          <w:t>A18.  Exceptions to the certification statement identified in Item 19.</w:t>
        </w:r>
        <w:r>
          <w:rPr>
            <w:webHidden/>
          </w:rPr>
          <w:tab/>
        </w:r>
        <w:r w:rsidR="00A635A8">
          <w:rPr>
            <w:webHidden/>
          </w:rPr>
          <w:t>27</w:t>
        </w:r>
      </w:hyperlink>
    </w:p>
    <w:p w:rsidR="00BD1DD0" w:rsidP="58CE7D09" w14:paraId="2A933D9C" w14:textId="0455C07B">
      <w:pPr>
        <w:pStyle w:val="TOC1"/>
        <w:tabs>
          <w:tab w:val="clear" w:pos="9350"/>
          <w:tab w:val="right" w:leader="dot" w:pos="9360"/>
        </w:tabs>
        <w:rPr>
          <w:rFonts w:asciiTheme="minorHAnsi" w:eastAsiaTheme="minorEastAsia" w:hAnsiTheme="minorHAnsi" w:cstheme="minorBidi"/>
          <w:b w:val="0"/>
          <w:bCs w:val="0"/>
          <w:caps w:val="0"/>
          <w:sz w:val="22"/>
          <w:szCs w:val="22"/>
        </w:rPr>
      </w:pPr>
      <w:r>
        <w:fldChar w:fldCharType="end"/>
      </w:r>
    </w:p>
    <w:p w:rsidR="002568E6" w:rsidP="009F7E1A" w14:paraId="2A933DA0" w14:textId="1A36213C">
      <w:pPr>
        <w:tabs>
          <w:tab w:val="center" w:pos="4680"/>
        </w:tabs>
        <w:rPr>
          <w:rFonts w:ascii="Times New Roman" w:hAnsi="Times New Roman"/>
          <w:b/>
          <w:szCs w:val="24"/>
          <w:u w:val="single"/>
        </w:rPr>
      </w:pPr>
      <w:r>
        <w:rPr>
          <w:rFonts w:ascii="Times New Roman" w:hAnsi="Times New Roman"/>
          <w:b/>
          <w:szCs w:val="24"/>
          <w:u w:val="single"/>
        </w:rPr>
        <w:t>Attachments</w:t>
      </w:r>
    </w:p>
    <w:p w:rsidR="0065358D" w:rsidP="0018464C" w14:paraId="3929C3B2" w14:textId="77777777">
      <w:pPr>
        <w:tabs>
          <w:tab w:val="center" w:pos="4680"/>
        </w:tabs>
        <w:rPr>
          <w:rFonts w:ascii="Times New Roman" w:hAnsi="Times New Roman"/>
          <w:szCs w:val="24"/>
        </w:rPr>
      </w:pPr>
      <w:r>
        <w:rPr>
          <w:rFonts w:ascii="Times New Roman" w:hAnsi="Times New Roman"/>
          <w:szCs w:val="24"/>
        </w:rPr>
        <w:t>Attachment A: SD Proposed Rule</w:t>
      </w:r>
    </w:p>
    <w:p w:rsidR="0018464C" w:rsidP="0018464C" w14:paraId="71DCE758" w14:textId="54A781C2">
      <w:pPr>
        <w:tabs>
          <w:tab w:val="center" w:pos="4680"/>
        </w:tabs>
        <w:rPr>
          <w:rFonts w:ascii="Times New Roman" w:hAnsi="Times New Roman"/>
          <w:szCs w:val="24"/>
        </w:rPr>
      </w:pPr>
      <w:r>
        <w:rPr>
          <w:rFonts w:ascii="Times New Roman" w:hAnsi="Times New Roman"/>
          <w:szCs w:val="24"/>
        </w:rPr>
        <w:t>Attachment B: Richard B. Russell National School Lunch Act</w:t>
      </w:r>
    </w:p>
    <w:p w:rsidR="0018464C" w:rsidP="0018464C" w14:paraId="301E6EAD" w14:textId="79D9D875">
      <w:pPr>
        <w:tabs>
          <w:tab w:val="center" w:pos="4680"/>
        </w:tabs>
        <w:rPr>
          <w:rFonts w:ascii="Times New Roman" w:hAnsi="Times New Roman"/>
        </w:rPr>
      </w:pPr>
      <w:r w:rsidRPr="5A4E18C3">
        <w:rPr>
          <w:rFonts w:ascii="Times New Roman" w:hAnsi="Times New Roman"/>
        </w:rPr>
        <w:t xml:space="preserve">Attachment </w:t>
      </w:r>
      <w:r>
        <w:rPr>
          <w:rFonts w:ascii="Times New Roman" w:hAnsi="Times New Roman"/>
        </w:rPr>
        <w:t>C</w:t>
      </w:r>
      <w:r w:rsidRPr="5A4E18C3">
        <w:rPr>
          <w:rFonts w:ascii="Times New Roman" w:hAnsi="Times New Roman"/>
        </w:rPr>
        <w:t>:  FNS 843: Report of Disqualification from Participation: Institution and Responsible Principals/Individual</w:t>
      </w:r>
      <w:r w:rsidR="004040C0">
        <w:rPr>
          <w:rFonts w:ascii="Times New Roman" w:hAnsi="Times New Roman"/>
        </w:rPr>
        <w:t>s</w:t>
      </w:r>
    </w:p>
    <w:p w:rsidR="0018464C" w:rsidRPr="0018464C" w:rsidP="009F7E1A" w14:paraId="4971E4CE" w14:textId="5743014F">
      <w:pPr>
        <w:tabs>
          <w:tab w:val="center" w:pos="4680"/>
        </w:tabs>
        <w:rPr>
          <w:rFonts w:ascii="Times New Roman" w:hAnsi="Times New Roman"/>
        </w:rPr>
      </w:pPr>
      <w:r w:rsidRPr="5A4E18C3">
        <w:rPr>
          <w:rFonts w:ascii="Times New Roman" w:hAnsi="Times New Roman"/>
        </w:rPr>
        <w:t xml:space="preserve">Attachment </w:t>
      </w:r>
      <w:r>
        <w:rPr>
          <w:rFonts w:ascii="Times New Roman" w:hAnsi="Times New Roman"/>
        </w:rPr>
        <w:t>D</w:t>
      </w:r>
      <w:r w:rsidRPr="5A4E18C3">
        <w:rPr>
          <w:rFonts w:ascii="Times New Roman" w:hAnsi="Times New Roman"/>
        </w:rPr>
        <w:t>:  FNS 844: Report of Disqualification from Participation: Individually Disqualified Responsible Principal/Individual or Day Care Home Provider</w:t>
      </w:r>
    </w:p>
    <w:p w:rsidR="0018464C" w:rsidP="0018464C" w14:paraId="1809929E" w14:textId="74A9C321">
      <w:pPr>
        <w:tabs>
          <w:tab w:val="center" w:pos="4680"/>
        </w:tabs>
        <w:rPr>
          <w:rFonts w:ascii="Times New Roman" w:hAnsi="Times New Roman"/>
          <w:szCs w:val="24"/>
        </w:rPr>
      </w:pPr>
      <w:r>
        <w:rPr>
          <w:rFonts w:ascii="Times New Roman" w:hAnsi="Times New Roman"/>
          <w:szCs w:val="24"/>
        </w:rPr>
        <w:t>Attachment E: SFSP ICR Burden Narrative</w:t>
      </w:r>
    </w:p>
    <w:p w:rsidR="002568E6" w:rsidP="009F7E1A" w14:paraId="2A933DA1" w14:textId="7E7C061B">
      <w:pPr>
        <w:tabs>
          <w:tab w:val="center" w:pos="4680"/>
        </w:tabs>
        <w:rPr>
          <w:rFonts w:ascii="Times New Roman" w:hAnsi="Times New Roman"/>
          <w:szCs w:val="24"/>
        </w:rPr>
      </w:pPr>
      <w:r>
        <w:rPr>
          <w:rFonts w:ascii="Times New Roman" w:hAnsi="Times New Roman"/>
          <w:szCs w:val="24"/>
        </w:rPr>
        <w:t xml:space="preserve">Attachment </w:t>
      </w:r>
      <w:r w:rsidR="0018464C">
        <w:rPr>
          <w:rFonts w:ascii="Times New Roman" w:hAnsi="Times New Roman"/>
          <w:szCs w:val="24"/>
        </w:rPr>
        <w:t>F</w:t>
      </w:r>
      <w:r>
        <w:rPr>
          <w:rFonts w:ascii="Times New Roman" w:hAnsi="Times New Roman"/>
          <w:szCs w:val="24"/>
        </w:rPr>
        <w:t>:</w:t>
      </w:r>
      <w:r w:rsidR="00C93E3D">
        <w:rPr>
          <w:rFonts w:ascii="Times New Roman" w:hAnsi="Times New Roman"/>
          <w:szCs w:val="24"/>
        </w:rPr>
        <w:t xml:space="preserve"> SFSP ICR Burden Estimate</w:t>
      </w:r>
      <w:r w:rsidR="00C97873">
        <w:rPr>
          <w:rFonts w:ascii="Times New Roman" w:hAnsi="Times New Roman"/>
          <w:szCs w:val="24"/>
        </w:rPr>
        <w:t>s</w:t>
      </w:r>
    </w:p>
    <w:p w:rsidR="000324D5" w:rsidP="009F7E1A" w14:paraId="5F460397" w14:textId="7D9ADD27">
      <w:pPr>
        <w:tabs>
          <w:tab w:val="center" w:pos="4680"/>
        </w:tabs>
        <w:rPr>
          <w:rFonts w:ascii="Times New Roman" w:hAnsi="Times New Roman"/>
          <w:szCs w:val="24"/>
        </w:rPr>
      </w:pPr>
      <w:r>
        <w:rPr>
          <w:rFonts w:ascii="Times New Roman" w:hAnsi="Times New Roman"/>
          <w:szCs w:val="24"/>
        </w:rPr>
        <w:t xml:space="preserve">Attachment </w:t>
      </w:r>
      <w:r w:rsidR="0018464C">
        <w:rPr>
          <w:rFonts w:ascii="Times New Roman" w:hAnsi="Times New Roman"/>
          <w:szCs w:val="24"/>
        </w:rPr>
        <w:t>G</w:t>
      </w:r>
      <w:r>
        <w:rPr>
          <w:rFonts w:ascii="Times New Roman" w:hAnsi="Times New Roman"/>
          <w:szCs w:val="24"/>
        </w:rPr>
        <w:t>:</w:t>
      </w:r>
      <w:r w:rsidR="00C93E3D">
        <w:rPr>
          <w:rFonts w:ascii="Times New Roman" w:hAnsi="Times New Roman"/>
          <w:szCs w:val="24"/>
        </w:rPr>
        <w:t xml:space="preserve"> NDB Data from 04/12/2023</w:t>
      </w:r>
    </w:p>
    <w:p w:rsidR="000324D5" w:rsidP="009F7E1A" w14:paraId="6B66B0F5" w14:textId="1F20D072">
      <w:pPr>
        <w:tabs>
          <w:tab w:val="center" w:pos="4680"/>
        </w:tabs>
        <w:rPr>
          <w:rFonts w:ascii="Times New Roman" w:hAnsi="Times New Roman"/>
          <w:szCs w:val="24"/>
        </w:rPr>
      </w:pPr>
      <w:r>
        <w:rPr>
          <w:rFonts w:ascii="Times New Roman" w:hAnsi="Times New Roman"/>
          <w:szCs w:val="24"/>
        </w:rPr>
        <w:t xml:space="preserve">Attachment H: </w:t>
      </w:r>
      <w:r w:rsidR="00866C1D">
        <w:rPr>
          <w:rFonts w:ascii="Times New Roman" w:hAnsi="Times New Roman"/>
          <w:szCs w:val="24"/>
        </w:rPr>
        <w:t>7 CFR part 225 – Summer Food Service Program</w:t>
      </w:r>
    </w:p>
    <w:p w:rsidR="00033A30" w:rsidP="009F7E1A" w14:paraId="1E39C35C" w14:textId="67D13922">
      <w:pPr>
        <w:tabs>
          <w:tab w:val="center" w:pos="4680"/>
        </w:tabs>
        <w:rPr>
          <w:rFonts w:ascii="Times New Roman" w:hAnsi="Times New Roman"/>
          <w:szCs w:val="24"/>
        </w:rPr>
      </w:pPr>
      <w:r>
        <w:rPr>
          <w:rFonts w:ascii="Times New Roman" w:hAnsi="Times New Roman"/>
          <w:szCs w:val="24"/>
        </w:rPr>
        <w:t>Attachment I: Supporting Statement A - Appendix</w:t>
      </w:r>
    </w:p>
    <w:p w:rsidR="00F205E6" w:rsidRPr="00B753E6" w:rsidP="00B753E6" w14:paraId="371D367E" w14:textId="2CA0D282">
      <w:pPr>
        <w:widowControl/>
        <w:ind w:left="360"/>
        <w:rPr>
          <w:color w:val="7030A0"/>
          <w:szCs w:val="24"/>
        </w:rPr>
      </w:pPr>
      <w:r w:rsidRPr="00B753E6">
        <w:rPr>
          <w:color w:val="7030A0"/>
          <w:szCs w:val="24"/>
        </w:rPr>
        <w:t xml:space="preserve"> </w:t>
      </w:r>
      <w:r w:rsidRPr="00B753E6" w:rsidR="00A424F3">
        <w:rPr>
          <w:color w:val="7030A0"/>
          <w:szCs w:val="24"/>
        </w:rPr>
        <w:t xml:space="preserve"> </w:t>
      </w:r>
      <w:r w:rsidRPr="00B753E6" w:rsidR="001E5E03">
        <w:rPr>
          <w:color w:val="7030A0"/>
          <w:szCs w:val="24"/>
        </w:rPr>
        <w:t xml:space="preserve">  </w:t>
      </w:r>
    </w:p>
    <w:p w:rsidR="00D15167" w14:paraId="54C6CAD5" w14:textId="2BB73D6D">
      <w:pPr>
        <w:widowControl/>
        <w:overflowPunct/>
        <w:autoSpaceDE/>
        <w:autoSpaceDN/>
        <w:adjustRightInd/>
        <w:textAlignment w:val="auto"/>
        <w:rPr>
          <w:rFonts w:ascii="Times New Roman" w:hAnsi="Times New Roman"/>
          <w:szCs w:val="24"/>
        </w:rPr>
      </w:pPr>
    </w:p>
    <w:p w:rsidR="009E4619" w14:paraId="6F0E5371" w14:textId="77777777">
      <w:pPr>
        <w:widowControl/>
        <w:overflowPunct/>
        <w:autoSpaceDE/>
        <w:autoSpaceDN/>
        <w:adjustRightInd/>
        <w:textAlignment w:val="auto"/>
        <w:rPr>
          <w:rFonts w:ascii="Times New Roman" w:hAnsi="Times New Roman"/>
          <w:szCs w:val="24"/>
        </w:rPr>
      </w:pPr>
    </w:p>
    <w:p w:rsidR="002568E6" w14:paraId="2A933DA2" w14:textId="3B2E01F8">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5A3F80" w:rsidRPr="002568E6" w:rsidP="58CE7D09" w14:paraId="2A933DA6" w14:textId="77777777">
      <w:pPr>
        <w:pStyle w:val="Heading1"/>
      </w:pPr>
      <w:bookmarkStart w:id="1" w:name="_Toc401831357"/>
      <w:bookmarkStart w:id="2" w:name="_Toc133329826"/>
      <w:r>
        <w:t xml:space="preserve">A1. </w:t>
      </w:r>
      <w:r w:rsidR="002568E6">
        <w:t>C</w:t>
      </w:r>
      <w:r>
        <w:t>ircumstances that make the collection of information necessary.</w:t>
      </w:r>
      <w:bookmarkEnd w:id="1"/>
      <w:bookmarkEnd w:id="2"/>
    </w:p>
    <w:p w:rsidR="003333DF" w:rsidRPr="002568E6" w:rsidP="003333DF" w14:paraId="2A933DA7" w14:textId="77777777">
      <w:pPr>
        <w:tabs>
          <w:tab w:val="left" w:pos="-720"/>
        </w:tabs>
        <w:suppressAutoHyphens/>
        <w:rPr>
          <w:rFonts w:ascii="Times New Roman" w:hAnsi="Times New Roman"/>
          <w:b/>
          <w:szCs w:val="24"/>
        </w:rPr>
      </w:pPr>
    </w:p>
    <w:p w:rsidR="003333DF" w:rsidRPr="002568E6" w:rsidP="003333DF" w14:paraId="2A933DA8" w14:textId="312D06D8">
      <w:pPr>
        <w:tabs>
          <w:tab w:val="left" w:pos="-720"/>
        </w:tabs>
        <w:suppressAutoHyphens/>
        <w:rPr>
          <w:rFonts w:ascii="Times New Roman" w:hAnsi="Times New Roman"/>
          <w:b/>
          <w:szCs w:val="24"/>
        </w:rPr>
      </w:pPr>
      <w:r>
        <w:rPr>
          <w:rFonts w:ascii="Times New Roman" w:hAnsi="Times New Roman"/>
          <w:b/>
          <w:szCs w:val="24"/>
        </w:rPr>
        <w:t xml:space="preserve">Explain the circumstances that make the collection of information necessary. </w:t>
      </w: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r w:rsidR="001A4D14">
        <w:rPr>
          <w:rFonts w:ascii="Times New Roman" w:hAnsi="Times New Roman"/>
          <w:b/>
          <w:szCs w:val="24"/>
        </w:rPr>
        <w:t>.</w:t>
      </w:r>
    </w:p>
    <w:p w:rsidR="00A308DB" w:rsidP="009F7E1A" w14:paraId="2A933DA9" w14:textId="7A9A6388">
      <w:pPr>
        <w:tabs>
          <w:tab w:val="left" w:pos="-720"/>
        </w:tabs>
        <w:suppressAutoHyphens/>
        <w:rPr>
          <w:rFonts w:ascii="Times New Roman" w:hAnsi="Times New Roman"/>
          <w:szCs w:val="24"/>
        </w:rPr>
      </w:pPr>
    </w:p>
    <w:p w:rsidR="00543790" w:rsidP="006E37D3" w14:paraId="51A20E78" w14:textId="016037A3">
      <w:pPr>
        <w:tabs>
          <w:tab w:val="left" w:pos="-720"/>
        </w:tabs>
        <w:suppressAutoHyphens/>
        <w:spacing w:line="480" w:lineRule="auto"/>
        <w:rPr>
          <w:rFonts w:ascii="Times New Roman" w:hAnsi="Times New Roman"/>
          <w:szCs w:val="24"/>
        </w:rPr>
      </w:pPr>
      <w:r>
        <w:rPr>
          <w:rFonts w:ascii="Times New Roman" w:hAnsi="Times New Roman"/>
          <w:szCs w:val="24"/>
        </w:rPr>
        <w:tab/>
      </w:r>
      <w:r w:rsidRPr="00AB0FFF">
        <w:rPr>
          <w:rFonts w:ascii="Times New Roman" w:hAnsi="Times New Roman"/>
          <w:szCs w:val="24"/>
        </w:rPr>
        <w:t>This is a revision of an existing information collection in support of the proposed rule, Serious Deficiency Process in the Child and Adult Care Food Program and Summer Food Service Program (RIN 0584-AE83) (Attachment </w:t>
      </w:r>
      <w:r w:rsidR="0018464C">
        <w:rPr>
          <w:rFonts w:ascii="Times New Roman" w:hAnsi="Times New Roman"/>
          <w:szCs w:val="24"/>
        </w:rPr>
        <w:t>A</w:t>
      </w:r>
      <w:r w:rsidRPr="00AB0FFF">
        <w:rPr>
          <w:rFonts w:ascii="Times New Roman" w:hAnsi="Times New Roman"/>
          <w:szCs w:val="24"/>
        </w:rPr>
        <w:t>)</w:t>
      </w:r>
      <w:r w:rsidR="00DD0230">
        <w:rPr>
          <w:rFonts w:ascii="Times New Roman" w:hAnsi="Times New Roman"/>
          <w:szCs w:val="24"/>
        </w:rPr>
        <w:t>.</w:t>
      </w:r>
    </w:p>
    <w:p w:rsidR="006414E9" w:rsidRPr="00970794" w:rsidP="006414E9" w14:paraId="501248FA" w14:textId="08581574">
      <w:pPr>
        <w:tabs>
          <w:tab w:val="left" w:pos="-720"/>
        </w:tabs>
        <w:suppressAutoHyphens/>
        <w:spacing w:line="480" w:lineRule="auto"/>
        <w:rPr>
          <w:rFonts w:ascii="Times New Roman" w:hAnsi="Times New Roman"/>
          <w:szCs w:val="24"/>
        </w:rPr>
      </w:pPr>
      <w:r>
        <w:rPr>
          <w:rFonts w:ascii="Times New Roman" w:hAnsi="Times New Roman"/>
          <w:szCs w:val="24"/>
        </w:rPr>
        <w:tab/>
      </w:r>
      <w:r w:rsidRPr="00970794">
        <w:rPr>
          <w:rFonts w:ascii="Times New Roman" w:hAnsi="Times New Roman"/>
          <w:szCs w:val="24"/>
        </w:rPr>
        <w:t>Stage agencies have a responsibility for the monitoring and oversight of institutions in the Child and Adult Care Food Program (CACFP)</w:t>
      </w:r>
      <w:r w:rsidR="00C05D7C">
        <w:rPr>
          <w:rFonts w:ascii="Times New Roman" w:hAnsi="Times New Roman"/>
          <w:szCs w:val="24"/>
        </w:rPr>
        <w:t>.</w:t>
      </w:r>
      <w:r w:rsidRPr="00970794">
        <w:rPr>
          <w:rFonts w:ascii="Times New Roman" w:hAnsi="Times New Roman"/>
          <w:szCs w:val="24"/>
        </w:rPr>
        <w:t xml:space="preserve">  To maintain program integrity and ensure compliance with program requirements, FNS established the serious deficiency process to address mismanagement, abuse, and fraud by institutions and facilities participating in the program</w:t>
      </w:r>
      <w:r w:rsidR="0019474C">
        <w:rPr>
          <w:rFonts w:ascii="Times New Roman" w:hAnsi="Times New Roman"/>
          <w:szCs w:val="24"/>
        </w:rPr>
        <w:t>.</w:t>
      </w:r>
      <w:r w:rsidRPr="00970794">
        <w:rPr>
          <w:rFonts w:ascii="Times New Roman" w:hAnsi="Times New Roman"/>
          <w:szCs w:val="24"/>
        </w:rPr>
        <w:t xml:space="preserve">  The serious deficiency process establishes a structured series of steps to identify serious deficiencies, take corrective action, and suspend, terminate, and disqualify institutions and responsible principals and individuals that undermine the integrity of the program</w:t>
      </w:r>
      <w:r w:rsidR="00211E87">
        <w:rPr>
          <w:rFonts w:ascii="Times New Roman" w:hAnsi="Times New Roman"/>
          <w:szCs w:val="24"/>
        </w:rPr>
        <w:t>.</w:t>
      </w:r>
      <w:r w:rsidRPr="00970794">
        <w:rPr>
          <w:rFonts w:ascii="Times New Roman" w:hAnsi="Times New Roman"/>
          <w:szCs w:val="24"/>
        </w:rPr>
        <w:t xml:space="preserve">  State agencies also have a similar responsibility to monitor and provide oversight of the Summer Food Service Program (SFSP)</w:t>
      </w:r>
      <w:r w:rsidR="00FA0622">
        <w:rPr>
          <w:rFonts w:ascii="Times New Roman" w:hAnsi="Times New Roman"/>
          <w:szCs w:val="24"/>
        </w:rPr>
        <w:t>.</w:t>
      </w:r>
    </w:p>
    <w:p w:rsidR="006414E9" w:rsidRPr="00970794" w:rsidP="006414E9" w14:paraId="68866BEB" w14:textId="5B58003A">
      <w:pPr>
        <w:tabs>
          <w:tab w:val="left" w:pos="-720"/>
        </w:tabs>
        <w:suppressAutoHyphens/>
        <w:spacing w:line="480" w:lineRule="auto"/>
        <w:rPr>
          <w:rFonts w:ascii="Times New Roman" w:hAnsi="Times New Roman"/>
          <w:szCs w:val="24"/>
        </w:rPr>
      </w:pPr>
      <w:r>
        <w:rPr>
          <w:rFonts w:ascii="Times New Roman" w:hAnsi="Times New Roman"/>
          <w:szCs w:val="24"/>
        </w:rPr>
        <w:tab/>
      </w:r>
      <w:r w:rsidRPr="00970794">
        <w:rPr>
          <w:rFonts w:ascii="Times New Roman" w:hAnsi="Times New Roman"/>
          <w:szCs w:val="24"/>
        </w:rPr>
        <w:t>Currently, the SFSP does not have a defined process to address serious management problems threatening the integrity of the program</w:t>
      </w:r>
      <w:r w:rsidR="009636BF">
        <w:rPr>
          <w:rFonts w:ascii="Times New Roman" w:hAnsi="Times New Roman"/>
          <w:szCs w:val="24"/>
        </w:rPr>
        <w:t>.</w:t>
      </w:r>
      <w:r w:rsidRPr="00970794">
        <w:rPr>
          <w:rFonts w:ascii="Times New Roman" w:hAnsi="Times New Roman"/>
          <w:szCs w:val="24"/>
        </w:rPr>
        <w:t xml:space="preserve">  SFSP regulations specify that state agencies must consider specific criteria before approving sites for participation.  Regulations also provide authority for State agencies to terminate sponsor participation and establish procedures for sponsors to appeal adverse actions, but they do not provide authority for FNS or state agencies to disqualify an individual from participating in SFSP, or in any other Child Nutrition Program or being placed on the National Disqualified List</w:t>
      </w:r>
      <w:r w:rsidR="00066338">
        <w:rPr>
          <w:rFonts w:ascii="Times New Roman" w:hAnsi="Times New Roman"/>
          <w:szCs w:val="24"/>
        </w:rPr>
        <w:t>.</w:t>
      </w:r>
      <w:r w:rsidRPr="00970794">
        <w:rPr>
          <w:rFonts w:ascii="Times New Roman" w:hAnsi="Times New Roman"/>
          <w:szCs w:val="24"/>
        </w:rPr>
        <w:t xml:space="preserve">  This proposed rule would extend the serious deficiency process to SFSP to address potential serious management problems threatening the </w:t>
      </w:r>
      <w:r w:rsidRPr="00970794">
        <w:rPr>
          <w:rFonts w:ascii="Times New Roman" w:hAnsi="Times New Roman"/>
          <w:szCs w:val="24"/>
        </w:rPr>
        <w:t>integrity of the program</w:t>
      </w:r>
      <w:r w:rsidR="001234E0">
        <w:rPr>
          <w:rFonts w:ascii="Times New Roman" w:hAnsi="Times New Roman"/>
          <w:szCs w:val="24"/>
        </w:rPr>
        <w:t>.</w:t>
      </w:r>
    </w:p>
    <w:p w:rsidR="006414E9" w:rsidP="006414E9" w14:paraId="07E7130E" w14:textId="552807BF">
      <w:pPr>
        <w:tabs>
          <w:tab w:val="left" w:pos="-720"/>
        </w:tabs>
        <w:suppressAutoHyphens/>
        <w:spacing w:line="480" w:lineRule="auto"/>
        <w:rPr>
          <w:rFonts w:ascii="Times New Roman" w:hAnsi="Times New Roman"/>
          <w:szCs w:val="24"/>
        </w:rPr>
      </w:pPr>
      <w:r>
        <w:rPr>
          <w:rFonts w:ascii="Times New Roman" w:hAnsi="Times New Roman"/>
          <w:szCs w:val="24"/>
        </w:rPr>
        <w:tab/>
      </w:r>
      <w:r w:rsidRPr="00970794">
        <w:rPr>
          <w:rFonts w:ascii="Times New Roman" w:hAnsi="Times New Roman"/>
          <w:szCs w:val="24"/>
        </w:rPr>
        <w:t>This proposed rule would amend 7 CFR 225.6 and 7 CFR 225.18 to extend the serious deficiency process to SFSP.  This rulemaking will strengthen management practices and eliminate gaps that put program integrity at risk</w:t>
      </w:r>
      <w:r w:rsidR="001234E0">
        <w:rPr>
          <w:rFonts w:ascii="Times New Roman" w:hAnsi="Times New Roman"/>
          <w:szCs w:val="24"/>
        </w:rPr>
        <w:t>.</w:t>
      </w:r>
    </w:p>
    <w:p w:rsidR="006414E9" w:rsidP="006414E9" w14:paraId="46D2BD27" w14:textId="77777777">
      <w:pPr>
        <w:tabs>
          <w:tab w:val="left" w:pos="-720"/>
        </w:tabs>
        <w:suppressAutoHyphens/>
        <w:spacing w:line="480" w:lineRule="auto"/>
        <w:rPr>
          <w:rFonts w:ascii="Times New Roman" w:hAnsi="Times New Roman"/>
          <w:szCs w:val="24"/>
        </w:rPr>
      </w:pPr>
      <w:r>
        <w:rPr>
          <w:rFonts w:ascii="Times New Roman" w:hAnsi="Times New Roman"/>
          <w:szCs w:val="24"/>
        </w:rPr>
        <w:tab/>
        <w:t xml:space="preserve">This revision of </w:t>
      </w:r>
      <w:r w:rsidRPr="00127A32">
        <w:rPr>
          <w:rFonts w:ascii="Times New Roman" w:hAnsi="Times New Roman"/>
          <w:szCs w:val="24"/>
        </w:rPr>
        <w:t xml:space="preserve">information collection based on </w:t>
      </w:r>
      <w:r>
        <w:rPr>
          <w:rFonts w:ascii="Times New Roman" w:hAnsi="Times New Roman"/>
          <w:szCs w:val="24"/>
        </w:rPr>
        <w:t xml:space="preserve">the </w:t>
      </w:r>
      <w:r w:rsidRPr="00127A32">
        <w:rPr>
          <w:rFonts w:ascii="Times New Roman" w:hAnsi="Times New Roman"/>
          <w:szCs w:val="24"/>
        </w:rPr>
        <w:t>proposed rule is necessary to:</w:t>
      </w:r>
    </w:p>
    <w:p w:rsidR="006414E9" w:rsidRPr="00D33988" w:rsidP="006414E9" w14:paraId="1DAF5C6F" w14:textId="77777777">
      <w:pPr>
        <w:pStyle w:val="ListParagraph"/>
        <w:numPr>
          <w:ilvl w:val="0"/>
          <w:numId w:val="20"/>
        </w:numPr>
        <w:rPr>
          <w:b/>
          <w:szCs w:val="24"/>
        </w:rPr>
      </w:pPr>
      <w:r>
        <w:rPr>
          <w:bCs/>
          <w:szCs w:val="24"/>
        </w:rPr>
        <w:t>Extend the serious deficiency process to the SFSP;</w:t>
      </w:r>
    </w:p>
    <w:p w:rsidR="006414E9" w:rsidRPr="00D33988" w:rsidP="006414E9" w14:paraId="6B79CAF0" w14:textId="77777777">
      <w:pPr>
        <w:pStyle w:val="ListParagraph"/>
        <w:numPr>
          <w:ilvl w:val="0"/>
          <w:numId w:val="20"/>
        </w:numPr>
        <w:rPr>
          <w:b/>
          <w:szCs w:val="24"/>
        </w:rPr>
      </w:pPr>
      <w:r>
        <w:rPr>
          <w:bCs/>
          <w:szCs w:val="24"/>
        </w:rPr>
        <w:t>Ensure a fair and uniform serious deficiency process for sponsors and individuals participating in the SFSP</w:t>
      </w:r>
      <w:r w:rsidRPr="00D33988">
        <w:rPr>
          <w:bCs/>
          <w:szCs w:val="24"/>
        </w:rPr>
        <w:t>;</w:t>
      </w:r>
    </w:p>
    <w:p w:rsidR="006414E9" w:rsidRPr="001F0E6B" w:rsidP="006414E9" w14:paraId="3A6B575E" w14:textId="3714FC37">
      <w:pPr>
        <w:pStyle w:val="ListParagraph"/>
        <w:numPr>
          <w:ilvl w:val="0"/>
          <w:numId w:val="20"/>
        </w:numPr>
        <w:rPr>
          <w:b/>
          <w:szCs w:val="24"/>
        </w:rPr>
      </w:pPr>
      <w:r>
        <w:rPr>
          <w:bCs/>
          <w:szCs w:val="24"/>
        </w:rPr>
        <w:t>Provide a Path to Full and Permanent Correction, which includes the submission of a corrective action plan and at least two full reviews, occurring once every year, to identify whether new or repeat ser</w:t>
      </w:r>
      <w:r w:rsidR="001939AF">
        <w:rPr>
          <w:bCs/>
          <w:szCs w:val="24"/>
        </w:rPr>
        <w:t>i</w:t>
      </w:r>
      <w:r>
        <w:rPr>
          <w:bCs/>
          <w:szCs w:val="24"/>
        </w:rPr>
        <w:t>ous management problems have occurred, for sponsors and individuals seeking to exit the serious deficiency process;</w:t>
      </w:r>
    </w:p>
    <w:p w:rsidR="0080197D" w:rsidRPr="00FC1F39" w:rsidP="00AC1631" w14:paraId="34FB1CB8" w14:textId="22A56D7F">
      <w:pPr>
        <w:pStyle w:val="ListParagraph"/>
        <w:numPr>
          <w:ilvl w:val="0"/>
          <w:numId w:val="20"/>
        </w:numPr>
        <w:rPr>
          <w:szCs w:val="24"/>
        </w:rPr>
      </w:pPr>
      <w:r w:rsidRPr="00D57931">
        <w:rPr>
          <w:bCs/>
          <w:szCs w:val="24"/>
        </w:rPr>
        <w:t>Close out serious deficiencies upon successful completion of corrective actions</w:t>
      </w:r>
      <w:r w:rsidR="00540A8E">
        <w:rPr>
          <w:bCs/>
          <w:szCs w:val="24"/>
        </w:rPr>
        <w:t>.</w:t>
      </w:r>
    </w:p>
    <w:p w:rsidR="00FC1F39" w:rsidRPr="00FC1F39" w:rsidP="00FC1F39" w14:paraId="160FB277" w14:textId="77777777">
      <w:pPr>
        <w:ind w:left="360"/>
        <w:rPr>
          <w:szCs w:val="24"/>
        </w:rPr>
      </w:pPr>
    </w:p>
    <w:p w:rsidR="00970794" w:rsidP="00970794" w14:paraId="7A9CADEE" w14:textId="72D8511B">
      <w:pPr>
        <w:tabs>
          <w:tab w:val="left" w:pos="-720"/>
        </w:tabs>
        <w:suppressAutoHyphens/>
        <w:spacing w:line="480" w:lineRule="auto"/>
        <w:rPr>
          <w:rFonts w:ascii="Times New Roman" w:hAnsi="Times New Roman"/>
          <w:szCs w:val="24"/>
        </w:rPr>
      </w:pPr>
      <w:r>
        <w:rPr>
          <w:rFonts w:ascii="Times New Roman" w:hAnsi="Times New Roman"/>
          <w:szCs w:val="24"/>
        </w:rPr>
        <w:tab/>
      </w:r>
      <w:r w:rsidR="009A5532">
        <w:rPr>
          <w:rFonts w:ascii="Times New Roman" w:hAnsi="Times New Roman"/>
          <w:szCs w:val="24"/>
        </w:rPr>
        <w:t>Section 1</w:t>
      </w:r>
      <w:r w:rsidR="00A91AA3">
        <w:rPr>
          <w:rFonts w:ascii="Times New Roman" w:hAnsi="Times New Roman"/>
          <w:szCs w:val="24"/>
        </w:rPr>
        <w:t>3</w:t>
      </w:r>
      <w:r w:rsidR="009A5532">
        <w:rPr>
          <w:rFonts w:ascii="Times New Roman" w:hAnsi="Times New Roman"/>
          <w:szCs w:val="24"/>
        </w:rPr>
        <w:t xml:space="preserve"> of the National School Lunch Act (“the Act”), as amended (42 U.S.C. </w:t>
      </w:r>
      <w:r w:rsidR="00A97E58">
        <w:rPr>
          <w:rFonts w:ascii="Times New Roman" w:hAnsi="Times New Roman"/>
          <w:szCs w:val="24"/>
        </w:rPr>
        <w:t>1761</w:t>
      </w:r>
      <w:r w:rsidR="009A5532">
        <w:rPr>
          <w:rFonts w:ascii="Times New Roman" w:hAnsi="Times New Roman"/>
          <w:szCs w:val="24"/>
        </w:rPr>
        <w:t xml:space="preserve">), authorizes the SFSP </w:t>
      </w:r>
      <w:r w:rsidRPr="006B2B78" w:rsidR="006B2B78">
        <w:rPr>
          <w:rFonts w:ascii="Times New Roman" w:hAnsi="Times New Roman"/>
          <w:szCs w:val="24"/>
        </w:rPr>
        <w:t>for service of meals and snacks to children in low-income areas during the summer months</w:t>
      </w:r>
      <w:r w:rsidR="00E11581">
        <w:rPr>
          <w:rFonts w:ascii="Times New Roman" w:hAnsi="Times New Roman"/>
          <w:szCs w:val="24"/>
        </w:rPr>
        <w:t xml:space="preserve"> (Attachment </w:t>
      </w:r>
      <w:r w:rsidR="0018464C">
        <w:rPr>
          <w:rFonts w:ascii="Times New Roman" w:hAnsi="Times New Roman"/>
          <w:szCs w:val="24"/>
        </w:rPr>
        <w:t>B</w:t>
      </w:r>
      <w:r w:rsidR="00E11581">
        <w:rPr>
          <w:rFonts w:ascii="Times New Roman" w:hAnsi="Times New Roman"/>
          <w:szCs w:val="24"/>
        </w:rPr>
        <w:t>)</w:t>
      </w:r>
      <w:r w:rsidR="00025D14">
        <w:rPr>
          <w:rFonts w:ascii="Times New Roman" w:hAnsi="Times New Roman"/>
          <w:szCs w:val="24"/>
        </w:rPr>
        <w:t>.</w:t>
      </w:r>
      <w:r w:rsidRPr="006B2B78" w:rsidR="006B2B78">
        <w:rPr>
          <w:rFonts w:ascii="Times New Roman" w:hAnsi="Times New Roman"/>
          <w:szCs w:val="24"/>
        </w:rPr>
        <w:t xml:space="preserve"> The collection of this information is required to administer and operate SFSP in accordance with the NSLA</w:t>
      </w:r>
      <w:r w:rsidR="006B2B78">
        <w:rPr>
          <w:rFonts w:ascii="Times New Roman" w:hAnsi="Times New Roman"/>
          <w:szCs w:val="24"/>
        </w:rPr>
        <w:t xml:space="preserve"> </w:t>
      </w:r>
      <w:r w:rsidR="00E44D62">
        <w:rPr>
          <w:rFonts w:ascii="Times New Roman" w:hAnsi="Times New Roman"/>
          <w:szCs w:val="24"/>
        </w:rPr>
        <w:t xml:space="preserve">and </w:t>
      </w:r>
      <w:r w:rsidR="009A5532">
        <w:rPr>
          <w:rFonts w:ascii="Times New Roman" w:hAnsi="Times New Roman"/>
          <w:szCs w:val="24"/>
        </w:rPr>
        <w:t xml:space="preserve">7 CFR part 225. Section </w:t>
      </w:r>
      <w:r w:rsidR="002E74A7">
        <w:rPr>
          <w:rFonts w:ascii="Times New Roman" w:hAnsi="Times New Roman"/>
          <w:szCs w:val="24"/>
        </w:rPr>
        <w:t>(</w:t>
      </w:r>
      <w:r w:rsidR="00620ED4">
        <w:rPr>
          <w:rFonts w:ascii="Times New Roman" w:hAnsi="Times New Roman"/>
          <w:szCs w:val="24"/>
        </w:rPr>
        <w:t>q</w:t>
      </w:r>
      <w:r w:rsidR="002E74A7">
        <w:rPr>
          <w:rFonts w:ascii="Times New Roman" w:hAnsi="Times New Roman"/>
          <w:szCs w:val="24"/>
        </w:rPr>
        <w:t>)(3)</w:t>
      </w:r>
      <w:r w:rsidR="009A5532">
        <w:rPr>
          <w:rFonts w:ascii="Times New Roman" w:hAnsi="Times New Roman"/>
          <w:szCs w:val="24"/>
        </w:rPr>
        <w:t xml:space="preserve"> of the Act </w:t>
      </w:r>
      <w:r w:rsidR="00C902A4">
        <w:rPr>
          <w:rFonts w:ascii="Times New Roman" w:hAnsi="Times New Roman"/>
          <w:szCs w:val="24"/>
        </w:rPr>
        <w:t>r</w:t>
      </w:r>
      <w:r w:rsidRPr="00973EF8" w:rsidR="00973EF8">
        <w:rPr>
          <w:rFonts w:ascii="Times New Roman" w:hAnsi="Times New Roman"/>
          <w:szCs w:val="24"/>
        </w:rPr>
        <w:t>equires the Secretary</w:t>
      </w:r>
      <w:r w:rsidR="005C4ACF">
        <w:rPr>
          <w:rFonts w:ascii="Times New Roman" w:hAnsi="Times New Roman"/>
          <w:szCs w:val="24"/>
        </w:rPr>
        <w:t xml:space="preserve"> of Agriculture</w:t>
      </w:r>
      <w:r w:rsidRPr="00973EF8" w:rsidR="00973EF8">
        <w:rPr>
          <w:rFonts w:ascii="Times New Roman" w:hAnsi="Times New Roman"/>
          <w:szCs w:val="24"/>
        </w:rPr>
        <w:t xml:space="preserve"> to establish procedures for the termination of SFSP sponsors for each State agency</w:t>
      </w:r>
      <w:r w:rsidR="001643D8">
        <w:rPr>
          <w:rFonts w:ascii="Times New Roman" w:hAnsi="Times New Roman"/>
          <w:szCs w:val="24"/>
        </w:rPr>
        <w:t xml:space="preserve"> and</w:t>
      </w:r>
      <w:r w:rsidR="00A52D2C">
        <w:rPr>
          <w:rFonts w:ascii="Times New Roman" w:hAnsi="Times New Roman"/>
          <w:szCs w:val="24"/>
        </w:rPr>
        <w:t xml:space="preserve"> </w:t>
      </w:r>
      <w:r w:rsidR="001643D8">
        <w:rPr>
          <w:rFonts w:ascii="Times New Roman" w:hAnsi="Times New Roman"/>
          <w:szCs w:val="24"/>
        </w:rPr>
        <w:t>the provision of a</w:t>
      </w:r>
      <w:r w:rsidRPr="00973EF8" w:rsidR="00973EF8">
        <w:rPr>
          <w:rFonts w:ascii="Times New Roman" w:hAnsi="Times New Roman"/>
          <w:szCs w:val="24"/>
        </w:rPr>
        <w:t xml:space="preserve"> fair hearing and prompt determination for any sponsor aggrieved by any action of the State agency that affects its participation or claim for reimbursement</w:t>
      </w:r>
      <w:r w:rsidR="00DE0C6E">
        <w:rPr>
          <w:rFonts w:ascii="Times New Roman" w:hAnsi="Times New Roman"/>
          <w:szCs w:val="24"/>
        </w:rPr>
        <w:t xml:space="preserve">.  </w:t>
      </w:r>
      <w:r w:rsidR="00973EF8">
        <w:rPr>
          <w:rFonts w:ascii="Times New Roman" w:hAnsi="Times New Roman"/>
          <w:szCs w:val="24"/>
        </w:rPr>
        <w:t>T</w:t>
      </w:r>
      <w:r w:rsidR="009A5532">
        <w:rPr>
          <w:rFonts w:ascii="Times New Roman" w:hAnsi="Times New Roman"/>
          <w:szCs w:val="24"/>
        </w:rPr>
        <w:t xml:space="preserve">he U.S. Department of Agriculture (USDA), through the Food and Nutrition Service (FNS), has established application, monitoring, recordkeeping, public disclosure, and reporting requirements in the SFSP regulations (7 CFR part 225) to manage the Program </w:t>
      </w:r>
      <w:r w:rsidR="009A5532">
        <w:rPr>
          <w:rFonts w:ascii="Times New Roman" w:hAnsi="Times New Roman"/>
          <w:szCs w:val="24"/>
        </w:rPr>
        <w:t>effectively and ensure that the legislative intent of this mandate is responsibly implemented</w:t>
      </w:r>
      <w:r w:rsidR="005F42C6">
        <w:rPr>
          <w:rFonts w:ascii="Times New Roman" w:hAnsi="Times New Roman"/>
          <w:szCs w:val="24"/>
        </w:rPr>
        <w:t>.</w:t>
      </w:r>
    </w:p>
    <w:p w:rsidR="009A5532" w:rsidRPr="001471E8" w:rsidP="000324D5" w14:paraId="6E331111" w14:textId="63A6A651">
      <w:pPr>
        <w:tabs>
          <w:tab w:val="left" w:pos="-720"/>
        </w:tabs>
        <w:suppressAutoHyphens/>
        <w:spacing w:line="480" w:lineRule="auto"/>
        <w:rPr>
          <w:b/>
          <w:szCs w:val="24"/>
        </w:rPr>
      </w:pPr>
      <w:r>
        <w:rPr>
          <w:rFonts w:ascii="Times New Roman" w:hAnsi="Times New Roman"/>
          <w:szCs w:val="24"/>
        </w:rPr>
        <w:tab/>
      </w:r>
    </w:p>
    <w:p w:rsidR="00A308DB" w:rsidRPr="002568E6" w:rsidP="58CE7D09" w14:paraId="2A933DAC" w14:textId="77777777">
      <w:pPr>
        <w:pStyle w:val="Heading1"/>
      </w:pPr>
      <w:bookmarkStart w:id="3" w:name="_Toc401831358"/>
      <w:bookmarkStart w:id="4" w:name="_Toc133329827"/>
      <w:r>
        <w:t xml:space="preserve">A2. </w:t>
      </w:r>
      <w:r w:rsidR="00447C1E">
        <w:t>Purpose and Use of the Information.</w:t>
      </w:r>
      <w:bookmarkEnd w:id="3"/>
      <w:bookmarkEnd w:id="4"/>
    </w:p>
    <w:p w:rsidR="0062567E" w:rsidRPr="002568E6" w14:paraId="2A933DAD" w14:textId="77777777">
      <w:pPr>
        <w:tabs>
          <w:tab w:val="left" w:pos="-720"/>
        </w:tabs>
        <w:suppressAutoHyphens/>
        <w:rPr>
          <w:rFonts w:ascii="Times New Roman" w:hAnsi="Times New Roman"/>
          <w:b/>
          <w:szCs w:val="24"/>
        </w:rPr>
      </w:pPr>
    </w:p>
    <w:p w:rsidR="003333DF" w:rsidRPr="002568E6" w14:paraId="2A933DAE" w14:textId="53420E1B">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r w:rsidR="005E7AEF">
        <w:rPr>
          <w:rFonts w:ascii="Times New Roman" w:hAnsi="Times New Roman"/>
          <w:b/>
          <w:szCs w:val="24"/>
        </w:rPr>
        <w:t>.</w:t>
      </w:r>
    </w:p>
    <w:p w:rsidR="009F7E1A" w:rsidRPr="002568E6" w:rsidP="009F7E1A" w14:paraId="2A933DAF" w14:textId="77777777">
      <w:pPr>
        <w:tabs>
          <w:tab w:val="left" w:pos="-720"/>
        </w:tabs>
        <w:suppressAutoHyphens/>
        <w:rPr>
          <w:rFonts w:ascii="Times New Roman" w:hAnsi="Times New Roman"/>
          <w:szCs w:val="24"/>
        </w:rPr>
      </w:pPr>
    </w:p>
    <w:p w:rsidR="00865D5C" w:rsidP="006064A8" w14:paraId="2FCCB38A" w14:textId="4657DDA9">
      <w:pPr>
        <w:tabs>
          <w:tab w:val="left" w:pos="-720"/>
        </w:tabs>
        <w:suppressAutoHyphens/>
        <w:spacing w:line="480" w:lineRule="auto"/>
        <w:rPr>
          <w:rFonts w:ascii="Times New Roman" w:hAnsi="Times New Roman"/>
          <w:szCs w:val="24"/>
        </w:rPr>
      </w:pPr>
      <w:r>
        <w:rPr>
          <w:rFonts w:ascii="Times New Roman" w:hAnsi="Times New Roman"/>
          <w:szCs w:val="24"/>
        </w:rPr>
        <w:tab/>
      </w:r>
      <w:r w:rsidR="00A00A84">
        <w:rPr>
          <w:rFonts w:ascii="Times New Roman" w:hAnsi="Times New Roman"/>
          <w:szCs w:val="24"/>
        </w:rPr>
        <w:t>The SFSP is a Federal program, authorized under Section 13 of the Act, that provides reimbursements for nutritious meals and snacks to eligible children who are enrolled for care at participat</w:t>
      </w:r>
      <w:r w:rsidR="004E7819">
        <w:rPr>
          <w:rFonts w:ascii="Times New Roman" w:hAnsi="Times New Roman"/>
          <w:szCs w:val="24"/>
        </w:rPr>
        <w:t xml:space="preserve">ing </w:t>
      </w:r>
      <w:r w:rsidR="00A00A84">
        <w:rPr>
          <w:rFonts w:ascii="Times New Roman" w:hAnsi="Times New Roman"/>
          <w:szCs w:val="24"/>
        </w:rPr>
        <w:t>sites. FNS administers the SFSP at the national level. The Program is administered within most State</w:t>
      </w:r>
      <w:r w:rsidR="00F334F9">
        <w:rPr>
          <w:rFonts w:ascii="Times New Roman" w:hAnsi="Times New Roman"/>
          <w:szCs w:val="24"/>
        </w:rPr>
        <w:t>s</w:t>
      </w:r>
      <w:r w:rsidR="00A00A84">
        <w:rPr>
          <w:rFonts w:ascii="Times New Roman" w:hAnsi="Times New Roman"/>
          <w:szCs w:val="24"/>
        </w:rPr>
        <w:t xml:space="preserve"> by the State's educational agency or another agency designated by the State</w:t>
      </w:r>
      <w:r w:rsidR="003726C0">
        <w:rPr>
          <w:rFonts w:ascii="Times New Roman" w:hAnsi="Times New Roman"/>
          <w:szCs w:val="24"/>
        </w:rPr>
        <w:t>.</w:t>
      </w:r>
      <w:r w:rsidR="00722F55">
        <w:rPr>
          <w:rFonts w:ascii="Times New Roman" w:hAnsi="Times New Roman"/>
          <w:szCs w:val="24"/>
        </w:rPr>
        <w:t xml:space="preserve">  </w:t>
      </w:r>
      <w:r w:rsidR="00A00A84">
        <w:rPr>
          <w:rFonts w:ascii="Times New Roman" w:hAnsi="Times New Roman"/>
          <w:szCs w:val="24"/>
        </w:rPr>
        <w:t>The State agency must provide consultative, technical, and supervisory assistance to sponsors and sites to ensure effective Program operations, monitor progress toward achieving Program goals, and ensure compliance with all civil rights requirements</w:t>
      </w:r>
      <w:r w:rsidR="005F42C6">
        <w:rPr>
          <w:rFonts w:ascii="Times New Roman" w:hAnsi="Times New Roman"/>
          <w:szCs w:val="24"/>
        </w:rPr>
        <w:t>.</w:t>
      </w:r>
    </w:p>
    <w:p w:rsidR="00A00A84" w:rsidP="006064A8" w14:paraId="3B8FA09A" w14:textId="21798E6F">
      <w:pPr>
        <w:tabs>
          <w:tab w:val="left" w:pos="-720"/>
        </w:tabs>
        <w:suppressAutoHyphens/>
        <w:spacing w:line="480" w:lineRule="auto"/>
        <w:rPr>
          <w:rFonts w:ascii="Times New Roman" w:hAnsi="Times New Roman"/>
          <w:szCs w:val="24"/>
        </w:rPr>
      </w:pPr>
      <w:r>
        <w:rPr>
          <w:rFonts w:ascii="Times New Roman" w:hAnsi="Times New Roman"/>
          <w:szCs w:val="24"/>
        </w:rPr>
        <w:tab/>
        <w:t>In current regulation, the SFSP has provisions that cover corrective action, termination, and appeals made by sponsors. However, they do not include provisions that provide explicit authority to disqualify sponsors</w:t>
      </w:r>
      <w:r w:rsidR="00E84F9E">
        <w:rPr>
          <w:rFonts w:ascii="Times New Roman" w:hAnsi="Times New Roman"/>
          <w:szCs w:val="24"/>
        </w:rPr>
        <w:t xml:space="preserve"> and </w:t>
      </w:r>
      <w:r>
        <w:rPr>
          <w:rFonts w:ascii="Times New Roman" w:hAnsi="Times New Roman"/>
          <w:szCs w:val="24"/>
        </w:rPr>
        <w:t>responsible principals</w:t>
      </w:r>
      <w:r w:rsidR="00D82D2D">
        <w:rPr>
          <w:rFonts w:ascii="Times New Roman" w:hAnsi="Times New Roman"/>
          <w:szCs w:val="24"/>
        </w:rPr>
        <w:t xml:space="preserve"> </w:t>
      </w:r>
      <w:r w:rsidR="000D501C">
        <w:rPr>
          <w:rFonts w:ascii="Times New Roman" w:hAnsi="Times New Roman"/>
          <w:szCs w:val="24"/>
        </w:rPr>
        <w:t xml:space="preserve">or </w:t>
      </w:r>
      <w:r>
        <w:rPr>
          <w:rFonts w:ascii="Times New Roman" w:hAnsi="Times New Roman"/>
          <w:szCs w:val="24"/>
        </w:rPr>
        <w:t>individuals who are responsible for findings that seriously weaken program management and integrity</w:t>
      </w:r>
      <w:r w:rsidR="005F42C6">
        <w:rPr>
          <w:rFonts w:ascii="Times New Roman" w:hAnsi="Times New Roman"/>
          <w:szCs w:val="24"/>
        </w:rPr>
        <w:t>.</w:t>
      </w:r>
    </w:p>
    <w:p w:rsidR="006064A8" w:rsidRPr="006064A8" w:rsidP="006064A8" w14:paraId="417317DA" w14:textId="72FCE9E8">
      <w:pPr>
        <w:tabs>
          <w:tab w:val="left" w:pos="-720"/>
        </w:tabs>
        <w:suppressAutoHyphens/>
        <w:spacing w:line="480" w:lineRule="auto"/>
        <w:rPr>
          <w:rFonts w:ascii="Times New Roman" w:hAnsi="Times New Roman"/>
          <w:szCs w:val="24"/>
        </w:rPr>
      </w:pPr>
      <w:r>
        <w:rPr>
          <w:rFonts w:ascii="Times New Roman" w:hAnsi="Times New Roman"/>
          <w:szCs w:val="24"/>
        </w:rPr>
        <w:tab/>
      </w:r>
      <w:r w:rsidR="001F0F8D">
        <w:rPr>
          <w:spacing w:val="-3"/>
        </w:rPr>
        <w:tab/>
      </w:r>
      <w:r w:rsidRPr="001A22E1" w:rsidR="001F0F8D">
        <w:rPr>
          <w:rFonts w:ascii="Times New Roman" w:hAnsi="Times New Roman"/>
          <w:spacing w:val="-3"/>
          <w:szCs w:val="24"/>
        </w:rPr>
        <w:t xml:space="preserve">This collection is a revision to OMB Control Number 0584-0280, </w:t>
      </w:r>
      <w:r w:rsidRPr="001A22E1" w:rsidR="001F0F8D">
        <w:rPr>
          <w:rFonts w:ascii="Times New Roman" w:hAnsi="Times New Roman"/>
          <w:i/>
          <w:iCs/>
          <w:spacing w:val="-3"/>
          <w:szCs w:val="24"/>
        </w:rPr>
        <w:t>7 CFR Part 225</w:t>
      </w:r>
      <w:r w:rsidRPr="001A22E1" w:rsidR="001F0F8D">
        <w:rPr>
          <w:rFonts w:ascii="Times New Roman" w:hAnsi="Times New Roman"/>
          <w:spacing w:val="-3"/>
          <w:szCs w:val="24"/>
        </w:rPr>
        <w:t xml:space="preserve"> </w:t>
      </w:r>
      <w:r w:rsidRPr="001A22E1" w:rsidR="001F0F8D">
        <w:rPr>
          <w:rFonts w:ascii="Times New Roman" w:hAnsi="Times New Roman"/>
          <w:i/>
          <w:iCs/>
          <w:spacing w:val="-3"/>
          <w:szCs w:val="24"/>
        </w:rPr>
        <w:t>Summer Food Service Program (expiration date 9/30/2025),</w:t>
      </w:r>
      <w:r w:rsidRPr="001A22E1" w:rsidR="001F0F8D">
        <w:rPr>
          <w:rFonts w:ascii="Times New Roman" w:hAnsi="Times New Roman"/>
          <w:spacing w:val="-3"/>
          <w:szCs w:val="24"/>
        </w:rPr>
        <w:t xml:space="preserve"> to extend the serious deficiency process, to the SFSP</w:t>
      </w:r>
      <w:r w:rsidRPr="001A22E1" w:rsidR="001F0F8D">
        <w:rPr>
          <w:rFonts w:ascii="Times New Roman" w:hAnsi="Times New Roman"/>
          <w:i/>
          <w:iCs/>
          <w:spacing w:val="-3"/>
          <w:szCs w:val="24"/>
        </w:rPr>
        <w:t>.</w:t>
      </w:r>
      <w:r w:rsidRPr="001A22E1" w:rsidR="001F0F8D">
        <w:rPr>
          <w:rFonts w:ascii="Times New Roman" w:hAnsi="Times New Roman"/>
          <w:spacing w:val="-3"/>
          <w:szCs w:val="24"/>
        </w:rPr>
        <w:t xml:space="preserve"> The proposed rule adds new requirements under a new subchapter for consistency and efficiency</w:t>
      </w:r>
      <w:r w:rsidR="00416E37">
        <w:rPr>
          <w:rFonts w:ascii="Times New Roman" w:hAnsi="Times New Roman"/>
          <w:spacing w:val="-3"/>
          <w:szCs w:val="24"/>
        </w:rPr>
        <w:t>.</w:t>
      </w:r>
      <w:r w:rsidR="001F0F8D">
        <w:rPr>
          <w:spacing w:val="-3"/>
        </w:rPr>
        <w:t xml:space="preserve"> </w:t>
      </w:r>
      <w:r w:rsidRPr="00A00A84">
        <w:rPr>
          <w:rFonts w:ascii="Times New Roman" w:hAnsi="Times New Roman"/>
          <w:szCs w:val="24"/>
        </w:rPr>
        <w:t xml:space="preserve">State agencies would be required to implement a serious deficiency process; provide appeal procedures to sponsors, annually and upon request; specify the types of adverse actions that cannot be appealed in SFSP; establish a list of sponsors, responsible principals, and responsible individuals declared seriously deficient; terminate agreements </w:t>
      </w:r>
      <w:r w:rsidRPr="00A00A84">
        <w:rPr>
          <w:rFonts w:ascii="Times New Roman" w:hAnsi="Times New Roman"/>
          <w:szCs w:val="24"/>
        </w:rPr>
        <w:t>whenever a program operator's participation ends; and take action to terminate an agreement for cause, through the serious deficiency or placement on the National Disqualified List</w:t>
      </w:r>
      <w:r w:rsidR="00AF27CC">
        <w:rPr>
          <w:rFonts w:ascii="Times New Roman" w:hAnsi="Times New Roman"/>
          <w:szCs w:val="24"/>
        </w:rPr>
        <w:t>.</w:t>
      </w:r>
    </w:p>
    <w:p w:rsidR="00E55E04" w:rsidRPr="00906220" w:rsidP="00E55E04" w14:paraId="1D3D0697" w14:textId="77777777">
      <w:pPr>
        <w:pStyle w:val="p6"/>
        <w:tabs>
          <w:tab w:val="left" w:pos="720"/>
        </w:tabs>
        <w:spacing w:line="480" w:lineRule="auto"/>
        <w:ind w:left="0"/>
        <w:rPr>
          <w:b/>
          <w:bCs/>
          <w:spacing w:val="-3"/>
        </w:rPr>
      </w:pPr>
      <w:r>
        <w:rPr>
          <w:b/>
          <w:bCs/>
          <w:spacing w:val="-3"/>
        </w:rPr>
        <w:t>If this is an ongoing collection, how have the collection requirements changed over time?</w:t>
      </w:r>
    </w:p>
    <w:p w:rsidR="0008081D" w:rsidRPr="0008081D" w:rsidP="0008081D" w14:paraId="7BF01BD2" w14:textId="69B690F7">
      <w:pPr>
        <w:suppressAutoHyphens/>
        <w:spacing w:line="480" w:lineRule="auto"/>
        <w:rPr>
          <w:rFonts w:ascii="Times New Roman" w:hAnsi="Times New Roman"/>
        </w:rPr>
      </w:pPr>
      <w:r>
        <w:rPr>
          <w:rFonts w:ascii="Times New Roman" w:hAnsi="Times New Roman"/>
        </w:rPr>
        <w:tab/>
      </w:r>
      <w:r w:rsidR="00490416">
        <w:rPr>
          <w:rFonts w:ascii="Times New Roman" w:hAnsi="Times New Roman"/>
        </w:rPr>
        <w:t xml:space="preserve">The proposed rule is adding new reporting, recordkeeping, </w:t>
      </w:r>
      <w:r w:rsidR="00472B37">
        <w:rPr>
          <w:rFonts w:ascii="Times New Roman" w:hAnsi="Times New Roman"/>
        </w:rPr>
        <w:t xml:space="preserve">and public disclosure requirements for the serious deficiency process into the SFSP </w:t>
      </w:r>
      <w:r w:rsidR="00C403B9">
        <w:rPr>
          <w:rFonts w:ascii="Times New Roman" w:hAnsi="Times New Roman"/>
        </w:rPr>
        <w:t>collection</w:t>
      </w:r>
      <w:r w:rsidR="00941AFA">
        <w:rPr>
          <w:rFonts w:ascii="Times New Roman" w:hAnsi="Times New Roman"/>
        </w:rPr>
        <w:t xml:space="preserve">.  </w:t>
      </w:r>
      <w:r w:rsidR="00666462">
        <w:rPr>
          <w:rFonts w:ascii="Times New Roman" w:hAnsi="Times New Roman"/>
        </w:rPr>
        <w:t>FNS estimates that the addition of these new requirement</w:t>
      </w:r>
      <w:r w:rsidR="00E8616A">
        <w:rPr>
          <w:rFonts w:ascii="Times New Roman" w:hAnsi="Times New Roman"/>
        </w:rPr>
        <w:t>s</w:t>
      </w:r>
      <w:r w:rsidR="00666462">
        <w:rPr>
          <w:rFonts w:ascii="Times New Roman" w:hAnsi="Times New Roman"/>
        </w:rPr>
        <w:t xml:space="preserve"> </w:t>
      </w:r>
      <w:r w:rsidR="00A7615D">
        <w:rPr>
          <w:rFonts w:ascii="Times New Roman" w:hAnsi="Times New Roman"/>
        </w:rPr>
        <w:t>will increase the response and burden hour estimates for the collection</w:t>
      </w:r>
      <w:r w:rsidR="00AF27CC">
        <w:rPr>
          <w:rFonts w:ascii="Times New Roman" w:hAnsi="Times New Roman"/>
        </w:rPr>
        <w:t>.</w:t>
      </w:r>
    </w:p>
    <w:p w:rsidR="00BB5AA1" w:rsidP="0008081D" w14:paraId="37093676" w14:textId="1E66ECAD">
      <w:pPr>
        <w:suppressAutoHyphens/>
        <w:spacing w:line="480" w:lineRule="auto"/>
        <w:rPr>
          <w:rFonts w:ascii="Times New Roman" w:hAnsi="Times New Roman"/>
        </w:rPr>
      </w:pPr>
      <w:r w:rsidRPr="0008081D">
        <w:rPr>
          <w:rFonts w:ascii="Times New Roman" w:hAnsi="Times New Roman"/>
        </w:rPr>
        <w:tab/>
      </w:r>
      <w:r>
        <w:rPr>
          <w:rFonts w:ascii="Times New Roman" w:hAnsi="Times New Roman"/>
        </w:rPr>
        <w:t>The proposed</w:t>
      </w:r>
      <w:r w:rsidRPr="0008081D">
        <w:rPr>
          <w:rFonts w:ascii="Times New Roman" w:hAnsi="Times New Roman"/>
        </w:rPr>
        <w:t xml:space="preserve"> citations </w:t>
      </w:r>
      <w:r>
        <w:rPr>
          <w:rFonts w:ascii="Times New Roman" w:hAnsi="Times New Roman"/>
        </w:rPr>
        <w:t>are introduced in</w:t>
      </w:r>
      <w:r w:rsidRPr="0008081D">
        <w:rPr>
          <w:rFonts w:ascii="Times New Roman" w:hAnsi="Times New Roman"/>
        </w:rPr>
        <w:t xml:space="preserve"> a new subchapter, at 7 CFR 22</w:t>
      </w:r>
      <w:r>
        <w:rPr>
          <w:rFonts w:ascii="Times New Roman" w:hAnsi="Times New Roman"/>
        </w:rPr>
        <w:t>5</w:t>
      </w:r>
      <w:r w:rsidRPr="0008081D">
        <w:rPr>
          <w:rFonts w:ascii="Times New Roman" w:hAnsi="Times New Roman"/>
        </w:rPr>
        <w:t>.</w:t>
      </w:r>
      <w:r>
        <w:rPr>
          <w:rFonts w:ascii="Times New Roman" w:hAnsi="Times New Roman"/>
        </w:rPr>
        <w:t>18</w:t>
      </w:r>
      <w:r w:rsidRPr="0008081D">
        <w:rPr>
          <w:rFonts w:ascii="Times New Roman" w:hAnsi="Times New Roman"/>
        </w:rPr>
        <w:t xml:space="preserve">, to </w:t>
      </w:r>
      <w:r>
        <w:rPr>
          <w:rFonts w:ascii="Times New Roman" w:hAnsi="Times New Roman"/>
        </w:rPr>
        <w:t>present the new</w:t>
      </w:r>
      <w:r w:rsidRPr="0008081D">
        <w:rPr>
          <w:rFonts w:ascii="Times New Roman" w:hAnsi="Times New Roman"/>
        </w:rPr>
        <w:t xml:space="preserve"> provisions in a clear and concise manner.</w:t>
      </w:r>
      <w:r>
        <w:rPr>
          <w:rFonts w:ascii="Times New Roman" w:hAnsi="Times New Roman"/>
        </w:rPr>
        <w:t xml:space="preserve"> New proposed changes regarding MSSOs have been introduced in the proposed subchapter, 225.6</w:t>
      </w:r>
      <w:r w:rsidRPr="0008081D">
        <w:rPr>
          <w:rFonts w:ascii="Times New Roman" w:hAnsi="Times New Roman"/>
        </w:rPr>
        <w:t>. Details of these changes and the revised burden estimates are included in sections A.12 and A.15 of this supporting statement, as well as the Burden Estimate</w:t>
      </w:r>
      <w:r>
        <w:rPr>
          <w:rFonts w:ascii="Times New Roman" w:hAnsi="Times New Roman"/>
        </w:rPr>
        <w:t xml:space="preserve"> (Attachment </w:t>
      </w:r>
      <w:r w:rsidR="0018464C">
        <w:rPr>
          <w:rFonts w:ascii="Times New Roman" w:hAnsi="Times New Roman"/>
        </w:rPr>
        <w:t>F</w:t>
      </w:r>
      <w:r>
        <w:rPr>
          <w:rFonts w:ascii="Times New Roman" w:hAnsi="Times New Roman"/>
        </w:rPr>
        <w:t>)</w:t>
      </w:r>
      <w:r w:rsidR="00375A16">
        <w:rPr>
          <w:rFonts w:ascii="Times New Roman" w:hAnsi="Times New Roman"/>
        </w:rPr>
        <w:t xml:space="preserve">.  </w:t>
      </w:r>
      <w:r>
        <w:rPr>
          <w:rFonts w:ascii="Times New Roman" w:hAnsi="Times New Roman"/>
          <w:szCs w:val="24"/>
        </w:rPr>
        <w:t>For further information, see Supporting Statement A – Appendix (Attachment I).  This contains further information on A2</w:t>
      </w:r>
      <w:r w:rsidR="00AF27CC">
        <w:rPr>
          <w:rFonts w:ascii="Times New Roman" w:hAnsi="Times New Roman"/>
          <w:szCs w:val="24"/>
        </w:rPr>
        <w:t>.</w:t>
      </w:r>
    </w:p>
    <w:p w:rsidR="00341DEE" w:rsidRPr="002568E6" w:rsidP="00E11A38" w14:paraId="2A933DB1" w14:textId="77777777">
      <w:pPr>
        <w:pStyle w:val="Heading2"/>
        <w:jc w:val="left"/>
        <w:rPr>
          <w:szCs w:val="24"/>
        </w:rPr>
      </w:pPr>
    </w:p>
    <w:p w:rsidR="00A308DB" w:rsidRPr="002568E6" w:rsidP="0062567E" w14:paraId="2A933DB2" w14:textId="77777777">
      <w:pPr>
        <w:pStyle w:val="Heading1"/>
      </w:pPr>
      <w:bookmarkStart w:id="5" w:name="_Toc401831359"/>
      <w:bookmarkStart w:id="6" w:name="_Toc133329828"/>
      <w:r>
        <w:t xml:space="preserve">A3.  </w:t>
      </w:r>
      <w:r w:rsidR="00831EA7">
        <w:t xml:space="preserve">Use of </w:t>
      </w:r>
      <w:r w:rsidR="00826253">
        <w:t>i</w:t>
      </w:r>
      <w:r w:rsidR="00831EA7">
        <w:t xml:space="preserve">nformation </w:t>
      </w:r>
      <w:r w:rsidR="00826253">
        <w:t>t</w:t>
      </w:r>
      <w:r w:rsidR="00831EA7">
        <w:t xml:space="preserve">echnology and </w:t>
      </w:r>
      <w:r w:rsidR="00826253">
        <w:t>b</w:t>
      </w:r>
      <w:r w:rsidR="00831EA7">
        <w:t xml:space="preserve">urden </w:t>
      </w:r>
      <w:r w:rsidR="00826253">
        <w:t>r</w:t>
      </w:r>
      <w:r w:rsidR="00831EA7">
        <w:t>eduction</w:t>
      </w:r>
      <w:r>
        <w:t>.</w:t>
      </w:r>
      <w:bookmarkEnd w:id="5"/>
      <w:bookmarkEnd w:id="6"/>
      <w:r>
        <w:t xml:space="preserve">  </w:t>
      </w:r>
    </w:p>
    <w:p w:rsidR="003333DF" w:rsidRPr="002568E6" w14:paraId="2A933DB3" w14:textId="77777777">
      <w:pPr>
        <w:tabs>
          <w:tab w:val="left" w:pos="0"/>
        </w:tabs>
        <w:suppressAutoHyphens/>
        <w:rPr>
          <w:rFonts w:ascii="Times New Roman" w:hAnsi="Times New Roman"/>
          <w:szCs w:val="24"/>
        </w:rPr>
      </w:pPr>
    </w:p>
    <w:p w:rsidR="003333DF" w:rsidRPr="002568E6" w:rsidP="0062567E" w14:paraId="2A933DB4" w14:textId="651AA503">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r w:rsidR="009A07D2">
        <w:rPr>
          <w:rFonts w:ascii="Times New Roman" w:hAnsi="Times New Roman"/>
          <w:b/>
          <w:szCs w:val="24"/>
        </w:rPr>
        <w:t>.</w:t>
      </w:r>
    </w:p>
    <w:p w:rsidR="00A308DB" w:rsidRPr="002568E6" w14:paraId="2A933DB5" w14:textId="77777777">
      <w:pPr>
        <w:tabs>
          <w:tab w:val="left" w:pos="0"/>
        </w:tabs>
        <w:suppressAutoHyphens/>
        <w:rPr>
          <w:rFonts w:ascii="Times New Roman" w:hAnsi="Times New Roman"/>
          <w:szCs w:val="24"/>
        </w:rPr>
      </w:pPr>
    </w:p>
    <w:p w:rsidR="00073973" w:rsidP="00073973" w14:paraId="292DBA61" w14:textId="241D6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Cs w:val="24"/>
        </w:rPr>
      </w:pPr>
      <w:r>
        <w:rPr>
          <w:rFonts w:ascii="Times New Roman" w:hAnsi="Times New Roman"/>
          <w:color w:val="000000"/>
          <w:szCs w:val="24"/>
        </w:rPr>
        <w:tab/>
        <w:t>FNS is committed to complying with the E-Government Act of 2002 to promote the use of the Internet and other information technologies, which provide increased opportunities for citizen access to Government information and services</w:t>
      </w:r>
      <w:r>
        <w:rPr>
          <w:sz w:val="20"/>
        </w:rPr>
        <w:t>.</w:t>
      </w:r>
      <w:r>
        <w:rPr>
          <w:rFonts w:ascii="Times New Roman" w:hAnsi="Times New Roman"/>
          <w:szCs w:val="24"/>
        </w:rPr>
        <w:t xml:space="preserve"> All 53 SFSP State agencies submit required information electronically to FNS</w:t>
      </w:r>
      <w:r w:rsidR="00AF27CC">
        <w:rPr>
          <w:rFonts w:ascii="Times New Roman" w:hAnsi="Times New Roman"/>
          <w:szCs w:val="24"/>
        </w:rPr>
        <w:t>.</w:t>
      </w:r>
    </w:p>
    <w:p w:rsidR="00037366" w:rsidP="005B126A" w14:paraId="2F5F99A9" w14:textId="5BD80C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pacing w:val="-3"/>
          <w:szCs w:val="24"/>
        </w:rPr>
      </w:pPr>
      <w:r>
        <w:rPr>
          <w:szCs w:val="24"/>
        </w:rPr>
        <w:tab/>
      </w:r>
      <w:r w:rsidRPr="00073973">
        <w:rPr>
          <w:rFonts w:ascii="Times New Roman" w:hAnsi="Times New Roman"/>
          <w:szCs w:val="24"/>
        </w:rPr>
        <w:t xml:space="preserve">All program operation information and materials are available for download from the FNS website. FNS estimates that approximately 100 percent of the State agencies will submit </w:t>
      </w:r>
      <w:r w:rsidRPr="00073973">
        <w:rPr>
          <w:rFonts w:ascii="Times New Roman" w:hAnsi="Times New Roman"/>
          <w:szCs w:val="24"/>
        </w:rPr>
        <w:t xml:space="preserve">reporting data electronically. </w:t>
      </w:r>
      <w:r w:rsidRPr="00073973">
        <w:rPr>
          <w:rFonts w:ascii="Times New Roman" w:hAnsi="Times New Roman"/>
          <w:spacing w:val="-3"/>
          <w:szCs w:val="24"/>
        </w:rPr>
        <w:t>In addition, each State agency maintains its own website to communicate electronically with sponsors and households in their state. FNS estimates that all of the information collection requirements associated with this change will be collected electronically through these State agency systems</w:t>
      </w:r>
      <w:r w:rsidR="00F240C5">
        <w:rPr>
          <w:rFonts w:ascii="Times New Roman" w:hAnsi="Times New Roman"/>
          <w:spacing w:val="-3"/>
          <w:szCs w:val="24"/>
        </w:rPr>
        <w:t xml:space="preserve">.  </w:t>
      </w:r>
      <w:r w:rsidRPr="00073973">
        <w:rPr>
          <w:rFonts w:ascii="Times New Roman" w:hAnsi="Times New Roman"/>
          <w:spacing w:val="-3"/>
          <w:szCs w:val="24"/>
        </w:rPr>
        <w:t xml:space="preserve">Therefore, </w:t>
      </w:r>
      <w:r w:rsidR="006C2D07">
        <w:rPr>
          <w:rFonts w:ascii="Times New Roman" w:hAnsi="Times New Roman"/>
          <w:spacing w:val="-3"/>
          <w:szCs w:val="24"/>
        </w:rPr>
        <w:t>out of the 13,097 responses introduced by the proposed rule, FNS estimates that 100 percent of the responses will be collected electronically.</w:t>
      </w:r>
      <w:r w:rsidR="008C4036">
        <w:rPr>
          <w:rFonts w:ascii="Times New Roman" w:hAnsi="Times New Roman"/>
          <w:spacing w:val="-3"/>
          <w:szCs w:val="24"/>
        </w:rPr>
        <w:t xml:space="preserve">  </w:t>
      </w:r>
      <w:r w:rsidR="001F716D">
        <w:rPr>
          <w:rFonts w:ascii="Times New Roman" w:hAnsi="Times New Roman"/>
          <w:spacing w:val="-3"/>
          <w:szCs w:val="24"/>
        </w:rPr>
        <w:t xml:space="preserve">FNS expects </w:t>
      </w:r>
      <w:r w:rsidR="00BF7F3D">
        <w:rPr>
          <w:rFonts w:ascii="Times New Roman" w:hAnsi="Times New Roman"/>
          <w:spacing w:val="-3"/>
          <w:szCs w:val="24"/>
        </w:rPr>
        <w:t>that once the final rule provisions are incorporated into this collection</w:t>
      </w:r>
      <w:r w:rsidR="0039574F">
        <w:rPr>
          <w:rFonts w:ascii="Times New Roman" w:hAnsi="Times New Roman"/>
          <w:spacing w:val="-3"/>
          <w:szCs w:val="24"/>
        </w:rPr>
        <w:t xml:space="preserve"> that all of the estimated 404,</w:t>
      </w:r>
      <w:r w:rsidR="000D109C">
        <w:rPr>
          <w:rFonts w:ascii="Times New Roman" w:hAnsi="Times New Roman"/>
          <w:spacing w:val="-3"/>
          <w:szCs w:val="24"/>
        </w:rPr>
        <w:t>648</w:t>
      </w:r>
      <w:r w:rsidR="0039574F">
        <w:rPr>
          <w:rFonts w:ascii="Times New Roman" w:hAnsi="Times New Roman"/>
          <w:spacing w:val="-3"/>
          <w:szCs w:val="24"/>
        </w:rPr>
        <w:t xml:space="preserve"> total responses for this collection will be collected electronically</w:t>
      </w:r>
      <w:r w:rsidR="00AF27CC">
        <w:rPr>
          <w:rFonts w:ascii="Times New Roman" w:hAnsi="Times New Roman"/>
          <w:spacing w:val="-3"/>
          <w:szCs w:val="24"/>
        </w:rPr>
        <w:t>.</w:t>
      </w:r>
    </w:p>
    <w:p w:rsidR="009F3F2B" w:rsidP="005B126A" w14:paraId="557F2B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pacing w:val="-3"/>
          <w:szCs w:val="24"/>
        </w:rPr>
      </w:pPr>
    </w:p>
    <w:p w:rsidR="007D5172" w:rsidRPr="00EC5AC9" w:rsidP="007D5172" w14:paraId="6DA769CF" w14:textId="77777777">
      <w:pPr>
        <w:suppressAutoHyphens/>
        <w:spacing w:line="480" w:lineRule="auto"/>
        <w:rPr>
          <w:rFonts w:ascii="Times New Roman" w:hAnsi="Times New Roman"/>
          <w:spacing w:val="-3"/>
          <w:szCs w:val="24"/>
          <w:u w:val="single"/>
        </w:rPr>
      </w:pPr>
      <w:r w:rsidRPr="00EC5AC9">
        <w:rPr>
          <w:rFonts w:ascii="Times New Roman" w:hAnsi="Times New Roman"/>
          <w:spacing w:val="-3"/>
          <w:szCs w:val="24"/>
          <w:u w:val="single"/>
        </w:rPr>
        <w:t>Burden Reduction Efforts</w:t>
      </w:r>
    </w:p>
    <w:p w:rsidR="007D5172" w:rsidRPr="005B126A" w:rsidP="00283803" w14:paraId="3D151A86" w14:textId="48E89B70">
      <w:pPr>
        <w:suppressAutoHyphens/>
        <w:spacing w:line="480" w:lineRule="auto"/>
        <w:rPr>
          <w:rFonts w:ascii="Times New Roman" w:hAnsi="Times New Roman"/>
          <w:spacing w:val="-3"/>
          <w:szCs w:val="24"/>
        </w:rPr>
      </w:pPr>
      <w:r>
        <w:rPr>
          <w:rFonts w:ascii="Times New Roman" w:hAnsi="Times New Roman"/>
          <w:spacing w:val="-3"/>
          <w:szCs w:val="24"/>
        </w:rPr>
        <w:t>FNS does not expect that this proposed rule will reduce the burden for this collection</w:t>
      </w:r>
      <w:r w:rsidR="001B42B9">
        <w:rPr>
          <w:rFonts w:ascii="Times New Roman" w:hAnsi="Times New Roman"/>
          <w:spacing w:val="-3"/>
          <w:szCs w:val="24"/>
        </w:rPr>
        <w:t>.</w:t>
      </w:r>
      <w:r>
        <w:rPr>
          <w:rFonts w:ascii="Times New Roman" w:hAnsi="Times New Roman"/>
          <w:spacing w:val="-3"/>
          <w:szCs w:val="24"/>
        </w:rPr>
        <w:t xml:space="preserve">  </w:t>
      </w:r>
      <w:r w:rsidR="009E4B44">
        <w:rPr>
          <w:rFonts w:ascii="Times New Roman" w:hAnsi="Times New Roman"/>
          <w:spacing w:val="-3"/>
          <w:szCs w:val="24"/>
        </w:rPr>
        <w:t>The proposed rule is extending the serious deficiency process to the SFS</w:t>
      </w:r>
      <w:r w:rsidR="00153DCF">
        <w:rPr>
          <w:rFonts w:ascii="Times New Roman" w:hAnsi="Times New Roman"/>
          <w:spacing w:val="-3"/>
          <w:szCs w:val="24"/>
        </w:rPr>
        <w:t>P, which adds new requirements and burden to this collection</w:t>
      </w:r>
      <w:r w:rsidR="001B42B9">
        <w:rPr>
          <w:rFonts w:ascii="Times New Roman" w:hAnsi="Times New Roman"/>
          <w:spacing w:val="-3"/>
          <w:szCs w:val="24"/>
        </w:rPr>
        <w:t xml:space="preserve">.  </w:t>
      </w:r>
      <w:r w:rsidR="005121D4">
        <w:rPr>
          <w:rFonts w:ascii="Times New Roman" w:hAnsi="Times New Roman"/>
          <w:spacing w:val="-3"/>
          <w:szCs w:val="24"/>
        </w:rPr>
        <w:t>For some existing requirements for this collection, the proposed rule is changing the regulatory citations</w:t>
      </w:r>
      <w:r w:rsidR="000F4DAC">
        <w:rPr>
          <w:rFonts w:ascii="Times New Roman" w:hAnsi="Times New Roman"/>
          <w:spacing w:val="-3"/>
          <w:szCs w:val="24"/>
        </w:rPr>
        <w:t xml:space="preserve"> but does not </w:t>
      </w:r>
      <w:r w:rsidR="00242822">
        <w:rPr>
          <w:rFonts w:ascii="Times New Roman" w:hAnsi="Times New Roman"/>
          <w:spacing w:val="-3"/>
          <w:szCs w:val="24"/>
        </w:rPr>
        <w:t xml:space="preserve">otherwise </w:t>
      </w:r>
      <w:r w:rsidR="000F4DAC">
        <w:rPr>
          <w:rFonts w:ascii="Times New Roman" w:hAnsi="Times New Roman"/>
          <w:spacing w:val="-3"/>
          <w:szCs w:val="24"/>
        </w:rPr>
        <w:t>change the requirement or impact the burden</w:t>
      </w:r>
      <w:r w:rsidR="005F42C6">
        <w:rPr>
          <w:rFonts w:ascii="Times New Roman" w:hAnsi="Times New Roman"/>
          <w:spacing w:val="-3"/>
          <w:szCs w:val="24"/>
        </w:rPr>
        <w:t>.</w:t>
      </w:r>
      <w:r w:rsidR="00242822">
        <w:rPr>
          <w:rFonts w:ascii="Times New Roman" w:hAnsi="Times New Roman"/>
          <w:spacing w:val="-3"/>
          <w:szCs w:val="24"/>
        </w:rPr>
        <w:t xml:space="preserve"> </w:t>
      </w:r>
    </w:p>
    <w:p w:rsidR="005A3F80" w:rsidRPr="002568E6" w14:paraId="2A933DB7" w14:textId="77777777">
      <w:pPr>
        <w:tabs>
          <w:tab w:val="left" w:pos="0"/>
        </w:tabs>
        <w:suppressAutoHyphens/>
        <w:rPr>
          <w:rFonts w:ascii="Times New Roman" w:hAnsi="Times New Roman"/>
          <w:szCs w:val="24"/>
        </w:rPr>
      </w:pPr>
    </w:p>
    <w:p w:rsidR="00A308DB" w:rsidRPr="002568E6" w:rsidP="0062567E" w14:paraId="2A933DB8" w14:textId="77777777">
      <w:pPr>
        <w:pStyle w:val="Heading1"/>
      </w:pPr>
      <w:bookmarkStart w:id="7" w:name="_Toc401831360"/>
      <w:bookmarkStart w:id="8" w:name="_Toc133329829"/>
      <w:r>
        <w:t xml:space="preserve">A4.  </w:t>
      </w:r>
      <w:r w:rsidR="002568E6">
        <w:t>E</w:t>
      </w:r>
      <w:r>
        <w:t>fforts to identify duplication.</w:t>
      </w:r>
      <w:bookmarkEnd w:id="7"/>
      <w:bookmarkEnd w:id="8"/>
      <w:r>
        <w:t xml:space="preserve"> </w:t>
      </w:r>
    </w:p>
    <w:p w:rsidR="003333DF" w:rsidRPr="002568E6" w14:paraId="2A933DB9" w14:textId="77777777">
      <w:pPr>
        <w:tabs>
          <w:tab w:val="left" w:pos="0"/>
        </w:tabs>
        <w:suppressAutoHyphens/>
        <w:rPr>
          <w:rFonts w:ascii="Times New Roman" w:hAnsi="Times New Roman"/>
          <w:szCs w:val="24"/>
        </w:rPr>
      </w:pPr>
    </w:p>
    <w:p w:rsidR="003333DF" w:rsidRPr="002568E6" w14:paraId="2A933DBA"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2A933DBB" w14:textId="77777777">
      <w:pPr>
        <w:tabs>
          <w:tab w:val="left" w:pos="-720"/>
        </w:tabs>
        <w:suppressAutoHyphens/>
        <w:rPr>
          <w:rFonts w:ascii="Times New Roman" w:hAnsi="Times New Roman"/>
          <w:szCs w:val="24"/>
        </w:rPr>
      </w:pPr>
    </w:p>
    <w:p w:rsidR="009F7E1A" w:rsidRPr="004373E3" w:rsidP="004373E3" w14:paraId="2A933DBC" w14:textId="0799B706">
      <w:pPr>
        <w:pStyle w:val="BodyTextIndent"/>
        <w:spacing w:line="480" w:lineRule="auto"/>
        <w:ind w:left="0"/>
        <w:rPr>
          <w:spacing w:val="-3"/>
        </w:rPr>
      </w:pPr>
      <w:bookmarkStart w:id="9" w:name="_Toc445878836"/>
      <w:r>
        <w:rPr>
          <w:spacing w:val="-3"/>
        </w:rPr>
        <w:tab/>
        <w:t>The SFSP is administered at the Federal level solely by FNS, and there is no similar information collection available</w:t>
      </w:r>
      <w:r w:rsidR="003C69C0">
        <w:rPr>
          <w:spacing w:val="-3"/>
        </w:rPr>
        <w:t xml:space="preserve">.  </w:t>
      </w:r>
      <w:r>
        <w:rPr>
          <w:spacing w:val="-3"/>
        </w:rPr>
        <w:t>FNS has reviewed USDA reporting requirements and State administrative agency requirements</w:t>
      </w:r>
      <w:bookmarkEnd w:id="9"/>
      <w:r>
        <w:rPr>
          <w:spacing w:val="-3"/>
        </w:rPr>
        <w:t xml:space="preserve"> to ensure that every effort has been made to avoid duplication</w:t>
      </w:r>
      <w:r w:rsidR="00C74221">
        <w:rPr>
          <w:spacing w:val="-3"/>
        </w:rPr>
        <w:t>.</w:t>
      </w:r>
    </w:p>
    <w:p w:rsidR="00E11A38" w:rsidRPr="002568E6" w:rsidP="009F7E1A" w14:paraId="2A933DBD" w14:textId="77777777">
      <w:pPr>
        <w:tabs>
          <w:tab w:val="left" w:pos="-720"/>
        </w:tabs>
        <w:suppressAutoHyphens/>
        <w:spacing w:line="480" w:lineRule="auto"/>
        <w:rPr>
          <w:rFonts w:ascii="Times New Roman" w:hAnsi="Times New Roman"/>
          <w:szCs w:val="24"/>
        </w:rPr>
      </w:pPr>
    </w:p>
    <w:p w:rsidR="00A308DB" w:rsidRPr="002568E6" w:rsidP="0062567E" w14:paraId="2A933DBE" w14:textId="77777777">
      <w:pPr>
        <w:pStyle w:val="Heading1"/>
      </w:pPr>
      <w:bookmarkStart w:id="10" w:name="_Toc401831361"/>
      <w:bookmarkStart w:id="11" w:name="_Toc133329830"/>
      <w:r>
        <w:t>A5.  Impacts on small businesses or other small entities.</w:t>
      </w:r>
      <w:bookmarkEnd w:id="10"/>
      <w:bookmarkEnd w:id="11"/>
      <w:r>
        <w:t xml:space="preserve">  </w:t>
      </w:r>
    </w:p>
    <w:p w:rsidR="003333DF" w:rsidRPr="002568E6" w14:paraId="2A933DBF" w14:textId="77777777">
      <w:pPr>
        <w:tabs>
          <w:tab w:val="left" w:pos="0"/>
        </w:tabs>
        <w:suppressAutoHyphens/>
        <w:rPr>
          <w:rFonts w:ascii="Times New Roman" w:hAnsi="Times New Roman"/>
          <w:szCs w:val="24"/>
        </w:rPr>
      </w:pPr>
    </w:p>
    <w:p w:rsidR="003333DF" w:rsidRPr="002568E6" w14:paraId="2A933DC0"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 xml:space="preserve">pacts small businesses or other small entities (Item 5 of </w:t>
      </w:r>
      <w:r w:rsidRPr="002568E6">
        <w:rPr>
          <w:rFonts w:ascii="Times New Roman" w:hAnsi="Times New Roman"/>
          <w:b/>
          <w:szCs w:val="24"/>
        </w:rPr>
        <w:t>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2A933DC1" w14:textId="77777777">
      <w:pPr>
        <w:tabs>
          <w:tab w:val="left" w:pos="0"/>
        </w:tabs>
        <w:suppressAutoHyphens/>
        <w:rPr>
          <w:rFonts w:ascii="Times New Roman" w:hAnsi="Times New Roman"/>
          <w:szCs w:val="24"/>
        </w:rPr>
      </w:pPr>
    </w:p>
    <w:p w:rsidR="00F178A6" w:rsidRPr="002568E6" w:rsidP="009F7E1A" w14:paraId="2A933DC2" w14:textId="6FBAECA9">
      <w:pPr>
        <w:tabs>
          <w:tab w:val="left" w:pos="-720"/>
        </w:tabs>
        <w:suppressAutoHyphens/>
        <w:spacing w:line="480" w:lineRule="auto"/>
        <w:rPr>
          <w:rFonts w:ascii="Times New Roman" w:hAnsi="Times New Roman"/>
          <w:szCs w:val="24"/>
        </w:rPr>
      </w:pPr>
      <w:r>
        <w:rPr>
          <w:rFonts w:ascii="Times New Roman" w:hAnsi="Times New Roman"/>
          <w:szCs w:val="24"/>
        </w:rPr>
        <w:tab/>
      </w:r>
      <w:r w:rsidRPr="00F37F24">
        <w:rPr>
          <w:rFonts w:ascii="Times New Roman" w:hAnsi="Times New Roman"/>
          <w:szCs w:val="24"/>
        </w:rPr>
        <w:t xml:space="preserve">Information being requested or required has been held to the minimum required for the intended use. State agencies are not considered small entities as State populations exceed the 50,000 threshold for a small government jurisdiction. Certain local agencies and community organizations associated with SFSP meet the definition of “small entities” in the Regulatory Flexibility Act. Out of the total sponsors </w:t>
      </w:r>
      <w:r w:rsidR="00791591">
        <w:rPr>
          <w:rFonts w:ascii="Times New Roman" w:hAnsi="Times New Roman"/>
          <w:szCs w:val="24"/>
        </w:rPr>
        <w:t xml:space="preserve">1,410 </w:t>
      </w:r>
      <w:r w:rsidRPr="00F37F24">
        <w:rPr>
          <w:rFonts w:ascii="Times New Roman" w:hAnsi="Times New Roman"/>
          <w:szCs w:val="24"/>
        </w:rPr>
        <w:t>(</w:t>
      </w:r>
      <w:r w:rsidR="00791591">
        <w:rPr>
          <w:rFonts w:ascii="Times New Roman" w:hAnsi="Times New Roman"/>
          <w:szCs w:val="24"/>
        </w:rPr>
        <w:t>933</w:t>
      </w:r>
      <w:r w:rsidRPr="00F37F24">
        <w:rPr>
          <w:rFonts w:ascii="Times New Roman" w:hAnsi="Times New Roman"/>
          <w:szCs w:val="24"/>
        </w:rPr>
        <w:t xml:space="preserve"> local and tribal government sponsors and </w:t>
      </w:r>
      <w:r w:rsidR="00791591">
        <w:rPr>
          <w:rFonts w:ascii="Times New Roman" w:hAnsi="Times New Roman"/>
          <w:szCs w:val="24"/>
        </w:rPr>
        <w:t>477</w:t>
      </w:r>
      <w:r w:rsidRPr="00F37F24">
        <w:rPr>
          <w:rFonts w:ascii="Times New Roman" w:hAnsi="Times New Roman"/>
          <w:szCs w:val="24"/>
        </w:rPr>
        <w:t xml:space="preserve"> business sponsors) impacted by these changes, FNS estimates that approximately </w:t>
      </w:r>
      <w:r w:rsidR="00791591">
        <w:rPr>
          <w:rFonts w:ascii="Times New Roman" w:hAnsi="Times New Roman"/>
          <w:szCs w:val="24"/>
        </w:rPr>
        <w:t>705</w:t>
      </w:r>
      <w:r w:rsidR="00A67A50">
        <w:rPr>
          <w:rFonts w:ascii="Times New Roman" w:hAnsi="Times New Roman"/>
          <w:szCs w:val="24"/>
        </w:rPr>
        <w:t xml:space="preserve"> </w:t>
      </w:r>
      <w:r w:rsidRPr="00F37F24">
        <w:rPr>
          <w:rFonts w:ascii="Times New Roman" w:hAnsi="Times New Roman"/>
          <w:szCs w:val="24"/>
        </w:rPr>
        <w:t>(approximately 50%) of them are considered small entities. Although smaller sponsors are involved in this information collection effort, they deliver the same program benefits and perform the same functions as their larger counterparts</w:t>
      </w:r>
      <w:r w:rsidR="00D941E0">
        <w:rPr>
          <w:rFonts w:ascii="Times New Roman" w:hAnsi="Times New Roman"/>
          <w:szCs w:val="24"/>
        </w:rPr>
        <w:t xml:space="preserve"> and</w:t>
      </w:r>
      <w:r w:rsidRPr="00F37F24">
        <w:rPr>
          <w:rFonts w:ascii="Times New Roman" w:hAnsi="Times New Roman"/>
          <w:szCs w:val="24"/>
        </w:rPr>
        <w:t xml:space="preserve"> must maintain the same types of data on file</w:t>
      </w:r>
      <w:r w:rsidR="00D63EE9">
        <w:rPr>
          <w:rFonts w:ascii="Times New Roman" w:hAnsi="Times New Roman"/>
          <w:szCs w:val="24"/>
        </w:rPr>
        <w:t xml:space="preserve">.  </w:t>
      </w:r>
      <w:r w:rsidR="007E2447">
        <w:rPr>
          <w:rFonts w:ascii="Times New Roman" w:hAnsi="Times New Roman"/>
          <w:szCs w:val="24"/>
        </w:rPr>
        <w:t xml:space="preserve">Out of the 63,942 total respondents for the collection, FNS estimates that </w:t>
      </w:r>
      <w:r w:rsidR="0034619A">
        <w:rPr>
          <w:rFonts w:ascii="Times New Roman" w:hAnsi="Times New Roman"/>
          <w:szCs w:val="24"/>
        </w:rPr>
        <w:t>3</w:t>
      </w:r>
      <w:r w:rsidR="00D8645D">
        <w:rPr>
          <w:rFonts w:ascii="Times New Roman" w:hAnsi="Times New Roman"/>
          <w:szCs w:val="24"/>
        </w:rPr>
        <w:t>,467</w:t>
      </w:r>
      <w:r w:rsidR="00E15C41">
        <w:rPr>
          <w:rFonts w:ascii="Times New Roman" w:hAnsi="Times New Roman"/>
          <w:szCs w:val="24"/>
        </w:rPr>
        <w:t xml:space="preserve"> (approximately 5%)</w:t>
      </w:r>
      <w:r w:rsidR="00D8645D">
        <w:rPr>
          <w:rFonts w:ascii="Times New Roman" w:hAnsi="Times New Roman"/>
          <w:szCs w:val="24"/>
        </w:rPr>
        <w:t xml:space="preserve"> </w:t>
      </w:r>
      <w:r w:rsidR="00856C65">
        <w:rPr>
          <w:rFonts w:ascii="Times New Roman" w:hAnsi="Times New Roman"/>
          <w:szCs w:val="24"/>
        </w:rPr>
        <w:t>respondents may be considered small entities, based on the provisions from the proposed rule</w:t>
      </w:r>
      <w:r w:rsidR="00C74221">
        <w:rPr>
          <w:rFonts w:ascii="Times New Roman" w:hAnsi="Times New Roman"/>
          <w:szCs w:val="24"/>
        </w:rPr>
        <w:t>.</w:t>
      </w:r>
    </w:p>
    <w:p w:rsidR="00E11A38" w:rsidRPr="002568E6" w:rsidP="009F7E1A" w14:paraId="2A933DC3" w14:textId="77777777">
      <w:pPr>
        <w:tabs>
          <w:tab w:val="left" w:pos="-720"/>
        </w:tabs>
        <w:suppressAutoHyphens/>
        <w:spacing w:line="480" w:lineRule="auto"/>
        <w:rPr>
          <w:rFonts w:ascii="Times New Roman" w:hAnsi="Times New Roman"/>
          <w:spacing w:val="-3"/>
          <w:szCs w:val="24"/>
        </w:rPr>
      </w:pPr>
    </w:p>
    <w:p w:rsidR="00A308DB" w:rsidRPr="002568E6" w:rsidP="0062567E" w14:paraId="2A933DC4" w14:textId="77777777">
      <w:pPr>
        <w:pStyle w:val="Heading1"/>
      </w:pPr>
      <w:bookmarkStart w:id="12" w:name="_Toc401831362"/>
      <w:bookmarkStart w:id="13" w:name="_Toc133329831"/>
      <w:r>
        <w:t xml:space="preserve">A6.  Consequences </w:t>
      </w:r>
      <w:r w:rsidR="00826253">
        <w:t xml:space="preserve">of collecting the </w:t>
      </w:r>
      <w:r w:rsidR="00DA0E06">
        <w:t>i</w:t>
      </w:r>
      <w:r w:rsidR="00826253">
        <w:t xml:space="preserve">nformation </w:t>
      </w:r>
      <w:r>
        <w:t>less frequently.</w:t>
      </w:r>
      <w:bookmarkEnd w:id="12"/>
      <w:bookmarkEnd w:id="13"/>
      <w:r>
        <w:t xml:space="preserve">  </w:t>
      </w:r>
    </w:p>
    <w:p w:rsidR="003333DF" w:rsidRPr="002568E6" w:rsidP="005C04BB" w14:paraId="2A933DC5" w14:textId="77777777">
      <w:pPr>
        <w:tabs>
          <w:tab w:val="left" w:pos="0"/>
        </w:tabs>
        <w:suppressAutoHyphens/>
        <w:rPr>
          <w:rFonts w:ascii="Times New Roman" w:hAnsi="Times New Roman"/>
          <w:szCs w:val="24"/>
        </w:rPr>
      </w:pPr>
    </w:p>
    <w:p w:rsidR="003333DF" w:rsidRPr="002568E6" w:rsidP="0062567E" w14:paraId="2A933DC6"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P="00E11A38" w14:paraId="2A933DC7" w14:textId="77777777">
      <w:pPr>
        <w:tabs>
          <w:tab w:val="left" w:pos="-720"/>
        </w:tabs>
        <w:suppressAutoHyphens/>
        <w:rPr>
          <w:rFonts w:ascii="Times New Roman" w:hAnsi="Times New Roman"/>
          <w:szCs w:val="24"/>
        </w:rPr>
      </w:pPr>
    </w:p>
    <w:p w:rsidR="00315CD2" w:rsidP="00791591" w14:paraId="51825CD0" w14:textId="721FC344">
      <w:pPr>
        <w:tabs>
          <w:tab w:val="left" w:pos="-720"/>
        </w:tabs>
        <w:suppressAutoHyphens/>
        <w:spacing w:line="480" w:lineRule="auto"/>
        <w:rPr>
          <w:rFonts w:ascii="Times New Roman" w:hAnsi="Times New Roman"/>
          <w:szCs w:val="24"/>
        </w:rPr>
      </w:pPr>
      <w:r>
        <w:rPr>
          <w:rFonts w:ascii="Times New Roman" w:hAnsi="Times New Roman"/>
          <w:color w:val="000000"/>
          <w:szCs w:val="24"/>
        </w:rPr>
        <w:tab/>
      </w:r>
      <w:r w:rsidRPr="00E738CF" w:rsidR="00477544">
        <w:rPr>
          <w:rFonts w:ascii="Times New Roman" w:hAnsi="Times New Roman"/>
          <w:color w:val="000000"/>
          <w:szCs w:val="24"/>
        </w:rPr>
        <w:t>This is a revision to an ongoing information collection</w:t>
      </w:r>
      <w:r w:rsidR="00937FC0">
        <w:rPr>
          <w:rFonts w:ascii="Times New Roman" w:hAnsi="Times New Roman"/>
          <w:szCs w:val="24"/>
        </w:rPr>
        <w:t>, which is being revised by the proposed rule, that contains mandatory and voluntary requirements</w:t>
      </w:r>
      <w:r w:rsidR="002A64AF">
        <w:rPr>
          <w:rFonts w:ascii="Times New Roman" w:hAnsi="Times New Roman"/>
          <w:szCs w:val="24"/>
        </w:rPr>
        <w:t xml:space="preserve">.  </w:t>
      </w:r>
      <w:r>
        <w:rPr>
          <w:rFonts w:ascii="Times New Roman" w:hAnsi="Times New Roman"/>
          <w:szCs w:val="24"/>
        </w:rPr>
        <w:t>If sponsors fail to provide the required information, they would be terminated and disqualified from program participation. The information is collected for the purpose of providing consistent application of the serious deficiency process across State agencies. State agencies use the serious deficiency process to ensure that sponsors are operating the SFSP in accordance with Program standards</w:t>
      </w:r>
      <w:r w:rsidR="006C6C38">
        <w:rPr>
          <w:rFonts w:ascii="Times New Roman" w:hAnsi="Times New Roman"/>
          <w:szCs w:val="24"/>
        </w:rPr>
        <w:t xml:space="preserve">.  </w:t>
      </w:r>
      <w:r w:rsidR="00A04647">
        <w:rPr>
          <w:rFonts w:ascii="Times New Roman" w:hAnsi="Times New Roman"/>
          <w:szCs w:val="24"/>
        </w:rPr>
        <w:t xml:space="preserve">FNS </w:t>
      </w:r>
      <w:r w:rsidR="00BD0385">
        <w:rPr>
          <w:rFonts w:ascii="Times New Roman" w:hAnsi="Times New Roman"/>
          <w:szCs w:val="24"/>
        </w:rPr>
        <w:t xml:space="preserve">expects </w:t>
      </w:r>
      <w:r w:rsidR="00BD0385">
        <w:rPr>
          <w:rFonts w:ascii="Times New Roman" w:hAnsi="Times New Roman"/>
          <w:szCs w:val="24"/>
        </w:rPr>
        <w:t xml:space="preserve">that the information </w:t>
      </w:r>
      <w:r w:rsidR="000C4AB2">
        <w:rPr>
          <w:rFonts w:ascii="Times New Roman" w:hAnsi="Times New Roman"/>
          <w:szCs w:val="24"/>
        </w:rPr>
        <w:t xml:space="preserve">that is collected under the serious deficiency process will be </w:t>
      </w:r>
      <w:r w:rsidR="00303475">
        <w:rPr>
          <w:rFonts w:ascii="Times New Roman" w:hAnsi="Times New Roman"/>
          <w:szCs w:val="24"/>
        </w:rPr>
        <w:t>collected on an annual basis for the</w:t>
      </w:r>
      <w:r>
        <w:rPr>
          <w:rFonts w:ascii="Times New Roman" w:hAnsi="Times New Roman"/>
          <w:szCs w:val="24"/>
        </w:rPr>
        <w:t xml:space="preserve"> sponsors that have </w:t>
      </w:r>
      <w:r w:rsidR="005E42B3">
        <w:rPr>
          <w:rFonts w:ascii="Times New Roman" w:hAnsi="Times New Roman"/>
          <w:szCs w:val="24"/>
        </w:rPr>
        <w:t xml:space="preserve">a </w:t>
      </w:r>
      <w:r>
        <w:rPr>
          <w:rFonts w:ascii="Times New Roman" w:hAnsi="Times New Roman"/>
          <w:szCs w:val="24"/>
        </w:rPr>
        <w:t>serious management problem</w:t>
      </w:r>
      <w:r w:rsidR="005E42B3">
        <w:rPr>
          <w:rFonts w:ascii="Times New Roman" w:hAnsi="Times New Roman"/>
          <w:szCs w:val="24"/>
        </w:rPr>
        <w:t>.</w:t>
      </w:r>
      <w:bookmarkStart w:id="14" w:name="_Hlk160788676"/>
      <w:r>
        <w:rPr>
          <w:rFonts w:ascii="Times New Roman" w:hAnsi="Times New Roman"/>
          <w:szCs w:val="24"/>
        </w:rPr>
        <w:t xml:space="preserve"> Applying these requirements less frequently would allow sponsors who have findings that rise to the level of serious management problems to avoid the serious deficiency process and undermine program integrity in the SFSP</w:t>
      </w:r>
      <w:bookmarkEnd w:id="14"/>
      <w:r w:rsidR="00C74221">
        <w:rPr>
          <w:rFonts w:ascii="Times New Roman" w:hAnsi="Times New Roman"/>
          <w:szCs w:val="24"/>
        </w:rPr>
        <w:t>.</w:t>
      </w:r>
    </w:p>
    <w:p w:rsidR="00791591" w:rsidP="00791591" w14:paraId="7F3125FA" w14:textId="6CEE34AF">
      <w:pPr>
        <w:tabs>
          <w:tab w:val="left" w:pos="-720"/>
        </w:tabs>
        <w:suppressAutoHyphens/>
        <w:spacing w:line="480" w:lineRule="auto"/>
        <w:rPr>
          <w:rFonts w:ascii="Times New Roman" w:hAnsi="Times New Roman"/>
          <w:szCs w:val="24"/>
        </w:rPr>
      </w:pPr>
      <w:r>
        <w:rPr>
          <w:rFonts w:ascii="Times New Roman" w:hAnsi="Times New Roman"/>
          <w:szCs w:val="24"/>
        </w:rPr>
        <w:tab/>
      </w:r>
      <w:r>
        <w:rPr>
          <w:rFonts w:ascii="Times New Roman" w:hAnsi="Times New Roman"/>
          <w:szCs w:val="24"/>
        </w:rPr>
        <w:t>State agency lists are updated and reported to FNS to ensure that sponsors correct serious management issues or are otherwise disqualified from participation in the CACFP if serious management issues persist. Given that the serious deficiency process has six steps that each require an update to the state agency list, the State agency list will need to be updated</w:t>
      </w:r>
      <w:r w:rsidR="00937FC0">
        <w:rPr>
          <w:rFonts w:ascii="Times New Roman" w:hAnsi="Times New Roman"/>
          <w:szCs w:val="24"/>
        </w:rPr>
        <w:t xml:space="preserve"> on occasion </w:t>
      </w:r>
      <w:r>
        <w:rPr>
          <w:rFonts w:ascii="Times New Roman" w:hAnsi="Times New Roman"/>
          <w:szCs w:val="24"/>
        </w:rPr>
        <w:t xml:space="preserve">as institutions and facilities move through the full process. If State agency lists were </w:t>
      </w:r>
      <w:r w:rsidR="00BF6DD1">
        <w:rPr>
          <w:rFonts w:ascii="Times New Roman" w:hAnsi="Times New Roman"/>
          <w:szCs w:val="24"/>
        </w:rPr>
        <w:t xml:space="preserve">updated </w:t>
      </w:r>
      <w:r>
        <w:rPr>
          <w:rFonts w:ascii="Times New Roman" w:hAnsi="Times New Roman"/>
          <w:szCs w:val="24"/>
        </w:rPr>
        <w:t xml:space="preserve">less frequently, FNS would not be able to properly assess </w:t>
      </w:r>
      <w:r w:rsidR="004A2944">
        <w:rPr>
          <w:rFonts w:ascii="Times New Roman" w:hAnsi="Times New Roman"/>
          <w:szCs w:val="24"/>
        </w:rPr>
        <w:t xml:space="preserve">whether </w:t>
      </w:r>
      <w:r>
        <w:rPr>
          <w:rFonts w:ascii="Times New Roman" w:hAnsi="Times New Roman"/>
          <w:szCs w:val="24"/>
        </w:rPr>
        <w:t>sponsors have fully corrected serious management issues</w:t>
      </w:r>
      <w:r w:rsidR="004A2944">
        <w:rPr>
          <w:rFonts w:ascii="Times New Roman" w:hAnsi="Times New Roman"/>
          <w:szCs w:val="24"/>
        </w:rPr>
        <w:t xml:space="preserve"> and therefore </w:t>
      </w:r>
      <w:r w:rsidR="00314A6D">
        <w:rPr>
          <w:rFonts w:ascii="Times New Roman" w:hAnsi="Times New Roman"/>
          <w:szCs w:val="24"/>
        </w:rPr>
        <w:t xml:space="preserve">would be unable to </w:t>
      </w:r>
      <w:r>
        <w:rPr>
          <w:rFonts w:ascii="Times New Roman" w:hAnsi="Times New Roman"/>
          <w:szCs w:val="24"/>
        </w:rPr>
        <w:t>ensure Program integrity</w:t>
      </w:r>
      <w:r w:rsidR="00D10D29">
        <w:rPr>
          <w:rFonts w:ascii="Times New Roman" w:hAnsi="Times New Roman"/>
          <w:szCs w:val="24"/>
        </w:rPr>
        <w:t xml:space="preserve"> in SFSP</w:t>
      </w:r>
      <w:r>
        <w:rPr>
          <w:rFonts w:ascii="Times New Roman" w:hAnsi="Times New Roman"/>
          <w:szCs w:val="24"/>
        </w:rPr>
        <w:t xml:space="preserve">. The collection of this information is required as soon as possible to ensure that serious management problems </w:t>
      </w:r>
      <w:r w:rsidR="00314A6D">
        <w:rPr>
          <w:rFonts w:ascii="Times New Roman" w:hAnsi="Times New Roman"/>
          <w:szCs w:val="24"/>
        </w:rPr>
        <w:t>are</w:t>
      </w:r>
      <w:r>
        <w:rPr>
          <w:rFonts w:ascii="Times New Roman" w:hAnsi="Times New Roman"/>
          <w:szCs w:val="24"/>
        </w:rPr>
        <w:t xml:space="preserve"> corrected as soon as possible</w:t>
      </w:r>
      <w:r w:rsidR="00C74221">
        <w:rPr>
          <w:rFonts w:ascii="Times New Roman" w:hAnsi="Times New Roman"/>
          <w:szCs w:val="24"/>
        </w:rPr>
        <w:t>.</w:t>
      </w:r>
    </w:p>
    <w:p w:rsidR="00791591" w:rsidP="00791591" w14:paraId="0DBC0758" w14:textId="77686E59">
      <w:pPr>
        <w:tabs>
          <w:tab w:val="left" w:pos="-720"/>
        </w:tabs>
        <w:suppressAutoHyphens/>
        <w:spacing w:line="480" w:lineRule="auto"/>
        <w:rPr>
          <w:rFonts w:ascii="Times New Roman" w:hAnsi="Times New Roman"/>
          <w:szCs w:val="24"/>
        </w:rPr>
      </w:pPr>
      <w:r>
        <w:rPr>
          <w:rFonts w:ascii="Times New Roman" w:hAnsi="Times New Roman"/>
          <w:szCs w:val="24"/>
        </w:rPr>
        <w:tab/>
        <w:t xml:space="preserve">Notices </w:t>
      </w:r>
      <w:r w:rsidR="00937FC0">
        <w:rPr>
          <w:rFonts w:ascii="Times New Roman" w:hAnsi="Times New Roman"/>
          <w:szCs w:val="24"/>
        </w:rPr>
        <w:t xml:space="preserve">must be </w:t>
      </w:r>
      <w:r>
        <w:rPr>
          <w:rFonts w:ascii="Times New Roman" w:hAnsi="Times New Roman"/>
          <w:szCs w:val="24"/>
        </w:rPr>
        <w:t xml:space="preserve">provided by the State agency </w:t>
      </w:r>
      <w:r w:rsidR="00937FC0">
        <w:rPr>
          <w:rFonts w:ascii="Times New Roman" w:hAnsi="Times New Roman"/>
          <w:szCs w:val="24"/>
        </w:rPr>
        <w:t>on occasion and</w:t>
      </w:r>
      <w:r>
        <w:rPr>
          <w:rFonts w:ascii="Times New Roman" w:hAnsi="Times New Roman"/>
          <w:szCs w:val="24"/>
        </w:rPr>
        <w:t xml:space="preserve"> as soon as possible to the sponsor. Sponsors are allowed to exercise due process rights to have a decision reviewed by a fair hearing official up to</w:t>
      </w:r>
      <w:r w:rsidR="008C4E0F">
        <w:rPr>
          <w:rFonts w:ascii="Times New Roman" w:hAnsi="Times New Roman"/>
          <w:szCs w:val="24"/>
        </w:rPr>
        <w:t xml:space="preserve"> 5 calendar days after the date of receipt of a notice of proposed termination</w:t>
      </w:r>
      <w:r>
        <w:rPr>
          <w:rFonts w:ascii="Times New Roman" w:hAnsi="Times New Roman"/>
          <w:szCs w:val="24"/>
        </w:rPr>
        <w:t>. As such, the timely delivery of notices is required to ensure that a sponsor may use their due process rights</w:t>
      </w:r>
      <w:r w:rsidR="00C74221">
        <w:rPr>
          <w:rFonts w:ascii="Times New Roman" w:hAnsi="Times New Roman"/>
          <w:szCs w:val="24"/>
        </w:rPr>
        <w:t>.</w:t>
      </w:r>
    </w:p>
    <w:p w:rsidR="00791591" w:rsidRPr="00315CD2" w:rsidP="006033EB" w14:paraId="024B2463" w14:textId="26A7CC8A">
      <w:pPr>
        <w:tabs>
          <w:tab w:val="left" w:pos="-720"/>
        </w:tabs>
        <w:suppressAutoHyphens/>
        <w:spacing w:line="480" w:lineRule="auto"/>
      </w:pPr>
      <w:r>
        <w:rPr>
          <w:rFonts w:ascii="Times New Roman" w:hAnsi="Times New Roman"/>
          <w:szCs w:val="24"/>
        </w:rPr>
        <w:tab/>
        <w:t>At least two full reviews are required for a SF</w:t>
      </w:r>
      <w:r w:rsidR="00A56E31">
        <w:rPr>
          <w:rFonts w:ascii="Times New Roman" w:hAnsi="Times New Roman"/>
          <w:szCs w:val="24"/>
        </w:rPr>
        <w:t>S</w:t>
      </w:r>
      <w:r>
        <w:rPr>
          <w:rFonts w:ascii="Times New Roman" w:hAnsi="Times New Roman"/>
          <w:szCs w:val="24"/>
        </w:rPr>
        <w:t>P sponsor to reach "full correction" status</w:t>
      </w:r>
      <w:r w:rsidR="008D2039">
        <w:rPr>
          <w:rFonts w:ascii="Times New Roman" w:hAnsi="Times New Roman"/>
          <w:szCs w:val="24"/>
        </w:rPr>
        <w:t>.</w:t>
      </w:r>
      <w:r>
        <w:rPr>
          <w:rFonts w:ascii="Times New Roman" w:hAnsi="Times New Roman"/>
          <w:szCs w:val="24"/>
        </w:rPr>
        <w:t xml:space="preserve"> The full reviews would check to see if the operator had fully implemented the corrective action plan and no new or repeat serious management problems have occurred. In the proposed rule, institutions would achieve "full correction" if they completed two full reviews once every year </w:t>
      </w:r>
      <w:r>
        <w:rPr>
          <w:rFonts w:ascii="Times New Roman" w:hAnsi="Times New Roman"/>
          <w:szCs w:val="24"/>
        </w:rPr>
        <w:t>and at least 12 months apart with no new or repeat serious management problems. This standard will allow full reviews to uncover if serious management problems persist without placing unnecessary administrative burdens on the reviewing agency and the Program operator</w:t>
      </w:r>
      <w:r w:rsidR="00A468F8">
        <w:rPr>
          <w:rFonts w:ascii="Times New Roman" w:hAnsi="Times New Roman"/>
          <w:szCs w:val="24"/>
        </w:rPr>
        <w:t>.</w:t>
      </w:r>
    </w:p>
    <w:p w:rsidR="00E11A38" w:rsidP="00E11A38" w14:paraId="2A933DC9" w14:textId="486E984F">
      <w:pPr>
        <w:tabs>
          <w:tab w:val="left" w:pos="-720"/>
        </w:tabs>
        <w:suppressAutoHyphens/>
        <w:spacing w:line="480" w:lineRule="auto"/>
        <w:rPr>
          <w:rFonts w:ascii="Times New Roman" w:hAnsi="Times New Roman"/>
          <w:szCs w:val="24"/>
        </w:rPr>
      </w:pPr>
      <w:r>
        <w:rPr>
          <w:rFonts w:ascii="Times New Roman" w:hAnsi="Times New Roman"/>
          <w:szCs w:val="24"/>
        </w:rPr>
        <w:tab/>
        <w:t>There is one additional requirement that is voluntary. State agencies may voluntarily submit a waiver request to FNS</w:t>
      </w:r>
      <w:r w:rsidR="008243F8">
        <w:rPr>
          <w:rFonts w:ascii="Times New Roman" w:hAnsi="Times New Roman"/>
          <w:szCs w:val="24"/>
        </w:rPr>
        <w:t>, on occasion,</w:t>
      </w:r>
      <w:r>
        <w:rPr>
          <w:rFonts w:ascii="Times New Roman" w:hAnsi="Times New Roman"/>
          <w:szCs w:val="24"/>
        </w:rPr>
        <w:t xml:space="preserve"> to waive the independent two-step verification and notification requirement necessary to participate in a CMA-compliant Federal system of records</w:t>
      </w:r>
      <w:r w:rsidR="00977C0D">
        <w:rPr>
          <w:rFonts w:ascii="Times New Roman" w:hAnsi="Times New Roman"/>
          <w:szCs w:val="24"/>
        </w:rPr>
        <w:t xml:space="preserve">. </w:t>
      </w:r>
      <w:r>
        <w:rPr>
          <w:rFonts w:ascii="Times New Roman" w:hAnsi="Times New Roman"/>
          <w:szCs w:val="24"/>
        </w:rPr>
        <w:t>The State agencies have the option to submit a waiver request if they believe they are unable to immediately comply with the CMA requirements in the proposed rule</w:t>
      </w:r>
      <w:r w:rsidR="00977C0D">
        <w:rPr>
          <w:rFonts w:ascii="Times New Roman" w:hAnsi="Times New Roman"/>
          <w:szCs w:val="24"/>
        </w:rPr>
        <w:t xml:space="preserve">.  </w:t>
      </w:r>
      <w:r>
        <w:rPr>
          <w:rFonts w:ascii="Times New Roman" w:hAnsi="Times New Roman"/>
          <w:szCs w:val="24"/>
        </w:rPr>
        <w:t>This provision is voluntary to provide flexibilities for State agencies to implement the proposed CMA requirements</w:t>
      </w:r>
      <w:r w:rsidR="00C74221">
        <w:rPr>
          <w:rFonts w:ascii="Times New Roman" w:hAnsi="Times New Roman"/>
          <w:szCs w:val="24"/>
        </w:rPr>
        <w:t>.</w:t>
      </w:r>
    </w:p>
    <w:p w:rsidR="001F7B33" w:rsidRPr="002568E6" w:rsidP="00E11A38" w14:paraId="0F2C118C" w14:textId="77777777">
      <w:pPr>
        <w:tabs>
          <w:tab w:val="left" w:pos="-720"/>
        </w:tabs>
        <w:suppressAutoHyphens/>
        <w:spacing w:line="480" w:lineRule="auto"/>
        <w:rPr>
          <w:rFonts w:ascii="Times New Roman" w:hAnsi="Times New Roman"/>
          <w:szCs w:val="24"/>
        </w:rPr>
      </w:pPr>
    </w:p>
    <w:p w:rsidR="00A308DB" w:rsidRPr="002568E6" w:rsidP="0062567E" w14:paraId="2A933DCA" w14:textId="77777777">
      <w:pPr>
        <w:pStyle w:val="Heading1"/>
      </w:pPr>
      <w:bookmarkStart w:id="15" w:name="_Toc401831363"/>
      <w:bookmarkStart w:id="16" w:name="_Toc133329832"/>
      <w:r>
        <w:t xml:space="preserve">A7.  </w:t>
      </w:r>
      <w:r w:rsidR="00A37C87">
        <w:t>Special c</w:t>
      </w:r>
      <w:r>
        <w:t xml:space="preserve">ircumstances </w:t>
      </w:r>
      <w:r w:rsidR="00A37C87">
        <w:t>relating to the Guidelines of</w:t>
      </w:r>
      <w:r>
        <w:t xml:space="preserve"> 5 CFR 1320.</w:t>
      </w:r>
      <w:r w:rsidR="003C6BDD">
        <w:t>5</w:t>
      </w:r>
      <w:r>
        <w:t>.</w:t>
      </w:r>
      <w:bookmarkEnd w:id="15"/>
      <w:bookmarkEnd w:id="16"/>
      <w:r>
        <w:t xml:space="preserve">  </w:t>
      </w:r>
    </w:p>
    <w:p w:rsidR="00A308DB" w:rsidRPr="002568E6" w:rsidP="00213436" w14:paraId="2A933DCB" w14:textId="77777777">
      <w:pPr>
        <w:tabs>
          <w:tab w:val="left" w:pos="0"/>
        </w:tabs>
        <w:suppressAutoHyphens/>
        <w:rPr>
          <w:rFonts w:ascii="Times New Roman" w:hAnsi="Times New Roman"/>
          <w:szCs w:val="24"/>
        </w:rPr>
      </w:pPr>
    </w:p>
    <w:p w:rsidR="003333DF" w:rsidRPr="002568E6" w:rsidP="0062567E" w14:paraId="2A933DCC"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P="0062567E" w14:paraId="2A933DC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3333DF" w:rsidP="0062567E" w14:paraId="2A933DC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8C4E0F" w:rsidP="008C4E0F" w14:paraId="4801B55B" w14:textId="77777777">
      <w:pPr>
        <w:widowControl/>
        <w:tabs>
          <w:tab w:val="left" w:pos="-720"/>
        </w:tabs>
        <w:suppressAutoHyphens/>
        <w:overflowPunct/>
        <w:autoSpaceDE/>
        <w:autoSpaceDN/>
        <w:adjustRightInd/>
        <w:textAlignment w:val="auto"/>
        <w:rPr>
          <w:rFonts w:ascii="Times New Roman" w:hAnsi="Times New Roman"/>
          <w:b/>
          <w:szCs w:val="24"/>
        </w:rPr>
      </w:pPr>
    </w:p>
    <w:p w:rsidR="008C4E0F" w:rsidRPr="00A465A4" w:rsidP="002C4954" w14:paraId="28C430F8" w14:textId="15F401E4">
      <w:pPr>
        <w:widowControl/>
        <w:tabs>
          <w:tab w:val="left" w:pos="-720"/>
        </w:tabs>
        <w:suppressAutoHyphens/>
        <w:overflowPunct/>
        <w:autoSpaceDE/>
        <w:autoSpaceDN/>
        <w:adjustRightInd/>
        <w:spacing w:line="480" w:lineRule="auto"/>
        <w:ind w:left="360"/>
        <w:textAlignment w:val="auto"/>
        <w:rPr>
          <w:rFonts w:ascii="Times New Roman" w:hAnsi="Times New Roman"/>
          <w:bCs/>
          <w:szCs w:val="24"/>
        </w:rPr>
      </w:pPr>
      <w:bookmarkStart w:id="17" w:name="_Hlk167103408"/>
      <w:r>
        <w:rPr>
          <w:rFonts w:ascii="Times New Roman" w:hAnsi="Times New Roman"/>
          <w:bCs/>
          <w:szCs w:val="24"/>
        </w:rPr>
        <w:t>T</w:t>
      </w:r>
      <w:r w:rsidR="00033A30">
        <w:rPr>
          <w:rFonts w:ascii="Times New Roman" w:hAnsi="Times New Roman"/>
          <w:bCs/>
          <w:szCs w:val="24"/>
        </w:rPr>
        <w:t>o mirror the existing requirements in CACFP, the proposed rule introduces requirements that allow a sponsor to submit a request for a fair hearing up to 5 calendar days from the date of receipt of a notice of proposed termination and disqualification from the Program</w:t>
      </w:r>
      <w:r w:rsidR="006D77E0">
        <w:rPr>
          <w:rFonts w:ascii="Times New Roman" w:hAnsi="Times New Roman"/>
          <w:bCs/>
          <w:szCs w:val="24"/>
        </w:rPr>
        <w:t xml:space="preserve">.  </w:t>
      </w:r>
      <w:r w:rsidR="00033A30">
        <w:rPr>
          <w:rFonts w:ascii="Times New Roman" w:hAnsi="Times New Roman"/>
          <w:bCs/>
          <w:szCs w:val="24"/>
        </w:rPr>
        <w:t xml:space="preserve">The written request is necessary to provide the sponsor due process with an opportunity to have the State agency's decision reviewed by a fair hearing official. The </w:t>
      </w:r>
      <w:r w:rsidR="00774EC7">
        <w:rPr>
          <w:rFonts w:ascii="Times New Roman" w:hAnsi="Times New Roman"/>
          <w:bCs/>
          <w:szCs w:val="24"/>
        </w:rPr>
        <w:t>5-calendar</w:t>
      </w:r>
      <w:r w:rsidR="00033A30">
        <w:rPr>
          <w:rFonts w:ascii="Times New Roman" w:hAnsi="Times New Roman"/>
          <w:bCs/>
          <w:szCs w:val="24"/>
        </w:rPr>
        <w:t xml:space="preserve"> day timeframe is in place to ensure program integrity and takes into account the short operational period of the SFSP</w:t>
      </w:r>
      <w:r w:rsidR="00C00B31">
        <w:rPr>
          <w:rFonts w:ascii="Times New Roman" w:hAnsi="Times New Roman"/>
          <w:bCs/>
          <w:szCs w:val="24"/>
        </w:rPr>
        <w:t>.</w:t>
      </w:r>
    </w:p>
    <w:bookmarkEnd w:id="17"/>
    <w:p w:rsidR="003333DF" w:rsidRPr="002568E6" w:rsidP="0062567E" w14:paraId="2A933DC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P="0062567E" w14:paraId="2A933DD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3333DF" w:rsidRPr="002568E6" w:rsidP="0062567E" w14:paraId="2A933DD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Pr>
          <w:rFonts w:ascii="Times New Roman" w:hAnsi="Times New Roman"/>
          <w:b/>
          <w:szCs w:val="24"/>
        </w:rPr>
        <w:t>s</w:t>
      </w:r>
      <w:r w:rsidRPr="002568E6">
        <w:rPr>
          <w:rFonts w:ascii="Times New Roman" w:hAnsi="Times New Roman"/>
          <w:b/>
          <w:szCs w:val="24"/>
        </w:rPr>
        <w:t>igned to produce valid and reli</w:t>
      </w:r>
      <w:r w:rsidRPr="002568E6">
        <w:rPr>
          <w:rFonts w:ascii="Times New Roman" w:hAnsi="Times New Roman"/>
          <w:b/>
          <w:szCs w:val="24"/>
        </w:rPr>
        <w:t>a</w:t>
      </w:r>
      <w:r w:rsidRPr="002568E6">
        <w:rPr>
          <w:rFonts w:ascii="Times New Roman" w:hAnsi="Times New Roman"/>
          <w:b/>
          <w:szCs w:val="24"/>
        </w:rPr>
        <w:t>ble results that can be generalized to the uni</w:t>
      </w:r>
      <w:r w:rsidRPr="002568E6">
        <w:rPr>
          <w:rFonts w:ascii="Times New Roman" w:hAnsi="Times New Roman"/>
          <w:b/>
          <w:szCs w:val="24"/>
        </w:rPr>
        <w:t xml:space="preserve">verse of study; </w:t>
      </w:r>
    </w:p>
    <w:p w:rsidR="003333DF" w:rsidRPr="002568E6" w:rsidP="0062567E" w14:paraId="2A933DD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rsidR="003333DF" w:rsidRPr="002568E6" w:rsidP="0062567E" w14:paraId="2A933DD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P="0062567E" w14:paraId="2A933DD4"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3333DF" w:rsidRPr="002568E6" w:rsidP="00213436" w14:paraId="2A933DD5" w14:textId="77777777">
      <w:pPr>
        <w:tabs>
          <w:tab w:val="left" w:pos="0"/>
        </w:tabs>
        <w:suppressAutoHyphens/>
        <w:rPr>
          <w:rFonts w:ascii="Times New Roman" w:hAnsi="Times New Roman"/>
          <w:szCs w:val="24"/>
        </w:rPr>
      </w:pPr>
    </w:p>
    <w:p w:rsidR="00E30FD9" w:rsidP="00E30FD9" w14:paraId="75571A0D" w14:textId="4101049A">
      <w:pPr>
        <w:pStyle w:val="Level2"/>
        <w:spacing w:line="480" w:lineRule="auto"/>
        <w:ind w:left="0" w:firstLine="360"/>
      </w:pPr>
      <w:r>
        <w:t xml:space="preserve">There are no </w:t>
      </w:r>
      <w:r w:rsidR="00337B9D">
        <w:t xml:space="preserve">other </w:t>
      </w:r>
      <w:r>
        <w:t>special circumstances. The collection of information is conducted in a manner consistent with the guidelines in 5 CFR 1320.5</w:t>
      </w:r>
      <w:r w:rsidR="009F34B1">
        <w:t>.</w:t>
      </w:r>
    </w:p>
    <w:p w:rsidR="00E11A38" w:rsidRPr="002568E6" w:rsidP="00E11A38" w14:paraId="2A933DD7" w14:textId="3849613F">
      <w:pPr>
        <w:tabs>
          <w:tab w:val="left" w:pos="-720"/>
        </w:tabs>
        <w:suppressAutoHyphens/>
        <w:spacing w:line="480" w:lineRule="auto"/>
        <w:rPr>
          <w:rFonts w:ascii="Times New Roman" w:hAnsi="Times New Roman"/>
          <w:szCs w:val="24"/>
        </w:rPr>
      </w:pPr>
    </w:p>
    <w:p w:rsidR="00BE0B08" w:rsidRPr="002568E6" w:rsidP="0062567E" w14:paraId="2A933DD9" w14:textId="77777777">
      <w:pPr>
        <w:pStyle w:val="Heading1"/>
      </w:pPr>
      <w:bookmarkStart w:id="18" w:name="_Toc401831364"/>
      <w:bookmarkStart w:id="19" w:name="_Toc133329833"/>
      <w:r>
        <w:t xml:space="preserve">A8.  </w:t>
      </w:r>
      <w:r w:rsidR="005917B8">
        <w:t xml:space="preserve">Comments to the Federal Register Notice and efforts </w:t>
      </w:r>
      <w:r w:rsidR="002568E6">
        <w:t xml:space="preserve">for </w:t>
      </w:r>
      <w:r w:rsidR="005917B8">
        <w:t>consult</w:t>
      </w:r>
      <w:r w:rsidR="002568E6">
        <w:t>ation</w:t>
      </w:r>
      <w:r w:rsidR="005917B8">
        <w:t>.</w:t>
      </w:r>
      <w:bookmarkEnd w:id="18"/>
      <w:bookmarkEnd w:id="19"/>
      <w:r>
        <w:t xml:space="preserve">  </w:t>
      </w:r>
    </w:p>
    <w:p w:rsidR="003333DF" w:rsidRPr="002568E6" w:rsidP="005917B8" w14:paraId="2A933DDA" w14:textId="77777777">
      <w:pPr>
        <w:tabs>
          <w:tab w:val="left" w:pos="450"/>
        </w:tabs>
        <w:suppressAutoHyphens/>
        <w:ind w:left="450" w:hanging="450"/>
        <w:rPr>
          <w:rFonts w:ascii="Times New Roman" w:hAnsi="Times New Roman"/>
          <w:szCs w:val="24"/>
        </w:rPr>
      </w:pPr>
    </w:p>
    <w:p w:rsidR="003333DF" w:rsidRPr="002568E6" w:rsidP="0062567E" w14:paraId="2A933DDB"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512D34" w:rsidP="00ED28F2" w14:paraId="4EAAD41E" w14:textId="1327010C">
      <w:pPr>
        <w:tabs>
          <w:tab w:val="left" w:pos="-720"/>
        </w:tabs>
        <w:suppressAutoHyphens/>
        <w:spacing w:line="480" w:lineRule="auto"/>
        <w:rPr>
          <w:rFonts w:ascii="Times New Roman" w:hAnsi="Times New Roman"/>
          <w:szCs w:val="24"/>
        </w:rPr>
      </w:pPr>
      <w:bookmarkStart w:id="20" w:name="OLE_LINK1"/>
      <w:bookmarkStart w:id="21" w:name="OLE_LINK2"/>
    </w:p>
    <w:p w:rsidR="0010333B" w:rsidP="00ED28F2" w14:paraId="20ADA58D" w14:textId="6D56792C">
      <w:pPr>
        <w:tabs>
          <w:tab w:val="left" w:pos="-720"/>
        </w:tabs>
        <w:suppressAutoHyphens/>
        <w:spacing w:line="480" w:lineRule="auto"/>
        <w:rPr>
          <w:rFonts w:ascii="Times New Roman" w:hAnsi="Times New Roman"/>
          <w:szCs w:val="24"/>
        </w:rPr>
      </w:pPr>
      <w:r>
        <w:rPr>
          <w:rFonts w:ascii="Times New Roman" w:hAnsi="Times New Roman"/>
          <w:szCs w:val="24"/>
        </w:rPr>
        <w:tab/>
      </w:r>
      <w:r w:rsidR="003D7492">
        <w:rPr>
          <w:rFonts w:ascii="Times New Roman" w:hAnsi="Times New Roman"/>
          <w:szCs w:val="24"/>
        </w:rPr>
        <w:t xml:space="preserve">A 90-day Federal Register Notice is embedded in the proposed rule titled “Serious Deficiency Process in the Child and Adult Care Food Program and Summer Food Service Program” (RIN 0584-AE83), which was published in the Federal Register on </w:t>
      </w:r>
      <w:r w:rsidR="00315CD2">
        <w:rPr>
          <w:rFonts w:ascii="Times New Roman" w:hAnsi="Times New Roman"/>
          <w:szCs w:val="24"/>
        </w:rPr>
        <w:t>February 21st,</w:t>
      </w:r>
      <w:r w:rsidR="000732A5">
        <w:rPr>
          <w:rFonts w:ascii="Times New Roman" w:hAnsi="Times New Roman"/>
          <w:szCs w:val="24"/>
        </w:rPr>
        <w:t xml:space="preserve"> </w:t>
      </w:r>
      <w:r w:rsidR="003D7492">
        <w:rPr>
          <w:rFonts w:ascii="Times New Roman" w:hAnsi="Times New Roman"/>
          <w:szCs w:val="24"/>
        </w:rPr>
        <w:t xml:space="preserve">2024 (Vol. </w:t>
      </w:r>
      <w:r w:rsidR="00315CD2">
        <w:rPr>
          <w:rFonts w:ascii="Times New Roman" w:hAnsi="Times New Roman"/>
          <w:szCs w:val="24"/>
        </w:rPr>
        <w:t>89</w:t>
      </w:r>
      <w:r w:rsidR="003D7492">
        <w:rPr>
          <w:rFonts w:ascii="Times New Roman" w:hAnsi="Times New Roman"/>
          <w:szCs w:val="24"/>
        </w:rPr>
        <w:t xml:space="preserve">, No. </w:t>
      </w:r>
      <w:r w:rsidR="00315CD2">
        <w:rPr>
          <w:rFonts w:ascii="Times New Roman" w:hAnsi="Times New Roman"/>
          <w:szCs w:val="24"/>
        </w:rPr>
        <w:t>35</w:t>
      </w:r>
      <w:r w:rsidR="003D7492">
        <w:rPr>
          <w:rFonts w:ascii="Times New Roman" w:hAnsi="Times New Roman"/>
          <w:szCs w:val="24"/>
        </w:rPr>
        <w:t xml:space="preserve">, pages </w:t>
      </w:r>
      <w:r w:rsidR="00315CD2">
        <w:rPr>
          <w:rFonts w:ascii="Times New Roman" w:hAnsi="Times New Roman"/>
          <w:szCs w:val="24"/>
        </w:rPr>
        <w:t>13150</w:t>
      </w:r>
      <w:r w:rsidR="003D7492">
        <w:rPr>
          <w:rFonts w:ascii="Times New Roman" w:hAnsi="Times New Roman"/>
          <w:szCs w:val="24"/>
        </w:rPr>
        <w:t xml:space="preserve"> to </w:t>
      </w:r>
      <w:r w:rsidR="00315CD2">
        <w:rPr>
          <w:rFonts w:ascii="Times New Roman" w:hAnsi="Times New Roman"/>
          <w:szCs w:val="24"/>
        </w:rPr>
        <w:t>13229</w:t>
      </w:r>
      <w:r w:rsidR="003D7492">
        <w:rPr>
          <w:rFonts w:ascii="Times New Roman" w:hAnsi="Times New Roman"/>
          <w:szCs w:val="24"/>
        </w:rPr>
        <w:t>).  The public comment period related to the PRA aspects of the proposed rule end</w:t>
      </w:r>
      <w:r w:rsidR="00BA529C">
        <w:rPr>
          <w:rFonts w:ascii="Times New Roman" w:hAnsi="Times New Roman"/>
          <w:szCs w:val="24"/>
        </w:rPr>
        <w:t>ed</w:t>
      </w:r>
      <w:r w:rsidR="003D7492">
        <w:rPr>
          <w:rFonts w:ascii="Times New Roman" w:hAnsi="Times New Roman"/>
          <w:szCs w:val="24"/>
        </w:rPr>
        <w:t xml:space="preserve"> on </w:t>
      </w:r>
      <w:r w:rsidR="00315CD2">
        <w:rPr>
          <w:rFonts w:ascii="Times New Roman" w:hAnsi="Times New Roman"/>
          <w:szCs w:val="24"/>
        </w:rPr>
        <w:t>May 21st</w:t>
      </w:r>
      <w:r w:rsidR="003D7492">
        <w:rPr>
          <w:rFonts w:ascii="Times New Roman" w:hAnsi="Times New Roman"/>
          <w:szCs w:val="24"/>
        </w:rPr>
        <w:t>, 2024. Comments will be received and evaluated on the information collection requirements during the comment period after publication of the proposed rule</w:t>
      </w:r>
      <w:r w:rsidR="0071658A">
        <w:rPr>
          <w:rFonts w:ascii="Times New Roman" w:hAnsi="Times New Roman"/>
          <w:szCs w:val="24"/>
        </w:rPr>
        <w:t xml:space="preserve">.  </w:t>
      </w:r>
      <w:r w:rsidR="003D7492">
        <w:rPr>
          <w:rFonts w:ascii="Times New Roman" w:hAnsi="Times New Roman"/>
          <w:szCs w:val="24"/>
        </w:rPr>
        <w:t>During this time, interested members of the public will have the opportunity to provide FNS with comments concerning the necessity, practical utility, accuracy, and merit of the information collection activities proposed</w:t>
      </w:r>
      <w:r w:rsidR="00F8233F">
        <w:rPr>
          <w:rFonts w:ascii="Times New Roman" w:hAnsi="Times New Roman"/>
          <w:szCs w:val="24"/>
        </w:rPr>
        <w:t xml:space="preserve">.  </w:t>
      </w:r>
      <w:r w:rsidR="003D7492">
        <w:rPr>
          <w:rFonts w:ascii="Times New Roman" w:hAnsi="Times New Roman"/>
          <w:szCs w:val="24"/>
        </w:rPr>
        <w:t xml:space="preserve">Comments will be addressed during the final </w:t>
      </w:r>
      <w:r w:rsidR="003D7492">
        <w:rPr>
          <w:rFonts w:ascii="Times New Roman" w:hAnsi="Times New Roman"/>
          <w:szCs w:val="24"/>
        </w:rPr>
        <w:t>stage of rulemaking with the final rule information collection request</w:t>
      </w:r>
      <w:r w:rsidR="005F42C6">
        <w:rPr>
          <w:rFonts w:ascii="Times New Roman" w:hAnsi="Times New Roman"/>
          <w:szCs w:val="24"/>
        </w:rPr>
        <w:t>.</w:t>
      </w:r>
    </w:p>
    <w:p w:rsidR="00E0476C" w:rsidP="00ED28F2" w14:paraId="5F62936D" w14:textId="4F4D0F95">
      <w:pPr>
        <w:tabs>
          <w:tab w:val="left" w:pos="-720"/>
        </w:tabs>
        <w:suppressAutoHyphens/>
        <w:spacing w:line="480" w:lineRule="auto"/>
        <w:rPr>
          <w:rFonts w:ascii="Times New Roman" w:hAnsi="Times New Roman"/>
          <w:szCs w:val="24"/>
        </w:rPr>
      </w:pPr>
      <w:bookmarkStart w:id="22" w:name="_Hlk167104185"/>
      <w:r>
        <w:rPr>
          <w:rFonts w:ascii="Times New Roman" w:hAnsi="Times New Roman"/>
          <w:szCs w:val="24"/>
        </w:rPr>
        <w:tab/>
        <w:t>For further information, see Supporting Statement A – Appendix (Attachment I).  This contains further information on efforts for consultation for the proposed rule</w:t>
      </w:r>
      <w:bookmarkEnd w:id="22"/>
      <w:r w:rsidR="005F42C6">
        <w:rPr>
          <w:rFonts w:ascii="Times New Roman" w:hAnsi="Times New Roman"/>
          <w:szCs w:val="24"/>
        </w:rPr>
        <w:t>.</w:t>
      </w:r>
    </w:p>
    <w:p w:rsidR="0010333B" w:rsidP="00ED28F2" w14:paraId="4AD86D23" w14:textId="77777777">
      <w:pPr>
        <w:tabs>
          <w:tab w:val="left" w:pos="-720"/>
        </w:tabs>
        <w:suppressAutoHyphens/>
        <w:spacing w:line="480" w:lineRule="auto"/>
        <w:rPr>
          <w:rFonts w:ascii="Times New Roman" w:hAnsi="Times New Roman"/>
          <w:szCs w:val="24"/>
        </w:rPr>
      </w:pPr>
    </w:p>
    <w:p w:rsidR="00BE0B08" w:rsidRPr="002568E6" w:rsidP="0062567E" w14:paraId="2A933DE3" w14:textId="77777777">
      <w:pPr>
        <w:pStyle w:val="Heading1"/>
      </w:pPr>
      <w:bookmarkStart w:id="23" w:name="_Toc401831365"/>
      <w:bookmarkStart w:id="24" w:name="_Toc133329834"/>
      <w:bookmarkEnd w:id="20"/>
      <w:bookmarkEnd w:id="21"/>
      <w:r>
        <w:t>A9.  Explain any decisions to provide any payment or gift to respondents.</w:t>
      </w:r>
      <w:bookmarkEnd w:id="23"/>
      <w:bookmarkEnd w:id="24"/>
      <w:r>
        <w:t xml:space="preserve">  </w:t>
      </w:r>
    </w:p>
    <w:p w:rsidR="003333DF" w:rsidRPr="002568E6" w:rsidP="00BE0B08" w14:paraId="2A933DE4" w14:textId="77777777">
      <w:pPr>
        <w:tabs>
          <w:tab w:val="left" w:pos="0"/>
        </w:tabs>
        <w:suppressAutoHyphens/>
        <w:rPr>
          <w:rFonts w:ascii="Times New Roman" w:hAnsi="Times New Roman"/>
          <w:szCs w:val="24"/>
        </w:rPr>
      </w:pPr>
    </w:p>
    <w:p w:rsidR="008528D7" w:rsidP="008528D7" w14:paraId="15CE9328" w14:textId="4CF11E4A">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8528D7" w:rsidP="008528D7" w14:paraId="5923E448" w14:textId="50F99178">
      <w:pPr>
        <w:tabs>
          <w:tab w:val="left" w:pos="0"/>
        </w:tabs>
        <w:suppressAutoHyphens/>
        <w:rPr>
          <w:rFonts w:ascii="Times New Roman" w:hAnsi="Times New Roman"/>
          <w:b/>
          <w:szCs w:val="24"/>
        </w:rPr>
      </w:pPr>
    </w:p>
    <w:p w:rsidR="00ED28F2" w:rsidRPr="00037366" w:rsidP="00037366" w14:paraId="2A933DE7" w14:textId="187C7D40">
      <w:pPr>
        <w:tabs>
          <w:tab w:val="left" w:pos="0"/>
        </w:tabs>
        <w:suppressAutoHyphens/>
        <w:rPr>
          <w:rFonts w:ascii="Times New Roman" w:hAnsi="Times New Roman"/>
          <w:bCs/>
          <w:szCs w:val="24"/>
        </w:rPr>
      </w:pPr>
      <w:r>
        <w:rPr>
          <w:rFonts w:ascii="Times New Roman" w:hAnsi="Times New Roman"/>
          <w:bCs/>
          <w:szCs w:val="24"/>
        </w:rPr>
        <w:tab/>
        <w:t>No payment or gift will be provided to respondents</w:t>
      </w:r>
      <w:r w:rsidR="004266E9">
        <w:rPr>
          <w:rFonts w:ascii="Times New Roman" w:hAnsi="Times New Roman"/>
          <w:bCs/>
          <w:szCs w:val="24"/>
        </w:rPr>
        <w:t>.</w:t>
      </w:r>
    </w:p>
    <w:p w:rsidR="00ED28F2" w:rsidRPr="002568E6" w:rsidP="00ED28F2" w14:paraId="2A933DE8" w14:textId="77777777">
      <w:pPr>
        <w:tabs>
          <w:tab w:val="left" w:pos="-720"/>
        </w:tabs>
        <w:suppressAutoHyphens/>
        <w:spacing w:line="480" w:lineRule="auto"/>
        <w:rPr>
          <w:rFonts w:ascii="Times New Roman" w:hAnsi="Times New Roman"/>
          <w:szCs w:val="24"/>
        </w:rPr>
      </w:pPr>
    </w:p>
    <w:p w:rsidR="00BE0B08" w:rsidRPr="002568E6" w:rsidP="0062567E" w14:paraId="2A933DE9" w14:textId="77777777">
      <w:pPr>
        <w:pStyle w:val="Heading1"/>
      </w:pPr>
      <w:bookmarkStart w:id="25" w:name="_Toc401831366"/>
      <w:bookmarkStart w:id="26" w:name="_Toc133329835"/>
      <w:r>
        <w:t>A10.  Assurances of confidentiality provided to respondents.</w:t>
      </w:r>
      <w:bookmarkEnd w:id="25"/>
      <w:bookmarkEnd w:id="26"/>
      <w:r>
        <w:t xml:space="preserve">  </w:t>
      </w:r>
    </w:p>
    <w:p w:rsidR="003333DF" w:rsidRPr="002568E6" w:rsidP="00BE0B08" w14:paraId="2A933DEA" w14:textId="77777777">
      <w:pPr>
        <w:rPr>
          <w:rFonts w:ascii="Times New Roman" w:hAnsi="Times New Roman"/>
          <w:szCs w:val="24"/>
        </w:rPr>
      </w:pPr>
    </w:p>
    <w:p w:rsidR="003333DF" w:rsidRPr="002568E6" w:rsidP="0062567E" w14:paraId="2A933DEB"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2A933DEC" w14:textId="77777777">
      <w:pPr>
        <w:rPr>
          <w:rFonts w:ascii="Times New Roman" w:hAnsi="Times New Roman"/>
          <w:szCs w:val="24"/>
        </w:rPr>
      </w:pPr>
    </w:p>
    <w:p w:rsidR="00184332" w:rsidP="00184332" w14:paraId="5E5B1CB3" w14:textId="7A22BED4">
      <w:pPr>
        <w:keepNext/>
        <w:spacing w:line="480" w:lineRule="auto"/>
        <w:ind w:firstLine="720"/>
        <w:rPr>
          <w:rFonts w:ascii="Times New Roman" w:hAnsi="Times New Roman"/>
          <w:szCs w:val="24"/>
        </w:rPr>
      </w:pPr>
      <w:bookmarkStart w:id="27" w:name="_Hlk160886011"/>
      <w:r>
        <w:rPr>
          <w:rFonts w:ascii="Times New Roman" w:hAnsi="Times New Roman"/>
          <w:szCs w:val="24"/>
        </w:rPr>
        <w:t xml:space="preserve">The Department </w:t>
      </w:r>
      <w:r>
        <w:rPr>
          <w:rFonts w:ascii="Times New Roman" w:hAnsi="Times New Roman"/>
          <w:szCs w:val="24"/>
        </w:rPr>
        <w:t>complies with the Privacy Act of 1974, 5 U.S.C. Section 552a, which requires the safeguarding of individuals against invasion of privacy</w:t>
      </w:r>
      <w:r w:rsidR="007E6BEB">
        <w:rPr>
          <w:rFonts w:ascii="Times New Roman" w:hAnsi="Times New Roman"/>
          <w:szCs w:val="24"/>
        </w:rPr>
        <w:t>.</w:t>
      </w:r>
      <w:r w:rsidR="001466C8">
        <w:rPr>
          <w:rFonts w:ascii="Times New Roman" w:hAnsi="Times New Roman"/>
          <w:szCs w:val="24"/>
        </w:rPr>
        <w:t xml:space="preserve">  </w:t>
      </w:r>
      <w:r>
        <w:rPr>
          <w:rFonts w:ascii="Times New Roman" w:hAnsi="Times New Roman"/>
          <w:szCs w:val="24"/>
        </w:rPr>
        <w:t>There are some provisions of the proposed rule that require the collection of personally identifiable information (PII) to meet certain program requirements</w:t>
      </w:r>
      <w:r w:rsidR="007E6BEB">
        <w:rPr>
          <w:rFonts w:ascii="Times New Roman" w:hAnsi="Times New Roman"/>
          <w:szCs w:val="24"/>
        </w:rPr>
        <w:t xml:space="preserve">.  </w:t>
      </w:r>
      <w:r w:rsidR="00211C84">
        <w:rPr>
          <w:rFonts w:ascii="Times New Roman" w:hAnsi="Times New Roman"/>
          <w:szCs w:val="24"/>
        </w:rPr>
        <w:t xml:space="preserve">This information collection request has been reviewed and cleared by FNS Privacy Officer, </w:t>
      </w:r>
      <w:r w:rsidR="0010333B">
        <w:rPr>
          <w:rFonts w:ascii="Times New Roman" w:hAnsi="Times New Roman"/>
          <w:szCs w:val="24"/>
        </w:rPr>
        <w:t>Deea Coleman</w:t>
      </w:r>
      <w:r w:rsidR="00211C84">
        <w:rPr>
          <w:rFonts w:ascii="Times New Roman" w:hAnsi="Times New Roman"/>
          <w:szCs w:val="24"/>
        </w:rPr>
        <w:t xml:space="preserve">, on </w:t>
      </w:r>
      <w:r w:rsidR="00664522">
        <w:rPr>
          <w:rFonts w:ascii="Times New Roman" w:hAnsi="Times New Roman"/>
          <w:szCs w:val="24"/>
        </w:rPr>
        <w:t>March 26, 2024, providing no additional comments</w:t>
      </w:r>
      <w:r w:rsidR="00C74221">
        <w:rPr>
          <w:rFonts w:ascii="Times New Roman" w:hAnsi="Times New Roman"/>
          <w:szCs w:val="24"/>
        </w:rPr>
        <w:t>.</w:t>
      </w:r>
    </w:p>
    <w:p w:rsidR="00184332" w:rsidP="00184332" w14:paraId="5C09D81A" w14:textId="21130238">
      <w:pPr>
        <w:keepNext/>
        <w:spacing w:line="480" w:lineRule="auto"/>
        <w:ind w:firstLine="720"/>
        <w:rPr>
          <w:rFonts w:ascii="Times New Roman" w:hAnsi="Times New Roman"/>
          <w:szCs w:val="24"/>
        </w:rPr>
      </w:pPr>
      <w:r>
        <w:rPr>
          <w:rFonts w:ascii="Times New Roman" w:hAnsi="Times New Roman"/>
          <w:szCs w:val="24"/>
        </w:rPr>
        <w:t xml:space="preserve">The serious deficiency process requires the submission of PII of responsible principals and individuals by a sponsor if serious management problems have been identified. Regulations at 7 CFR 225.18(a)(6)(i)(H) require the State agency to inform sponsors to provide the date of birth for any responsible principal or individual as a condition for corrective action while the regulation at 225.18(b) requires that the State agency provide the mailing address and date of birth for each responsible principal and individual to the appropriate FNSRO to be placed on the </w:t>
      </w:r>
      <w:r>
        <w:rPr>
          <w:rFonts w:ascii="Times New Roman" w:hAnsi="Times New Roman"/>
          <w:szCs w:val="24"/>
        </w:rPr>
        <w:t>NDL</w:t>
      </w:r>
      <w:r w:rsidR="00B164CC">
        <w:rPr>
          <w:rFonts w:ascii="Times New Roman" w:hAnsi="Times New Roman"/>
          <w:szCs w:val="24"/>
        </w:rPr>
        <w:t>.</w:t>
      </w:r>
    </w:p>
    <w:p w:rsidR="00664522" w:rsidP="009C4135" w14:paraId="1136E53B" w14:textId="13DDA34A">
      <w:pPr>
        <w:keepNext/>
        <w:spacing w:line="480" w:lineRule="auto"/>
        <w:ind w:firstLine="720"/>
        <w:rPr>
          <w:rFonts w:ascii="Times New Roman" w:hAnsi="Times New Roman"/>
          <w:szCs w:val="24"/>
        </w:rPr>
      </w:pPr>
      <w:bookmarkStart w:id="28" w:name="_Hlk167108862"/>
      <w:r>
        <w:rPr>
          <w:rFonts w:ascii="Times New Roman" w:hAnsi="Times New Roman"/>
          <w:szCs w:val="24"/>
        </w:rPr>
        <w:t xml:space="preserve">The collected PII of responsible principals and individuals is reported on the FNS-843 and FNS-844 forms (Attachments C &amp; D). These electronic forms are used to populate the NDL, which maintains records on disqualified principals and individuals from program participation. Both forms </w:t>
      </w:r>
      <w:r w:rsidR="009C4135">
        <w:rPr>
          <w:rFonts w:ascii="Times New Roman" w:hAnsi="Times New Roman"/>
          <w:szCs w:val="24"/>
        </w:rPr>
        <w:t xml:space="preserve">include a Privacy Act Statement </w:t>
      </w:r>
      <w:r w:rsidR="00BF5056">
        <w:rPr>
          <w:rFonts w:ascii="Times New Roman" w:hAnsi="Times New Roman"/>
          <w:szCs w:val="24"/>
        </w:rPr>
        <w:t xml:space="preserve">which states </w:t>
      </w:r>
      <w:r w:rsidR="009C4135">
        <w:rPr>
          <w:rFonts w:ascii="Times New Roman" w:hAnsi="Times New Roman"/>
          <w:szCs w:val="24"/>
        </w:rPr>
        <w:t>that collected information will be kept private to the extent provided by law under the Privacy Act of 1974</w:t>
      </w:r>
      <w:r w:rsidR="00934B8E">
        <w:rPr>
          <w:rFonts w:ascii="Times New Roman" w:hAnsi="Times New Roman"/>
          <w:szCs w:val="24"/>
        </w:rPr>
        <w:t>.</w:t>
      </w:r>
    </w:p>
    <w:bookmarkEnd w:id="28"/>
    <w:p w:rsidR="009C4135" w:rsidP="00194532" w14:paraId="345DACDF" w14:textId="536FE893">
      <w:pPr>
        <w:keepNext/>
        <w:spacing w:line="480" w:lineRule="auto"/>
        <w:ind w:firstLine="720"/>
        <w:rPr>
          <w:rFonts w:ascii="Times New Roman" w:hAnsi="Times New Roman"/>
          <w:szCs w:val="24"/>
        </w:rPr>
      </w:pPr>
      <w:r>
        <w:rPr>
          <w:rFonts w:ascii="Times New Roman" w:hAnsi="Times New Roman"/>
          <w:szCs w:val="24"/>
        </w:rPr>
        <w:t>In regards to the NDL, t</w:t>
      </w:r>
      <w:r w:rsidR="00184332">
        <w:rPr>
          <w:rFonts w:ascii="Times New Roman" w:hAnsi="Times New Roman"/>
          <w:szCs w:val="24"/>
        </w:rPr>
        <w:t xml:space="preserve">he Computer Matching Act, 5 U.S.C. 552a(o), applies when a Federal agency conducts a computer match of two or more personally identifiable information records for establishing or verifying eligibility under a Federal benefit program. Current regulations do not stipulate the use of the NDL </w:t>
      </w:r>
      <w:r w:rsidR="00211C84">
        <w:rPr>
          <w:rFonts w:ascii="Times New Roman" w:hAnsi="Times New Roman"/>
          <w:szCs w:val="24"/>
        </w:rPr>
        <w:t>in regard to</w:t>
      </w:r>
      <w:r w:rsidR="00184332">
        <w:rPr>
          <w:rFonts w:ascii="Times New Roman" w:hAnsi="Times New Roman"/>
          <w:szCs w:val="24"/>
        </w:rPr>
        <w:t xml:space="preserve"> the SFSP. </w:t>
      </w:r>
      <w:r w:rsidR="00211C84">
        <w:rPr>
          <w:rFonts w:ascii="Times New Roman" w:hAnsi="Times New Roman"/>
          <w:szCs w:val="24"/>
        </w:rPr>
        <w:t>The NDL is being extended to the SFSP, as part of the proposed rule, to protect program integrity.</w:t>
      </w:r>
      <w:r>
        <w:rPr>
          <w:rFonts w:ascii="Times New Roman" w:hAnsi="Times New Roman"/>
          <w:szCs w:val="24"/>
        </w:rPr>
        <w:t xml:space="preserve"> </w:t>
      </w:r>
      <w:r w:rsidR="00211C84">
        <w:rPr>
          <w:rFonts w:ascii="Times New Roman" w:hAnsi="Times New Roman"/>
          <w:szCs w:val="24"/>
        </w:rPr>
        <w:t>With the extension, the proposed rule introduces new provisions that make the NDL compliant with the Computer Matching Act</w:t>
      </w:r>
      <w:r w:rsidR="00934B8E">
        <w:rPr>
          <w:rFonts w:ascii="Times New Roman" w:hAnsi="Times New Roman"/>
          <w:szCs w:val="24"/>
        </w:rPr>
        <w:t>.</w:t>
      </w:r>
    </w:p>
    <w:p w:rsidR="00037366" w:rsidRPr="002568E6" w:rsidP="00194532" w14:paraId="005D5BE0" w14:textId="5FD99D0E">
      <w:pPr>
        <w:keepNext/>
        <w:spacing w:line="480" w:lineRule="auto"/>
        <w:ind w:firstLine="720"/>
        <w:rPr>
          <w:rFonts w:ascii="Times New Roman" w:hAnsi="Times New Roman"/>
          <w:szCs w:val="24"/>
        </w:rPr>
      </w:pPr>
      <w:r>
        <w:rPr>
          <w:rFonts w:ascii="Times New Roman" w:hAnsi="Times New Roman"/>
          <w:szCs w:val="24"/>
        </w:rPr>
        <w:t>N</w:t>
      </w:r>
      <w:r w:rsidR="00184332">
        <w:rPr>
          <w:rFonts w:ascii="Times New Roman" w:hAnsi="Times New Roman"/>
          <w:szCs w:val="24"/>
        </w:rPr>
        <w:t xml:space="preserve">ew provisions </w:t>
      </w:r>
      <w:r w:rsidR="009C4135">
        <w:rPr>
          <w:rFonts w:ascii="Times New Roman" w:hAnsi="Times New Roman"/>
          <w:szCs w:val="24"/>
        </w:rPr>
        <w:t>have been</w:t>
      </w:r>
      <w:r w:rsidR="00184332">
        <w:rPr>
          <w:rFonts w:ascii="Times New Roman" w:hAnsi="Times New Roman"/>
          <w:szCs w:val="24"/>
        </w:rPr>
        <w:t xml:space="preserve"> added at 22</w:t>
      </w:r>
      <w:r>
        <w:rPr>
          <w:rFonts w:ascii="Times New Roman" w:hAnsi="Times New Roman"/>
          <w:szCs w:val="24"/>
        </w:rPr>
        <w:t>5.18(e)(3)</w:t>
      </w:r>
      <w:r w:rsidR="00184332">
        <w:rPr>
          <w:rFonts w:ascii="Times New Roman" w:hAnsi="Times New Roman"/>
          <w:szCs w:val="24"/>
        </w:rPr>
        <w:t xml:space="preserve"> to make the NDL compliant with the Computer Matching Act. The new provisions require each State agency to enter into a written matching agreement with FNS to address procedures and protections for disclosure and privacy of personally identifiable information records on the NDL. Additional proposed requirements advise State agencies on the use of matching agreements, independent verification of matching information, appropriate use of disqualification data, and safeguards to protect individuals who may be incorrectly placed on the NDL through human error or technical lapses in the system. State agencies must also provide an opportunity for individuals placed on the NDL to ensure that </w:t>
      </w:r>
      <w:r w:rsidR="00184332">
        <w:rPr>
          <w:rFonts w:ascii="Times New Roman" w:hAnsi="Times New Roman"/>
          <w:szCs w:val="24"/>
        </w:rPr>
        <w:t>the record is accurate</w:t>
      </w:r>
      <w:r w:rsidR="00237F88">
        <w:rPr>
          <w:rFonts w:ascii="Times New Roman" w:hAnsi="Times New Roman"/>
          <w:szCs w:val="24"/>
        </w:rPr>
        <w:t>.</w:t>
      </w:r>
    </w:p>
    <w:p w:rsidR="00D85D57" w:rsidP="0062567E" w14:paraId="3C10CFBD" w14:textId="77777777">
      <w:pPr>
        <w:pStyle w:val="Heading1"/>
      </w:pPr>
      <w:bookmarkStart w:id="29" w:name="_Toc401831367"/>
      <w:bookmarkStart w:id="30" w:name="_Toc133329836"/>
      <w:bookmarkEnd w:id="27"/>
    </w:p>
    <w:p w:rsidR="00A308DB" w:rsidRPr="002568E6" w:rsidP="0062567E" w14:paraId="2A933DEF" w14:textId="22F56AD9">
      <w:pPr>
        <w:pStyle w:val="Heading1"/>
      </w:pPr>
      <w:r>
        <w:t>A11.  Justification for any questions of a sensitive nature.</w:t>
      </w:r>
      <w:bookmarkEnd w:id="29"/>
      <w:bookmarkEnd w:id="30"/>
      <w:r>
        <w:t xml:space="preserve">  </w:t>
      </w:r>
      <w:r w:rsidR="005A3F80">
        <w:t xml:space="preserve">  </w:t>
      </w:r>
    </w:p>
    <w:p w:rsidR="003333DF" w:rsidRPr="002568E6" w:rsidP="00BE0B08" w14:paraId="2A933DF0" w14:textId="77777777">
      <w:pPr>
        <w:tabs>
          <w:tab w:val="left" w:pos="0"/>
        </w:tabs>
        <w:suppressAutoHyphens/>
        <w:rPr>
          <w:rFonts w:ascii="Times New Roman" w:hAnsi="Times New Roman"/>
          <w:szCs w:val="24"/>
        </w:rPr>
      </w:pPr>
    </w:p>
    <w:p w:rsidR="00ED28F2" w:rsidP="008E1F5B" w14:paraId="2A933DF3" w14:textId="3F2D4CD1">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5D12F0">
        <w:rPr>
          <w:rFonts w:ascii="Times New Roman" w:hAnsi="Times New Roman"/>
          <w:b/>
          <w:szCs w:val="24"/>
        </w:rPr>
        <w:t>.</w:t>
      </w:r>
    </w:p>
    <w:p w:rsidR="008E1F5B" w:rsidP="008E1F5B" w14:paraId="3DFC5E5D" w14:textId="15BCEDFB">
      <w:pPr>
        <w:tabs>
          <w:tab w:val="left" w:pos="0"/>
        </w:tabs>
        <w:suppressAutoHyphens/>
        <w:rPr>
          <w:rFonts w:ascii="Times New Roman" w:hAnsi="Times New Roman"/>
          <w:b/>
          <w:szCs w:val="24"/>
        </w:rPr>
      </w:pPr>
    </w:p>
    <w:p w:rsidR="008E1F5B" w:rsidRPr="008E1F5B" w:rsidP="008E1F5B" w14:paraId="0C0261A5" w14:textId="3DC191D2">
      <w:pPr>
        <w:tabs>
          <w:tab w:val="left" w:pos="0"/>
        </w:tabs>
        <w:suppressAutoHyphens/>
        <w:rPr>
          <w:rFonts w:ascii="Times New Roman" w:hAnsi="Times New Roman"/>
          <w:bCs/>
          <w:szCs w:val="24"/>
        </w:rPr>
      </w:pPr>
      <w:r>
        <w:rPr>
          <w:rFonts w:ascii="Times New Roman" w:hAnsi="Times New Roman"/>
          <w:bCs/>
          <w:szCs w:val="24"/>
        </w:rPr>
        <w:tab/>
      </w:r>
    </w:p>
    <w:p w:rsidR="00211C84" w:rsidP="00211C84" w14:paraId="2082D9E2" w14:textId="22C59ED7">
      <w:pPr>
        <w:tabs>
          <w:tab w:val="left" w:pos="-720"/>
        </w:tabs>
        <w:suppressAutoHyphens/>
        <w:spacing w:line="480" w:lineRule="auto"/>
        <w:rPr>
          <w:rFonts w:ascii="Times New Roman" w:hAnsi="Times New Roman"/>
          <w:szCs w:val="24"/>
        </w:rPr>
      </w:pPr>
      <w:r>
        <w:rPr>
          <w:rFonts w:ascii="Times New Roman" w:hAnsi="Times New Roman"/>
          <w:szCs w:val="24"/>
        </w:rPr>
        <w:tab/>
      </w:r>
      <w:bookmarkStart w:id="31" w:name="_Hlk160886154"/>
      <w:r>
        <w:rPr>
          <w:rFonts w:ascii="Times New Roman" w:hAnsi="Times New Roman"/>
          <w:szCs w:val="24"/>
        </w:rPr>
        <w:t>Provisions introduced by the proposed rule will ask for information regarding debts owed to the program of responsible principals and individuals</w:t>
      </w:r>
      <w:r w:rsidR="00A310A0">
        <w:rPr>
          <w:rFonts w:ascii="Times New Roman" w:hAnsi="Times New Roman"/>
          <w:szCs w:val="24"/>
        </w:rPr>
        <w:t xml:space="preserve">.  </w:t>
      </w:r>
      <w:r>
        <w:rPr>
          <w:rFonts w:ascii="Times New Roman" w:hAnsi="Times New Roman"/>
          <w:szCs w:val="24"/>
        </w:rPr>
        <w:t>When the State agency issues a notice of termination, disqualification, and serious deficiency, it must submit a copy of the notice to FNS, along with information on the full amount of any determined debt associated with the sponsor</w:t>
      </w:r>
      <w:r w:rsidR="00BC4D2F">
        <w:rPr>
          <w:rFonts w:ascii="Times New Roman" w:hAnsi="Times New Roman"/>
          <w:szCs w:val="24"/>
        </w:rPr>
        <w:t xml:space="preserve"> and </w:t>
      </w:r>
      <w:r>
        <w:rPr>
          <w:rFonts w:ascii="Times New Roman" w:hAnsi="Times New Roman"/>
          <w:szCs w:val="24"/>
        </w:rPr>
        <w:t>responsible principals and individuals, for inclusion on the NDL</w:t>
      </w:r>
      <w:r w:rsidR="00987BDE">
        <w:rPr>
          <w:rFonts w:ascii="Times New Roman" w:hAnsi="Times New Roman"/>
          <w:szCs w:val="24"/>
        </w:rPr>
        <w:t>.</w:t>
      </w:r>
    </w:p>
    <w:p w:rsidR="00211C84" w:rsidP="00211C84" w14:paraId="56ED7DE1" w14:textId="3B5C46FF">
      <w:pPr>
        <w:tabs>
          <w:tab w:val="left" w:pos="-720"/>
        </w:tabs>
        <w:suppressAutoHyphens/>
        <w:spacing w:line="480" w:lineRule="auto"/>
        <w:rPr>
          <w:rFonts w:ascii="Times New Roman" w:hAnsi="Times New Roman"/>
          <w:szCs w:val="24"/>
        </w:rPr>
      </w:pPr>
      <w:r>
        <w:rPr>
          <w:rFonts w:ascii="Times New Roman" w:hAnsi="Times New Roman"/>
          <w:szCs w:val="24"/>
        </w:rPr>
        <w:tab/>
        <w:t xml:space="preserve">The proposed rule will introduce new regulations at </w:t>
      </w:r>
      <w:r w:rsidR="00EC3C78">
        <w:rPr>
          <w:rFonts w:ascii="Times New Roman" w:hAnsi="Times New Roman"/>
          <w:szCs w:val="24"/>
        </w:rPr>
        <w:t xml:space="preserve">7 </w:t>
      </w:r>
      <w:r>
        <w:rPr>
          <w:rFonts w:ascii="Times New Roman" w:hAnsi="Times New Roman"/>
          <w:szCs w:val="24"/>
        </w:rPr>
        <w:t>CFR 225.18(e)(3) to make the NDL fully compliant with the Computer Matching Act, 5 U.S.C. 522a(o). The new provisions require each State agency to enter into a written matching agreement with FNS to address procedures and protections for disclosure and privacy of personally identifiable information records on the NDL. Additional proposed requirements advise State agencies on the use of matching agreements, independent verification of matching information, appropriate use of disqualification data, and safeguards to protect individuals who may be incorrectly placed on the NDL through human error or technical lapses in the system</w:t>
      </w:r>
      <w:r w:rsidR="00B71940">
        <w:rPr>
          <w:rFonts w:ascii="Times New Roman" w:hAnsi="Times New Roman"/>
          <w:szCs w:val="24"/>
        </w:rPr>
        <w:t xml:space="preserve">.  </w:t>
      </w:r>
      <w:r>
        <w:rPr>
          <w:rFonts w:ascii="Times New Roman" w:hAnsi="Times New Roman"/>
          <w:szCs w:val="24"/>
        </w:rPr>
        <w:t>State agencies must also provide an opportunity for individuals placed on the NDL to ensure that the record is accurate. These provisions apply to all information submitted to the NDL, including the debts owed to the Program by responsible principals and individuals</w:t>
      </w:r>
      <w:r w:rsidR="0017400C">
        <w:rPr>
          <w:rFonts w:ascii="Times New Roman" w:hAnsi="Times New Roman"/>
          <w:szCs w:val="24"/>
        </w:rPr>
        <w:t>.</w:t>
      </w:r>
    </w:p>
    <w:p w:rsidR="00211C84" w:rsidP="00211C84" w14:paraId="70030537" w14:textId="1F2100AB">
      <w:pPr>
        <w:tabs>
          <w:tab w:val="left" w:pos="-720"/>
        </w:tabs>
        <w:suppressAutoHyphens/>
        <w:spacing w:line="480" w:lineRule="auto"/>
        <w:rPr>
          <w:rFonts w:ascii="Times New Roman" w:hAnsi="Times New Roman"/>
          <w:szCs w:val="24"/>
        </w:rPr>
      </w:pPr>
      <w:r>
        <w:rPr>
          <w:rFonts w:ascii="Times New Roman" w:hAnsi="Times New Roman"/>
          <w:szCs w:val="24"/>
        </w:rPr>
        <w:tab/>
        <w:t xml:space="preserve">Information on debts owed to the Program are important to ensure that the integrity of the </w:t>
      </w:r>
      <w:r>
        <w:rPr>
          <w:rFonts w:ascii="Times New Roman" w:hAnsi="Times New Roman"/>
          <w:szCs w:val="24"/>
        </w:rPr>
        <w:t>Program is protected. Fiscal claims are assessed against Program operators when they have been made in error and ensure the financial viability of the Program. This is in line with other Child Nutrition Programs</w:t>
      </w:r>
      <w:r w:rsidR="0017400C">
        <w:rPr>
          <w:rFonts w:ascii="Times New Roman" w:hAnsi="Times New Roman"/>
          <w:szCs w:val="24"/>
        </w:rPr>
        <w:t>.</w:t>
      </w:r>
    </w:p>
    <w:p w:rsidR="00ED28F2" w:rsidP="00ED28F2" w14:paraId="2A933DF4" w14:textId="02728AEF">
      <w:pPr>
        <w:tabs>
          <w:tab w:val="left" w:pos="-720"/>
        </w:tabs>
        <w:suppressAutoHyphens/>
        <w:spacing w:line="480" w:lineRule="auto"/>
        <w:rPr>
          <w:rFonts w:ascii="Times New Roman" w:hAnsi="Times New Roman"/>
          <w:szCs w:val="24"/>
        </w:rPr>
      </w:pPr>
      <w:r>
        <w:rPr>
          <w:rFonts w:ascii="Times New Roman" w:hAnsi="Times New Roman"/>
          <w:szCs w:val="24"/>
        </w:rPr>
        <w:tab/>
        <w:t xml:space="preserve">In the proposed rule, sponsors with identified serious management problems are required to fully implement all corrective actions and pay any debts owed to the Program to return to "good standing" and exit the serious deficiency process. Should a sponsor fail to comply with these requirements, responsible principals and individuals would be disqualified and placed on the NDL, along with information </w:t>
      </w:r>
      <w:r w:rsidR="00155A48">
        <w:rPr>
          <w:rFonts w:ascii="Times New Roman" w:hAnsi="Times New Roman"/>
          <w:szCs w:val="24"/>
        </w:rPr>
        <w:t xml:space="preserve">concerning </w:t>
      </w:r>
      <w:r w:rsidR="00E62F5B">
        <w:rPr>
          <w:rFonts w:ascii="Times New Roman" w:hAnsi="Times New Roman"/>
          <w:szCs w:val="24"/>
        </w:rPr>
        <w:t>t</w:t>
      </w:r>
      <w:r w:rsidR="00155A48">
        <w:rPr>
          <w:rFonts w:ascii="Times New Roman" w:hAnsi="Times New Roman"/>
          <w:szCs w:val="24"/>
        </w:rPr>
        <w:t xml:space="preserve">heir </w:t>
      </w:r>
      <w:r>
        <w:rPr>
          <w:rFonts w:ascii="Times New Roman" w:hAnsi="Times New Roman"/>
          <w:szCs w:val="24"/>
        </w:rPr>
        <w:t xml:space="preserve">debts owed to the Program. After a period of 7 years, disqualified principals and individuals would have to repay </w:t>
      </w:r>
      <w:r w:rsidR="00DB44CA">
        <w:rPr>
          <w:rFonts w:ascii="Times New Roman" w:hAnsi="Times New Roman"/>
          <w:szCs w:val="24"/>
        </w:rPr>
        <w:t xml:space="preserve">the </w:t>
      </w:r>
      <w:r>
        <w:rPr>
          <w:rFonts w:ascii="Times New Roman" w:hAnsi="Times New Roman"/>
          <w:szCs w:val="24"/>
        </w:rPr>
        <w:t xml:space="preserve">debts </w:t>
      </w:r>
      <w:r w:rsidR="0070001D">
        <w:rPr>
          <w:rFonts w:ascii="Times New Roman" w:hAnsi="Times New Roman"/>
          <w:szCs w:val="24"/>
        </w:rPr>
        <w:t xml:space="preserve">they </w:t>
      </w:r>
      <w:r>
        <w:rPr>
          <w:rFonts w:ascii="Times New Roman" w:hAnsi="Times New Roman"/>
          <w:szCs w:val="24"/>
        </w:rPr>
        <w:t xml:space="preserve">owe to participate in the Program again. These requirements ensure that disqualified principals and individuals are prohibited from Program participation </w:t>
      </w:r>
      <w:r w:rsidR="00247E48">
        <w:rPr>
          <w:rFonts w:ascii="Times New Roman" w:hAnsi="Times New Roman"/>
          <w:szCs w:val="24"/>
        </w:rPr>
        <w:t xml:space="preserve">in order to protect </w:t>
      </w:r>
      <w:r>
        <w:rPr>
          <w:rFonts w:ascii="Times New Roman" w:hAnsi="Times New Roman"/>
          <w:szCs w:val="24"/>
        </w:rPr>
        <w:t>the integrity of the Program</w:t>
      </w:r>
      <w:r w:rsidR="0017400C">
        <w:rPr>
          <w:rFonts w:ascii="Times New Roman" w:hAnsi="Times New Roman"/>
          <w:szCs w:val="24"/>
        </w:rPr>
        <w:t>.</w:t>
      </w:r>
    </w:p>
    <w:p w:rsidR="00727D69" w:rsidRPr="002568E6" w:rsidP="00ED28F2" w14:paraId="124B1371" w14:textId="77777777">
      <w:pPr>
        <w:tabs>
          <w:tab w:val="left" w:pos="-720"/>
        </w:tabs>
        <w:suppressAutoHyphens/>
        <w:spacing w:line="480" w:lineRule="auto"/>
        <w:rPr>
          <w:rFonts w:ascii="Times New Roman" w:hAnsi="Times New Roman"/>
          <w:szCs w:val="24"/>
        </w:rPr>
      </w:pPr>
    </w:p>
    <w:p w:rsidR="000438E8" w:rsidRPr="002568E6" w:rsidP="0062567E" w14:paraId="2A933DF5" w14:textId="77777777">
      <w:pPr>
        <w:pStyle w:val="Heading1"/>
      </w:pPr>
      <w:bookmarkStart w:id="32" w:name="_Toc401831368"/>
      <w:bookmarkStart w:id="33" w:name="_Toc133329837"/>
      <w:bookmarkEnd w:id="31"/>
      <w:r w:rsidRPr="007455CD">
        <w:t>A12.  Estimates of</w:t>
      </w:r>
      <w:r>
        <w:t xml:space="preserve"> the hour burden of the collection of information.</w:t>
      </w:r>
      <w:bookmarkEnd w:id="32"/>
      <w:bookmarkEnd w:id="33"/>
      <w:r>
        <w:t xml:space="preserve">  </w:t>
      </w:r>
    </w:p>
    <w:p w:rsidR="003333DF" w:rsidRPr="002568E6" w:rsidP="000438E8" w14:paraId="2A933DF6" w14:textId="77777777">
      <w:pPr>
        <w:tabs>
          <w:tab w:val="left" w:pos="0"/>
        </w:tabs>
        <w:suppressAutoHyphens/>
        <w:rPr>
          <w:rFonts w:ascii="Times New Roman" w:hAnsi="Times New Roman"/>
          <w:b/>
          <w:szCs w:val="24"/>
        </w:rPr>
      </w:pPr>
    </w:p>
    <w:p w:rsidR="003333DF" w:rsidRPr="002568E6" w:rsidP="000438E8" w14:paraId="2A933DF7"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2A933DF8" w14:textId="77777777">
      <w:pPr>
        <w:tabs>
          <w:tab w:val="left" w:pos="0"/>
        </w:tabs>
        <w:suppressAutoHyphens/>
        <w:rPr>
          <w:rFonts w:ascii="Times New Roman" w:hAnsi="Times New Roman"/>
          <w:b/>
          <w:szCs w:val="24"/>
        </w:rPr>
      </w:pPr>
    </w:p>
    <w:p w:rsidR="003333DF" w:rsidRPr="002568E6" w:rsidP="003333DF" w14:paraId="2A933DF9"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8E6" w:rsidP="00ED28F2" w14:paraId="2A933DFA" w14:textId="77777777">
      <w:pPr>
        <w:tabs>
          <w:tab w:val="left" w:pos="-720"/>
        </w:tabs>
        <w:suppressAutoHyphens/>
        <w:rPr>
          <w:rFonts w:ascii="Times New Roman" w:hAnsi="Times New Roman"/>
          <w:szCs w:val="24"/>
        </w:rPr>
      </w:pPr>
    </w:p>
    <w:p w:rsidR="003302DC" w:rsidP="00ED28F2" w14:paraId="733F3621" w14:textId="2E27DB38">
      <w:pPr>
        <w:tabs>
          <w:tab w:val="left" w:pos="-720"/>
        </w:tabs>
        <w:suppressAutoHyphens/>
        <w:spacing w:line="480" w:lineRule="auto"/>
        <w:rPr>
          <w:rFonts w:ascii="Times New Roman" w:hAnsi="Times New Roman"/>
          <w:szCs w:val="24"/>
        </w:rPr>
      </w:pPr>
      <w:r>
        <w:rPr>
          <w:rFonts w:ascii="Times New Roman" w:hAnsi="Times New Roman"/>
          <w:szCs w:val="24"/>
        </w:rPr>
        <w:tab/>
      </w:r>
      <w:r w:rsidRPr="002B6140">
        <w:rPr>
          <w:rFonts w:ascii="Times New Roman" w:hAnsi="Times New Roman"/>
          <w:szCs w:val="24"/>
        </w:rPr>
        <w:t>This is a revision to a currently approved information collection</w:t>
      </w:r>
      <w:r w:rsidR="000A24DB">
        <w:rPr>
          <w:rFonts w:ascii="Times New Roman" w:hAnsi="Times New Roman"/>
          <w:szCs w:val="24"/>
        </w:rPr>
        <w:t xml:space="preserve"> resulting from a proposed rulemaking</w:t>
      </w:r>
      <w:r w:rsidR="000E5B68">
        <w:rPr>
          <w:rFonts w:ascii="Times New Roman" w:hAnsi="Times New Roman"/>
          <w:szCs w:val="24"/>
        </w:rPr>
        <w:t>, which is adding</w:t>
      </w:r>
      <w:r w:rsidR="00EA500A">
        <w:rPr>
          <w:rFonts w:ascii="Times New Roman" w:hAnsi="Times New Roman"/>
          <w:szCs w:val="24"/>
        </w:rPr>
        <w:t xml:space="preserve"> new requirements and burden to the collection, as well as revising existing requirements and burden. </w:t>
      </w:r>
      <w:r w:rsidR="006768A6">
        <w:rPr>
          <w:rFonts w:ascii="Times New Roman" w:hAnsi="Times New Roman"/>
          <w:szCs w:val="24"/>
        </w:rPr>
        <w:t xml:space="preserve"> </w:t>
      </w:r>
      <w:r w:rsidR="00395DDA">
        <w:rPr>
          <w:rFonts w:ascii="Times New Roman" w:hAnsi="Times New Roman"/>
          <w:szCs w:val="24"/>
        </w:rPr>
        <w:t xml:space="preserve">FNS estimates that the proposals outlined in the rulemaking </w:t>
      </w:r>
      <w:r w:rsidR="00625D82">
        <w:rPr>
          <w:rFonts w:ascii="Times New Roman" w:hAnsi="Times New Roman"/>
          <w:szCs w:val="24"/>
        </w:rPr>
        <w:t xml:space="preserve">will have 1,463 respondents, 13,097 responses, and 9,959 total burden hours.  </w:t>
      </w:r>
      <w:r w:rsidR="00894379">
        <w:rPr>
          <w:rFonts w:ascii="Times New Roman" w:hAnsi="Times New Roman"/>
          <w:szCs w:val="24"/>
        </w:rPr>
        <w:t xml:space="preserve">We estimate that this rulemaking could increase the burden to </w:t>
      </w:r>
      <w:r w:rsidR="00FB1352">
        <w:rPr>
          <w:rFonts w:ascii="Times New Roman" w:hAnsi="Times New Roman"/>
          <w:szCs w:val="24"/>
        </w:rPr>
        <w:t>404,</w:t>
      </w:r>
      <w:r w:rsidR="00E921EC">
        <w:rPr>
          <w:rFonts w:ascii="Times New Roman" w:hAnsi="Times New Roman"/>
          <w:szCs w:val="24"/>
        </w:rPr>
        <w:t>648</w:t>
      </w:r>
      <w:r w:rsidR="00FB1352">
        <w:rPr>
          <w:rFonts w:ascii="Times New Roman" w:hAnsi="Times New Roman"/>
          <w:szCs w:val="24"/>
        </w:rPr>
        <w:t xml:space="preserve"> responses and 472,</w:t>
      </w:r>
      <w:r w:rsidR="00E87587">
        <w:rPr>
          <w:rFonts w:ascii="Times New Roman" w:hAnsi="Times New Roman"/>
          <w:szCs w:val="24"/>
        </w:rPr>
        <w:t>41</w:t>
      </w:r>
      <w:r w:rsidR="00CE2511">
        <w:rPr>
          <w:rFonts w:ascii="Times New Roman" w:hAnsi="Times New Roman"/>
          <w:szCs w:val="24"/>
        </w:rPr>
        <w:t>9</w:t>
      </w:r>
      <w:r w:rsidR="00FB1352">
        <w:rPr>
          <w:rFonts w:ascii="Times New Roman" w:hAnsi="Times New Roman"/>
          <w:szCs w:val="24"/>
        </w:rPr>
        <w:t xml:space="preserve"> burden </w:t>
      </w:r>
      <w:r w:rsidR="00FB1352">
        <w:rPr>
          <w:rFonts w:ascii="Times New Roman" w:hAnsi="Times New Roman"/>
          <w:szCs w:val="24"/>
        </w:rPr>
        <w:t>hours</w:t>
      </w:r>
      <w:r w:rsidR="00F7240C">
        <w:rPr>
          <w:rFonts w:ascii="Times New Roman" w:hAnsi="Times New Roman"/>
          <w:szCs w:val="24"/>
        </w:rPr>
        <w:t>, with the total number of respondents remaining the same</w:t>
      </w:r>
      <w:r w:rsidR="00793F24">
        <w:rPr>
          <w:rFonts w:ascii="Times New Roman" w:hAnsi="Times New Roman"/>
          <w:szCs w:val="24"/>
        </w:rPr>
        <w:t>.</w:t>
      </w:r>
    </w:p>
    <w:p w:rsidR="003302DC" w:rsidP="00ED28F2" w14:paraId="655D696F" w14:textId="7F51CEFD">
      <w:pPr>
        <w:tabs>
          <w:tab w:val="left" w:pos="-720"/>
        </w:tabs>
        <w:suppressAutoHyphens/>
        <w:spacing w:line="480" w:lineRule="auto"/>
        <w:rPr>
          <w:rFonts w:ascii="Times New Roman" w:hAnsi="Times New Roman"/>
          <w:szCs w:val="24"/>
        </w:rPr>
      </w:pPr>
      <w:r>
        <w:rPr>
          <w:rFonts w:ascii="Times New Roman" w:hAnsi="Times New Roman"/>
          <w:szCs w:val="24"/>
        </w:rPr>
        <w:tab/>
      </w:r>
      <w:r w:rsidR="00651894">
        <w:rPr>
          <w:rFonts w:ascii="Times New Roman" w:hAnsi="Times New Roman"/>
          <w:szCs w:val="24"/>
        </w:rPr>
        <w:t>To estimate reporting, recordkeeping, and public disclosure burdens for this submission, we analyzed each provision involving information collection to identify tasks necessary for compliance. We then identified the frequency with which a “typical” State or local government agency, institution</w:t>
      </w:r>
      <w:r w:rsidR="00183B49">
        <w:rPr>
          <w:rFonts w:ascii="Times New Roman" w:hAnsi="Times New Roman"/>
          <w:szCs w:val="24"/>
        </w:rPr>
        <w:t xml:space="preserve"> (sponsor)</w:t>
      </w:r>
      <w:r w:rsidR="00651894">
        <w:rPr>
          <w:rFonts w:ascii="Times New Roman" w:hAnsi="Times New Roman"/>
          <w:szCs w:val="24"/>
        </w:rPr>
        <w:t>, camp, or individual/household</w:t>
      </w:r>
      <w:r w:rsidR="001329B5">
        <w:rPr>
          <w:rFonts w:ascii="Times New Roman" w:hAnsi="Times New Roman"/>
          <w:szCs w:val="24"/>
        </w:rPr>
        <w:t xml:space="preserve"> performs each task or requirement and estimated the amount of time needed to perform the task. The burden estimates for this submission account for all the different methods used by respondents to perform each task (i</w:t>
      </w:r>
      <w:r w:rsidR="001C7536">
        <w:rPr>
          <w:rFonts w:ascii="Times New Roman" w:hAnsi="Times New Roman"/>
          <w:szCs w:val="24"/>
        </w:rPr>
        <w:t>.</w:t>
      </w:r>
      <w:r w:rsidR="001329B5">
        <w:rPr>
          <w:rFonts w:ascii="Times New Roman" w:hAnsi="Times New Roman"/>
          <w:szCs w:val="24"/>
        </w:rPr>
        <w:t xml:space="preserve">e., using different methods for the </w:t>
      </w:r>
      <w:r w:rsidR="0098563F">
        <w:rPr>
          <w:rFonts w:ascii="Times New Roman" w:hAnsi="Times New Roman"/>
          <w:szCs w:val="24"/>
        </w:rPr>
        <w:t>same information, such as paper and electronic formats)</w:t>
      </w:r>
      <w:r w:rsidR="000C0DDD">
        <w:rPr>
          <w:rFonts w:ascii="Times New Roman" w:hAnsi="Times New Roman"/>
          <w:szCs w:val="24"/>
        </w:rPr>
        <w:t>.</w:t>
      </w:r>
    </w:p>
    <w:p w:rsidR="006B5B2D" w:rsidP="00ED28F2" w14:paraId="4FF6558B" w14:textId="4154813B">
      <w:pPr>
        <w:tabs>
          <w:tab w:val="left" w:pos="-720"/>
        </w:tabs>
        <w:suppressAutoHyphens/>
        <w:spacing w:line="480" w:lineRule="auto"/>
        <w:rPr>
          <w:rFonts w:ascii="Times New Roman" w:hAnsi="Times New Roman"/>
          <w:szCs w:val="24"/>
        </w:rPr>
      </w:pPr>
      <w:r>
        <w:rPr>
          <w:rFonts w:ascii="Times New Roman" w:hAnsi="Times New Roman"/>
          <w:szCs w:val="24"/>
        </w:rPr>
        <w:tab/>
      </w:r>
      <w:r w:rsidR="00040E5E">
        <w:rPr>
          <w:rFonts w:ascii="Times New Roman" w:hAnsi="Times New Roman"/>
          <w:szCs w:val="24"/>
        </w:rPr>
        <w:t xml:space="preserve">Data collected from the National Data Bank (NDB), maintained by FNS, were used to determine the number of Local government agency and Business-level sponsors </w:t>
      </w:r>
      <w:r w:rsidR="00E969F2">
        <w:rPr>
          <w:rFonts w:ascii="Times New Roman" w:hAnsi="Times New Roman"/>
          <w:szCs w:val="24"/>
        </w:rPr>
        <w:t xml:space="preserve">who </w:t>
      </w:r>
      <w:r w:rsidR="00040E5E">
        <w:rPr>
          <w:rFonts w:ascii="Times New Roman" w:hAnsi="Times New Roman"/>
          <w:szCs w:val="24"/>
        </w:rPr>
        <w:t>would be impacted by the proposed requirements and</w:t>
      </w:r>
      <w:r w:rsidR="00E969F2">
        <w:rPr>
          <w:rFonts w:ascii="Times New Roman" w:hAnsi="Times New Roman"/>
          <w:szCs w:val="24"/>
        </w:rPr>
        <w:t xml:space="preserve"> the number of times </w:t>
      </w:r>
      <w:r w:rsidR="00040E5E">
        <w:rPr>
          <w:rFonts w:ascii="Times New Roman" w:hAnsi="Times New Roman"/>
          <w:szCs w:val="24"/>
        </w:rPr>
        <w:t>that State agencies would have to apply the requirements</w:t>
      </w:r>
      <w:r w:rsidR="00E969F2">
        <w:rPr>
          <w:rFonts w:ascii="Times New Roman" w:hAnsi="Times New Roman"/>
          <w:szCs w:val="24"/>
        </w:rPr>
        <w:t xml:space="preserve"> per year</w:t>
      </w:r>
      <w:r w:rsidR="00040E5E">
        <w:rPr>
          <w:rFonts w:ascii="Times New Roman" w:hAnsi="Times New Roman"/>
          <w:szCs w:val="24"/>
        </w:rPr>
        <w:t xml:space="preserve"> (Attachment </w:t>
      </w:r>
      <w:r w:rsidR="0018464C">
        <w:rPr>
          <w:rFonts w:ascii="Times New Roman" w:hAnsi="Times New Roman"/>
          <w:szCs w:val="24"/>
        </w:rPr>
        <w:t>G</w:t>
      </w:r>
      <w:r w:rsidR="00040E5E">
        <w:rPr>
          <w:rFonts w:ascii="Times New Roman" w:hAnsi="Times New Roman"/>
          <w:szCs w:val="24"/>
        </w:rPr>
        <w:t>)</w:t>
      </w:r>
      <w:r w:rsidR="000C0DDD">
        <w:rPr>
          <w:rFonts w:ascii="Times New Roman" w:hAnsi="Times New Roman"/>
          <w:szCs w:val="24"/>
        </w:rPr>
        <w:t xml:space="preserve">.  </w:t>
      </w:r>
      <w:r w:rsidR="00B13639">
        <w:rPr>
          <w:rFonts w:ascii="Times New Roman" w:hAnsi="Times New Roman"/>
          <w:szCs w:val="24"/>
        </w:rPr>
        <w:t xml:space="preserve">The baseline ICR did not include an assumption for the number of Unaffiliated Centers or Independent Child Care Centers participating in the Program. As such, the data from Attachment G was used to get an estimate of how many respondents would be added in response to the proposed rule. </w:t>
      </w:r>
      <w:r w:rsidR="0098563F">
        <w:rPr>
          <w:rFonts w:ascii="Times New Roman" w:hAnsi="Times New Roman"/>
          <w:szCs w:val="24"/>
        </w:rPr>
        <w:t>The results of our analysis are presented in the attached Burden Table and are summar</w:t>
      </w:r>
      <w:r w:rsidR="00622409">
        <w:rPr>
          <w:rFonts w:ascii="Times New Roman" w:hAnsi="Times New Roman"/>
          <w:szCs w:val="24"/>
        </w:rPr>
        <w:t>ized below and in the Burden Narrative</w:t>
      </w:r>
      <w:r w:rsidR="00040E5E">
        <w:rPr>
          <w:rFonts w:ascii="Times New Roman" w:hAnsi="Times New Roman"/>
          <w:szCs w:val="24"/>
        </w:rPr>
        <w:t xml:space="preserve"> (Attachments</w:t>
      </w:r>
      <w:r w:rsidR="0018464C">
        <w:rPr>
          <w:rFonts w:ascii="Times New Roman" w:hAnsi="Times New Roman"/>
          <w:szCs w:val="24"/>
        </w:rPr>
        <w:t xml:space="preserve"> E &amp; F</w:t>
      </w:r>
      <w:r w:rsidR="00040E5E">
        <w:rPr>
          <w:rFonts w:ascii="Times New Roman" w:hAnsi="Times New Roman"/>
          <w:szCs w:val="24"/>
        </w:rPr>
        <w:t>)</w:t>
      </w:r>
      <w:r w:rsidR="00622409">
        <w:rPr>
          <w:rFonts w:ascii="Times New Roman" w:hAnsi="Times New Roman"/>
          <w:szCs w:val="24"/>
        </w:rPr>
        <w:t>.</w:t>
      </w:r>
      <w:r w:rsidR="002E6EBC">
        <w:rPr>
          <w:rFonts w:ascii="Times New Roman" w:hAnsi="Times New Roman"/>
          <w:szCs w:val="24"/>
        </w:rPr>
        <w:t xml:space="preserve">  </w:t>
      </w:r>
      <w:r w:rsidR="00622409">
        <w:rPr>
          <w:rFonts w:ascii="Times New Roman" w:hAnsi="Times New Roman"/>
          <w:szCs w:val="24"/>
        </w:rPr>
        <w:t>These estimates reflect consultations with Program officials, outside consultants, affected stakeholders, and prior experience in collecting similar information</w:t>
      </w:r>
      <w:r w:rsidR="003134E6">
        <w:rPr>
          <w:rFonts w:ascii="Times New Roman" w:hAnsi="Times New Roman"/>
          <w:szCs w:val="24"/>
        </w:rPr>
        <w:t>.</w:t>
      </w:r>
    </w:p>
    <w:p w:rsidR="00ED28F2" w:rsidP="00ED28F2" w14:paraId="2A933DFB" w14:textId="5AB5D684">
      <w:pPr>
        <w:tabs>
          <w:tab w:val="left" w:pos="-720"/>
        </w:tabs>
        <w:suppressAutoHyphens/>
        <w:spacing w:line="480" w:lineRule="auto"/>
        <w:rPr>
          <w:rFonts w:ascii="Times New Roman" w:hAnsi="Times New Roman"/>
          <w:b/>
          <w:bCs/>
          <w:szCs w:val="24"/>
        </w:rPr>
      </w:pPr>
      <w:r>
        <w:rPr>
          <w:rFonts w:ascii="Times New Roman" w:hAnsi="Times New Roman"/>
          <w:b/>
          <w:bCs/>
          <w:szCs w:val="24"/>
        </w:rPr>
        <w:t xml:space="preserve">Burden Summary (Recordkeeping, Reporting, and Public Disclosure): </w:t>
      </w:r>
    </w:p>
    <w:p w:rsidR="00E67B35" w:rsidP="00ED28F2" w14:paraId="1F1A8EB1" w14:textId="7C3E7202">
      <w:pPr>
        <w:tabs>
          <w:tab w:val="left" w:pos="-720"/>
        </w:tabs>
        <w:suppressAutoHyphens/>
        <w:spacing w:line="480" w:lineRule="auto"/>
        <w:rPr>
          <w:rFonts w:ascii="Times New Roman" w:hAnsi="Times New Roman"/>
          <w:szCs w:val="24"/>
          <w:u w:val="single"/>
        </w:rPr>
      </w:pPr>
      <w:r>
        <w:rPr>
          <w:rFonts w:ascii="Times New Roman" w:hAnsi="Times New Roman"/>
          <w:szCs w:val="24"/>
          <w:u w:val="single"/>
        </w:rPr>
        <w:t>Reporting</w:t>
      </w:r>
    </w:p>
    <w:p w:rsidR="0037590A" w:rsidP="00ED28F2" w14:paraId="0C6EBF12" w14:textId="01CA6872">
      <w:pPr>
        <w:tabs>
          <w:tab w:val="left" w:pos="-720"/>
        </w:tabs>
        <w:suppressAutoHyphens/>
        <w:spacing w:line="480" w:lineRule="auto"/>
        <w:rPr>
          <w:rFonts w:ascii="Times New Roman" w:hAnsi="Times New Roman"/>
          <w:szCs w:val="24"/>
        </w:rPr>
      </w:pPr>
      <w:r>
        <w:rPr>
          <w:rFonts w:ascii="Times New Roman" w:hAnsi="Times New Roman"/>
          <w:szCs w:val="24"/>
          <w:u w:val="single"/>
        </w:rPr>
        <w:t>Respondents (</w:t>
      </w:r>
      <w:r w:rsidR="00D165F6">
        <w:rPr>
          <w:rFonts w:ascii="Times New Roman" w:hAnsi="Times New Roman"/>
          <w:szCs w:val="24"/>
          <w:u w:val="single"/>
        </w:rPr>
        <w:t>Affected Public</w:t>
      </w:r>
      <w:r>
        <w:rPr>
          <w:rFonts w:ascii="Times New Roman" w:hAnsi="Times New Roman"/>
          <w:szCs w:val="24"/>
          <w:u w:val="single"/>
        </w:rPr>
        <w:t>)</w:t>
      </w:r>
      <w:r w:rsidR="00D165F6">
        <w:rPr>
          <w:rFonts w:ascii="Times New Roman" w:hAnsi="Times New Roman"/>
          <w:szCs w:val="24"/>
          <w:u w:val="single"/>
        </w:rPr>
        <w:t>:</w:t>
      </w:r>
      <w:r w:rsidR="00D165F6">
        <w:rPr>
          <w:rFonts w:ascii="Times New Roman" w:hAnsi="Times New Roman"/>
          <w:szCs w:val="24"/>
        </w:rPr>
        <w:t xml:space="preserve"> State, Local, and Tribal Government; </w:t>
      </w:r>
      <w:r w:rsidR="00040E5E">
        <w:rPr>
          <w:rFonts w:ascii="Times New Roman" w:hAnsi="Times New Roman"/>
          <w:szCs w:val="24"/>
        </w:rPr>
        <w:t xml:space="preserve">and </w:t>
      </w:r>
      <w:r w:rsidR="00454428">
        <w:rPr>
          <w:rFonts w:ascii="Times New Roman" w:hAnsi="Times New Roman"/>
          <w:szCs w:val="24"/>
        </w:rPr>
        <w:t xml:space="preserve">Non-Profit </w:t>
      </w:r>
      <w:r w:rsidR="00D165F6">
        <w:rPr>
          <w:rFonts w:ascii="Times New Roman" w:hAnsi="Times New Roman"/>
          <w:szCs w:val="24"/>
        </w:rPr>
        <w:t>Business</w:t>
      </w:r>
      <w:r w:rsidR="00454428">
        <w:rPr>
          <w:rFonts w:ascii="Times New Roman" w:hAnsi="Times New Roman"/>
          <w:szCs w:val="24"/>
        </w:rPr>
        <w:t>es</w:t>
      </w:r>
      <w:r w:rsidR="003952D0">
        <w:rPr>
          <w:rFonts w:ascii="Times New Roman" w:hAnsi="Times New Roman"/>
          <w:szCs w:val="24"/>
        </w:rPr>
        <w:t xml:space="preserve">. Respondent groups identified include: (1) SAs that administer the SFSP in their State; (2) </w:t>
      </w:r>
      <w:r w:rsidR="00040E5E">
        <w:rPr>
          <w:rFonts w:ascii="Times New Roman" w:hAnsi="Times New Roman"/>
          <w:szCs w:val="24"/>
        </w:rPr>
        <w:t>L</w:t>
      </w:r>
      <w:r w:rsidR="003952D0">
        <w:rPr>
          <w:rFonts w:ascii="Times New Roman" w:hAnsi="Times New Roman"/>
          <w:szCs w:val="24"/>
        </w:rPr>
        <w:t xml:space="preserve">ocal government agencies that are SFSP </w:t>
      </w:r>
      <w:r w:rsidR="008E4D05">
        <w:rPr>
          <w:rFonts w:ascii="Times New Roman" w:hAnsi="Times New Roman"/>
          <w:szCs w:val="24"/>
        </w:rPr>
        <w:t>sponsors</w:t>
      </w:r>
      <w:r w:rsidR="003952D0">
        <w:rPr>
          <w:rFonts w:ascii="Times New Roman" w:hAnsi="Times New Roman"/>
          <w:szCs w:val="24"/>
        </w:rPr>
        <w:t xml:space="preserve">; </w:t>
      </w:r>
      <w:r w:rsidR="006E4822">
        <w:rPr>
          <w:rFonts w:ascii="Times New Roman" w:hAnsi="Times New Roman"/>
          <w:szCs w:val="24"/>
        </w:rPr>
        <w:t>a</w:t>
      </w:r>
      <w:r w:rsidR="00061574">
        <w:rPr>
          <w:rFonts w:ascii="Times New Roman" w:hAnsi="Times New Roman"/>
          <w:szCs w:val="24"/>
        </w:rPr>
        <w:t xml:space="preserve">nd </w:t>
      </w:r>
      <w:r w:rsidR="003952D0">
        <w:rPr>
          <w:rFonts w:ascii="Times New Roman" w:hAnsi="Times New Roman"/>
          <w:szCs w:val="24"/>
        </w:rPr>
        <w:t xml:space="preserve">(3) </w:t>
      </w:r>
      <w:r w:rsidR="00040E5E">
        <w:rPr>
          <w:rFonts w:ascii="Times New Roman" w:hAnsi="Times New Roman"/>
          <w:szCs w:val="24"/>
        </w:rPr>
        <w:t xml:space="preserve">Non-profit institutions or camps that </w:t>
      </w:r>
      <w:r w:rsidR="00040E5E">
        <w:rPr>
          <w:rFonts w:ascii="Times New Roman" w:hAnsi="Times New Roman"/>
          <w:szCs w:val="24"/>
        </w:rPr>
        <w:t>operate as SFSP sponsors</w:t>
      </w:r>
      <w:r w:rsidR="003623F3">
        <w:rPr>
          <w:rFonts w:ascii="Times New Roman" w:hAnsi="Times New Roman"/>
          <w:szCs w:val="24"/>
        </w:rPr>
        <w:t>.</w:t>
      </w:r>
    </w:p>
    <w:p w:rsidR="00622409" w:rsidP="00ED28F2" w14:paraId="0CF37201" w14:textId="5044826A">
      <w:pPr>
        <w:tabs>
          <w:tab w:val="left" w:pos="-720"/>
        </w:tabs>
        <w:suppressAutoHyphens/>
        <w:spacing w:line="480" w:lineRule="auto"/>
        <w:rPr>
          <w:rFonts w:ascii="Times New Roman" w:hAnsi="Times New Roman"/>
          <w:szCs w:val="24"/>
        </w:rPr>
      </w:pPr>
      <w:r>
        <w:rPr>
          <w:rFonts w:ascii="Times New Roman" w:hAnsi="Times New Roman"/>
          <w:szCs w:val="24"/>
          <w:u w:val="single"/>
        </w:rPr>
        <w:t>Estimated Number of Respondents:</w:t>
      </w:r>
      <w:r>
        <w:rPr>
          <w:rFonts w:ascii="Times New Roman" w:hAnsi="Times New Roman"/>
          <w:szCs w:val="24"/>
        </w:rPr>
        <w:t xml:space="preserve"> The total estimated number of respondents is </w:t>
      </w:r>
      <w:r w:rsidR="00040E5E">
        <w:rPr>
          <w:rFonts w:ascii="Times New Roman" w:hAnsi="Times New Roman"/>
          <w:szCs w:val="24"/>
        </w:rPr>
        <w:t>1,463</w:t>
      </w:r>
      <w:r w:rsidR="003623F3">
        <w:rPr>
          <w:rFonts w:ascii="Times New Roman" w:hAnsi="Times New Roman"/>
          <w:szCs w:val="24"/>
        </w:rPr>
        <w:t>.</w:t>
      </w:r>
      <w:r w:rsidR="004B03AA">
        <w:rPr>
          <w:rFonts w:ascii="Times New Roman" w:hAnsi="Times New Roman"/>
          <w:szCs w:val="24"/>
        </w:rPr>
        <w:t xml:space="preserve"> </w:t>
      </w:r>
    </w:p>
    <w:p w:rsidR="00927177" w:rsidP="00ED28F2" w14:paraId="2CFDB86B" w14:textId="516A182A">
      <w:pPr>
        <w:tabs>
          <w:tab w:val="left" w:pos="-720"/>
        </w:tabs>
        <w:suppressAutoHyphens/>
        <w:spacing w:line="480" w:lineRule="auto"/>
        <w:rPr>
          <w:rFonts w:ascii="Times New Roman" w:hAnsi="Times New Roman"/>
          <w:szCs w:val="24"/>
        </w:rPr>
      </w:pPr>
      <w:r>
        <w:rPr>
          <w:rFonts w:ascii="Times New Roman" w:hAnsi="Times New Roman"/>
          <w:szCs w:val="24"/>
          <w:u w:val="single"/>
        </w:rPr>
        <w:t xml:space="preserve">Estimated Number of Responses per Respondent: </w:t>
      </w:r>
      <w:r>
        <w:rPr>
          <w:rFonts w:ascii="Times New Roman" w:hAnsi="Times New Roman"/>
          <w:szCs w:val="24"/>
        </w:rPr>
        <w:t xml:space="preserve"> The overall frequency of responses across the entire information collection is </w:t>
      </w:r>
      <w:r w:rsidR="00040E5E">
        <w:rPr>
          <w:rFonts w:ascii="Times New Roman" w:hAnsi="Times New Roman"/>
          <w:szCs w:val="24"/>
        </w:rPr>
        <w:t>3.59</w:t>
      </w:r>
      <w:r w:rsidR="005D3F77">
        <w:rPr>
          <w:rFonts w:ascii="Times New Roman" w:hAnsi="Times New Roman"/>
          <w:szCs w:val="24"/>
        </w:rPr>
        <w:t xml:space="preserve"> responses per respondent.</w:t>
      </w:r>
      <w:r w:rsidR="00B63738">
        <w:rPr>
          <w:rFonts w:ascii="Times New Roman" w:hAnsi="Times New Roman"/>
          <w:szCs w:val="24"/>
        </w:rPr>
        <w:t xml:space="preserve">  </w:t>
      </w:r>
      <w:r w:rsidR="00E20E92">
        <w:rPr>
          <w:rFonts w:ascii="Times New Roman" w:hAnsi="Times New Roman"/>
          <w:szCs w:val="24"/>
        </w:rPr>
        <w:t xml:space="preserve">The estimated number of responses per respondents for the requirements that are impacted by this proposed rule ranges from </w:t>
      </w:r>
      <w:r w:rsidR="00B13639">
        <w:rPr>
          <w:rFonts w:ascii="Times New Roman" w:hAnsi="Times New Roman"/>
          <w:szCs w:val="24"/>
        </w:rPr>
        <w:t>1</w:t>
      </w:r>
      <w:r w:rsidR="00F645A3">
        <w:rPr>
          <w:rFonts w:ascii="Times New Roman" w:hAnsi="Times New Roman"/>
          <w:szCs w:val="24"/>
        </w:rPr>
        <w:t xml:space="preserve"> to </w:t>
      </w:r>
      <w:r w:rsidR="00B13639">
        <w:rPr>
          <w:rFonts w:ascii="Times New Roman" w:hAnsi="Times New Roman"/>
          <w:szCs w:val="24"/>
        </w:rPr>
        <w:t>5</w:t>
      </w:r>
      <w:r w:rsidR="003623F3">
        <w:rPr>
          <w:rFonts w:ascii="Times New Roman" w:hAnsi="Times New Roman"/>
          <w:szCs w:val="24"/>
        </w:rPr>
        <w:t>.</w:t>
      </w:r>
    </w:p>
    <w:p w:rsidR="001A3E34" w:rsidP="00ED28F2" w14:paraId="7FD6B12F" w14:textId="7361F8E7">
      <w:pPr>
        <w:tabs>
          <w:tab w:val="left" w:pos="-720"/>
        </w:tabs>
        <w:suppressAutoHyphens/>
        <w:spacing w:line="480" w:lineRule="auto"/>
        <w:rPr>
          <w:rFonts w:ascii="Times New Roman" w:hAnsi="Times New Roman"/>
          <w:szCs w:val="24"/>
        </w:rPr>
      </w:pPr>
      <w:r>
        <w:rPr>
          <w:rFonts w:ascii="Times New Roman" w:hAnsi="Times New Roman"/>
          <w:szCs w:val="24"/>
          <w:u w:val="single"/>
        </w:rPr>
        <w:t>Estimated Total Annual Responses:</w:t>
      </w:r>
      <w:r>
        <w:rPr>
          <w:rFonts w:ascii="Times New Roman" w:hAnsi="Times New Roman"/>
          <w:szCs w:val="24"/>
        </w:rPr>
        <w:t xml:space="preserve"> </w:t>
      </w:r>
      <w:r w:rsidR="00040E5E">
        <w:rPr>
          <w:rFonts w:ascii="Times New Roman" w:hAnsi="Times New Roman"/>
          <w:szCs w:val="24"/>
        </w:rPr>
        <w:t>5,253 responses</w:t>
      </w:r>
      <w:r w:rsidR="003623F3">
        <w:rPr>
          <w:rFonts w:ascii="Times New Roman" w:hAnsi="Times New Roman"/>
          <w:szCs w:val="24"/>
        </w:rPr>
        <w:t>.</w:t>
      </w:r>
    </w:p>
    <w:p w:rsidR="00711392" w:rsidP="00ED28F2" w14:paraId="327EED5D" w14:textId="00C26BA0">
      <w:pPr>
        <w:tabs>
          <w:tab w:val="left" w:pos="-720"/>
        </w:tabs>
        <w:suppressAutoHyphens/>
        <w:spacing w:line="480" w:lineRule="auto"/>
        <w:rPr>
          <w:rFonts w:ascii="Times New Roman" w:hAnsi="Times New Roman"/>
          <w:szCs w:val="24"/>
        </w:rPr>
      </w:pPr>
      <w:r>
        <w:rPr>
          <w:rFonts w:ascii="Times New Roman" w:hAnsi="Times New Roman"/>
          <w:szCs w:val="24"/>
          <w:u w:val="single"/>
        </w:rPr>
        <w:t>Estimated Time per Response:</w:t>
      </w:r>
      <w:r>
        <w:rPr>
          <w:rFonts w:ascii="Times New Roman" w:hAnsi="Times New Roman"/>
          <w:szCs w:val="24"/>
        </w:rPr>
        <w:t xml:space="preserve"> </w:t>
      </w:r>
      <w:r w:rsidR="00ED02C1">
        <w:rPr>
          <w:rFonts w:ascii="Times New Roman" w:hAnsi="Times New Roman"/>
          <w:szCs w:val="24"/>
        </w:rPr>
        <w:t>The average estimate</w:t>
      </w:r>
      <w:r w:rsidR="005D0D92">
        <w:rPr>
          <w:rFonts w:ascii="Times New Roman" w:hAnsi="Times New Roman"/>
          <w:szCs w:val="24"/>
        </w:rPr>
        <w:t>d</w:t>
      </w:r>
      <w:r w:rsidR="00ED02C1">
        <w:rPr>
          <w:rFonts w:ascii="Times New Roman" w:hAnsi="Times New Roman"/>
          <w:szCs w:val="24"/>
        </w:rPr>
        <w:t xml:space="preserve"> time of response</w:t>
      </w:r>
      <w:r w:rsidR="00A45E2B">
        <w:rPr>
          <w:rFonts w:ascii="Times New Roman" w:hAnsi="Times New Roman"/>
          <w:szCs w:val="24"/>
        </w:rPr>
        <w:t xml:space="preserve"> for the rule-related requirements</w:t>
      </w:r>
      <w:r w:rsidR="00ED02C1">
        <w:rPr>
          <w:rFonts w:ascii="Times New Roman" w:hAnsi="Times New Roman"/>
          <w:szCs w:val="24"/>
        </w:rPr>
        <w:t xml:space="preserve"> is </w:t>
      </w:r>
      <w:r w:rsidR="00E67570">
        <w:rPr>
          <w:rFonts w:ascii="Times New Roman" w:hAnsi="Times New Roman"/>
          <w:szCs w:val="24"/>
        </w:rPr>
        <w:t>1 hour and 46 minutes (1.77 hours)</w:t>
      </w:r>
      <w:r w:rsidR="003118B8">
        <w:rPr>
          <w:rFonts w:ascii="Times New Roman" w:hAnsi="Times New Roman"/>
          <w:szCs w:val="24"/>
        </w:rPr>
        <w:t xml:space="preserve">, which varies </w:t>
      </w:r>
      <w:r>
        <w:rPr>
          <w:rFonts w:ascii="Times New Roman" w:hAnsi="Times New Roman"/>
          <w:szCs w:val="24"/>
        </w:rPr>
        <w:t>from approximately</w:t>
      </w:r>
      <w:r w:rsidR="00677CDA">
        <w:rPr>
          <w:rFonts w:ascii="Times New Roman" w:hAnsi="Times New Roman"/>
          <w:szCs w:val="24"/>
        </w:rPr>
        <w:t xml:space="preserve"> </w:t>
      </w:r>
      <w:r w:rsidR="00E67570">
        <w:rPr>
          <w:rFonts w:ascii="Times New Roman" w:hAnsi="Times New Roman"/>
          <w:szCs w:val="24"/>
        </w:rPr>
        <w:t>1</w:t>
      </w:r>
      <w:r w:rsidR="00677CDA">
        <w:rPr>
          <w:rFonts w:ascii="Times New Roman" w:hAnsi="Times New Roman"/>
          <w:szCs w:val="24"/>
        </w:rPr>
        <w:t>5 minutes</w:t>
      </w:r>
      <w:r>
        <w:rPr>
          <w:rFonts w:ascii="Times New Roman" w:hAnsi="Times New Roman"/>
          <w:szCs w:val="24"/>
        </w:rPr>
        <w:t xml:space="preserve"> (0.</w:t>
      </w:r>
      <w:r w:rsidR="00E67570">
        <w:rPr>
          <w:rFonts w:ascii="Times New Roman" w:hAnsi="Times New Roman"/>
          <w:szCs w:val="24"/>
        </w:rPr>
        <w:t>25</w:t>
      </w:r>
      <w:r>
        <w:rPr>
          <w:rFonts w:ascii="Times New Roman" w:hAnsi="Times New Roman"/>
          <w:szCs w:val="24"/>
        </w:rPr>
        <w:t xml:space="preserve"> hours)</w:t>
      </w:r>
      <w:r w:rsidR="00F16980">
        <w:rPr>
          <w:rFonts w:ascii="Times New Roman" w:hAnsi="Times New Roman"/>
          <w:szCs w:val="24"/>
        </w:rPr>
        <w:t xml:space="preserve"> to</w:t>
      </w:r>
      <w:r w:rsidR="000E675B">
        <w:rPr>
          <w:rFonts w:ascii="Times New Roman" w:hAnsi="Times New Roman"/>
          <w:szCs w:val="24"/>
        </w:rPr>
        <w:t xml:space="preserve"> approximately </w:t>
      </w:r>
      <w:r w:rsidR="00E67570">
        <w:rPr>
          <w:rFonts w:ascii="Times New Roman" w:hAnsi="Times New Roman"/>
          <w:szCs w:val="24"/>
        </w:rPr>
        <w:t>20</w:t>
      </w:r>
      <w:r w:rsidR="00960EF6">
        <w:rPr>
          <w:rFonts w:ascii="Times New Roman" w:hAnsi="Times New Roman"/>
          <w:szCs w:val="24"/>
        </w:rPr>
        <w:t xml:space="preserve"> hours</w:t>
      </w:r>
      <w:r w:rsidR="000E675B">
        <w:rPr>
          <w:rFonts w:ascii="Times New Roman" w:hAnsi="Times New Roman"/>
          <w:szCs w:val="24"/>
        </w:rPr>
        <w:t>, depending on the respondent group, the type of burden, and the information collection task</w:t>
      </w:r>
      <w:r w:rsidR="001C4170">
        <w:rPr>
          <w:rFonts w:ascii="Times New Roman" w:hAnsi="Times New Roman"/>
          <w:szCs w:val="24"/>
        </w:rPr>
        <w:t>.</w:t>
      </w:r>
    </w:p>
    <w:p w:rsidR="00247090" w:rsidP="00ED28F2" w14:paraId="78FE13A6" w14:textId="6139B110">
      <w:pPr>
        <w:tabs>
          <w:tab w:val="left" w:pos="-720"/>
        </w:tabs>
        <w:suppressAutoHyphens/>
        <w:spacing w:line="480" w:lineRule="auto"/>
        <w:rPr>
          <w:rFonts w:ascii="Times New Roman" w:hAnsi="Times New Roman"/>
          <w:szCs w:val="24"/>
        </w:rPr>
      </w:pPr>
      <w:r w:rsidRPr="00DF2C53">
        <w:rPr>
          <w:rFonts w:ascii="Times New Roman" w:hAnsi="Times New Roman"/>
          <w:szCs w:val="24"/>
          <w:u w:val="single"/>
        </w:rPr>
        <w:t>Estimated Total Annual Burden on Respondents</w:t>
      </w:r>
      <w:r>
        <w:rPr>
          <w:rFonts w:ascii="Times New Roman" w:hAnsi="Times New Roman"/>
          <w:szCs w:val="24"/>
        </w:rPr>
        <w:t>:</w:t>
      </w:r>
      <w:r w:rsidR="00E67570">
        <w:rPr>
          <w:rFonts w:ascii="Times New Roman" w:hAnsi="Times New Roman"/>
          <w:szCs w:val="24"/>
        </w:rPr>
        <w:t xml:space="preserve"> 9,277 hours</w:t>
      </w:r>
      <w:r w:rsidR="001C4170">
        <w:rPr>
          <w:rFonts w:ascii="Times New Roman" w:hAnsi="Times New Roman"/>
          <w:szCs w:val="24"/>
        </w:rPr>
        <w:t>.</w:t>
      </w:r>
    </w:p>
    <w:p w:rsidR="00783691" w:rsidP="002D078A" w14:paraId="391FF55D" w14:textId="77777777">
      <w:pPr>
        <w:tabs>
          <w:tab w:val="left" w:pos="-720"/>
        </w:tabs>
        <w:suppressAutoHyphens/>
        <w:spacing w:line="480" w:lineRule="auto"/>
        <w:rPr>
          <w:rFonts w:ascii="Times New Roman" w:hAnsi="Times New Roman"/>
          <w:szCs w:val="24"/>
          <w:u w:val="single"/>
        </w:rPr>
      </w:pPr>
    </w:p>
    <w:p w:rsidR="002D078A" w:rsidP="002D078A" w14:paraId="5D2D170E" w14:textId="5B09B1D7">
      <w:pPr>
        <w:tabs>
          <w:tab w:val="left" w:pos="-720"/>
        </w:tabs>
        <w:suppressAutoHyphens/>
        <w:spacing w:line="480" w:lineRule="auto"/>
        <w:rPr>
          <w:rFonts w:ascii="Times New Roman" w:hAnsi="Times New Roman"/>
          <w:szCs w:val="24"/>
          <w:u w:val="single"/>
        </w:rPr>
      </w:pPr>
      <w:r>
        <w:rPr>
          <w:rFonts w:ascii="Times New Roman" w:hAnsi="Times New Roman"/>
          <w:szCs w:val="24"/>
          <w:u w:val="single"/>
        </w:rPr>
        <w:t>Recordkeeping</w:t>
      </w:r>
    </w:p>
    <w:p w:rsidR="002D078A" w:rsidP="002D078A" w14:paraId="25DA575E" w14:textId="331930C7">
      <w:pPr>
        <w:tabs>
          <w:tab w:val="left" w:pos="-720"/>
        </w:tabs>
        <w:suppressAutoHyphens/>
        <w:spacing w:line="480" w:lineRule="auto"/>
        <w:rPr>
          <w:rFonts w:ascii="Times New Roman" w:hAnsi="Times New Roman"/>
          <w:szCs w:val="24"/>
        </w:rPr>
      </w:pPr>
      <w:r>
        <w:rPr>
          <w:rFonts w:ascii="Times New Roman" w:hAnsi="Times New Roman"/>
          <w:szCs w:val="24"/>
          <w:u w:val="single"/>
        </w:rPr>
        <w:t>Respondents (</w:t>
      </w:r>
      <w:r>
        <w:rPr>
          <w:rFonts w:ascii="Times New Roman" w:hAnsi="Times New Roman"/>
          <w:szCs w:val="24"/>
          <w:u w:val="single"/>
        </w:rPr>
        <w:t>Affected Public</w:t>
      </w:r>
      <w:r>
        <w:rPr>
          <w:rFonts w:ascii="Times New Roman" w:hAnsi="Times New Roman"/>
          <w:szCs w:val="24"/>
          <w:u w:val="single"/>
        </w:rPr>
        <w:t>)</w:t>
      </w:r>
      <w:r>
        <w:rPr>
          <w:rFonts w:ascii="Times New Roman" w:hAnsi="Times New Roman"/>
          <w:szCs w:val="24"/>
          <w:u w:val="single"/>
        </w:rPr>
        <w:t>:</w:t>
      </w:r>
      <w:r>
        <w:rPr>
          <w:rFonts w:ascii="Times New Roman" w:hAnsi="Times New Roman"/>
          <w:szCs w:val="24"/>
        </w:rPr>
        <w:t xml:space="preserve"> State, Local, and Tribal Government</w:t>
      </w:r>
      <w:r w:rsidR="00B110AA">
        <w:rPr>
          <w:rFonts w:ascii="Times New Roman" w:hAnsi="Times New Roman"/>
          <w:szCs w:val="24"/>
        </w:rPr>
        <w:t xml:space="preserve">.  </w:t>
      </w:r>
      <w:r>
        <w:rPr>
          <w:rFonts w:ascii="Times New Roman" w:hAnsi="Times New Roman"/>
          <w:szCs w:val="24"/>
        </w:rPr>
        <w:t>Respondent groups identified include</w:t>
      </w:r>
      <w:r w:rsidR="00B110AA">
        <w:rPr>
          <w:rFonts w:ascii="Times New Roman" w:hAnsi="Times New Roman"/>
          <w:szCs w:val="24"/>
        </w:rPr>
        <w:t xml:space="preserve"> State agencies </w:t>
      </w:r>
      <w:r>
        <w:rPr>
          <w:rFonts w:ascii="Times New Roman" w:hAnsi="Times New Roman"/>
          <w:szCs w:val="24"/>
        </w:rPr>
        <w:t>that administer the SFSP in their State</w:t>
      </w:r>
      <w:r w:rsidR="001C4170">
        <w:rPr>
          <w:rFonts w:ascii="Times New Roman" w:hAnsi="Times New Roman"/>
          <w:szCs w:val="24"/>
        </w:rPr>
        <w:t>.</w:t>
      </w:r>
    </w:p>
    <w:p w:rsidR="00B13639" w:rsidP="002D078A" w14:paraId="4FC0B586" w14:textId="77777777">
      <w:pPr>
        <w:tabs>
          <w:tab w:val="left" w:pos="-720"/>
        </w:tabs>
        <w:suppressAutoHyphens/>
        <w:spacing w:line="480" w:lineRule="auto"/>
        <w:rPr>
          <w:rFonts w:ascii="Times New Roman" w:hAnsi="Times New Roman"/>
          <w:szCs w:val="24"/>
        </w:rPr>
      </w:pPr>
      <w:r>
        <w:rPr>
          <w:rFonts w:ascii="Times New Roman" w:hAnsi="Times New Roman"/>
          <w:szCs w:val="24"/>
          <w:u w:val="single"/>
        </w:rPr>
        <w:t>Estimated Number of Respondents:</w:t>
      </w:r>
      <w:r>
        <w:rPr>
          <w:rFonts w:ascii="Times New Roman" w:hAnsi="Times New Roman"/>
          <w:szCs w:val="24"/>
        </w:rPr>
        <w:t xml:space="preserve"> The total estimated number of respondents is </w:t>
      </w:r>
      <w:r w:rsidR="00E67570">
        <w:rPr>
          <w:rFonts w:ascii="Times New Roman" w:hAnsi="Times New Roman"/>
          <w:szCs w:val="24"/>
        </w:rPr>
        <w:t>53</w:t>
      </w:r>
      <w:r>
        <w:rPr>
          <w:rFonts w:ascii="Times New Roman" w:hAnsi="Times New Roman"/>
          <w:szCs w:val="24"/>
        </w:rPr>
        <w:t xml:space="preserve">. </w:t>
      </w:r>
      <w:r w:rsidR="003C498D">
        <w:rPr>
          <w:rFonts w:ascii="Times New Roman" w:hAnsi="Times New Roman"/>
          <w:szCs w:val="24"/>
        </w:rPr>
        <w:t xml:space="preserve"> </w:t>
      </w:r>
    </w:p>
    <w:p w:rsidR="002D078A" w:rsidP="002D078A" w14:paraId="453ED32E" w14:textId="4C06BB34">
      <w:pPr>
        <w:tabs>
          <w:tab w:val="left" w:pos="-720"/>
        </w:tabs>
        <w:suppressAutoHyphens/>
        <w:spacing w:line="480" w:lineRule="auto"/>
        <w:rPr>
          <w:rFonts w:ascii="Times New Roman" w:hAnsi="Times New Roman"/>
          <w:szCs w:val="24"/>
        </w:rPr>
      </w:pPr>
      <w:r>
        <w:rPr>
          <w:rFonts w:ascii="Times New Roman" w:hAnsi="Times New Roman"/>
          <w:szCs w:val="24"/>
          <w:u w:val="single"/>
        </w:rPr>
        <w:t xml:space="preserve">Estimated Number of Responses per Respondent: </w:t>
      </w:r>
      <w:r>
        <w:rPr>
          <w:rFonts w:ascii="Times New Roman" w:hAnsi="Times New Roman"/>
          <w:szCs w:val="24"/>
        </w:rPr>
        <w:t xml:space="preserve"> The overall frequency of responses across the entire information collection is </w:t>
      </w:r>
      <w:r w:rsidR="00E67570">
        <w:rPr>
          <w:rFonts w:ascii="Times New Roman" w:hAnsi="Times New Roman"/>
          <w:szCs w:val="24"/>
        </w:rPr>
        <w:t>145</w:t>
      </w:r>
      <w:r>
        <w:rPr>
          <w:rFonts w:ascii="Times New Roman" w:hAnsi="Times New Roman"/>
          <w:szCs w:val="24"/>
        </w:rPr>
        <w:t xml:space="preserve"> responses per respondent</w:t>
      </w:r>
      <w:r w:rsidR="00574D72">
        <w:rPr>
          <w:rFonts w:ascii="Times New Roman" w:hAnsi="Times New Roman"/>
          <w:szCs w:val="24"/>
        </w:rPr>
        <w:t>.</w:t>
      </w:r>
      <w:r w:rsidR="00101EF8">
        <w:rPr>
          <w:rFonts w:ascii="Times New Roman" w:hAnsi="Times New Roman"/>
          <w:szCs w:val="24"/>
        </w:rPr>
        <w:t xml:space="preserve">  </w:t>
      </w:r>
      <w:r>
        <w:rPr>
          <w:rFonts w:ascii="Times New Roman" w:hAnsi="Times New Roman"/>
          <w:szCs w:val="24"/>
        </w:rPr>
        <w:t xml:space="preserve"> </w:t>
      </w:r>
    </w:p>
    <w:p w:rsidR="002D078A" w:rsidP="002D078A" w14:paraId="163862C8" w14:textId="572867CB">
      <w:pPr>
        <w:tabs>
          <w:tab w:val="left" w:pos="-720"/>
        </w:tabs>
        <w:suppressAutoHyphens/>
        <w:spacing w:line="480" w:lineRule="auto"/>
        <w:rPr>
          <w:rFonts w:ascii="Times New Roman" w:hAnsi="Times New Roman"/>
          <w:szCs w:val="24"/>
        </w:rPr>
      </w:pPr>
      <w:r>
        <w:rPr>
          <w:rFonts w:ascii="Times New Roman" w:hAnsi="Times New Roman"/>
          <w:szCs w:val="24"/>
          <w:u w:val="single"/>
        </w:rPr>
        <w:t>Estimated Total Annual Responses:</w:t>
      </w:r>
      <w:r>
        <w:rPr>
          <w:rFonts w:ascii="Times New Roman" w:hAnsi="Times New Roman"/>
          <w:szCs w:val="24"/>
        </w:rPr>
        <w:t xml:space="preserve"> </w:t>
      </w:r>
      <w:r w:rsidR="00E67570">
        <w:rPr>
          <w:rFonts w:ascii="Times New Roman" w:hAnsi="Times New Roman"/>
          <w:szCs w:val="24"/>
        </w:rPr>
        <w:t>7,685 responses</w:t>
      </w:r>
      <w:r>
        <w:rPr>
          <w:rFonts w:ascii="Times New Roman" w:hAnsi="Times New Roman"/>
          <w:szCs w:val="24"/>
        </w:rPr>
        <w:t>.</w:t>
      </w:r>
    </w:p>
    <w:p w:rsidR="002D078A" w:rsidP="002D078A" w14:paraId="0C3248AF" w14:textId="310A7697">
      <w:pPr>
        <w:tabs>
          <w:tab w:val="left" w:pos="-720"/>
        </w:tabs>
        <w:suppressAutoHyphens/>
        <w:spacing w:line="480" w:lineRule="auto"/>
        <w:rPr>
          <w:rFonts w:ascii="Times New Roman" w:hAnsi="Times New Roman"/>
          <w:szCs w:val="24"/>
        </w:rPr>
      </w:pPr>
      <w:r>
        <w:rPr>
          <w:rFonts w:ascii="Times New Roman" w:hAnsi="Times New Roman"/>
          <w:szCs w:val="24"/>
          <w:u w:val="single"/>
        </w:rPr>
        <w:t>Estimated Time per Response:</w:t>
      </w:r>
      <w:r>
        <w:rPr>
          <w:rFonts w:ascii="Times New Roman" w:hAnsi="Times New Roman"/>
          <w:szCs w:val="24"/>
        </w:rPr>
        <w:t xml:space="preserve"> The estimated time of response </w:t>
      </w:r>
      <w:r w:rsidR="00A45E2B">
        <w:rPr>
          <w:rFonts w:ascii="Times New Roman" w:hAnsi="Times New Roman"/>
          <w:szCs w:val="24"/>
        </w:rPr>
        <w:t xml:space="preserve">for the rule-related requirement </w:t>
      </w:r>
      <w:r w:rsidR="00BF79A8">
        <w:rPr>
          <w:rFonts w:ascii="Times New Roman" w:hAnsi="Times New Roman"/>
          <w:szCs w:val="24"/>
        </w:rPr>
        <w:t xml:space="preserve">is </w:t>
      </w:r>
      <w:r w:rsidR="00E67570">
        <w:rPr>
          <w:rFonts w:ascii="Times New Roman" w:hAnsi="Times New Roman"/>
          <w:szCs w:val="24"/>
        </w:rPr>
        <w:t>5 minutes (0.08 hours)</w:t>
      </w:r>
      <w:r w:rsidR="00574D72">
        <w:rPr>
          <w:rFonts w:ascii="Times New Roman" w:hAnsi="Times New Roman"/>
          <w:szCs w:val="24"/>
        </w:rPr>
        <w:t>.</w:t>
      </w:r>
      <w:r w:rsidR="00963304">
        <w:rPr>
          <w:rFonts w:ascii="Times New Roman" w:hAnsi="Times New Roman"/>
          <w:szCs w:val="24"/>
        </w:rPr>
        <w:t xml:space="preserve">  </w:t>
      </w:r>
      <w:r>
        <w:rPr>
          <w:rFonts w:ascii="Times New Roman" w:hAnsi="Times New Roman"/>
          <w:szCs w:val="24"/>
        </w:rPr>
        <w:t xml:space="preserve"> </w:t>
      </w:r>
    </w:p>
    <w:p w:rsidR="00301B11" w:rsidP="002D078A" w14:paraId="77BF7BF6" w14:textId="7B9EA2D2">
      <w:pPr>
        <w:tabs>
          <w:tab w:val="left" w:pos="-720"/>
        </w:tabs>
        <w:suppressAutoHyphens/>
        <w:spacing w:line="480" w:lineRule="auto"/>
        <w:rPr>
          <w:rFonts w:ascii="Times New Roman" w:hAnsi="Times New Roman"/>
          <w:szCs w:val="24"/>
        </w:rPr>
      </w:pPr>
      <w:r w:rsidRPr="00DF2C53">
        <w:rPr>
          <w:rFonts w:ascii="Times New Roman" w:hAnsi="Times New Roman"/>
          <w:szCs w:val="24"/>
          <w:u w:val="single"/>
        </w:rPr>
        <w:t>Estimated Total Annual Burden on Respondents</w:t>
      </w:r>
      <w:r>
        <w:rPr>
          <w:rFonts w:ascii="Times New Roman" w:hAnsi="Times New Roman"/>
          <w:szCs w:val="24"/>
        </w:rPr>
        <w:t>:</w:t>
      </w:r>
      <w:r w:rsidR="00E67570">
        <w:rPr>
          <w:rFonts w:ascii="Times New Roman" w:hAnsi="Times New Roman"/>
          <w:szCs w:val="24"/>
        </w:rPr>
        <w:t xml:space="preserve"> 64</w:t>
      </w:r>
      <w:r w:rsidR="0001269D">
        <w:rPr>
          <w:rFonts w:ascii="Times New Roman" w:hAnsi="Times New Roman"/>
          <w:szCs w:val="24"/>
        </w:rPr>
        <w:t>2</w:t>
      </w:r>
      <w:r w:rsidR="00E67570">
        <w:rPr>
          <w:rFonts w:ascii="Times New Roman" w:hAnsi="Times New Roman"/>
          <w:szCs w:val="24"/>
        </w:rPr>
        <w:t xml:space="preserve"> hours</w:t>
      </w:r>
      <w:r w:rsidR="00574D72">
        <w:rPr>
          <w:rFonts w:ascii="Times New Roman" w:hAnsi="Times New Roman"/>
          <w:szCs w:val="24"/>
        </w:rPr>
        <w:t>.</w:t>
      </w:r>
    </w:p>
    <w:p w:rsidR="002D078A" w:rsidP="002D078A" w14:paraId="54AB9C62" w14:textId="40188A3B">
      <w:pPr>
        <w:tabs>
          <w:tab w:val="left" w:pos="-720"/>
        </w:tabs>
        <w:suppressAutoHyphens/>
        <w:spacing w:line="480" w:lineRule="auto"/>
        <w:rPr>
          <w:rFonts w:ascii="Times New Roman" w:hAnsi="Times New Roman"/>
          <w:szCs w:val="24"/>
          <w:u w:val="single"/>
        </w:rPr>
      </w:pPr>
      <w:r>
        <w:rPr>
          <w:rFonts w:ascii="Times New Roman" w:hAnsi="Times New Roman"/>
          <w:szCs w:val="24"/>
          <w:u w:val="single"/>
        </w:rPr>
        <w:t>Public Disclosure</w:t>
      </w:r>
    </w:p>
    <w:p w:rsidR="002D078A" w:rsidP="002D078A" w14:paraId="569B4E04" w14:textId="2B11D71D">
      <w:pPr>
        <w:tabs>
          <w:tab w:val="left" w:pos="-720"/>
        </w:tabs>
        <w:suppressAutoHyphens/>
        <w:spacing w:line="480" w:lineRule="auto"/>
        <w:rPr>
          <w:rFonts w:ascii="Times New Roman" w:hAnsi="Times New Roman"/>
          <w:szCs w:val="24"/>
        </w:rPr>
      </w:pPr>
      <w:r>
        <w:rPr>
          <w:rFonts w:ascii="Times New Roman" w:hAnsi="Times New Roman"/>
          <w:szCs w:val="24"/>
          <w:u w:val="single"/>
        </w:rPr>
        <w:t>Respondents (</w:t>
      </w:r>
      <w:r>
        <w:rPr>
          <w:rFonts w:ascii="Times New Roman" w:hAnsi="Times New Roman"/>
          <w:szCs w:val="24"/>
          <w:u w:val="single"/>
        </w:rPr>
        <w:t>Affected Public</w:t>
      </w:r>
      <w:r>
        <w:rPr>
          <w:rFonts w:ascii="Times New Roman" w:hAnsi="Times New Roman"/>
          <w:szCs w:val="24"/>
          <w:u w:val="single"/>
        </w:rPr>
        <w:t>)</w:t>
      </w:r>
      <w:r>
        <w:rPr>
          <w:rFonts w:ascii="Times New Roman" w:hAnsi="Times New Roman"/>
          <w:szCs w:val="24"/>
          <w:u w:val="single"/>
        </w:rPr>
        <w:t>:</w:t>
      </w:r>
      <w:r>
        <w:rPr>
          <w:rFonts w:ascii="Times New Roman" w:hAnsi="Times New Roman"/>
          <w:szCs w:val="24"/>
        </w:rPr>
        <w:t xml:space="preserve"> State, Local, and Tribal Government. Respondent groups identified include</w:t>
      </w:r>
      <w:r w:rsidR="00C04E0A">
        <w:rPr>
          <w:rFonts w:ascii="Times New Roman" w:hAnsi="Times New Roman"/>
          <w:szCs w:val="24"/>
        </w:rPr>
        <w:t xml:space="preserve"> State agencies </w:t>
      </w:r>
      <w:r>
        <w:rPr>
          <w:rFonts w:ascii="Times New Roman" w:hAnsi="Times New Roman"/>
          <w:szCs w:val="24"/>
        </w:rPr>
        <w:t>that administer the SFSP in their State</w:t>
      </w:r>
      <w:r w:rsidR="00824A61">
        <w:rPr>
          <w:rFonts w:ascii="Times New Roman" w:hAnsi="Times New Roman"/>
          <w:szCs w:val="24"/>
        </w:rPr>
        <w:t>.</w:t>
      </w:r>
    </w:p>
    <w:p w:rsidR="002D078A" w:rsidP="002D078A" w14:paraId="1F0CD74E" w14:textId="062482A3">
      <w:pPr>
        <w:tabs>
          <w:tab w:val="left" w:pos="-720"/>
        </w:tabs>
        <w:suppressAutoHyphens/>
        <w:spacing w:line="480" w:lineRule="auto"/>
        <w:rPr>
          <w:rFonts w:ascii="Times New Roman" w:hAnsi="Times New Roman"/>
          <w:szCs w:val="24"/>
        </w:rPr>
      </w:pPr>
      <w:r>
        <w:rPr>
          <w:rFonts w:ascii="Times New Roman" w:hAnsi="Times New Roman"/>
          <w:szCs w:val="24"/>
          <w:u w:val="single"/>
        </w:rPr>
        <w:t>Estimated Number of Respondents:</w:t>
      </w:r>
      <w:r>
        <w:rPr>
          <w:rFonts w:ascii="Times New Roman" w:hAnsi="Times New Roman"/>
          <w:szCs w:val="24"/>
        </w:rPr>
        <w:t xml:space="preserve"> The total estimated number of respondents is 53. </w:t>
      </w:r>
    </w:p>
    <w:p w:rsidR="002D078A" w:rsidP="002D078A" w14:paraId="4AAC9BBC" w14:textId="5FC5F89C">
      <w:pPr>
        <w:tabs>
          <w:tab w:val="left" w:pos="-720"/>
        </w:tabs>
        <w:suppressAutoHyphens/>
        <w:spacing w:line="480" w:lineRule="auto"/>
        <w:rPr>
          <w:rFonts w:ascii="Times New Roman" w:hAnsi="Times New Roman"/>
          <w:szCs w:val="24"/>
        </w:rPr>
      </w:pPr>
      <w:r>
        <w:rPr>
          <w:rFonts w:ascii="Times New Roman" w:hAnsi="Times New Roman"/>
          <w:szCs w:val="24"/>
          <w:u w:val="single"/>
        </w:rPr>
        <w:t xml:space="preserve">Estimated Number of Responses per Respondent: </w:t>
      </w:r>
      <w:r>
        <w:rPr>
          <w:rFonts w:ascii="Times New Roman" w:hAnsi="Times New Roman"/>
          <w:szCs w:val="24"/>
        </w:rPr>
        <w:t xml:space="preserve"> The overall frequency of responses across the entire information collection is </w:t>
      </w:r>
      <w:r w:rsidR="00E67570">
        <w:rPr>
          <w:rFonts w:ascii="Times New Roman" w:hAnsi="Times New Roman"/>
          <w:szCs w:val="24"/>
        </w:rPr>
        <w:t>3</w:t>
      </w:r>
      <w:r w:rsidR="00E86A4C">
        <w:rPr>
          <w:rFonts w:ascii="Times New Roman" w:hAnsi="Times New Roman"/>
          <w:szCs w:val="24"/>
        </w:rPr>
        <w:t xml:space="preserve"> </w:t>
      </w:r>
      <w:r>
        <w:rPr>
          <w:rFonts w:ascii="Times New Roman" w:hAnsi="Times New Roman"/>
          <w:szCs w:val="24"/>
        </w:rPr>
        <w:t>responses per respondent</w:t>
      </w:r>
      <w:r w:rsidR="00824A61">
        <w:rPr>
          <w:rFonts w:ascii="Times New Roman" w:hAnsi="Times New Roman"/>
          <w:szCs w:val="24"/>
        </w:rPr>
        <w:t>.</w:t>
      </w:r>
      <w:r>
        <w:rPr>
          <w:rFonts w:ascii="Times New Roman" w:hAnsi="Times New Roman"/>
          <w:szCs w:val="24"/>
        </w:rPr>
        <w:t xml:space="preserve"> </w:t>
      </w:r>
      <w:r w:rsidR="00D4218C">
        <w:rPr>
          <w:rFonts w:ascii="Times New Roman" w:hAnsi="Times New Roman"/>
          <w:szCs w:val="24"/>
        </w:rPr>
        <w:t xml:space="preserve"> </w:t>
      </w:r>
    </w:p>
    <w:p w:rsidR="002D078A" w:rsidP="002D078A" w14:paraId="5ADF5150" w14:textId="75FF21B6">
      <w:pPr>
        <w:tabs>
          <w:tab w:val="left" w:pos="-720"/>
        </w:tabs>
        <w:suppressAutoHyphens/>
        <w:spacing w:line="480" w:lineRule="auto"/>
        <w:rPr>
          <w:rFonts w:ascii="Times New Roman" w:hAnsi="Times New Roman"/>
          <w:szCs w:val="24"/>
        </w:rPr>
      </w:pPr>
      <w:r>
        <w:rPr>
          <w:rFonts w:ascii="Times New Roman" w:hAnsi="Times New Roman"/>
          <w:szCs w:val="24"/>
          <w:u w:val="single"/>
        </w:rPr>
        <w:t>Estimated Total Annual Responses:</w:t>
      </w:r>
      <w:r>
        <w:rPr>
          <w:rFonts w:ascii="Times New Roman" w:hAnsi="Times New Roman"/>
          <w:szCs w:val="24"/>
        </w:rPr>
        <w:t xml:space="preserve"> </w:t>
      </w:r>
      <w:r w:rsidR="00E67570">
        <w:rPr>
          <w:rFonts w:ascii="Times New Roman" w:hAnsi="Times New Roman"/>
          <w:szCs w:val="24"/>
        </w:rPr>
        <w:t>159 responses</w:t>
      </w:r>
      <w:r w:rsidR="006054C7">
        <w:rPr>
          <w:rFonts w:ascii="Times New Roman" w:hAnsi="Times New Roman"/>
          <w:szCs w:val="24"/>
        </w:rPr>
        <w:t>.</w:t>
      </w:r>
    </w:p>
    <w:p w:rsidR="002D078A" w:rsidP="002D078A" w14:paraId="443F57FB" w14:textId="1337AA12">
      <w:pPr>
        <w:tabs>
          <w:tab w:val="left" w:pos="-720"/>
        </w:tabs>
        <w:suppressAutoHyphens/>
        <w:spacing w:line="480" w:lineRule="auto"/>
        <w:rPr>
          <w:rFonts w:ascii="Times New Roman" w:hAnsi="Times New Roman"/>
          <w:szCs w:val="24"/>
        </w:rPr>
      </w:pPr>
      <w:r>
        <w:rPr>
          <w:rFonts w:ascii="Times New Roman" w:hAnsi="Times New Roman"/>
          <w:szCs w:val="24"/>
          <w:u w:val="single"/>
        </w:rPr>
        <w:t>Estimated Time per Response:</w:t>
      </w:r>
      <w:r>
        <w:rPr>
          <w:rFonts w:ascii="Times New Roman" w:hAnsi="Times New Roman"/>
          <w:szCs w:val="24"/>
        </w:rPr>
        <w:t xml:space="preserve"> The estimated time of response</w:t>
      </w:r>
      <w:r w:rsidR="00BB07CF">
        <w:rPr>
          <w:rFonts w:ascii="Times New Roman" w:hAnsi="Times New Roman"/>
          <w:szCs w:val="24"/>
        </w:rPr>
        <w:t xml:space="preserve"> across the entire collection is </w:t>
      </w:r>
      <w:r w:rsidR="00E67570">
        <w:rPr>
          <w:rFonts w:ascii="Times New Roman" w:hAnsi="Times New Roman"/>
          <w:szCs w:val="24"/>
        </w:rPr>
        <w:t>15 minutes (0.25 hours)</w:t>
      </w:r>
      <w:r w:rsidR="001C7CDC">
        <w:rPr>
          <w:rFonts w:ascii="Times New Roman" w:hAnsi="Times New Roman"/>
          <w:szCs w:val="24"/>
        </w:rPr>
        <w:t>.</w:t>
      </w:r>
      <w:r w:rsidR="00C5641E">
        <w:rPr>
          <w:rFonts w:ascii="Times New Roman" w:hAnsi="Times New Roman"/>
          <w:szCs w:val="24"/>
        </w:rPr>
        <w:t xml:space="preserve"> </w:t>
      </w:r>
      <w:r w:rsidR="005E3013">
        <w:rPr>
          <w:rFonts w:ascii="Times New Roman" w:hAnsi="Times New Roman"/>
          <w:szCs w:val="24"/>
        </w:rPr>
        <w:t xml:space="preserve">  </w:t>
      </w:r>
      <w:r>
        <w:rPr>
          <w:rFonts w:ascii="Times New Roman" w:hAnsi="Times New Roman"/>
          <w:szCs w:val="24"/>
        </w:rPr>
        <w:t xml:space="preserve"> </w:t>
      </w:r>
    </w:p>
    <w:p w:rsidR="00E67570" w:rsidRPr="001C7CDC" w14:paraId="54AAE700" w14:textId="37FF5E99">
      <w:pPr>
        <w:tabs>
          <w:tab w:val="left" w:pos="-720"/>
        </w:tabs>
        <w:suppressAutoHyphens/>
        <w:spacing w:line="480" w:lineRule="auto"/>
        <w:rPr>
          <w:rFonts w:ascii="Times New Roman" w:hAnsi="Times New Roman"/>
          <w:szCs w:val="24"/>
        </w:rPr>
        <w:sectPr w:rsidSect="00043601">
          <w:footerReference w:type="default" r:id="rId10"/>
          <w:footerReference w:type="first" r:id="rId11"/>
          <w:endnotePr>
            <w:numFmt w:val="decimal"/>
          </w:endnotePr>
          <w:pgSz w:w="12240" w:h="15840"/>
          <w:pgMar w:top="1440" w:right="1440" w:bottom="1440" w:left="1440" w:header="1440" w:footer="720" w:gutter="0"/>
          <w:pgNumType w:start="1"/>
          <w:cols w:space="720"/>
          <w:noEndnote/>
          <w:titlePg/>
          <w:docGrid w:linePitch="326"/>
        </w:sectPr>
      </w:pPr>
      <w:r w:rsidRPr="00DF2C53">
        <w:rPr>
          <w:rFonts w:ascii="Times New Roman" w:hAnsi="Times New Roman"/>
          <w:szCs w:val="24"/>
          <w:u w:val="single"/>
        </w:rPr>
        <w:t>Estimated Total Annual Burden on Respondents</w:t>
      </w:r>
      <w:r>
        <w:rPr>
          <w:rFonts w:ascii="Times New Roman" w:hAnsi="Times New Roman"/>
          <w:szCs w:val="24"/>
        </w:rPr>
        <w:t>:</w:t>
      </w:r>
      <w:r>
        <w:rPr>
          <w:rFonts w:ascii="Times New Roman" w:hAnsi="Times New Roman"/>
          <w:szCs w:val="24"/>
        </w:rPr>
        <w:t xml:space="preserve"> </w:t>
      </w:r>
      <w:r w:rsidR="006D4AE1">
        <w:rPr>
          <w:rFonts w:ascii="Times New Roman" w:hAnsi="Times New Roman"/>
          <w:szCs w:val="24"/>
        </w:rPr>
        <w:t xml:space="preserve">40 </w:t>
      </w:r>
      <w:r>
        <w:rPr>
          <w:rFonts w:ascii="Times New Roman" w:hAnsi="Times New Roman"/>
          <w:szCs w:val="24"/>
        </w:rPr>
        <w:t>hours</w:t>
      </w:r>
      <w:r w:rsidR="00E2256B">
        <w:rPr>
          <w:rFonts w:ascii="Times New Roman" w:hAnsi="Times New Roman"/>
          <w:szCs w:val="24"/>
        </w:rPr>
        <w:t>.</w:t>
      </w:r>
    </w:p>
    <w:tbl>
      <w:tblPr>
        <w:tblpPr w:leftFromText="180" w:rightFromText="180" w:horzAnchor="margin" w:tblpXSpec="center" w:tblpY="-1440"/>
        <w:tblW w:w="15025" w:type="dxa"/>
        <w:tblLayout w:type="fixed"/>
        <w:tblLook w:val="04A0"/>
      </w:tblPr>
      <w:tblGrid>
        <w:gridCol w:w="1435"/>
        <w:gridCol w:w="3960"/>
        <w:gridCol w:w="1530"/>
        <w:gridCol w:w="1170"/>
        <w:gridCol w:w="990"/>
        <w:gridCol w:w="1080"/>
        <w:gridCol w:w="990"/>
        <w:gridCol w:w="900"/>
        <w:gridCol w:w="990"/>
        <w:gridCol w:w="900"/>
        <w:gridCol w:w="1080"/>
      </w:tblGrid>
      <w:tr w14:paraId="506FB998" w14:textId="77777777" w:rsidTr="00B41001">
        <w:tblPrEx>
          <w:tblW w:w="15025" w:type="dxa"/>
          <w:tblLayout w:type="fixed"/>
          <w:tblLook w:val="04A0"/>
        </w:tblPrEx>
        <w:trPr>
          <w:trHeight w:val="800"/>
        </w:trPr>
        <w:tc>
          <w:tcPr>
            <w:tcW w:w="1502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67570" w:rsidRPr="00876642" w:rsidP="00671C8C" w14:paraId="67D0CDB0" w14:textId="77777777">
            <w:pPr>
              <w:jc w:val="center"/>
              <w:rPr>
                <w:rFonts w:ascii="Times New Roman" w:hAnsi="Times New Roman"/>
                <w:b/>
                <w:bCs/>
                <w:color w:val="000000"/>
                <w:sz w:val="16"/>
                <w:szCs w:val="16"/>
              </w:rPr>
            </w:pPr>
            <w:r>
              <w:rPr>
                <w:rFonts w:ascii="Times New Roman" w:hAnsi="Times New Roman"/>
                <w:b/>
                <w:bCs/>
                <w:color w:val="000000"/>
                <w:sz w:val="16"/>
                <w:szCs w:val="16"/>
              </w:rPr>
              <w:t>Estimated Annual Burden for SFSP</w:t>
            </w:r>
          </w:p>
        </w:tc>
      </w:tr>
      <w:tr w14:paraId="6D057A2B" w14:textId="77777777" w:rsidTr="00B41001">
        <w:tblPrEx>
          <w:tblW w:w="15025" w:type="dxa"/>
          <w:tblLayout w:type="fixed"/>
          <w:tblLook w:val="04A0"/>
        </w:tblPrEx>
        <w:trPr>
          <w:trHeight w:val="593"/>
        </w:trPr>
        <w:tc>
          <w:tcPr>
            <w:tcW w:w="1502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67570" w:rsidRPr="007E1822" w:rsidP="00671C8C" w14:paraId="692FE232" w14:textId="77777777">
            <w:pPr>
              <w:jc w:val="center"/>
              <w:rPr>
                <w:rFonts w:ascii="Times New Roman" w:hAnsi="Times New Roman"/>
                <w:b/>
                <w:bCs/>
                <w:color w:val="000000"/>
                <w:sz w:val="16"/>
                <w:szCs w:val="16"/>
              </w:rPr>
            </w:pPr>
            <w:r>
              <w:rPr>
                <w:rFonts w:ascii="Times New Roman" w:hAnsi="Times New Roman"/>
                <w:b/>
                <w:bCs/>
                <w:color w:val="000000"/>
                <w:sz w:val="16"/>
                <w:szCs w:val="16"/>
              </w:rPr>
              <w:t>Reporting</w:t>
            </w:r>
          </w:p>
        </w:tc>
      </w:tr>
      <w:tr w14:paraId="0B91C772" w14:textId="77777777" w:rsidTr="00B41001">
        <w:tblPrEx>
          <w:tblW w:w="15025" w:type="dxa"/>
          <w:tblLayout w:type="fixed"/>
          <w:tblLook w:val="04A0"/>
        </w:tblPrEx>
        <w:trPr>
          <w:trHeight w:val="1007"/>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062CB3F1" w14:textId="77777777">
            <w:pPr>
              <w:jc w:val="center"/>
              <w:rPr>
                <w:rFonts w:ascii="Times New Roman" w:hAnsi="Times New Roman"/>
                <w:b/>
                <w:bCs/>
                <w:color w:val="000000"/>
                <w:sz w:val="16"/>
                <w:szCs w:val="16"/>
              </w:rPr>
            </w:pPr>
            <w:r w:rsidRPr="00876642">
              <w:rPr>
                <w:rFonts w:ascii="Times New Roman" w:hAnsi="Times New Roman"/>
                <w:b/>
                <w:bCs/>
                <w:color w:val="000000"/>
                <w:sz w:val="16"/>
                <w:szCs w:val="16"/>
              </w:rPr>
              <w:t>Respondent Type</w:t>
            </w:r>
          </w:p>
        </w:tc>
        <w:tc>
          <w:tcPr>
            <w:tcW w:w="3960" w:type="dxa"/>
            <w:tcBorders>
              <w:top w:val="nil"/>
              <w:left w:val="nil"/>
              <w:bottom w:val="single" w:sz="4" w:space="0" w:color="auto"/>
              <w:right w:val="single" w:sz="4" w:space="0" w:color="auto"/>
            </w:tcBorders>
            <w:shd w:val="clear" w:color="auto" w:fill="auto"/>
            <w:vAlign w:val="center"/>
            <w:hideMark/>
          </w:tcPr>
          <w:p w:rsidR="00E67570" w:rsidRPr="00876642" w:rsidP="00671C8C" w14:paraId="7BFFE2D0" w14:textId="77777777">
            <w:pPr>
              <w:jc w:val="center"/>
              <w:rPr>
                <w:rFonts w:ascii="Times New Roman" w:hAnsi="Times New Roman"/>
                <w:b/>
                <w:bCs/>
                <w:color w:val="000000"/>
                <w:sz w:val="16"/>
                <w:szCs w:val="16"/>
              </w:rPr>
            </w:pPr>
            <w:r w:rsidRPr="00876642">
              <w:rPr>
                <w:rFonts w:ascii="Times New Roman" w:hAnsi="Times New Roman"/>
                <w:b/>
                <w:bCs/>
                <w:color w:val="000000"/>
                <w:sz w:val="16"/>
                <w:szCs w:val="16"/>
              </w:rPr>
              <w:t>Burden Activities</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22AD4398" w14:textId="77777777">
            <w:pPr>
              <w:jc w:val="center"/>
              <w:rPr>
                <w:rFonts w:ascii="Times New Roman" w:hAnsi="Times New Roman"/>
                <w:b/>
                <w:bCs/>
                <w:color w:val="000000"/>
                <w:sz w:val="16"/>
                <w:szCs w:val="16"/>
              </w:rPr>
            </w:pPr>
            <w:r w:rsidRPr="00876642">
              <w:rPr>
                <w:rFonts w:ascii="Times New Roman" w:hAnsi="Times New Roman"/>
                <w:b/>
                <w:bCs/>
                <w:color w:val="000000"/>
                <w:sz w:val="16"/>
                <w:szCs w:val="16"/>
              </w:rPr>
              <w:t>Section</w:t>
            </w:r>
          </w:p>
        </w:tc>
        <w:tc>
          <w:tcPr>
            <w:tcW w:w="1170" w:type="dxa"/>
            <w:tcBorders>
              <w:top w:val="nil"/>
              <w:left w:val="nil"/>
              <w:bottom w:val="single" w:sz="4" w:space="0" w:color="auto"/>
              <w:right w:val="single" w:sz="4" w:space="0" w:color="auto"/>
            </w:tcBorders>
            <w:shd w:val="clear" w:color="auto" w:fill="auto"/>
            <w:vAlign w:val="center"/>
            <w:hideMark/>
          </w:tcPr>
          <w:p w:rsidR="00E67570" w:rsidRPr="00876642" w:rsidP="00671C8C" w14:paraId="6C06E5C6" w14:textId="77777777">
            <w:pPr>
              <w:jc w:val="center"/>
              <w:rPr>
                <w:rFonts w:ascii="Times New Roman" w:hAnsi="Times New Roman"/>
                <w:b/>
                <w:bCs/>
                <w:color w:val="000000"/>
                <w:sz w:val="16"/>
                <w:szCs w:val="16"/>
              </w:rPr>
            </w:pPr>
            <w:r w:rsidRPr="00876642">
              <w:rPr>
                <w:rFonts w:ascii="Times New Roman" w:hAnsi="Times New Roman"/>
                <w:b/>
                <w:bCs/>
                <w:color w:val="000000"/>
                <w:sz w:val="16"/>
                <w:szCs w:val="16"/>
              </w:rPr>
              <w:t>Estimated Number of Respondents</w:t>
            </w:r>
          </w:p>
        </w:tc>
        <w:tc>
          <w:tcPr>
            <w:tcW w:w="990" w:type="dxa"/>
            <w:tcBorders>
              <w:top w:val="nil"/>
              <w:left w:val="nil"/>
              <w:bottom w:val="single" w:sz="4" w:space="0" w:color="auto"/>
              <w:right w:val="single" w:sz="4" w:space="0" w:color="auto"/>
            </w:tcBorders>
            <w:shd w:val="clear" w:color="auto" w:fill="auto"/>
            <w:vAlign w:val="center"/>
            <w:hideMark/>
          </w:tcPr>
          <w:p w:rsidR="00E67570" w:rsidRPr="00876642" w:rsidP="00671C8C" w14:paraId="5FA9C8AD" w14:textId="77777777">
            <w:pPr>
              <w:jc w:val="center"/>
              <w:rPr>
                <w:rFonts w:ascii="Times New Roman" w:hAnsi="Times New Roman"/>
                <w:b/>
                <w:bCs/>
                <w:color w:val="000000"/>
                <w:sz w:val="16"/>
                <w:szCs w:val="16"/>
              </w:rPr>
            </w:pPr>
            <w:r w:rsidRPr="00876642">
              <w:rPr>
                <w:rFonts w:ascii="Times New Roman" w:hAnsi="Times New Roman"/>
                <w:b/>
                <w:bCs/>
                <w:color w:val="000000"/>
                <w:sz w:val="16"/>
                <w:szCs w:val="16"/>
              </w:rPr>
              <w:t>Frequency of Response</w:t>
            </w:r>
          </w:p>
        </w:tc>
        <w:tc>
          <w:tcPr>
            <w:tcW w:w="1080" w:type="dxa"/>
            <w:tcBorders>
              <w:top w:val="nil"/>
              <w:left w:val="nil"/>
              <w:bottom w:val="single" w:sz="4" w:space="0" w:color="auto"/>
              <w:right w:val="single" w:sz="4" w:space="0" w:color="auto"/>
            </w:tcBorders>
            <w:shd w:val="clear" w:color="auto" w:fill="auto"/>
            <w:vAlign w:val="center"/>
            <w:hideMark/>
          </w:tcPr>
          <w:p w:rsidR="00E67570" w:rsidRPr="00876642" w:rsidP="00671C8C" w14:paraId="0F84767C" w14:textId="77777777">
            <w:pPr>
              <w:jc w:val="center"/>
              <w:rPr>
                <w:rFonts w:ascii="Times New Roman" w:hAnsi="Times New Roman"/>
                <w:b/>
                <w:bCs/>
                <w:color w:val="000000"/>
                <w:sz w:val="16"/>
                <w:szCs w:val="16"/>
              </w:rPr>
            </w:pPr>
            <w:r w:rsidRPr="00876642">
              <w:rPr>
                <w:rFonts w:ascii="Times New Roman" w:hAnsi="Times New Roman"/>
                <w:b/>
                <w:bCs/>
                <w:color w:val="000000"/>
                <w:sz w:val="16"/>
                <w:szCs w:val="16"/>
              </w:rPr>
              <w:t>Average Annual Responses</w:t>
            </w:r>
          </w:p>
        </w:tc>
        <w:tc>
          <w:tcPr>
            <w:tcW w:w="990" w:type="dxa"/>
            <w:tcBorders>
              <w:top w:val="nil"/>
              <w:left w:val="nil"/>
              <w:bottom w:val="single" w:sz="4" w:space="0" w:color="auto"/>
              <w:right w:val="single" w:sz="4" w:space="0" w:color="auto"/>
            </w:tcBorders>
            <w:shd w:val="clear" w:color="auto" w:fill="auto"/>
            <w:vAlign w:val="center"/>
            <w:hideMark/>
          </w:tcPr>
          <w:p w:rsidR="00E67570" w:rsidRPr="00876642" w:rsidP="00671C8C" w14:paraId="67C21A28" w14:textId="77777777">
            <w:pPr>
              <w:jc w:val="center"/>
              <w:rPr>
                <w:rFonts w:ascii="Times New Roman" w:hAnsi="Times New Roman"/>
                <w:b/>
                <w:bCs/>
                <w:color w:val="000000"/>
                <w:sz w:val="16"/>
                <w:szCs w:val="16"/>
              </w:rPr>
            </w:pPr>
            <w:r w:rsidRPr="00876642">
              <w:rPr>
                <w:rFonts w:ascii="Times New Roman" w:hAnsi="Times New Roman"/>
                <w:b/>
                <w:bCs/>
                <w:color w:val="000000"/>
                <w:sz w:val="16"/>
                <w:szCs w:val="16"/>
              </w:rPr>
              <w:t>Average Burden per Response</w:t>
            </w:r>
          </w:p>
        </w:tc>
        <w:tc>
          <w:tcPr>
            <w:tcW w:w="900" w:type="dxa"/>
            <w:tcBorders>
              <w:top w:val="nil"/>
              <w:left w:val="nil"/>
              <w:bottom w:val="single" w:sz="4" w:space="0" w:color="auto"/>
              <w:right w:val="single" w:sz="4" w:space="0" w:color="auto"/>
            </w:tcBorders>
            <w:shd w:val="clear" w:color="auto" w:fill="auto"/>
            <w:vAlign w:val="center"/>
            <w:hideMark/>
          </w:tcPr>
          <w:p w:rsidR="00E67570" w:rsidRPr="00876642" w:rsidP="00671C8C" w14:paraId="1C7269B1" w14:textId="77777777">
            <w:pPr>
              <w:jc w:val="center"/>
              <w:rPr>
                <w:rFonts w:ascii="Times New Roman" w:hAnsi="Times New Roman"/>
                <w:b/>
                <w:bCs/>
                <w:color w:val="000000"/>
                <w:sz w:val="16"/>
                <w:szCs w:val="16"/>
              </w:rPr>
            </w:pPr>
            <w:r w:rsidRPr="00876642">
              <w:rPr>
                <w:rFonts w:ascii="Times New Roman" w:hAnsi="Times New Roman"/>
                <w:b/>
                <w:bCs/>
                <w:color w:val="000000"/>
                <w:sz w:val="16"/>
                <w:szCs w:val="16"/>
              </w:rPr>
              <w:t>Annual Burden Hours</w:t>
            </w:r>
          </w:p>
        </w:tc>
        <w:tc>
          <w:tcPr>
            <w:tcW w:w="990" w:type="dxa"/>
            <w:tcBorders>
              <w:top w:val="nil"/>
              <w:left w:val="nil"/>
              <w:bottom w:val="single" w:sz="4" w:space="0" w:color="auto"/>
              <w:right w:val="single" w:sz="4" w:space="0" w:color="auto"/>
            </w:tcBorders>
            <w:shd w:val="clear" w:color="auto" w:fill="auto"/>
            <w:vAlign w:val="center"/>
            <w:hideMark/>
          </w:tcPr>
          <w:p w:rsidR="00E67570" w:rsidRPr="00876642" w:rsidP="00671C8C" w14:paraId="6C4D7A1F" w14:textId="77777777">
            <w:pPr>
              <w:jc w:val="center"/>
              <w:rPr>
                <w:rFonts w:ascii="Times New Roman" w:hAnsi="Times New Roman"/>
                <w:b/>
                <w:bCs/>
                <w:color w:val="000000"/>
                <w:sz w:val="16"/>
                <w:szCs w:val="16"/>
              </w:rPr>
            </w:pPr>
            <w:r w:rsidRPr="00876642">
              <w:rPr>
                <w:rFonts w:ascii="Times New Roman" w:hAnsi="Times New Roman"/>
                <w:b/>
                <w:bCs/>
                <w:color w:val="000000"/>
                <w:sz w:val="16"/>
                <w:szCs w:val="16"/>
              </w:rPr>
              <w:t>Current</w:t>
            </w:r>
            <w:r>
              <w:rPr>
                <w:rFonts w:ascii="Times New Roman" w:hAnsi="Times New Roman"/>
                <w:b/>
                <w:bCs/>
                <w:color w:val="000000"/>
                <w:sz w:val="16"/>
                <w:szCs w:val="16"/>
              </w:rPr>
              <w:t>ly</w:t>
            </w:r>
            <w:r w:rsidRPr="00876642">
              <w:rPr>
                <w:rFonts w:ascii="Times New Roman" w:hAnsi="Times New Roman"/>
                <w:b/>
                <w:bCs/>
                <w:color w:val="000000"/>
                <w:sz w:val="16"/>
                <w:szCs w:val="16"/>
              </w:rPr>
              <w:t xml:space="preserve"> Approved Burden Hours</w:t>
            </w:r>
          </w:p>
        </w:tc>
        <w:tc>
          <w:tcPr>
            <w:tcW w:w="900" w:type="dxa"/>
            <w:tcBorders>
              <w:top w:val="nil"/>
              <w:left w:val="nil"/>
              <w:bottom w:val="single" w:sz="4" w:space="0" w:color="auto"/>
              <w:right w:val="single" w:sz="4" w:space="0" w:color="auto"/>
            </w:tcBorders>
            <w:shd w:val="clear" w:color="auto" w:fill="auto"/>
            <w:vAlign w:val="center"/>
            <w:hideMark/>
          </w:tcPr>
          <w:p w:rsidR="00E67570" w:rsidRPr="00876642" w:rsidP="00671C8C" w14:paraId="7352FAC2" w14:textId="77777777">
            <w:pPr>
              <w:jc w:val="center"/>
              <w:rPr>
                <w:rFonts w:ascii="Times New Roman" w:hAnsi="Times New Roman"/>
                <w:b/>
                <w:bCs/>
                <w:color w:val="000000"/>
                <w:sz w:val="16"/>
                <w:szCs w:val="16"/>
              </w:rPr>
            </w:pPr>
            <w:r w:rsidRPr="00876642">
              <w:rPr>
                <w:rFonts w:ascii="Times New Roman" w:hAnsi="Times New Roman"/>
                <w:b/>
                <w:bCs/>
                <w:color w:val="000000"/>
                <w:sz w:val="16"/>
                <w:szCs w:val="16"/>
              </w:rPr>
              <w:t>Program Changes</w:t>
            </w:r>
          </w:p>
        </w:tc>
        <w:tc>
          <w:tcPr>
            <w:tcW w:w="1080" w:type="dxa"/>
            <w:tcBorders>
              <w:top w:val="nil"/>
              <w:left w:val="nil"/>
              <w:bottom w:val="single" w:sz="4" w:space="0" w:color="auto"/>
              <w:right w:val="single" w:sz="4" w:space="0" w:color="auto"/>
            </w:tcBorders>
            <w:shd w:val="clear" w:color="auto" w:fill="auto"/>
            <w:vAlign w:val="center"/>
            <w:hideMark/>
          </w:tcPr>
          <w:p w:rsidR="00E67570" w:rsidRPr="00876642" w:rsidP="00671C8C" w14:paraId="516ADC49" w14:textId="77777777">
            <w:pPr>
              <w:jc w:val="center"/>
              <w:rPr>
                <w:rFonts w:ascii="Times New Roman" w:hAnsi="Times New Roman"/>
                <w:b/>
                <w:bCs/>
                <w:color w:val="000000"/>
                <w:sz w:val="16"/>
                <w:szCs w:val="16"/>
              </w:rPr>
            </w:pPr>
            <w:r w:rsidRPr="00876642">
              <w:rPr>
                <w:rFonts w:ascii="Times New Roman" w:hAnsi="Times New Roman"/>
                <w:b/>
                <w:bCs/>
                <w:color w:val="000000"/>
                <w:sz w:val="16"/>
                <w:szCs w:val="16"/>
              </w:rPr>
              <w:t>Total Difference in Burden</w:t>
            </w:r>
          </w:p>
        </w:tc>
      </w:tr>
      <w:tr w14:paraId="14F3A376" w14:textId="77777777" w:rsidTr="00B41001">
        <w:tblPrEx>
          <w:tblW w:w="15025" w:type="dxa"/>
          <w:tblLayout w:type="fixed"/>
          <w:tblLook w:val="04A0"/>
        </w:tblPrEx>
        <w:trPr>
          <w:trHeight w:val="476"/>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729D1B9B"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1038F62F" w14:textId="6DE40BFF">
            <w:pPr>
              <w:rPr>
                <w:rFonts w:ascii="Times New Roman" w:hAnsi="Times New Roman"/>
                <w:color w:val="000000"/>
                <w:sz w:val="16"/>
                <w:szCs w:val="16"/>
              </w:rPr>
            </w:pPr>
            <w:r w:rsidRPr="00876642">
              <w:rPr>
                <w:rFonts w:ascii="Times New Roman" w:hAnsi="Times New Roman"/>
                <w:color w:val="000000"/>
                <w:sz w:val="16"/>
                <w:szCs w:val="16"/>
              </w:rPr>
              <w:t>The SA must determine if a sponsoring organization operates in more than one State</w:t>
            </w:r>
            <w:r w:rsidR="008D483E">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744919B3" w14:textId="77777777">
            <w:pPr>
              <w:rPr>
                <w:rFonts w:ascii="Times New Roman" w:hAnsi="Times New Roman"/>
                <w:color w:val="000000"/>
                <w:sz w:val="16"/>
                <w:szCs w:val="16"/>
              </w:rPr>
            </w:pPr>
            <w:r w:rsidRPr="00876642">
              <w:rPr>
                <w:rFonts w:ascii="Times New Roman" w:hAnsi="Times New Roman"/>
                <w:color w:val="000000"/>
                <w:sz w:val="16"/>
                <w:szCs w:val="16"/>
              </w:rPr>
              <w:t>225.6(c)(5)</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36BE3CF"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D0F58BC"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0CC0AA6"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EC160CB"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BAB0119"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A55DC25"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AEB5CE5"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25794C9"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r>
      <w:tr w14:paraId="77605355" w14:textId="77777777" w:rsidTr="00B41001">
        <w:tblPrEx>
          <w:tblW w:w="15025" w:type="dxa"/>
          <w:tblLayout w:type="fixed"/>
          <w:tblLook w:val="04A0"/>
        </w:tblPrEx>
        <w:trPr>
          <w:trHeight w:val="1214"/>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61D2A16F"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688808AC" w14:textId="3F1D120A">
            <w:pPr>
              <w:rPr>
                <w:rFonts w:ascii="Times New Roman" w:hAnsi="Times New Roman"/>
                <w:color w:val="000000"/>
                <w:sz w:val="16"/>
                <w:szCs w:val="16"/>
              </w:rPr>
            </w:pPr>
            <w:r w:rsidRPr="00876642">
              <w:rPr>
                <w:rFonts w:ascii="Times New Roman" w:hAnsi="Times New Roman"/>
                <w:color w:val="000000"/>
                <w:sz w:val="16"/>
                <w:szCs w:val="16"/>
              </w:rPr>
              <w:t>SAs must determine if a sponsoring organization is an MSSO, as described in paragraphs (b)(1)(xv) and (b)(2)(iii)(L). SAs must assume the role of the CSA, if the MSSOs center of operations is located within the State. Each SA that approves an MSSO must follow the requirements described in paragraph (i)</w:t>
            </w:r>
            <w:r w:rsidR="00916405">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45C19729" w14:textId="77777777">
            <w:pPr>
              <w:rPr>
                <w:rFonts w:ascii="Times New Roman" w:hAnsi="Times New Roman"/>
                <w:color w:val="000000"/>
                <w:sz w:val="16"/>
                <w:szCs w:val="16"/>
              </w:rPr>
            </w:pPr>
            <w:r w:rsidRPr="00876642">
              <w:rPr>
                <w:rFonts w:ascii="Times New Roman" w:hAnsi="Times New Roman"/>
                <w:color w:val="000000"/>
                <w:sz w:val="16"/>
                <w:szCs w:val="16"/>
              </w:rPr>
              <w:t>225.6(n)</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ED0D038"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BD0C365"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2E4C55F"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D749286"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C25DD52"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3A866EF"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E81B7FD"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17C4498"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r>
      <w:tr w14:paraId="0D7EF1C1" w14:textId="77777777" w:rsidTr="00B41001">
        <w:tblPrEx>
          <w:tblW w:w="15025" w:type="dxa"/>
          <w:tblLayout w:type="fixed"/>
          <w:tblLook w:val="04A0"/>
        </w:tblPrEx>
        <w:trPr>
          <w:trHeight w:val="53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4569D518"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0820E53F" w14:textId="77777777">
            <w:pPr>
              <w:rPr>
                <w:rFonts w:ascii="Times New Roman" w:hAnsi="Times New Roman"/>
                <w:color w:val="000000"/>
                <w:sz w:val="16"/>
                <w:szCs w:val="16"/>
              </w:rPr>
            </w:pPr>
            <w:r w:rsidRPr="00876642">
              <w:rPr>
                <w:rFonts w:ascii="Times New Roman" w:hAnsi="Times New Roman"/>
                <w:color w:val="000000"/>
                <w:sz w:val="16"/>
                <w:szCs w:val="16"/>
              </w:rPr>
              <w:t>SAs must enter into a permanent written agreement with the MSSO, as described in paragraph (b)(4).</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71074819" w14:textId="77777777">
            <w:pPr>
              <w:rPr>
                <w:rFonts w:ascii="Times New Roman" w:hAnsi="Times New Roman"/>
                <w:color w:val="000000"/>
                <w:sz w:val="16"/>
                <w:szCs w:val="16"/>
              </w:rPr>
            </w:pPr>
            <w:r w:rsidRPr="00876642">
              <w:rPr>
                <w:rFonts w:ascii="Times New Roman" w:hAnsi="Times New Roman"/>
                <w:color w:val="000000"/>
                <w:sz w:val="16"/>
                <w:szCs w:val="16"/>
              </w:rPr>
              <w:t>225.6(n)(</w:t>
            </w:r>
            <w:r>
              <w:rPr>
                <w:rFonts w:ascii="Times New Roman" w:hAnsi="Times New Roman"/>
                <w:color w:val="000000"/>
                <w:sz w:val="16"/>
                <w:szCs w:val="16"/>
              </w:rPr>
              <w:t>1)(i)</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F65D959"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1500552"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5E8FA66"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5DAEC34"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AA455DD"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D7EEA5C"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8F194A0"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6DFA9B9"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r>
      <w:tr w14:paraId="6CD92222" w14:textId="77777777" w:rsidTr="00B41001">
        <w:tblPrEx>
          <w:tblW w:w="15025" w:type="dxa"/>
          <w:tblLayout w:type="fixed"/>
          <w:tblLook w:val="04A0"/>
        </w:tblPrEx>
        <w:trPr>
          <w:trHeight w:val="539"/>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5A0D40E5"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497F6B7B" w14:textId="0BAA87AF">
            <w:pPr>
              <w:rPr>
                <w:rFonts w:ascii="Times New Roman" w:hAnsi="Times New Roman"/>
                <w:color w:val="000000"/>
                <w:sz w:val="16"/>
                <w:szCs w:val="16"/>
              </w:rPr>
            </w:pPr>
            <w:r w:rsidRPr="00876642">
              <w:rPr>
                <w:rFonts w:ascii="Times New Roman" w:hAnsi="Times New Roman"/>
                <w:color w:val="000000"/>
                <w:sz w:val="16"/>
                <w:szCs w:val="16"/>
              </w:rPr>
              <w:t>SAs must approve the MSSOs administrative budget</w:t>
            </w:r>
            <w:r w:rsidR="00FC62DF">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384B22CE" w14:textId="77777777">
            <w:pPr>
              <w:rPr>
                <w:rFonts w:ascii="Times New Roman" w:hAnsi="Times New Roman"/>
                <w:color w:val="000000"/>
                <w:sz w:val="16"/>
                <w:szCs w:val="16"/>
              </w:rPr>
            </w:pPr>
            <w:r w:rsidRPr="00876642">
              <w:rPr>
                <w:rFonts w:ascii="Times New Roman" w:hAnsi="Times New Roman"/>
                <w:color w:val="000000"/>
                <w:sz w:val="16"/>
                <w:szCs w:val="16"/>
              </w:rPr>
              <w:t>225.6(n)(</w:t>
            </w:r>
            <w:r>
              <w:rPr>
                <w:rFonts w:ascii="Times New Roman" w:hAnsi="Times New Roman"/>
                <w:color w:val="000000"/>
                <w:sz w:val="16"/>
                <w:szCs w:val="16"/>
              </w:rPr>
              <w:t>1)(ii)</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582F980"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CAA73F8"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22FF472"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4C17CEC"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DE25CD3"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00FE47E"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CBD8771"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E01F9CE"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r>
      <w:tr w14:paraId="4743FE9B" w14:textId="77777777" w:rsidTr="00B41001">
        <w:tblPrEx>
          <w:tblW w:w="15025" w:type="dxa"/>
          <w:tblLayout w:type="fixed"/>
          <w:tblLook w:val="04A0"/>
        </w:tblPrEx>
        <w:trPr>
          <w:trHeight w:val="971"/>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60FF6B6F"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41C96F8B" w14:textId="02D0A8D3">
            <w:pPr>
              <w:rPr>
                <w:rFonts w:ascii="Times New Roman" w:hAnsi="Times New Roman"/>
                <w:color w:val="000000"/>
                <w:sz w:val="16"/>
                <w:szCs w:val="16"/>
              </w:rPr>
            </w:pPr>
            <w:r w:rsidRPr="00876642">
              <w:rPr>
                <w:rFonts w:ascii="Times New Roman" w:hAnsi="Times New Roman"/>
                <w:color w:val="000000"/>
                <w:sz w:val="16"/>
                <w:szCs w:val="16"/>
              </w:rPr>
              <w:t>SAs must conduct monitoring of MSSO Program operations within the State, as described in paragraph (k)(4)</w:t>
            </w:r>
            <w:r>
              <w:rPr>
                <w:rFonts w:ascii="Times New Roman" w:hAnsi="Times New Roman"/>
                <w:color w:val="000000"/>
                <w:sz w:val="16"/>
                <w:szCs w:val="16"/>
              </w:rPr>
              <w:t xml:space="preserve"> and </w:t>
            </w:r>
            <w:r w:rsidRPr="00876642">
              <w:rPr>
                <w:rFonts w:ascii="Times New Roman" w:hAnsi="Times New Roman"/>
                <w:color w:val="000000"/>
                <w:sz w:val="16"/>
                <w:szCs w:val="16"/>
              </w:rPr>
              <w:t>should coordinate monitoring with the CSA to streamline reviews and minimize duplication of the review content</w:t>
            </w:r>
            <w:r w:rsidR="00916405">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67C908C0" w14:textId="77777777">
            <w:pPr>
              <w:rPr>
                <w:rFonts w:ascii="Times New Roman" w:hAnsi="Times New Roman"/>
                <w:color w:val="000000"/>
                <w:sz w:val="16"/>
                <w:szCs w:val="16"/>
              </w:rPr>
            </w:pPr>
            <w:r w:rsidRPr="00876642">
              <w:rPr>
                <w:rFonts w:ascii="Times New Roman" w:hAnsi="Times New Roman"/>
                <w:color w:val="000000"/>
                <w:sz w:val="16"/>
                <w:szCs w:val="16"/>
              </w:rPr>
              <w:t>225.6(n)(</w:t>
            </w:r>
            <w:r>
              <w:rPr>
                <w:rFonts w:ascii="Times New Roman" w:hAnsi="Times New Roman"/>
                <w:color w:val="000000"/>
                <w:sz w:val="16"/>
                <w:szCs w:val="16"/>
              </w:rPr>
              <w:t>1)(iii)</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661A51D"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B080A94"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E8A765A"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0EB4971" w14:textId="77777777">
            <w:pPr>
              <w:jc w:val="right"/>
              <w:rPr>
                <w:rFonts w:ascii="Times New Roman" w:hAnsi="Times New Roman"/>
                <w:color w:val="000000"/>
                <w:sz w:val="16"/>
                <w:szCs w:val="16"/>
              </w:rPr>
            </w:pPr>
            <w:r>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D6D395C" w14:textId="77777777">
            <w:pPr>
              <w:jc w:val="right"/>
              <w:rPr>
                <w:rFonts w:ascii="Times New Roman" w:hAnsi="Times New Roman"/>
                <w:color w:val="000000"/>
                <w:sz w:val="16"/>
                <w:szCs w:val="16"/>
              </w:rPr>
            </w:pPr>
            <w:r>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23E58EF"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CE6B2D9"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r>
              <w:rPr>
                <w:rFonts w:ascii="Times New Roman" w:hAnsi="Times New Roman"/>
                <w:color w:val="000000"/>
                <w:sz w:val="16"/>
                <w:szCs w:val="16"/>
              </w:rPr>
              <w:t>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9680993" w14:textId="77777777">
            <w:pPr>
              <w:jc w:val="right"/>
              <w:rPr>
                <w:rFonts w:ascii="Times New Roman" w:hAnsi="Times New Roman"/>
                <w:color w:val="000000"/>
                <w:sz w:val="16"/>
                <w:szCs w:val="16"/>
              </w:rPr>
            </w:pPr>
            <w:r>
              <w:rPr>
                <w:rFonts w:ascii="Times New Roman" w:hAnsi="Times New Roman"/>
                <w:color w:val="000000"/>
                <w:sz w:val="16"/>
                <w:szCs w:val="16"/>
              </w:rPr>
              <w:t>39.75</w:t>
            </w:r>
          </w:p>
        </w:tc>
      </w:tr>
      <w:tr w14:paraId="712CC7C7" w14:textId="77777777" w:rsidTr="00B41001">
        <w:tblPrEx>
          <w:tblW w:w="15025" w:type="dxa"/>
          <w:tblLayout w:type="fixed"/>
          <w:tblLook w:val="04A0"/>
        </w:tblPrEx>
        <w:trPr>
          <w:trHeight w:val="80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168B4E9D"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79538964" w14:textId="18188904">
            <w:pPr>
              <w:rPr>
                <w:rFonts w:ascii="Times New Roman" w:hAnsi="Times New Roman"/>
                <w:color w:val="000000"/>
                <w:sz w:val="16"/>
                <w:szCs w:val="16"/>
              </w:rPr>
            </w:pPr>
            <w:r w:rsidRPr="00876642">
              <w:rPr>
                <w:rFonts w:ascii="Times New Roman" w:hAnsi="Times New Roman"/>
                <w:color w:val="000000"/>
                <w:sz w:val="16"/>
                <w:szCs w:val="16"/>
              </w:rPr>
              <w:t>SAs must provide summaries of the MSSO reviews that are conducted to the CSA. If the SA chooses to conduct a full review, the SA should request the necessary records from the CSA</w:t>
            </w:r>
            <w:r w:rsidR="00916405">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14CAAF8D" w14:textId="77777777">
            <w:pPr>
              <w:rPr>
                <w:rFonts w:ascii="Times New Roman" w:hAnsi="Times New Roman"/>
                <w:color w:val="000000"/>
                <w:sz w:val="16"/>
                <w:szCs w:val="16"/>
              </w:rPr>
            </w:pPr>
            <w:r w:rsidRPr="00876642">
              <w:rPr>
                <w:rFonts w:ascii="Times New Roman" w:hAnsi="Times New Roman"/>
                <w:color w:val="000000"/>
                <w:sz w:val="16"/>
                <w:szCs w:val="16"/>
              </w:rPr>
              <w:t>225.6(n)(</w:t>
            </w:r>
            <w:r>
              <w:rPr>
                <w:rFonts w:ascii="Times New Roman" w:hAnsi="Times New Roman"/>
                <w:color w:val="000000"/>
                <w:sz w:val="16"/>
                <w:szCs w:val="16"/>
              </w:rPr>
              <w:t>1)(iii)(C)</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EBD6F31"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45F82C5"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F287C7B"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F3C6E60"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C631DBC"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1788C5D"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8ADA82C"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9197866"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r>
      <w:tr w14:paraId="2D2D16CF" w14:textId="77777777" w:rsidTr="00B41001">
        <w:tblPrEx>
          <w:tblW w:w="15025" w:type="dxa"/>
          <w:tblLayout w:type="fixed"/>
          <w:tblLook w:val="04A0"/>
        </w:tblPrEx>
        <w:trPr>
          <w:trHeight w:val="98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5DF91E9E"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39188105" w14:textId="253C97CE">
            <w:pPr>
              <w:rPr>
                <w:rFonts w:ascii="Times New Roman" w:hAnsi="Times New Roman"/>
                <w:color w:val="000000"/>
                <w:sz w:val="16"/>
                <w:szCs w:val="16"/>
              </w:rPr>
            </w:pPr>
            <w:r w:rsidRPr="00876642">
              <w:rPr>
                <w:rFonts w:ascii="Times New Roman" w:hAnsi="Times New Roman"/>
                <w:color w:val="000000"/>
                <w:sz w:val="16"/>
                <w:szCs w:val="16"/>
              </w:rPr>
              <w:t xml:space="preserve">SAs must conduct audit resolution activities. The SA must review audit reports, address audit findings, and implement corrective actions, as required under 2 CFR part 200, subpart D, and USDA implementing regulations 2 CFR </w:t>
            </w:r>
            <w:r>
              <w:rPr>
                <w:rFonts w:ascii="Times New Roman" w:hAnsi="Times New Roman"/>
                <w:color w:val="000000"/>
                <w:sz w:val="16"/>
                <w:szCs w:val="16"/>
              </w:rPr>
              <w:t xml:space="preserve">parts </w:t>
            </w:r>
            <w:r w:rsidRPr="00876642">
              <w:rPr>
                <w:rFonts w:ascii="Times New Roman" w:hAnsi="Times New Roman"/>
                <w:color w:val="000000"/>
                <w:sz w:val="16"/>
                <w:szCs w:val="16"/>
              </w:rPr>
              <w:t>400 and 415</w:t>
            </w:r>
            <w:r w:rsidR="00916405">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7C1A6CB0" w14:textId="77777777">
            <w:pPr>
              <w:rPr>
                <w:rFonts w:ascii="Times New Roman" w:hAnsi="Times New Roman"/>
                <w:color w:val="000000"/>
                <w:sz w:val="16"/>
                <w:szCs w:val="16"/>
              </w:rPr>
            </w:pPr>
            <w:r w:rsidRPr="00876642">
              <w:rPr>
                <w:rFonts w:ascii="Times New Roman" w:hAnsi="Times New Roman"/>
                <w:color w:val="000000"/>
                <w:sz w:val="16"/>
                <w:szCs w:val="16"/>
              </w:rPr>
              <w:t>225.6(n)(</w:t>
            </w:r>
            <w:r>
              <w:rPr>
                <w:rFonts w:ascii="Times New Roman" w:hAnsi="Times New Roman"/>
                <w:color w:val="000000"/>
                <w:sz w:val="16"/>
                <w:szCs w:val="16"/>
              </w:rPr>
              <w:t>1)(iv)</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CC88DE8"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4F8BB65"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53A01C8"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D634BAA" w14:textId="77777777">
            <w:pPr>
              <w:jc w:val="right"/>
              <w:rPr>
                <w:rFonts w:ascii="Times New Roman" w:hAnsi="Times New Roman"/>
                <w:color w:val="000000"/>
                <w:sz w:val="16"/>
                <w:szCs w:val="16"/>
              </w:rPr>
            </w:pPr>
            <w:r>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55ABC2E" w14:textId="77777777">
            <w:pPr>
              <w:jc w:val="right"/>
              <w:rPr>
                <w:rFonts w:ascii="Times New Roman" w:hAnsi="Times New Roman"/>
                <w:color w:val="000000"/>
                <w:sz w:val="16"/>
                <w:szCs w:val="16"/>
              </w:rPr>
            </w:pPr>
            <w:r>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4F221A0"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800ED10" w14:textId="77777777">
            <w:pPr>
              <w:jc w:val="right"/>
              <w:rPr>
                <w:rFonts w:ascii="Times New Roman" w:hAnsi="Times New Roman"/>
                <w:color w:val="000000"/>
                <w:sz w:val="16"/>
                <w:szCs w:val="16"/>
              </w:rPr>
            </w:pPr>
            <w:r>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69354E8" w14:textId="77777777">
            <w:pPr>
              <w:jc w:val="right"/>
              <w:rPr>
                <w:rFonts w:ascii="Times New Roman" w:hAnsi="Times New Roman"/>
                <w:color w:val="000000"/>
                <w:sz w:val="16"/>
                <w:szCs w:val="16"/>
              </w:rPr>
            </w:pPr>
            <w:r>
              <w:rPr>
                <w:rFonts w:ascii="Times New Roman" w:hAnsi="Times New Roman"/>
                <w:color w:val="000000"/>
                <w:sz w:val="16"/>
                <w:szCs w:val="16"/>
              </w:rPr>
              <w:t>39.75</w:t>
            </w:r>
          </w:p>
        </w:tc>
      </w:tr>
      <w:tr w14:paraId="656873E2" w14:textId="77777777" w:rsidTr="00B41001">
        <w:tblPrEx>
          <w:tblW w:w="15025" w:type="dxa"/>
          <w:tblLayout w:type="fixed"/>
          <w:tblLook w:val="04A0"/>
        </w:tblPrEx>
        <w:trPr>
          <w:trHeight w:val="62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35D0C476"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250DC4BA" w14:textId="125C7A60">
            <w:pPr>
              <w:rPr>
                <w:rFonts w:ascii="Times New Roman" w:hAnsi="Times New Roman"/>
                <w:color w:val="000000"/>
                <w:sz w:val="16"/>
                <w:szCs w:val="16"/>
              </w:rPr>
            </w:pPr>
            <w:r w:rsidRPr="00876642">
              <w:rPr>
                <w:rFonts w:ascii="Times New Roman" w:hAnsi="Times New Roman"/>
                <w:color w:val="000000"/>
                <w:sz w:val="16"/>
                <w:szCs w:val="16"/>
              </w:rPr>
              <w:t>SAs notify all other State agencies that have agreements with the MSSO of termination and disqualification actions, as described in paragraph (c)(2)(i)</w:t>
            </w:r>
            <w:r w:rsidR="0082710F">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1C40CF97" w14:textId="77777777">
            <w:pPr>
              <w:rPr>
                <w:rFonts w:ascii="Times New Roman" w:hAnsi="Times New Roman"/>
                <w:color w:val="000000"/>
                <w:sz w:val="16"/>
                <w:szCs w:val="16"/>
              </w:rPr>
            </w:pPr>
            <w:r w:rsidRPr="00876642">
              <w:rPr>
                <w:rFonts w:ascii="Times New Roman" w:hAnsi="Times New Roman"/>
                <w:color w:val="000000"/>
                <w:sz w:val="16"/>
                <w:szCs w:val="16"/>
              </w:rPr>
              <w:t>225.6(n)(</w:t>
            </w:r>
            <w:r>
              <w:rPr>
                <w:rFonts w:ascii="Times New Roman" w:hAnsi="Times New Roman"/>
                <w:color w:val="000000"/>
                <w:sz w:val="16"/>
                <w:szCs w:val="16"/>
              </w:rPr>
              <w:t>1)(v)</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D689A49"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0F3D8D5"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5D23607"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C6F6B6E"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9794057"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BA61A3A"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E490DFF"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3AAAAD5"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r>
      <w:tr w14:paraId="34FD044E" w14:textId="77777777" w:rsidTr="00B41001">
        <w:tblPrEx>
          <w:tblW w:w="15025" w:type="dxa"/>
          <w:tblLayout w:type="fixed"/>
          <w:tblLook w:val="04A0"/>
        </w:tblPrEx>
        <w:trPr>
          <w:trHeight w:val="1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7332A261"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788C580C" w14:textId="1BD19F40">
            <w:pPr>
              <w:rPr>
                <w:rFonts w:ascii="Times New Roman" w:hAnsi="Times New Roman"/>
                <w:color w:val="000000"/>
                <w:sz w:val="16"/>
                <w:szCs w:val="16"/>
              </w:rPr>
            </w:pPr>
            <w:r w:rsidRPr="00876642">
              <w:rPr>
                <w:rFonts w:ascii="Times New Roman" w:hAnsi="Times New Roman"/>
                <w:color w:val="000000"/>
                <w:sz w:val="16"/>
                <w:szCs w:val="16"/>
              </w:rPr>
              <w:t>If it determines that an MSSOs center of operations is located within the State, the SA must assume the role of the CSA</w:t>
            </w:r>
            <w:r w:rsidR="0009515C">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3B1ACB75" w14:textId="77777777">
            <w:pPr>
              <w:rPr>
                <w:rFonts w:ascii="Times New Roman" w:hAnsi="Times New Roman"/>
                <w:color w:val="000000"/>
                <w:sz w:val="16"/>
                <w:szCs w:val="16"/>
              </w:rPr>
            </w:pPr>
            <w:r w:rsidRPr="00876642">
              <w:rPr>
                <w:rFonts w:ascii="Times New Roman" w:hAnsi="Times New Roman"/>
                <w:color w:val="000000"/>
                <w:sz w:val="16"/>
                <w:szCs w:val="16"/>
              </w:rPr>
              <w:t>225.6(n)(</w:t>
            </w:r>
            <w:r>
              <w:rPr>
                <w:rFonts w:ascii="Times New Roman" w:hAnsi="Times New Roman"/>
                <w:color w:val="000000"/>
                <w:sz w:val="16"/>
                <w:szCs w:val="16"/>
              </w:rPr>
              <w:t>2)</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DFC0E2A"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9B81FC0"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7A6CEF5"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55E6E69"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2BE9113"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3D08B6D"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281A273"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241E50E"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r>
      <w:tr w14:paraId="2E5109CD" w14:textId="77777777" w:rsidTr="00B41001">
        <w:tblPrEx>
          <w:tblW w:w="15025" w:type="dxa"/>
          <w:tblLayout w:type="fixed"/>
          <w:tblLook w:val="04A0"/>
        </w:tblPrEx>
        <w:trPr>
          <w:trHeight w:val="62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699B0358"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7ADC4419" w14:textId="2711D082">
            <w:pPr>
              <w:rPr>
                <w:rFonts w:ascii="Times New Roman" w:hAnsi="Times New Roman"/>
                <w:color w:val="000000"/>
                <w:sz w:val="16"/>
                <w:szCs w:val="16"/>
              </w:rPr>
            </w:pPr>
            <w:r w:rsidRPr="00876642">
              <w:rPr>
                <w:rFonts w:ascii="Times New Roman" w:hAnsi="Times New Roman"/>
                <w:color w:val="000000"/>
                <w:sz w:val="16"/>
                <w:szCs w:val="16"/>
              </w:rPr>
              <w:t>The CSA must conduct a full review at the MSSO headquarters and financial records center. The CSA must coordinate the timing of the reviews and make copies of monitoring reports and findings available to all other State agencies that have agreements with the MSSO</w:t>
            </w:r>
            <w:r w:rsidR="00916405">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6F2D59F5" w14:textId="77777777">
            <w:pPr>
              <w:rPr>
                <w:rFonts w:ascii="Times New Roman" w:hAnsi="Times New Roman"/>
                <w:color w:val="000000"/>
                <w:sz w:val="16"/>
                <w:szCs w:val="16"/>
              </w:rPr>
            </w:pPr>
            <w:r w:rsidRPr="00876642">
              <w:rPr>
                <w:rFonts w:ascii="Times New Roman" w:hAnsi="Times New Roman"/>
                <w:color w:val="000000"/>
                <w:sz w:val="16"/>
                <w:szCs w:val="16"/>
              </w:rPr>
              <w:t>225.6(n)(</w:t>
            </w:r>
            <w:r>
              <w:rPr>
                <w:rFonts w:ascii="Times New Roman" w:hAnsi="Times New Roman"/>
                <w:color w:val="000000"/>
                <w:sz w:val="16"/>
                <w:szCs w:val="16"/>
              </w:rPr>
              <w:t>2)(iii)</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9E0F4FB"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6230718"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8D3E942"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4A82BAB" w14:textId="77777777">
            <w:pPr>
              <w:jc w:val="right"/>
              <w:rPr>
                <w:rFonts w:ascii="Times New Roman" w:hAnsi="Times New Roman"/>
                <w:color w:val="000000"/>
                <w:sz w:val="16"/>
                <w:szCs w:val="16"/>
              </w:rPr>
            </w:pPr>
            <w:r w:rsidRPr="00876642">
              <w:rPr>
                <w:rFonts w:ascii="Times New Roman" w:hAnsi="Times New Roman"/>
                <w:color w:val="000000"/>
                <w:sz w:val="16"/>
                <w:szCs w:val="16"/>
              </w:rPr>
              <w:t>20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2A01CC9" w14:textId="77777777">
            <w:pPr>
              <w:jc w:val="right"/>
              <w:rPr>
                <w:rFonts w:ascii="Times New Roman" w:hAnsi="Times New Roman"/>
                <w:color w:val="000000"/>
                <w:sz w:val="16"/>
                <w:szCs w:val="16"/>
              </w:rPr>
            </w:pPr>
            <w:r w:rsidRPr="00876642">
              <w:rPr>
                <w:rFonts w:ascii="Times New Roman" w:hAnsi="Times New Roman"/>
                <w:color w:val="000000"/>
                <w:sz w:val="16"/>
                <w:szCs w:val="16"/>
              </w:rPr>
              <w:t>3,180</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37D0071"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D86DC72" w14:textId="77777777">
            <w:pPr>
              <w:jc w:val="right"/>
              <w:rPr>
                <w:rFonts w:ascii="Times New Roman" w:hAnsi="Times New Roman"/>
                <w:color w:val="000000"/>
                <w:sz w:val="16"/>
                <w:szCs w:val="16"/>
              </w:rPr>
            </w:pPr>
            <w:r w:rsidRPr="00876642">
              <w:rPr>
                <w:rFonts w:ascii="Times New Roman" w:hAnsi="Times New Roman"/>
                <w:color w:val="000000"/>
                <w:sz w:val="16"/>
                <w:szCs w:val="16"/>
              </w:rPr>
              <w:t>3,180</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9C3F9C0" w14:textId="77777777">
            <w:pPr>
              <w:jc w:val="right"/>
              <w:rPr>
                <w:rFonts w:ascii="Times New Roman" w:hAnsi="Times New Roman"/>
                <w:color w:val="000000"/>
                <w:sz w:val="16"/>
                <w:szCs w:val="16"/>
              </w:rPr>
            </w:pPr>
            <w:r w:rsidRPr="00876642">
              <w:rPr>
                <w:rFonts w:ascii="Times New Roman" w:hAnsi="Times New Roman"/>
                <w:color w:val="000000"/>
                <w:sz w:val="16"/>
                <w:szCs w:val="16"/>
              </w:rPr>
              <w:t>3,180</w:t>
            </w:r>
          </w:p>
        </w:tc>
      </w:tr>
      <w:tr w14:paraId="7922CF50" w14:textId="77777777" w:rsidTr="00B41001">
        <w:tblPrEx>
          <w:tblW w:w="15025" w:type="dxa"/>
          <w:tblLayout w:type="fixed"/>
          <w:tblLook w:val="04A0"/>
        </w:tblPrEx>
        <w:trPr>
          <w:trHeight w:val="539"/>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75F1C926"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57BEA22D" w14:textId="77777777">
            <w:pPr>
              <w:rPr>
                <w:rFonts w:ascii="Times New Roman" w:hAnsi="Times New Roman"/>
                <w:color w:val="000000"/>
                <w:sz w:val="16"/>
                <w:szCs w:val="16"/>
              </w:rPr>
            </w:pPr>
            <w:r w:rsidRPr="00876642">
              <w:rPr>
                <w:rFonts w:ascii="Times New Roman" w:hAnsi="Times New Roman"/>
                <w:color w:val="000000"/>
                <w:sz w:val="16"/>
                <w:szCs w:val="16"/>
              </w:rPr>
              <w:t>If an MSSO has for-profit status, the cognizant agency must establish audit thresholds and requirements.</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47607D6D" w14:textId="77777777">
            <w:pPr>
              <w:rPr>
                <w:rFonts w:ascii="Times New Roman" w:hAnsi="Times New Roman"/>
                <w:color w:val="000000"/>
                <w:sz w:val="16"/>
                <w:szCs w:val="16"/>
              </w:rPr>
            </w:pPr>
            <w:r w:rsidRPr="00876642">
              <w:rPr>
                <w:rFonts w:ascii="Times New Roman" w:hAnsi="Times New Roman"/>
                <w:color w:val="000000"/>
                <w:sz w:val="16"/>
                <w:szCs w:val="16"/>
              </w:rPr>
              <w:t>225.6(n)(</w:t>
            </w:r>
            <w:r>
              <w:rPr>
                <w:rFonts w:ascii="Times New Roman" w:hAnsi="Times New Roman"/>
                <w:color w:val="000000"/>
                <w:sz w:val="16"/>
                <w:szCs w:val="16"/>
              </w:rPr>
              <w:t>2)(iv)</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BB899B6"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3EDB029" w14:textId="77777777">
            <w:pPr>
              <w:jc w:val="right"/>
              <w:rPr>
                <w:rFonts w:ascii="Times New Roman" w:hAnsi="Times New Roman"/>
                <w:color w:val="000000"/>
                <w:sz w:val="16"/>
                <w:szCs w:val="16"/>
              </w:rPr>
            </w:pPr>
            <w:r w:rsidRPr="00876642">
              <w:rPr>
                <w:rFonts w:ascii="Times New Roman" w:hAnsi="Times New Roman"/>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08BF4F3"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441093B" w14:textId="77777777">
            <w:pPr>
              <w:jc w:val="right"/>
              <w:rPr>
                <w:rFonts w:ascii="Times New Roman" w:hAnsi="Times New Roman"/>
                <w:color w:val="000000"/>
                <w:sz w:val="16"/>
                <w:szCs w:val="16"/>
              </w:rPr>
            </w:pPr>
            <w:r w:rsidRPr="00876642">
              <w:rPr>
                <w:rFonts w:ascii="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E0C1F68"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21DC61A"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B45ADE2"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B2C9A27"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r>
      <w:tr w14:paraId="78A17EFF" w14:textId="77777777" w:rsidTr="00B41001">
        <w:tblPrEx>
          <w:tblW w:w="15025" w:type="dxa"/>
          <w:tblLayout w:type="fixed"/>
          <w:tblLook w:val="04A0"/>
        </w:tblPrEx>
        <w:trPr>
          <w:trHeight w:val="44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477827B9"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6798C131" w14:textId="77777777">
            <w:pPr>
              <w:rPr>
                <w:rFonts w:ascii="Times New Roman" w:hAnsi="Times New Roman"/>
                <w:color w:val="000000"/>
                <w:sz w:val="16"/>
                <w:szCs w:val="16"/>
              </w:rPr>
            </w:pPr>
            <w:r w:rsidRPr="00876642">
              <w:rPr>
                <w:rFonts w:ascii="Times New Roman" w:hAnsi="Times New Roman"/>
                <w:color w:val="000000"/>
                <w:sz w:val="16"/>
                <w:szCs w:val="16"/>
              </w:rPr>
              <w:t>SAs must establish a procedure to be followed by an applicant appealing for a fair hearing.</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6A385E99" w14:textId="77777777">
            <w:pPr>
              <w:rPr>
                <w:rFonts w:ascii="Times New Roman" w:hAnsi="Times New Roman"/>
                <w:color w:val="000000"/>
                <w:sz w:val="16"/>
                <w:szCs w:val="16"/>
              </w:rPr>
            </w:pPr>
            <w:r w:rsidRPr="00876642">
              <w:rPr>
                <w:rFonts w:ascii="Times New Roman" w:hAnsi="Times New Roman"/>
                <w:color w:val="000000"/>
                <w:sz w:val="16"/>
                <w:szCs w:val="16"/>
              </w:rPr>
              <w:t>225.13(a)</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F91FFB5"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F0B7A59" w14:textId="77777777">
            <w:pPr>
              <w:jc w:val="right"/>
              <w:rPr>
                <w:rFonts w:ascii="Times New Roman" w:hAnsi="Times New Roman"/>
                <w:color w:val="000000"/>
                <w:sz w:val="16"/>
                <w:szCs w:val="16"/>
              </w:rPr>
            </w:pPr>
            <w:r w:rsidRPr="00876642">
              <w:rPr>
                <w:rFonts w:ascii="Times New Roman" w:hAnsi="Times New Roman"/>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6619FFF"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A43B043" w14:textId="77777777">
            <w:pPr>
              <w:jc w:val="right"/>
              <w:rPr>
                <w:rFonts w:ascii="Times New Roman" w:hAnsi="Times New Roman"/>
                <w:color w:val="000000"/>
                <w:sz w:val="16"/>
                <w:szCs w:val="16"/>
              </w:rPr>
            </w:pPr>
            <w:r w:rsidRPr="00876642">
              <w:rPr>
                <w:rFonts w:ascii="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1CDBDC6"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CF6410D"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E2A6DAE"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CBEA3DF"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r>
      <w:tr w14:paraId="0B6758DC" w14:textId="77777777" w:rsidTr="00B41001">
        <w:tblPrEx>
          <w:tblW w:w="15025" w:type="dxa"/>
          <w:tblLayout w:type="fixed"/>
          <w:tblLook w:val="04A0"/>
        </w:tblPrEx>
        <w:trPr>
          <w:trHeight w:val="10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6691E66F"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06421C73" w14:textId="77777777">
            <w:pPr>
              <w:rPr>
                <w:rFonts w:ascii="Times New Roman" w:hAnsi="Times New Roman"/>
                <w:color w:val="000000"/>
                <w:sz w:val="16"/>
                <w:szCs w:val="16"/>
              </w:rPr>
            </w:pPr>
            <w:r w:rsidRPr="00876642">
              <w:rPr>
                <w:rFonts w:ascii="Times New Roman" w:hAnsi="Times New Roman"/>
                <w:color w:val="000000"/>
                <w:sz w:val="16"/>
                <w:szCs w:val="16"/>
              </w:rPr>
              <w:t>SAs must identify serious management problems and define a set of standards to help measure the severity of a problem to determine what rises to the level of a serious management problem and how it affects the sponsor or facility's ability to meet Program requirements.</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314A1F60" w14:textId="77777777">
            <w:pPr>
              <w:rPr>
                <w:rFonts w:ascii="Times New Roman" w:hAnsi="Times New Roman"/>
                <w:color w:val="000000"/>
                <w:sz w:val="16"/>
                <w:szCs w:val="16"/>
              </w:rPr>
            </w:pPr>
            <w:r w:rsidRPr="00876642">
              <w:rPr>
                <w:rFonts w:ascii="Times New Roman" w:hAnsi="Times New Roman"/>
                <w:color w:val="000000"/>
                <w:sz w:val="16"/>
                <w:szCs w:val="16"/>
              </w:rPr>
              <w:t>225.18(a)(2)(i) and 225.18(a)(3)</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3A2772D"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AC2AFE6" w14:textId="77777777">
            <w:pPr>
              <w:jc w:val="right"/>
              <w:rPr>
                <w:rFonts w:ascii="Times New Roman" w:hAnsi="Times New Roman"/>
                <w:color w:val="000000"/>
                <w:sz w:val="16"/>
                <w:szCs w:val="16"/>
              </w:rPr>
            </w:pPr>
            <w:r w:rsidRPr="00876642">
              <w:rPr>
                <w:rFonts w:ascii="Times New Roman" w:hAnsi="Times New Roman"/>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9E2C705"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BF9FB0F" w14:textId="77777777">
            <w:pPr>
              <w:jc w:val="right"/>
              <w:rPr>
                <w:rFonts w:ascii="Times New Roman" w:hAnsi="Times New Roman"/>
                <w:color w:val="000000"/>
                <w:sz w:val="16"/>
                <w:szCs w:val="16"/>
              </w:rPr>
            </w:pPr>
            <w:r w:rsidRPr="00876642">
              <w:rPr>
                <w:rFonts w:ascii="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0214C0A"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86ECA17"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D4B9F82"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9332D8E"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r>
      <w:tr w14:paraId="6FEF6909" w14:textId="77777777" w:rsidTr="00B41001">
        <w:tblPrEx>
          <w:tblW w:w="15025" w:type="dxa"/>
          <w:tblLayout w:type="fixed"/>
          <w:tblLook w:val="04A0"/>
        </w:tblPrEx>
        <w:trPr>
          <w:trHeight w:val="53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16C8B336"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2C8FD671" w14:textId="40DCB814">
            <w:pPr>
              <w:rPr>
                <w:rFonts w:ascii="Times New Roman" w:hAnsi="Times New Roman"/>
                <w:color w:val="000000"/>
                <w:sz w:val="16"/>
                <w:szCs w:val="16"/>
              </w:rPr>
            </w:pPr>
            <w:r w:rsidRPr="00876642">
              <w:rPr>
                <w:rFonts w:ascii="Times New Roman" w:hAnsi="Times New Roman"/>
                <w:color w:val="000000"/>
                <w:sz w:val="16"/>
                <w:szCs w:val="16"/>
              </w:rPr>
              <w:t xml:space="preserve">SAs must notify a sponsor's executive director and chairman of the board of directors, and RPIs, that serious management problems have been identified, must be addressed, and corrected. The notice must </w:t>
            </w:r>
            <w:r w:rsidR="00B03F9A">
              <w:rPr>
                <w:rFonts w:ascii="Times New Roman" w:hAnsi="Times New Roman"/>
                <w:color w:val="000000"/>
                <w:sz w:val="16"/>
                <w:szCs w:val="16"/>
              </w:rPr>
              <w:t xml:space="preserve">contain </w:t>
            </w:r>
            <w:r>
              <w:rPr>
                <w:rFonts w:ascii="Times New Roman" w:hAnsi="Times New Roman"/>
                <w:color w:val="000000"/>
                <w:sz w:val="16"/>
                <w:szCs w:val="16"/>
              </w:rPr>
              <w:t>all of the necessary information and the SA</w:t>
            </w:r>
            <w:r w:rsidRPr="00876642">
              <w:rPr>
                <w:rFonts w:ascii="Times New Roman" w:hAnsi="Times New Roman"/>
                <w:color w:val="000000"/>
                <w:sz w:val="16"/>
                <w:szCs w:val="16"/>
              </w:rPr>
              <w:t xml:space="preserve"> must add the sponsor and RPIs to the SA list and provide a copy of the notice to the appropriate FNSRO</w:t>
            </w:r>
            <w:r w:rsidR="00916405">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25226CE4" w14:textId="77777777">
            <w:pPr>
              <w:rPr>
                <w:rFonts w:ascii="Times New Roman" w:hAnsi="Times New Roman"/>
                <w:color w:val="000000"/>
                <w:sz w:val="16"/>
                <w:szCs w:val="16"/>
              </w:rPr>
            </w:pPr>
            <w:r w:rsidRPr="00876642">
              <w:rPr>
                <w:rFonts w:ascii="Times New Roman" w:hAnsi="Times New Roman"/>
                <w:color w:val="000000"/>
                <w:sz w:val="16"/>
                <w:szCs w:val="16"/>
              </w:rPr>
              <w:t>225.18(a)(2)(ii) and 225.18(a)(6)(i)</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4B83761"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A3141D5"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EB747B1"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8463DCD"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9BD958D"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91EFEEA"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52635CB"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5EA7DF7"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r>
      <w:tr w14:paraId="6CE23C22" w14:textId="77777777" w:rsidTr="00B41001">
        <w:tblPrEx>
          <w:tblW w:w="15025" w:type="dxa"/>
          <w:tblLayout w:type="fixed"/>
          <w:tblLook w:val="04A0"/>
        </w:tblPrEx>
        <w:trPr>
          <w:trHeight w:val="854"/>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4C7F3D" w:rsidP="00671C8C" w14:paraId="4E9D6538" w14:textId="77777777">
            <w:pPr>
              <w:rPr>
                <w:rFonts w:ascii="Times New Roman" w:hAnsi="Times New Roman"/>
                <w:color w:val="000000"/>
                <w:sz w:val="16"/>
                <w:szCs w:val="16"/>
              </w:rPr>
            </w:pPr>
            <w:r w:rsidRPr="004C7F3D">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4C7F3D" w:rsidP="00671C8C" w14:paraId="0741055E" w14:textId="77777777">
            <w:pPr>
              <w:rPr>
                <w:rFonts w:ascii="Times New Roman" w:hAnsi="Times New Roman"/>
                <w:color w:val="000000"/>
                <w:sz w:val="16"/>
                <w:szCs w:val="16"/>
              </w:rPr>
            </w:pPr>
            <w:r w:rsidRPr="004C7F3D">
              <w:rPr>
                <w:rFonts w:ascii="Times New Roman" w:hAnsi="Times New Roman"/>
                <w:color w:val="000000"/>
                <w:sz w:val="16"/>
                <w:szCs w:val="16"/>
              </w:rPr>
              <w:t>SAs must receive and approve the corrective action plan within 15 days from the date the sponsor received the notice and monitor the full implementation of the corrective action plan.</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64778977" w14:textId="77777777">
            <w:pPr>
              <w:rPr>
                <w:rFonts w:ascii="Times New Roman" w:hAnsi="Times New Roman"/>
                <w:color w:val="000000"/>
                <w:sz w:val="16"/>
                <w:szCs w:val="16"/>
              </w:rPr>
            </w:pPr>
            <w:r w:rsidRPr="00876642">
              <w:rPr>
                <w:rFonts w:ascii="Times New Roman" w:hAnsi="Times New Roman"/>
                <w:color w:val="000000"/>
                <w:sz w:val="16"/>
                <w:szCs w:val="16"/>
              </w:rPr>
              <w:t>225.18(a)(2)(iii) and 225.18(c)(2)(ii)</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8E17B69"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D485B89"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BEC824B"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B4F43D2"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AE9C18E"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4B33E93"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B746D03"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C86DD3D"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r>
      <w:tr w14:paraId="5316AB48" w14:textId="77777777" w:rsidTr="00B41001">
        <w:tblPrEx>
          <w:tblW w:w="15025" w:type="dxa"/>
          <w:tblLayout w:type="fixed"/>
          <w:tblLook w:val="04A0"/>
        </w:tblPrEx>
        <w:trPr>
          <w:trHeight w:val="19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3E29CF6D"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650751CD" w14:textId="77777777">
            <w:pPr>
              <w:rPr>
                <w:rFonts w:ascii="Times New Roman" w:hAnsi="Times New Roman"/>
                <w:color w:val="000000"/>
                <w:sz w:val="16"/>
                <w:szCs w:val="16"/>
              </w:rPr>
            </w:pPr>
            <w:r w:rsidRPr="00876642">
              <w:rPr>
                <w:rFonts w:ascii="Times New Roman" w:hAnsi="Times New Roman"/>
                <w:color w:val="000000"/>
                <w:sz w:val="16"/>
                <w:szCs w:val="16"/>
              </w:rPr>
              <w:t>If corrective action has been taken to fully correct each serious management problem, SAs must notify a sponsor's executive director and chairman of the board of directors, and RPIs, that the serious management problem has been vacated. If corrective action has not been taken or fully implemented, the SA must notify the sponsor of its proposed termination and disqualification. The notice must inform the sponsor, responsible principals, and responsible individuals of the right and procedures for seeking a fair hearing.</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64DA1111" w14:textId="77777777">
            <w:pPr>
              <w:rPr>
                <w:rFonts w:ascii="Times New Roman" w:hAnsi="Times New Roman"/>
                <w:color w:val="000000"/>
                <w:sz w:val="16"/>
                <w:szCs w:val="16"/>
              </w:rPr>
            </w:pPr>
            <w:r w:rsidRPr="00876642">
              <w:rPr>
                <w:rFonts w:ascii="Times New Roman" w:hAnsi="Times New Roman"/>
                <w:color w:val="000000"/>
                <w:sz w:val="16"/>
                <w:szCs w:val="16"/>
              </w:rPr>
              <w:t>225.18(a)(2)(iv) and 225.18(a)(6)(ii)</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CCDB316"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A5C1AC7"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A7BF838"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0EE5176"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1B802E5"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B53DBA9"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B1EE5BE"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B6093E6"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r>
      <w:tr w14:paraId="47D00B65" w14:textId="77777777" w:rsidTr="00B41001">
        <w:tblPrEx>
          <w:tblW w:w="15025" w:type="dxa"/>
          <w:tblLayout w:type="fixed"/>
          <w:tblLook w:val="04A0"/>
        </w:tblPrEx>
        <w:trPr>
          <w:trHeight w:val="26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27B5C2FF"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03068250" w14:textId="0EBE23FF">
            <w:pPr>
              <w:rPr>
                <w:rFonts w:ascii="Times New Roman" w:hAnsi="Times New Roman"/>
                <w:color w:val="000000"/>
                <w:sz w:val="16"/>
                <w:szCs w:val="16"/>
              </w:rPr>
            </w:pPr>
            <w:r w:rsidRPr="00876642">
              <w:rPr>
                <w:rFonts w:ascii="Times New Roman" w:hAnsi="Times New Roman"/>
                <w:color w:val="000000"/>
                <w:sz w:val="16"/>
                <w:szCs w:val="16"/>
              </w:rPr>
              <w:t>SAs must submit written documentation to the hearing official prior to the beginning of the hearing, within 30 days after receiving the notice of action</w:t>
            </w:r>
            <w:r w:rsidR="00780C94">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2BC1EA17" w14:textId="77777777">
            <w:pPr>
              <w:rPr>
                <w:rFonts w:ascii="Times New Roman" w:hAnsi="Times New Roman"/>
                <w:color w:val="000000"/>
                <w:sz w:val="16"/>
                <w:szCs w:val="16"/>
              </w:rPr>
            </w:pPr>
            <w:r w:rsidRPr="00876642">
              <w:rPr>
                <w:rFonts w:ascii="Times New Roman" w:hAnsi="Times New Roman"/>
                <w:color w:val="000000"/>
                <w:sz w:val="16"/>
                <w:szCs w:val="16"/>
              </w:rPr>
              <w:t>225.18(a)(2)(v) and 225.18(f)(1)</w:t>
            </w:r>
            <w:r>
              <w:rPr>
                <w:rFonts w:ascii="Times New Roman" w:hAnsi="Times New Roman"/>
                <w:color w:val="000000"/>
                <w:sz w:val="16"/>
                <w:szCs w:val="16"/>
              </w:rPr>
              <w:t>(iii)</w:t>
            </w:r>
            <w:r w:rsidRPr="00876642">
              <w:rPr>
                <w:rFonts w:ascii="Times New Roman" w:hAnsi="Times New Roman"/>
                <w:color w:val="000000"/>
                <w:sz w:val="16"/>
                <w:szCs w:val="16"/>
              </w:rPr>
              <w:t>(E)</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93E4295"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48D30E2"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7993760"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BEE3FA7" w14:textId="77777777">
            <w:pPr>
              <w:jc w:val="right"/>
              <w:rPr>
                <w:rFonts w:ascii="Times New Roman" w:hAnsi="Times New Roman"/>
                <w:color w:val="000000"/>
                <w:sz w:val="16"/>
                <w:szCs w:val="16"/>
              </w:rPr>
            </w:pPr>
            <w:r w:rsidRPr="00876642">
              <w:rPr>
                <w:rFonts w:ascii="Times New Roman" w:hAnsi="Times New Roman"/>
                <w:color w:val="000000"/>
                <w:sz w:val="16"/>
                <w:szCs w:val="16"/>
              </w:rPr>
              <w:t>2</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E0CEB71" w14:textId="77777777">
            <w:pPr>
              <w:jc w:val="right"/>
              <w:rPr>
                <w:rFonts w:ascii="Times New Roman" w:hAnsi="Times New Roman"/>
                <w:color w:val="000000"/>
                <w:sz w:val="16"/>
                <w:szCs w:val="16"/>
              </w:rPr>
            </w:pPr>
            <w:r w:rsidRPr="00876642">
              <w:rPr>
                <w:rFonts w:ascii="Times New Roman" w:hAnsi="Times New Roman"/>
                <w:color w:val="000000"/>
                <w:sz w:val="16"/>
                <w:szCs w:val="16"/>
              </w:rPr>
              <w:t>318</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0B13EF8"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AC97FBE" w14:textId="77777777">
            <w:pPr>
              <w:jc w:val="right"/>
              <w:rPr>
                <w:rFonts w:ascii="Times New Roman" w:hAnsi="Times New Roman"/>
                <w:color w:val="000000"/>
                <w:sz w:val="16"/>
                <w:szCs w:val="16"/>
              </w:rPr>
            </w:pPr>
            <w:r w:rsidRPr="00876642">
              <w:rPr>
                <w:rFonts w:ascii="Times New Roman" w:hAnsi="Times New Roman"/>
                <w:color w:val="000000"/>
                <w:sz w:val="16"/>
                <w:szCs w:val="16"/>
              </w:rPr>
              <w:t>318</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F367915" w14:textId="77777777">
            <w:pPr>
              <w:jc w:val="right"/>
              <w:rPr>
                <w:rFonts w:ascii="Times New Roman" w:hAnsi="Times New Roman"/>
                <w:color w:val="000000"/>
                <w:sz w:val="16"/>
                <w:szCs w:val="16"/>
              </w:rPr>
            </w:pPr>
            <w:r w:rsidRPr="00876642">
              <w:rPr>
                <w:rFonts w:ascii="Times New Roman" w:hAnsi="Times New Roman"/>
                <w:color w:val="000000"/>
                <w:sz w:val="16"/>
                <w:szCs w:val="16"/>
              </w:rPr>
              <w:t>318</w:t>
            </w:r>
          </w:p>
        </w:tc>
      </w:tr>
      <w:tr w14:paraId="646B0EF8" w14:textId="77777777" w:rsidTr="00B41001">
        <w:tblPrEx>
          <w:tblW w:w="15025" w:type="dxa"/>
          <w:tblLayout w:type="fixed"/>
          <w:tblLook w:val="04A0"/>
        </w:tblPrEx>
        <w:trPr>
          <w:trHeight w:val="89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135209B2"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4D4AA9A3" w14:textId="77777777">
            <w:pPr>
              <w:rPr>
                <w:rFonts w:ascii="Times New Roman" w:hAnsi="Times New Roman"/>
                <w:color w:val="000000"/>
                <w:sz w:val="16"/>
                <w:szCs w:val="16"/>
              </w:rPr>
            </w:pPr>
            <w:r w:rsidRPr="00876642">
              <w:rPr>
                <w:rFonts w:ascii="Times New Roman" w:hAnsi="Times New Roman"/>
                <w:color w:val="000000"/>
                <w:sz w:val="16"/>
                <w:szCs w:val="16"/>
              </w:rPr>
              <w:t>Hearing official must hold hearing, in addition to a review of written information upon written request for a fair hearing by the sponsor, responsible principals, or responsible individuals, to determine that the SA or sponsor followed Program requirements in taking action under appeal.</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445A9FFE" w14:textId="77777777">
            <w:pPr>
              <w:rPr>
                <w:rFonts w:ascii="Times New Roman" w:hAnsi="Times New Roman"/>
                <w:color w:val="000000"/>
                <w:sz w:val="16"/>
                <w:szCs w:val="16"/>
              </w:rPr>
            </w:pPr>
            <w:r w:rsidRPr="00876642">
              <w:rPr>
                <w:rFonts w:ascii="Times New Roman" w:hAnsi="Times New Roman"/>
                <w:color w:val="000000"/>
                <w:sz w:val="16"/>
                <w:szCs w:val="16"/>
              </w:rPr>
              <w:t>225.18(a)(2)(v) and 225.18(f)(2)</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3B89B94"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C356178"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6E9173A"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72CF5B9" w14:textId="77777777">
            <w:pPr>
              <w:jc w:val="right"/>
              <w:rPr>
                <w:rFonts w:ascii="Times New Roman" w:hAnsi="Times New Roman"/>
                <w:color w:val="000000"/>
                <w:sz w:val="16"/>
                <w:szCs w:val="16"/>
              </w:rPr>
            </w:pPr>
            <w:r w:rsidRPr="00876642">
              <w:rPr>
                <w:rFonts w:ascii="Times New Roman" w:hAnsi="Times New Roman"/>
                <w:color w:val="000000"/>
                <w:sz w:val="16"/>
                <w:szCs w:val="16"/>
              </w:rPr>
              <w:t>4</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2DB7208" w14:textId="77777777">
            <w:pPr>
              <w:jc w:val="right"/>
              <w:rPr>
                <w:rFonts w:ascii="Times New Roman" w:hAnsi="Times New Roman"/>
                <w:color w:val="000000"/>
                <w:sz w:val="16"/>
                <w:szCs w:val="16"/>
              </w:rPr>
            </w:pPr>
            <w:r w:rsidRPr="00876642">
              <w:rPr>
                <w:rFonts w:ascii="Times New Roman" w:hAnsi="Times New Roman"/>
                <w:color w:val="000000"/>
                <w:sz w:val="16"/>
                <w:szCs w:val="16"/>
              </w:rPr>
              <w:t>636</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7B25CBF"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09CDBF0" w14:textId="77777777">
            <w:pPr>
              <w:jc w:val="right"/>
              <w:rPr>
                <w:rFonts w:ascii="Times New Roman" w:hAnsi="Times New Roman"/>
                <w:color w:val="000000"/>
                <w:sz w:val="16"/>
                <w:szCs w:val="16"/>
              </w:rPr>
            </w:pPr>
            <w:r w:rsidRPr="00876642">
              <w:rPr>
                <w:rFonts w:ascii="Times New Roman" w:hAnsi="Times New Roman"/>
                <w:color w:val="000000"/>
                <w:sz w:val="16"/>
                <w:szCs w:val="16"/>
              </w:rPr>
              <w:t>636</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CAE43C8" w14:textId="77777777">
            <w:pPr>
              <w:jc w:val="right"/>
              <w:rPr>
                <w:rFonts w:ascii="Times New Roman" w:hAnsi="Times New Roman"/>
                <w:color w:val="000000"/>
                <w:sz w:val="16"/>
                <w:szCs w:val="16"/>
              </w:rPr>
            </w:pPr>
            <w:r w:rsidRPr="00876642">
              <w:rPr>
                <w:rFonts w:ascii="Times New Roman" w:hAnsi="Times New Roman"/>
                <w:color w:val="000000"/>
                <w:sz w:val="16"/>
                <w:szCs w:val="16"/>
              </w:rPr>
              <w:t>636</w:t>
            </w:r>
          </w:p>
        </w:tc>
      </w:tr>
      <w:tr w14:paraId="5E87468A" w14:textId="77777777" w:rsidTr="002B3C01">
        <w:tblPrEx>
          <w:tblW w:w="15025" w:type="dxa"/>
          <w:tblLayout w:type="fixed"/>
          <w:tblLook w:val="04A0"/>
        </w:tblPrEx>
        <w:trPr>
          <w:trHeight w:val="89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7A2A3817"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40B6B368" w14:textId="77777777">
            <w:pPr>
              <w:rPr>
                <w:rFonts w:ascii="Times New Roman" w:hAnsi="Times New Roman"/>
                <w:color w:val="000000"/>
                <w:sz w:val="16"/>
                <w:szCs w:val="16"/>
              </w:rPr>
            </w:pPr>
            <w:r w:rsidRPr="00876642">
              <w:rPr>
                <w:rFonts w:ascii="Times New Roman" w:hAnsi="Times New Roman"/>
                <w:color w:val="000000"/>
                <w:sz w:val="16"/>
                <w:szCs w:val="16"/>
              </w:rPr>
              <w:t>SAs must notify a sponsor's executive director and chairman of the board that serious management problems have been vacated and advise the institution that procedures and policies must be fully implemented to correct the serious management problem if the sponsor's appeal is upheld. If the sponsor's appeal is denied, the sponsor must be notified that the program agreement is terminated and declared seriously deficient.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3C0D69BC" w14:textId="77777777">
            <w:pPr>
              <w:rPr>
                <w:rFonts w:ascii="Times New Roman" w:hAnsi="Times New Roman"/>
                <w:color w:val="000000"/>
                <w:sz w:val="16"/>
                <w:szCs w:val="16"/>
              </w:rPr>
            </w:pPr>
            <w:r w:rsidRPr="00876642">
              <w:rPr>
                <w:rFonts w:ascii="Times New Roman" w:hAnsi="Times New Roman"/>
                <w:color w:val="000000"/>
                <w:sz w:val="16"/>
                <w:szCs w:val="16"/>
              </w:rPr>
              <w:t>225.18(a)(2)(vi) and 225.18(a)(6)(iii)</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99E19AD"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14BED84"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8E3E1D5"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95B6C0A"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34C964C"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C2EB335"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69DCAAD"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E752132"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r>
      <w:tr w14:paraId="5B22A85A" w14:textId="77777777" w:rsidTr="002B3C01">
        <w:tblPrEx>
          <w:tblW w:w="15025" w:type="dxa"/>
          <w:tblLayout w:type="fixed"/>
          <w:tblLook w:val="04A0"/>
        </w:tblPrEx>
        <w:trPr>
          <w:trHeight w:val="926"/>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06AA1200"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458132C3" w14:textId="22C17D0A">
            <w:pPr>
              <w:rPr>
                <w:rFonts w:ascii="Times New Roman" w:hAnsi="Times New Roman"/>
                <w:color w:val="000000"/>
                <w:sz w:val="16"/>
                <w:szCs w:val="16"/>
              </w:rPr>
            </w:pPr>
            <w:r w:rsidRPr="00876642">
              <w:rPr>
                <w:rFonts w:ascii="Times New Roman" w:hAnsi="Times New Roman"/>
                <w:color w:val="000000"/>
                <w:sz w:val="16"/>
                <w:szCs w:val="16"/>
              </w:rPr>
              <w:t>SAs must conduct and prioritize follow-up reviews and more frequent full reviews of sponsors with serious management problems, including one full review occurring at least once every year</w:t>
            </w:r>
            <w:r w:rsidR="00A20EB7">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0885357D" w14:textId="77777777">
            <w:pPr>
              <w:rPr>
                <w:rFonts w:ascii="Times New Roman" w:hAnsi="Times New Roman"/>
                <w:color w:val="000000"/>
                <w:sz w:val="16"/>
                <w:szCs w:val="16"/>
              </w:rPr>
            </w:pPr>
            <w:r w:rsidRPr="00876642">
              <w:rPr>
                <w:rFonts w:ascii="Times New Roman" w:hAnsi="Times New Roman"/>
                <w:color w:val="000000"/>
                <w:sz w:val="16"/>
                <w:szCs w:val="16"/>
              </w:rPr>
              <w:t>225.18(c)(3)</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961BD4B"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5A7F1FD"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6FB479D"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0F6F732" w14:textId="77777777">
            <w:pPr>
              <w:jc w:val="right"/>
              <w:rPr>
                <w:rFonts w:ascii="Times New Roman" w:hAnsi="Times New Roman"/>
                <w:color w:val="000000"/>
                <w:sz w:val="16"/>
                <w:szCs w:val="16"/>
              </w:rPr>
            </w:pPr>
            <w:r w:rsidRPr="00876642">
              <w:rPr>
                <w:rFonts w:ascii="Times New Roman" w:hAnsi="Times New Roman"/>
                <w:color w:val="000000"/>
                <w:sz w:val="16"/>
                <w:szCs w:val="16"/>
              </w:rPr>
              <w:t>20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D763CF6" w14:textId="4DC44A1E">
            <w:pPr>
              <w:jc w:val="right"/>
              <w:rPr>
                <w:rFonts w:ascii="Times New Roman" w:hAnsi="Times New Roman"/>
                <w:color w:val="000000"/>
                <w:sz w:val="16"/>
                <w:szCs w:val="16"/>
              </w:rPr>
            </w:pPr>
            <w:r w:rsidRPr="00876642">
              <w:rPr>
                <w:rFonts w:ascii="Times New Roman" w:hAnsi="Times New Roman"/>
                <w:color w:val="000000"/>
                <w:sz w:val="16"/>
                <w:szCs w:val="16"/>
              </w:rPr>
              <w:t>3</w:t>
            </w:r>
            <w:r w:rsidR="00762854">
              <w:rPr>
                <w:rFonts w:ascii="Times New Roman" w:hAnsi="Times New Roman"/>
                <w:color w:val="000000"/>
                <w:sz w:val="16"/>
                <w:szCs w:val="16"/>
              </w:rPr>
              <w:t>,</w:t>
            </w:r>
            <w:r w:rsidRPr="00876642">
              <w:rPr>
                <w:rFonts w:ascii="Times New Roman" w:hAnsi="Times New Roman"/>
                <w:color w:val="000000"/>
                <w:sz w:val="16"/>
                <w:szCs w:val="16"/>
              </w:rPr>
              <w:t>180</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C0D96B0"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05AB84D" w14:textId="77777777">
            <w:pPr>
              <w:jc w:val="right"/>
              <w:rPr>
                <w:rFonts w:ascii="Times New Roman" w:hAnsi="Times New Roman"/>
                <w:color w:val="000000"/>
                <w:sz w:val="16"/>
                <w:szCs w:val="16"/>
              </w:rPr>
            </w:pPr>
            <w:r w:rsidRPr="00876642">
              <w:rPr>
                <w:rFonts w:ascii="Times New Roman" w:hAnsi="Times New Roman"/>
                <w:color w:val="000000"/>
                <w:sz w:val="16"/>
                <w:szCs w:val="16"/>
              </w:rPr>
              <w:t>3180</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35D3E0F" w14:textId="7E5C3C75">
            <w:pPr>
              <w:jc w:val="right"/>
              <w:rPr>
                <w:rFonts w:ascii="Times New Roman" w:hAnsi="Times New Roman"/>
                <w:color w:val="000000"/>
                <w:sz w:val="16"/>
                <w:szCs w:val="16"/>
              </w:rPr>
            </w:pPr>
            <w:r w:rsidRPr="00876642">
              <w:rPr>
                <w:rFonts w:ascii="Times New Roman" w:hAnsi="Times New Roman"/>
                <w:color w:val="000000"/>
                <w:sz w:val="16"/>
                <w:szCs w:val="16"/>
              </w:rPr>
              <w:t>3</w:t>
            </w:r>
            <w:r w:rsidR="00762854">
              <w:rPr>
                <w:rFonts w:ascii="Times New Roman" w:hAnsi="Times New Roman"/>
                <w:color w:val="000000"/>
                <w:sz w:val="16"/>
                <w:szCs w:val="16"/>
              </w:rPr>
              <w:t>,</w:t>
            </w:r>
            <w:r w:rsidRPr="00876642">
              <w:rPr>
                <w:rFonts w:ascii="Times New Roman" w:hAnsi="Times New Roman"/>
                <w:color w:val="000000"/>
                <w:sz w:val="16"/>
                <w:szCs w:val="16"/>
              </w:rPr>
              <w:t>180</w:t>
            </w:r>
          </w:p>
        </w:tc>
      </w:tr>
      <w:tr w14:paraId="3DD6C2BD" w14:textId="77777777" w:rsidTr="002B3C01">
        <w:tblPrEx>
          <w:tblW w:w="15025" w:type="dxa"/>
          <w:tblLayout w:type="fixed"/>
          <w:tblLook w:val="04A0"/>
        </w:tblPrEx>
        <w:trPr>
          <w:trHeight w:val="71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5BA17BE8"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5D1B4CBF" w14:textId="21D72415">
            <w:pPr>
              <w:rPr>
                <w:rFonts w:ascii="Times New Roman" w:hAnsi="Times New Roman"/>
                <w:color w:val="000000"/>
                <w:sz w:val="16"/>
                <w:szCs w:val="16"/>
              </w:rPr>
            </w:pPr>
            <w:r w:rsidRPr="00876642">
              <w:rPr>
                <w:rFonts w:ascii="Times New Roman" w:hAnsi="Times New Roman"/>
                <w:color w:val="000000"/>
                <w:sz w:val="16"/>
                <w:szCs w:val="16"/>
              </w:rPr>
              <w:t>SAs must develop a contingency plan to ensure that eligible participants continue to have access to meal service</w:t>
            </w:r>
            <w:r w:rsidR="007D09B9">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7B5C1094" w14:textId="77777777">
            <w:pPr>
              <w:rPr>
                <w:rFonts w:ascii="Times New Roman" w:hAnsi="Times New Roman"/>
                <w:color w:val="000000"/>
                <w:sz w:val="16"/>
                <w:szCs w:val="16"/>
              </w:rPr>
            </w:pPr>
            <w:r w:rsidRPr="00876642">
              <w:rPr>
                <w:rFonts w:ascii="Times New Roman" w:hAnsi="Times New Roman"/>
                <w:color w:val="000000"/>
                <w:sz w:val="16"/>
                <w:szCs w:val="16"/>
              </w:rPr>
              <w:t>225.18(d)(2)</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5F4EBC3"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0056430"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9E1892A"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C57D051" w14:textId="77777777">
            <w:pPr>
              <w:jc w:val="right"/>
              <w:rPr>
                <w:rFonts w:ascii="Times New Roman" w:hAnsi="Times New Roman"/>
                <w:color w:val="000000"/>
                <w:sz w:val="16"/>
                <w:szCs w:val="16"/>
              </w:rPr>
            </w:pPr>
            <w:r w:rsidRPr="00876642">
              <w:rPr>
                <w:rFonts w:ascii="Times New Roman" w:hAnsi="Times New Roman"/>
                <w:color w:val="000000"/>
                <w:sz w:val="16"/>
                <w:szCs w:val="16"/>
              </w:rPr>
              <w:t>2</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FDFBF3E" w14:textId="77777777">
            <w:pPr>
              <w:jc w:val="right"/>
              <w:rPr>
                <w:rFonts w:ascii="Times New Roman" w:hAnsi="Times New Roman"/>
                <w:color w:val="000000"/>
                <w:sz w:val="16"/>
                <w:szCs w:val="16"/>
              </w:rPr>
            </w:pPr>
            <w:r w:rsidRPr="00876642">
              <w:rPr>
                <w:rFonts w:ascii="Times New Roman" w:hAnsi="Times New Roman"/>
                <w:color w:val="000000"/>
                <w:sz w:val="16"/>
                <w:szCs w:val="16"/>
              </w:rPr>
              <w:t>318</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5B88543"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2DD5015" w14:textId="77777777">
            <w:pPr>
              <w:jc w:val="right"/>
              <w:rPr>
                <w:rFonts w:ascii="Times New Roman" w:hAnsi="Times New Roman"/>
                <w:color w:val="000000"/>
                <w:sz w:val="16"/>
                <w:szCs w:val="16"/>
              </w:rPr>
            </w:pPr>
            <w:r w:rsidRPr="00876642">
              <w:rPr>
                <w:rFonts w:ascii="Times New Roman" w:hAnsi="Times New Roman"/>
                <w:color w:val="000000"/>
                <w:sz w:val="16"/>
                <w:szCs w:val="16"/>
              </w:rPr>
              <w:t>318</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F55E8F5" w14:textId="77777777">
            <w:pPr>
              <w:jc w:val="right"/>
              <w:rPr>
                <w:rFonts w:ascii="Times New Roman" w:hAnsi="Times New Roman"/>
                <w:color w:val="000000"/>
                <w:sz w:val="16"/>
                <w:szCs w:val="16"/>
              </w:rPr>
            </w:pPr>
            <w:r w:rsidRPr="00876642">
              <w:rPr>
                <w:rFonts w:ascii="Times New Roman" w:hAnsi="Times New Roman"/>
                <w:color w:val="000000"/>
                <w:sz w:val="16"/>
                <w:szCs w:val="16"/>
              </w:rPr>
              <w:t>318</w:t>
            </w:r>
          </w:p>
        </w:tc>
      </w:tr>
      <w:tr w14:paraId="34B05856" w14:textId="77777777" w:rsidTr="002B3C01">
        <w:tblPrEx>
          <w:tblW w:w="15025" w:type="dxa"/>
          <w:tblLayout w:type="fixed"/>
          <w:tblLook w:val="04A0"/>
        </w:tblPrEx>
        <w:trPr>
          <w:trHeight w:val="116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72F9AE4A"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6FA040B8" w14:textId="7252E095">
            <w:pPr>
              <w:rPr>
                <w:rFonts w:ascii="Times New Roman" w:hAnsi="Times New Roman"/>
                <w:color w:val="000000"/>
                <w:sz w:val="16"/>
                <w:szCs w:val="16"/>
              </w:rPr>
            </w:pPr>
            <w:r w:rsidRPr="00876642">
              <w:rPr>
                <w:rFonts w:ascii="Times New Roman" w:hAnsi="Times New Roman"/>
                <w:color w:val="000000"/>
                <w:sz w:val="16"/>
                <w:szCs w:val="16"/>
              </w:rPr>
              <w:t>If all serious management problems have been corrected and all debts have been repaid, SAs may elect to remove a sponsor and RPIs from the National Disqualified List</w:t>
            </w:r>
            <w:r w:rsidR="00A83EFD">
              <w:rPr>
                <w:rFonts w:ascii="Times New Roman" w:hAnsi="Times New Roman"/>
                <w:color w:val="000000"/>
                <w:sz w:val="16"/>
                <w:szCs w:val="16"/>
              </w:rPr>
              <w:t xml:space="preserve"> </w:t>
            </w:r>
            <w:r w:rsidRPr="00876642">
              <w:rPr>
                <w:rFonts w:ascii="Times New Roman" w:hAnsi="Times New Roman"/>
                <w:color w:val="000000"/>
                <w:sz w:val="16"/>
                <w:szCs w:val="16"/>
              </w:rPr>
              <w:t>and must submit all requests for early removals to the appropriate FNSRO</w:t>
            </w:r>
            <w:r w:rsidR="00A20EB7">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71DFCC26" w14:textId="77777777">
            <w:pPr>
              <w:rPr>
                <w:rFonts w:ascii="Times New Roman" w:hAnsi="Times New Roman"/>
                <w:color w:val="000000"/>
                <w:sz w:val="16"/>
                <w:szCs w:val="16"/>
              </w:rPr>
            </w:pPr>
            <w:r w:rsidRPr="00876642">
              <w:rPr>
                <w:rFonts w:ascii="Times New Roman" w:hAnsi="Times New Roman"/>
                <w:color w:val="000000"/>
                <w:sz w:val="16"/>
                <w:szCs w:val="16"/>
              </w:rPr>
              <w:t>225.18(e)(2)(iii)</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1A7D101"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E09EF4E"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E2E31F1"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D3EC3A4"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BE4434B"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EF6707B"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F460F86"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DCE76CC"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r>
      <w:tr w14:paraId="120B9CA5" w14:textId="77777777" w:rsidTr="00A83EFD">
        <w:tblPrEx>
          <w:tblW w:w="15025" w:type="dxa"/>
          <w:tblLayout w:type="fixed"/>
          <w:tblLook w:val="04A0"/>
        </w:tblPrEx>
        <w:trPr>
          <w:trHeight w:val="908"/>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6C39A81E"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7AF36EAC" w14:textId="43E52026">
            <w:pPr>
              <w:rPr>
                <w:rFonts w:ascii="Times New Roman" w:hAnsi="Times New Roman"/>
                <w:color w:val="000000"/>
                <w:sz w:val="16"/>
                <w:szCs w:val="16"/>
              </w:rPr>
            </w:pPr>
            <w:r w:rsidRPr="00876642">
              <w:rPr>
                <w:rFonts w:ascii="Times New Roman" w:hAnsi="Times New Roman"/>
                <w:color w:val="000000"/>
                <w:sz w:val="16"/>
                <w:szCs w:val="16"/>
              </w:rPr>
              <w:t>SAs must enter into written agreements with FNS, consistent with 5 U.S.C. 552a(o) of the CMA, in order to participate in a matching program involving a FNS Federal system of records</w:t>
            </w:r>
            <w:r w:rsidR="00A20EB7">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67E9AC5A" w14:textId="77777777">
            <w:pPr>
              <w:rPr>
                <w:rFonts w:ascii="Times New Roman" w:hAnsi="Times New Roman"/>
                <w:color w:val="000000"/>
                <w:sz w:val="16"/>
                <w:szCs w:val="16"/>
              </w:rPr>
            </w:pPr>
            <w:r w:rsidRPr="00876642">
              <w:rPr>
                <w:rFonts w:ascii="Times New Roman" w:hAnsi="Times New Roman"/>
                <w:color w:val="000000"/>
                <w:sz w:val="16"/>
                <w:szCs w:val="16"/>
              </w:rPr>
              <w:t>225.18(e)(3)(ii)</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A85D9E2"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C0456C4" w14:textId="77777777">
            <w:pPr>
              <w:jc w:val="right"/>
              <w:rPr>
                <w:rFonts w:ascii="Times New Roman" w:hAnsi="Times New Roman"/>
                <w:color w:val="000000"/>
                <w:sz w:val="16"/>
                <w:szCs w:val="16"/>
              </w:rPr>
            </w:pPr>
            <w:r w:rsidRPr="00876642">
              <w:rPr>
                <w:rFonts w:ascii="Times New Roman" w:hAnsi="Times New Roman"/>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D8188B9"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D671426" w14:textId="77777777">
            <w:pPr>
              <w:jc w:val="right"/>
              <w:rPr>
                <w:rFonts w:ascii="Times New Roman" w:hAnsi="Times New Roman"/>
                <w:color w:val="000000"/>
                <w:sz w:val="16"/>
                <w:szCs w:val="16"/>
              </w:rPr>
            </w:pPr>
            <w:r w:rsidRPr="00876642">
              <w:rPr>
                <w:rFonts w:ascii="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67CC1B6"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B2016AA"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91276C4"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462EC2E"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r>
      <w:tr w14:paraId="5C48E7E2" w14:textId="77777777" w:rsidTr="00A83EFD">
        <w:tblPrEx>
          <w:tblW w:w="15025" w:type="dxa"/>
          <w:tblLayout w:type="fixed"/>
          <w:tblLook w:val="04A0"/>
        </w:tblPrEx>
        <w:trPr>
          <w:trHeight w:val="449"/>
        </w:trPr>
        <w:tc>
          <w:tcPr>
            <w:tcW w:w="1435" w:type="dxa"/>
            <w:tcBorders>
              <w:top w:val="nil"/>
              <w:left w:val="single" w:sz="4" w:space="0" w:color="auto"/>
              <w:bottom w:val="single" w:sz="4" w:space="0" w:color="auto"/>
              <w:right w:val="single" w:sz="4" w:space="0" w:color="auto"/>
            </w:tcBorders>
            <w:shd w:val="clear" w:color="auto" w:fill="auto"/>
            <w:vAlign w:val="center"/>
          </w:tcPr>
          <w:p w:rsidR="00E67570" w:rsidRPr="00876642" w:rsidP="00671C8C" w14:paraId="62852A33" w14:textId="77777777">
            <w:pPr>
              <w:rPr>
                <w:rFonts w:ascii="Times New Roman" w:hAnsi="Times New Roman"/>
                <w:color w:val="000000"/>
                <w:sz w:val="16"/>
                <w:szCs w:val="16"/>
              </w:rPr>
            </w:pPr>
            <w:r>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tcPr>
          <w:p w:rsidR="00E67570" w:rsidRPr="00876642" w:rsidP="00671C8C" w14:paraId="29B0D293" w14:textId="08F32BA7">
            <w:pPr>
              <w:rPr>
                <w:rFonts w:ascii="Times New Roman" w:hAnsi="Times New Roman"/>
                <w:color w:val="000000"/>
                <w:sz w:val="16"/>
                <w:szCs w:val="16"/>
              </w:rPr>
            </w:pPr>
            <w:r>
              <w:rPr>
                <w:rFonts w:ascii="Times New Roman" w:hAnsi="Times New Roman"/>
                <w:color w:val="000000"/>
                <w:sz w:val="16"/>
                <w:szCs w:val="16"/>
              </w:rPr>
              <w:t>SAs may request FNS to waive the two-step independent verification and notice requirement of the CMA</w:t>
            </w:r>
            <w:r w:rsidR="00A20EB7">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tcPr>
          <w:p w:rsidR="00E67570" w:rsidRPr="00876642" w:rsidP="00671C8C" w14:paraId="7F8B2864" w14:textId="77777777">
            <w:pPr>
              <w:rPr>
                <w:rFonts w:ascii="Times New Roman" w:hAnsi="Times New Roman"/>
                <w:color w:val="000000"/>
                <w:sz w:val="16"/>
                <w:szCs w:val="16"/>
              </w:rPr>
            </w:pPr>
            <w:r>
              <w:rPr>
                <w:rFonts w:ascii="Times New Roman" w:hAnsi="Times New Roman"/>
                <w:color w:val="000000"/>
                <w:sz w:val="16"/>
                <w:szCs w:val="16"/>
              </w:rPr>
              <w:t>225.18(e)(3)(iii)(B)</w:t>
            </w:r>
          </w:p>
        </w:tc>
        <w:tc>
          <w:tcPr>
            <w:tcW w:w="1170" w:type="dxa"/>
            <w:tcBorders>
              <w:top w:val="nil"/>
              <w:left w:val="nil"/>
              <w:bottom w:val="single" w:sz="4" w:space="0" w:color="auto"/>
              <w:right w:val="single" w:sz="4" w:space="0" w:color="auto"/>
            </w:tcBorders>
            <w:shd w:val="clear" w:color="auto" w:fill="auto"/>
            <w:noWrap/>
            <w:vAlign w:val="center"/>
          </w:tcPr>
          <w:p w:rsidR="00E67570" w:rsidRPr="00876642" w:rsidP="00671C8C" w14:paraId="1899801D" w14:textId="77777777">
            <w:pPr>
              <w:jc w:val="right"/>
              <w:rPr>
                <w:rFonts w:ascii="Times New Roman" w:hAnsi="Times New Roman"/>
                <w:color w:val="000000"/>
                <w:sz w:val="16"/>
                <w:szCs w:val="16"/>
              </w:rPr>
            </w:pPr>
            <w:r>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tcPr>
          <w:p w:rsidR="00E67570" w:rsidRPr="00876642" w:rsidP="00671C8C" w14:paraId="53D48EB5" w14:textId="77777777">
            <w:pPr>
              <w:jc w:val="right"/>
              <w:rPr>
                <w:rFonts w:ascii="Times New Roman" w:hAnsi="Times New Roman"/>
                <w:color w:val="000000"/>
                <w:sz w:val="16"/>
                <w:szCs w:val="16"/>
              </w:rPr>
            </w:pPr>
            <w:r>
              <w:rPr>
                <w:rFonts w:ascii="Times New Roman" w:hAnsi="Times New Roman"/>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tcPr>
          <w:p w:rsidR="00E67570" w:rsidRPr="00876642" w:rsidP="00671C8C" w14:paraId="1C739C1C" w14:textId="77777777">
            <w:pPr>
              <w:jc w:val="right"/>
              <w:rPr>
                <w:rFonts w:ascii="Times New Roman" w:hAnsi="Times New Roman"/>
                <w:color w:val="000000"/>
                <w:sz w:val="16"/>
                <w:szCs w:val="16"/>
              </w:rPr>
            </w:pPr>
            <w:r>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tcPr>
          <w:p w:rsidR="00E67570" w:rsidRPr="00876642" w:rsidP="00671C8C" w14:paraId="1A38964C" w14:textId="77777777">
            <w:pPr>
              <w:jc w:val="right"/>
              <w:rPr>
                <w:rFonts w:ascii="Times New Roman" w:hAnsi="Times New Roman"/>
                <w:color w:val="000000"/>
                <w:sz w:val="16"/>
                <w:szCs w:val="16"/>
              </w:rPr>
            </w:pPr>
            <w:r>
              <w:rPr>
                <w:rFonts w:ascii="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center"/>
          </w:tcPr>
          <w:p w:rsidR="00E67570" w:rsidRPr="00876642" w:rsidP="00671C8C" w14:paraId="07EA96F6" w14:textId="77777777">
            <w:pPr>
              <w:jc w:val="right"/>
              <w:rPr>
                <w:rFonts w:ascii="Times New Roman" w:hAnsi="Times New Roman"/>
                <w:color w:val="000000"/>
                <w:sz w:val="16"/>
                <w:szCs w:val="16"/>
              </w:rPr>
            </w:pPr>
            <w:r>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tcPr>
          <w:p w:rsidR="00E67570" w:rsidRPr="00876642" w:rsidP="00671C8C" w14:paraId="4DAE1B6E" w14:textId="77777777">
            <w:pPr>
              <w:jc w:val="right"/>
              <w:rPr>
                <w:rFonts w:ascii="Times New Roman" w:hAnsi="Times New Roman"/>
                <w:color w:val="000000"/>
                <w:sz w:val="16"/>
                <w:szCs w:val="16"/>
              </w:rPr>
            </w:pPr>
            <w:r>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tcPr>
          <w:p w:rsidR="00E67570" w:rsidRPr="00876642" w:rsidP="00671C8C" w14:paraId="2B5F306A" w14:textId="77777777">
            <w:pPr>
              <w:jc w:val="right"/>
              <w:rPr>
                <w:rFonts w:ascii="Times New Roman" w:hAnsi="Times New Roman"/>
                <w:color w:val="000000"/>
                <w:sz w:val="16"/>
                <w:szCs w:val="16"/>
              </w:rPr>
            </w:pPr>
            <w:r>
              <w:rPr>
                <w:rFonts w:ascii="Times New Roman" w:hAnsi="Times New Roman"/>
                <w:color w:val="000000"/>
                <w:sz w:val="16"/>
                <w:szCs w:val="16"/>
              </w:rPr>
              <w:t>53</w:t>
            </w:r>
          </w:p>
        </w:tc>
        <w:tc>
          <w:tcPr>
            <w:tcW w:w="1080" w:type="dxa"/>
            <w:tcBorders>
              <w:top w:val="nil"/>
              <w:left w:val="nil"/>
              <w:bottom w:val="single" w:sz="4" w:space="0" w:color="auto"/>
              <w:right w:val="single" w:sz="4" w:space="0" w:color="auto"/>
            </w:tcBorders>
            <w:shd w:val="clear" w:color="auto" w:fill="auto"/>
            <w:noWrap/>
            <w:vAlign w:val="center"/>
          </w:tcPr>
          <w:p w:rsidR="00E67570" w:rsidRPr="00876642" w:rsidP="00671C8C" w14:paraId="7DD12A18" w14:textId="77777777">
            <w:pPr>
              <w:jc w:val="right"/>
              <w:rPr>
                <w:rFonts w:ascii="Times New Roman" w:hAnsi="Times New Roman"/>
                <w:color w:val="000000"/>
                <w:sz w:val="16"/>
                <w:szCs w:val="16"/>
              </w:rPr>
            </w:pPr>
            <w:r>
              <w:rPr>
                <w:rFonts w:ascii="Times New Roman" w:hAnsi="Times New Roman"/>
                <w:color w:val="000000"/>
                <w:sz w:val="16"/>
                <w:szCs w:val="16"/>
              </w:rPr>
              <w:t>53</w:t>
            </w:r>
          </w:p>
        </w:tc>
      </w:tr>
      <w:tr w14:paraId="6D1ABACD" w14:textId="77777777" w:rsidTr="00A83EFD">
        <w:tblPrEx>
          <w:tblW w:w="15025" w:type="dxa"/>
          <w:tblLayout w:type="fixed"/>
          <w:tblLook w:val="04A0"/>
        </w:tblPrEx>
        <w:trPr>
          <w:trHeight w:val="1961"/>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73F4AB08"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0C523B42" w14:textId="04CA800A">
            <w:pPr>
              <w:rPr>
                <w:rFonts w:ascii="Times New Roman" w:hAnsi="Times New Roman"/>
                <w:color w:val="000000"/>
                <w:sz w:val="16"/>
                <w:szCs w:val="16"/>
              </w:rPr>
            </w:pPr>
            <w:r w:rsidRPr="00876642">
              <w:rPr>
                <w:rFonts w:ascii="Times New Roman" w:hAnsi="Times New Roman"/>
                <w:color w:val="000000"/>
                <w:sz w:val="16"/>
                <w:szCs w:val="16"/>
              </w:rPr>
              <w:t xml:space="preserve">SAs must send a necessary demand letter for the collection of unearned payments, including any assessment of interest, as described in </w:t>
            </w:r>
            <w:r w:rsidRPr="00C327D9">
              <w:rPr>
                <w:rFonts w:ascii="Times New Roman" w:hAnsi="Times New Roman"/>
                <w:color w:val="333333"/>
                <w:sz w:val="16"/>
                <w:szCs w:val="16"/>
                <w:shd w:val="clear" w:color="auto" w:fill="FFFFFF"/>
              </w:rPr>
              <w:t>§</w:t>
            </w:r>
            <w:r>
              <w:rPr>
                <w:rFonts w:ascii="Times New Roman" w:hAnsi="Times New Roman"/>
                <w:color w:val="333333"/>
                <w:szCs w:val="24"/>
                <w:shd w:val="clear" w:color="auto" w:fill="FFFFFF"/>
              </w:rPr>
              <w:t xml:space="preserve"> </w:t>
            </w:r>
            <w:r w:rsidRPr="00876642">
              <w:rPr>
                <w:rFonts w:ascii="Times New Roman" w:hAnsi="Times New Roman"/>
                <w:color w:val="000000"/>
                <w:sz w:val="16"/>
                <w:szCs w:val="16"/>
              </w:rPr>
              <w:t>225.12(b), and refer the claim to the appropriate State authority for pursuit of the debt payment. SAs must assess interest on sponsors' debts established on or after July 29, 2002, based on the Current Value of Funds Rate, and notify the sponsor that interest will be charged on debts not paid in full within 30 days of the initial demand for remittance up to the date of payment</w:t>
            </w:r>
            <w:r w:rsidR="00FC62DF">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49B81570" w14:textId="77777777">
            <w:pPr>
              <w:rPr>
                <w:rFonts w:ascii="Times New Roman" w:hAnsi="Times New Roman"/>
                <w:color w:val="000000"/>
                <w:sz w:val="16"/>
                <w:szCs w:val="16"/>
              </w:rPr>
            </w:pPr>
            <w:r w:rsidRPr="00876642">
              <w:rPr>
                <w:rFonts w:ascii="Times New Roman" w:hAnsi="Times New Roman"/>
                <w:color w:val="000000"/>
                <w:sz w:val="16"/>
                <w:szCs w:val="16"/>
              </w:rPr>
              <w:t>225.18(g)(2)</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61B47F3"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FA3FC15"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10AA46B"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0528133"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83363AF" w14:textId="7EDD2AA8">
            <w:pPr>
              <w:jc w:val="right"/>
              <w:rPr>
                <w:rFonts w:ascii="Times New Roman" w:hAnsi="Times New Roman"/>
                <w:color w:val="000000"/>
                <w:sz w:val="16"/>
                <w:szCs w:val="16"/>
              </w:rPr>
            </w:pPr>
            <w:r>
              <w:rPr>
                <w:rFonts w:ascii="Times New Roman" w:hAnsi="Times New Roman"/>
                <w:color w:val="000000"/>
                <w:sz w:val="16"/>
                <w:szCs w:val="16"/>
              </w:rPr>
              <w:t>40</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684089D"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24B5949" w14:textId="17D4B373">
            <w:pPr>
              <w:jc w:val="right"/>
              <w:rPr>
                <w:rFonts w:ascii="Times New Roman" w:hAnsi="Times New Roman"/>
                <w:color w:val="000000"/>
                <w:sz w:val="16"/>
                <w:szCs w:val="16"/>
              </w:rPr>
            </w:pPr>
            <w:r>
              <w:rPr>
                <w:rFonts w:ascii="Times New Roman" w:hAnsi="Times New Roman"/>
                <w:color w:val="000000"/>
                <w:sz w:val="16"/>
                <w:szCs w:val="16"/>
              </w:rPr>
              <w:t>40</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FAD0EBA" w14:textId="006F3D95">
            <w:pPr>
              <w:jc w:val="right"/>
              <w:rPr>
                <w:rFonts w:ascii="Times New Roman" w:hAnsi="Times New Roman"/>
                <w:color w:val="000000"/>
                <w:sz w:val="16"/>
                <w:szCs w:val="16"/>
              </w:rPr>
            </w:pPr>
            <w:r>
              <w:rPr>
                <w:rFonts w:ascii="Times New Roman" w:hAnsi="Times New Roman"/>
                <w:color w:val="000000"/>
                <w:sz w:val="16"/>
                <w:szCs w:val="16"/>
              </w:rPr>
              <w:t>40</w:t>
            </w:r>
          </w:p>
        </w:tc>
      </w:tr>
      <w:tr w14:paraId="03A6929F" w14:textId="77777777" w:rsidTr="00A83EFD">
        <w:tblPrEx>
          <w:tblW w:w="15025" w:type="dxa"/>
          <w:tblLayout w:type="fixed"/>
          <w:tblLook w:val="04A0"/>
        </w:tblPrEx>
        <w:trPr>
          <w:trHeight w:val="62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357D4462"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21B52B76" w14:textId="1E8554A1">
            <w:pPr>
              <w:rPr>
                <w:rFonts w:ascii="Times New Roman" w:hAnsi="Times New Roman"/>
                <w:color w:val="000000"/>
                <w:sz w:val="16"/>
                <w:szCs w:val="16"/>
              </w:rPr>
            </w:pPr>
            <w:r w:rsidRPr="00876642">
              <w:rPr>
                <w:rFonts w:ascii="Times New Roman" w:hAnsi="Times New Roman"/>
                <w:color w:val="000000"/>
                <w:sz w:val="16"/>
                <w:szCs w:val="16"/>
              </w:rPr>
              <w:t>SAs must terminate for cause the Program agreement no later than 45 days after the date of the sponsor's disqualification by FNS</w:t>
            </w:r>
            <w:r w:rsidR="00FC62DF">
              <w:rPr>
                <w:rFonts w:ascii="Times New Roman" w:hAnsi="Times New Roman"/>
                <w:color w:val="000000"/>
                <w:sz w:val="16"/>
                <w:szCs w:val="16"/>
              </w:rPr>
              <w:t>.</w:t>
            </w:r>
            <w:r w:rsidRPr="00876642">
              <w:rPr>
                <w:rFonts w:ascii="Times New Roman" w:hAnsi="Times New Roman"/>
                <w:color w:val="000000"/>
                <w:sz w:val="16"/>
                <w:szCs w:val="16"/>
              </w:rPr>
              <w:t xml:space="preserve">  </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3E5108C3" w14:textId="77777777">
            <w:pPr>
              <w:rPr>
                <w:rFonts w:ascii="Times New Roman" w:hAnsi="Times New Roman"/>
                <w:color w:val="000000"/>
                <w:sz w:val="16"/>
                <w:szCs w:val="16"/>
              </w:rPr>
            </w:pPr>
            <w:r w:rsidRPr="00876642">
              <w:rPr>
                <w:rFonts w:ascii="Times New Roman" w:hAnsi="Times New Roman"/>
                <w:color w:val="000000"/>
                <w:sz w:val="16"/>
                <w:szCs w:val="16"/>
              </w:rPr>
              <w:t>225.18(h)(2)</w:t>
            </w:r>
            <w:r>
              <w:rPr>
                <w:rFonts w:ascii="Times New Roman" w:hAnsi="Times New Roman"/>
                <w:color w:val="000000"/>
                <w:sz w:val="16"/>
                <w:szCs w:val="16"/>
              </w:rPr>
              <w:t>(i</w:t>
            </w:r>
            <w:r w:rsidRPr="00876642">
              <w:rPr>
                <w:rFonts w:ascii="Times New Roman" w:hAnsi="Times New Roman"/>
                <w:color w:val="000000"/>
                <w:sz w:val="16"/>
                <w:szCs w:val="16"/>
              </w:rPr>
              <w:t>)</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5C9F1D6"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F4F8624" w14:textId="77777777">
            <w:pPr>
              <w:jc w:val="right"/>
              <w:rPr>
                <w:rFonts w:ascii="Times New Roman" w:hAnsi="Times New Roman"/>
                <w:color w:val="000000"/>
                <w:sz w:val="16"/>
                <w:szCs w:val="16"/>
              </w:rPr>
            </w:pPr>
            <w:r w:rsidRPr="00876642">
              <w:rPr>
                <w:rFonts w:ascii="Times New Roman" w:hAnsi="Times New Roman"/>
                <w:color w:val="000000"/>
                <w:sz w:val="16"/>
                <w:szCs w:val="16"/>
              </w:rPr>
              <w:t>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8DA0664" w14:textId="77777777">
            <w:pPr>
              <w:jc w:val="right"/>
              <w:rPr>
                <w:rFonts w:ascii="Times New Roman" w:hAnsi="Times New Roman"/>
                <w:color w:val="000000"/>
                <w:sz w:val="16"/>
                <w:szCs w:val="16"/>
              </w:rPr>
            </w:pPr>
            <w:r w:rsidRPr="00876642">
              <w:rPr>
                <w:rFonts w:ascii="Times New Roman" w:hAnsi="Times New Roman"/>
                <w:color w:val="000000"/>
                <w:sz w:val="16"/>
                <w:szCs w:val="16"/>
              </w:rPr>
              <w:t>265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F341926" w14:textId="77777777">
            <w:pPr>
              <w:jc w:val="right"/>
              <w:rPr>
                <w:rFonts w:ascii="Times New Roman" w:hAnsi="Times New Roman"/>
                <w:color w:val="000000"/>
                <w:sz w:val="16"/>
                <w:szCs w:val="16"/>
              </w:rPr>
            </w:pPr>
            <w:r w:rsidRPr="00876642">
              <w:rPr>
                <w:rFonts w:ascii="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CB59315" w14:textId="77777777">
            <w:pPr>
              <w:jc w:val="right"/>
              <w:rPr>
                <w:rFonts w:ascii="Times New Roman" w:hAnsi="Times New Roman"/>
                <w:color w:val="000000"/>
                <w:sz w:val="16"/>
                <w:szCs w:val="16"/>
              </w:rPr>
            </w:pPr>
            <w:r w:rsidRPr="00876642">
              <w:rPr>
                <w:rFonts w:ascii="Times New Roman" w:hAnsi="Times New Roman"/>
                <w:color w:val="000000"/>
                <w:sz w:val="16"/>
                <w:szCs w:val="16"/>
              </w:rPr>
              <w:t>265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CD86305" w14:textId="77777777">
            <w:pPr>
              <w:jc w:val="right"/>
              <w:rPr>
                <w:rFonts w:ascii="Times New Roman" w:hAnsi="Times New Roman"/>
                <w:color w:val="000000"/>
                <w:sz w:val="16"/>
                <w:szCs w:val="16"/>
              </w:rPr>
            </w:pPr>
            <w:r w:rsidRPr="00876642">
              <w:rPr>
                <w:rFonts w:ascii="Times New Roman" w:hAnsi="Times New Roman"/>
                <w:color w:val="000000"/>
                <w:sz w:val="16"/>
                <w:szCs w:val="16"/>
              </w:rPr>
              <w:t>265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45BA137"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A449220"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r>
      <w:tr w14:paraId="47392718" w14:textId="77777777" w:rsidTr="00A83EFD">
        <w:tblPrEx>
          <w:tblW w:w="15025" w:type="dxa"/>
          <w:tblLayout w:type="fixed"/>
          <w:tblLook w:val="04A0"/>
        </w:tblPrEx>
        <w:trPr>
          <w:trHeight w:val="35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28538BB2"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2822EC67" w14:textId="4AEC3EFA">
            <w:pPr>
              <w:rPr>
                <w:rFonts w:ascii="Times New Roman" w:hAnsi="Times New Roman"/>
                <w:color w:val="000000"/>
                <w:sz w:val="16"/>
                <w:szCs w:val="16"/>
              </w:rPr>
            </w:pPr>
            <w:r w:rsidRPr="00876642">
              <w:rPr>
                <w:rFonts w:ascii="Times New Roman" w:hAnsi="Times New Roman"/>
                <w:color w:val="000000"/>
                <w:sz w:val="16"/>
                <w:szCs w:val="16"/>
              </w:rPr>
              <w:t>Sponsors must describe and document the action taken to correct each serious management problem in a corrective action plan and submit it to the SA</w:t>
            </w:r>
            <w:r w:rsidR="005272E9">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5ED402DC" w14:textId="77777777">
            <w:pPr>
              <w:rPr>
                <w:rFonts w:ascii="Times New Roman" w:hAnsi="Times New Roman"/>
                <w:color w:val="000000"/>
                <w:sz w:val="16"/>
                <w:szCs w:val="16"/>
              </w:rPr>
            </w:pPr>
            <w:r w:rsidRPr="00876642">
              <w:rPr>
                <w:rFonts w:ascii="Times New Roman" w:hAnsi="Times New Roman"/>
                <w:color w:val="000000"/>
                <w:sz w:val="16"/>
                <w:szCs w:val="16"/>
              </w:rPr>
              <w:t>225.18(c)(1)</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67E8ACA" w14:textId="77777777">
            <w:pPr>
              <w:jc w:val="right"/>
              <w:rPr>
                <w:rFonts w:ascii="Times New Roman" w:hAnsi="Times New Roman"/>
                <w:color w:val="000000"/>
                <w:sz w:val="16"/>
                <w:szCs w:val="16"/>
              </w:rPr>
            </w:pPr>
            <w:r w:rsidRPr="00876642">
              <w:rPr>
                <w:rFonts w:ascii="Times New Roman" w:hAnsi="Times New Roman"/>
                <w:color w:val="000000"/>
                <w:sz w:val="16"/>
                <w:szCs w:val="16"/>
              </w:rPr>
              <w:t>933.3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F9F2B31" w14:textId="77777777">
            <w:pPr>
              <w:jc w:val="right"/>
              <w:rPr>
                <w:rFonts w:ascii="Times New Roman" w:hAnsi="Times New Roman"/>
                <w:color w:val="000000"/>
                <w:sz w:val="16"/>
                <w:szCs w:val="16"/>
              </w:rPr>
            </w:pPr>
            <w:r w:rsidRPr="00876642">
              <w:rPr>
                <w:rFonts w:ascii="Times New Roman" w:hAnsi="Times New Roman"/>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848DF66" w14:textId="77777777">
            <w:pPr>
              <w:jc w:val="right"/>
              <w:rPr>
                <w:rFonts w:ascii="Times New Roman" w:hAnsi="Times New Roman"/>
                <w:color w:val="000000"/>
                <w:sz w:val="16"/>
                <w:szCs w:val="16"/>
              </w:rPr>
            </w:pPr>
            <w:r w:rsidRPr="00876642">
              <w:rPr>
                <w:rFonts w:ascii="Times New Roman" w:hAnsi="Times New Roman"/>
                <w:color w:val="000000"/>
                <w:sz w:val="16"/>
                <w:szCs w:val="16"/>
              </w:rPr>
              <w:t>933.3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EAF3BC5"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394EE1A" w14:textId="77777777">
            <w:pPr>
              <w:jc w:val="right"/>
              <w:rPr>
                <w:rFonts w:ascii="Times New Roman" w:hAnsi="Times New Roman"/>
                <w:color w:val="000000"/>
                <w:sz w:val="16"/>
                <w:szCs w:val="16"/>
              </w:rPr>
            </w:pPr>
            <w:r w:rsidRPr="00876642">
              <w:rPr>
                <w:rFonts w:ascii="Times New Roman" w:hAnsi="Times New Roman"/>
                <w:color w:val="000000"/>
                <w:sz w:val="16"/>
                <w:szCs w:val="16"/>
              </w:rPr>
              <w:t>233.3</w:t>
            </w:r>
            <w:r>
              <w:rPr>
                <w:rFonts w:ascii="Times New Roman" w:hAnsi="Times New Roman"/>
                <w:color w:val="000000"/>
                <w:sz w:val="16"/>
                <w:szCs w:val="16"/>
              </w:rPr>
              <w:t>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37F26E6"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0041C05" w14:textId="77777777">
            <w:pPr>
              <w:jc w:val="right"/>
              <w:rPr>
                <w:rFonts w:ascii="Times New Roman" w:hAnsi="Times New Roman"/>
                <w:color w:val="000000"/>
                <w:sz w:val="16"/>
                <w:szCs w:val="16"/>
              </w:rPr>
            </w:pPr>
            <w:r w:rsidRPr="00876642">
              <w:rPr>
                <w:rFonts w:ascii="Times New Roman" w:hAnsi="Times New Roman"/>
                <w:color w:val="000000"/>
                <w:sz w:val="16"/>
                <w:szCs w:val="16"/>
              </w:rPr>
              <w:t>233.3</w:t>
            </w:r>
            <w:r>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8B3DD30" w14:textId="77777777">
            <w:pPr>
              <w:jc w:val="right"/>
              <w:rPr>
                <w:rFonts w:ascii="Times New Roman" w:hAnsi="Times New Roman"/>
                <w:color w:val="000000"/>
                <w:sz w:val="16"/>
                <w:szCs w:val="16"/>
              </w:rPr>
            </w:pPr>
            <w:r w:rsidRPr="00876642">
              <w:rPr>
                <w:rFonts w:ascii="Times New Roman" w:hAnsi="Times New Roman"/>
                <w:color w:val="000000"/>
                <w:sz w:val="16"/>
                <w:szCs w:val="16"/>
              </w:rPr>
              <w:t>233.3</w:t>
            </w:r>
            <w:r>
              <w:rPr>
                <w:rFonts w:ascii="Times New Roman" w:hAnsi="Times New Roman"/>
                <w:color w:val="000000"/>
                <w:sz w:val="16"/>
                <w:szCs w:val="16"/>
              </w:rPr>
              <w:t>3</w:t>
            </w:r>
          </w:p>
        </w:tc>
      </w:tr>
      <w:tr w14:paraId="097AF41B" w14:textId="77777777" w:rsidTr="00B41001">
        <w:tblPrEx>
          <w:tblW w:w="15025" w:type="dxa"/>
          <w:tblLayout w:type="fixed"/>
          <w:tblLook w:val="04A0"/>
        </w:tblPrEx>
        <w:trPr>
          <w:trHeight w:val="288"/>
        </w:trPr>
        <w:tc>
          <w:tcPr>
            <w:tcW w:w="6925" w:type="dxa"/>
            <w:gridSpan w:val="3"/>
            <w:tcBorders>
              <w:top w:val="nil"/>
              <w:left w:val="single" w:sz="4" w:space="0" w:color="auto"/>
              <w:bottom w:val="single" w:sz="4" w:space="0" w:color="auto"/>
              <w:right w:val="single" w:sz="4" w:space="0" w:color="auto"/>
            </w:tcBorders>
            <w:shd w:val="clear" w:color="auto" w:fill="auto"/>
            <w:vAlign w:val="center"/>
          </w:tcPr>
          <w:p w:rsidR="00E67570" w:rsidRPr="00876642" w:rsidP="00671C8C" w14:paraId="769DA772" w14:textId="77777777">
            <w:pPr>
              <w:rPr>
                <w:rFonts w:ascii="Times New Roman" w:hAnsi="Times New Roman"/>
                <w:color w:val="000000"/>
                <w:sz w:val="16"/>
                <w:szCs w:val="16"/>
              </w:rPr>
            </w:pPr>
            <w:r>
              <w:rPr>
                <w:rFonts w:ascii="Times New Roman" w:hAnsi="Times New Roman"/>
                <w:b/>
                <w:bCs/>
                <w:color w:val="000000"/>
                <w:sz w:val="16"/>
                <w:szCs w:val="16"/>
              </w:rPr>
              <w:t>Total State/Local/Tribal Government Reporting</w:t>
            </w:r>
          </w:p>
        </w:tc>
        <w:tc>
          <w:tcPr>
            <w:tcW w:w="1170" w:type="dxa"/>
            <w:tcBorders>
              <w:top w:val="nil"/>
              <w:left w:val="nil"/>
              <w:bottom w:val="single" w:sz="4" w:space="0" w:color="auto"/>
              <w:right w:val="single" w:sz="4" w:space="0" w:color="auto"/>
            </w:tcBorders>
            <w:shd w:val="clear" w:color="auto" w:fill="auto"/>
            <w:noWrap/>
            <w:vAlign w:val="center"/>
          </w:tcPr>
          <w:p w:rsidR="00E67570" w:rsidRPr="006E1050" w:rsidP="00671C8C" w14:paraId="192DB78E"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986</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09E76EDF"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4.</w:t>
            </w:r>
            <w:r>
              <w:rPr>
                <w:rFonts w:ascii="Times New Roman" w:hAnsi="Times New Roman"/>
                <w:b/>
                <w:bCs/>
                <w:color w:val="000000"/>
                <w:sz w:val="16"/>
                <w:szCs w:val="16"/>
              </w:rPr>
              <w:t>71</w:t>
            </w:r>
          </w:p>
        </w:tc>
        <w:tc>
          <w:tcPr>
            <w:tcW w:w="1080" w:type="dxa"/>
            <w:tcBorders>
              <w:top w:val="nil"/>
              <w:left w:val="nil"/>
              <w:bottom w:val="single" w:sz="4" w:space="0" w:color="auto"/>
              <w:right w:val="single" w:sz="4" w:space="0" w:color="auto"/>
            </w:tcBorders>
            <w:shd w:val="clear" w:color="auto" w:fill="auto"/>
            <w:noWrap/>
            <w:vAlign w:val="center"/>
          </w:tcPr>
          <w:p w:rsidR="00E67570" w:rsidRPr="006E1050" w:rsidP="00671C8C" w14:paraId="0E9521E7"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4</w:t>
            </w:r>
            <w:r>
              <w:rPr>
                <w:rFonts w:ascii="Times New Roman" w:hAnsi="Times New Roman"/>
                <w:b/>
                <w:bCs/>
                <w:color w:val="000000"/>
                <w:sz w:val="16"/>
                <w:szCs w:val="16"/>
              </w:rPr>
              <w:t>,643</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0A4259F0"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1.9</w:t>
            </w:r>
            <w:r>
              <w:rPr>
                <w:rFonts w:ascii="Times New Roman" w:hAnsi="Times New Roman"/>
                <w:b/>
                <w:bCs/>
                <w:color w:val="000000"/>
                <w:sz w:val="16"/>
                <w:szCs w:val="16"/>
              </w:rPr>
              <w:t>4</w:t>
            </w:r>
          </w:p>
        </w:tc>
        <w:tc>
          <w:tcPr>
            <w:tcW w:w="900" w:type="dxa"/>
            <w:tcBorders>
              <w:top w:val="nil"/>
              <w:left w:val="nil"/>
              <w:bottom w:val="single" w:sz="4" w:space="0" w:color="auto"/>
              <w:right w:val="single" w:sz="4" w:space="0" w:color="auto"/>
            </w:tcBorders>
            <w:shd w:val="clear" w:color="auto" w:fill="auto"/>
            <w:noWrap/>
            <w:vAlign w:val="center"/>
          </w:tcPr>
          <w:p w:rsidR="00E67570" w:rsidRPr="006E1050" w:rsidP="00671C8C" w14:paraId="2E80F673" w14:textId="332DD18A">
            <w:pPr>
              <w:jc w:val="right"/>
              <w:rPr>
                <w:rFonts w:ascii="Times New Roman" w:hAnsi="Times New Roman"/>
                <w:b/>
                <w:bCs/>
                <w:color w:val="000000"/>
                <w:sz w:val="16"/>
                <w:szCs w:val="16"/>
              </w:rPr>
            </w:pPr>
            <w:r w:rsidRPr="006E1050">
              <w:rPr>
                <w:rFonts w:ascii="Times New Roman" w:hAnsi="Times New Roman"/>
                <w:b/>
                <w:bCs/>
                <w:color w:val="000000"/>
                <w:sz w:val="16"/>
                <w:szCs w:val="16"/>
              </w:rPr>
              <w:t>8</w:t>
            </w:r>
            <w:r>
              <w:rPr>
                <w:rFonts w:ascii="Times New Roman" w:hAnsi="Times New Roman"/>
                <w:b/>
                <w:bCs/>
                <w:color w:val="000000"/>
                <w:sz w:val="16"/>
                <w:szCs w:val="16"/>
              </w:rPr>
              <w:t>,</w:t>
            </w:r>
            <w:r w:rsidRPr="006E1050">
              <w:rPr>
                <w:rFonts w:ascii="Times New Roman" w:hAnsi="Times New Roman"/>
                <w:b/>
                <w:bCs/>
                <w:color w:val="000000"/>
                <w:sz w:val="16"/>
                <w:szCs w:val="16"/>
              </w:rPr>
              <w:t>9</w:t>
            </w:r>
            <w:r>
              <w:rPr>
                <w:rFonts w:ascii="Times New Roman" w:hAnsi="Times New Roman"/>
                <w:b/>
                <w:bCs/>
                <w:color w:val="000000"/>
                <w:sz w:val="16"/>
                <w:szCs w:val="16"/>
              </w:rPr>
              <w:t>91</w:t>
            </w:r>
            <w:r w:rsidRPr="006E1050">
              <w:rPr>
                <w:rFonts w:ascii="Times New Roman" w:hAnsi="Times New Roman"/>
                <w:b/>
                <w:bCs/>
                <w:color w:val="000000"/>
                <w:sz w:val="16"/>
                <w:szCs w:val="16"/>
              </w:rPr>
              <w:t>.</w:t>
            </w:r>
            <w:r w:rsidR="000D0BAF">
              <w:rPr>
                <w:rFonts w:ascii="Times New Roman" w:hAnsi="Times New Roman"/>
                <w:b/>
                <w:bCs/>
                <w:color w:val="000000"/>
                <w:sz w:val="16"/>
                <w:szCs w:val="16"/>
              </w:rPr>
              <w:t>83</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247B5E57"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265</w:t>
            </w:r>
          </w:p>
        </w:tc>
        <w:tc>
          <w:tcPr>
            <w:tcW w:w="900" w:type="dxa"/>
            <w:tcBorders>
              <w:top w:val="nil"/>
              <w:left w:val="nil"/>
              <w:bottom w:val="single" w:sz="4" w:space="0" w:color="auto"/>
              <w:right w:val="single" w:sz="4" w:space="0" w:color="auto"/>
            </w:tcBorders>
            <w:shd w:val="clear" w:color="auto" w:fill="auto"/>
            <w:noWrap/>
            <w:vAlign w:val="center"/>
          </w:tcPr>
          <w:p w:rsidR="00E67570" w:rsidRPr="006E1050" w:rsidP="00671C8C" w14:paraId="2BDEEACD" w14:textId="63457D55">
            <w:pPr>
              <w:jc w:val="right"/>
              <w:rPr>
                <w:rFonts w:ascii="Times New Roman" w:hAnsi="Times New Roman"/>
                <w:b/>
                <w:bCs/>
                <w:color w:val="000000"/>
                <w:sz w:val="16"/>
                <w:szCs w:val="16"/>
              </w:rPr>
            </w:pPr>
            <w:r>
              <w:rPr>
                <w:rFonts w:ascii="Times New Roman" w:hAnsi="Times New Roman"/>
                <w:b/>
                <w:bCs/>
                <w:color w:val="000000"/>
                <w:sz w:val="16"/>
                <w:szCs w:val="16"/>
              </w:rPr>
              <w:t>8</w:t>
            </w:r>
            <w:r w:rsidR="000A49D6">
              <w:rPr>
                <w:rFonts w:ascii="Times New Roman" w:hAnsi="Times New Roman"/>
                <w:b/>
                <w:bCs/>
                <w:color w:val="000000"/>
                <w:sz w:val="16"/>
                <w:szCs w:val="16"/>
              </w:rPr>
              <w:t>,</w:t>
            </w:r>
            <w:r>
              <w:rPr>
                <w:rFonts w:ascii="Times New Roman" w:hAnsi="Times New Roman"/>
                <w:b/>
                <w:bCs/>
                <w:color w:val="000000"/>
                <w:sz w:val="16"/>
                <w:szCs w:val="16"/>
              </w:rPr>
              <w:t>727</w:t>
            </w:r>
          </w:p>
        </w:tc>
        <w:tc>
          <w:tcPr>
            <w:tcW w:w="1080" w:type="dxa"/>
            <w:tcBorders>
              <w:top w:val="nil"/>
              <w:left w:val="nil"/>
              <w:bottom w:val="single" w:sz="4" w:space="0" w:color="auto"/>
              <w:right w:val="single" w:sz="4" w:space="0" w:color="auto"/>
            </w:tcBorders>
            <w:shd w:val="clear" w:color="auto" w:fill="auto"/>
            <w:noWrap/>
            <w:vAlign w:val="center"/>
          </w:tcPr>
          <w:p w:rsidR="00E67570" w:rsidRPr="006E1050" w:rsidP="00671C8C" w14:paraId="21E280FB" w14:textId="7BE60FAD">
            <w:pPr>
              <w:jc w:val="right"/>
              <w:rPr>
                <w:rFonts w:ascii="Times New Roman" w:hAnsi="Times New Roman"/>
                <w:b/>
                <w:bCs/>
                <w:color w:val="000000"/>
                <w:sz w:val="16"/>
                <w:szCs w:val="16"/>
              </w:rPr>
            </w:pPr>
            <w:r>
              <w:rPr>
                <w:rFonts w:ascii="Times New Roman" w:hAnsi="Times New Roman"/>
                <w:b/>
                <w:bCs/>
                <w:color w:val="000000"/>
                <w:sz w:val="16"/>
                <w:szCs w:val="16"/>
              </w:rPr>
              <w:t>8</w:t>
            </w:r>
            <w:r w:rsidR="000A49D6">
              <w:rPr>
                <w:rFonts w:ascii="Times New Roman" w:hAnsi="Times New Roman"/>
                <w:b/>
                <w:bCs/>
                <w:color w:val="000000"/>
                <w:sz w:val="16"/>
                <w:szCs w:val="16"/>
              </w:rPr>
              <w:t>,</w:t>
            </w:r>
            <w:r>
              <w:rPr>
                <w:rFonts w:ascii="Times New Roman" w:hAnsi="Times New Roman"/>
                <w:b/>
                <w:bCs/>
                <w:color w:val="000000"/>
                <w:sz w:val="16"/>
                <w:szCs w:val="16"/>
              </w:rPr>
              <w:t>727</w:t>
            </w:r>
          </w:p>
        </w:tc>
      </w:tr>
      <w:tr w14:paraId="7405BFC0" w14:textId="77777777" w:rsidTr="00A83EFD">
        <w:tblPrEx>
          <w:tblW w:w="15025" w:type="dxa"/>
          <w:tblLayout w:type="fixed"/>
          <w:tblLook w:val="04A0"/>
        </w:tblPrEx>
        <w:trPr>
          <w:trHeight w:val="80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4CF357E5" w14:textId="77777777">
            <w:pPr>
              <w:rPr>
                <w:rFonts w:ascii="Times New Roman" w:hAnsi="Times New Roman"/>
                <w:color w:val="000000"/>
                <w:sz w:val="16"/>
                <w:szCs w:val="16"/>
              </w:rPr>
            </w:pPr>
            <w:r w:rsidRPr="00876642">
              <w:rPr>
                <w:rFonts w:ascii="Times New Roman" w:hAnsi="Times New Roman"/>
                <w:color w:val="000000"/>
                <w:sz w:val="16"/>
                <w:szCs w:val="16"/>
              </w:rPr>
              <w:t>Businesses (Non-profit Institutions and Camps)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2E7FCCDA" w14:textId="59A39D96">
            <w:pPr>
              <w:rPr>
                <w:rFonts w:ascii="Times New Roman" w:hAnsi="Times New Roman"/>
                <w:color w:val="000000"/>
                <w:sz w:val="16"/>
                <w:szCs w:val="16"/>
              </w:rPr>
            </w:pPr>
            <w:r w:rsidRPr="00876642">
              <w:rPr>
                <w:rFonts w:ascii="Times New Roman" w:hAnsi="Times New Roman"/>
                <w:color w:val="000000"/>
                <w:sz w:val="16"/>
                <w:szCs w:val="16"/>
              </w:rPr>
              <w:t>Sponsoring organizations that are approved to operate the Program in more than one State must provide</w:t>
            </w:r>
            <w:r>
              <w:rPr>
                <w:rFonts w:ascii="Times New Roman" w:hAnsi="Times New Roman"/>
                <w:color w:val="000000"/>
                <w:sz w:val="16"/>
                <w:szCs w:val="16"/>
              </w:rPr>
              <w:t xml:space="preserve"> all of the required information to the State/local government agencies</w:t>
            </w:r>
            <w:r w:rsidR="00F10541">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77E286CE" w14:textId="77777777">
            <w:pPr>
              <w:rPr>
                <w:rFonts w:ascii="Times New Roman" w:hAnsi="Times New Roman"/>
                <w:color w:val="000000"/>
                <w:sz w:val="16"/>
                <w:szCs w:val="16"/>
              </w:rPr>
            </w:pPr>
            <w:r w:rsidRPr="00876642">
              <w:rPr>
                <w:rFonts w:ascii="Times New Roman" w:hAnsi="Times New Roman"/>
                <w:color w:val="000000"/>
                <w:sz w:val="16"/>
                <w:szCs w:val="16"/>
              </w:rPr>
              <w:t>225.6(c)(5)</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85A9535" w14:textId="77777777">
            <w:pPr>
              <w:jc w:val="right"/>
              <w:rPr>
                <w:rFonts w:ascii="Times New Roman" w:hAnsi="Times New Roman"/>
                <w:color w:val="000000"/>
                <w:sz w:val="16"/>
                <w:szCs w:val="16"/>
              </w:rPr>
            </w:pPr>
            <w:r w:rsidRPr="00876642">
              <w:rPr>
                <w:rFonts w:ascii="Times New Roman" w:hAnsi="Times New Roman"/>
                <w:color w:val="000000"/>
                <w:sz w:val="16"/>
                <w:szCs w:val="16"/>
              </w:rPr>
              <w:t>133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61ADC35" w14:textId="77777777">
            <w:pPr>
              <w:jc w:val="right"/>
              <w:rPr>
                <w:rFonts w:ascii="Times New Roman" w:hAnsi="Times New Roman"/>
                <w:color w:val="000000"/>
                <w:sz w:val="16"/>
                <w:szCs w:val="16"/>
              </w:rPr>
            </w:pPr>
            <w:r w:rsidRPr="00876642">
              <w:rPr>
                <w:rFonts w:ascii="Times New Roman" w:hAnsi="Times New Roman"/>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F7EC1CE" w14:textId="77777777">
            <w:pPr>
              <w:jc w:val="right"/>
              <w:rPr>
                <w:rFonts w:ascii="Times New Roman" w:hAnsi="Times New Roman"/>
                <w:color w:val="000000"/>
                <w:sz w:val="16"/>
                <w:szCs w:val="16"/>
              </w:rPr>
            </w:pPr>
            <w:r w:rsidRPr="00876642">
              <w:rPr>
                <w:rFonts w:ascii="Times New Roman" w:hAnsi="Times New Roman"/>
                <w:color w:val="000000"/>
                <w:sz w:val="16"/>
                <w:szCs w:val="16"/>
              </w:rPr>
              <w:t>133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CDDF2E6" w14:textId="77777777">
            <w:pPr>
              <w:jc w:val="right"/>
              <w:rPr>
                <w:rFonts w:ascii="Times New Roman" w:hAnsi="Times New Roman"/>
                <w:color w:val="000000"/>
                <w:sz w:val="16"/>
                <w:szCs w:val="16"/>
              </w:rPr>
            </w:pPr>
            <w:r w:rsidRPr="00876642">
              <w:rPr>
                <w:rFonts w:ascii="Times New Roman" w:hAnsi="Times New Roman"/>
                <w:color w:val="000000"/>
                <w:sz w:val="16"/>
                <w:szCs w:val="16"/>
              </w:rPr>
              <w:t>1.25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9BC2D16" w14:textId="77777777">
            <w:pPr>
              <w:jc w:val="right"/>
              <w:rPr>
                <w:rFonts w:ascii="Times New Roman" w:hAnsi="Times New Roman"/>
                <w:color w:val="000000"/>
                <w:sz w:val="16"/>
                <w:szCs w:val="16"/>
              </w:rPr>
            </w:pPr>
            <w:r w:rsidRPr="00876642">
              <w:rPr>
                <w:rFonts w:ascii="Times New Roman" w:hAnsi="Times New Roman"/>
                <w:color w:val="000000"/>
                <w:sz w:val="16"/>
                <w:szCs w:val="16"/>
              </w:rPr>
              <w:t>166.25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31A5C11"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54ABF0E" w14:textId="77777777">
            <w:pPr>
              <w:jc w:val="right"/>
              <w:rPr>
                <w:rFonts w:ascii="Times New Roman" w:hAnsi="Times New Roman"/>
                <w:color w:val="000000"/>
                <w:sz w:val="16"/>
                <w:szCs w:val="16"/>
              </w:rPr>
            </w:pPr>
            <w:r w:rsidRPr="00876642">
              <w:rPr>
                <w:rFonts w:ascii="Times New Roman" w:hAnsi="Times New Roman"/>
                <w:color w:val="000000"/>
                <w:sz w:val="16"/>
                <w:szCs w:val="16"/>
              </w:rPr>
              <w:t>166.25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F9075D8" w14:textId="77777777">
            <w:pPr>
              <w:jc w:val="right"/>
              <w:rPr>
                <w:rFonts w:ascii="Times New Roman" w:hAnsi="Times New Roman"/>
                <w:color w:val="000000"/>
                <w:sz w:val="16"/>
                <w:szCs w:val="16"/>
              </w:rPr>
            </w:pPr>
            <w:r w:rsidRPr="00876642">
              <w:rPr>
                <w:rFonts w:ascii="Times New Roman" w:hAnsi="Times New Roman"/>
                <w:color w:val="000000"/>
                <w:sz w:val="16"/>
                <w:szCs w:val="16"/>
              </w:rPr>
              <w:t>166.25</w:t>
            </w:r>
          </w:p>
        </w:tc>
      </w:tr>
      <w:tr w14:paraId="78BFFA6B" w14:textId="77777777" w:rsidTr="00A83EFD">
        <w:tblPrEx>
          <w:tblW w:w="15025" w:type="dxa"/>
          <w:tblLayout w:type="fixed"/>
          <w:tblLook w:val="04A0"/>
        </w:tblPrEx>
        <w:trPr>
          <w:trHeight w:val="746"/>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1B9A1240" w14:textId="77777777">
            <w:pPr>
              <w:rPr>
                <w:rFonts w:ascii="Times New Roman" w:hAnsi="Times New Roman"/>
                <w:color w:val="000000"/>
                <w:sz w:val="16"/>
                <w:szCs w:val="16"/>
              </w:rPr>
            </w:pPr>
            <w:r w:rsidRPr="00876642">
              <w:rPr>
                <w:rFonts w:ascii="Times New Roman" w:hAnsi="Times New Roman"/>
                <w:color w:val="000000"/>
                <w:sz w:val="16"/>
                <w:szCs w:val="16"/>
              </w:rPr>
              <w:t>Businesses (Non-profit Institutions and Camps)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00BAF181" w14:textId="4D514CD2">
            <w:pPr>
              <w:rPr>
                <w:rFonts w:ascii="Times New Roman" w:hAnsi="Times New Roman"/>
                <w:color w:val="000000"/>
                <w:sz w:val="16"/>
                <w:szCs w:val="16"/>
              </w:rPr>
            </w:pPr>
            <w:r w:rsidRPr="00876642">
              <w:rPr>
                <w:rFonts w:ascii="Times New Roman" w:hAnsi="Times New Roman"/>
                <w:color w:val="000000"/>
                <w:sz w:val="16"/>
                <w:szCs w:val="16"/>
              </w:rPr>
              <w:t>Sponsors must describe and document the actions taken to correct each serious management problem in a corrective action plan and submit it to the SA</w:t>
            </w:r>
            <w:r w:rsidR="0042749F">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1ECF8395" w14:textId="77777777">
            <w:pPr>
              <w:rPr>
                <w:rFonts w:ascii="Times New Roman" w:hAnsi="Times New Roman"/>
                <w:color w:val="000000"/>
                <w:sz w:val="16"/>
                <w:szCs w:val="16"/>
              </w:rPr>
            </w:pPr>
            <w:r w:rsidRPr="00876642">
              <w:rPr>
                <w:rFonts w:ascii="Times New Roman" w:hAnsi="Times New Roman"/>
                <w:color w:val="000000"/>
                <w:sz w:val="16"/>
                <w:szCs w:val="16"/>
              </w:rPr>
              <w:t>225.18(c)(1)</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9F7BAEE" w14:textId="77777777">
            <w:pPr>
              <w:jc w:val="right"/>
              <w:rPr>
                <w:rFonts w:ascii="Times New Roman" w:hAnsi="Times New Roman"/>
                <w:color w:val="000000"/>
                <w:sz w:val="16"/>
                <w:szCs w:val="16"/>
              </w:rPr>
            </w:pPr>
            <w:r w:rsidRPr="00876642">
              <w:rPr>
                <w:rFonts w:ascii="Times New Roman" w:hAnsi="Times New Roman"/>
                <w:color w:val="000000"/>
                <w:sz w:val="16"/>
                <w:szCs w:val="16"/>
              </w:rPr>
              <w:t>477</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FCB0C99" w14:textId="77777777">
            <w:pPr>
              <w:jc w:val="right"/>
              <w:rPr>
                <w:rFonts w:ascii="Times New Roman" w:hAnsi="Times New Roman"/>
                <w:color w:val="000000"/>
                <w:sz w:val="16"/>
                <w:szCs w:val="16"/>
              </w:rPr>
            </w:pPr>
            <w:r w:rsidRPr="00876642">
              <w:rPr>
                <w:rFonts w:ascii="Times New Roman" w:hAnsi="Times New Roman"/>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BAF1A65" w14:textId="77777777">
            <w:pPr>
              <w:jc w:val="right"/>
              <w:rPr>
                <w:rFonts w:ascii="Times New Roman" w:hAnsi="Times New Roman"/>
                <w:color w:val="000000"/>
                <w:sz w:val="16"/>
                <w:szCs w:val="16"/>
              </w:rPr>
            </w:pPr>
            <w:r w:rsidRPr="00876642">
              <w:rPr>
                <w:rFonts w:ascii="Times New Roman" w:hAnsi="Times New Roman"/>
                <w:color w:val="000000"/>
                <w:sz w:val="16"/>
                <w:szCs w:val="16"/>
              </w:rPr>
              <w:t>477</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47945787"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0EEB0C9" w14:textId="77777777">
            <w:pPr>
              <w:jc w:val="right"/>
              <w:rPr>
                <w:rFonts w:ascii="Times New Roman" w:hAnsi="Times New Roman"/>
                <w:color w:val="000000"/>
                <w:sz w:val="16"/>
                <w:szCs w:val="16"/>
              </w:rPr>
            </w:pPr>
            <w:r w:rsidRPr="00876642">
              <w:rPr>
                <w:rFonts w:ascii="Times New Roman" w:hAnsi="Times New Roman"/>
                <w:color w:val="000000"/>
                <w:sz w:val="16"/>
                <w:szCs w:val="16"/>
              </w:rPr>
              <w:t>119.25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000C13A"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8017602" w14:textId="77777777">
            <w:pPr>
              <w:jc w:val="right"/>
              <w:rPr>
                <w:rFonts w:ascii="Times New Roman" w:hAnsi="Times New Roman"/>
                <w:color w:val="000000"/>
                <w:sz w:val="16"/>
                <w:szCs w:val="16"/>
              </w:rPr>
            </w:pPr>
            <w:r w:rsidRPr="00876642">
              <w:rPr>
                <w:rFonts w:ascii="Times New Roman" w:hAnsi="Times New Roman"/>
                <w:color w:val="000000"/>
                <w:sz w:val="16"/>
                <w:szCs w:val="16"/>
              </w:rPr>
              <w:t>119.25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B18FD73" w14:textId="77777777">
            <w:pPr>
              <w:jc w:val="right"/>
              <w:rPr>
                <w:rFonts w:ascii="Times New Roman" w:hAnsi="Times New Roman"/>
                <w:color w:val="000000"/>
                <w:sz w:val="16"/>
                <w:szCs w:val="16"/>
              </w:rPr>
            </w:pPr>
            <w:r w:rsidRPr="00876642">
              <w:rPr>
                <w:rFonts w:ascii="Times New Roman" w:hAnsi="Times New Roman"/>
                <w:color w:val="000000"/>
                <w:sz w:val="16"/>
                <w:szCs w:val="16"/>
              </w:rPr>
              <w:t>119.25</w:t>
            </w:r>
          </w:p>
        </w:tc>
      </w:tr>
      <w:tr w14:paraId="2A70B3E5" w14:textId="77777777" w:rsidTr="00B41001">
        <w:tblPrEx>
          <w:tblW w:w="15025" w:type="dxa"/>
          <w:tblLayout w:type="fixed"/>
          <w:tblLook w:val="04A0"/>
        </w:tblPrEx>
        <w:trPr>
          <w:trHeight w:val="288"/>
        </w:trPr>
        <w:tc>
          <w:tcPr>
            <w:tcW w:w="6925" w:type="dxa"/>
            <w:gridSpan w:val="3"/>
            <w:tcBorders>
              <w:top w:val="nil"/>
              <w:left w:val="single" w:sz="4" w:space="0" w:color="auto"/>
              <w:bottom w:val="single" w:sz="4" w:space="0" w:color="auto"/>
              <w:right w:val="single" w:sz="4" w:space="0" w:color="auto"/>
            </w:tcBorders>
            <w:shd w:val="clear" w:color="auto" w:fill="auto"/>
            <w:vAlign w:val="center"/>
          </w:tcPr>
          <w:p w:rsidR="00E67570" w:rsidRPr="006E1050" w:rsidP="00671C8C" w14:paraId="77F6CC4F" w14:textId="77777777">
            <w:pPr>
              <w:rPr>
                <w:rFonts w:ascii="Times New Roman" w:hAnsi="Times New Roman"/>
                <w:b/>
                <w:bCs/>
                <w:color w:val="000000"/>
                <w:sz w:val="16"/>
                <w:szCs w:val="16"/>
              </w:rPr>
            </w:pPr>
            <w:r w:rsidRPr="009B16A2">
              <w:rPr>
                <w:rFonts w:ascii="Times New Roman" w:hAnsi="Times New Roman"/>
                <w:b/>
                <w:bCs/>
                <w:color w:val="000000"/>
                <w:sz w:val="16"/>
                <w:szCs w:val="16"/>
              </w:rPr>
              <w:t>Total Businesses (Non-profit Institutions and Camps)</w:t>
            </w:r>
          </w:p>
        </w:tc>
        <w:tc>
          <w:tcPr>
            <w:tcW w:w="1170" w:type="dxa"/>
            <w:tcBorders>
              <w:top w:val="nil"/>
              <w:left w:val="nil"/>
              <w:bottom w:val="single" w:sz="4" w:space="0" w:color="auto"/>
              <w:right w:val="single" w:sz="4" w:space="0" w:color="auto"/>
            </w:tcBorders>
            <w:shd w:val="clear" w:color="auto" w:fill="auto"/>
            <w:noWrap/>
            <w:vAlign w:val="center"/>
          </w:tcPr>
          <w:p w:rsidR="00E67570" w:rsidRPr="006E1050" w:rsidP="00671C8C" w14:paraId="5208F333"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477</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3C66D926"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1.28</w:t>
            </w:r>
          </w:p>
        </w:tc>
        <w:tc>
          <w:tcPr>
            <w:tcW w:w="1080" w:type="dxa"/>
            <w:tcBorders>
              <w:top w:val="nil"/>
              <w:left w:val="nil"/>
              <w:bottom w:val="single" w:sz="4" w:space="0" w:color="auto"/>
              <w:right w:val="single" w:sz="4" w:space="0" w:color="auto"/>
            </w:tcBorders>
            <w:shd w:val="clear" w:color="auto" w:fill="auto"/>
            <w:noWrap/>
            <w:vAlign w:val="center"/>
          </w:tcPr>
          <w:p w:rsidR="00E67570" w:rsidRPr="006E1050" w:rsidP="00671C8C" w14:paraId="50A556AD"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610</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71FB1CD0"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0.47</w:t>
            </w:r>
          </w:p>
        </w:tc>
        <w:tc>
          <w:tcPr>
            <w:tcW w:w="900" w:type="dxa"/>
            <w:tcBorders>
              <w:top w:val="nil"/>
              <w:left w:val="nil"/>
              <w:bottom w:val="single" w:sz="4" w:space="0" w:color="auto"/>
              <w:right w:val="single" w:sz="4" w:space="0" w:color="auto"/>
            </w:tcBorders>
            <w:shd w:val="clear" w:color="auto" w:fill="auto"/>
            <w:noWrap/>
            <w:vAlign w:val="center"/>
          </w:tcPr>
          <w:p w:rsidR="00E67570" w:rsidRPr="006E1050" w:rsidP="00671C8C" w14:paraId="498D3BF7"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285.5</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4A425BDB"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tcPr>
          <w:p w:rsidR="00E67570" w:rsidRPr="006E1050" w:rsidP="00671C8C" w14:paraId="6ECAB453" w14:textId="58CBCA3C">
            <w:pPr>
              <w:jc w:val="right"/>
              <w:rPr>
                <w:rFonts w:ascii="Times New Roman" w:hAnsi="Times New Roman"/>
                <w:b/>
                <w:bCs/>
                <w:color w:val="000000"/>
                <w:sz w:val="16"/>
                <w:szCs w:val="16"/>
              </w:rPr>
            </w:pPr>
            <w:r>
              <w:rPr>
                <w:rFonts w:ascii="Times New Roman" w:hAnsi="Times New Roman"/>
                <w:b/>
                <w:bCs/>
                <w:color w:val="000000"/>
                <w:sz w:val="16"/>
                <w:szCs w:val="16"/>
              </w:rPr>
              <w:t>286</w:t>
            </w:r>
          </w:p>
        </w:tc>
        <w:tc>
          <w:tcPr>
            <w:tcW w:w="1080" w:type="dxa"/>
            <w:tcBorders>
              <w:top w:val="nil"/>
              <w:left w:val="nil"/>
              <w:bottom w:val="single" w:sz="4" w:space="0" w:color="auto"/>
              <w:right w:val="single" w:sz="4" w:space="0" w:color="auto"/>
            </w:tcBorders>
            <w:shd w:val="clear" w:color="auto" w:fill="auto"/>
            <w:noWrap/>
            <w:vAlign w:val="center"/>
          </w:tcPr>
          <w:p w:rsidR="00E67570" w:rsidRPr="006E1050" w:rsidP="00671C8C" w14:paraId="7174D733" w14:textId="1FDDA600">
            <w:pPr>
              <w:jc w:val="right"/>
              <w:rPr>
                <w:rFonts w:ascii="Times New Roman" w:hAnsi="Times New Roman"/>
                <w:b/>
                <w:bCs/>
                <w:color w:val="000000"/>
                <w:sz w:val="16"/>
                <w:szCs w:val="16"/>
              </w:rPr>
            </w:pPr>
            <w:r>
              <w:rPr>
                <w:rFonts w:ascii="Times New Roman" w:hAnsi="Times New Roman"/>
                <w:b/>
                <w:bCs/>
                <w:color w:val="000000"/>
                <w:sz w:val="16"/>
                <w:szCs w:val="16"/>
              </w:rPr>
              <w:t>286</w:t>
            </w:r>
            <w:r w:rsidRPr="006E1050">
              <w:rPr>
                <w:rFonts w:ascii="Times New Roman" w:hAnsi="Times New Roman"/>
                <w:b/>
                <w:bCs/>
                <w:color w:val="000000"/>
                <w:sz w:val="16"/>
                <w:szCs w:val="16"/>
              </w:rPr>
              <w:t>285.5</w:t>
            </w:r>
          </w:p>
        </w:tc>
      </w:tr>
      <w:tr w14:paraId="58838A18" w14:textId="77777777" w:rsidTr="00B41001">
        <w:tblPrEx>
          <w:tblW w:w="15025" w:type="dxa"/>
          <w:tblLayout w:type="fixed"/>
          <w:tblLook w:val="04A0"/>
        </w:tblPrEx>
        <w:trPr>
          <w:trHeight w:val="288"/>
        </w:trPr>
        <w:tc>
          <w:tcPr>
            <w:tcW w:w="6925" w:type="dxa"/>
            <w:gridSpan w:val="3"/>
            <w:tcBorders>
              <w:top w:val="nil"/>
              <w:left w:val="single" w:sz="4" w:space="0" w:color="auto"/>
              <w:bottom w:val="single" w:sz="4" w:space="0" w:color="auto"/>
              <w:right w:val="single" w:sz="4" w:space="0" w:color="auto"/>
            </w:tcBorders>
            <w:shd w:val="clear" w:color="auto" w:fill="auto"/>
            <w:vAlign w:val="center"/>
          </w:tcPr>
          <w:p w:rsidR="00E67570" w:rsidRPr="006E1050" w:rsidP="00671C8C" w14:paraId="40B20F1D" w14:textId="77777777">
            <w:pPr>
              <w:rPr>
                <w:rFonts w:ascii="Times New Roman" w:hAnsi="Times New Roman"/>
                <w:b/>
                <w:bCs/>
                <w:color w:val="000000"/>
                <w:sz w:val="16"/>
                <w:szCs w:val="16"/>
              </w:rPr>
            </w:pPr>
            <w:r w:rsidRPr="009B16A2">
              <w:rPr>
                <w:rFonts w:ascii="Times New Roman" w:hAnsi="Times New Roman"/>
                <w:b/>
                <w:bCs/>
                <w:color w:val="000000"/>
                <w:sz w:val="16"/>
                <w:szCs w:val="16"/>
              </w:rPr>
              <w:t>Total Reporting</w:t>
            </w:r>
          </w:p>
        </w:tc>
        <w:tc>
          <w:tcPr>
            <w:tcW w:w="1170" w:type="dxa"/>
            <w:tcBorders>
              <w:top w:val="nil"/>
              <w:left w:val="nil"/>
              <w:bottom w:val="single" w:sz="4" w:space="0" w:color="auto"/>
              <w:right w:val="single" w:sz="4" w:space="0" w:color="auto"/>
            </w:tcBorders>
            <w:shd w:val="clear" w:color="auto" w:fill="auto"/>
            <w:noWrap/>
            <w:vAlign w:val="center"/>
          </w:tcPr>
          <w:p w:rsidR="00E67570" w:rsidRPr="006E1050" w:rsidP="00671C8C" w14:paraId="09FAAAD9" w14:textId="376BD750">
            <w:pPr>
              <w:jc w:val="right"/>
              <w:rPr>
                <w:rFonts w:ascii="Times New Roman" w:hAnsi="Times New Roman"/>
                <w:b/>
                <w:bCs/>
                <w:color w:val="000000"/>
                <w:sz w:val="16"/>
                <w:szCs w:val="16"/>
              </w:rPr>
            </w:pPr>
            <w:r w:rsidRPr="006E1050">
              <w:rPr>
                <w:rFonts w:ascii="Times New Roman" w:hAnsi="Times New Roman"/>
                <w:b/>
                <w:bCs/>
                <w:color w:val="000000"/>
                <w:sz w:val="16"/>
                <w:szCs w:val="16"/>
              </w:rPr>
              <w:t>1</w:t>
            </w:r>
            <w:r w:rsidR="00EB08BC">
              <w:rPr>
                <w:rFonts w:ascii="Times New Roman" w:hAnsi="Times New Roman"/>
                <w:b/>
                <w:bCs/>
                <w:color w:val="000000"/>
                <w:sz w:val="16"/>
                <w:szCs w:val="16"/>
              </w:rPr>
              <w:t>,</w:t>
            </w:r>
            <w:r w:rsidRPr="006E1050">
              <w:rPr>
                <w:rFonts w:ascii="Times New Roman" w:hAnsi="Times New Roman"/>
                <w:b/>
                <w:bCs/>
                <w:color w:val="000000"/>
                <w:sz w:val="16"/>
                <w:szCs w:val="16"/>
              </w:rPr>
              <w:t>463</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7078FC1A"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3.5</w:t>
            </w:r>
            <w:r>
              <w:rPr>
                <w:rFonts w:ascii="Times New Roman" w:hAnsi="Times New Roman"/>
                <w:b/>
                <w:bCs/>
                <w:color w:val="000000"/>
                <w:sz w:val="16"/>
                <w:szCs w:val="16"/>
              </w:rPr>
              <w:t>9</w:t>
            </w:r>
          </w:p>
        </w:tc>
        <w:tc>
          <w:tcPr>
            <w:tcW w:w="1080" w:type="dxa"/>
            <w:tcBorders>
              <w:top w:val="nil"/>
              <w:left w:val="nil"/>
              <w:bottom w:val="single" w:sz="4" w:space="0" w:color="auto"/>
              <w:right w:val="single" w:sz="4" w:space="0" w:color="auto"/>
            </w:tcBorders>
            <w:shd w:val="clear" w:color="auto" w:fill="auto"/>
            <w:noWrap/>
            <w:vAlign w:val="center"/>
          </w:tcPr>
          <w:p w:rsidR="00E67570" w:rsidRPr="006E1050" w:rsidP="00671C8C" w14:paraId="6C6C7744"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5</w:t>
            </w:r>
            <w:r>
              <w:rPr>
                <w:rFonts w:ascii="Times New Roman" w:hAnsi="Times New Roman"/>
                <w:b/>
                <w:bCs/>
                <w:color w:val="000000"/>
                <w:sz w:val="16"/>
                <w:szCs w:val="16"/>
              </w:rPr>
              <w:t>,</w:t>
            </w:r>
            <w:r w:rsidRPr="006E1050">
              <w:rPr>
                <w:rFonts w:ascii="Times New Roman" w:hAnsi="Times New Roman"/>
                <w:b/>
                <w:bCs/>
                <w:color w:val="000000"/>
                <w:sz w:val="16"/>
                <w:szCs w:val="16"/>
              </w:rPr>
              <w:t>2</w:t>
            </w:r>
            <w:r>
              <w:rPr>
                <w:rFonts w:ascii="Times New Roman" w:hAnsi="Times New Roman"/>
                <w:b/>
                <w:bCs/>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1828556E"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1.77</w:t>
            </w:r>
          </w:p>
        </w:tc>
        <w:tc>
          <w:tcPr>
            <w:tcW w:w="900" w:type="dxa"/>
            <w:tcBorders>
              <w:top w:val="nil"/>
              <w:left w:val="nil"/>
              <w:bottom w:val="single" w:sz="4" w:space="0" w:color="auto"/>
              <w:right w:val="single" w:sz="4" w:space="0" w:color="auto"/>
            </w:tcBorders>
            <w:shd w:val="clear" w:color="auto" w:fill="auto"/>
            <w:noWrap/>
            <w:vAlign w:val="center"/>
          </w:tcPr>
          <w:p w:rsidR="00E67570" w:rsidRPr="006E1050" w:rsidP="00671C8C" w14:paraId="5E621BD3" w14:textId="72660670">
            <w:pPr>
              <w:jc w:val="right"/>
              <w:rPr>
                <w:rFonts w:ascii="Times New Roman" w:hAnsi="Times New Roman"/>
                <w:b/>
                <w:bCs/>
                <w:color w:val="000000"/>
                <w:sz w:val="16"/>
                <w:szCs w:val="16"/>
              </w:rPr>
            </w:pPr>
            <w:r w:rsidRPr="006E1050">
              <w:rPr>
                <w:rFonts w:ascii="Times New Roman" w:hAnsi="Times New Roman"/>
                <w:b/>
                <w:bCs/>
                <w:color w:val="000000"/>
                <w:sz w:val="16"/>
                <w:szCs w:val="16"/>
              </w:rPr>
              <w:t>9</w:t>
            </w:r>
            <w:r>
              <w:rPr>
                <w:rFonts w:ascii="Times New Roman" w:hAnsi="Times New Roman"/>
                <w:b/>
                <w:bCs/>
                <w:color w:val="000000"/>
                <w:sz w:val="16"/>
                <w:szCs w:val="16"/>
              </w:rPr>
              <w:t>,</w:t>
            </w:r>
            <w:r w:rsidRPr="006E1050">
              <w:rPr>
                <w:rFonts w:ascii="Times New Roman" w:hAnsi="Times New Roman"/>
                <w:b/>
                <w:bCs/>
                <w:color w:val="000000"/>
                <w:sz w:val="16"/>
                <w:szCs w:val="16"/>
              </w:rPr>
              <w:t>2</w:t>
            </w:r>
            <w:r>
              <w:rPr>
                <w:rFonts w:ascii="Times New Roman" w:hAnsi="Times New Roman"/>
                <w:b/>
                <w:bCs/>
                <w:color w:val="000000"/>
                <w:sz w:val="16"/>
                <w:szCs w:val="16"/>
              </w:rPr>
              <w:t>77</w:t>
            </w:r>
            <w:r w:rsidRPr="006E1050">
              <w:rPr>
                <w:rFonts w:ascii="Times New Roman" w:hAnsi="Times New Roman"/>
                <w:b/>
                <w:bCs/>
                <w:color w:val="000000"/>
                <w:sz w:val="16"/>
                <w:szCs w:val="16"/>
              </w:rPr>
              <w:t>.</w:t>
            </w:r>
            <w:r w:rsidR="00B7560A">
              <w:rPr>
                <w:rFonts w:ascii="Times New Roman" w:hAnsi="Times New Roman"/>
                <w:b/>
                <w:bCs/>
                <w:color w:val="000000"/>
                <w:sz w:val="16"/>
                <w:szCs w:val="16"/>
              </w:rPr>
              <w:t>33</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74D256B3"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265</w:t>
            </w:r>
          </w:p>
        </w:tc>
        <w:tc>
          <w:tcPr>
            <w:tcW w:w="900" w:type="dxa"/>
            <w:tcBorders>
              <w:top w:val="nil"/>
              <w:left w:val="nil"/>
              <w:bottom w:val="single" w:sz="4" w:space="0" w:color="auto"/>
              <w:right w:val="single" w:sz="4" w:space="0" w:color="auto"/>
            </w:tcBorders>
            <w:shd w:val="clear" w:color="auto" w:fill="auto"/>
            <w:noWrap/>
            <w:vAlign w:val="center"/>
          </w:tcPr>
          <w:p w:rsidR="00E67570" w:rsidRPr="006E1050" w:rsidP="00671C8C" w14:paraId="44550431" w14:textId="2F33A6EC">
            <w:pPr>
              <w:jc w:val="right"/>
              <w:rPr>
                <w:rFonts w:ascii="Times New Roman" w:hAnsi="Times New Roman"/>
                <w:b/>
                <w:bCs/>
                <w:color w:val="000000"/>
                <w:sz w:val="16"/>
                <w:szCs w:val="16"/>
              </w:rPr>
            </w:pPr>
            <w:r>
              <w:rPr>
                <w:rFonts w:ascii="Times New Roman" w:hAnsi="Times New Roman"/>
                <w:b/>
                <w:bCs/>
                <w:color w:val="000000"/>
                <w:sz w:val="16"/>
                <w:szCs w:val="16"/>
              </w:rPr>
              <w:t>9,013</w:t>
            </w:r>
          </w:p>
        </w:tc>
        <w:tc>
          <w:tcPr>
            <w:tcW w:w="1080" w:type="dxa"/>
            <w:tcBorders>
              <w:top w:val="nil"/>
              <w:left w:val="nil"/>
              <w:bottom w:val="single" w:sz="4" w:space="0" w:color="auto"/>
              <w:right w:val="single" w:sz="4" w:space="0" w:color="auto"/>
            </w:tcBorders>
            <w:shd w:val="clear" w:color="auto" w:fill="auto"/>
            <w:noWrap/>
            <w:vAlign w:val="center"/>
          </w:tcPr>
          <w:p w:rsidR="00E67570" w:rsidRPr="006E1050" w:rsidP="00671C8C" w14:paraId="0C8EACB0" w14:textId="149AB00E">
            <w:pPr>
              <w:jc w:val="right"/>
              <w:rPr>
                <w:rFonts w:ascii="Times New Roman" w:hAnsi="Times New Roman"/>
                <w:b/>
                <w:bCs/>
                <w:color w:val="000000"/>
                <w:sz w:val="16"/>
                <w:szCs w:val="16"/>
              </w:rPr>
            </w:pPr>
            <w:r>
              <w:rPr>
                <w:rFonts w:ascii="Times New Roman" w:hAnsi="Times New Roman"/>
                <w:b/>
                <w:bCs/>
                <w:color w:val="000000"/>
                <w:sz w:val="16"/>
                <w:szCs w:val="16"/>
              </w:rPr>
              <w:t>9,013</w:t>
            </w:r>
          </w:p>
        </w:tc>
      </w:tr>
      <w:tr w14:paraId="342BC3CA" w14:textId="77777777" w:rsidTr="00A83EFD">
        <w:tblPrEx>
          <w:tblW w:w="15025" w:type="dxa"/>
          <w:tblLayout w:type="fixed"/>
          <w:tblLook w:val="04A0"/>
        </w:tblPrEx>
        <w:trPr>
          <w:trHeight w:val="719"/>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4955905D"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bottom"/>
            <w:hideMark/>
          </w:tcPr>
          <w:p w:rsidR="00E67570" w:rsidRPr="00876642" w:rsidP="00671C8C" w14:paraId="72900ADC" w14:textId="7F0C4907">
            <w:pPr>
              <w:rPr>
                <w:rFonts w:ascii="Times New Roman" w:hAnsi="Times New Roman"/>
                <w:color w:val="000000"/>
                <w:sz w:val="16"/>
                <w:szCs w:val="16"/>
              </w:rPr>
            </w:pPr>
            <w:r w:rsidRPr="00876642">
              <w:rPr>
                <w:rFonts w:ascii="Times New Roman" w:hAnsi="Times New Roman"/>
                <w:color w:val="000000"/>
                <w:sz w:val="16"/>
                <w:szCs w:val="16"/>
              </w:rPr>
              <w:t xml:space="preserve">SAs must maintain a SA list and must include the </w:t>
            </w:r>
            <w:r>
              <w:rPr>
                <w:rFonts w:ascii="Times New Roman" w:hAnsi="Times New Roman"/>
                <w:color w:val="000000"/>
                <w:sz w:val="16"/>
                <w:szCs w:val="16"/>
              </w:rPr>
              <w:t>required</w:t>
            </w:r>
            <w:r w:rsidRPr="00876642">
              <w:rPr>
                <w:rFonts w:ascii="Times New Roman" w:hAnsi="Times New Roman"/>
                <w:color w:val="000000"/>
                <w:sz w:val="16"/>
                <w:szCs w:val="16"/>
              </w:rPr>
              <w:t xml:space="preserve"> information</w:t>
            </w:r>
            <w:r>
              <w:rPr>
                <w:rFonts w:ascii="Times New Roman" w:hAnsi="Times New Roman"/>
                <w:color w:val="000000"/>
                <w:sz w:val="16"/>
                <w:szCs w:val="16"/>
              </w:rPr>
              <w:t xml:space="preserve"> requested on Forms FNS-843 and FNS-844</w:t>
            </w:r>
            <w:r w:rsidR="0042749F">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AFD9A47" w14:textId="77777777">
            <w:pPr>
              <w:rPr>
                <w:rFonts w:ascii="Times New Roman" w:hAnsi="Times New Roman"/>
                <w:color w:val="000000"/>
                <w:sz w:val="16"/>
                <w:szCs w:val="16"/>
              </w:rPr>
            </w:pPr>
            <w:r w:rsidRPr="00876642">
              <w:rPr>
                <w:rFonts w:ascii="Times New Roman" w:hAnsi="Times New Roman"/>
                <w:color w:val="000000"/>
                <w:sz w:val="16"/>
                <w:szCs w:val="16"/>
              </w:rPr>
              <w:t>225.18(b)</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0E144F1E"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C2BE3A7" w14:textId="77777777">
            <w:pPr>
              <w:jc w:val="right"/>
              <w:rPr>
                <w:rFonts w:ascii="Times New Roman" w:hAnsi="Times New Roman"/>
                <w:color w:val="000000"/>
                <w:sz w:val="16"/>
                <w:szCs w:val="16"/>
              </w:rPr>
            </w:pPr>
            <w:r w:rsidRPr="00876642">
              <w:rPr>
                <w:rFonts w:ascii="Times New Roman" w:hAnsi="Times New Roman"/>
                <w:color w:val="000000"/>
                <w:sz w:val="16"/>
                <w:szCs w:val="16"/>
              </w:rPr>
              <w:t>145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AC94885" w14:textId="77777777">
            <w:pPr>
              <w:jc w:val="right"/>
              <w:rPr>
                <w:rFonts w:ascii="Times New Roman" w:hAnsi="Times New Roman"/>
                <w:color w:val="000000"/>
                <w:sz w:val="16"/>
                <w:szCs w:val="16"/>
              </w:rPr>
            </w:pPr>
            <w:r w:rsidRPr="00876642">
              <w:rPr>
                <w:rFonts w:ascii="Times New Roman" w:hAnsi="Times New Roman"/>
                <w:color w:val="000000"/>
                <w:sz w:val="16"/>
                <w:szCs w:val="16"/>
              </w:rPr>
              <w:t>7</w:t>
            </w:r>
            <w:r>
              <w:rPr>
                <w:rFonts w:ascii="Times New Roman" w:hAnsi="Times New Roman"/>
                <w:color w:val="000000"/>
                <w:sz w:val="16"/>
                <w:szCs w:val="16"/>
              </w:rPr>
              <w:t>,</w:t>
            </w:r>
            <w:r w:rsidRPr="00876642">
              <w:rPr>
                <w:rFonts w:ascii="Times New Roman" w:hAnsi="Times New Roman"/>
                <w:color w:val="000000"/>
                <w:sz w:val="16"/>
                <w:szCs w:val="16"/>
              </w:rPr>
              <w:t>685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6F001C4" w14:textId="77777777">
            <w:pPr>
              <w:jc w:val="right"/>
              <w:rPr>
                <w:rFonts w:ascii="Times New Roman" w:hAnsi="Times New Roman"/>
                <w:color w:val="000000"/>
                <w:sz w:val="16"/>
                <w:szCs w:val="16"/>
              </w:rPr>
            </w:pPr>
            <w:r w:rsidRPr="00876642">
              <w:rPr>
                <w:rFonts w:ascii="Times New Roman" w:hAnsi="Times New Roman"/>
                <w:color w:val="000000"/>
                <w:sz w:val="16"/>
                <w:szCs w:val="16"/>
              </w:rPr>
              <w:t>0.08</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08081F7" w14:textId="77777777">
            <w:pPr>
              <w:jc w:val="right"/>
              <w:rPr>
                <w:rFonts w:ascii="Times New Roman" w:hAnsi="Times New Roman"/>
                <w:color w:val="000000"/>
                <w:sz w:val="16"/>
                <w:szCs w:val="16"/>
              </w:rPr>
            </w:pPr>
            <w:r w:rsidRPr="00876642">
              <w:rPr>
                <w:rFonts w:ascii="Times New Roman" w:hAnsi="Times New Roman"/>
                <w:color w:val="000000"/>
                <w:sz w:val="16"/>
                <w:szCs w:val="16"/>
              </w:rPr>
              <w:t>64</w:t>
            </w:r>
            <w:r>
              <w:rPr>
                <w:rFonts w:ascii="Times New Roman" w:hAnsi="Times New Roman"/>
                <w:color w:val="000000"/>
                <w:sz w:val="16"/>
                <w:szCs w:val="16"/>
              </w:rPr>
              <w:t>1</w:t>
            </w:r>
            <w:r w:rsidRPr="00876642">
              <w:rPr>
                <w:rFonts w:ascii="Times New Roman" w:hAnsi="Times New Roman"/>
                <w:color w:val="000000"/>
                <w:sz w:val="16"/>
                <w:szCs w:val="16"/>
              </w:rPr>
              <w:t>.</w:t>
            </w:r>
            <w:r>
              <w:rPr>
                <w:rFonts w:ascii="Times New Roman" w:hAnsi="Times New Roman"/>
                <w:color w:val="000000"/>
                <w:sz w:val="16"/>
                <w:szCs w:val="16"/>
              </w:rPr>
              <w:t>70</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D069854"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10E9FCF" w14:textId="3467A6A2">
            <w:pPr>
              <w:jc w:val="right"/>
              <w:rPr>
                <w:rFonts w:ascii="Times New Roman" w:hAnsi="Times New Roman"/>
                <w:color w:val="000000"/>
                <w:sz w:val="16"/>
                <w:szCs w:val="16"/>
              </w:rPr>
            </w:pPr>
            <w:r>
              <w:rPr>
                <w:rFonts w:ascii="Times New Roman" w:hAnsi="Times New Roman"/>
                <w:color w:val="000000"/>
                <w:sz w:val="16"/>
                <w:szCs w:val="16"/>
              </w:rPr>
              <w:t>642</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915CB79" w14:textId="678E25C6">
            <w:pPr>
              <w:jc w:val="right"/>
              <w:rPr>
                <w:rFonts w:ascii="Times New Roman" w:hAnsi="Times New Roman"/>
                <w:color w:val="000000"/>
                <w:sz w:val="16"/>
                <w:szCs w:val="16"/>
              </w:rPr>
            </w:pPr>
            <w:r>
              <w:rPr>
                <w:rFonts w:ascii="Times New Roman" w:hAnsi="Times New Roman"/>
                <w:color w:val="000000"/>
                <w:sz w:val="16"/>
                <w:szCs w:val="16"/>
              </w:rPr>
              <w:t>642</w:t>
            </w:r>
          </w:p>
        </w:tc>
      </w:tr>
      <w:tr w14:paraId="65609572" w14:textId="77777777" w:rsidTr="00B41001">
        <w:tblPrEx>
          <w:tblW w:w="15025" w:type="dxa"/>
          <w:tblLayout w:type="fixed"/>
          <w:tblLook w:val="04A0"/>
        </w:tblPrEx>
        <w:trPr>
          <w:trHeight w:val="288"/>
        </w:trPr>
        <w:tc>
          <w:tcPr>
            <w:tcW w:w="6925" w:type="dxa"/>
            <w:gridSpan w:val="3"/>
            <w:tcBorders>
              <w:top w:val="nil"/>
              <w:left w:val="single" w:sz="4" w:space="0" w:color="auto"/>
              <w:bottom w:val="single" w:sz="4" w:space="0" w:color="auto"/>
              <w:right w:val="single" w:sz="4" w:space="0" w:color="auto"/>
            </w:tcBorders>
            <w:shd w:val="clear" w:color="auto" w:fill="auto"/>
            <w:vAlign w:val="center"/>
          </w:tcPr>
          <w:p w:rsidR="00E67570" w:rsidRPr="00876642" w:rsidP="00671C8C" w14:paraId="0E02E644" w14:textId="77777777">
            <w:pPr>
              <w:rPr>
                <w:rFonts w:ascii="Times New Roman" w:hAnsi="Times New Roman"/>
                <w:color w:val="000000"/>
                <w:sz w:val="16"/>
                <w:szCs w:val="16"/>
              </w:rPr>
            </w:pPr>
            <w:r w:rsidRPr="00876642">
              <w:rPr>
                <w:rFonts w:ascii="Times New Roman" w:hAnsi="Times New Roman"/>
                <w:b/>
                <w:bCs/>
                <w:color w:val="000000"/>
                <w:sz w:val="16"/>
                <w:szCs w:val="16"/>
              </w:rPr>
              <w:t>Total State/Local/Tribal Government Recordkeeping</w:t>
            </w:r>
          </w:p>
        </w:tc>
        <w:tc>
          <w:tcPr>
            <w:tcW w:w="1170" w:type="dxa"/>
            <w:tcBorders>
              <w:top w:val="nil"/>
              <w:left w:val="nil"/>
              <w:bottom w:val="single" w:sz="4" w:space="0" w:color="auto"/>
              <w:right w:val="single" w:sz="4" w:space="0" w:color="auto"/>
            </w:tcBorders>
            <w:shd w:val="clear" w:color="auto" w:fill="auto"/>
            <w:noWrap/>
            <w:vAlign w:val="center"/>
          </w:tcPr>
          <w:p w:rsidR="00E67570" w:rsidRPr="006E1050" w:rsidP="00671C8C" w14:paraId="204875ED"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16E0D9EB"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145</w:t>
            </w:r>
          </w:p>
        </w:tc>
        <w:tc>
          <w:tcPr>
            <w:tcW w:w="1080" w:type="dxa"/>
            <w:tcBorders>
              <w:top w:val="nil"/>
              <w:left w:val="nil"/>
              <w:bottom w:val="single" w:sz="4" w:space="0" w:color="auto"/>
              <w:right w:val="single" w:sz="4" w:space="0" w:color="auto"/>
            </w:tcBorders>
            <w:shd w:val="clear" w:color="auto" w:fill="auto"/>
            <w:noWrap/>
            <w:vAlign w:val="center"/>
          </w:tcPr>
          <w:p w:rsidR="00E67570" w:rsidRPr="006E1050" w:rsidP="00671C8C" w14:paraId="4B14D786"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7</w:t>
            </w:r>
            <w:r>
              <w:rPr>
                <w:rFonts w:ascii="Times New Roman" w:hAnsi="Times New Roman"/>
                <w:b/>
                <w:bCs/>
                <w:color w:val="000000"/>
                <w:sz w:val="16"/>
                <w:szCs w:val="16"/>
              </w:rPr>
              <w:t>,</w:t>
            </w:r>
            <w:r w:rsidRPr="006E1050">
              <w:rPr>
                <w:rFonts w:ascii="Times New Roman" w:hAnsi="Times New Roman"/>
                <w:b/>
                <w:bCs/>
                <w:color w:val="000000"/>
                <w:sz w:val="16"/>
                <w:szCs w:val="16"/>
              </w:rPr>
              <w:t>685</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799D10A2"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0.08</w:t>
            </w:r>
          </w:p>
        </w:tc>
        <w:tc>
          <w:tcPr>
            <w:tcW w:w="900" w:type="dxa"/>
            <w:tcBorders>
              <w:top w:val="nil"/>
              <w:left w:val="nil"/>
              <w:bottom w:val="single" w:sz="4" w:space="0" w:color="auto"/>
              <w:right w:val="single" w:sz="4" w:space="0" w:color="auto"/>
            </w:tcBorders>
            <w:shd w:val="clear" w:color="auto" w:fill="auto"/>
            <w:noWrap/>
            <w:vAlign w:val="center"/>
          </w:tcPr>
          <w:p w:rsidR="00E67570" w:rsidRPr="006E1050" w:rsidP="00671C8C" w14:paraId="199418B4"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641.70</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618482FC"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tcPr>
          <w:p w:rsidR="00E67570" w:rsidRPr="006E1050" w:rsidP="00671C8C" w14:paraId="33A1F655" w14:textId="7573EC9E">
            <w:pPr>
              <w:jc w:val="right"/>
              <w:rPr>
                <w:rFonts w:ascii="Times New Roman" w:hAnsi="Times New Roman"/>
                <w:b/>
                <w:bCs/>
                <w:color w:val="000000"/>
                <w:sz w:val="16"/>
                <w:szCs w:val="16"/>
              </w:rPr>
            </w:pPr>
            <w:r>
              <w:rPr>
                <w:rFonts w:ascii="Times New Roman" w:hAnsi="Times New Roman"/>
                <w:b/>
                <w:bCs/>
                <w:color w:val="000000"/>
                <w:sz w:val="16"/>
                <w:szCs w:val="16"/>
              </w:rPr>
              <w:t>642</w:t>
            </w:r>
          </w:p>
        </w:tc>
        <w:tc>
          <w:tcPr>
            <w:tcW w:w="1080" w:type="dxa"/>
            <w:tcBorders>
              <w:top w:val="nil"/>
              <w:left w:val="nil"/>
              <w:bottom w:val="single" w:sz="4" w:space="0" w:color="auto"/>
              <w:right w:val="single" w:sz="4" w:space="0" w:color="auto"/>
            </w:tcBorders>
            <w:shd w:val="clear" w:color="auto" w:fill="auto"/>
            <w:noWrap/>
            <w:vAlign w:val="center"/>
          </w:tcPr>
          <w:p w:rsidR="00E67570" w:rsidRPr="006E1050" w:rsidP="00671C8C" w14:paraId="6773ED39" w14:textId="6BE5E889">
            <w:pPr>
              <w:jc w:val="right"/>
              <w:rPr>
                <w:rFonts w:ascii="Times New Roman" w:hAnsi="Times New Roman"/>
                <w:b/>
                <w:bCs/>
                <w:color w:val="000000"/>
                <w:sz w:val="16"/>
                <w:szCs w:val="16"/>
              </w:rPr>
            </w:pPr>
            <w:r>
              <w:rPr>
                <w:rFonts w:ascii="Times New Roman" w:hAnsi="Times New Roman"/>
                <w:b/>
                <w:bCs/>
                <w:color w:val="000000"/>
                <w:sz w:val="16"/>
                <w:szCs w:val="16"/>
              </w:rPr>
              <w:t>642</w:t>
            </w:r>
          </w:p>
        </w:tc>
      </w:tr>
      <w:tr w14:paraId="7B93565E" w14:textId="77777777" w:rsidTr="00B41001">
        <w:tblPrEx>
          <w:tblW w:w="15025" w:type="dxa"/>
          <w:tblLayout w:type="fixed"/>
          <w:tblLook w:val="04A0"/>
        </w:tblPrEx>
        <w:trPr>
          <w:trHeight w:val="288"/>
        </w:trPr>
        <w:tc>
          <w:tcPr>
            <w:tcW w:w="6925" w:type="dxa"/>
            <w:gridSpan w:val="3"/>
            <w:tcBorders>
              <w:top w:val="nil"/>
              <w:left w:val="single" w:sz="4" w:space="0" w:color="auto"/>
              <w:bottom w:val="single" w:sz="4" w:space="0" w:color="auto"/>
              <w:right w:val="single" w:sz="4" w:space="0" w:color="auto"/>
            </w:tcBorders>
            <w:shd w:val="clear" w:color="auto" w:fill="auto"/>
            <w:vAlign w:val="center"/>
          </w:tcPr>
          <w:p w:rsidR="00E67570" w:rsidRPr="00876642" w:rsidP="00671C8C" w14:paraId="45522C47" w14:textId="77777777">
            <w:pPr>
              <w:rPr>
                <w:rFonts w:ascii="Times New Roman" w:hAnsi="Times New Roman"/>
                <w:color w:val="000000"/>
                <w:sz w:val="16"/>
                <w:szCs w:val="16"/>
              </w:rPr>
            </w:pPr>
            <w:r w:rsidRPr="00876642">
              <w:rPr>
                <w:rFonts w:ascii="Times New Roman" w:hAnsi="Times New Roman"/>
                <w:b/>
                <w:bCs/>
                <w:color w:val="000000"/>
                <w:sz w:val="16"/>
                <w:szCs w:val="16"/>
              </w:rPr>
              <w:t>Total Recordkeeping</w:t>
            </w:r>
          </w:p>
        </w:tc>
        <w:tc>
          <w:tcPr>
            <w:tcW w:w="1170" w:type="dxa"/>
            <w:tcBorders>
              <w:top w:val="nil"/>
              <w:left w:val="nil"/>
              <w:bottom w:val="single" w:sz="4" w:space="0" w:color="auto"/>
              <w:right w:val="single" w:sz="4" w:space="0" w:color="auto"/>
            </w:tcBorders>
            <w:shd w:val="clear" w:color="auto" w:fill="auto"/>
            <w:noWrap/>
            <w:vAlign w:val="center"/>
          </w:tcPr>
          <w:p w:rsidR="00E67570" w:rsidRPr="006E1050" w:rsidP="00671C8C" w14:paraId="7C796EEA"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59A10004"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145</w:t>
            </w:r>
          </w:p>
        </w:tc>
        <w:tc>
          <w:tcPr>
            <w:tcW w:w="1080" w:type="dxa"/>
            <w:tcBorders>
              <w:top w:val="nil"/>
              <w:left w:val="nil"/>
              <w:bottom w:val="single" w:sz="4" w:space="0" w:color="auto"/>
              <w:right w:val="single" w:sz="4" w:space="0" w:color="auto"/>
            </w:tcBorders>
            <w:shd w:val="clear" w:color="auto" w:fill="auto"/>
            <w:noWrap/>
            <w:vAlign w:val="center"/>
          </w:tcPr>
          <w:p w:rsidR="00E67570" w:rsidRPr="006E1050" w:rsidP="00671C8C" w14:paraId="108A80C8"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7</w:t>
            </w:r>
            <w:r>
              <w:rPr>
                <w:rFonts w:ascii="Times New Roman" w:hAnsi="Times New Roman"/>
                <w:b/>
                <w:bCs/>
                <w:color w:val="000000"/>
                <w:sz w:val="16"/>
                <w:szCs w:val="16"/>
              </w:rPr>
              <w:t>,</w:t>
            </w:r>
            <w:r w:rsidRPr="006E1050">
              <w:rPr>
                <w:rFonts w:ascii="Times New Roman" w:hAnsi="Times New Roman"/>
                <w:b/>
                <w:bCs/>
                <w:color w:val="000000"/>
                <w:sz w:val="16"/>
                <w:szCs w:val="16"/>
              </w:rPr>
              <w:t>685</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2C7B3EA4"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0.08</w:t>
            </w:r>
          </w:p>
        </w:tc>
        <w:tc>
          <w:tcPr>
            <w:tcW w:w="900" w:type="dxa"/>
            <w:tcBorders>
              <w:top w:val="nil"/>
              <w:left w:val="nil"/>
              <w:bottom w:val="single" w:sz="4" w:space="0" w:color="auto"/>
              <w:right w:val="single" w:sz="4" w:space="0" w:color="auto"/>
            </w:tcBorders>
            <w:shd w:val="clear" w:color="auto" w:fill="auto"/>
            <w:noWrap/>
            <w:vAlign w:val="center"/>
          </w:tcPr>
          <w:p w:rsidR="00E67570" w:rsidRPr="006E1050" w:rsidP="00671C8C" w14:paraId="0F1EE615"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641.70</w:t>
            </w:r>
          </w:p>
        </w:tc>
        <w:tc>
          <w:tcPr>
            <w:tcW w:w="990" w:type="dxa"/>
            <w:tcBorders>
              <w:top w:val="nil"/>
              <w:left w:val="nil"/>
              <w:bottom w:val="single" w:sz="4" w:space="0" w:color="auto"/>
              <w:right w:val="single" w:sz="4" w:space="0" w:color="auto"/>
            </w:tcBorders>
            <w:shd w:val="clear" w:color="auto" w:fill="auto"/>
            <w:noWrap/>
            <w:vAlign w:val="center"/>
          </w:tcPr>
          <w:p w:rsidR="00E67570" w:rsidRPr="006E1050" w:rsidP="00671C8C" w14:paraId="2F6D7890"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tcPr>
          <w:p w:rsidR="00E67570" w:rsidRPr="006E1050" w:rsidP="00671C8C" w14:paraId="15B70A5A"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641.70</w:t>
            </w:r>
          </w:p>
        </w:tc>
        <w:tc>
          <w:tcPr>
            <w:tcW w:w="1080" w:type="dxa"/>
            <w:tcBorders>
              <w:top w:val="nil"/>
              <w:left w:val="nil"/>
              <w:bottom w:val="single" w:sz="4" w:space="0" w:color="auto"/>
              <w:right w:val="single" w:sz="4" w:space="0" w:color="auto"/>
            </w:tcBorders>
            <w:shd w:val="clear" w:color="auto" w:fill="auto"/>
            <w:noWrap/>
            <w:vAlign w:val="center"/>
          </w:tcPr>
          <w:p w:rsidR="00E67570" w:rsidRPr="006E1050" w:rsidP="00671C8C" w14:paraId="2A14D099" w14:textId="77777777">
            <w:pPr>
              <w:jc w:val="right"/>
              <w:rPr>
                <w:rFonts w:ascii="Times New Roman" w:hAnsi="Times New Roman"/>
                <w:b/>
                <w:bCs/>
                <w:color w:val="000000"/>
                <w:sz w:val="16"/>
                <w:szCs w:val="16"/>
              </w:rPr>
            </w:pPr>
            <w:r w:rsidRPr="006E1050">
              <w:rPr>
                <w:rFonts w:ascii="Times New Roman" w:hAnsi="Times New Roman"/>
                <w:b/>
                <w:bCs/>
                <w:color w:val="000000"/>
                <w:sz w:val="16"/>
                <w:szCs w:val="16"/>
              </w:rPr>
              <w:t>641.70</w:t>
            </w:r>
          </w:p>
        </w:tc>
      </w:tr>
      <w:tr w14:paraId="5F9DB27B" w14:textId="77777777" w:rsidTr="00B41001">
        <w:tblPrEx>
          <w:tblW w:w="15025" w:type="dxa"/>
          <w:tblLayout w:type="fixed"/>
          <w:tblLook w:val="04A0"/>
        </w:tblPrEx>
        <w:trPr>
          <w:trHeight w:val="98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E67570" w:rsidRPr="00876642" w:rsidP="00671C8C" w14:paraId="5E655DB7" w14:textId="77777777">
            <w:pPr>
              <w:rPr>
                <w:rFonts w:ascii="Times New Roman" w:hAnsi="Times New Roman"/>
                <w:color w:val="000000"/>
                <w:sz w:val="16"/>
                <w:szCs w:val="16"/>
              </w:rPr>
            </w:pPr>
            <w:r w:rsidRPr="00876642">
              <w:rPr>
                <w:rFonts w:ascii="Times New Roman" w:hAnsi="Times New Roman"/>
                <w:color w:val="000000"/>
                <w:sz w:val="16"/>
                <w:szCs w:val="16"/>
              </w:rPr>
              <w:t>State/Local/Tribal Governments</w:t>
            </w:r>
          </w:p>
        </w:tc>
        <w:tc>
          <w:tcPr>
            <w:tcW w:w="3960" w:type="dxa"/>
            <w:tcBorders>
              <w:top w:val="nil"/>
              <w:left w:val="nil"/>
              <w:bottom w:val="single" w:sz="4" w:space="0" w:color="auto"/>
              <w:right w:val="single" w:sz="4" w:space="0" w:color="auto"/>
            </w:tcBorders>
            <w:shd w:val="clear" w:color="auto" w:fill="auto"/>
            <w:vAlign w:val="center"/>
            <w:hideMark/>
          </w:tcPr>
          <w:p w:rsidR="00E67570" w:rsidRPr="00876642" w:rsidP="00671C8C" w14:paraId="71C92233" w14:textId="77777777">
            <w:pPr>
              <w:rPr>
                <w:rFonts w:ascii="Times New Roman" w:hAnsi="Times New Roman"/>
                <w:color w:val="000000"/>
                <w:sz w:val="16"/>
                <w:szCs w:val="16"/>
              </w:rPr>
            </w:pPr>
            <w:r w:rsidRPr="00876642">
              <w:rPr>
                <w:rFonts w:ascii="Times New Roman" w:hAnsi="Times New Roman"/>
                <w:color w:val="000000"/>
                <w:sz w:val="16"/>
                <w:szCs w:val="16"/>
              </w:rPr>
              <w:t>The CSA must conduct a full review at the MSSO headquarters and financial records center. The CSA must coordinate the timing of reviews and make copies of monitoring reports and findings available to all other State agencies that have agreements with the MSSO</w:t>
            </w:r>
            <w:r>
              <w:rPr>
                <w:rFonts w:ascii="Times New Roman" w:hAnsi="Times New Roman"/>
                <w:color w:val="000000"/>
                <w:sz w:val="16"/>
                <w:szCs w:val="16"/>
              </w:rPr>
              <w:t>.</w:t>
            </w:r>
          </w:p>
        </w:tc>
        <w:tc>
          <w:tcPr>
            <w:tcW w:w="1530" w:type="dxa"/>
            <w:tcBorders>
              <w:top w:val="nil"/>
              <w:left w:val="nil"/>
              <w:bottom w:val="single" w:sz="4" w:space="0" w:color="auto"/>
              <w:right w:val="single" w:sz="4" w:space="0" w:color="auto"/>
            </w:tcBorders>
            <w:shd w:val="clear" w:color="auto" w:fill="auto"/>
            <w:vAlign w:val="center"/>
            <w:hideMark/>
          </w:tcPr>
          <w:p w:rsidR="00E67570" w:rsidRPr="00876642" w:rsidP="00671C8C" w14:paraId="4C31EDDF" w14:textId="77777777">
            <w:pPr>
              <w:rPr>
                <w:rFonts w:ascii="Times New Roman" w:hAnsi="Times New Roman"/>
                <w:color w:val="000000"/>
                <w:sz w:val="16"/>
                <w:szCs w:val="16"/>
              </w:rPr>
            </w:pPr>
            <w:r w:rsidRPr="00876642">
              <w:rPr>
                <w:rFonts w:ascii="Times New Roman" w:hAnsi="Times New Roman"/>
                <w:color w:val="000000"/>
                <w:sz w:val="16"/>
                <w:szCs w:val="16"/>
              </w:rPr>
              <w:t>225.6(n)(</w:t>
            </w:r>
            <w:r>
              <w:rPr>
                <w:rFonts w:ascii="Times New Roman" w:hAnsi="Times New Roman"/>
                <w:color w:val="000000"/>
                <w:sz w:val="16"/>
                <w:szCs w:val="16"/>
              </w:rPr>
              <w:t>2)(iii)</w:t>
            </w:r>
          </w:p>
        </w:tc>
        <w:tc>
          <w:tcPr>
            <w:tcW w:w="117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327F5ADB" w14:textId="77777777">
            <w:pPr>
              <w:jc w:val="right"/>
              <w:rPr>
                <w:rFonts w:ascii="Times New Roman" w:hAnsi="Times New Roman"/>
                <w:color w:val="000000"/>
                <w:sz w:val="16"/>
                <w:szCs w:val="16"/>
              </w:rPr>
            </w:pPr>
            <w:r w:rsidRPr="00876642">
              <w:rPr>
                <w:rFonts w:ascii="Times New Roman" w:hAnsi="Times New Roman"/>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ACD4B0A" w14:textId="77777777">
            <w:pPr>
              <w:jc w:val="right"/>
              <w:rPr>
                <w:rFonts w:ascii="Times New Roman" w:hAnsi="Times New Roman"/>
                <w:color w:val="000000"/>
                <w:sz w:val="16"/>
                <w:szCs w:val="16"/>
              </w:rPr>
            </w:pPr>
            <w:r w:rsidRPr="00876642">
              <w:rPr>
                <w:rFonts w:ascii="Times New Roman" w:hAnsi="Times New Roman"/>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10C4A36A" w14:textId="77777777">
            <w:pPr>
              <w:jc w:val="right"/>
              <w:rPr>
                <w:rFonts w:ascii="Times New Roman" w:hAnsi="Times New Roman"/>
                <w:color w:val="000000"/>
                <w:sz w:val="16"/>
                <w:szCs w:val="16"/>
              </w:rPr>
            </w:pPr>
            <w:r w:rsidRPr="00876642">
              <w:rPr>
                <w:rFonts w:ascii="Times New Roman" w:hAnsi="Times New Roman"/>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2BDD8BF" w14:textId="77777777">
            <w:pPr>
              <w:jc w:val="right"/>
              <w:rPr>
                <w:rFonts w:ascii="Times New Roman" w:hAnsi="Times New Roman"/>
                <w:color w:val="000000"/>
                <w:sz w:val="16"/>
                <w:szCs w:val="16"/>
              </w:rPr>
            </w:pPr>
            <w:r w:rsidRPr="00876642">
              <w:rPr>
                <w:rFonts w:ascii="Times New Roman" w:hAnsi="Times New Roman"/>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2830FCEB"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7A637B90" w14:textId="77777777">
            <w:pPr>
              <w:jc w:val="right"/>
              <w:rPr>
                <w:rFonts w:ascii="Times New Roman" w:hAnsi="Times New Roman"/>
                <w:color w:val="000000"/>
                <w:sz w:val="16"/>
                <w:szCs w:val="16"/>
              </w:rPr>
            </w:pPr>
            <w:r w:rsidRPr="00876642">
              <w:rPr>
                <w:rFonts w:ascii="Times New Roman" w:hAnsi="Times New Roman"/>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55884C5B"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hideMark/>
          </w:tcPr>
          <w:p w:rsidR="00E67570" w:rsidRPr="00876642" w:rsidP="00671C8C" w14:paraId="68E62170" w14:textId="77777777">
            <w:pPr>
              <w:jc w:val="right"/>
              <w:rPr>
                <w:rFonts w:ascii="Times New Roman" w:hAnsi="Times New Roman"/>
                <w:color w:val="000000"/>
                <w:sz w:val="16"/>
                <w:szCs w:val="16"/>
              </w:rPr>
            </w:pPr>
            <w:r w:rsidRPr="00876642">
              <w:rPr>
                <w:rFonts w:ascii="Times New Roman" w:hAnsi="Times New Roman"/>
                <w:color w:val="000000"/>
                <w:sz w:val="16"/>
                <w:szCs w:val="16"/>
              </w:rPr>
              <w:t>39.75</w:t>
            </w:r>
          </w:p>
        </w:tc>
      </w:tr>
      <w:tr w14:paraId="6D18D7E5" w14:textId="77777777" w:rsidTr="00B41001">
        <w:tblPrEx>
          <w:tblW w:w="15025" w:type="dxa"/>
          <w:tblLayout w:type="fixed"/>
          <w:tblLook w:val="04A0"/>
        </w:tblPrEx>
        <w:trPr>
          <w:trHeight w:val="288"/>
        </w:trPr>
        <w:tc>
          <w:tcPr>
            <w:tcW w:w="6925" w:type="dxa"/>
            <w:gridSpan w:val="3"/>
            <w:tcBorders>
              <w:top w:val="nil"/>
              <w:left w:val="single" w:sz="4" w:space="0" w:color="auto"/>
              <w:bottom w:val="single" w:sz="4" w:space="0" w:color="auto"/>
              <w:right w:val="single" w:sz="4" w:space="0" w:color="auto"/>
            </w:tcBorders>
            <w:shd w:val="clear" w:color="auto" w:fill="auto"/>
            <w:vAlign w:val="center"/>
          </w:tcPr>
          <w:p w:rsidR="00E67570" w:rsidRPr="00876642" w:rsidP="00671C8C" w14:paraId="3FD50EFF" w14:textId="77777777">
            <w:pPr>
              <w:rPr>
                <w:rFonts w:ascii="Times New Roman" w:hAnsi="Times New Roman"/>
                <w:color w:val="000000"/>
                <w:sz w:val="16"/>
                <w:szCs w:val="16"/>
              </w:rPr>
            </w:pPr>
            <w:r>
              <w:rPr>
                <w:rFonts w:ascii="Times New Roman" w:hAnsi="Times New Roman"/>
                <w:b/>
                <w:bCs/>
                <w:color w:val="000000"/>
                <w:sz w:val="16"/>
                <w:szCs w:val="16"/>
              </w:rPr>
              <w:t>Total State/Local/Tribal Government Public Disclosure</w:t>
            </w:r>
          </w:p>
        </w:tc>
        <w:tc>
          <w:tcPr>
            <w:tcW w:w="1170" w:type="dxa"/>
            <w:tcBorders>
              <w:top w:val="nil"/>
              <w:left w:val="nil"/>
              <w:bottom w:val="single" w:sz="4" w:space="0" w:color="auto"/>
              <w:right w:val="single" w:sz="4" w:space="0" w:color="auto"/>
            </w:tcBorders>
            <w:shd w:val="clear" w:color="auto" w:fill="auto"/>
            <w:noWrap/>
            <w:vAlign w:val="center"/>
          </w:tcPr>
          <w:p w:rsidR="00E67570" w:rsidRPr="00876642" w:rsidP="00671C8C" w14:paraId="6BAD1F35" w14:textId="77777777">
            <w:pPr>
              <w:jc w:val="right"/>
              <w:rPr>
                <w:rFonts w:ascii="Times New Roman" w:hAnsi="Times New Roman"/>
                <w:color w:val="000000"/>
                <w:sz w:val="16"/>
                <w:szCs w:val="16"/>
              </w:rPr>
            </w:pPr>
            <w:r>
              <w:rPr>
                <w:rFonts w:ascii="Times New Roman" w:hAnsi="Times New Roman"/>
                <w:b/>
                <w:bCs/>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tcPr>
          <w:p w:rsidR="00E67570" w:rsidRPr="00876642" w:rsidP="00671C8C" w14:paraId="6B931489" w14:textId="77777777">
            <w:pPr>
              <w:jc w:val="right"/>
              <w:rPr>
                <w:rFonts w:ascii="Times New Roman" w:hAnsi="Times New Roman"/>
                <w:color w:val="000000"/>
                <w:sz w:val="16"/>
                <w:szCs w:val="16"/>
              </w:rPr>
            </w:pPr>
            <w:r>
              <w:rPr>
                <w:rFonts w:ascii="Times New Roman" w:hAnsi="Times New Roman"/>
                <w:b/>
                <w:bCs/>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tcPr>
          <w:p w:rsidR="00E67570" w:rsidRPr="00876642" w:rsidP="00671C8C" w14:paraId="0487B559" w14:textId="77777777">
            <w:pPr>
              <w:jc w:val="right"/>
              <w:rPr>
                <w:rFonts w:ascii="Times New Roman" w:hAnsi="Times New Roman"/>
                <w:color w:val="000000"/>
                <w:sz w:val="16"/>
                <w:szCs w:val="16"/>
              </w:rPr>
            </w:pPr>
            <w:r>
              <w:rPr>
                <w:rFonts w:ascii="Times New Roman" w:hAnsi="Times New Roman"/>
                <w:b/>
                <w:bCs/>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tcPr>
          <w:p w:rsidR="00E67570" w:rsidRPr="00876642" w:rsidP="00671C8C" w14:paraId="6544C842" w14:textId="77777777">
            <w:pPr>
              <w:jc w:val="right"/>
              <w:rPr>
                <w:rFonts w:ascii="Times New Roman" w:hAnsi="Times New Roman"/>
                <w:color w:val="000000"/>
                <w:sz w:val="16"/>
                <w:szCs w:val="16"/>
              </w:rPr>
            </w:pPr>
            <w:r>
              <w:rPr>
                <w:rFonts w:ascii="Times New Roman" w:hAnsi="Times New Roman"/>
                <w:b/>
                <w:bCs/>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tcPr>
          <w:p w:rsidR="00E67570" w:rsidRPr="00876642" w:rsidP="00671C8C" w14:paraId="1AC37D45" w14:textId="77777777">
            <w:pPr>
              <w:jc w:val="right"/>
              <w:rPr>
                <w:rFonts w:ascii="Times New Roman" w:hAnsi="Times New Roman"/>
                <w:color w:val="000000"/>
                <w:sz w:val="16"/>
                <w:szCs w:val="16"/>
              </w:rPr>
            </w:pPr>
            <w:r>
              <w:rPr>
                <w:rFonts w:ascii="Times New Roman" w:hAnsi="Times New Roman"/>
                <w:b/>
                <w:bCs/>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tcPr>
          <w:p w:rsidR="00E67570" w:rsidRPr="00876642" w:rsidP="00671C8C" w14:paraId="58A98C1E" w14:textId="77777777">
            <w:pPr>
              <w:jc w:val="right"/>
              <w:rPr>
                <w:rFonts w:ascii="Times New Roman" w:hAnsi="Times New Roman"/>
                <w:color w:val="000000"/>
                <w:sz w:val="16"/>
                <w:szCs w:val="16"/>
              </w:rPr>
            </w:pPr>
            <w:r>
              <w:rPr>
                <w:rFonts w:ascii="Times New Roman" w:hAnsi="Times New Roman"/>
                <w:b/>
                <w:bCs/>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tcPr>
          <w:p w:rsidR="00E67570" w:rsidRPr="00876642" w:rsidP="00671C8C" w14:paraId="7B7142BF" w14:textId="77777777">
            <w:pPr>
              <w:jc w:val="right"/>
              <w:rPr>
                <w:rFonts w:ascii="Times New Roman" w:hAnsi="Times New Roman"/>
                <w:color w:val="000000"/>
                <w:sz w:val="16"/>
                <w:szCs w:val="16"/>
              </w:rPr>
            </w:pPr>
            <w:r>
              <w:rPr>
                <w:rFonts w:ascii="Times New Roman" w:hAnsi="Times New Roman"/>
                <w:b/>
                <w:bCs/>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tcPr>
          <w:p w:rsidR="00E67570" w:rsidRPr="00876642" w:rsidP="00671C8C" w14:paraId="431A9026" w14:textId="77777777">
            <w:pPr>
              <w:jc w:val="right"/>
              <w:rPr>
                <w:rFonts w:ascii="Times New Roman" w:hAnsi="Times New Roman"/>
                <w:color w:val="000000"/>
                <w:sz w:val="16"/>
                <w:szCs w:val="16"/>
              </w:rPr>
            </w:pPr>
            <w:r>
              <w:rPr>
                <w:rFonts w:ascii="Times New Roman" w:hAnsi="Times New Roman"/>
                <w:b/>
                <w:bCs/>
                <w:color w:val="000000"/>
                <w:sz w:val="16"/>
                <w:szCs w:val="16"/>
              </w:rPr>
              <w:t>39.75</w:t>
            </w:r>
          </w:p>
        </w:tc>
      </w:tr>
      <w:tr w14:paraId="34534B21" w14:textId="77777777" w:rsidTr="00B41001">
        <w:tblPrEx>
          <w:tblW w:w="15025" w:type="dxa"/>
          <w:tblLayout w:type="fixed"/>
          <w:tblLook w:val="04A0"/>
        </w:tblPrEx>
        <w:trPr>
          <w:trHeight w:val="288"/>
        </w:trPr>
        <w:tc>
          <w:tcPr>
            <w:tcW w:w="6925" w:type="dxa"/>
            <w:gridSpan w:val="3"/>
            <w:tcBorders>
              <w:top w:val="nil"/>
              <w:left w:val="single" w:sz="4" w:space="0" w:color="auto"/>
              <w:bottom w:val="single" w:sz="4" w:space="0" w:color="auto"/>
              <w:right w:val="single" w:sz="4" w:space="0" w:color="auto"/>
            </w:tcBorders>
            <w:shd w:val="clear" w:color="auto" w:fill="auto"/>
            <w:vAlign w:val="center"/>
          </w:tcPr>
          <w:p w:rsidR="00E67570" w:rsidRPr="00876642" w:rsidP="00671C8C" w14:paraId="6D1F6114" w14:textId="77777777">
            <w:pPr>
              <w:rPr>
                <w:rFonts w:ascii="Times New Roman" w:hAnsi="Times New Roman"/>
                <w:color w:val="000000"/>
                <w:sz w:val="16"/>
                <w:szCs w:val="16"/>
              </w:rPr>
            </w:pPr>
            <w:r>
              <w:rPr>
                <w:rFonts w:ascii="Times New Roman" w:hAnsi="Times New Roman"/>
                <w:b/>
                <w:bCs/>
                <w:color w:val="000000"/>
                <w:sz w:val="16"/>
                <w:szCs w:val="16"/>
              </w:rPr>
              <w:t>Total Public Disclosure</w:t>
            </w:r>
          </w:p>
        </w:tc>
        <w:tc>
          <w:tcPr>
            <w:tcW w:w="1170" w:type="dxa"/>
            <w:tcBorders>
              <w:top w:val="nil"/>
              <w:left w:val="nil"/>
              <w:bottom w:val="single" w:sz="4" w:space="0" w:color="auto"/>
              <w:right w:val="single" w:sz="4" w:space="0" w:color="auto"/>
            </w:tcBorders>
            <w:shd w:val="clear" w:color="auto" w:fill="auto"/>
            <w:noWrap/>
            <w:vAlign w:val="center"/>
          </w:tcPr>
          <w:p w:rsidR="00E67570" w:rsidRPr="00876642" w:rsidP="00671C8C" w14:paraId="67DC23E4" w14:textId="77777777">
            <w:pPr>
              <w:jc w:val="right"/>
              <w:rPr>
                <w:rFonts w:ascii="Times New Roman" w:hAnsi="Times New Roman"/>
                <w:color w:val="000000"/>
                <w:sz w:val="16"/>
                <w:szCs w:val="16"/>
              </w:rPr>
            </w:pPr>
            <w:r>
              <w:rPr>
                <w:rFonts w:ascii="Times New Roman" w:hAnsi="Times New Roman"/>
                <w:b/>
                <w:bCs/>
                <w:color w:val="000000"/>
                <w:sz w:val="16"/>
                <w:szCs w:val="16"/>
              </w:rPr>
              <w:t>53</w:t>
            </w:r>
          </w:p>
        </w:tc>
        <w:tc>
          <w:tcPr>
            <w:tcW w:w="990" w:type="dxa"/>
            <w:tcBorders>
              <w:top w:val="nil"/>
              <w:left w:val="nil"/>
              <w:bottom w:val="single" w:sz="4" w:space="0" w:color="auto"/>
              <w:right w:val="single" w:sz="4" w:space="0" w:color="auto"/>
            </w:tcBorders>
            <w:shd w:val="clear" w:color="auto" w:fill="auto"/>
            <w:noWrap/>
            <w:vAlign w:val="center"/>
          </w:tcPr>
          <w:p w:rsidR="00E67570" w:rsidRPr="00876642" w:rsidP="00671C8C" w14:paraId="0359C3C3" w14:textId="77777777">
            <w:pPr>
              <w:jc w:val="right"/>
              <w:rPr>
                <w:rFonts w:ascii="Times New Roman" w:hAnsi="Times New Roman"/>
                <w:color w:val="000000"/>
                <w:sz w:val="16"/>
                <w:szCs w:val="16"/>
              </w:rPr>
            </w:pPr>
            <w:r>
              <w:rPr>
                <w:rFonts w:ascii="Times New Roman" w:hAnsi="Times New Roman"/>
                <w:b/>
                <w:bCs/>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tcPr>
          <w:p w:rsidR="00E67570" w:rsidRPr="00876642" w:rsidP="00671C8C" w14:paraId="25B7D2D4" w14:textId="77777777">
            <w:pPr>
              <w:jc w:val="right"/>
              <w:rPr>
                <w:rFonts w:ascii="Times New Roman" w:hAnsi="Times New Roman"/>
                <w:color w:val="000000"/>
                <w:sz w:val="16"/>
                <w:szCs w:val="16"/>
              </w:rPr>
            </w:pPr>
            <w:r>
              <w:rPr>
                <w:rFonts w:ascii="Times New Roman" w:hAnsi="Times New Roman"/>
                <w:b/>
                <w:bCs/>
                <w:color w:val="000000"/>
                <w:sz w:val="16"/>
                <w:szCs w:val="16"/>
              </w:rPr>
              <w:t>159</w:t>
            </w:r>
          </w:p>
        </w:tc>
        <w:tc>
          <w:tcPr>
            <w:tcW w:w="990" w:type="dxa"/>
            <w:tcBorders>
              <w:top w:val="nil"/>
              <w:left w:val="nil"/>
              <w:bottom w:val="single" w:sz="4" w:space="0" w:color="auto"/>
              <w:right w:val="single" w:sz="4" w:space="0" w:color="auto"/>
            </w:tcBorders>
            <w:shd w:val="clear" w:color="auto" w:fill="auto"/>
            <w:noWrap/>
            <w:vAlign w:val="center"/>
          </w:tcPr>
          <w:p w:rsidR="00E67570" w:rsidRPr="00876642" w:rsidP="00671C8C" w14:paraId="181FD154" w14:textId="77777777">
            <w:pPr>
              <w:jc w:val="right"/>
              <w:rPr>
                <w:rFonts w:ascii="Times New Roman" w:hAnsi="Times New Roman"/>
                <w:color w:val="000000"/>
                <w:sz w:val="16"/>
                <w:szCs w:val="16"/>
              </w:rPr>
            </w:pPr>
            <w:r>
              <w:rPr>
                <w:rFonts w:ascii="Times New Roman" w:hAnsi="Times New Roman"/>
                <w:b/>
                <w:bCs/>
                <w:color w:val="000000"/>
                <w:sz w:val="16"/>
                <w:szCs w:val="16"/>
              </w:rPr>
              <w:t>0.25</w:t>
            </w:r>
          </w:p>
        </w:tc>
        <w:tc>
          <w:tcPr>
            <w:tcW w:w="900" w:type="dxa"/>
            <w:tcBorders>
              <w:top w:val="nil"/>
              <w:left w:val="nil"/>
              <w:bottom w:val="single" w:sz="4" w:space="0" w:color="auto"/>
              <w:right w:val="single" w:sz="4" w:space="0" w:color="auto"/>
            </w:tcBorders>
            <w:shd w:val="clear" w:color="auto" w:fill="auto"/>
            <w:noWrap/>
            <w:vAlign w:val="center"/>
          </w:tcPr>
          <w:p w:rsidR="00E67570" w:rsidRPr="00876642" w:rsidP="00671C8C" w14:paraId="17AE53D7" w14:textId="77777777">
            <w:pPr>
              <w:jc w:val="right"/>
              <w:rPr>
                <w:rFonts w:ascii="Times New Roman" w:hAnsi="Times New Roman"/>
                <w:color w:val="000000"/>
                <w:sz w:val="16"/>
                <w:szCs w:val="16"/>
              </w:rPr>
            </w:pPr>
            <w:r>
              <w:rPr>
                <w:rFonts w:ascii="Times New Roman" w:hAnsi="Times New Roman"/>
                <w:b/>
                <w:bCs/>
                <w:color w:val="000000"/>
                <w:sz w:val="16"/>
                <w:szCs w:val="16"/>
              </w:rPr>
              <w:t>39.75</w:t>
            </w:r>
          </w:p>
        </w:tc>
        <w:tc>
          <w:tcPr>
            <w:tcW w:w="990" w:type="dxa"/>
            <w:tcBorders>
              <w:top w:val="nil"/>
              <w:left w:val="nil"/>
              <w:bottom w:val="single" w:sz="4" w:space="0" w:color="auto"/>
              <w:right w:val="single" w:sz="4" w:space="0" w:color="auto"/>
            </w:tcBorders>
            <w:shd w:val="clear" w:color="auto" w:fill="auto"/>
            <w:noWrap/>
            <w:vAlign w:val="center"/>
          </w:tcPr>
          <w:p w:rsidR="00E67570" w:rsidRPr="00876642" w:rsidP="00671C8C" w14:paraId="15D32E28" w14:textId="77777777">
            <w:pPr>
              <w:jc w:val="right"/>
              <w:rPr>
                <w:rFonts w:ascii="Times New Roman" w:hAnsi="Times New Roman"/>
                <w:color w:val="000000"/>
                <w:sz w:val="16"/>
                <w:szCs w:val="16"/>
              </w:rPr>
            </w:pPr>
            <w:r>
              <w:rPr>
                <w:rFonts w:ascii="Times New Roman" w:hAnsi="Times New Roman"/>
                <w:b/>
                <w:bCs/>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center"/>
          </w:tcPr>
          <w:p w:rsidR="00E67570" w:rsidRPr="00876642" w:rsidP="00671C8C" w14:paraId="619E8035" w14:textId="77777777">
            <w:pPr>
              <w:jc w:val="right"/>
              <w:rPr>
                <w:rFonts w:ascii="Times New Roman" w:hAnsi="Times New Roman"/>
                <w:color w:val="000000"/>
                <w:sz w:val="16"/>
                <w:szCs w:val="16"/>
              </w:rPr>
            </w:pPr>
            <w:r>
              <w:rPr>
                <w:rFonts w:ascii="Times New Roman" w:hAnsi="Times New Roman"/>
                <w:b/>
                <w:bCs/>
                <w:color w:val="000000"/>
                <w:sz w:val="16"/>
                <w:szCs w:val="16"/>
              </w:rPr>
              <w:t>39.75</w:t>
            </w:r>
          </w:p>
        </w:tc>
        <w:tc>
          <w:tcPr>
            <w:tcW w:w="1080" w:type="dxa"/>
            <w:tcBorders>
              <w:top w:val="nil"/>
              <w:left w:val="nil"/>
              <w:bottom w:val="single" w:sz="4" w:space="0" w:color="auto"/>
              <w:right w:val="single" w:sz="4" w:space="0" w:color="auto"/>
            </w:tcBorders>
            <w:shd w:val="clear" w:color="auto" w:fill="auto"/>
            <w:noWrap/>
            <w:vAlign w:val="center"/>
          </w:tcPr>
          <w:p w:rsidR="00E67570" w:rsidRPr="00876642" w:rsidP="00671C8C" w14:paraId="18A95CA1" w14:textId="77777777">
            <w:pPr>
              <w:jc w:val="right"/>
              <w:rPr>
                <w:rFonts w:ascii="Times New Roman" w:hAnsi="Times New Roman"/>
                <w:color w:val="000000"/>
                <w:sz w:val="16"/>
                <w:szCs w:val="16"/>
              </w:rPr>
            </w:pPr>
            <w:r>
              <w:rPr>
                <w:rFonts w:ascii="Times New Roman" w:hAnsi="Times New Roman"/>
                <w:b/>
                <w:bCs/>
                <w:color w:val="000000"/>
                <w:sz w:val="16"/>
                <w:szCs w:val="16"/>
              </w:rPr>
              <w:t>39.75</w:t>
            </w:r>
          </w:p>
        </w:tc>
      </w:tr>
      <w:tr w14:paraId="4B2A23FB" w14:textId="77777777" w:rsidTr="00A83EFD">
        <w:tblPrEx>
          <w:tblW w:w="15025" w:type="dxa"/>
          <w:tblLayout w:type="fixed"/>
          <w:tblLook w:val="04A0"/>
        </w:tblPrEx>
        <w:trPr>
          <w:trHeight w:val="593"/>
        </w:trPr>
        <w:tc>
          <w:tcPr>
            <w:tcW w:w="6925" w:type="dxa"/>
            <w:gridSpan w:val="3"/>
            <w:tcBorders>
              <w:top w:val="nil"/>
              <w:left w:val="single" w:sz="4" w:space="0" w:color="auto"/>
              <w:bottom w:val="single" w:sz="4" w:space="0" w:color="auto"/>
              <w:right w:val="single" w:sz="4" w:space="0" w:color="auto"/>
            </w:tcBorders>
            <w:shd w:val="clear" w:color="auto" w:fill="auto"/>
            <w:vAlign w:val="center"/>
          </w:tcPr>
          <w:p w:rsidR="00E67570" w:rsidRPr="00876642" w:rsidP="00671C8C" w14:paraId="7A760521" w14:textId="77777777">
            <w:pPr>
              <w:rPr>
                <w:rFonts w:ascii="Times New Roman" w:hAnsi="Times New Roman"/>
                <w:color w:val="000000"/>
                <w:sz w:val="16"/>
                <w:szCs w:val="16"/>
              </w:rPr>
            </w:pPr>
            <w:r>
              <w:rPr>
                <w:rFonts w:ascii="Times New Roman" w:hAnsi="Times New Roman"/>
                <w:b/>
                <w:bCs/>
                <w:color w:val="000000"/>
                <w:sz w:val="16"/>
                <w:szCs w:val="16"/>
              </w:rPr>
              <w:t>Total Burden</w:t>
            </w:r>
          </w:p>
        </w:tc>
        <w:tc>
          <w:tcPr>
            <w:tcW w:w="1170" w:type="dxa"/>
            <w:tcBorders>
              <w:top w:val="nil"/>
              <w:left w:val="nil"/>
              <w:bottom w:val="single" w:sz="4" w:space="0" w:color="auto"/>
              <w:right w:val="single" w:sz="4" w:space="0" w:color="auto"/>
            </w:tcBorders>
            <w:shd w:val="clear" w:color="auto" w:fill="auto"/>
            <w:noWrap/>
            <w:vAlign w:val="center"/>
          </w:tcPr>
          <w:p w:rsidR="00E67570" w:rsidRPr="00876642" w:rsidP="00671C8C" w14:paraId="1CAFC285" w14:textId="77777777">
            <w:pPr>
              <w:jc w:val="right"/>
              <w:rPr>
                <w:rFonts w:ascii="Times New Roman" w:hAnsi="Times New Roman"/>
                <w:color w:val="000000"/>
                <w:sz w:val="16"/>
                <w:szCs w:val="16"/>
              </w:rPr>
            </w:pPr>
            <w:r>
              <w:rPr>
                <w:rFonts w:ascii="Times New Roman" w:hAnsi="Times New Roman"/>
                <w:b/>
                <w:bCs/>
                <w:color w:val="000000"/>
                <w:sz w:val="16"/>
                <w:szCs w:val="16"/>
              </w:rPr>
              <w:t>1,463.30</w:t>
            </w:r>
          </w:p>
        </w:tc>
        <w:tc>
          <w:tcPr>
            <w:tcW w:w="990" w:type="dxa"/>
            <w:tcBorders>
              <w:top w:val="nil"/>
              <w:left w:val="nil"/>
              <w:bottom w:val="single" w:sz="4" w:space="0" w:color="auto"/>
              <w:right w:val="single" w:sz="4" w:space="0" w:color="auto"/>
            </w:tcBorders>
            <w:shd w:val="clear" w:color="auto" w:fill="auto"/>
            <w:noWrap/>
            <w:vAlign w:val="center"/>
          </w:tcPr>
          <w:p w:rsidR="00E67570" w:rsidRPr="00876642" w:rsidP="00671C8C" w14:paraId="1DC621CA" w14:textId="77777777">
            <w:pPr>
              <w:jc w:val="right"/>
              <w:rPr>
                <w:rFonts w:ascii="Times New Roman" w:hAnsi="Times New Roman"/>
                <w:color w:val="000000"/>
                <w:sz w:val="16"/>
                <w:szCs w:val="16"/>
              </w:rPr>
            </w:pPr>
            <w:r>
              <w:rPr>
                <w:rFonts w:ascii="Times New Roman" w:hAnsi="Times New Roman"/>
                <w:b/>
                <w:bCs/>
                <w:color w:val="000000"/>
                <w:sz w:val="16"/>
                <w:szCs w:val="16"/>
              </w:rPr>
              <w:t>8.95</w:t>
            </w:r>
          </w:p>
        </w:tc>
        <w:tc>
          <w:tcPr>
            <w:tcW w:w="1080" w:type="dxa"/>
            <w:tcBorders>
              <w:top w:val="nil"/>
              <w:left w:val="nil"/>
              <w:bottom w:val="single" w:sz="4" w:space="0" w:color="auto"/>
              <w:right w:val="single" w:sz="4" w:space="0" w:color="auto"/>
            </w:tcBorders>
            <w:shd w:val="clear" w:color="auto" w:fill="auto"/>
            <w:noWrap/>
            <w:vAlign w:val="center"/>
          </w:tcPr>
          <w:p w:rsidR="00E67570" w:rsidRPr="00876642" w:rsidP="00671C8C" w14:paraId="550B0212" w14:textId="77777777">
            <w:pPr>
              <w:jc w:val="right"/>
              <w:rPr>
                <w:rFonts w:ascii="Times New Roman" w:hAnsi="Times New Roman"/>
                <w:color w:val="000000"/>
                <w:sz w:val="16"/>
                <w:szCs w:val="16"/>
              </w:rPr>
            </w:pPr>
            <w:r>
              <w:rPr>
                <w:rFonts w:ascii="Times New Roman" w:hAnsi="Times New Roman"/>
                <w:b/>
                <w:bCs/>
                <w:color w:val="000000"/>
                <w:sz w:val="16"/>
                <w:szCs w:val="16"/>
              </w:rPr>
              <w:t>13,097.3</w:t>
            </w:r>
          </w:p>
        </w:tc>
        <w:tc>
          <w:tcPr>
            <w:tcW w:w="990" w:type="dxa"/>
            <w:tcBorders>
              <w:top w:val="nil"/>
              <w:left w:val="nil"/>
              <w:bottom w:val="single" w:sz="4" w:space="0" w:color="auto"/>
              <w:right w:val="single" w:sz="4" w:space="0" w:color="auto"/>
            </w:tcBorders>
            <w:shd w:val="clear" w:color="auto" w:fill="auto"/>
            <w:noWrap/>
            <w:vAlign w:val="center"/>
          </w:tcPr>
          <w:p w:rsidR="00E67570" w:rsidRPr="00876642" w:rsidP="00671C8C" w14:paraId="225B5584" w14:textId="77777777">
            <w:pPr>
              <w:jc w:val="right"/>
              <w:rPr>
                <w:rFonts w:ascii="Times New Roman" w:hAnsi="Times New Roman"/>
                <w:color w:val="000000"/>
                <w:sz w:val="16"/>
                <w:szCs w:val="16"/>
              </w:rPr>
            </w:pPr>
            <w:r>
              <w:rPr>
                <w:rFonts w:ascii="Times New Roman" w:hAnsi="Times New Roman"/>
                <w:b/>
                <w:bCs/>
                <w:color w:val="000000"/>
                <w:sz w:val="16"/>
                <w:szCs w:val="16"/>
              </w:rPr>
              <w:t>0.76</w:t>
            </w:r>
          </w:p>
        </w:tc>
        <w:tc>
          <w:tcPr>
            <w:tcW w:w="900" w:type="dxa"/>
            <w:tcBorders>
              <w:top w:val="nil"/>
              <w:left w:val="nil"/>
              <w:bottom w:val="single" w:sz="4" w:space="0" w:color="auto"/>
              <w:right w:val="single" w:sz="4" w:space="0" w:color="auto"/>
            </w:tcBorders>
            <w:shd w:val="clear" w:color="auto" w:fill="auto"/>
            <w:noWrap/>
            <w:vAlign w:val="center"/>
          </w:tcPr>
          <w:p w:rsidR="00E67570" w:rsidRPr="00876642" w:rsidP="00671C8C" w14:paraId="24EC6ECA" w14:textId="38F38351">
            <w:pPr>
              <w:jc w:val="center"/>
              <w:rPr>
                <w:rFonts w:ascii="Times New Roman" w:hAnsi="Times New Roman"/>
                <w:color w:val="000000"/>
                <w:sz w:val="16"/>
                <w:szCs w:val="16"/>
              </w:rPr>
            </w:pPr>
            <w:r w:rsidRPr="0CEDC038">
              <w:rPr>
                <w:rFonts w:ascii="Times New Roman" w:hAnsi="Times New Roman"/>
                <w:b/>
                <w:color w:val="000000" w:themeColor="text1"/>
                <w:sz w:val="16"/>
                <w:szCs w:val="16"/>
              </w:rPr>
              <w:t>9,958.</w:t>
            </w:r>
            <w:r w:rsidR="007B4777">
              <w:rPr>
                <w:rFonts w:ascii="Times New Roman" w:hAnsi="Times New Roman"/>
                <w:b/>
                <w:color w:val="000000" w:themeColor="text1"/>
                <w:sz w:val="16"/>
                <w:szCs w:val="16"/>
              </w:rPr>
              <w:t>78</w:t>
            </w:r>
          </w:p>
        </w:tc>
        <w:tc>
          <w:tcPr>
            <w:tcW w:w="990" w:type="dxa"/>
            <w:tcBorders>
              <w:top w:val="nil"/>
              <w:left w:val="nil"/>
              <w:bottom w:val="single" w:sz="4" w:space="0" w:color="auto"/>
              <w:right w:val="single" w:sz="4" w:space="0" w:color="auto"/>
            </w:tcBorders>
            <w:shd w:val="clear" w:color="auto" w:fill="auto"/>
            <w:noWrap/>
            <w:vAlign w:val="center"/>
          </w:tcPr>
          <w:p w:rsidR="00E67570" w:rsidRPr="00876642" w:rsidP="00671C8C" w14:paraId="1D62F9F3" w14:textId="77777777">
            <w:pPr>
              <w:jc w:val="right"/>
              <w:rPr>
                <w:rFonts w:ascii="Times New Roman" w:hAnsi="Times New Roman"/>
                <w:color w:val="000000"/>
                <w:sz w:val="16"/>
                <w:szCs w:val="16"/>
              </w:rPr>
            </w:pPr>
            <w:r>
              <w:rPr>
                <w:rFonts w:ascii="Times New Roman" w:hAnsi="Times New Roman"/>
                <w:b/>
                <w:bCs/>
                <w:color w:val="000000"/>
                <w:sz w:val="16"/>
                <w:szCs w:val="16"/>
              </w:rPr>
              <w:t>265</w:t>
            </w:r>
          </w:p>
        </w:tc>
        <w:tc>
          <w:tcPr>
            <w:tcW w:w="900" w:type="dxa"/>
            <w:tcBorders>
              <w:top w:val="nil"/>
              <w:left w:val="nil"/>
              <w:bottom w:val="single" w:sz="4" w:space="0" w:color="auto"/>
              <w:right w:val="single" w:sz="4" w:space="0" w:color="auto"/>
            </w:tcBorders>
            <w:shd w:val="clear" w:color="auto" w:fill="auto"/>
            <w:noWrap/>
            <w:vAlign w:val="center"/>
          </w:tcPr>
          <w:p w:rsidR="00E67570" w:rsidRPr="00876642" w:rsidP="00671C8C" w14:paraId="791BAC73" w14:textId="77ADDECD">
            <w:pPr>
              <w:jc w:val="right"/>
              <w:rPr>
                <w:rFonts w:ascii="Times New Roman" w:hAnsi="Times New Roman"/>
                <w:color w:val="000000"/>
                <w:sz w:val="16"/>
                <w:szCs w:val="16"/>
              </w:rPr>
            </w:pPr>
            <w:r>
              <w:rPr>
                <w:rFonts w:ascii="Times New Roman" w:hAnsi="Times New Roman"/>
                <w:b/>
                <w:bCs/>
                <w:color w:val="000000"/>
                <w:sz w:val="16"/>
                <w:szCs w:val="16"/>
              </w:rPr>
              <w:t>9,694.75</w:t>
            </w:r>
          </w:p>
        </w:tc>
        <w:tc>
          <w:tcPr>
            <w:tcW w:w="1080" w:type="dxa"/>
            <w:tcBorders>
              <w:top w:val="nil"/>
              <w:left w:val="nil"/>
              <w:bottom w:val="single" w:sz="4" w:space="0" w:color="auto"/>
              <w:right w:val="single" w:sz="4" w:space="0" w:color="auto"/>
            </w:tcBorders>
            <w:shd w:val="clear" w:color="auto" w:fill="auto"/>
            <w:noWrap/>
            <w:vAlign w:val="center"/>
          </w:tcPr>
          <w:p w:rsidR="00E67570" w:rsidRPr="00876642" w:rsidP="00671C8C" w14:paraId="35B3BB6D" w14:textId="4FEF8B5C">
            <w:pPr>
              <w:jc w:val="right"/>
              <w:rPr>
                <w:rFonts w:ascii="Times New Roman" w:hAnsi="Times New Roman"/>
                <w:color w:val="000000"/>
                <w:sz w:val="16"/>
                <w:szCs w:val="16"/>
              </w:rPr>
            </w:pPr>
            <w:r>
              <w:rPr>
                <w:rFonts w:ascii="Times New Roman" w:hAnsi="Times New Roman"/>
                <w:b/>
                <w:bCs/>
                <w:color w:val="000000"/>
                <w:sz w:val="16"/>
                <w:szCs w:val="16"/>
              </w:rPr>
              <w:t>9,694.75</w:t>
            </w:r>
          </w:p>
        </w:tc>
      </w:tr>
    </w:tbl>
    <w:tbl>
      <w:tblPr>
        <w:tblStyle w:val="TableGrid"/>
        <w:tblW w:w="9734" w:type="dxa"/>
        <w:jc w:val="center"/>
        <w:tblLook w:val="04A0"/>
      </w:tblPr>
      <w:tblGrid>
        <w:gridCol w:w="5167"/>
        <w:gridCol w:w="4567"/>
      </w:tblGrid>
      <w:tr w14:paraId="42728E8D" w14:textId="77777777" w:rsidTr="00353797">
        <w:tblPrEx>
          <w:tblW w:w="9734" w:type="dxa"/>
          <w:jc w:val="center"/>
          <w:tblLook w:val="04A0"/>
        </w:tblPrEx>
        <w:trPr>
          <w:trHeight w:val="323"/>
          <w:jc w:val="center"/>
        </w:trPr>
        <w:tc>
          <w:tcPr>
            <w:tcW w:w="9734" w:type="dxa"/>
            <w:gridSpan w:val="2"/>
          </w:tcPr>
          <w:p w:rsidR="00E67570" w:rsidRPr="006159B7" w:rsidP="00764433" w14:paraId="69A6E380" w14:textId="77777777">
            <w:pPr>
              <w:pStyle w:val="NoSpacing"/>
              <w:jc w:val="center"/>
              <w:rPr>
                <w:rFonts w:ascii="Times New Roman" w:hAnsi="Times New Roman"/>
                <w:b/>
                <w:bCs/>
                <w:sz w:val="16"/>
                <w:szCs w:val="16"/>
              </w:rPr>
            </w:pPr>
            <w:r>
              <w:rPr>
                <w:rFonts w:ascii="Times New Roman" w:hAnsi="Times New Roman"/>
                <w:b/>
                <w:bCs/>
                <w:sz w:val="16"/>
                <w:szCs w:val="16"/>
              </w:rPr>
              <w:t>SUMMARY OF BURDEN (OMB #0584-0280)</w:t>
            </w:r>
          </w:p>
        </w:tc>
      </w:tr>
      <w:tr w14:paraId="3C1E4976" w14:textId="77777777" w:rsidTr="00353797">
        <w:tblPrEx>
          <w:tblW w:w="9734" w:type="dxa"/>
          <w:jc w:val="center"/>
          <w:tblLook w:val="04A0"/>
        </w:tblPrEx>
        <w:trPr>
          <w:trHeight w:val="323"/>
          <w:jc w:val="center"/>
        </w:trPr>
        <w:tc>
          <w:tcPr>
            <w:tcW w:w="5167" w:type="dxa"/>
            <w:hideMark/>
          </w:tcPr>
          <w:p w:rsidR="00E67570" w:rsidP="00764433" w14:paraId="3FD38406" w14:textId="77777777">
            <w:pPr>
              <w:pStyle w:val="NoSpacing"/>
              <w:rPr>
                <w:rFonts w:ascii="Times New Roman" w:hAnsi="Times New Roman"/>
                <w:sz w:val="16"/>
                <w:szCs w:val="16"/>
              </w:rPr>
            </w:pPr>
            <w:r>
              <w:rPr>
                <w:rFonts w:ascii="Times New Roman" w:hAnsi="Times New Roman"/>
                <w:sz w:val="16"/>
                <w:szCs w:val="16"/>
              </w:rPr>
              <w:t>TOTAL NO. RESPONDENTS</w:t>
            </w:r>
          </w:p>
        </w:tc>
        <w:tc>
          <w:tcPr>
            <w:tcW w:w="4567" w:type="dxa"/>
            <w:hideMark/>
          </w:tcPr>
          <w:p w:rsidR="00E67570" w:rsidP="00764433" w14:paraId="307CBAFD" w14:textId="77777777">
            <w:pPr>
              <w:pStyle w:val="NoSpacing"/>
              <w:jc w:val="center"/>
              <w:rPr>
                <w:rFonts w:ascii="Times New Roman" w:hAnsi="Times New Roman"/>
                <w:sz w:val="16"/>
                <w:szCs w:val="16"/>
              </w:rPr>
            </w:pPr>
            <w:r>
              <w:rPr>
                <w:rFonts w:ascii="Times New Roman" w:hAnsi="Times New Roman"/>
                <w:sz w:val="16"/>
                <w:szCs w:val="16"/>
              </w:rPr>
              <w:t>63,942</w:t>
            </w:r>
          </w:p>
        </w:tc>
      </w:tr>
      <w:tr w14:paraId="461F872C" w14:textId="77777777" w:rsidTr="00353797">
        <w:tblPrEx>
          <w:tblW w:w="9734" w:type="dxa"/>
          <w:jc w:val="center"/>
          <w:tblLook w:val="04A0"/>
        </w:tblPrEx>
        <w:trPr>
          <w:trHeight w:val="323"/>
          <w:jc w:val="center"/>
        </w:trPr>
        <w:tc>
          <w:tcPr>
            <w:tcW w:w="5167" w:type="dxa"/>
            <w:hideMark/>
          </w:tcPr>
          <w:p w:rsidR="00E67570" w:rsidP="00764433" w14:paraId="70F50DA1" w14:textId="77777777">
            <w:pPr>
              <w:pStyle w:val="NoSpacing"/>
              <w:rPr>
                <w:rFonts w:ascii="Times New Roman" w:hAnsi="Times New Roman"/>
                <w:sz w:val="16"/>
                <w:szCs w:val="16"/>
              </w:rPr>
            </w:pPr>
            <w:r>
              <w:rPr>
                <w:rFonts w:ascii="Times New Roman" w:hAnsi="Times New Roman"/>
                <w:sz w:val="16"/>
                <w:szCs w:val="16"/>
              </w:rPr>
              <w:t>AVERAGE NO. RESPONSES PER RESPONDENT</w:t>
            </w:r>
          </w:p>
        </w:tc>
        <w:tc>
          <w:tcPr>
            <w:tcW w:w="4567" w:type="dxa"/>
            <w:hideMark/>
          </w:tcPr>
          <w:p w:rsidR="00E67570" w:rsidP="00764433" w14:paraId="0418CA8F" w14:textId="77777777">
            <w:pPr>
              <w:pStyle w:val="NoSpacing"/>
              <w:jc w:val="center"/>
              <w:rPr>
                <w:rFonts w:ascii="Times New Roman" w:hAnsi="Times New Roman"/>
                <w:sz w:val="16"/>
                <w:szCs w:val="16"/>
              </w:rPr>
            </w:pPr>
            <w:r>
              <w:rPr>
                <w:rFonts w:ascii="Times New Roman" w:hAnsi="Times New Roman"/>
                <w:sz w:val="16"/>
                <w:szCs w:val="16"/>
              </w:rPr>
              <w:t>6.33</w:t>
            </w:r>
          </w:p>
        </w:tc>
      </w:tr>
      <w:tr w14:paraId="67369EDE" w14:textId="77777777" w:rsidTr="00353797">
        <w:tblPrEx>
          <w:tblW w:w="9734" w:type="dxa"/>
          <w:jc w:val="center"/>
          <w:tblLook w:val="04A0"/>
        </w:tblPrEx>
        <w:trPr>
          <w:trHeight w:val="323"/>
          <w:jc w:val="center"/>
        </w:trPr>
        <w:tc>
          <w:tcPr>
            <w:tcW w:w="5167" w:type="dxa"/>
            <w:hideMark/>
          </w:tcPr>
          <w:p w:rsidR="00E67570" w:rsidP="00764433" w14:paraId="429177CE" w14:textId="77777777">
            <w:pPr>
              <w:pStyle w:val="NoSpacing"/>
              <w:rPr>
                <w:rFonts w:ascii="Times New Roman" w:hAnsi="Times New Roman"/>
                <w:sz w:val="16"/>
                <w:szCs w:val="16"/>
              </w:rPr>
            </w:pPr>
            <w:r>
              <w:rPr>
                <w:rFonts w:ascii="Times New Roman" w:hAnsi="Times New Roman"/>
                <w:sz w:val="16"/>
                <w:szCs w:val="16"/>
              </w:rPr>
              <w:t>TOTAL ANNUAL RESPONSES</w:t>
            </w:r>
          </w:p>
        </w:tc>
        <w:tc>
          <w:tcPr>
            <w:tcW w:w="4567" w:type="dxa"/>
            <w:hideMark/>
          </w:tcPr>
          <w:p w:rsidR="00E67570" w:rsidP="00764433" w14:paraId="61ADE4FD" w14:textId="5CF5FE3F">
            <w:pPr>
              <w:pStyle w:val="NoSpacing"/>
              <w:jc w:val="center"/>
              <w:rPr>
                <w:rFonts w:ascii="Times New Roman" w:hAnsi="Times New Roman"/>
                <w:sz w:val="16"/>
                <w:szCs w:val="16"/>
              </w:rPr>
            </w:pPr>
            <w:r>
              <w:rPr>
                <w:rFonts w:ascii="Times New Roman" w:hAnsi="Times New Roman"/>
                <w:sz w:val="16"/>
                <w:szCs w:val="16"/>
              </w:rPr>
              <w:t>404,</w:t>
            </w:r>
            <w:r w:rsidR="007044B4">
              <w:rPr>
                <w:rFonts w:ascii="Times New Roman" w:hAnsi="Times New Roman"/>
                <w:sz w:val="16"/>
                <w:szCs w:val="16"/>
              </w:rPr>
              <w:t>648</w:t>
            </w:r>
          </w:p>
        </w:tc>
      </w:tr>
      <w:tr w14:paraId="4D5DF59D" w14:textId="77777777" w:rsidTr="00353797">
        <w:tblPrEx>
          <w:tblW w:w="9734" w:type="dxa"/>
          <w:jc w:val="center"/>
          <w:tblLook w:val="04A0"/>
        </w:tblPrEx>
        <w:trPr>
          <w:trHeight w:val="323"/>
          <w:jc w:val="center"/>
        </w:trPr>
        <w:tc>
          <w:tcPr>
            <w:tcW w:w="5167" w:type="dxa"/>
            <w:hideMark/>
          </w:tcPr>
          <w:p w:rsidR="00E67570" w:rsidP="00764433" w14:paraId="35798623" w14:textId="77777777">
            <w:pPr>
              <w:pStyle w:val="NoSpacing"/>
              <w:rPr>
                <w:rFonts w:ascii="Times New Roman" w:hAnsi="Times New Roman"/>
                <w:sz w:val="16"/>
                <w:szCs w:val="16"/>
              </w:rPr>
            </w:pPr>
            <w:r>
              <w:rPr>
                <w:rFonts w:ascii="Times New Roman" w:hAnsi="Times New Roman"/>
                <w:sz w:val="16"/>
                <w:szCs w:val="16"/>
              </w:rPr>
              <w:t>AVERAGE HOURS PER RESPONSE</w:t>
            </w:r>
          </w:p>
        </w:tc>
        <w:tc>
          <w:tcPr>
            <w:tcW w:w="4567" w:type="dxa"/>
            <w:hideMark/>
          </w:tcPr>
          <w:p w:rsidR="00E67570" w:rsidP="00764433" w14:paraId="121BBE3D" w14:textId="77777777">
            <w:pPr>
              <w:pStyle w:val="NoSpacing"/>
              <w:jc w:val="center"/>
              <w:rPr>
                <w:rFonts w:ascii="Times New Roman" w:hAnsi="Times New Roman"/>
                <w:sz w:val="16"/>
                <w:szCs w:val="16"/>
              </w:rPr>
            </w:pPr>
            <w:r>
              <w:rPr>
                <w:rFonts w:ascii="Times New Roman" w:hAnsi="Times New Roman"/>
                <w:sz w:val="16"/>
                <w:szCs w:val="16"/>
              </w:rPr>
              <w:t>1.17</w:t>
            </w:r>
          </w:p>
        </w:tc>
      </w:tr>
      <w:tr w14:paraId="1EE728AC" w14:textId="77777777" w:rsidTr="00353797">
        <w:tblPrEx>
          <w:tblW w:w="9734" w:type="dxa"/>
          <w:jc w:val="center"/>
          <w:tblLook w:val="04A0"/>
        </w:tblPrEx>
        <w:trPr>
          <w:trHeight w:val="376"/>
          <w:jc w:val="center"/>
        </w:trPr>
        <w:tc>
          <w:tcPr>
            <w:tcW w:w="5167" w:type="dxa"/>
            <w:hideMark/>
          </w:tcPr>
          <w:p w:rsidR="00E67570" w:rsidP="00764433" w14:paraId="28A45E81" w14:textId="77777777">
            <w:pPr>
              <w:pStyle w:val="NoSpacing"/>
              <w:rPr>
                <w:rFonts w:ascii="Times New Roman" w:hAnsi="Times New Roman"/>
                <w:sz w:val="16"/>
                <w:szCs w:val="16"/>
              </w:rPr>
            </w:pPr>
            <w:r>
              <w:rPr>
                <w:rFonts w:ascii="Times New Roman" w:hAnsi="Times New Roman"/>
                <w:sz w:val="16"/>
                <w:szCs w:val="16"/>
              </w:rPr>
              <w:t>TOTAL BURDEN HOURS</w:t>
            </w:r>
          </w:p>
        </w:tc>
        <w:tc>
          <w:tcPr>
            <w:tcW w:w="4567" w:type="dxa"/>
            <w:hideMark/>
          </w:tcPr>
          <w:p w:rsidR="00E67570" w:rsidP="00764433" w14:paraId="44CA45DE" w14:textId="5C2D29A6">
            <w:pPr>
              <w:pStyle w:val="NoSpacing"/>
              <w:jc w:val="center"/>
              <w:rPr>
                <w:rFonts w:ascii="Times New Roman" w:hAnsi="Times New Roman"/>
                <w:sz w:val="16"/>
                <w:szCs w:val="16"/>
              </w:rPr>
            </w:pPr>
            <w:r>
              <w:rPr>
                <w:rFonts w:ascii="Times New Roman" w:hAnsi="Times New Roman"/>
                <w:sz w:val="16"/>
                <w:szCs w:val="16"/>
              </w:rPr>
              <w:t>472,</w:t>
            </w:r>
            <w:r w:rsidR="009B0BC5">
              <w:rPr>
                <w:rFonts w:ascii="Times New Roman" w:hAnsi="Times New Roman"/>
                <w:sz w:val="16"/>
                <w:szCs w:val="16"/>
              </w:rPr>
              <w:t>41</w:t>
            </w:r>
            <w:r w:rsidR="007044B4">
              <w:rPr>
                <w:rFonts w:ascii="Times New Roman" w:hAnsi="Times New Roman"/>
                <w:sz w:val="16"/>
                <w:szCs w:val="16"/>
              </w:rPr>
              <w:t>9</w:t>
            </w:r>
          </w:p>
        </w:tc>
      </w:tr>
      <w:tr w14:paraId="61B14E97" w14:textId="77777777" w:rsidTr="00353797">
        <w:tblPrEx>
          <w:tblW w:w="9734" w:type="dxa"/>
          <w:jc w:val="center"/>
          <w:tblLook w:val="04A0"/>
        </w:tblPrEx>
        <w:trPr>
          <w:trHeight w:val="376"/>
          <w:jc w:val="center"/>
        </w:trPr>
        <w:tc>
          <w:tcPr>
            <w:tcW w:w="5167" w:type="dxa"/>
          </w:tcPr>
          <w:p w:rsidR="00E67570" w:rsidP="00764433" w14:paraId="25100BDA" w14:textId="77777777">
            <w:pPr>
              <w:pStyle w:val="NoSpacing"/>
              <w:rPr>
                <w:rFonts w:ascii="Times New Roman" w:hAnsi="Times New Roman"/>
                <w:sz w:val="16"/>
                <w:szCs w:val="16"/>
              </w:rPr>
            </w:pPr>
            <w:r>
              <w:rPr>
                <w:rFonts w:ascii="Times New Roman" w:hAnsi="Times New Roman"/>
                <w:sz w:val="16"/>
                <w:szCs w:val="16"/>
              </w:rPr>
              <w:t>CURRENT OMB APPROVED BURDEN HOURS</w:t>
            </w:r>
          </w:p>
        </w:tc>
        <w:tc>
          <w:tcPr>
            <w:tcW w:w="4567" w:type="dxa"/>
          </w:tcPr>
          <w:p w:rsidR="00E67570" w:rsidP="00764433" w14:paraId="73A37AF7" w14:textId="3FD2BD74">
            <w:pPr>
              <w:pStyle w:val="NoSpacing"/>
              <w:jc w:val="center"/>
              <w:rPr>
                <w:rFonts w:ascii="Times New Roman" w:hAnsi="Times New Roman"/>
                <w:sz w:val="16"/>
                <w:szCs w:val="16"/>
              </w:rPr>
            </w:pPr>
            <w:r>
              <w:rPr>
                <w:rFonts w:ascii="Times New Roman" w:hAnsi="Times New Roman"/>
                <w:sz w:val="16"/>
                <w:szCs w:val="16"/>
              </w:rPr>
              <w:t>462,</w:t>
            </w:r>
            <w:r w:rsidR="009B0BC5">
              <w:rPr>
                <w:rFonts w:ascii="Times New Roman" w:hAnsi="Times New Roman"/>
                <w:sz w:val="16"/>
                <w:szCs w:val="16"/>
              </w:rPr>
              <w:t>724</w:t>
            </w:r>
          </w:p>
        </w:tc>
      </w:tr>
      <w:tr w14:paraId="7CD35749" w14:textId="77777777" w:rsidTr="00353797">
        <w:tblPrEx>
          <w:tblW w:w="9734" w:type="dxa"/>
          <w:jc w:val="center"/>
          <w:tblLook w:val="04A0"/>
        </w:tblPrEx>
        <w:trPr>
          <w:trHeight w:val="376"/>
          <w:jc w:val="center"/>
        </w:trPr>
        <w:tc>
          <w:tcPr>
            <w:tcW w:w="5167" w:type="dxa"/>
          </w:tcPr>
          <w:p w:rsidR="00E67570" w:rsidP="00764433" w14:paraId="6A20D03E" w14:textId="77777777">
            <w:pPr>
              <w:pStyle w:val="NoSpacing"/>
              <w:rPr>
                <w:rFonts w:ascii="Times New Roman" w:hAnsi="Times New Roman"/>
                <w:sz w:val="16"/>
                <w:szCs w:val="16"/>
              </w:rPr>
            </w:pPr>
            <w:r>
              <w:rPr>
                <w:rFonts w:ascii="Times New Roman" w:hAnsi="Times New Roman"/>
                <w:sz w:val="16"/>
                <w:szCs w:val="16"/>
              </w:rPr>
              <w:t>ADJUSTMENTS</w:t>
            </w:r>
          </w:p>
        </w:tc>
        <w:tc>
          <w:tcPr>
            <w:tcW w:w="4567" w:type="dxa"/>
          </w:tcPr>
          <w:p w:rsidR="00E67570" w:rsidP="00764433" w14:paraId="07E1CF1E" w14:textId="77777777">
            <w:pPr>
              <w:pStyle w:val="NoSpacing"/>
              <w:jc w:val="center"/>
              <w:rPr>
                <w:rFonts w:ascii="Times New Roman" w:hAnsi="Times New Roman"/>
                <w:sz w:val="16"/>
                <w:szCs w:val="16"/>
              </w:rPr>
            </w:pPr>
            <w:r>
              <w:rPr>
                <w:rFonts w:ascii="Times New Roman" w:hAnsi="Times New Roman"/>
                <w:sz w:val="16"/>
                <w:szCs w:val="16"/>
              </w:rPr>
              <w:t>0</w:t>
            </w:r>
          </w:p>
        </w:tc>
      </w:tr>
      <w:tr w14:paraId="0F9C101A" w14:textId="77777777" w:rsidTr="00353797">
        <w:tblPrEx>
          <w:tblW w:w="9734" w:type="dxa"/>
          <w:jc w:val="center"/>
          <w:tblLook w:val="04A0"/>
        </w:tblPrEx>
        <w:trPr>
          <w:trHeight w:val="376"/>
          <w:jc w:val="center"/>
        </w:trPr>
        <w:tc>
          <w:tcPr>
            <w:tcW w:w="5167" w:type="dxa"/>
          </w:tcPr>
          <w:p w:rsidR="00E67570" w:rsidP="00764433" w14:paraId="52C87DDC" w14:textId="77777777">
            <w:pPr>
              <w:pStyle w:val="NoSpacing"/>
              <w:rPr>
                <w:rFonts w:ascii="Times New Roman" w:hAnsi="Times New Roman"/>
                <w:sz w:val="16"/>
                <w:szCs w:val="16"/>
              </w:rPr>
            </w:pPr>
            <w:r>
              <w:rPr>
                <w:rFonts w:ascii="Times New Roman" w:hAnsi="Times New Roman"/>
                <w:sz w:val="16"/>
                <w:szCs w:val="16"/>
              </w:rPr>
              <w:t>PROGRAM CHANGES</w:t>
            </w:r>
          </w:p>
        </w:tc>
        <w:tc>
          <w:tcPr>
            <w:tcW w:w="4567" w:type="dxa"/>
          </w:tcPr>
          <w:p w:rsidR="00E67570" w:rsidP="00764433" w14:paraId="709141F4" w14:textId="541D68C1">
            <w:pPr>
              <w:pStyle w:val="NoSpacing"/>
              <w:jc w:val="center"/>
              <w:rPr>
                <w:rFonts w:ascii="Times New Roman" w:hAnsi="Times New Roman"/>
                <w:sz w:val="16"/>
                <w:szCs w:val="16"/>
              </w:rPr>
            </w:pPr>
            <w:r>
              <w:rPr>
                <w:rFonts w:ascii="Times New Roman" w:hAnsi="Times New Roman"/>
                <w:sz w:val="16"/>
                <w:szCs w:val="16"/>
              </w:rPr>
              <w:t>9,695</w:t>
            </w:r>
          </w:p>
        </w:tc>
      </w:tr>
      <w:tr w14:paraId="50475440" w14:textId="77777777" w:rsidTr="00353797">
        <w:tblPrEx>
          <w:tblW w:w="9734" w:type="dxa"/>
          <w:jc w:val="center"/>
          <w:tblLook w:val="04A0"/>
        </w:tblPrEx>
        <w:trPr>
          <w:trHeight w:val="376"/>
          <w:jc w:val="center"/>
        </w:trPr>
        <w:tc>
          <w:tcPr>
            <w:tcW w:w="5167" w:type="dxa"/>
          </w:tcPr>
          <w:p w:rsidR="00E67570" w:rsidP="00764433" w14:paraId="71225CA1" w14:textId="77777777">
            <w:pPr>
              <w:pStyle w:val="NoSpacing"/>
              <w:rPr>
                <w:rFonts w:ascii="Times New Roman" w:hAnsi="Times New Roman"/>
                <w:sz w:val="16"/>
                <w:szCs w:val="16"/>
              </w:rPr>
            </w:pPr>
            <w:r>
              <w:rPr>
                <w:rFonts w:ascii="Times New Roman" w:hAnsi="Times New Roman"/>
                <w:sz w:val="16"/>
                <w:szCs w:val="16"/>
              </w:rPr>
              <w:t>TOTAL DIFFERENCE IN BURDEN</w:t>
            </w:r>
          </w:p>
        </w:tc>
        <w:tc>
          <w:tcPr>
            <w:tcW w:w="4567" w:type="dxa"/>
          </w:tcPr>
          <w:p w:rsidR="00E67570" w:rsidP="00764433" w14:paraId="4E488C9D" w14:textId="33F169B4">
            <w:pPr>
              <w:pStyle w:val="NoSpacing"/>
              <w:jc w:val="center"/>
              <w:rPr>
                <w:rFonts w:ascii="Times New Roman" w:hAnsi="Times New Roman"/>
                <w:sz w:val="16"/>
                <w:szCs w:val="16"/>
              </w:rPr>
            </w:pPr>
            <w:r>
              <w:rPr>
                <w:rFonts w:ascii="Times New Roman" w:hAnsi="Times New Roman"/>
                <w:sz w:val="16"/>
                <w:szCs w:val="16"/>
              </w:rPr>
              <w:t>9,695</w:t>
            </w:r>
          </w:p>
        </w:tc>
      </w:tr>
    </w:tbl>
    <w:p w:rsidR="00E67570" w:rsidP="00ED28F2" w14:paraId="71FCD020" w14:textId="7AB3CE0E">
      <w:pPr>
        <w:tabs>
          <w:tab w:val="left" w:pos="-720"/>
        </w:tabs>
        <w:suppressAutoHyphens/>
        <w:spacing w:line="480" w:lineRule="auto"/>
        <w:sectPr w:rsidSect="00043601">
          <w:endnotePr>
            <w:numFmt w:val="decimal"/>
          </w:endnotePr>
          <w:pgSz w:w="15840" w:h="12240" w:orient="landscape"/>
          <w:pgMar w:top="1440" w:right="1440" w:bottom="1440" w:left="1440" w:header="1440" w:footer="720" w:gutter="0"/>
          <w:cols w:space="720"/>
          <w:noEndnote/>
          <w:titlePg/>
          <w:docGrid w:linePitch="326"/>
        </w:sectPr>
      </w:pPr>
    </w:p>
    <w:p w:rsidR="0062567E" w:rsidRPr="002568E6" w:rsidP="000438E8" w14:paraId="2A933DFD" w14:textId="2CDFB925">
      <w:pPr>
        <w:tabs>
          <w:tab w:val="left" w:pos="0"/>
        </w:tabs>
        <w:suppressAutoHyphens/>
        <w:rPr>
          <w:rFonts w:ascii="Times New Roman" w:hAnsi="Times New Roman"/>
          <w:b/>
          <w:szCs w:val="24"/>
        </w:rPr>
      </w:pPr>
      <w:r w:rsidRPr="00E52E60">
        <w:rPr>
          <w:rFonts w:ascii="Times New Roman" w:hAnsi="Times New Roman"/>
          <w:b/>
          <w:szCs w:val="24"/>
        </w:rPr>
        <w:t>B.</w:t>
      </w:r>
      <w:r w:rsidRPr="00E52E60">
        <w:rPr>
          <w:rFonts w:ascii="Times New Roman" w:hAnsi="Times New Roman"/>
          <w:b/>
          <w:szCs w:val="24"/>
        </w:rPr>
        <w:tab/>
        <w:t>Provide estimates of annualized cost to respondents for the hour burdens for collections of information</w:t>
      </w:r>
      <w:r w:rsidRPr="002568E6">
        <w:rPr>
          <w:rFonts w:ascii="Times New Roman" w:hAnsi="Times New Roman"/>
          <w:b/>
          <w:szCs w:val="24"/>
        </w:rPr>
        <w:t>, identifying and using appropriate wage rate categories.</w:t>
      </w:r>
    </w:p>
    <w:p w:rsidR="00A308DB" w:rsidRPr="002568E6" w:rsidP="000438E8" w14:paraId="2A933DFE" w14:textId="77777777">
      <w:pPr>
        <w:tabs>
          <w:tab w:val="left" w:pos="0"/>
        </w:tabs>
        <w:suppressAutoHyphens/>
        <w:rPr>
          <w:rFonts w:ascii="Times New Roman" w:hAnsi="Times New Roman"/>
          <w:b/>
          <w:szCs w:val="24"/>
        </w:rPr>
      </w:pPr>
    </w:p>
    <w:p w:rsidR="006B3A18" w:rsidP="00ED28F2" w14:paraId="7387F782" w14:textId="7A61372D">
      <w:pPr>
        <w:tabs>
          <w:tab w:val="left" w:pos="-720"/>
        </w:tabs>
        <w:suppressAutoHyphens/>
        <w:spacing w:line="480" w:lineRule="auto"/>
        <w:rPr>
          <w:rFonts w:ascii="Times New Roman" w:hAnsi="Times New Roman"/>
          <w:szCs w:val="24"/>
        </w:rPr>
      </w:pPr>
      <w:r>
        <w:rPr>
          <w:rFonts w:ascii="Times New Roman" w:hAnsi="Times New Roman"/>
          <w:szCs w:val="24"/>
        </w:rPr>
        <w:tab/>
      </w:r>
      <w:r w:rsidRPr="00B531A4">
        <w:rPr>
          <w:rFonts w:ascii="Times New Roman" w:hAnsi="Times New Roman"/>
          <w:szCs w:val="24"/>
        </w:rPr>
        <w:t>The estimate of respondent cost is based on the burden estimates and utilizes the U.S. Department of Labor, Bureau of Labor Statistics, May 202</w:t>
      </w:r>
      <w:r w:rsidR="00FF6A3F">
        <w:rPr>
          <w:rFonts w:ascii="Times New Roman" w:hAnsi="Times New Roman"/>
          <w:szCs w:val="24"/>
        </w:rPr>
        <w:t>3</w:t>
      </w:r>
      <w:r w:rsidRPr="00B531A4">
        <w:rPr>
          <w:rFonts w:ascii="Times New Roman" w:hAnsi="Times New Roman"/>
          <w:szCs w:val="24"/>
        </w:rPr>
        <w:t xml:space="preserve"> National Occupational and Wage Statistics, Occupational Group </w:t>
      </w:r>
      <w:r w:rsidR="003E5473">
        <w:rPr>
          <w:rFonts w:ascii="Times New Roman" w:hAnsi="Times New Roman"/>
          <w:szCs w:val="24"/>
        </w:rPr>
        <w:t>11</w:t>
      </w:r>
      <w:r w:rsidRPr="00B531A4">
        <w:rPr>
          <w:rFonts w:ascii="Times New Roman" w:hAnsi="Times New Roman"/>
          <w:szCs w:val="24"/>
        </w:rPr>
        <w:t>-</w:t>
      </w:r>
      <w:r w:rsidR="003E5473">
        <w:rPr>
          <w:rFonts w:ascii="Times New Roman" w:hAnsi="Times New Roman"/>
          <w:szCs w:val="24"/>
        </w:rPr>
        <w:t>9031</w:t>
      </w:r>
      <w:r w:rsidRPr="00B531A4">
        <w:rPr>
          <w:rFonts w:ascii="Times New Roman" w:hAnsi="Times New Roman"/>
          <w:szCs w:val="24"/>
        </w:rPr>
        <w:t xml:space="preserve"> </w:t>
      </w:r>
      <w:r w:rsidRPr="00B531A4" w:rsidR="00814DD6">
        <w:rPr>
          <w:rFonts w:ascii="Times New Roman" w:hAnsi="Times New Roman"/>
          <w:szCs w:val="24"/>
        </w:rPr>
        <w:t>(</w:t>
      </w:r>
      <w:r w:rsidRPr="0023708C" w:rsidR="00814DD6">
        <w:rPr>
          <w:rStyle w:val="Hyperlink"/>
          <w:rFonts w:ascii="Times New Roman" w:hAnsi="Times New Roman"/>
          <w:szCs w:val="24"/>
        </w:rPr>
        <w:t>https://www.bls.gov/oes/current/naics4_999200.htm</w:t>
      </w:r>
      <w:r w:rsidRPr="00B531A4" w:rsidR="00814DD6">
        <w:rPr>
          <w:rFonts w:ascii="Times New Roman" w:hAnsi="Times New Roman"/>
          <w:szCs w:val="24"/>
        </w:rPr>
        <w:t>)</w:t>
      </w:r>
      <w:r w:rsidRPr="00B531A4">
        <w:rPr>
          <w:rFonts w:ascii="Times New Roman" w:hAnsi="Times New Roman"/>
          <w:szCs w:val="24"/>
        </w:rPr>
        <w:t>. The hourly mean wage for education-related occupations for functions performed by State agency and local education agency staff are estimated at $</w:t>
      </w:r>
      <w:r w:rsidR="002C67A5">
        <w:rPr>
          <w:rFonts w:ascii="Times New Roman" w:hAnsi="Times New Roman"/>
          <w:szCs w:val="24"/>
        </w:rPr>
        <w:t>50.16</w:t>
      </w:r>
      <w:r w:rsidRPr="00B531A4">
        <w:rPr>
          <w:rFonts w:ascii="Times New Roman" w:hAnsi="Times New Roman"/>
          <w:szCs w:val="24"/>
        </w:rPr>
        <w:t xml:space="preserve"> per staff hour</w:t>
      </w:r>
      <w:r w:rsidR="00C74D73">
        <w:rPr>
          <w:rFonts w:ascii="Times New Roman" w:hAnsi="Times New Roman"/>
          <w:szCs w:val="24"/>
        </w:rPr>
        <w:t xml:space="preserve">.  </w:t>
      </w:r>
      <w:r w:rsidR="00221F17">
        <w:rPr>
          <w:rFonts w:ascii="Times New Roman" w:hAnsi="Times New Roman"/>
          <w:szCs w:val="24"/>
        </w:rPr>
        <w:t xml:space="preserve">The </w:t>
      </w:r>
      <w:r w:rsidR="00E66871">
        <w:rPr>
          <w:rFonts w:ascii="Times New Roman" w:hAnsi="Times New Roman"/>
          <w:szCs w:val="24"/>
        </w:rPr>
        <w:t>hourly mean wage for education-related occupations for functions performed at the business level</w:t>
      </w:r>
      <w:r w:rsidR="001065D4">
        <w:rPr>
          <w:rFonts w:ascii="Times New Roman" w:hAnsi="Times New Roman"/>
          <w:szCs w:val="24"/>
        </w:rPr>
        <w:t xml:space="preserve">, </w:t>
      </w:r>
      <w:r w:rsidR="00221F17">
        <w:rPr>
          <w:rFonts w:ascii="Times New Roman" w:hAnsi="Times New Roman"/>
          <w:szCs w:val="24"/>
        </w:rPr>
        <w:t xml:space="preserve">which includes </w:t>
      </w:r>
      <w:r w:rsidR="00FA1C7B">
        <w:rPr>
          <w:rFonts w:ascii="Times New Roman" w:hAnsi="Times New Roman"/>
          <w:szCs w:val="24"/>
        </w:rPr>
        <w:t>non-profit institutions and camps</w:t>
      </w:r>
      <w:r w:rsidR="008E64CE">
        <w:rPr>
          <w:rFonts w:ascii="Times New Roman" w:hAnsi="Times New Roman"/>
          <w:szCs w:val="24"/>
        </w:rPr>
        <w:t xml:space="preserve">, utilizing </w:t>
      </w:r>
      <w:r w:rsidR="00221F17">
        <w:rPr>
          <w:rFonts w:ascii="Times New Roman" w:hAnsi="Times New Roman"/>
          <w:szCs w:val="24"/>
        </w:rPr>
        <w:t>Occupation</w:t>
      </w:r>
      <w:r w:rsidR="008E64CE">
        <w:rPr>
          <w:rFonts w:ascii="Times New Roman" w:hAnsi="Times New Roman"/>
          <w:szCs w:val="24"/>
        </w:rPr>
        <w:t xml:space="preserve"> Group</w:t>
      </w:r>
      <w:r w:rsidR="00221F17">
        <w:rPr>
          <w:rFonts w:ascii="Times New Roman" w:hAnsi="Times New Roman"/>
          <w:szCs w:val="24"/>
        </w:rPr>
        <w:t xml:space="preserve"> </w:t>
      </w:r>
      <w:r w:rsidR="008E64CE">
        <w:rPr>
          <w:rFonts w:ascii="Times New Roman" w:hAnsi="Times New Roman"/>
          <w:szCs w:val="24"/>
        </w:rPr>
        <w:t>39</w:t>
      </w:r>
      <w:r w:rsidR="00221F17">
        <w:rPr>
          <w:rFonts w:ascii="Times New Roman" w:hAnsi="Times New Roman"/>
          <w:szCs w:val="24"/>
        </w:rPr>
        <w:t>-90</w:t>
      </w:r>
      <w:r>
        <w:rPr>
          <w:rFonts w:ascii="Times New Roman" w:hAnsi="Times New Roman"/>
          <w:szCs w:val="24"/>
        </w:rPr>
        <w:t>1</w:t>
      </w:r>
      <w:r w:rsidR="00221F17">
        <w:rPr>
          <w:rFonts w:ascii="Times New Roman" w:hAnsi="Times New Roman"/>
          <w:szCs w:val="24"/>
        </w:rPr>
        <w:t>1</w:t>
      </w:r>
      <w:r w:rsidR="008E64CE">
        <w:rPr>
          <w:rFonts w:ascii="Times New Roman" w:hAnsi="Times New Roman"/>
          <w:szCs w:val="24"/>
        </w:rPr>
        <w:t xml:space="preserve"> (</w:t>
      </w:r>
      <w:hyperlink r:id="rId12" w:anchor="00-0000" w:history="1">
        <w:r w:rsidRPr="008E64CE" w:rsidR="008E64CE">
          <w:rPr>
            <w:rStyle w:val="Hyperlink"/>
            <w:rFonts w:ascii="Times New Roman" w:hAnsi="Times New Roman"/>
            <w:szCs w:val="24"/>
          </w:rPr>
          <w:t>https://www.bls.gov/oes/current/oes_nat.htm#00-0000</w:t>
        </w:r>
      </w:hyperlink>
      <w:r w:rsidR="008E64CE">
        <w:rPr>
          <w:rFonts w:ascii="Times New Roman" w:hAnsi="Times New Roman"/>
          <w:szCs w:val="24"/>
        </w:rPr>
        <w:t>)</w:t>
      </w:r>
      <w:r w:rsidR="001065D4">
        <w:rPr>
          <w:rFonts w:ascii="Times New Roman" w:hAnsi="Times New Roman"/>
          <w:szCs w:val="24"/>
        </w:rPr>
        <w:t xml:space="preserve">, is estimated at </w:t>
      </w:r>
      <w:r w:rsidR="00FA1C7B">
        <w:rPr>
          <w:rFonts w:ascii="Times New Roman" w:hAnsi="Times New Roman"/>
          <w:szCs w:val="24"/>
        </w:rPr>
        <w:t>$</w:t>
      </w:r>
      <w:r w:rsidR="002C67A5">
        <w:rPr>
          <w:rFonts w:ascii="Times New Roman" w:hAnsi="Times New Roman"/>
          <w:szCs w:val="24"/>
        </w:rPr>
        <w:t>15.42</w:t>
      </w:r>
      <w:r w:rsidR="00FA1C7B">
        <w:rPr>
          <w:rFonts w:ascii="Times New Roman" w:hAnsi="Times New Roman"/>
          <w:szCs w:val="24"/>
        </w:rPr>
        <w:t xml:space="preserve"> per staff hour.</w:t>
      </w:r>
      <w:r w:rsidR="001E298D">
        <w:rPr>
          <w:rFonts w:ascii="Times New Roman" w:hAnsi="Times New Roman"/>
          <w:szCs w:val="24"/>
        </w:rPr>
        <w:t xml:space="preserve">  </w:t>
      </w:r>
      <w:r w:rsidR="002C67A5">
        <w:rPr>
          <w:rFonts w:ascii="Times New Roman" w:hAnsi="Times New Roman"/>
          <w:szCs w:val="24"/>
        </w:rPr>
        <w:t xml:space="preserve"> </w:t>
      </w:r>
      <w:r w:rsidR="008E64CE">
        <w:rPr>
          <w:rFonts w:ascii="Times New Roman" w:hAnsi="Times New Roman"/>
          <w:szCs w:val="24"/>
        </w:rPr>
        <w:t xml:space="preserve">Adding the currently approved costs for the collection, the estimated annualized total cost to respondents is $19,021,343. </w:t>
      </w:r>
      <w:r w:rsidR="00D70331">
        <w:rPr>
          <w:rFonts w:ascii="Times New Roman" w:hAnsi="Times New Roman"/>
          <w:szCs w:val="24"/>
        </w:rPr>
        <w:t>These estimates are summarized below</w:t>
      </w:r>
      <w:r w:rsidR="0017400C">
        <w:rPr>
          <w:rFonts w:ascii="Times New Roman" w:hAnsi="Times New Roman"/>
          <w:szCs w:val="24"/>
        </w:rPr>
        <w:t>.</w:t>
      </w:r>
    </w:p>
    <w:tbl>
      <w:tblPr>
        <w:tblW w:w="5000" w:type="pct"/>
        <w:tblLook w:val="04A0"/>
      </w:tblPr>
      <w:tblGrid>
        <w:gridCol w:w="4360"/>
        <w:gridCol w:w="441"/>
        <w:gridCol w:w="1092"/>
        <w:gridCol w:w="706"/>
        <w:gridCol w:w="316"/>
        <w:gridCol w:w="766"/>
        <w:gridCol w:w="329"/>
        <w:gridCol w:w="1350"/>
      </w:tblGrid>
      <w:tr w14:paraId="02AA38D3" w14:textId="77777777" w:rsidTr="006B3A18">
        <w:tblPrEx>
          <w:tblW w:w="5000" w:type="pct"/>
          <w:tblLook w:val="04A0"/>
        </w:tblPrEx>
        <w:trPr>
          <w:trHeight w:val="312"/>
        </w:trPr>
        <w:tc>
          <w:tcPr>
            <w:tcW w:w="2020" w:type="pct"/>
            <w:tcBorders>
              <w:top w:val="nil"/>
              <w:left w:val="nil"/>
              <w:bottom w:val="nil"/>
              <w:right w:val="nil"/>
            </w:tcBorders>
            <w:shd w:val="clear" w:color="auto" w:fill="auto"/>
            <w:noWrap/>
            <w:vAlign w:val="center"/>
            <w:hideMark/>
          </w:tcPr>
          <w:p w:rsidR="006E7AB7" w:rsidP="006B3A18" w14:paraId="4FA71C79" w14:textId="77777777">
            <w:pPr>
              <w:widowControl/>
              <w:overflowPunct/>
              <w:autoSpaceDE/>
              <w:autoSpaceDN/>
              <w:adjustRightInd/>
              <w:textAlignment w:val="auto"/>
              <w:rPr>
                <w:rFonts w:ascii="Times New Roman" w:hAnsi="Times New Roman"/>
                <w:b/>
                <w:bCs/>
                <w:i/>
                <w:iCs/>
                <w:color w:val="000000"/>
                <w:sz w:val="20"/>
              </w:rPr>
            </w:pPr>
          </w:p>
          <w:p w:rsidR="006B3A18" w:rsidRPr="00531482" w:rsidP="006B3A18" w14:paraId="62AF4BBD" w14:textId="110A3530">
            <w:pPr>
              <w:widowControl/>
              <w:overflowPunct/>
              <w:autoSpaceDE/>
              <w:autoSpaceDN/>
              <w:adjustRightInd/>
              <w:textAlignment w:val="auto"/>
              <w:rPr>
                <w:rFonts w:ascii="Times New Roman" w:hAnsi="Times New Roman"/>
                <w:b/>
                <w:bCs/>
                <w:i/>
                <w:iCs/>
                <w:color w:val="000000"/>
                <w:sz w:val="20"/>
              </w:rPr>
            </w:pPr>
            <w:r w:rsidRPr="00531482">
              <w:rPr>
                <w:rFonts w:ascii="Times New Roman" w:hAnsi="Times New Roman"/>
                <w:b/>
                <w:bCs/>
                <w:i/>
                <w:iCs/>
                <w:color w:val="000000"/>
                <w:sz w:val="20"/>
              </w:rPr>
              <w:t>State and Local Government Level</w:t>
            </w:r>
          </w:p>
        </w:tc>
        <w:tc>
          <w:tcPr>
            <w:tcW w:w="327" w:type="pct"/>
            <w:tcBorders>
              <w:top w:val="nil"/>
              <w:left w:val="nil"/>
              <w:bottom w:val="nil"/>
              <w:right w:val="nil"/>
            </w:tcBorders>
            <w:shd w:val="clear" w:color="auto" w:fill="auto"/>
            <w:noWrap/>
            <w:vAlign w:val="center"/>
            <w:hideMark/>
          </w:tcPr>
          <w:p w:rsidR="006B3A18" w:rsidRPr="00531482" w:rsidP="006B3A18" w14:paraId="79F97E74" w14:textId="77777777">
            <w:pPr>
              <w:widowControl/>
              <w:overflowPunct/>
              <w:autoSpaceDE/>
              <w:autoSpaceDN/>
              <w:adjustRightInd/>
              <w:textAlignment w:val="auto"/>
              <w:rPr>
                <w:rFonts w:ascii="Times New Roman" w:hAnsi="Times New Roman"/>
                <w:b/>
                <w:bCs/>
                <w:i/>
                <w:iCs/>
                <w:color w:val="000000"/>
                <w:sz w:val="20"/>
              </w:rPr>
            </w:pPr>
          </w:p>
        </w:tc>
        <w:tc>
          <w:tcPr>
            <w:tcW w:w="674" w:type="pct"/>
            <w:tcBorders>
              <w:top w:val="nil"/>
              <w:left w:val="nil"/>
              <w:bottom w:val="nil"/>
              <w:right w:val="nil"/>
            </w:tcBorders>
            <w:shd w:val="clear" w:color="auto" w:fill="auto"/>
            <w:noWrap/>
            <w:vAlign w:val="center"/>
            <w:hideMark/>
          </w:tcPr>
          <w:p w:rsidR="006B3A18" w:rsidRPr="006B3A18" w:rsidP="006B3A18" w14:paraId="73751E73" w14:textId="77777777">
            <w:pPr>
              <w:widowControl/>
              <w:overflowPunct/>
              <w:autoSpaceDE/>
              <w:autoSpaceDN/>
              <w:adjustRightInd/>
              <w:jc w:val="center"/>
              <w:textAlignment w:val="auto"/>
              <w:rPr>
                <w:rFonts w:ascii="Times New Roman" w:hAnsi="Times New Roman"/>
                <w:sz w:val="20"/>
              </w:rPr>
            </w:pPr>
          </w:p>
        </w:tc>
        <w:tc>
          <w:tcPr>
            <w:tcW w:w="373" w:type="pct"/>
            <w:tcBorders>
              <w:top w:val="nil"/>
              <w:left w:val="nil"/>
              <w:bottom w:val="nil"/>
              <w:right w:val="nil"/>
            </w:tcBorders>
            <w:shd w:val="clear" w:color="auto" w:fill="auto"/>
            <w:noWrap/>
            <w:vAlign w:val="center"/>
            <w:hideMark/>
          </w:tcPr>
          <w:p w:rsidR="006B3A18" w:rsidRPr="006B3A18" w:rsidP="006B3A18" w14:paraId="6F1E1AC9" w14:textId="77777777">
            <w:pPr>
              <w:widowControl/>
              <w:overflowPunct/>
              <w:autoSpaceDE/>
              <w:autoSpaceDN/>
              <w:adjustRightInd/>
              <w:jc w:val="right"/>
              <w:textAlignment w:val="auto"/>
              <w:rPr>
                <w:rFonts w:ascii="Times New Roman" w:hAnsi="Times New Roman"/>
                <w:sz w:val="20"/>
              </w:rPr>
            </w:pPr>
          </w:p>
        </w:tc>
        <w:tc>
          <w:tcPr>
            <w:tcW w:w="144" w:type="pct"/>
            <w:tcBorders>
              <w:top w:val="nil"/>
              <w:left w:val="nil"/>
              <w:bottom w:val="nil"/>
              <w:right w:val="nil"/>
            </w:tcBorders>
            <w:shd w:val="clear" w:color="auto" w:fill="auto"/>
            <w:noWrap/>
            <w:vAlign w:val="center"/>
            <w:hideMark/>
          </w:tcPr>
          <w:p w:rsidR="006B3A18" w:rsidRPr="006B3A18" w:rsidP="006B3A18" w14:paraId="70F67858" w14:textId="77777777">
            <w:pPr>
              <w:widowControl/>
              <w:overflowPunct/>
              <w:autoSpaceDE/>
              <w:autoSpaceDN/>
              <w:adjustRightInd/>
              <w:jc w:val="center"/>
              <w:textAlignment w:val="auto"/>
              <w:rPr>
                <w:rFonts w:ascii="Times New Roman" w:hAnsi="Times New Roman"/>
                <w:sz w:val="20"/>
              </w:rPr>
            </w:pPr>
          </w:p>
        </w:tc>
        <w:tc>
          <w:tcPr>
            <w:tcW w:w="446" w:type="pct"/>
            <w:tcBorders>
              <w:top w:val="nil"/>
              <w:left w:val="nil"/>
              <w:bottom w:val="nil"/>
              <w:right w:val="nil"/>
            </w:tcBorders>
            <w:shd w:val="clear" w:color="auto" w:fill="auto"/>
            <w:noWrap/>
            <w:vAlign w:val="center"/>
            <w:hideMark/>
          </w:tcPr>
          <w:p w:rsidR="006B3A18" w:rsidRPr="006B3A18" w:rsidP="006B3A18" w14:paraId="3A73B464" w14:textId="77777777">
            <w:pPr>
              <w:widowControl/>
              <w:overflowPunct/>
              <w:autoSpaceDE/>
              <w:autoSpaceDN/>
              <w:adjustRightInd/>
              <w:jc w:val="center"/>
              <w:textAlignment w:val="auto"/>
              <w:rPr>
                <w:rFonts w:ascii="Times New Roman" w:hAnsi="Times New Roman"/>
                <w:sz w:val="20"/>
              </w:rPr>
            </w:pPr>
          </w:p>
        </w:tc>
        <w:tc>
          <w:tcPr>
            <w:tcW w:w="150" w:type="pct"/>
            <w:tcBorders>
              <w:top w:val="nil"/>
              <w:left w:val="nil"/>
              <w:bottom w:val="nil"/>
              <w:right w:val="nil"/>
            </w:tcBorders>
            <w:shd w:val="clear" w:color="auto" w:fill="auto"/>
            <w:noWrap/>
            <w:vAlign w:val="center"/>
            <w:hideMark/>
          </w:tcPr>
          <w:p w:rsidR="006B3A18" w:rsidRPr="006B3A18" w:rsidP="006B3A18" w14:paraId="03DC33E1" w14:textId="77777777">
            <w:pPr>
              <w:widowControl/>
              <w:overflowPunct/>
              <w:autoSpaceDE/>
              <w:autoSpaceDN/>
              <w:adjustRightInd/>
              <w:jc w:val="center"/>
              <w:textAlignment w:val="auto"/>
              <w:rPr>
                <w:rFonts w:ascii="Times New Roman" w:hAnsi="Times New Roman"/>
                <w:sz w:val="20"/>
              </w:rPr>
            </w:pPr>
          </w:p>
        </w:tc>
        <w:tc>
          <w:tcPr>
            <w:tcW w:w="866" w:type="pct"/>
            <w:tcBorders>
              <w:top w:val="nil"/>
              <w:left w:val="nil"/>
              <w:bottom w:val="nil"/>
              <w:right w:val="nil"/>
            </w:tcBorders>
            <w:shd w:val="clear" w:color="auto" w:fill="auto"/>
            <w:noWrap/>
            <w:vAlign w:val="center"/>
            <w:hideMark/>
          </w:tcPr>
          <w:p w:rsidR="006B3A18" w:rsidRPr="006B3A18" w:rsidP="006B3A18" w14:paraId="31BEE028" w14:textId="77777777">
            <w:pPr>
              <w:widowControl/>
              <w:overflowPunct/>
              <w:autoSpaceDE/>
              <w:autoSpaceDN/>
              <w:adjustRightInd/>
              <w:jc w:val="center"/>
              <w:textAlignment w:val="auto"/>
              <w:rPr>
                <w:rFonts w:ascii="Times New Roman" w:hAnsi="Times New Roman"/>
                <w:sz w:val="20"/>
              </w:rPr>
            </w:pPr>
          </w:p>
        </w:tc>
      </w:tr>
      <w:tr w14:paraId="58127D55" w14:textId="77777777" w:rsidTr="006B3A18">
        <w:tblPrEx>
          <w:tblW w:w="5000" w:type="pct"/>
          <w:tblLook w:val="04A0"/>
        </w:tblPrEx>
        <w:trPr>
          <w:trHeight w:val="288"/>
        </w:trPr>
        <w:tc>
          <w:tcPr>
            <w:tcW w:w="2020" w:type="pct"/>
            <w:tcBorders>
              <w:top w:val="nil"/>
              <w:left w:val="nil"/>
              <w:bottom w:val="nil"/>
              <w:right w:val="nil"/>
            </w:tcBorders>
            <w:shd w:val="clear" w:color="auto" w:fill="auto"/>
            <w:noWrap/>
            <w:vAlign w:val="center"/>
            <w:hideMark/>
          </w:tcPr>
          <w:p w:rsidR="006B3A18" w:rsidRPr="007F5E47" w:rsidP="006B3A18" w14:paraId="5752A568" w14:textId="77777777">
            <w:pPr>
              <w:widowControl/>
              <w:overflowPunct/>
              <w:autoSpaceDE/>
              <w:autoSpaceDN/>
              <w:adjustRightInd/>
              <w:ind w:firstLine="400" w:firstLineChars="200"/>
              <w:textAlignment w:val="auto"/>
              <w:rPr>
                <w:rFonts w:ascii="Times New Roman" w:hAnsi="Times New Roman"/>
                <w:color w:val="000000"/>
                <w:sz w:val="20"/>
              </w:rPr>
            </w:pPr>
            <w:r w:rsidRPr="007F5E47">
              <w:rPr>
                <w:rFonts w:ascii="Times New Roman" w:hAnsi="Times New Roman"/>
                <w:color w:val="000000"/>
                <w:sz w:val="20"/>
              </w:rPr>
              <w:t>State/Local/Tribal Government Agencies</w:t>
            </w:r>
          </w:p>
        </w:tc>
        <w:tc>
          <w:tcPr>
            <w:tcW w:w="327" w:type="pct"/>
            <w:tcBorders>
              <w:top w:val="nil"/>
              <w:left w:val="nil"/>
              <w:bottom w:val="nil"/>
              <w:right w:val="nil"/>
            </w:tcBorders>
            <w:shd w:val="clear" w:color="auto" w:fill="auto"/>
            <w:noWrap/>
            <w:vAlign w:val="bottom"/>
            <w:hideMark/>
          </w:tcPr>
          <w:p w:rsidR="006B3A18" w:rsidRPr="007F5E47" w:rsidP="006B3A18" w14:paraId="18A06DD0" w14:textId="77777777">
            <w:pPr>
              <w:widowControl/>
              <w:overflowPunct/>
              <w:autoSpaceDE/>
              <w:autoSpaceDN/>
              <w:adjustRightInd/>
              <w:jc w:val="center"/>
              <w:textAlignment w:val="auto"/>
              <w:rPr>
                <w:rFonts w:ascii="Times New Roman" w:hAnsi="Times New Roman"/>
                <w:color w:val="000000"/>
                <w:sz w:val="20"/>
              </w:rPr>
            </w:pPr>
            <w:r w:rsidRPr="007F5E47">
              <w:rPr>
                <w:rFonts w:ascii="Times New Roman" w:hAnsi="Times New Roman"/>
                <w:color w:val="000000"/>
                <w:sz w:val="20"/>
              </w:rPr>
              <w:t>=</w:t>
            </w:r>
          </w:p>
        </w:tc>
        <w:tc>
          <w:tcPr>
            <w:tcW w:w="674" w:type="pct"/>
            <w:tcBorders>
              <w:top w:val="nil"/>
              <w:left w:val="nil"/>
              <w:bottom w:val="nil"/>
              <w:right w:val="nil"/>
            </w:tcBorders>
            <w:shd w:val="clear" w:color="auto" w:fill="auto"/>
            <w:noWrap/>
            <w:vAlign w:val="bottom"/>
            <w:hideMark/>
          </w:tcPr>
          <w:p w:rsidR="006B3A18" w:rsidRPr="007F5E47" w:rsidP="006B3A18" w14:paraId="5DA185AC" w14:textId="71BC2B46">
            <w:pPr>
              <w:widowControl/>
              <w:overflowPunct/>
              <w:autoSpaceDE/>
              <w:autoSpaceDN/>
              <w:adjustRightInd/>
              <w:jc w:val="right"/>
              <w:textAlignment w:val="auto"/>
              <w:rPr>
                <w:rFonts w:ascii="Times New Roman" w:hAnsi="Times New Roman"/>
                <w:color w:val="000000"/>
                <w:sz w:val="20"/>
              </w:rPr>
            </w:pPr>
            <w:r w:rsidRPr="007F5E47">
              <w:rPr>
                <w:rFonts w:ascii="Times New Roman" w:hAnsi="Times New Roman"/>
                <w:color w:val="000000"/>
                <w:sz w:val="20"/>
              </w:rPr>
              <w:t>9,</w:t>
            </w:r>
            <w:r w:rsidR="00A91FA5">
              <w:rPr>
                <w:rFonts w:ascii="Times New Roman" w:hAnsi="Times New Roman"/>
                <w:color w:val="000000"/>
                <w:sz w:val="20"/>
              </w:rPr>
              <w:t>673.28</w:t>
            </w:r>
          </w:p>
        </w:tc>
        <w:tc>
          <w:tcPr>
            <w:tcW w:w="373" w:type="pct"/>
            <w:tcBorders>
              <w:top w:val="nil"/>
              <w:left w:val="nil"/>
              <w:bottom w:val="nil"/>
              <w:right w:val="nil"/>
            </w:tcBorders>
            <w:shd w:val="clear" w:color="auto" w:fill="auto"/>
            <w:noWrap/>
            <w:vAlign w:val="bottom"/>
            <w:hideMark/>
          </w:tcPr>
          <w:p w:rsidR="006B3A18" w:rsidRPr="007F5E47" w:rsidP="006B3A18" w14:paraId="189211C5" w14:textId="77777777">
            <w:pPr>
              <w:widowControl/>
              <w:overflowPunct/>
              <w:autoSpaceDE/>
              <w:autoSpaceDN/>
              <w:adjustRightInd/>
              <w:jc w:val="center"/>
              <w:textAlignment w:val="auto"/>
              <w:rPr>
                <w:rFonts w:ascii="Times New Roman" w:hAnsi="Times New Roman"/>
                <w:color w:val="000000"/>
                <w:sz w:val="20"/>
              </w:rPr>
            </w:pPr>
            <w:r w:rsidRPr="007F5E47">
              <w:rPr>
                <w:rFonts w:ascii="Times New Roman" w:hAnsi="Times New Roman"/>
                <w:color w:val="000000"/>
                <w:sz w:val="20"/>
              </w:rPr>
              <w:t>hours</w:t>
            </w:r>
          </w:p>
        </w:tc>
        <w:tc>
          <w:tcPr>
            <w:tcW w:w="144" w:type="pct"/>
            <w:tcBorders>
              <w:top w:val="nil"/>
              <w:left w:val="nil"/>
              <w:bottom w:val="nil"/>
              <w:right w:val="nil"/>
            </w:tcBorders>
            <w:shd w:val="clear" w:color="auto" w:fill="auto"/>
            <w:noWrap/>
            <w:vAlign w:val="bottom"/>
            <w:hideMark/>
          </w:tcPr>
          <w:p w:rsidR="006B3A18" w:rsidRPr="007F5E47" w:rsidP="006B3A18" w14:paraId="36C076D4" w14:textId="77777777">
            <w:pPr>
              <w:widowControl/>
              <w:overflowPunct/>
              <w:autoSpaceDE/>
              <w:autoSpaceDN/>
              <w:adjustRightInd/>
              <w:jc w:val="center"/>
              <w:textAlignment w:val="auto"/>
              <w:rPr>
                <w:rFonts w:ascii="Times New Roman" w:hAnsi="Times New Roman"/>
                <w:color w:val="000000"/>
                <w:sz w:val="20"/>
              </w:rPr>
            </w:pPr>
            <w:r w:rsidRPr="007F5E47">
              <w:rPr>
                <w:rFonts w:ascii="Times New Roman" w:hAnsi="Times New Roman"/>
                <w:color w:val="000000"/>
                <w:sz w:val="20"/>
              </w:rPr>
              <w:t>x</w:t>
            </w:r>
          </w:p>
        </w:tc>
        <w:tc>
          <w:tcPr>
            <w:tcW w:w="446" w:type="pct"/>
            <w:tcBorders>
              <w:top w:val="nil"/>
              <w:left w:val="nil"/>
              <w:bottom w:val="nil"/>
              <w:right w:val="nil"/>
            </w:tcBorders>
            <w:shd w:val="clear" w:color="auto" w:fill="auto"/>
            <w:noWrap/>
            <w:vAlign w:val="bottom"/>
            <w:hideMark/>
          </w:tcPr>
          <w:p w:rsidR="006B3A18" w:rsidRPr="007F5E47" w:rsidP="006B3A18" w14:paraId="109B68B4" w14:textId="20619BD7">
            <w:pPr>
              <w:widowControl/>
              <w:overflowPunct/>
              <w:autoSpaceDE/>
              <w:autoSpaceDN/>
              <w:adjustRightInd/>
              <w:jc w:val="center"/>
              <w:textAlignment w:val="auto"/>
              <w:rPr>
                <w:rFonts w:ascii="Times New Roman" w:hAnsi="Times New Roman"/>
                <w:color w:val="000000"/>
                <w:sz w:val="20"/>
              </w:rPr>
            </w:pPr>
            <w:r w:rsidRPr="007F5E47">
              <w:rPr>
                <w:rFonts w:ascii="Times New Roman" w:hAnsi="Times New Roman"/>
                <w:color w:val="000000"/>
                <w:sz w:val="20"/>
              </w:rPr>
              <w:t>$</w:t>
            </w:r>
            <w:r w:rsidR="002C67A5">
              <w:rPr>
                <w:rFonts w:ascii="Times New Roman" w:hAnsi="Times New Roman"/>
                <w:color w:val="000000"/>
                <w:sz w:val="20"/>
              </w:rPr>
              <w:t>50.16</w:t>
            </w:r>
          </w:p>
        </w:tc>
        <w:tc>
          <w:tcPr>
            <w:tcW w:w="150" w:type="pct"/>
            <w:tcBorders>
              <w:top w:val="nil"/>
              <w:left w:val="nil"/>
              <w:bottom w:val="nil"/>
              <w:right w:val="nil"/>
            </w:tcBorders>
            <w:shd w:val="clear" w:color="auto" w:fill="auto"/>
            <w:noWrap/>
            <w:vAlign w:val="bottom"/>
            <w:hideMark/>
          </w:tcPr>
          <w:p w:rsidR="006B3A18" w:rsidRPr="007F5E47" w:rsidP="006B3A18" w14:paraId="350C7205" w14:textId="77777777">
            <w:pPr>
              <w:widowControl/>
              <w:overflowPunct/>
              <w:autoSpaceDE/>
              <w:autoSpaceDN/>
              <w:adjustRightInd/>
              <w:jc w:val="center"/>
              <w:textAlignment w:val="auto"/>
              <w:rPr>
                <w:rFonts w:ascii="Times New Roman" w:hAnsi="Times New Roman"/>
                <w:color w:val="000000"/>
                <w:sz w:val="20"/>
              </w:rPr>
            </w:pPr>
            <w:r w:rsidRPr="007F5E47">
              <w:rPr>
                <w:rFonts w:ascii="Times New Roman" w:hAnsi="Times New Roman"/>
                <w:color w:val="000000"/>
                <w:sz w:val="20"/>
              </w:rPr>
              <w:t>=</w:t>
            </w:r>
          </w:p>
        </w:tc>
        <w:tc>
          <w:tcPr>
            <w:tcW w:w="866" w:type="pct"/>
            <w:tcBorders>
              <w:top w:val="nil"/>
              <w:left w:val="nil"/>
              <w:bottom w:val="nil"/>
              <w:right w:val="nil"/>
            </w:tcBorders>
            <w:shd w:val="clear" w:color="auto" w:fill="auto"/>
            <w:noWrap/>
            <w:vAlign w:val="bottom"/>
            <w:hideMark/>
          </w:tcPr>
          <w:p w:rsidR="006B3A18" w:rsidRPr="007F5E47" w:rsidP="006B3A18" w14:paraId="397EFF3C" w14:textId="382C0BEA">
            <w:pPr>
              <w:widowControl/>
              <w:overflowPunct/>
              <w:autoSpaceDE/>
              <w:autoSpaceDN/>
              <w:adjustRightInd/>
              <w:jc w:val="right"/>
              <w:textAlignment w:val="auto"/>
              <w:rPr>
                <w:rFonts w:ascii="Times New Roman" w:hAnsi="Times New Roman"/>
                <w:color w:val="000000"/>
                <w:sz w:val="20"/>
              </w:rPr>
            </w:pPr>
            <w:r w:rsidRPr="007F5E47">
              <w:rPr>
                <w:rFonts w:ascii="Times New Roman" w:hAnsi="Times New Roman"/>
                <w:color w:val="000000"/>
                <w:sz w:val="20"/>
              </w:rPr>
              <w:t>$</w:t>
            </w:r>
            <w:r w:rsidR="00461296">
              <w:rPr>
                <w:rFonts w:ascii="Times New Roman" w:hAnsi="Times New Roman"/>
                <w:color w:val="000000"/>
                <w:sz w:val="20"/>
              </w:rPr>
              <w:t>485,212</w:t>
            </w:r>
          </w:p>
        </w:tc>
      </w:tr>
      <w:tr w14:paraId="3D1EBF62" w14:textId="77777777" w:rsidTr="006B3A18">
        <w:tblPrEx>
          <w:tblW w:w="5000" w:type="pct"/>
          <w:tblLook w:val="04A0"/>
        </w:tblPrEx>
        <w:trPr>
          <w:trHeight w:val="288"/>
        </w:trPr>
        <w:tc>
          <w:tcPr>
            <w:tcW w:w="2020" w:type="pct"/>
            <w:tcBorders>
              <w:top w:val="nil"/>
              <w:left w:val="nil"/>
              <w:bottom w:val="nil"/>
              <w:right w:val="nil"/>
            </w:tcBorders>
            <w:shd w:val="clear" w:color="auto" w:fill="auto"/>
            <w:noWrap/>
            <w:vAlign w:val="center"/>
            <w:hideMark/>
          </w:tcPr>
          <w:p w:rsidR="006B3A18" w:rsidRPr="007F5E47" w:rsidP="006B3A18" w14:paraId="585F0C3B" w14:textId="77777777">
            <w:pPr>
              <w:widowControl/>
              <w:overflowPunct/>
              <w:autoSpaceDE/>
              <w:autoSpaceDN/>
              <w:adjustRightInd/>
              <w:jc w:val="right"/>
              <w:textAlignment w:val="auto"/>
              <w:rPr>
                <w:rFonts w:ascii="Times New Roman" w:hAnsi="Times New Roman"/>
                <w:color w:val="000000"/>
                <w:sz w:val="20"/>
              </w:rPr>
            </w:pPr>
            <w:r w:rsidRPr="007F5E47">
              <w:rPr>
                <w:rFonts w:ascii="Times New Roman" w:hAnsi="Times New Roman"/>
                <w:color w:val="000000"/>
                <w:sz w:val="20"/>
              </w:rPr>
              <w:t>Subtotal</w:t>
            </w:r>
          </w:p>
        </w:tc>
        <w:tc>
          <w:tcPr>
            <w:tcW w:w="327" w:type="pct"/>
            <w:tcBorders>
              <w:top w:val="nil"/>
              <w:left w:val="nil"/>
              <w:bottom w:val="nil"/>
              <w:right w:val="nil"/>
            </w:tcBorders>
            <w:shd w:val="clear" w:color="auto" w:fill="auto"/>
            <w:noWrap/>
            <w:vAlign w:val="bottom"/>
            <w:hideMark/>
          </w:tcPr>
          <w:p w:rsidR="006B3A18" w:rsidRPr="007F5E47" w:rsidP="006B3A18" w14:paraId="516511EB" w14:textId="77777777">
            <w:pPr>
              <w:widowControl/>
              <w:overflowPunct/>
              <w:autoSpaceDE/>
              <w:autoSpaceDN/>
              <w:adjustRightInd/>
              <w:jc w:val="center"/>
              <w:textAlignment w:val="auto"/>
              <w:rPr>
                <w:rFonts w:ascii="Times New Roman" w:hAnsi="Times New Roman"/>
                <w:color w:val="000000"/>
                <w:sz w:val="20"/>
              </w:rPr>
            </w:pPr>
            <w:r w:rsidRPr="007F5E47">
              <w:rPr>
                <w:rFonts w:ascii="Times New Roman" w:hAnsi="Times New Roman"/>
                <w:color w:val="000000"/>
                <w:sz w:val="20"/>
              </w:rPr>
              <w:t>=</w:t>
            </w:r>
          </w:p>
        </w:tc>
        <w:tc>
          <w:tcPr>
            <w:tcW w:w="674" w:type="pct"/>
            <w:tcBorders>
              <w:top w:val="nil"/>
              <w:left w:val="nil"/>
              <w:bottom w:val="nil"/>
              <w:right w:val="nil"/>
            </w:tcBorders>
            <w:shd w:val="clear" w:color="auto" w:fill="auto"/>
            <w:noWrap/>
            <w:vAlign w:val="bottom"/>
            <w:hideMark/>
          </w:tcPr>
          <w:p w:rsidR="006B3A18" w:rsidRPr="007F5E47" w:rsidP="006B3A18" w14:paraId="2D6D4016" w14:textId="6E6FBF6E">
            <w:pPr>
              <w:widowControl/>
              <w:overflowPunct/>
              <w:autoSpaceDE/>
              <w:autoSpaceDN/>
              <w:adjustRightInd/>
              <w:jc w:val="right"/>
              <w:textAlignment w:val="auto"/>
              <w:rPr>
                <w:rFonts w:ascii="Times New Roman" w:hAnsi="Times New Roman"/>
                <w:color w:val="000000"/>
                <w:sz w:val="20"/>
              </w:rPr>
            </w:pPr>
            <w:r w:rsidRPr="007F5E47">
              <w:rPr>
                <w:rFonts w:ascii="Times New Roman" w:hAnsi="Times New Roman"/>
                <w:color w:val="000000"/>
                <w:sz w:val="20"/>
              </w:rPr>
              <w:t>9,</w:t>
            </w:r>
            <w:r w:rsidR="00A91FA5">
              <w:rPr>
                <w:rFonts w:ascii="Times New Roman" w:hAnsi="Times New Roman"/>
                <w:color w:val="000000"/>
                <w:sz w:val="20"/>
              </w:rPr>
              <w:t>673.28</w:t>
            </w:r>
          </w:p>
        </w:tc>
        <w:tc>
          <w:tcPr>
            <w:tcW w:w="373" w:type="pct"/>
            <w:tcBorders>
              <w:top w:val="nil"/>
              <w:left w:val="nil"/>
              <w:bottom w:val="nil"/>
              <w:right w:val="nil"/>
            </w:tcBorders>
            <w:shd w:val="clear" w:color="auto" w:fill="auto"/>
            <w:noWrap/>
            <w:vAlign w:val="bottom"/>
            <w:hideMark/>
          </w:tcPr>
          <w:p w:rsidR="006B3A18" w:rsidRPr="007F5E47" w:rsidP="006B3A18" w14:paraId="53404C0E" w14:textId="77777777">
            <w:pPr>
              <w:widowControl/>
              <w:overflowPunct/>
              <w:autoSpaceDE/>
              <w:autoSpaceDN/>
              <w:adjustRightInd/>
              <w:jc w:val="center"/>
              <w:textAlignment w:val="auto"/>
              <w:rPr>
                <w:rFonts w:ascii="Times New Roman" w:hAnsi="Times New Roman"/>
                <w:color w:val="000000"/>
                <w:sz w:val="20"/>
              </w:rPr>
            </w:pPr>
            <w:r w:rsidRPr="007F5E47">
              <w:rPr>
                <w:rFonts w:ascii="Times New Roman" w:hAnsi="Times New Roman"/>
                <w:color w:val="000000"/>
                <w:sz w:val="20"/>
              </w:rPr>
              <w:t>hours</w:t>
            </w:r>
          </w:p>
        </w:tc>
        <w:tc>
          <w:tcPr>
            <w:tcW w:w="144" w:type="pct"/>
            <w:tcBorders>
              <w:top w:val="nil"/>
              <w:left w:val="nil"/>
              <w:bottom w:val="nil"/>
              <w:right w:val="nil"/>
            </w:tcBorders>
            <w:shd w:val="clear" w:color="auto" w:fill="auto"/>
            <w:noWrap/>
            <w:vAlign w:val="bottom"/>
            <w:hideMark/>
          </w:tcPr>
          <w:p w:rsidR="006B3A18" w:rsidRPr="007F5E47" w:rsidP="006B3A18" w14:paraId="64B29A89" w14:textId="77777777">
            <w:pPr>
              <w:widowControl/>
              <w:overflowPunct/>
              <w:autoSpaceDE/>
              <w:autoSpaceDN/>
              <w:adjustRightInd/>
              <w:jc w:val="center"/>
              <w:textAlignment w:val="auto"/>
              <w:rPr>
                <w:rFonts w:ascii="Times New Roman" w:hAnsi="Times New Roman"/>
                <w:color w:val="000000"/>
                <w:sz w:val="20"/>
              </w:rPr>
            </w:pPr>
          </w:p>
        </w:tc>
        <w:tc>
          <w:tcPr>
            <w:tcW w:w="446" w:type="pct"/>
            <w:tcBorders>
              <w:top w:val="nil"/>
              <w:left w:val="nil"/>
              <w:bottom w:val="nil"/>
              <w:right w:val="nil"/>
            </w:tcBorders>
            <w:shd w:val="clear" w:color="auto" w:fill="auto"/>
            <w:noWrap/>
            <w:vAlign w:val="bottom"/>
            <w:hideMark/>
          </w:tcPr>
          <w:p w:rsidR="006B3A18" w:rsidRPr="006B3A18" w:rsidP="006B3A18" w14:paraId="32DF77BA" w14:textId="77777777">
            <w:pPr>
              <w:widowControl/>
              <w:overflowPunct/>
              <w:autoSpaceDE/>
              <w:autoSpaceDN/>
              <w:adjustRightInd/>
              <w:jc w:val="center"/>
              <w:textAlignment w:val="auto"/>
              <w:rPr>
                <w:rFonts w:ascii="Times New Roman" w:hAnsi="Times New Roman"/>
                <w:sz w:val="20"/>
              </w:rPr>
            </w:pPr>
          </w:p>
        </w:tc>
        <w:tc>
          <w:tcPr>
            <w:tcW w:w="150" w:type="pct"/>
            <w:tcBorders>
              <w:top w:val="nil"/>
              <w:left w:val="nil"/>
              <w:bottom w:val="nil"/>
              <w:right w:val="nil"/>
            </w:tcBorders>
            <w:shd w:val="clear" w:color="auto" w:fill="auto"/>
            <w:noWrap/>
            <w:vAlign w:val="bottom"/>
            <w:hideMark/>
          </w:tcPr>
          <w:p w:rsidR="006B3A18" w:rsidRPr="006B3A18" w:rsidP="006B3A18" w14:paraId="4200DB02" w14:textId="77777777">
            <w:pPr>
              <w:widowControl/>
              <w:overflowPunct/>
              <w:autoSpaceDE/>
              <w:autoSpaceDN/>
              <w:adjustRightInd/>
              <w:jc w:val="center"/>
              <w:textAlignment w:val="auto"/>
              <w:rPr>
                <w:rFonts w:ascii="Times New Roman" w:hAnsi="Times New Roman"/>
                <w:sz w:val="20"/>
              </w:rPr>
            </w:pPr>
          </w:p>
        </w:tc>
        <w:tc>
          <w:tcPr>
            <w:tcW w:w="866" w:type="pct"/>
            <w:tcBorders>
              <w:top w:val="nil"/>
              <w:left w:val="nil"/>
              <w:bottom w:val="nil"/>
              <w:right w:val="nil"/>
            </w:tcBorders>
            <w:shd w:val="clear" w:color="auto" w:fill="auto"/>
            <w:noWrap/>
            <w:vAlign w:val="bottom"/>
            <w:hideMark/>
          </w:tcPr>
          <w:p w:rsidR="006B3A18" w:rsidRPr="007F5E47" w:rsidP="006B3A18" w14:paraId="35DEBDA9" w14:textId="132CA8C1">
            <w:pPr>
              <w:widowControl/>
              <w:overflowPunct/>
              <w:autoSpaceDE/>
              <w:autoSpaceDN/>
              <w:adjustRightInd/>
              <w:jc w:val="right"/>
              <w:textAlignment w:val="auto"/>
              <w:rPr>
                <w:rFonts w:ascii="Times New Roman" w:hAnsi="Times New Roman"/>
                <w:color w:val="000000"/>
                <w:sz w:val="20"/>
              </w:rPr>
            </w:pPr>
            <w:r w:rsidRPr="007F5E47">
              <w:rPr>
                <w:rFonts w:ascii="Times New Roman" w:hAnsi="Times New Roman"/>
                <w:color w:val="000000"/>
                <w:sz w:val="20"/>
              </w:rPr>
              <w:t>$</w:t>
            </w:r>
            <w:r w:rsidR="002C67A5">
              <w:rPr>
                <w:rFonts w:ascii="Times New Roman" w:hAnsi="Times New Roman"/>
                <w:color w:val="000000"/>
                <w:sz w:val="20"/>
              </w:rPr>
              <w:t>4</w:t>
            </w:r>
            <w:r w:rsidR="00461296">
              <w:rPr>
                <w:rFonts w:ascii="Times New Roman" w:hAnsi="Times New Roman"/>
                <w:color w:val="000000"/>
                <w:sz w:val="20"/>
              </w:rPr>
              <w:t>85,212</w:t>
            </w:r>
          </w:p>
        </w:tc>
      </w:tr>
      <w:tr w14:paraId="5A15F2F9" w14:textId="77777777" w:rsidTr="006B3A18">
        <w:tblPrEx>
          <w:tblW w:w="5000" w:type="pct"/>
          <w:tblLook w:val="04A0"/>
        </w:tblPrEx>
        <w:trPr>
          <w:trHeight w:val="312"/>
        </w:trPr>
        <w:tc>
          <w:tcPr>
            <w:tcW w:w="2020" w:type="pct"/>
            <w:tcBorders>
              <w:top w:val="nil"/>
              <w:left w:val="nil"/>
              <w:bottom w:val="nil"/>
              <w:right w:val="nil"/>
            </w:tcBorders>
            <w:shd w:val="clear" w:color="auto" w:fill="auto"/>
            <w:noWrap/>
            <w:vAlign w:val="center"/>
            <w:hideMark/>
          </w:tcPr>
          <w:p w:rsidR="006B3A18" w:rsidRPr="007F5E47" w:rsidP="006B3A18" w14:paraId="5FA0D4E9" w14:textId="77777777">
            <w:pPr>
              <w:widowControl/>
              <w:overflowPunct/>
              <w:autoSpaceDE/>
              <w:autoSpaceDN/>
              <w:adjustRightInd/>
              <w:textAlignment w:val="auto"/>
              <w:rPr>
                <w:rFonts w:ascii="Times New Roman" w:hAnsi="Times New Roman"/>
                <w:b/>
                <w:bCs/>
                <w:i/>
                <w:iCs/>
                <w:color w:val="000000"/>
                <w:sz w:val="20"/>
              </w:rPr>
            </w:pPr>
            <w:r w:rsidRPr="007F5E47">
              <w:rPr>
                <w:rFonts w:ascii="Times New Roman" w:hAnsi="Times New Roman"/>
                <w:b/>
                <w:bCs/>
                <w:i/>
                <w:iCs/>
                <w:color w:val="000000"/>
                <w:sz w:val="20"/>
              </w:rPr>
              <w:t>Business Level</w:t>
            </w:r>
          </w:p>
        </w:tc>
        <w:tc>
          <w:tcPr>
            <w:tcW w:w="327" w:type="pct"/>
            <w:tcBorders>
              <w:top w:val="nil"/>
              <w:left w:val="nil"/>
              <w:bottom w:val="nil"/>
              <w:right w:val="nil"/>
            </w:tcBorders>
            <w:shd w:val="clear" w:color="auto" w:fill="auto"/>
            <w:noWrap/>
            <w:vAlign w:val="center"/>
            <w:hideMark/>
          </w:tcPr>
          <w:p w:rsidR="006B3A18" w:rsidRPr="007F5E47" w:rsidP="006B3A18" w14:paraId="3814E555" w14:textId="77777777">
            <w:pPr>
              <w:widowControl/>
              <w:overflowPunct/>
              <w:autoSpaceDE/>
              <w:autoSpaceDN/>
              <w:adjustRightInd/>
              <w:textAlignment w:val="auto"/>
              <w:rPr>
                <w:rFonts w:ascii="Times New Roman" w:hAnsi="Times New Roman"/>
                <w:b/>
                <w:bCs/>
                <w:i/>
                <w:iCs/>
                <w:color w:val="000000"/>
                <w:sz w:val="20"/>
              </w:rPr>
            </w:pPr>
          </w:p>
        </w:tc>
        <w:tc>
          <w:tcPr>
            <w:tcW w:w="674" w:type="pct"/>
            <w:tcBorders>
              <w:top w:val="nil"/>
              <w:left w:val="nil"/>
              <w:bottom w:val="nil"/>
              <w:right w:val="nil"/>
            </w:tcBorders>
            <w:shd w:val="clear" w:color="auto" w:fill="auto"/>
            <w:noWrap/>
            <w:vAlign w:val="center"/>
            <w:hideMark/>
          </w:tcPr>
          <w:p w:rsidR="006B3A18" w:rsidRPr="006B3A18" w:rsidP="006B3A18" w14:paraId="14AEBCEE" w14:textId="77777777">
            <w:pPr>
              <w:widowControl/>
              <w:overflowPunct/>
              <w:autoSpaceDE/>
              <w:autoSpaceDN/>
              <w:adjustRightInd/>
              <w:textAlignment w:val="auto"/>
              <w:rPr>
                <w:rFonts w:ascii="Times New Roman" w:hAnsi="Times New Roman"/>
                <w:sz w:val="20"/>
              </w:rPr>
            </w:pPr>
          </w:p>
        </w:tc>
        <w:tc>
          <w:tcPr>
            <w:tcW w:w="373" w:type="pct"/>
            <w:tcBorders>
              <w:top w:val="nil"/>
              <w:left w:val="nil"/>
              <w:bottom w:val="nil"/>
              <w:right w:val="nil"/>
            </w:tcBorders>
            <w:shd w:val="clear" w:color="auto" w:fill="auto"/>
            <w:noWrap/>
            <w:vAlign w:val="center"/>
            <w:hideMark/>
          </w:tcPr>
          <w:p w:rsidR="006B3A18" w:rsidRPr="006B3A18" w:rsidP="006B3A18" w14:paraId="0E92C224" w14:textId="77777777">
            <w:pPr>
              <w:widowControl/>
              <w:overflowPunct/>
              <w:autoSpaceDE/>
              <w:autoSpaceDN/>
              <w:adjustRightInd/>
              <w:jc w:val="right"/>
              <w:textAlignment w:val="auto"/>
              <w:rPr>
                <w:rFonts w:ascii="Times New Roman" w:hAnsi="Times New Roman"/>
                <w:sz w:val="20"/>
              </w:rPr>
            </w:pPr>
          </w:p>
        </w:tc>
        <w:tc>
          <w:tcPr>
            <w:tcW w:w="144" w:type="pct"/>
            <w:tcBorders>
              <w:top w:val="nil"/>
              <w:left w:val="nil"/>
              <w:bottom w:val="nil"/>
              <w:right w:val="nil"/>
            </w:tcBorders>
            <w:shd w:val="clear" w:color="auto" w:fill="auto"/>
            <w:noWrap/>
            <w:vAlign w:val="center"/>
            <w:hideMark/>
          </w:tcPr>
          <w:p w:rsidR="006B3A18" w:rsidRPr="006B3A18" w:rsidP="006B3A18" w14:paraId="2F2EA417" w14:textId="77777777">
            <w:pPr>
              <w:widowControl/>
              <w:overflowPunct/>
              <w:autoSpaceDE/>
              <w:autoSpaceDN/>
              <w:adjustRightInd/>
              <w:jc w:val="center"/>
              <w:textAlignment w:val="auto"/>
              <w:rPr>
                <w:rFonts w:ascii="Times New Roman" w:hAnsi="Times New Roman"/>
                <w:sz w:val="20"/>
              </w:rPr>
            </w:pPr>
          </w:p>
        </w:tc>
        <w:tc>
          <w:tcPr>
            <w:tcW w:w="446" w:type="pct"/>
            <w:tcBorders>
              <w:top w:val="nil"/>
              <w:left w:val="nil"/>
              <w:bottom w:val="nil"/>
              <w:right w:val="nil"/>
            </w:tcBorders>
            <w:shd w:val="clear" w:color="auto" w:fill="auto"/>
            <w:noWrap/>
            <w:vAlign w:val="center"/>
            <w:hideMark/>
          </w:tcPr>
          <w:p w:rsidR="006B3A18" w:rsidRPr="006B3A18" w:rsidP="006B3A18" w14:paraId="2B59C4FF" w14:textId="77777777">
            <w:pPr>
              <w:widowControl/>
              <w:overflowPunct/>
              <w:autoSpaceDE/>
              <w:autoSpaceDN/>
              <w:adjustRightInd/>
              <w:jc w:val="center"/>
              <w:textAlignment w:val="auto"/>
              <w:rPr>
                <w:rFonts w:ascii="Times New Roman" w:hAnsi="Times New Roman"/>
                <w:sz w:val="20"/>
              </w:rPr>
            </w:pPr>
          </w:p>
        </w:tc>
        <w:tc>
          <w:tcPr>
            <w:tcW w:w="150" w:type="pct"/>
            <w:tcBorders>
              <w:top w:val="nil"/>
              <w:left w:val="nil"/>
              <w:bottom w:val="nil"/>
              <w:right w:val="nil"/>
            </w:tcBorders>
            <w:shd w:val="clear" w:color="auto" w:fill="auto"/>
            <w:noWrap/>
            <w:vAlign w:val="center"/>
            <w:hideMark/>
          </w:tcPr>
          <w:p w:rsidR="006B3A18" w:rsidRPr="006B3A18" w:rsidP="006B3A18" w14:paraId="2DE73EC8" w14:textId="77777777">
            <w:pPr>
              <w:widowControl/>
              <w:overflowPunct/>
              <w:autoSpaceDE/>
              <w:autoSpaceDN/>
              <w:adjustRightInd/>
              <w:jc w:val="center"/>
              <w:textAlignment w:val="auto"/>
              <w:rPr>
                <w:rFonts w:ascii="Times New Roman" w:hAnsi="Times New Roman"/>
                <w:sz w:val="20"/>
              </w:rPr>
            </w:pPr>
          </w:p>
        </w:tc>
        <w:tc>
          <w:tcPr>
            <w:tcW w:w="866" w:type="pct"/>
            <w:tcBorders>
              <w:top w:val="nil"/>
              <w:left w:val="nil"/>
              <w:bottom w:val="nil"/>
              <w:right w:val="nil"/>
            </w:tcBorders>
            <w:shd w:val="clear" w:color="auto" w:fill="auto"/>
            <w:noWrap/>
            <w:vAlign w:val="center"/>
            <w:hideMark/>
          </w:tcPr>
          <w:p w:rsidR="006B3A18" w:rsidRPr="006B3A18" w:rsidP="006B3A18" w14:paraId="1B6057D3" w14:textId="77777777">
            <w:pPr>
              <w:widowControl/>
              <w:overflowPunct/>
              <w:autoSpaceDE/>
              <w:autoSpaceDN/>
              <w:adjustRightInd/>
              <w:jc w:val="center"/>
              <w:textAlignment w:val="auto"/>
              <w:rPr>
                <w:rFonts w:ascii="Times New Roman" w:hAnsi="Times New Roman"/>
                <w:sz w:val="20"/>
              </w:rPr>
            </w:pPr>
          </w:p>
        </w:tc>
      </w:tr>
      <w:tr w14:paraId="7DD4F292" w14:textId="77777777" w:rsidTr="006B3A18">
        <w:tblPrEx>
          <w:tblW w:w="5000" w:type="pct"/>
          <w:tblLook w:val="04A0"/>
        </w:tblPrEx>
        <w:trPr>
          <w:trHeight w:val="288"/>
        </w:trPr>
        <w:tc>
          <w:tcPr>
            <w:tcW w:w="2020" w:type="pct"/>
            <w:tcBorders>
              <w:top w:val="nil"/>
              <w:left w:val="nil"/>
              <w:bottom w:val="nil"/>
              <w:right w:val="nil"/>
            </w:tcBorders>
            <w:shd w:val="clear" w:color="auto" w:fill="auto"/>
            <w:noWrap/>
            <w:vAlign w:val="center"/>
            <w:hideMark/>
          </w:tcPr>
          <w:p w:rsidR="006B3A18" w:rsidRPr="00EB71DF" w:rsidP="006B3A18" w14:paraId="17171293" w14:textId="77777777">
            <w:pPr>
              <w:widowControl/>
              <w:overflowPunct/>
              <w:autoSpaceDE/>
              <w:autoSpaceDN/>
              <w:adjustRightInd/>
              <w:ind w:firstLine="400" w:firstLineChars="200"/>
              <w:textAlignment w:val="auto"/>
              <w:rPr>
                <w:rFonts w:ascii="Times New Roman" w:hAnsi="Times New Roman"/>
                <w:color w:val="000000"/>
                <w:sz w:val="20"/>
              </w:rPr>
            </w:pPr>
            <w:r w:rsidRPr="00EB71DF">
              <w:rPr>
                <w:rFonts w:ascii="Times New Roman" w:hAnsi="Times New Roman"/>
                <w:color w:val="000000"/>
                <w:sz w:val="20"/>
              </w:rPr>
              <w:t>Non-profit Institutions and Camps</w:t>
            </w:r>
          </w:p>
        </w:tc>
        <w:tc>
          <w:tcPr>
            <w:tcW w:w="327" w:type="pct"/>
            <w:tcBorders>
              <w:top w:val="nil"/>
              <w:left w:val="nil"/>
              <w:bottom w:val="nil"/>
              <w:right w:val="nil"/>
            </w:tcBorders>
            <w:shd w:val="clear" w:color="auto" w:fill="auto"/>
            <w:noWrap/>
            <w:vAlign w:val="bottom"/>
            <w:hideMark/>
          </w:tcPr>
          <w:p w:rsidR="006B3A18" w:rsidRPr="00EB71DF" w:rsidP="006B3A18" w14:paraId="6B305C41" w14:textId="77777777">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w:t>
            </w:r>
          </w:p>
        </w:tc>
        <w:tc>
          <w:tcPr>
            <w:tcW w:w="674" w:type="pct"/>
            <w:tcBorders>
              <w:top w:val="nil"/>
              <w:left w:val="nil"/>
              <w:bottom w:val="nil"/>
              <w:right w:val="nil"/>
            </w:tcBorders>
            <w:shd w:val="clear" w:color="auto" w:fill="auto"/>
            <w:noWrap/>
            <w:vAlign w:val="bottom"/>
            <w:hideMark/>
          </w:tcPr>
          <w:p w:rsidR="006B3A18" w:rsidRPr="00EB71DF" w:rsidP="006B3A18" w14:paraId="39501510" w14:textId="7FBDC59C">
            <w:pPr>
              <w:widowControl/>
              <w:overflowPunct/>
              <w:autoSpaceDE/>
              <w:autoSpaceDN/>
              <w:adjustRightInd/>
              <w:jc w:val="right"/>
              <w:textAlignment w:val="auto"/>
              <w:rPr>
                <w:rFonts w:ascii="Times New Roman" w:hAnsi="Times New Roman"/>
                <w:color w:val="000000"/>
                <w:sz w:val="20"/>
              </w:rPr>
            </w:pPr>
            <w:r w:rsidRPr="00EB71DF">
              <w:rPr>
                <w:rFonts w:ascii="Times New Roman" w:hAnsi="Times New Roman"/>
                <w:color w:val="000000"/>
                <w:sz w:val="20"/>
              </w:rPr>
              <w:t>28</w:t>
            </w:r>
            <w:r w:rsidR="00A314B8">
              <w:rPr>
                <w:rFonts w:ascii="Times New Roman" w:hAnsi="Times New Roman"/>
                <w:color w:val="000000"/>
                <w:sz w:val="20"/>
              </w:rPr>
              <w:t>6</w:t>
            </w:r>
          </w:p>
        </w:tc>
        <w:tc>
          <w:tcPr>
            <w:tcW w:w="373" w:type="pct"/>
            <w:tcBorders>
              <w:top w:val="nil"/>
              <w:left w:val="nil"/>
              <w:bottom w:val="nil"/>
              <w:right w:val="nil"/>
            </w:tcBorders>
            <w:shd w:val="clear" w:color="auto" w:fill="auto"/>
            <w:noWrap/>
            <w:vAlign w:val="bottom"/>
            <w:hideMark/>
          </w:tcPr>
          <w:p w:rsidR="006B3A18" w:rsidRPr="00EB71DF" w:rsidP="006B3A18" w14:paraId="5044CC92" w14:textId="77777777">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hours</w:t>
            </w:r>
          </w:p>
        </w:tc>
        <w:tc>
          <w:tcPr>
            <w:tcW w:w="144" w:type="pct"/>
            <w:tcBorders>
              <w:top w:val="nil"/>
              <w:left w:val="nil"/>
              <w:bottom w:val="nil"/>
              <w:right w:val="nil"/>
            </w:tcBorders>
            <w:shd w:val="clear" w:color="auto" w:fill="auto"/>
            <w:noWrap/>
            <w:vAlign w:val="bottom"/>
            <w:hideMark/>
          </w:tcPr>
          <w:p w:rsidR="006B3A18" w:rsidRPr="00EB71DF" w:rsidP="006B3A18" w14:paraId="7A68DAFF" w14:textId="77777777">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x</w:t>
            </w:r>
          </w:p>
        </w:tc>
        <w:tc>
          <w:tcPr>
            <w:tcW w:w="446" w:type="pct"/>
            <w:tcBorders>
              <w:top w:val="nil"/>
              <w:left w:val="nil"/>
              <w:bottom w:val="nil"/>
              <w:right w:val="nil"/>
            </w:tcBorders>
            <w:shd w:val="clear" w:color="auto" w:fill="auto"/>
            <w:noWrap/>
            <w:vAlign w:val="bottom"/>
            <w:hideMark/>
          </w:tcPr>
          <w:p w:rsidR="006B3A18" w:rsidRPr="00EB71DF" w:rsidP="006B3A18" w14:paraId="23A6604D" w14:textId="4382A54F">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w:t>
            </w:r>
            <w:r w:rsidR="002C67A5">
              <w:rPr>
                <w:rFonts w:ascii="Times New Roman" w:hAnsi="Times New Roman"/>
                <w:color w:val="000000"/>
                <w:sz w:val="20"/>
              </w:rPr>
              <w:t>15.42</w:t>
            </w:r>
          </w:p>
        </w:tc>
        <w:tc>
          <w:tcPr>
            <w:tcW w:w="150" w:type="pct"/>
            <w:tcBorders>
              <w:top w:val="nil"/>
              <w:left w:val="nil"/>
              <w:bottom w:val="nil"/>
              <w:right w:val="nil"/>
            </w:tcBorders>
            <w:shd w:val="clear" w:color="auto" w:fill="auto"/>
            <w:noWrap/>
            <w:vAlign w:val="bottom"/>
            <w:hideMark/>
          </w:tcPr>
          <w:p w:rsidR="006B3A18" w:rsidRPr="00EB71DF" w:rsidP="006B3A18" w14:paraId="40C92098" w14:textId="77777777">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w:t>
            </w:r>
          </w:p>
        </w:tc>
        <w:tc>
          <w:tcPr>
            <w:tcW w:w="866" w:type="pct"/>
            <w:tcBorders>
              <w:top w:val="nil"/>
              <w:left w:val="nil"/>
              <w:bottom w:val="nil"/>
              <w:right w:val="nil"/>
            </w:tcBorders>
            <w:shd w:val="clear" w:color="auto" w:fill="auto"/>
            <w:noWrap/>
            <w:vAlign w:val="bottom"/>
            <w:hideMark/>
          </w:tcPr>
          <w:p w:rsidR="006B3A18" w:rsidRPr="00EB71DF" w:rsidP="006B3A18" w14:paraId="7EF45104" w14:textId="79D74446">
            <w:pPr>
              <w:widowControl/>
              <w:overflowPunct/>
              <w:autoSpaceDE/>
              <w:autoSpaceDN/>
              <w:adjustRightInd/>
              <w:jc w:val="right"/>
              <w:textAlignment w:val="auto"/>
              <w:rPr>
                <w:rFonts w:ascii="Times New Roman" w:hAnsi="Times New Roman"/>
                <w:color w:val="000000"/>
                <w:sz w:val="20"/>
              </w:rPr>
            </w:pPr>
            <w:r w:rsidRPr="00EB71DF">
              <w:rPr>
                <w:rFonts w:ascii="Times New Roman" w:hAnsi="Times New Roman"/>
                <w:color w:val="000000"/>
                <w:sz w:val="20"/>
              </w:rPr>
              <w:t>$</w:t>
            </w:r>
            <w:r w:rsidR="002C67A5">
              <w:rPr>
                <w:rFonts w:ascii="Times New Roman" w:hAnsi="Times New Roman"/>
                <w:color w:val="000000"/>
                <w:sz w:val="20"/>
              </w:rPr>
              <w:t>4,4</w:t>
            </w:r>
            <w:r w:rsidR="00581E1A">
              <w:rPr>
                <w:rFonts w:ascii="Times New Roman" w:hAnsi="Times New Roman"/>
                <w:color w:val="000000"/>
                <w:sz w:val="20"/>
              </w:rPr>
              <w:t>10</w:t>
            </w:r>
          </w:p>
        </w:tc>
      </w:tr>
      <w:tr w14:paraId="2201E861" w14:textId="77777777" w:rsidTr="006B3A18">
        <w:tblPrEx>
          <w:tblW w:w="5000" w:type="pct"/>
          <w:tblLook w:val="04A0"/>
        </w:tblPrEx>
        <w:trPr>
          <w:trHeight w:val="288"/>
        </w:trPr>
        <w:tc>
          <w:tcPr>
            <w:tcW w:w="2020" w:type="pct"/>
            <w:tcBorders>
              <w:top w:val="nil"/>
              <w:left w:val="nil"/>
              <w:bottom w:val="nil"/>
              <w:right w:val="nil"/>
            </w:tcBorders>
            <w:shd w:val="clear" w:color="auto" w:fill="auto"/>
            <w:noWrap/>
            <w:vAlign w:val="center"/>
            <w:hideMark/>
          </w:tcPr>
          <w:p w:rsidR="006B3A18" w:rsidRPr="00EB71DF" w:rsidP="006B3A18" w14:paraId="6D6ACF6F" w14:textId="77777777">
            <w:pPr>
              <w:widowControl/>
              <w:overflowPunct/>
              <w:autoSpaceDE/>
              <w:autoSpaceDN/>
              <w:adjustRightInd/>
              <w:jc w:val="right"/>
              <w:textAlignment w:val="auto"/>
              <w:rPr>
                <w:rFonts w:ascii="Times New Roman" w:hAnsi="Times New Roman"/>
                <w:color w:val="000000"/>
                <w:sz w:val="20"/>
              </w:rPr>
            </w:pPr>
            <w:r w:rsidRPr="00EB71DF">
              <w:rPr>
                <w:rFonts w:ascii="Times New Roman" w:hAnsi="Times New Roman"/>
                <w:color w:val="000000"/>
                <w:sz w:val="20"/>
              </w:rPr>
              <w:t>Subtotal</w:t>
            </w:r>
          </w:p>
        </w:tc>
        <w:tc>
          <w:tcPr>
            <w:tcW w:w="327" w:type="pct"/>
            <w:tcBorders>
              <w:top w:val="nil"/>
              <w:left w:val="nil"/>
              <w:bottom w:val="nil"/>
              <w:right w:val="nil"/>
            </w:tcBorders>
            <w:shd w:val="clear" w:color="auto" w:fill="auto"/>
            <w:noWrap/>
            <w:vAlign w:val="bottom"/>
            <w:hideMark/>
          </w:tcPr>
          <w:p w:rsidR="006B3A18" w:rsidRPr="00EB71DF" w:rsidP="006B3A18" w14:paraId="35A4D407" w14:textId="77777777">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w:t>
            </w:r>
          </w:p>
        </w:tc>
        <w:tc>
          <w:tcPr>
            <w:tcW w:w="674" w:type="pct"/>
            <w:tcBorders>
              <w:top w:val="nil"/>
              <w:left w:val="nil"/>
              <w:bottom w:val="nil"/>
              <w:right w:val="nil"/>
            </w:tcBorders>
            <w:shd w:val="clear" w:color="auto" w:fill="auto"/>
            <w:noWrap/>
            <w:vAlign w:val="bottom"/>
            <w:hideMark/>
          </w:tcPr>
          <w:p w:rsidR="006B3A18" w:rsidRPr="00EB71DF" w:rsidP="006B3A18" w14:paraId="0F66F061" w14:textId="12C45666">
            <w:pPr>
              <w:widowControl/>
              <w:overflowPunct/>
              <w:autoSpaceDE/>
              <w:autoSpaceDN/>
              <w:adjustRightInd/>
              <w:jc w:val="right"/>
              <w:textAlignment w:val="auto"/>
              <w:rPr>
                <w:rFonts w:ascii="Times New Roman" w:hAnsi="Times New Roman"/>
                <w:color w:val="000000"/>
                <w:sz w:val="20"/>
              </w:rPr>
            </w:pPr>
            <w:r w:rsidRPr="00EB71DF">
              <w:rPr>
                <w:rFonts w:ascii="Times New Roman" w:hAnsi="Times New Roman"/>
                <w:color w:val="000000"/>
                <w:sz w:val="20"/>
              </w:rPr>
              <w:t>28</w:t>
            </w:r>
            <w:r w:rsidR="00A314B8">
              <w:rPr>
                <w:rFonts w:ascii="Times New Roman" w:hAnsi="Times New Roman"/>
                <w:color w:val="000000"/>
                <w:sz w:val="20"/>
              </w:rPr>
              <w:t>6</w:t>
            </w:r>
          </w:p>
        </w:tc>
        <w:tc>
          <w:tcPr>
            <w:tcW w:w="373" w:type="pct"/>
            <w:tcBorders>
              <w:top w:val="nil"/>
              <w:left w:val="nil"/>
              <w:bottom w:val="nil"/>
              <w:right w:val="nil"/>
            </w:tcBorders>
            <w:shd w:val="clear" w:color="auto" w:fill="auto"/>
            <w:noWrap/>
            <w:vAlign w:val="bottom"/>
            <w:hideMark/>
          </w:tcPr>
          <w:p w:rsidR="006B3A18" w:rsidRPr="00EB71DF" w:rsidP="006B3A18" w14:paraId="7B2078ED" w14:textId="77777777">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hours</w:t>
            </w:r>
          </w:p>
        </w:tc>
        <w:tc>
          <w:tcPr>
            <w:tcW w:w="144" w:type="pct"/>
            <w:tcBorders>
              <w:top w:val="nil"/>
              <w:left w:val="nil"/>
              <w:bottom w:val="nil"/>
              <w:right w:val="nil"/>
            </w:tcBorders>
            <w:shd w:val="clear" w:color="auto" w:fill="auto"/>
            <w:noWrap/>
            <w:vAlign w:val="bottom"/>
            <w:hideMark/>
          </w:tcPr>
          <w:p w:rsidR="006B3A18" w:rsidRPr="00EB71DF" w:rsidP="006B3A18" w14:paraId="27CC0513" w14:textId="77777777">
            <w:pPr>
              <w:widowControl/>
              <w:overflowPunct/>
              <w:autoSpaceDE/>
              <w:autoSpaceDN/>
              <w:adjustRightInd/>
              <w:jc w:val="center"/>
              <w:textAlignment w:val="auto"/>
              <w:rPr>
                <w:rFonts w:ascii="Times New Roman" w:hAnsi="Times New Roman"/>
                <w:color w:val="000000"/>
                <w:sz w:val="20"/>
              </w:rPr>
            </w:pPr>
          </w:p>
        </w:tc>
        <w:tc>
          <w:tcPr>
            <w:tcW w:w="446" w:type="pct"/>
            <w:tcBorders>
              <w:top w:val="nil"/>
              <w:left w:val="nil"/>
              <w:bottom w:val="nil"/>
              <w:right w:val="nil"/>
            </w:tcBorders>
            <w:shd w:val="clear" w:color="auto" w:fill="auto"/>
            <w:noWrap/>
            <w:vAlign w:val="bottom"/>
            <w:hideMark/>
          </w:tcPr>
          <w:p w:rsidR="006B3A18" w:rsidRPr="006B3A18" w:rsidP="006B3A18" w14:paraId="58EB6FCF" w14:textId="77777777">
            <w:pPr>
              <w:widowControl/>
              <w:overflowPunct/>
              <w:autoSpaceDE/>
              <w:autoSpaceDN/>
              <w:adjustRightInd/>
              <w:jc w:val="center"/>
              <w:textAlignment w:val="auto"/>
              <w:rPr>
                <w:rFonts w:ascii="Times New Roman" w:hAnsi="Times New Roman"/>
                <w:sz w:val="20"/>
              </w:rPr>
            </w:pPr>
          </w:p>
        </w:tc>
        <w:tc>
          <w:tcPr>
            <w:tcW w:w="150" w:type="pct"/>
            <w:tcBorders>
              <w:top w:val="nil"/>
              <w:left w:val="nil"/>
              <w:bottom w:val="nil"/>
              <w:right w:val="nil"/>
            </w:tcBorders>
            <w:shd w:val="clear" w:color="auto" w:fill="auto"/>
            <w:noWrap/>
            <w:vAlign w:val="bottom"/>
            <w:hideMark/>
          </w:tcPr>
          <w:p w:rsidR="006B3A18" w:rsidRPr="006B3A18" w:rsidP="006B3A18" w14:paraId="5B2D4418" w14:textId="77777777">
            <w:pPr>
              <w:widowControl/>
              <w:overflowPunct/>
              <w:autoSpaceDE/>
              <w:autoSpaceDN/>
              <w:adjustRightInd/>
              <w:jc w:val="center"/>
              <w:textAlignment w:val="auto"/>
              <w:rPr>
                <w:rFonts w:ascii="Times New Roman" w:hAnsi="Times New Roman"/>
                <w:sz w:val="20"/>
              </w:rPr>
            </w:pPr>
          </w:p>
        </w:tc>
        <w:tc>
          <w:tcPr>
            <w:tcW w:w="866" w:type="pct"/>
            <w:tcBorders>
              <w:top w:val="nil"/>
              <w:left w:val="nil"/>
              <w:bottom w:val="nil"/>
              <w:right w:val="nil"/>
            </w:tcBorders>
            <w:shd w:val="clear" w:color="auto" w:fill="auto"/>
            <w:noWrap/>
            <w:vAlign w:val="bottom"/>
            <w:hideMark/>
          </w:tcPr>
          <w:p w:rsidR="006B3A18" w:rsidRPr="00EB71DF" w:rsidP="006B3A18" w14:paraId="729A3C22" w14:textId="2BA41391">
            <w:pPr>
              <w:widowControl/>
              <w:overflowPunct/>
              <w:autoSpaceDE/>
              <w:autoSpaceDN/>
              <w:adjustRightInd/>
              <w:jc w:val="right"/>
              <w:textAlignment w:val="auto"/>
              <w:rPr>
                <w:rFonts w:ascii="Times New Roman" w:hAnsi="Times New Roman"/>
                <w:color w:val="000000"/>
                <w:sz w:val="20"/>
              </w:rPr>
            </w:pPr>
            <w:r w:rsidRPr="00EB71DF">
              <w:rPr>
                <w:rFonts w:ascii="Times New Roman" w:hAnsi="Times New Roman"/>
                <w:color w:val="000000"/>
                <w:sz w:val="20"/>
              </w:rPr>
              <w:t>$</w:t>
            </w:r>
            <w:r w:rsidR="002C67A5">
              <w:rPr>
                <w:rFonts w:ascii="Times New Roman" w:hAnsi="Times New Roman"/>
                <w:color w:val="000000"/>
                <w:sz w:val="20"/>
              </w:rPr>
              <w:t>4,402</w:t>
            </w:r>
          </w:p>
        </w:tc>
      </w:tr>
      <w:tr w14:paraId="18DCC5DB" w14:textId="77777777" w:rsidTr="006B3A18">
        <w:tblPrEx>
          <w:tblW w:w="5000" w:type="pct"/>
          <w:tblLook w:val="04A0"/>
        </w:tblPrEx>
        <w:trPr>
          <w:trHeight w:val="312"/>
        </w:trPr>
        <w:tc>
          <w:tcPr>
            <w:tcW w:w="2020" w:type="pct"/>
            <w:tcBorders>
              <w:top w:val="nil"/>
              <w:left w:val="nil"/>
              <w:bottom w:val="nil"/>
              <w:right w:val="nil"/>
            </w:tcBorders>
            <w:shd w:val="clear" w:color="auto" w:fill="auto"/>
            <w:noWrap/>
            <w:vAlign w:val="center"/>
            <w:hideMark/>
          </w:tcPr>
          <w:p w:rsidR="006B3A18" w:rsidRPr="00EB71DF" w:rsidP="006B3A18" w14:paraId="3E3C86D0" w14:textId="77777777">
            <w:pPr>
              <w:widowControl/>
              <w:overflowPunct/>
              <w:autoSpaceDE/>
              <w:autoSpaceDN/>
              <w:adjustRightInd/>
              <w:textAlignment w:val="auto"/>
              <w:rPr>
                <w:rFonts w:ascii="Times New Roman" w:hAnsi="Times New Roman"/>
                <w:b/>
                <w:bCs/>
                <w:i/>
                <w:iCs/>
                <w:color w:val="000000"/>
                <w:sz w:val="20"/>
              </w:rPr>
            </w:pPr>
            <w:r w:rsidRPr="00EB71DF">
              <w:rPr>
                <w:rFonts w:ascii="Times New Roman" w:hAnsi="Times New Roman"/>
                <w:b/>
                <w:bCs/>
                <w:i/>
                <w:iCs/>
                <w:color w:val="000000"/>
                <w:sz w:val="20"/>
              </w:rPr>
              <w:t>Household Level</w:t>
            </w:r>
          </w:p>
        </w:tc>
        <w:tc>
          <w:tcPr>
            <w:tcW w:w="327" w:type="pct"/>
            <w:tcBorders>
              <w:top w:val="nil"/>
              <w:left w:val="nil"/>
              <w:bottom w:val="nil"/>
              <w:right w:val="nil"/>
            </w:tcBorders>
            <w:shd w:val="clear" w:color="auto" w:fill="auto"/>
            <w:noWrap/>
            <w:vAlign w:val="center"/>
            <w:hideMark/>
          </w:tcPr>
          <w:p w:rsidR="006B3A18" w:rsidRPr="00EB71DF" w:rsidP="006B3A18" w14:paraId="330CAE88" w14:textId="77777777">
            <w:pPr>
              <w:widowControl/>
              <w:overflowPunct/>
              <w:autoSpaceDE/>
              <w:autoSpaceDN/>
              <w:adjustRightInd/>
              <w:textAlignment w:val="auto"/>
              <w:rPr>
                <w:rFonts w:ascii="Times New Roman" w:hAnsi="Times New Roman"/>
                <w:b/>
                <w:bCs/>
                <w:i/>
                <w:iCs/>
                <w:color w:val="000000"/>
                <w:sz w:val="20"/>
              </w:rPr>
            </w:pPr>
          </w:p>
        </w:tc>
        <w:tc>
          <w:tcPr>
            <w:tcW w:w="674" w:type="pct"/>
            <w:tcBorders>
              <w:top w:val="nil"/>
              <w:left w:val="nil"/>
              <w:bottom w:val="nil"/>
              <w:right w:val="nil"/>
            </w:tcBorders>
            <w:shd w:val="clear" w:color="auto" w:fill="auto"/>
            <w:noWrap/>
            <w:vAlign w:val="center"/>
            <w:hideMark/>
          </w:tcPr>
          <w:p w:rsidR="006B3A18" w:rsidRPr="006B3A18" w:rsidP="006B3A18" w14:paraId="08907080" w14:textId="77777777">
            <w:pPr>
              <w:widowControl/>
              <w:overflowPunct/>
              <w:autoSpaceDE/>
              <w:autoSpaceDN/>
              <w:adjustRightInd/>
              <w:textAlignment w:val="auto"/>
              <w:rPr>
                <w:rFonts w:ascii="Times New Roman" w:hAnsi="Times New Roman"/>
                <w:sz w:val="20"/>
              </w:rPr>
            </w:pPr>
          </w:p>
        </w:tc>
        <w:tc>
          <w:tcPr>
            <w:tcW w:w="373" w:type="pct"/>
            <w:tcBorders>
              <w:top w:val="nil"/>
              <w:left w:val="nil"/>
              <w:bottom w:val="nil"/>
              <w:right w:val="nil"/>
            </w:tcBorders>
            <w:shd w:val="clear" w:color="auto" w:fill="auto"/>
            <w:noWrap/>
            <w:vAlign w:val="center"/>
            <w:hideMark/>
          </w:tcPr>
          <w:p w:rsidR="006B3A18" w:rsidRPr="006B3A18" w:rsidP="006B3A18" w14:paraId="283890DB" w14:textId="77777777">
            <w:pPr>
              <w:widowControl/>
              <w:overflowPunct/>
              <w:autoSpaceDE/>
              <w:autoSpaceDN/>
              <w:adjustRightInd/>
              <w:jc w:val="right"/>
              <w:textAlignment w:val="auto"/>
              <w:rPr>
                <w:rFonts w:ascii="Times New Roman" w:hAnsi="Times New Roman"/>
                <w:sz w:val="20"/>
              </w:rPr>
            </w:pPr>
          </w:p>
        </w:tc>
        <w:tc>
          <w:tcPr>
            <w:tcW w:w="144" w:type="pct"/>
            <w:tcBorders>
              <w:top w:val="nil"/>
              <w:left w:val="nil"/>
              <w:bottom w:val="nil"/>
              <w:right w:val="nil"/>
            </w:tcBorders>
            <w:shd w:val="clear" w:color="auto" w:fill="auto"/>
            <w:noWrap/>
            <w:vAlign w:val="center"/>
            <w:hideMark/>
          </w:tcPr>
          <w:p w:rsidR="006B3A18" w:rsidRPr="006B3A18" w:rsidP="006B3A18" w14:paraId="1D19D76F" w14:textId="77777777">
            <w:pPr>
              <w:widowControl/>
              <w:overflowPunct/>
              <w:autoSpaceDE/>
              <w:autoSpaceDN/>
              <w:adjustRightInd/>
              <w:jc w:val="center"/>
              <w:textAlignment w:val="auto"/>
              <w:rPr>
                <w:rFonts w:ascii="Times New Roman" w:hAnsi="Times New Roman"/>
                <w:sz w:val="20"/>
              </w:rPr>
            </w:pPr>
          </w:p>
        </w:tc>
        <w:tc>
          <w:tcPr>
            <w:tcW w:w="446" w:type="pct"/>
            <w:tcBorders>
              <w:top w:val="nil"/>
              <w:left w:val="nil"/>
              <w:bottom w:val="nil"/>
              <w:right w:val="nil"/>
            </w:tcBorders>
            <w:shd w:val="clear" w:color="auto" w:fill="auto"/>
            <w:noWrap/>
            <w:vAlign w:val="center"/>
            <w:hideMark/>
          </w:tcPr>
          <w:p w:rsidR="006B3A18" w:rsidRPr="006B3A18" w:rsidP="006B3A18" w14:paraId="036A87CF" w14:textId="77777777">
            <w:pPr>
              <w:widowControl/>
              <w:overflowPunct/>
              <w:autoSpaceDE/>
              <w:autoSpaceDN/>
              <w:adjustRightInd/>
              <w:jc w:val="center"/>
              <w:textAlignment w:val="auto"/>
              <w:rPr>
                <w:rFonts w:ascii="Times New Roman" w:hAnsi="Times New Roman"/>
                <w:sz w:val="20"/>
              </w:rPr>
            </w:pPr>
          </w:p>
        </w:tc>
        <w:tc>
          <w:tcPr>
            <w:tcW w:w="150" w:type="pct"/>
            <w:tcBorders>
              <w:top w:val="nil"/>
              <w:left w:val="nil"/>
              <w:bottom w:val="nil"/>
              <w:right w:val="nil"/>
            </w:tcBorders>
            <w:shd w:val="clear" w:color="auto" w:fill="auto"/>
            <w:noWrap/>
            <w:vAlign w:val="center"/>
            <w:hideMark/>
          </w:tcPr>
          <w:p w:rsidR="006B3A18" w:rsidRPr="006B3A18" w:rsidP="006B3A18" w14:paraId="28E8B271" w14:textId="77777777">
            <w:pPr>
              <w:widowControl/>
              <w:overflowPunct/>
              <w:autoSpaceDE/>
              <w:autoSpaceDN/>
              <w:adjustRightInd/>
              <w:jc w:val="center"/>
              <w:textAlignment w:val="auto"/>
              <w:rPr>
                <w:rFonts w:ascii="Times New Roman" w:hAnsi="Times New Roman"/>
                <w:sz w:val="20"/>
              </w:rPr>
            </w:pPr>
          </w:p>
        </w:tc>
        <w:tc>
          <w:tcPr>
            <w:tcW w:w="866" w:type="pct"/>
            <w:tcBorders>
              <w:top w:val="nil"/>
              <w:left w:val="nil"/>
              <w:bottom w:val="nil"/>
              <w:right w:val="nil"/>
            </w:tcBorders>
            <w:shd w:val="clear" w:color="auto" w:fill="auto"/>
            <w:noWrap/>
            <w:vAlign w:val="bottom"/>
            <w:hideMark/>
          </w:tcPr>
          <w:p w:rsidR="006B3A18" w:rsidRPr="006B3A18" w:rsidP="006B3A18" w14:paraId="02127345" w14:textId="77777777">
            <w:pPr>
              <w:widowControl/>
              <w:overflowPunct/>
              <w:autoSpaceDE/>
              <w:autoSpaceDN/>
              <w:adjustRightInd/>
              <w:jc w:val="center"/>
              <w:textAlignment w:val="auto"/>
              <w:rPr>
                <w:rFonts w:ascii="Times New Roman" w:hAnsi="Times New Roman"/>
                <w:sz w:val="20"/>
              </w:rPr>
            </w:pPr>
          </w:p>
        </w:tc>
      </w:tr>
      <w:tr w14:paraId="37BC42FB" w14:textId="77777777" w:rsidTr="006B3A18">
        <w:tblPrEx>
          <w:tblW w:w="5000" w:type="pct"/>
          <w:tblLook w:val="04A0"/>
        </w:tblPrEx>
        <w:trPr>
          <w:trHeight w:val="288"/>
        </w:trPr>
        <w:tc>
          <w:tcPr>
            <w:tcW w:w="2020" w:type="pct"/>
            <w:tcBorders>
              <w:top w:val="nil"/>
              <w:left w:val="nil"/>
              <w:bottom w:val="nil"/>
              <w:right w:val="nil"/>
            </w:tcBorders>
            <w:shd w:val="clear" w:color="auto" w:fill="auto"/>
            <w:noWrap/>
            <w:vAlign w:val="center"/>
            <w:hideMark/>
          </w:tcPr>
          <w:p w:rsidR="006B3A18" w:rsidRPr="00EB71DF" w:rsidP="006B3A18" w14:paraId="689F2758" w14:textId="77777777">
            <w:pPr>
              <w:widowControl/>
              <w:overflowPunct/>
              <w:autoSpaceDE/>
              <w:autoSpaceDN/>
              <w:adjustRightInd/>
              <w:ind w:firstLine="400" w:firstLineChars="200"/>
              <w:textAlignment w:val="auto"/>
              <w:rPr>
                <w:rFonts w:ascii="Times New Roman" w:hAnsi="Times New Roman"/>
                <w:color w:val="000000"/>
                <w:sz w:val="20"/>
              </w:rPr>
            </w:pPr>
            <w:r w:rsidRPr="00EB71DF">
              <w:rPr>
                <w:rFonts w:ascii="Times New Roman" w:hAnsi="Times New Roman"/>
                <w:color w:val="000000"/>
                <w:sz w:val="20"/>
              </w:rPr>
              <w:t>Households</w:t>
            </w:r>
          </w:p>
        </w:tc>
        <w:tc>
          <w:tcPr>
            <w:tcW w:w="327" w:type="pct"/>
            <w:tcBorders>
              <w:top w:val="nil"/>
              <w:left w:val="nil"/>
              <w:bottom w:val="nil"/>
              <w:right w:val="nil"/>
            </w:tcBorders>
            <w:shd w:val="clear" w:color="auto" w:fill="auto"/>
            <w:noWrap/>
            <w:vAlign w:val="bottom"/>
            <w:hideMark/>
          </w:tcPr>
          <w:p w:rsidR="006B3A18" w:rsidRPr="00EB71DF" w:rsidP="006B3A18" w14:paraId="3CB54212" w14:textId="77777777">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w:t>
            </w:r>
          </w:p>
        </w:tc>
        <w:tc>
          <w:tcPr>
            <w:tcW w:w="674" w:type="pct"/>
            <w:tcBorders>
              <w:top w:val="nil"/>
              <w:left w:val="nil"/>
              <w:bottom w:val="nil"/>
              <w:right w:val="nil"/>
            </w:tcBorders>
            <w:shd w:val="clear" w:color="auto" w:fill="auto"/>
            <w:noWrap/>
            <w:vAlign w:val="bottom"/>
            <w:hideMark/>
          </w:tcPr>
          <w:p w:rsidR="006B3A18" w:rsidRPr="00EB71DF" w:rsidP="006B3A18" w14:paraId="10B483FC" w14:textId="77777777">
            <w:pPr>
              <w:widowControl/>
              <w:overflowPunct/>
              <w:autoSpaceDE/>
              <w:autoSpaceDN/>
              <w:adjustRightInd/>
              <w:jc w:val="right"/>
              <w:textAlignment w:val="auto"/>
              <w:rPr>
                <w:rFonts w:ascii="Times New Roman" w:hAnsi="Times New Roman"/>
                <w:color w:val="000000"/>
                <w:sz w:val="20"/>
              </w:rPr>
            </w:pPr>
            <w:r w:rsidRPr="00EB71DF">
              <w:rPr>
                <w:rFonts w:ascii="Times New Roman" w:hAnsi="Times New Roman"/>
                <w:color w:val="000000"/>
                <w:sz w:val="20"/>
              </w:rPr>
              <w:t>0.000</w:t>
            </w:r>
          </w:p>
        </w:tc>
        <w:tc>
          <w:tcPr>
            <w:tcW w:w="373" w:type="pct"/>
            <w:tcBorders>
              <w:top w:val="nil"/>
              <w:left w:val="nil"/>
              <w:bottom w:val="nil"/>
              <w:right w:val="nil"/>
            </w:tcBorders>
            <w:shd w:val="clear" w:color="auto" w:fill="auto"/>
            <w:noWrap/>
            <w:vAlign w:val="bottom"/>
            <w:hideMark/>
          </w:tcPr>
          <w:p w:rsidR="006B3A18" w:rsidRPr="00EB71DF" w:rsidP="006B3A18" w14:paraId="78380D0C" w14:textId="77777777">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hours</w:t>
            </w:r>
          </w:p>
        </w:tc>
        <w:tc>
          <w:tcPr>
            <w:tcW w:w="144" w:type="pct"/>
            <w:tcBorders>
              <w:top w:val="nil"/>
              <w:left w:val="nil"/>
              <w:bottom w:val="nil"/>
              <w:right w:val="nil"/>
            </w:tcBorders>
            <w:shd w:val="clear" w:color="auto" w:fill="auto"/>
            <w:noWrap/>
            <w:vAlign w:val="bottom"/>
            <w:hideMark/>
          </w:tcPr>
          <w:p w:rsidR="006B3A18" w:rsidRPr="00EB71DF" w:rsidP="006B3A18" w14:paraId="19596F89" w14:textId="77777777">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x</w:t>
            </w:r>
          </w:p>
        </w:tc>
        <w:tc>
          <w:tcPr>
            <w:tcW w:w="446" w:type="pct"/>
            <w:tcBorders>
              <w:top w:val="nil"/>
              <w:left w:val="nil"/>
              <w:bottom w:val="nil"/>
              <w:right w:val="nil"/>
            </w:tcBorders>
            <w:shd w:val="clear" w:color="auto" w:fill="auto"/>
            <w:noWrap/>
            <w:vAlign w:val="bottom"/>
            <w:hideMark/>
          </w:tcPr>
          <w:p w:rsidR="006B3A18" w:rsidRPr="00EB71DF" w:rsidP="006B3A18" w14:paraId="17189D15" w14:textId="77777777">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$7.25</w:t>
            </w:r>
          </w:p>
        </w:tc>
        <w:tc>
          <w:tcPr>
            <w:tcW w:w="150" w:type="pct"/>
            <w:tcBorders>
              <w:top w:val="nil"/>
              <w:left w:val="nil"/>
              <w:bottom w:val="nil"/>
              <w:right w:val="nil"/>
            </w:tcBorders>
            <w:shd w:val="clear" w:color="auto" w:fill="auto"/>
            <w:noWrap/>
            <w:vAlign w:val="bottom"/>
            <w:hideMark/>
          </w:tcPr>
          <w:p w:rsidR="006B3A18" w:rsidRPr="00EB71DF" w:rsidP="006B3A18" w14:paraId="264EFEF4" w14:textId="77777777">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w:t>
            </w:r>
          </w:p>
        </w:tc>
        <w:tc>
          <w:tcPr>
            <w:tcW w:w="866" w:type="pct"/>
            <w:tcBorders>
              <w:top w:val="nil"/>
              <w:left w:val="nil"/>
              <w:bottom w:val="nil"/>
              <w:right w:val="nil"/>
            </w:tcBorders>
            <w:shd w:val="clear" w:color="auto" w:fill="auto"/>
            <w:noWrap/>
            <w:vAlign w:val="bottom"/>
            <w:hideMark/>
          </w:tcPr>
          <w:p w:rsidR="006B3A18" w:rsidRPr="00EB71DF" w:rsidP="006B3A18" w14:paraId="3F97A5B1" w14:textId="77777777">
            <w:pPr>
              <w:widowControl/>
              <w:overflowPunct/>
              <w:autoSpaceDE/>
              <w:autoSpaceDN/>
              <w:adjustRightInd/>
              <w:jc w:val="right"/>
              <w:textAlignment w:val="auto"/>
              <w:rPr>
                <w:rFonts w:ascii="Times New Roman" w:hAnsi="Times New Roman"/>
                <w:color w:val="000000"/>
                <w:sz w:val="20"/>
              </w:rPr>
            </w:pPr>
            <w:r w:rsidRPr="00EB71DF">
              <w:rPr>
                <w:rFonts w:ascii="Times New Roman" w:hAnsi="Times New Roman"/>
                <w:color w:val="000000"/>
                <w:sz w:val="20"/>
              </w:rPr>
              <w:t>$0</w:t>
            </w:r>
          </w:p>
        </w:tc>
      </w:tr>
      <w:tr w14:paraId="5FEBA062" w14:textId="77777777" w:rsidTr="006B3A18">
        <w:tblPrEx>
          <w:tblW w:w="5000" w:type="pct"/>
          <w:tblLook w:val="04A0"/>
        </w:tblPrEx>
        <w:trPr>
          <w:trHeight w:val="288"/>
        </w:trPr>
        <w:tc>
          <w:tcPr>
            <w:tcW w:w="2020" w:type="pct"/>
            <w:tcBorders>
              <w:top w:val="nil"/>
              <w:left w:val="nil"/>
              <w:bottom w:val="nil"/>
              <w:right w:val="nil"/>
            </w:tcBorders>
            <w:shd w:val="clear" w:color="auto" w:fill="auto"/>
            <w:noWrap/>
            <w:vAlign w:val="center"/>
            <w:hideMark/>
          </w:tcPr>
          <w:p w:rsidR="006B3A18" w:rsidRPr="00EB71DF" w:rsidP="006B3A18" w14:paraId="4C625C31" w14:textId="77777777">
            <w:pPr>
              <w:widowControl/>
              <w:overflowPunct/>
              <w:autoSpaceDE/>
              <w:autoSpaceDN/>
              <w:adjustRightInd/>
              <w:jc w:val="right"/>
              <w:textAlignment w:val="auto"/>
              <w:rPr>
                <w:rFonts w:ascii="Times New Roman" w:hAnsi="Times New Roman"/>
                <w:color w:val="000000"/>
                <w:sz w:val="20"/>
              </w:rPr>
            </w:pPr>
            <w:r w:rsidRPr="00EB71DF">
              <w:rPr>
                <w:rFonts w:ascii="Times New Roman" w:hAnsi="Times New Roman"/>
                <w:color w:val="000000"/>
                <w:sz w:val="20"/>
              </w:rPr>
              <w:t>Subtotal</w:t>
            </w:r>
          </w:p>
        </w:tc>
        <w:tc>
          <w:tcPr>
            <w:tcW w:w="327" w:type="pct"/>
            <w:tcBorders>
              <w:top w:val="nil"/>
              <w:left w:val="nil"/>
              <w:bottom w:val="nil"/>
              <w:right w:val="nil"/>
            </w:tcBorders>
            <w:shd w:val="clear" w:color="auto" w:fill="auto"/>
            <w:noWrap/>
            <w:vAlign w:val="bottom"/>
            <w:hideMark/>
          </w:tcPr>
          <w:p w:rsidR="006B3A18" w:rsidRPr="00EB71DF" w:rsidP="006B3A18" w14:paraId="7477A8CD" w14:textId="77777777">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w:t>
            </w:r>
          </w:p>
        </w:tc>
        <w:tc>
          <w:tcPr>
            <w:tcW w:w="674" w:type="pct"/>
            <w:tcBorders>
              <w:top w:val="nil"/>
              <w:left w:val="nil"/>
              <w:bottom w:val="nil"/>
              <w:right w:val="nil"/>
            </w:tcBorders>
            <w:shd w:val="clear" w:color="auto" w:fill="auto"/>
            <w:noWrap/>
            <w:vAlign w:val="bottom"/>
            <w:hideMark/>
          </w:tcPr>
          <w:p w:rsidR="006B3A18" w:rsidRPr="00EB71DF" w:rsidP="006B3A18" w14:paraId="2D93BAFB" w14:textId="77777777">
            <w:pPr>
              <w:widowControl/>
              <w:overflowPunct/>
              <w:autoSpaceDE/>
              <w:autoSpaceDN/>
              <w:adjustRightInd/>
              <w:jc w:val="right"/>
              <w:textAlignment w:val="auto"/>
              <w:rPr>
                <w:rFonts w:ascii="Times New Roman" w:hAnsi="Times New Roman"/>
                <w:color w:val="000000"/>
                <w:sz w:val="20"/>
              </w:rPr>
            </w:pPr>
            <w:r w:rsidRPr="00EB71DF">
              <w:rPr>
                <w:rFonts w:ascii="Times New Roman" w:hAnsi="Times New Roman"/>
                <w:color w:val="000000"/>
                <w:sz w:val="20"/>
              </w:rPr>
              <w:t>0.000</w:t>
            </w:r>
          </w:p>
        </w:tc>
        <w:tc>
          <w:tcPr>
            <w:tcW w:w="373" w:type="pct"/>
            <w:tcBorders>
              <w:top w:val="nil"/>
              <w:left w:val="nil"/>
              <w:bottom w:val="nil"/>
              <w:right w:val="nil"/>
            </w:tcBorders>
            <w:shd w:val="clear" w:color="auto" w:fill="auto"/>
            <w:noWrap/>
            <w:vAlign w:val="bottom"/>
            <w:hideMark/>
          </w:tcPr>
          <w:p w:rsidR="006B3A18" w:rsidRPr="00EB71DF" w:rsidP="006B3A18" w14:paraId="1779086D" w14:textId="77777777">
            <w:pPr>
              <w:widowControl/>
              <w:overflowPunct/>
              <w:autoSpaceDE/>
              <w:autoSpaceDN/>
              <w:adjustRightInd/>
              <w:jc w:val="center"/>
              <w:textAlignment w:val="auto"/>
              <w:rPr>
                <w:rFonts w:ascii="Times New Roman" w:hAnsi="Times New Roman"/>
                <w:color w:val="000000"/>
                <w:sz w:val="20"/>
              </w:rPr>
            </w:pPr>
            <w:r w:rsidRPr="00EB71DF">
              <w:rPr>
                <w:rFonts w:ascii="Times New Roman" w:hAnsi="Times New Roman"/>
                <w:color w:val="000000"/>
                <w:sz w:val="20"/>
              </w:rPr>
              <w:t>hours</w:t>
            </w:r>
          </w:p>
        </w:tc>
        <w:tc>
          <w:tcPr>
            <w:tcW w:w="144" w:type="pct"/>
            <w:tcBorders>
              <w:top w:val="nil"/>
              <w:left w:val="nil"/>
              <w:bottom w:val="nil"/>
              <w:right w:val="nil"/>
            </w:tcBorders>
            <w:shd w:val="clear" w:color="auto" w:fill="auto"/>
            <w:noWrap/>
            <w:vAlign w:val="bottom"/>
            <w:hideMark/>
          </w:tcPr>
          <w:p w:rsidR="006B3A18" w:rsidRPr="00EB71DF" w:rsidP="006B3A18" w14:paraId="1944FDE4" w14:textId="77777777">
            <w:pPr>
              <w:widowControl/>
              <w:overflowPunct/>
              <w:autoSpaceDE/>
              <w:autoSpaceDN/>
              <w:adjustRightInd/>
              <w:jc w:val="center"/>
              <w:textAlignment w:val="auto"/>
              <w:rPr>
                <w:rFonts w:ascii="Times New Roman" w:hAnsi="Times New Roman"/>
                <w:color w:val="000000"/>
                <w:sz w:val="20"/>
              </w:rPr>
            </w:pPr>
          </w:p>
        </w:tc>
        <w:tc>
          <w:tcPr>
            <w:tcW w:w="446" w:type="pct"/>
            <w:tcBorders>
              <w:top w:val="nil"/>
              <w:left w:val="nil"/>
              <w:bottom w:val="nil"/>
              <w:right w:val="nil"/>
            </w:tcBorders>
            <w:shd w:val="clear" w:color="auto" w:fill="auto"/>
            <w:noWrap/>
            <w:vAlign w:val="bottom"/>
            <w:hideMark/>
          </w:tcPr>
          <w:p w:rsidR="006B3A18" w:rsidRPr="006B3A18" w:rsidP="006B3A18" w14:paraId="06CCC177" w14:textId="77777777">
            <w:pPr>
              <w:widowControl/>
              <w:overflowPunct/>
              <w:autoSpaceDE/>
              <w:autoSpaceDN/>
              <w:adjustRightInd/>
              <w:jc w:val="center"/>
              <w:textAlignment w:val="auto"/>
              <w:rPr>
                <w:rFonts w:ascii="Times New Roman" w:hAnsi="Times New Roman"/>
                <w:sz w:val="20"/>
              </w:rPr>
            </w:pPr>
          </w:p>
        </w:tc>
        <w:tc>
          <w:tcPr>
            <w:tcW w:w="150" w:type="pct"/>
            <w:tcBorders>
              <w:top w:val="nil"/>
              <w:left w:val="nil"/>
              <w:bottom w:val="nil"/>
              <w:right w:val="nil"/>
            </w:tcBorders>
            <w:shd w:val="clear" w:color="auto" w:fill="auto"/>
            <w:noWrap/>
            <w:vAlign w:val="bottom"/>
            <w:hideMark/>
          </w:tcPr>
          <w:p w:rsidR="006B3A18" w:rsidRPr="006B3A18" w:rsidP="006B3A18" w14:paraId="78269718" w14:textId="77777777">
            <w:pPr>
              <w:widowControl/>
              <w:overflowPunct/>
              <w:autoSpaceDE/>
              <w:autoSpaceDN/>
              <w:adjustRightInd/>
              <w:jc w:val="center"/>
              <w:textAlignment w:val="auto"/>
              <w:rPr>
                <w:rFonts w:ascii="Times New Roman" w:hAnsi="Times New Roman"/>
                <w:sz w:val="20"/>
              </w:rPr>
            </w:pPr>
          </w:p>
        </w:tc>
        <w:tc>
          <w:tcPr>
            <w:tcW w:w="866" w:type="pct"/>
            <w:tcBorders>
              <w:top w:val="nil"/>
              <w:left w:val="nil"/>
              <w:bottom w:val="nil"/>
              <w:right w:val="nil"/>
            </w:tcBorders>
            <w:shd w:val="clear" w:color="auto" w:fill="auto"/>
            <w:noWrap/>
            <w:vAlign w:val="bottom"/>
            <w:hideMark/>
          </w:tcPr>
          <w:p w:rsidR="006B3A18" w:rsidRPr="00EB71DF" w:rsidP="006B3A18" w14:paraId="7B7F5BA4" w14:textId="77777777">
            <w:pPr>
              <w:widowControl/>
              <w:overflowPunct/>
              <w:autoSpaceDE/>
              <w:autoSpaceDN/>
              <w:adjustRightInd/>
              <w:jc w:val="right"/>
              <w:textAlignment w:val="auto"/>
              <w:rPr>
                <w:rFonts w:ascii="Times New Roman" w:hAnsi="Times New Roman"/>
                <w:color w:val="000000"/>
                <w:sz w:val="20"/>
              </w:rPr>
            </w:pPr>
            <w:r w:rsidRPr="00EB71DF">
              <w:rPr>
                <w:rFonts w:ascii="Times New Roman" w:hAnsi="Times New Roman"/>
                <w:color w:val="000000"/>
                <w:sz w:val="20"/>
              </w:rPr>
              <w:t>$0</w:t>
            </w:r>
          </w:p>
        </w:tc>
      </w:tr>
      <w:tr w14:paraId="1C78673B" w14:textId="77777777" w:rsidTr="006B3A18">
        <w:tblPrEx>
          <w:tblW w:w="5000" w:type="pct"/>
          <w:tblLook w:val="04A0"/>
        </w:tblPrEx>
        <w:trPr>
          <w:trHeight w:val="288"/>
        </w:trPr>
        <w:tc>
          <w:tcPr>
            <w:tcW w:w="2020" w:type="pct"/>
            <w:tcBorders>
              <w:top w:val="nil"/>
              <w:left w:val="nil"/>
              <w:bottom w:val="nil"/>
              <w:right w:val="nil"/>
            </w:tcBorders>
            <w:shd w:val="clear" w:color="auto" w:fill="auto"/>
            <w:noWrap/>
            <w:vAlign w:val="center"/>
            <w:hideMark/>
          </w:tcPr>
          <w:p w:rsidR="006B3A18" w:rsidRPr="00EB71DF" w:rsidP="006B3A18" w14:paraId="6D74A88A" w14:textId="77777777">
            <w:pPr>
              <w:widowControl/>
              <w:overflowPunct/>
              <w:autoSpaceDE/>
              <w:autoSpaceDN/>
              <w:adjustRightInd/>
              <w:jc w:val="right"/>
              <w:textAlignment w:val="auto"/>
              <w:rPr>
                <w:rFonts w:ascii="Times New Roman" w:hAnsi="Times New Roman"/>
                <w:color w:val="000000"/>
                <w:sz w:val="20"/>
              </w:rPr>
            </w:pPr>
          </w:p>
        </w:tc>
        <w:tc>
          <w:tcPr>
            <w:tcW w:w="327" w:type="pct"/>
            <w:tcBorders>
              <w:top w:val="nil"/>
              <w:left w:val="nil"/>
              <w:bottom w:val="nil"/>
              <w:right w:val="nil"/>
            </w:tcBorders>
            <w:shd w:val="clear" w:color="auto" w:fill="auto"/>
            <w:noWrap/>
            <w:vAlign w:val="bottom"/>
            <w:hideMark/>
          </w:tcPr>
          <w:p w:rsidR="006B3A18" w:rsidRPr="006B3A18" w:rsidP="006B3A18" w14:paraId="2F72A747" w14:textId="77777777">
            <w:pPr>
              <w:widowControl/>
              <w:overflowPunct/>
              <w:autoSpaceDE/>
              <w:autoSpaceDN/>
              <w:adjustRightInd/>
              <w:textAlignment w:val="auto"/>
              <w:rPr>
                <w:rFonts w:ascii="Times New Roman" w:hAnsi="Times New Roman"/>
                <w:sz w:val="20"/>
              </w:rPr>
            </w:pPr>
          </w:p>
        </w:tc>
        <w:tc>
          <w:tcPr>
            <w:tcW w:w="674" w:type="pct"/>
            <w:tcBorders>
              <w:top w:val="nil"/>
              <w:left w:val="nil"/>
              <w:bottom w:val="nil"/>
              <w:right w:val="nil"/>
            </w:tcBorders>
            <w:shd w:val="clear" w:color="auto" w:fill="auto"/>
            <w:noWrap/>
            <w:vAlign w:val="bottom"/>
            <w:hideMark/>
          </w:tcPr>
          <w:p w:rsidR="006B3A18" w:rsidRPr="006B3A18" w:rsidP="006B3A18" w14:paraId="5C880D0F" w14:textId="77777777">
            <w:pPr>
              <w:widowControl/>
              <w:overflowPunct/>
              <w:autoSpaceDE/>
              <w:autoSpaceDN/>
              <w:adjustRightInd/>
              <w:jc w:val="center"/>
              <w:textAlignment w:val="auto"/>
              <w:rPr>
                <w:rFonts w:ascii="Times New Roman" w:hAnsi="Times New Roman"/>
                <w:sz w:val="20"/>
              </w:rPr>
            </w:pPr>
          </w:p>
        </w:tc>
        <w:tc>
          <w:tcPr>
            <w:tcW w:w="373" w:type="pct"/>
            <w:tcBorders>
              <w:top w:val="nil"/>
              <w:left w:val="nil"/>
              <w:bottom w:val="nil"/>
              <w:right w:val="nil"/>
            </w:tcBorders>
            <w:shd w:val="clear" w:color="auto" w:fill="auto"/>
            <w:noWrap/>
            <w:vAlign w:val="bottom"/>
            <w:hideMark/>
          </w:tcPr>
          <w:p w:rsidR="006B3A18" w:rsidRPr="006B3A18" w:rsidP="006B3A18" w14:paraId="6A69D01D" w14:textId="77777777">
            <w:pPr>
              <w:widowControl/>
              <w:overflowPunct/>
              <w:autoSpaceDE/>
              <w:autoSpaceDN/>
              <w:adjustRightInd/>
              <w:jc w:val="right"/>
              <w:textAlignment w:val="auto"/>
              <w:rPr>
                <w:rFonts w:ascii="Times New Roman" w:hAnsi="Times New Roman"/>
                <w:sz w:val="20"/>
              </w:rPr>
            </w:pPr>
          </w:p>
        </w:tc>
        <w:tc>
          <w:tcPr>
            <w:tcW w:w="144" w:type="pct"/>
            <w:tcBorders>
              <w:top w:val="nil"/>
              <w:left w:val="nil"/>
              <w:bottom w:val="nil"/>
              <w:right w:val="nil"/>
            </w:tcBorders>
            <w:shd w:val="clear" w:color="auto" w:fill="auto"/>
            <w:noWrap/>
            <w:vAlign w:val="bottom"/>
            <w:hideMark/>
          </w:tcPr>
          <w:p w:rsidR="006B3A18" w:rsidRPr="006B3A18" w:rsidP="006B3A18" w14:paraId="7861D64D" w14:textId="77777777">
            <w:pPr>
              <w:widowControl/>
              <w:overflowPunct/>
              <w:autoSpaceDE/>
              <w:autoSpaceDN/>
              <w:adjustRightInd/>
              <w:jc w:val="center"/>
              <w:textAlignment w:val="auto"/>
              <w:rPr>
                <w:rFonts w:ascii="Times New Roman" w:hAnsi="Times New Roman"/>
                <w:sz w:val="20"/>
              </w:rPr>
            </w:pPr>
          </w:p>
        </w:tc>
        <w:tc>
          <w:tcPr>
            <w:tcW w:w="446" w:type="pct"/>
            <w:tcBorders>
              <w:top w:val="nil"/>
              <w:left w:val="nil"/>
              <w:bottom w:val="nil"/>
              <w:right w:val="nil"/>
            </w:tcBorders>
            <w:shd w:val="clear" w:color="auto" w:fill="auto"/>
            <w:noWrap/>
            <w:vAlign w:val="bottom"/>
            <w:hideMark/>
          </w:tcPr>
          <w:p w:rsidR="006B3A18" w:rsidRPr="006B3A18" w:rsidP="006B3A18" w14:paraId="5C674C25" w14:textId="77777777">
            <w:pPr>
              <w:widowControl/>
              <w:overflowPunct/>
              <w:autoSpaceDE/>
              <w:autoSpaceDN/>
              <w:adjustRightInd/>
              <w:jc w:val="center"/>
              <w:textAlignment w:val="auto"/>
              <w:rPr>
                <w:rFonts w:ascii="Times New Roman" w:hAnsi="Times New Roman"/>
                <w:sz w:val="20"/>
              </w:rPr>
            </w:pPr>
          </w:p>
        </w:tc>
        <w:tc>
          <w:tcPr>
            <w:tcW w:w="150" w:type="pct"/>
            <w:tcBorders>
              <w:top w:val="nil"/>
              <w:left w:val="nil"/>
              <w:bottom w:val="nil"/>
              <w:right w:val="nil"/>
            </w:tcBorders>
            <w:shd w:val="clear" w:color="auto" w:fill="auto"/>
            <w:noWrap/>
            <w:vAlign w:val="bottom"/>
            <w:hideMark/>
          </w:tcPr>
          <w:p w:rsidR="006B3A18" w:rsidRPr="006B3A18" w:rsidP="006B3A18" w14:paraId="01E1112B" w14:textId="77777777">
            <w:pPr>
              <w:widowControl/>
              <w:overflowPunct/>
              <w:autoSpaceDE/>
              <w:autoSpaceDN/>
              <w:adjustRightInd/>
              <w:jc w:val="center"/>
              <w:textAlignment w:val="auto"/>
              <w:rPr>
                <w:rFonts w:ascii="Times New Roman" w:hAnsi="Times New Roman"/>
                <w:sz w:val="20"/>
              </w:rPr>
            </w:pPr>
          </w:p>
        </w:tc>
        <w:tc>
          <w:tcPr>
            <w:tcW w:w="866" w:type="pct"/>
            <w:tcBorders>
              <w:top w:val="nil"/>
              <w:left w:val="nil"/>
              <w:bottom w:val="nil"/>
              <w:right w:val="nil"/>
            </w:tcBorders>
            <w:shd w:val="clear" w:color="auto" w:fill="auto"/>
            <w:noWrap/>
            <w:vAlign w:val="bottom"/>
            <w:hideMark/>
          </w:tcPr>
          <w:p w:rsidR="006B3A18" w:rsidRPr="006B3A18" w:rsidP="006B3A18" w14:paraId="325C5D6A" w14:textId="77777777">
            <w:pPr>
              <w:widowControl/>
              <w:overflowPunct/>
              <w:autoSpaceDE/>
              <w:autoSpaceDN/>
              <w:adjustRightInd/>
              <w:jc w:val="center"/>
              <w:textAlignment w:val="auto"/>
              <w:rPr>
                <w:rFonts w:ascii="Times New Roman" w:hAnsi="Times New Roman"/>
                <w:sz w:val="20"/>
              </w:rPr>
            </w:pPr>
          </w:p>
        </w:tc>
      </w:tr>
      <w:tr w14:paraId="1AF7C5F4" w14:textId="77777777" w:rsidTr="006B3A18">
        <w:tblPrEx>
          <w:tblW w:w="5000" w:type="pct"/>
          <w:tblLook w:val="04A0"/>
        </w:tblPrEx>
        <w:trPr>
          <w:trHeight w:val="288"/>
        </w:trPr>
        <w:tc>
          <w:tcPr>
            <w:tcW w:w="2020" w:type="pct"/>
            <w:tcBorders>
              <w:top w:val="nil"/>
              <w:left w:val="nil"/>
              <w:bottom w:val="nil"/>
              <w:right w:val="nil"/>
            </w:tcBorders>
            <w:shd w:val="clear" w:color="auto" w:fill="auto"/>
            <w:noWrap/>
            <w:vAlign w:val="bottom"/>
            <w:hideMark/>
          </w:tcPr>
          <w:p w:rsidR="006B3A18" w:rsidRPr="00EB71DF" w:rsidP="006B3A18" w14:paraId="521D03FF" w14:textId="77777777">
            <w:pPr>
              <w:widowControl/>
              <w:overflowPunct/>
              <w:autoSpaceDE/>
              <w:autoSpaceDN/>
              <w:adjustRightInd/>
              <w:jc w:val="center"/>
              <w:textAlignment w:val="auto"/>
              <w:rPr>
                <w:rFonts w:ascii="Times New Roman" w:hAnsi="Times New Roman"/>
                <w:b/>
                <w:bCs/>
                <w:color w:val="000000"/>
                <w:sz w:val="20"/>
              </w:rPr>
            </w:pPr>
            <w:r w:rsidRPr="00EB71DF">
              <w:rPr>
                <w:rFonts w:ascii="Times New Roman" w:hAnsi="Times New Roman"/>
                <w:b/>
                <w:bCs/>
                <w:color w:val="000000"/>
                <w:sz w:val="20"/>
              </w:rPr>
              <w:t>Subtotal All Respondents</w:t>
            </w:r>
          </w:p>
        </w:tc>
        <w:tc>
          <w:tcPr>
            <w:tcW w:w="327" w:type="pct"/>
            <w:tcBorders>
              <w:top w:val="nil"/>
              <w:left w:val="nil"/>
              <w:bottom w:val="nil"/>
              <w:right w:val="nil"/>
            </w:tcBorders>
            <w:shd w:val="clear" w:color="auto" w:fill="auto"/>
            <w:noWrap/>
            <w:vAlign w:val="bottom"/>
            <w:hideMark/>
          </w:tcPr>
          <w:p w:rsidR="006B3A18" w:rsidRPr="00EB71DF" w:rsidP="006B3A18" w14:paraId="3E2F2501" w14:textId="77777777">
            <w:pPr>
              <w:widowControl/>
              <w:overflowPunct/>
              <w:autoSpaceDE/>
              <w:autoSpaceDN/>
              <w:adjustRightInd/>
              <w:jc w:val="center"/>
              <w:textAlignment w:val="auto"/>
              <w:rPr>
                <w:rFonts w:ascii="Times New Roman" w:hAnsi="Times New Roman"/>
                <w:b/>
                <w:bCs/>
                <w:color w:val="000000"/>
                <w:sz w:val="20"/>
              </w:rPr>
            </w:pPr>
            <w:r w:rsidRPr="00EB71DF">
              <w:rPr>
                <w:rFonts w:ascii="Times New Roman" w:hAnsi="Times New Roman"/>
                <w:b/>
                <w:bCs/>
                <w:color w:val="000000"/>
                <w:sz w:val="20"/>
              </w:rPr>
              <w:t>=</w:t>
            </w:r>
          </w:p>
        </w:tc>
        <w:tc>
          <w:tcPr>
            <w:tcW w:w="674" w:type="pct"/>
            <w:tcBorders>
              <w:top w:val="nil"/>
              <w:left w:val="nil"/>
              <w:bottom w:val="nil"/>
              <w:right w:val="nil"/>
            </w:tcBorders>
            <w:shd w:val="clear" w:color="auto" w:fill="auto"/>
            <w:noWrap/>
            <w:vAlign w:val="bottom"/>
            <w:hideMark/>
          </w:tcPr>
          <w:p w:rsidR="006B3A18" w:rsidRPr="00EB71DF" w:rsidP="006B3A18" w14:paraId="31AB6943" w14:textId="77777777">
            <w:pPr>
              <w:widowControl/>
              <w:overflowPunct/>
              <w:autoSpaceDE/>
              <w:autoSpaceDN/>
              <w:adjustRightInd/>
              <w:jc w:val="center"/>
              <w:textAlignment w:val="auto"/>
              <w:rPr>
                <w:rFonts w:ascii="Times New Roman" w:hAnsi="Times New Roman"/>
                <w:b/>
                <w:bCs/>
                <w:color w:val="000000"/>
                <w:sz w:val="20"/>
              </w:rPr>
            </w:pPr>
          </w:p>
        </w:tc>
        <w:tc>
          <w:tcPr>
            <w:tcW w:w="373" w:type="pct"/>
            <w:tcBorders>
              <w:top w:val="nil"/>
              <w:left w:val="nil"/>
              <w:bottom w:val="nil"/>
              <w:right w:val="nil"/>
            </w:tcBorders>
            <w:shd w:val="clear" w:color="auto" w:fill="auto"/>
            <w:noWrap/>
            <w:vAlign w:val="bottom"/>
            <w:hideMark/>
          </w:tcPr>
          <w:p w:rsidR="006B3A18" w:rsidRPr="006B3A18" w:rsidP="006B3A18" w14:paraId="17F1F746" w14:textId="77777777">
            <w:pPr>
              <w:widowControl/>
              <w:overflowPunct/>
              <w:autoSpaceDE/>
              <w:autoSpaceDN/>
              <w:adjustRightInd/>
              <w:jc w:val="right"/>
              <w:textAlignment w:val="auto"/>
              <w:rPr>
                <w:rFonts w:ascii="Times New Roman" w:hAnsi="Times New Roman"/>
                <w:sz w:val="20"/>
              </w:rPr>
            </w:pPr>
          </w:p>
        </w:tc>
        <w:tc>
          <w:tcPr>
            <w:tcW w:w="144" w:type="pct"/>
            <w:tcBorders>
              <w:top w:val="nil"/>
              <w:left w:val="nil"/>
              <w:bottom w:val="nil"/>
              <w:right w:val="nil"/>
            </w:tcBorders>
            <w:shd w:val="clear" w:color="auto" w:fill="auto"/>
            <w:noWrap/>
            <w:vAlign w:val="bottom"/>
            <w:hideMark/>
          </w:tcPr>
          <w:p w:rsidR="006B3A18" w:rsidRPr="006B3A18" w:rsidP="006B3A18" w14:paraId="38A7FA4B" w14:textId="77777777">
            <w:pPr>
              <w:widowControl/>
              <w:overflowPunct/>
              <w:autoSpaceDE/>
              <w:autoSpaceDN/>
              <w:adjustRightInd/>
              <w:textAlignment w:val="auto"/>
              <w:rPr>
                <w:rFonts w:ascii="Times New Roman" w:hAnsi="Times New Roman"/>
                <w:sz w:val="20"/>
              </w:rPr>
            </w:pPr>
          </w:p>
        </w:tc>
        <w:tc>
          <w:tcPr>
            <w:tcW w:w="446" w:type="pct"/>
            <w:tcBorders>
              <w:top w:val="nil"/>
              <w:left w:val="nil"/>
              <w:bottom w:val="nil"/>
              <w:right w:val="nil"/>
            </w:tcBorders>
            <w:shd w:val="clear" w:color="auto" w:fill="auto"/>
            <w:noWrap/>
            <w:vAlign w:val="bottom"/>
            <w:hideMark/>
          </w:tcPr>
          <w:p w:rsidR="006B3A18" w:rsidRPr="006B3A18" w:rsidP="006B3A18" w14:paraId="1F39DC20" w14:textId="77777777">
            <w:pPr>
              <w:widowControl/>
              <w:overflowPunct/>
              <w:autoSpaceDE/>
              <w:autoSpaceDN/>
              <w:adjustRightInd/>
              <w:jc w:val="center"/>
              <w:textAlignment w:val="auto"/>
              <w:rPr>
                <w:rFonts w:ascii="Times New Roman" w:hAnsi="Times New Roman"/>
                <w:sz w:val="20"/>
              </w:rPr>
            </w:pPr>
          </w:p>
        </w:tc>
        <w:tc>
          <w:tcPr>
            <w:tcW w:w="150" w:type="pct"/>
            <w:tcBorders>
              <w:top w:val="nil"/>
              <w:left w:val="nil"/>
              <w:bottom w:val="nil"/>
              <w:right w:val="nil"/>
            </w:tcBorders>
            <w:shd w:val="clear" w:color="auto" w:fill="auto"/>
            <w:noWrap/>
            <w:vAlign w:val="bottom"/>
            <w:hideMark/>
          </w:tcPr>
          <w:p w:rsidR="006B3A18" w:rsidRPr="006B3A18" w:rsidP="006B3A18" w14:paraId="09BE790B" w14:textId="77777777">
            <w:pPr>
              <w:widowControl/>
              <w:overflowPunct/>
              <w:autoSpaceDE/>
              <w:autoSpaceDN/>
              <w:adjustRightInd/>
              <w:jc w:val="center"/>
              <w:textAlignment w:val="auto"/>
              <w:rPr>
                <w:rFonts w:ascii="Times New Roman" w:hAnsi="Times New Roman"/>
                <w:sz w:val="20"/>
              </w:rPr>
            </w:pPr>
          </w:p>
        </w:tc>
        <w:tc>
          <w:tcPr>
            <w:tcW w:w="866" w:type="pct"/>
            <w:tcBorders>
              <w:top w:val="nil"/>
              <w:left w:val="nil"/>
              <w:bottom w:val="nil"/>
              <w:right w:val="nil"/>
            </w:tcBorders>
            <w:shd w:val="clear" w:color="auto" w:fill="auto"/>
            <w:noWrap/>
            <w:vAlign w:val="bottom"/>
            <w:hideMark/>
          </w:tcPr>
          <w:p w:rsidR="006B3A18" w:rsidRPr="00EB71DF" w:rsidP="006B3A18" w14:paraId="6B363E0F" w14:textId="3F019EE4">
            <w:pPr>
              <w:widowControl/>
              <w:overflowPunct/>
              <w:autoSpaceDE/>
              <w:autoSpaceDN/>
              <w:adjustRightInd/>
              <w:jc w:val="right"/>
              <w:textAlignment w:val="auto"/>
              <w:rPr>
                <w:rFonts w:ascii="Times New Roman" w:hAnsi="Times New Roman"/>
                <w:b/>
                <w:bCs/>
                <w:color w:val="000000"/>
                <w:sz w:val="20"/>
              </w:rPr>
            </w:pPr>
            <w:r w:rsidRPr="00EB71DF">
              <w:rPr>
                <w:rFonts w:ascii="Times New Roman" w:hAnsi="Times New Roman"/>
                <w:b/>
                <w:bCs/>
                <w:color w:val="000000"/>
                <w:sz w:val="20"/>
              </w:rPr>
              <w:t>$</w:t>
            </w:r>
            <w:r w:rsidR="002C67A5">
              <w:rPr>
                <w:rFonts w:ascii="Times New Roman" w:hAnsi="Times New Roman"/>
                <w:b/>
                <w:bCs/>
                <w:color w:val="000000"/>
                <w:sz w:val="20"/>
              </w:rPr>
              <w:t>4</w:t>
            </w:r>
            <w:r w:rsidR="00DC39D9">
              <w:rPr>
                <w:rFonts w:ascii="Times New Roman" w:hAnsi="Times New Roman"/>
                <w:b/>
                <w:bCs/>
                <w:color w:val="000000"/>
                <w:sz w:val="20"/>
              </w:rPr>
              <w:t>89,6</w:t>
            </w:r>
            <w:r w:rsidR="00012824">
              <w:rPr>
                <w:rFonts w:ascii="Times New Roman" w:hAnsi="Times New Roman"/>
                <w:b/>
                <w:bCs/>
                <w:color w:val="000000"/>
                <w:sz w:val="20"/>
              </w:rPr>
              <w:t>22</w:t>
            </w:r>
          </w:p>
        </w:tc>
      </w:tr>
      <w:tr w14:paraId="08AE16EC" w14:textId="77777777" w:rsidTr="006B3A18">
        <w:tblPrEx>
          <w:tblW w:w="5000" w:type="pct"/>
          <w:tblLook w:val="04A0"/>
        </w:tblPrEx>
        <w:trPr>
          <w:trHeight w:val="288"/>
        </w:trPr>
        <w:tc>
          <w:tcPr>
            <w:tcW w:w="2020" w:type="pct"/>
            <w:tcBorders>
              <w:top w:val="nil"/>
              <w:left w:val="nil"/>
              <w:bottom w:val="nil"/>
              <w:right w:val="nil"/>
            </w:tcBorders>
            <w:shd w:val="clear" w:color="auto" w:fill="auto"/>
            <w:noWrap/>
            <w:vAlign w:val="bottom"/>
            <w:hideMark/>
          </w:tcPr>
          <w:p w:rsidR="006B3A18" w:rsidRPr="00EB71DF" w:rsidP="006B3A18" w14:paraId="2E71E8E6" w14:textId="77777777">
            <w:pPr>
              <w:widowControl/>
              <w:overflowPunct/>
              <w:autoSpaceDE/>
              <w:autoSpaceDN/>
              <w:adjustRightInd/>
              <w:jc w:val="center"/>
              <w:textAlignment w:val="auto"/>
              <w:rPr>
                <w:rFonts w:ascii="Times New Roman" w:hAnsi="Times New Roman"/>
                <w:b/>
                <w:bCs/>
                <w:color w:val="000000"/>
                <w:sz w:val="20"/>
              </w:rPr>
            </w:pPr>
            <w:r w:rsidRPr="00EB71DF">
              <w:rPr>
                <w:rFonts w:ascii="Times New Roman" w:hAnsi="Times New Roman"/>
                <w:b/>
                <w:bCs/>
                <w:color w:val="000000"/>
                <w:sz w:val="20"/>
              </w:rPr>
              <w:t>Fringe/overhead (0.33)</w:t>
            </w:r>
          </w:p>
        </w:tc>
        <w:tc>
          <w:tcPr>
            <w:tcW w:w="327" w:type="pct"/>
            <w:tcBorders>
              <w:top w:val="nil"/>
              <w:left w:val="nil"/>
              <w:bottom w:val="nil"/>
              <w:right w:val="nil"/>
            </w:tcBorders>
            <w:shd w:val="clear" w:color="auto" w:fill="auto"/>
            <w:noWrap/>
            <w:vAlign w:val="bottom"/>
            <w:hideMark/>
          </w:tcPr>
          <w:p w:rsidR="006B3A18" w:rsidRPr="00EB71DF" w:rsidP="006B3A18" w14:paraId="63008F6D" w14:textId="77777777">
            <w:pPr>
              <w:widowControl/>
              <w:overflowPunct/>
              <w:autoSpaceDE/>
              <w:autoSpaceDN/>
              <w:adjustRightInd/>
              <w:jc w:val="center"/>
              <w:textAlignment w:val="auto"/>
              <w:rPr>
                <w:rFonts w:ascii="Times New Roman" w:hAnsi="Times New Roman"/>
                <w:b/>
                <w:bCs/>
                <w:color w:val="000000"/>
                <w:sz w:val="20"/>
              </w:rPr>
            </w:pPr>
            <w:r w:rsidRPr="00EB71DF">
              <w:rPr>
                <w:rFonts w:ascii="Times New Roman" w:hAnsi="Times New Roman"/>
                <w:b/>
                <w:bCs/>
                <w:color w:val="000000"/>
                <w:sz w:val="20"/>
              </w:rPr>
              <w:t>=</w:t>
            </w:r>
          </w:p>
        </w:tc>
        <w:tc>
          <w:tcPr>
            <w:tcW w:w="674" w:type="pct"/>
            <w:tcBorders>
              <w:top w:val="nil"/>
              <w:left w:val="nil"/>
              <w:bottom w:val="nil"/>
              <w:right w:val="nil"/>
            </w:tcBorders>
            <w:shd w:val="clear" w:color="auto" w:fill="auto"/>
            <w:noWrap/>
            <w:vAlign w:val="bottom"/>
            <w:hideMark/>
          </w:tcPr>
          <w:p w:rsidR="006B3A18" w:rsidRPr="00EB71DF" w:rsidP="006B3A18" w14:paraId="278B3A91" w14:textId="77777777">
            <w:pPr>
              <w:widowControl/>
              <w:overflowPunct/>
              <w:autoSpaceDE/>
              <w:autoSpaceDN/>
              <w:adjustRightInd/>
              <w:jc w:val="center"/>
              <w:textAlignment w:val="auto"/>
              <w:rPr>
                <w:rFonts w:ascii="Times New Roman" w:hAnsi="Times New Roman"/>
                <w:b/>
                <w:bCs/>
                <w:color w:val="000000"/>
                <w:sz w:val="20"/>
              </w:rPr>
            </w:pPr>
          </w:p>
        </w:tc>
        <w:tc>
          <w:tcPr>
            <w:tcW w:w="373" w:type="pct"/>
            <w:tcBorders>
              <w:top w:val="nil"/>
              <w:left w:val="nil"/>
              <w:bottom w:val="nil"/>
              <w:right w:val="nil"/>
            </w:tcBorders>
            <w:shd w:val="clear" w:color="auto" w:fill="auto"/>
            <w:noWrap/>
            <w:vAlign w:val="bottom"/>
            <w:hideMark/>
          </w:tcPr>
          <w:p w:rsidR="006B3A18" w:rsidRPr="006B3A18" w:rsidP="006B3A18" w14:paraId="23528AB8" w14:textId="77777777">
            <w:pPr>
              <w:widowControl/>
              <w:overflowPunct/>
              <w:autoSpaceDE/>
              <w:autoSpaceDN/>
              <w:adjustRightInd/>
              <w:jc w:val="right"/>
              <w:textAlignment w:val="auto"/>
              <w:rPr>
                <w:rFonts w:ascii="Times New Roman" w:hAnsi="Times New Roman"/>
                <w:sz w:val="20"/>
              </w:rPr>
            </w:pPr>
          </w:p>
        </w:tc>
        <w:tc>
          <w:tcPr>
            <w:tcW w:w="144" w:type="pct"/>
            <w:tcBorders>
              <w:top w:val="nil"/>
              <w:left w:val="nil"/>
              <w:bottom w:val="nil"/>
              <w:right w:val="nil"/>
            </w:tcBorders>
            <w:shd w:val="clear" w:color="auto" w:fill="auto"/>
            <w:noWrap/>
            <w:vAlign w:val="bottom"/>
            <w:hideMark/>
          </w:tcPr>
          <w:p w:rsidR="006B3A18" w:rsidRPr="006B3A18" w:rsidP="006B3A18" w14:paraId="30A0779B" w14:textId="77777777">
            <w:pPr>
              <w:widowControl/>
              <w:overflowPunct/>
              <w:autoSpaceDE/>
              <w:autoSpaceDN/>
              <w:adjustRightInd/>
              <w:jc w:val="center"/>
              <w:textAlignment w:val="auto"/>
              <w:rPr>
                <w:rFonts w:ascii="Times New Roman" w:hAnsi="Times New Roman"/>
                <w:sz w:val="20"/>
              </w:rPr>
            </w:pPr>
          </w:p>
        </w:tc>
        <w:tc>
          <w:tcPr>
            <w:tcW w:w="446" w:type="pct"/>
            <w:tcBorders>
              <w:top w:val="nil"/>
              <w:left w:val="nil"/>
              <w:bottom w:val="nil"/>
              <w:right w:val="nil"/>
            </w:tcBorders>
            <w:shd w:val="clear" w:color="auto" w:fill="auto"/>
            <w:noWrap/>
            <w:vAlign w:val="bottom"/>
            <w:hideMark/>
          </w:tcPr>
          <w:p w:rsidR="006B3A18" w:rsidRPr="006B3A18" w:rsidP="006B3A18" w14:paraId="17194915" w14:textId="77777777">
            <w:pPr>
              <w:widowControl/>
              <w:overflowPunct/>
              <w:autoSpaceDE/>
              <w:autoSpaceDN/>
              <w:adjustRightInd/>
              <w:jc w:val="center"/>
              <w:textAlignment w:val="auto"/>
              <w:rPr>
                <w:rFonts w:ascii="Times New Roman" w:hAnsi="Times New Roman"/>
                <w:sz w:val="20"/>
              </w:rPr>
            </w:pPr>
          </w:p>
        </w:tc>
        <w:tc>
          <w:tcPr>
            <w:tcW w:w="150" w:type="pct"/>
            <w:tcBorders>
              <w:top w:val="nil"/>
              <w:left w:val="nil"/>
              <w:bottom w:val="nil"/>
              <w:right w:val="nil"/>
            </w:tcBorders>
            <w:shd w:val="clear" w:color="auto" w:fill="auto"/>
            <w:noWrap/>
            <w:vAlign w:val="bottom"/>
            <w:hideMark/>
          </w:tcPr>
          <w:p w:rsidR="006B3A18" w:rsidRPr="006B3A18" w:rsidP="006B3A18" w14:paraId="401560F4" w14:textId="77777777">
            <w:pPr>
              <w:widowControl/>
              <w:overflowPunct/>
              <w:autoSpaceDE/>
              <w:autoSpaceDN/>
              <w:adjustRightInd/>
              <w:jc w:val="center"/>
              <w:textAlignment w:val="auto"/>
              <w:rPr>
                <w:rFonts w:ascii="Times New Roman" w:hAnsi="Times New Roman"/>
                <w:sz w:val="20"/>
              </w:rPr>
            </w:pPr>
          </w:p>
        </w:tc>
        <w:tc>
          <w:tcPr>
            <w:tcW w:w="866" w:type="pct"/>
            <w:tcBorders>
              <w:top w:val="nil"/>
              <w:left w:val="nil"/>
              <w:bottom w:val="nil"/>
              <w:right w:val="nil"/>
            </w:tcBorders>
            <w:shd w:val="clear" w:color="auto" w:fill="auto"/>
            <w:noWrap/>
            <w:vAlign w:val="bottom"/>
            <w:hideMark/>
          </w:tcPr>
          <w:p w:rsidR="006B3A18" w:rsidRPr="00EB71DF" w:rsidP="006B3A18" w14:paraId="0F353E92" w14:textId="02A3E973">
            <w:pPr>
              <w:widowControl/>
              <w:overflowPunct/>
              <w:autoSpaceDE/>
              <w:autoSpaceDN/>
              <w:adjustRightInd/>
              <w:jc w:val="right"/>
              <w:textAlignment w:val="auto"/>
              <w:rPr>
                <w:rFonts w:ascii="Times New Roman" w:hAnsi="Times New Roman"/>
                <w:b/>
                <w:bCs/>
                <w:color w:val="000000"/>
                <w:sz w:val="20"/>
              </w:rPr>
            </w:pPr>
            <w:r w:rsidRPr="00EB71DF">
              <w:rPr>
                <w:rFonts w:ascii="Times New Roman" w:hAnsi="Times New Roman"/>
                <w:b/>
                <w:bCs/>
                <w:color w:val="000000"/>
                <w:sz w:val="20"/>
              </w:rPr>
              <w:t>$</w:t>
            </w:r>
            <w:r w:rsidR="002C67A5">
              <w:rPr>
                <w:rFonts w:ascii="Times New Roman" w:hAnsi="Times New Roman"/>
                <w:b/>
                <w:bCs/>
                <w:color w:val="000000"/>
                <w:sz w:val="20"/>
              </w:rPr>
              <w:t>1</w:t>
            </w:r>
            <w:r w:rsidR="007C3179">
              <w:rPr>
                <w:rFonts w:ascii="Times New Roman" w:hAnsi="Times New Roman"/>
                <w:b/>
                <w:bCs/>
                <w:color w:val="000000"/>
                <w:sz w:val="20"/>
              </w:rPr>
              <w:t>61,57</w:t>
            </w:r>
            <w:r w:rsidR="00012824">
              <w:rPr>
                <w:rFonts w:ascii="Times New Roman" w:hAnsi="Times New Roman"/>
                <w:b/>
                <w:bCs/>
                <w:color w:val="000000"/>
                <w:sz w:val="20"/>
              </w:rPr>
              <w:t>5</w:t>
            </w:r>
          </w:p>
        </w:tc>
      </w:tr>
      <w:tr w14:paraId="064277E3" w14:textId="77777777" w:rsidTr="006B3A18">
        <w:tblPrEx>
          <w:tblW w:w="5000" w:type="pct"/>
          <w:tblLook w:val="04A0"/>
        </w:tblPrEx>
        <w:trPr>
          <w:trHeight w:val="288"/>
        </w:trPr>
        <w:tc>
          <w:tcPr>
            <w:tcW w:w="2020" w:type="pct"/>
            <w:tcBorders>
              <w:top w:val="nil"/>
              <w:left w:val="nil"/>
              <w:bottom w:val="nil"/>
              <w:right w:val="nil"/>
            </w:tcBorders>
            <w:shd w:val="clear" w:color="auto" w:fill="auto"/>
            <w:noWrap/>
            <w:vAlign w:val="bottom"/>
            <w:hideMark/>
          </w:tcPr>
          <w:p w:rsidR="006B3A18" w:rsidRPr="00EB71DF" w:rsidP="006B3A18" w14:paraId="19B211D6" w14:textId="7D4EA56A">
            <w:pPr>
              <w:widowControl/>
              <w:overflowPunct/>
              <w:autoSpaceDE/>
              <w:autoSpaceDN/>
              <w:adjustRightInd/>
              <w:jc w:val="center"/>
              <w:textAlignment w:val="auto"/>
              <w:rPr>
                <w:rFonts w:ascii="Times New Roman" w:hAnsi="Times New Roman"/>
                <w:b/>
                <w:bCs/>
                <w:color w:val="000000"/>
                <w:sz w:val="20"/>
              </w:rPr>
            </w:pPr>
            <w:r w:rsidRPr="00EB71DF">
              <w:rPr>
                <w:rFonts w:ascii="Times New Roman" w:hAnsi="Times New Roman"/>
                <w:b/>
                <w:bCs/>
                <w:color w:val="000000"/>
                <w:sz w:val="20"/>
              </w:rPr>
              <w:t xml:space="preserve">Total cost </w:t>
            </w:r>
            <w:r w:rsidR="002C67A5">
              <w:rPr>
                <w:rFonts w:ascii="Times New Roman" w:hAnsi="Times New Roman"/>
                <w:b/>
                <w:bCs/>
                <w:color w:val="000000"/>
                <w:sz w:val="20"/>
              </w:rPr>
              <w:t>of proposed rule</w:t>
            </w:r>
            <w:r w:rsidRPr="00EB71DF">
              <w:rPr>
                <w:rFonts w:ascii="Times New Roman" w:hAnsi="Times New Roman"/>
                <w:b/>
                <w:bCs/>
                <w:color w:val="000000"/>
                <w:sz w:val="20"/>
              </w:rPr>
              <w:t>:</w:t>
            </w:r>
          </w:p>
        </w:tc>
        <w:tc>
          <w:tcPr>
            <w:tcW w:w="327" w:type="pct"/>
            <w:tcBorders>
              <w:top w:val="nil"/>
              <w:left w:val="nil"/>
              <w:bottom w:val="nil"/>
              <w:right w:val="nil"/>
            </w:tcBorders>
            <w:shd w:val="clear" w:color="auto" w:fill="auto"/>
            <w:noWrap/>
            <w:vAlign w:val="bottom"/>
            <w:hideMark/>
          </w:tcPr>
          <w:p w:rsidR="006B3A18" w:rsidRPr="00EB71DF" w:rsidP="006B3A18" w14:paraId="5F62F7C3" w14:textId="77777777">
            <w:pPr>
              <w:widowControl/>
              <w:overflowPunct/>
              <w:autoSpaceDE/>
              <w:autoSpaceDN/>
              <w:adjustRightInd/>
              <w:jc w:val="center"/>
              <w:textAlignment w:val="auto"/>
              <w:rPr>
                <w:rFonts w:ascii="Times New Roman" w:hAnsi="Times New Roman"/>
                <w:b/>
                <w:bCs/>
                <w:color w:val="000000"/>
                <w:sz w:val="20"/>
              </w:rPr>
            </w:pPr>
            <w:r w:rsidRPr="00EB71DF">
              <w:rPr>
                <w:rFonts w:ascii="Times New Roman" w:hAnsi="Times New Roman"/>
                <w:b/>
                <w:bCs/>
                <w:color w:val="000000"/>
                <w:sz w:val="20"/>
              </w:rPr>
              <w:t>=</w:t>
            </w:r>
          </w:p>
        </w:tc>
        <w:tc>
          <w:tcPr>
            <w:tcW w:w="674" w:type="pct"/>
            <w:tcBorders>
              <w:top w:val="nil"/>
              <w:left w:val="nil"/>
              <w:bottom w:val="nil"/>
              <w:right w:val="nil"/>
            </w:tcBorders>
            <w:shd w:val="clear" w:color="auto" w:fill="auto"/>
            <w:noWrap/>
            <w:vAlign w:val="bottom"/>
            <w:hideMark/>
          </w:tcPr>
          <w:p w:rsidR="006B3A18" w:rsidRPr="00EB71DF" w:rsidP="006B3A18" w14:paraId="72C7D671" w14:textId="77777777">
            <w:pPr>
              <w:widowControl/>
              <w:overflowPunct/>
              <w:autoSpaceDE/>
              <w:autoSpaceDN/>
              <w:adjustRightInd/>
              <w:jc w:val="right"/>
              <w:textAlignment w:val="auto"/>
              <w:rPr>
                <w:rFonts w:ascii="Times New Roman" w:hAnsi="Times New Roman"/>
                <w:b/>
                <w:bCs/>
                <w:color w:val="000000"/>
                <w:sz w:val="20"/>
              </w:rPr>
            </w:pPr>
            <w:r w:rsidRPr="00EB71DF">
              <w:rPr>
                <w:rFonts w:ascii="Times New Roman" w:hAnsi="Times New Roman"/>
                <w:b/>
                <w:bCs/>
                <w:color w:val="000000"/>
                <w:sz w:val="20"/>
              </w:rPr>
              <w:t>9,693.523</w:t>
            </w:r>
          </w:p>
        </w:tc>
        <w:tc>
          <w:tcPr>
            <w:tcW w:w="373" w:type="pct"/>
            <w:tcBorders>
              <w:top w:val="nil"/>
              <w:left w:val="nil"/>
              <w:bottom w:val="nil"/>
              <w:right w:val="nil"/>
            </w:tcBorders>
            <w:shd w:val="clear" w:color="auto" w:fill="auto"/>
            <w:noWrap/>
            <w:vAlign w:val="bottom"/>
            <w:hideMark/>
          </w:tcPr>
          <w:p w:rsidR="006B3A18" w:rsidRPr="00EB71DF" w:rsidP="006B3A18" w14:paraId="777AAEC0" w14:textId="77777777">
            <w:pPr>
              <w:widowControl/>
              <w:overflowPunct/>
              <w:autoSpaceDE/>
              <w:autoSpaceDN/>
              <w:adjustRightInd/>
              <w:jc w:val="center"/>
              <w:textAlignment w:val="auto"/>
              <w:rPr>
                <w:rFonts w:ascii="Times New Roman" w:hAnsi="Times New Roman"/>
                <w:b/>
                <w:bCs/>
                <w:color w:val="000000"/>
                <w:sz w:val="20"/>
              </w:rPr>
            </w:pPr>
            <w:r w:rsidRPr="00EB71DF">
              <w:rPr>
                <w:rFonts w:ascii="Times New Roman" w:hAnsi="Times New Roman"/>
                <w:b/>
                <w:bCs/>
                <w:color w:val="000000"/>
                <w:sz w:val="20"/>
              </w:rPr>
              <w:t>hours</w:t>
            </w:r>
          </w:p>
        </w:tc>
        <w:tc>
          <w:tcPr>
            <w:tcW w:w="144" w:type="pct"/>
            <w:tcBorders>
              <w:top w:val="nil"/>
              <w:left w:val="nil"/>
              <w:bottom w:val="nil"/>
              <w:right w:val="nil"/>
            </w:tcBorders>
            <w:shd w:val="clear" w:color="auto" w:fill="auto"/>
            <w:noWrap/>
            <w:vAlign w:val="bottom"/>
            <w:hideMark/>
          </w:tcPr>
          <w:p w:rsidR="006B3A18" w:rsidRPr="00EB71DF" w:rsidP="006B3A18" w14:paraId="388EE5C6" w14:textId="77777777">
            <w:pPr>
              <w:widowControl/>
              <w:overflowPunct/>
              <w:autoSpaceDE/>
              <w:autoSpaceDN/>
              <w:adjustRightInd/>
              <w:jc w:val="center"/>
              <w:textAlignment w:val="auto"/>
              <w:rPr>
                <w:rFonts w:ascii="Times New Roman" w:hAnsi="Times New Roman"/>
                <w:b/>
                <w:bCs/>
                <w:color w:val="000000"/>
                <w:sz w:val="20"/>
              </w:rPr>
            </w:pPr>
          </w:p>
        </w:tc>
        <w:tc>
          <w:tcPr>
            <w:tcW w:w="446" w:type="pct"/>
            <w:tcBorders>
              <w:top w:val="nil"/>
              <w:left w:val="nil"/>
              <w:bottom w:val="nil"/>
              <w:right w:val="nil"/>
            </w:tcBorders>
            <w:shd w:val="clear" w:color="auto" w:fill="auto"/>
            <w:noWrap/>
            <w:vAlign w:val="bottom"/>
            <w:hideMark/>
          </w:tcPr>
          <w:p w:rsidR="006B3A18" w:rsidRPr="006B3A18" w:rsidP="006B3A18" w14:paraId="5D11B7AB" w14:textId="77777777">
            <w:pPr>
              <w:widowControl/>
              <w:overflowPunct/>
              <w:autoSpaceDE/>
              <w:autoSpaceDN/>
              <w:adjustRightInd/>
              <w:jc w:val="center"/>
              <w:textAlignment w:val="auto"/>
              <w:rPr>
                <w:rFonts w:ascii="Times New Roman" w:hAnsi="Times New Roman"/>
                <w:sz w:val="20"/>
              </w:rPr>
            </w:pPr>
          </w:p>
        </w:tc>
        <w:tc>
          <w:tcPr>
            <w:tcW w:w="150" w:type="pct"/>
            <w:tcBorders>
              <w:top w:val="nil"/>
              <w:left w:val="nil"/>
              <w:bottom w:val="nil"/>
              <w:right w:val="nil"/>
            </w:tcBorders>
            <w:shd w:val="clear" w:color="auto" w:fill="auto"/>
            <w:noWrap/>
            <w:vAlign w:val="bottom"/>
            <w:hideMark/>
          </w:tcPr>
          <w:p w:rsidR="006B3A18" w:rsidRPr="006B3A18" w:rsidP="006B3A18" w14:paraId="0BBFF3B1" w14:textId="77777777">
            <w:pPr>
              <w:widowControl/>
              <w:overflowPunct/>
              <w:autoSpaceDE/>
              <w:autoSpaceDN/>
              <w:adjustRightInd/>
              <w:jc w:val="center"/>
              <w:textAlignment w:val="auto"/>
              <w:rPr>
                <w:rFonts w:ascii="Times New Roman" w:hAnsi="Times New Roman"/>
                <w:sz w:val="20"/>
              </w:rPr>
            </w:pPr>
          </w:p>
        </w:tc>
        <w:tc>
          <w:tcPr>
            <w:tcW w:w="866" w:type="pct"/>
            <w:tcBorders>
              <w:top w:val="nil"/>
              <w:left w:val="nil"/>
              <w:bottom w:val="nil"/>
              <w:right w:val="nil"/>
            </w:tcBorders>
            <w:shd w:val="clear" w:color="auto" w:fill="auto"/>
            <w:noWrap/>
            <w:vAlign w:val="bottom"/>
            <w:hideMark/>
          </w:tcPr>
          <w:p w:rsidR="006B3A18" w:rsidRPr="00EB71DF" w:rsidP="006B3A18" w14:paraId="5DF4753C" w14:textId="5D8B19CF">
            <w:pPr>
              <w:widowControl/>
              <w:overflowPunct/>
              <w:autoSpaceDE/>
              <w:autoSpaceDN/>
              <w:adjustRightInd/>
              <w:jc w:val="right"/>
              <w:textAlignment w:val="auto"/>
              <w:rPr>
                <w:rFonts w:ascii="Times New Roman" w:hAnsi="Times New Roman"/>
                <w:b/>
                <w:bCs/>
                <w:color w:val="000000"/>
                <w:sz w:val="20"/>
              </w:rPr>
            </w:pPr>
            <w:r w:rsidRPr="00EB71DF">
              <w:rPr>
                <w:rFonts w:ascii="Times New Roman" w:hAnsi="Times New Roman"/>
                <w:b/>
                <w:bCs/>
                <w:color w:val="000000"/>
                <w:sz w:val="20"/>
              </w:rPr>
              <w:t>$</w:t>
            </w:r>
            <w:r w:rsidR="002C67A5">
              <w:rPr>
                <w:rFonts w:ascii="Times New Roman" w:hAnsi="Times New Roman"/>
                <w:b/>
                <w:bCs/>
                <w:color w:val="000000"/>
                <w:sz w:val="20"/>
              </w:rPr>
              <w:t>6</w:t>
            </w:r>
            <w:r w:rsidR="004F5182">
              <w:rPr>
                <w:rFonts w:ascii="Times New Roman" w:hAnsi="Times New Roman"/>
                <w:b/>
                <w:bCs/>
                <w:color w:val="000000"/>
                <w:sz w:val="20"/>
              </w:rPr>
              <w:t>51,1</w:t>
            </w:r>
            <w:r w:rsidR="00C31BFA">
              <w:rPr>
                <w:rFonts w:ascii="Times New Roman" w:hAnsi="Times New Roman"/>
                <w:b/>
                <w:bCs/>
                <w:color w:val="000000"/>
                <w:sz w:val="20"/>
              </w:rPr>
              <w:t>9</w:t>
            </w:r>
            <w:r w:rsidR="004F5182">
              <w:rPr>
                <w:rFonts w:ascii="Times New Roman" w:hAnsi="Times New Roman"/>
                <w:b/>
                <w:bCs/>
                <w:color w:val="000000"/>
                <w:sz w:val="20"/>
              </w:rPr>
              <w:t>7</w:t>
            </w:r>
          </w:p>
        </w:tc>
      </w:tr>
      <w:tr w14:paraId="0DEC82D8" w14:textId="77777777" w:rsidTr="006B3A18">
        <w:tblPrEx>
          <w:tblW w:w="5000" w:type="pct"/>
          <w:tblLook w:val="04A0"/>
        </w:tblPrEx>
        <w:trPr>
          <w:trHeight w:val="288"/>
        </w:trPr>
        <w:tc>
          <w:tcPr>
            <w:tcW w:w="2020" w:type="pct"/>
            <w:tcBorders>
              <w:top w:val="nil"/>
              <w:left w:val="nil"/>
              <w:bottom w:val="nil"/>
              <w:right w:val="nil"/>
            </w:tcBorders>
            <w:shd w:val="clear" w:color="auto" w:fill="auto"/>
            <w:noWrap/>
            <w:vAlign w:val="bottom"/>
          </w:tcPr>
          <w:p w:rsidR="002C67A5" w:rsidRPr="002C67A5" w:rsidP="006B3A18" w14:paraId="4488D62C" w14:textId="1C803F2F">
            <w:pPr>
              <w:widowControl/>
              <w:overflowPunct/>
              <w:autoSpaceDE/>
              <w:autoSpaceDN/>
              <w:adjustRightInd/>
              <w:jc w:val="center"/>
              <w:textAlignment w:val="auto"/>
              <w:rPr>
                <w:rFonts w:ascii="Times New Roman" w:hAnsi="Times New Roman"/>
                <w:b/>
                <w:bCs/>
                <w:color w:val="000000"/>
                <w:sz w:val="20"/>
              </w:rPr>
            </w:pPr>
            <w:r>
              <w:rPr>
                <w:rFonts w:ascii="Times New Roman" w:hAnsi="Times New Roman"/>
                <w:b/>
                <w:bCs/>
                <w:color w:val="000000"/>
                <w:sz w:val="20"/>
              </w:rPr>
              <w:t>Currently approved costs for OMB # 0584-0280:</w:t>
            </w:r>
          </w:p>
        </w:tc>
        <w:tc>
          <w:tcPr>
            <w:tcW w:w="327" w:type="pct"/>
            <w:tcBorders>
              <w:top w:val="nil"/>
              <w:left w:val="nil"/>
              <w:bottom w:val="nil"/>
              <w:right w:val="nil"/>
            </w:tcBorders>
            <w:shd w:val="clear" w:color="auto" w:fill="auto"/>
            <w:noWrap/>
            <w:vAlign w:val="bottom"/>
          </w:tcPr>
          <w:p w:rsidR="002C67A5" w:rsidRPr="002C67A5" w:rsidP="006B3A18" w14:paraId="508D3751" w14:textId="3FA36E85">
            <w:pPr>
              <w:widowControl/>
              <w:overflowPunct/>
              <w:autoSpaceDE/>
              <w:autoSpaceDN/>
              <w:adjustRightInd/>
              <w:jc w:val="center"/>
              <w:textAlignment w:val="auto"/>
              <w:rPr>
                <w:rFonts w:ascii="Times New Roman" w:hAnsi="Times New Roman"/>
                <w:b/>
                <w:bCs/>
                <w:color w:val="000000"/>
                <w:sz w:val="20"/>
              </w:rPr>
            </w:pPr>
            <w:r>
              <w:rPr>
                <w:rFonts w:ascii="Times New Roman" w:hAnsi="Times New Roman"/>
                <w:b/>
                <w:bCs/>
                <w:color w:val="000000"/>
                <w:sz w:val="20"/>
              </w:rPr>
              <w:t>=</w:t>
            </w:r>
          </w:p>
        </w:tc>
        <w:tc>
          <w:tcPr>
            <w:tcW w:w="674" w:type="pct"/>
            <w:tcBorders>
              <w:top w:val="nil"/>
              <w:left w:val="nil"/>
              <w:bottom w:val="nil"/>
              <w:right w:val="nil"/>
            </w:tcBorders>
            <w:shd w:val="clear" w:color="auto" w:fill="auto"/>
            <w:noWrap/>
            <w:vAlign w:val="bottom"/>
          </w:tcPr>
          <w:p w:rsidR="002C67A5" w:rsidRPr="002C67A5" w:rsidP="006B3A18" w14:paraId="548FF664" w14:textId="26E140C9">
            <w:pPr>
              <w:widowControl/>
              <w:overflowPunct/>
              <w:autoSpaceDE/>
              <w:autoSpaceDN/>
              <w:adjustRightInd/>
              <w:jc w:val="right"/>
              <w:textAlignment w:val="auto"/>
              <w:rPr>
                <w:rFonts w:ascii="Times New Roman" w:hAnsi="Times New Roman"/>
                <w:b/>
                <w:bCs/>
                <w:color w:val="000000"/>
                <w:sz w:val="20"/>
              </w:rPr>
            </w:pPr>
            <w:r>
              <w:rPr>
                <w:rFonts w:ascii="Times New Roman" w:hAnsi="Times New Roman"/>
                <w:b/>
                <w:bCs/>
                <w:color w:val="000000"/>
                <w:sz w:val="20"/>
              </w:rPr>
              <w:t>4</w:t>
            </w:r>
            <w:r w:rsidR="00B04D6C">
              <w:rPr>
                <w:rFonts w:ascii="Times New Roman" w:hAnsi="Times New Roman"/>
                <w:b/>
                <w:bCs/>
                <w:color w:val="000000"/>
                <w:sz w:val="20"/>
              </w:rPr>
              <w:t>62,724</w:t>
            </w:r>
          </w:p>
        </w:tc>
        <w:tc>
          <w:tcPr>
            <w:tcW w:w="373" w:type="pct"/>
            <w:tcBorders>
              <w:top w:val="nil"/>
              <w:left w:val="nil"/>
              <w:bottom w:val="nil"/>
              <w:right w:val="nil"/>
            </w:tcBorders>
            <w:shd w:val="clear" w:color="auto" w:fill="auto"/>
            <w:noWrap/>
            <w:vAlign w:val="bottom"/>
          </w:tcPr>
          <w:p w:rsidR="002C67A5" w:rsidRPr="002C67A5" w:rsidP="006B3A18" w14:paraId="31EC3D9C" w14:textId="3B35CFA9">
            <w:pPr>
              <w:widowControl/>
              <w:overflowPunct/>
              <w:autoSpaceDE/>
              <w:autoSpaceDN/>
              <w:adjustRightInd/>
              <w:jc w:val="center"/>
              <w:textAlignment w:val="auto"/>
              <w:rPr>
                <w:rFonts w:ascii="Times New Roman" w:hAnsi="Times New Roman"/>
                <w:b/>
                <w:bCs/>
                <w:color w:val="000000"/>
                <w:sz w:val="20"/>
              </w:rPr>
            </w:pPr>
            <w:r>
              <w:rPr>
                <w:rFonts w:ascii="Times New Roman" w:hAnsi="Times New Roman"/>
                <w:b/>
                <w:bCs/>
                <w:color w:val="000000"/>
                <w:sz w:val="20"/>
              </w:rPr>
              <w:t>hours</w:t>
            </w:r>
          </w:p>
        </w:tc>
        <w:tc>
          <w:tcPr>
            <w:tcW w:w="144" w:type="pct"/>
            <w:tcBorders>
              <w:top w:val="nil"/>
              <w:left w:val="nil"/>
              <w:bottom w:val="nil"/>
              <w:right w:val="nil"/>
            </w:tcBorders>
            <w:shd w:val="clear" w:color="auto" w:fill="auto"/>
            <w:noWrap/>
            <w:vAlign w:val="bottom"/>
          </w:tcPr>
          <w:p w:rsidR="002C67A5" w:rsidRPr="002C67A5" w:rsidP="006B3A18" w14:paraId="4F0456FF" w14:textId="77777777">
            <w:pPr>
              <w:widowControl/>
              <w:overflowPunct/>
              <w:autoSpaceDE/>
              <w:autoSpaceDN/>
              <w:adjustRightInd/>
              <w:jc w:val="center"/>
              <w:textAlignment w:val="auto"/>
              <w:rPr>
                <w:rFonts w:ascii="Times New Roman" w:hAnsi="Times New Roman"/>
                <w:b/>
                <w:bCs/>
                <w:color w:val="000000"/>
                <w:sz w:val="20"/>
              </w:rPr>
            </w:pPr>
          </w:p>
        </w:tc>
        <w:tc>
          <w:tcPr>
            <w:tcW w:w="446" w:type="pct"/>
            <w:tcBorders>
              <w:top w:val="nil"/>
              <w:left w:val="nil"/>
              <w:bottom w:val="nil"/>
              <w:right w:val="nil"/>
            </w:tcBorders>
            <w:shd w:val="clear" w:color="auto" w:fill="auto"/>
            <w:noWrap/>
            <w:vAlign w:val="bottom"/>
          </w:tcPr>
          <w:p w:rsidR="002C67A5" w:rsidRPr="006B3A18" w:rsidP="006B3A18" w14:paraId="748A5FDB" w14:textId="77777777">
            <w:pPr>
              <w:widowControl/>
              <w:overflowPunct/>
              <w:autoSpaceDE/>
              <w:autoSpaceDN/>
              <w:adjustRightInd/>
              <w:jc w:val="center"/>
              <w:textAlignment w:val="auto"/>
              <w:rPr>
                <w:rFonts w:ascii="Times New Roman" w:hAnsi="Times New Roman"/>
                <w:sz w:val="20"/>
              </w:rPr>
            </w:pPr>
          </w:p>
        </w:tc>
        <w:tc>
          <w:tcPr>
            <w:tcW w:w="150" w:type="pct"/>
            <w:tcBorders>
              <w:top w:val="nil"/>
              <w:left w:val="nil"/>
              <w:bottom w:val="nil"/>
              <w:right w:val="nil"/>
            </w:tcBorders>
            <w:shd w:val="clear" w:color="auto" w:fill="auto"/>
            <w:noWrap/>
            <w:vAlign w:val="bottom"/>
          </w:tcPr>
          <w:p w:rsidR="002C67A5" w:rsidRPr="006B3A18" w:rsidP="006B3A18" w14:paraId="7B8C51FC" w14:textId="77777777">
            <w:pPr>
              <w:widowControl/>
              <w:overflowPunct/>
              <w:autoSpaceDE/>
              <w:autoSpaceDN/>
              <w:adjustRightInd/>
              <w:jc w:val="center"/>
              <w:textAlignment w:val="auto"/>
              <w:rPr>
                <w:rFonts w:ascii="Times New Roman" w:hAnsi="Times New Roman"/>
                <w:sz w:val="20"/>
              </w:rPr>
            </w:pPr>
          </w:p>
        </w:tc>
        <w:tc>
          <w:tcPr>
            <w:tcW w:w="866" w:type="pct"/>
            <w:tcBorders>
              <w:top w:val="nil"/>
              <w:left w:val="nil"/>
              <w:bottom w:val="nil"/>
              <w:right w:val="nil"/>
            </w:tcBorders>
            <w:shd w:val="clear" w:color="auto" w:fill="auto"/>
            <w:noWrap/>
            <w:vAlign w:val="bottom"/>
          </w:tcPr>
          <w:p w:rsidR="002C67A5" w:rsidRPr="002C67A5" w:rsidP="006B3A18" w14:paraId="51323372" w14:textId="1CA7E919">
            <w:pPr>
              <w:widowControl/>
              <w:overflowPunct/>
              <w:autoSpaceDE/>
              <w:autoSpaceDN/>
              <w:adjustRightInd/>
              <w:jc w:val="right"/>
              <w:textAlignment w:val="auto"/>
              <w:rPr>
                <w:rFonts w:ascii="Times New Roman" w:hAnsi="Times New Roman"/>
                <w:b/>
                <w:bCs/>
                <w:color w:val="000000"/>
                <w:sz w:val="20"/>
              </w:rPr>
            </w:pPr>
            <w:r>
              <w:rPr>
                <w:rFonts w:ascii="Times New Roman" w:hAnsi="Times New Roman"/>
                <w:b/>
                <w:bCs/>
                <w:color w:val="000000"/>
                <w:sz w:val="20"/>
              </w:rPr>
              <w:t>$18,38</w:t>
            </w:r>
            <w:r w:rsidR="002B5E90">
              <w:rPr>
                <w:rFonts w:ascii="Times New Roman" w:hAnsi="Times New Roman"/>
                <w:b/>
                <w:bCs/>
                <w:color w:val="000000"/>
                <w:sz w:val="20"/>
              </w:rPr>
              <w:t>8</w:t>
            </w:r>
            <w:r>
              <w:rPr>
                <w:rFonts w:ascii="Times New Roman" w:hAnsi="Times New Roman"/>
                <w:b/>
                <w:bCs/>
                <w:color w:val="000000"/>
                <w:sz w:val="20"/>
              </w:rPr>
              <w:t>,8</w:t>
            </w:r>
            <w:r w:rsidR="00A0080A">
              <w:rPr>
                <w:rFonts w:ascii="Times New Roman" w:hAnsi="Times New Roman"/>
                <w:b/>
                <w:bCs/>
                <w:color w:val="000000"/>
                <w:sz w:val="20"/>
              </w:rPr>
              <w:t>66</w:t>
            </w:r>
          </w:p>
        </w:tc>
      </w:tr>
      <w:tr w14:paraId="36190C46" w14:textId="77777777" w:rsidTr="006B3A18">
        <w:tblPrEx>
          <w:tblW w:w="5000" w:type="pct"/>
          <w:tblLook w:val="04A0"/>
        </w:tblPrEx>
        <w:trPr>
          <w:trHeight w:val="288"/>
        </w:trPr>
        <w:tc>
          <w:tcPr>
            <w:tcW w:w="2020" w:type="pct"/>
            <w:tcBorders>
              <w:top w:val="nil"/>
              <w:left w:val="nil"/>
              <w:bottom w:val="nil"/>
              <w:right w:val="nil"/>
            </w:tcBorders>
            <w:shd w:val="clear" w:color="auto" w:fill="auto"/>
            <w:noWrap/>
            <w:vAlign w:val="bottom"/>
          </w:tcPr>
          <w:p w:rsidR="002C67A5" w:rsidRPr="002C67A5" w:rsidP="006B3A18" w14:paraId="5820A93F" w14:textId="0CBF03F6">
            <w:pPr>
              <w:widowControl/>
              <w:overflowPunct/>
              <w:autoSpaceDE/>
              <w:autoSpaceDN/>
              <w:adjustRightInd/>
              <w:jc w:val="center"/>
              <w:textAlignment w:val="auto"/>
              <w:rPr>
                <w:rFonts w:ascii="Times New Roman" w:hAnsi="Times New Roman"/>
                <w:b/>
                <w:bCs/>
                <w:color w:val="000000"/>
                <w:sz w:val="20"/>
              </w:rPr>
            </w:pPr>
            <w:r>
              <w:rPr>
                <w:rFonts w:ascii="Times New Roman" w:hAnsi="Times New Roman"/>
                <w:b/>
                <w:bCs/>
                <w:color w:val="000000"/>
                <w:sz w:val="20"/>
              </w:rPr>
              <w:t>Total cost to public:</w:t>
            </w:r>
          </w:p>
        </w:tc>
        <w:tc>
          <w:tcPr>
            <w:tcW w:w="327" w:type="pct"/>
            <w:tcBorders>
              <w:top w:val="nil"/>
              <w:left w:val="nil"/>
              <w:bottom w:val="nil"/>
              <w:right w:val="nil"/>
            </w:tcBorders>
            <w:shd w:val="clear" w:color="auto" w:fill="auto"/>
            <w:noWrap/>
            <w:vAlign w:val="bottom"/>
          </w:tcPr>
          <w:p w:rsidR="002C67A5" w:rsidRPr="002C67A5" w:rsidP="006B3A18" w14:paraId="7809CA52" w14:textId="10A70279">
            <w:pPr>
              <w:widowControl/>
              <w:overflowPunct/>
              <w:autoSpaceDE/>
              <w:autoSpaceDN/>
              <w:adjustRightInd/>
              <w:jc w:val="center"/>
              <w:textAlignment w:val="auto"/>
              <w:rPr>
                <w:rFonts w:ascii="Times New Roman" w:hAnsi="Times New Roman"/>
                <w:b/>
                <w:bCs/>
                <w:color w:val="000000"/>
                <w:sz w:val="20"/>
              </w:rPr>
            </w:pPr>
            <w:r>
              <w:rPr>
                <w:rFonts w:ascii="Times New Roman" w:hAnsi="Times New Roman"/>
                <w:b/>
                <w:bCs/>
                <w:color w:val="000000"/>
                <w:sz w:val="20"/>
              </w:rPr>
              <w:t>=</w:t>
            </w:r>
          </w:p>
        </w:tc>
        <w:tc>
          <w:tcPr>
            <w:tcW w:w="674" w:type="pct"/>
            <w:tcBorders>
              <w:top w:val="nil"/>
              <w:left w:val="nil"/>
              <w:bottom w:val="nil"/>
              <w:right w:val="nil"/>
            </w:tcBorders>
            <w:shd w:val="clear" w:color="auto" w:fill="auto"/>
            <w:noWrap/>
            <w:vAlign w:val="bottom"/>
          </w:tcPr>
          <w:p w:rsidR="002C67A5" w:rsidRPr="002C67A5" w:rsidP="006B3A18" w14:paraId="2AA3B655" w14:textId="22A36D80">
            <w:pPr>
              <w:widowControl/>
              <w:overflowPunct/>
              <w:autoSpaceDE/>
              <w:autoSpaceDN/>
              <w:adjustRightInd/>
              <w:jc w:val="right"/>
              <w:textAlignment w:val="auto"/>
              <w:rPr>
                <w:rFonts w:ascii="Times New Roman" w:hAnsi="Times New Roman"/>
                <w:b/>
                <w:bCs/>
                <w:color w:val="000000"/>
                <w:sz w:val="20"/>
              </w:rPr>
            </w:pPr>
            <w:r>
              <w:rPr>
                <w:rFonts w:ascii="Times New Roman" w:hAnsi="Times New Roman"/>
                <w:b/>
                <w:bCs/>
                <w:color w:val="000000"/>
                <w:sz w:val="20"/>
              </w:rPr>
              <w:t>472,</w:t>
            </w:r>
            <w:r w:rsidR="003C4784">
              <w:rPr>
                <w:rFonts w:ascii="Times New Roman" w:hAnsi="Times New Roman"/>
                <w:b/>
                <w:bCs/>
                <w:color w:val="000000"/>
                <w:sz w:val="20"/>
              </w:rPr>
              <w:t>417</w:t>
            </w:r>
          </w:p>
        </w:tc>
        <w:tc>
          <w:tcPr>
            <w:tcW w:w="373" w:type="pct"/>
            <w:tcBorders>
              <w:top w:val="nil"/>
              <w:left w:val="nil"/>
              <w:bottom w:val="nil"/>
              <w:right w:val="nil"/>
            </w:tcBorders>
            <w:shd w:val="clear" w:color="auto" w:fill="auto"/>
            <w:noWrap/>
            <w:vAlign w:val="bottom"/>
          </w:tcPr>
          <w:p w:rsidR="002C67A5" w:rsidRPr="002C67A5" w:rsidP="006B3A18" w14:paraId="6596AF2C" w14:textId="1D125E3D">
            <w:pPr>
              <w:widowControl/>
              <w:overflowPunct/>
              <w:autoSpaceDE/>
              <w:autoSpaceDN/>
              <w:adjustRightInd/>
              <w:jc w:val="center"/>
              <w:textAlignment w:val="auto"/>
              <w:rPr>
                <w:rFonts w:ascii="Times New Roman" w:hAnsi="Times New Roman"/>
                <w:b/>
                <w:bCs/>
                <w:color w:val="000000"/>
                <w:sz w:val="20"/>
              </w:rPr>
            </w:pPr>
            <w:r>
              <w:rPr>
                <w:rFonts w:ascii="Times New Roman" w:hAnsi="Times New Roman"/>
                <w:b/>
                <w:bCs/>
                <w:color w:val="000000"/>
                <w:sz w:val="20"/>
              </w:rPr>
              <w:t>hours</w:t>
            </w:r>
          </w:p>
        </w:tc>
        <w:tc>
          <w:tcPr>
            <w:tcW w:w="144" w:type="pct"/>
            <w:tcBorders>
              <w:top w:val="nil"/>
              <w:left w:val="nil"/>
              <w:bottom w:val="nil"/>
              <w:right w:val="nil"/>
            </w:tcBorders>
            <w:shd w:val="clear" w:color="auto" w:fill="auto"/>
            <w:noWrap/>
            <w:vAlign w:val="bottom"/>
          </w:tcPr>
          <w:p w:rsidR="002C67A5" w:rsidRPr="002C67A5" w:rsidP="006B3A18" w14:paraId="60CB1216" w14:textId="77777777">
            <w:pPr>
              <w:widowControl/>
              <w:overflowPunct/>
              <w:autoSpaceDE/>
              <w:autoSpaceDN/>
              <w:adjustRightInd/>
              <w:jc w:val="center"/>
              <w:textAlignment w:val="auto"/>
              <w:rPr>
                <w:rFonts w:ascii="Times New Roman" w:hAnsi="Times New Roman"/>
                <w:b/>
                <w:bCs/>
                <w:color w:val="000000"/>
                <w:sz w:val="20"/>
              </w:rPr>
            </w:pPr>
          </w:p>
        </w:tc>
        <w:tc>
          <w:tcPr>
            <w:tcW w:w="446" w:type="pct"/>
            <w:tcBorders>
              <w:top w:val="nil"/>
              <w:left w:val="nil"/>
              <w:bottom w:val="nil"/>
              <w:right w:val="nil"/>
            </w:tcBorders>
            <w:shd w:val="clear" w:color="auto" w:fill="auto"/>
            <w:noWrap/>
            <w:vAlign w:val="bottom"/>
          </w:tcPr>
          <w:p w:rsidR="002C67A5" w:rsidRPr="006B3A18" w:rsidP="006B3A18" w14:paraId="6981AD6E" w14:textId="77777777">
            <w:pPr>
              <w:widowControl/>
              <w:overflowPunct/>
              <w:autoSpaceDE/>
              <w:autoSpaceDN/>
              <w:adjustRightInd/>
              <w:jc w:val="center"/>
              <w:textAlignment w:val="auto"/>
              <w:rPr>
                <w:rFonts w:ascii="Times New Roman" w:hAnsi="Times New Roman"/>
                <w:sz w:val="20"/>
              </w:rPr>
            </w:pPr>
          </w:p>
        </w:tc>
        <w:tc>
          <w:tcPr>
            <w:tcW w:w="150" w:type="pct"/>
            <w:tcBorders>
              <w:top w:val="nil"/>
              <w:left w:val="nil"/>
              <w:bottom w:val="nil"/>
              <w:right w:val="nil"/>
            </w:tcBorders>
            <w:shd w:val="clear" w:color="auto" w:fill="auto"/>
            <w:noWrap/>
            <w:vAlign w:val="bottom"/>
          </w:tcPr>
          <w:p w:rsidR="002C67A5" w:rsidRPr="006B3A18" w:rsidP="006B3A18" w14:paraId="2EE75431" w14:textId="77777777">
            <w:pPr>
              <w:widowControl/>
              <w:overflowPunct/>
              <w:autoSpaceDE/>
              <w:autoSpaceDN/>
              <w:adjustRightInd/>
              <w:jc w:val="center"/>
              <w:textAlignment w:val="auto"/>
              <w:rPr>
                <w:rFonts w:ascii="Times New Roman" w:hAnsi="Times New Roman"/>
                <w:sz w:val="20"/>
              </w:rPr>
            </w:pPr>
          </w:p>
        </w:tc>
        <w:tc>
          <w:tcPr>
            <w:tcW w:w="866" w:type="pct"/>
            <w:tcBorders>
              <w:top w:val="nil"/>
              <w:left w:val="nil"/>
              <w:bottom w:val="nil"/>
              <w:right w:val="nil"/>
            </w:tcBorders>
            <w:shd w:val="clear" w:color="auto" w:fill="auto"/>
            <w:noWrap/>
            <w:vAlign w:val="bottom"/>
          </w:tcPr>
          <w:p w:rsidR="002C67A5" w:rsidRPr="002C67A5" w:rsidP="006B3A18" w14:paraId="7B959F9C" w14:textId="2F65D42E">
            <w:pPr>
              <w:widowControl/>
              <w:overflowPunct/>
              <w:autoSpaceDE/>
              <w:autoSpaceDN/>
              <w:adjustRightInd/>
              <w:jc w:val="right"/>
              <w:textAlignment w:val="auto"/>
              <w:rPr>
                <w:rFonts w:ascii="Times New Roman" w:hAnsi="Times New Roman"/>
                <w:b/>
                <w:bCs/>
                <w:color w:val="000000"/>
                <w:sz w:val="20"/>
              </w:rPr>
            </w:pPr>
            <w:r>
              <w:rPr>
                <w:rFonts w:ascii="Times New Roman" w:hAnsi="Times New Roman"/>
                <w:b/>
                <w:bCs/>
                <w:color w:val="000000"/>
                <w:sz w:val="20"/>
              </w:rPr>
              <w:t>$19,0</w:t>
            </w:r>
            <w:r w:rsidR="00ED7701">
              <w:rPr>
                <w:rFonts w:ascii="Times New Roman" w:hAnsi="Times New Roman"/>
                <w:b/>
                <w:bCs/>
                <w:color w:val="000000"/>
                <w:sz w:val="20"/>
              </w:rPr>
              <w:t>40,0</w:t>
            </w:r>
            <w:r w:rsidR="00B548A7">
              <w:rPr>
                <w:rFonts w:ascii="Times New Roman" w:hAnsi="Times New Roman"/>
                <w:b/>
                <w:bCs/>
                <w:color w:val="000000"/>
                <w:sz w:val="20"/>
              </w:rPr>
              <w:t>6</w:t>
            </w:r>
            <w:r w:rsidR="00ED7701">
              <w:rPr>
                <w:rFonts w:ascii="Times New Roman" w:hAnsi="Times New Roman"/>
                <w:b/>
                <w:bCs/>
                <w:color w:val="000000"/>
                <w:sz w:val="20"/>
              </w:rPr>
              <w:t>3</w:t>
            </w:r>
          </w:p>
        </w:tc>
      </w:tr>
    </w:tbl>
    <w:p w:rsidR="00ED28F2" w:rsidRPr="002568E6" w:rsidP="00ED28F2" w14:paraId="2A933E00" w14:textId="081C6735">
      <w:pPr>
        <w:tabs>
          <w:tab w:val="left" w:pos="-720"/>
        </w:tabs>
        <w:suppressAutoHyphens/>
        <w:spacing w:line="480" w:lineRule="auto"/>
        <w:rPr>
          <w:rFonts w:ascii="Times New Roman" w:hAnsi="Times New Roman"/>
          <w:szCs w:val="24"/>
        </w:rPr>
      </w:pPr>
      <w:r>
        <w:fldChar w:fldCharType="begin"/>
      </w:r>
      <w:r>
        <w:instrText xml:space="preserve"> LINK </w:instrText>
      </w:r>
      <w:r w:rsidR="00FA2749">
        <w:instrText xml:space="preserve">Excel.Sheet.12 https://usdagcc.sharepoint.com/sites/FNS-CNP-Serious-Deficiency-Group/Shared%20Documents/General/CRIA%20and%20ICR/ICR%20for%20SD%20Rule/ICR%20Second%20Drafts/SFSP%20ICR/Appendix_1_SFSP_ICR_Burden_Estimates.xlsx "Respondent Costs!R6C2:R17C9" </w:instrText>
      </w:r>
      <w:r>
        <w:instrText xml:space="preserve">\a \f 4 \h  \* MERGEFORMAT </w:instrText>
      </w:r>
      <w:r>
        <w:fldChar w:fldCharType="separate"/>
      </w:r>
      <w:r>
        <w:rPr>
          <w:rFonts w:ascii="Times New Roman" w:hAnsi="Times New Roman"/>
          <w:szCs w:val="24"/>
        </w:rPr>
        <w:fldChar w:fldCharType="end"/>
      </w:r>
    </w:p>
    <w:p w:rsidR="000438E8" w:rsidRPr="002568E6" w:rsidP="0062567E" w14:paraId="2A933E01" w14:textId="77777777">
      <w:pPr>
        <w:pStyle w:val="Heading1"/>
      </w:pPr>
      <w:bookmarkStart w:id="34" w:name="_Toc401831369"/>
      <w:bookmarkStart w:id="35" w:name="_Toc133329838"/>
      <w:r>
        <w:t xml:space="preserve">A13.  Estimates of other total annual cost </w:t>
      </w:r>
      <w:r w:rsidR="00ED28F2">
        <w:t>burden</w:t>
      </w:r>
      <w:r>
        <w:t>.</w:t>
      </w:r>
      <w:bookmarkEnd w:id="34"/>
      <w:bookmarkEnd w:id="35"/>
    </w:p>
    <w:p w:rsidR="0062567E" w:rsidRPr="002568E6" w:rsidP="000438E8" w14:paraId="2A933E02" w14:textId="77777777">
      <w:pPr>
        <w:tabs>
          <w:tab w:val="left" w:pos="0"/>
        </w:tabs>
        <w:suppressAutoHyphens/>
        <w:rPr>
          <w:rFonts w:ascii="Times New Roman" w:hAnsi="Times New Roman"/>
          <w:b/>
          <w:szCs w:val="24"/>
        </w:rPr>
      </w:pPr>
    </w:p>
    <w:p w:rsidR="0062567E" w:rsidP="000438E8" w14:paraId="2A933E03" w14:textId="4C42AE89">
      <w:pPr>
        <w:tabs>
          <w:tab w:val="left" w:pos="0"/>
        </w:tabs>
        <w:suppressAutoHyphens/>
        <w:rPr>
          <w:rFonts w:ascii="Times New Roman" w:hAnsi="Times New Roman"/>
          <w:b/>
          <w:szCs w:val="24"/>
        </w:rPr>
      </w:pPr>
      <w:r w:rsidRPr="002568E6">
        <w:rPr>
          <w:rFonts w:ascii="Times New Roman" w:hAnsi="Times New Roman"/>
          <w:b/>
          <w:szCs w:val="24"/>
        </w:rPr>
        <w:t xml:space="preserve">Provide estimates of the total annual cost burden to respondents or recordkeepers resulting from the collection of information, (do not include the cost of any hour burden shown in questions 12 and 14).  The cost estimates should be split into two components: (a) a total </w:t>
      </w:r>
      <w:r w:rsidRPr="002568E6">
        <w:rPr>
          <w:rFonts w:ascii="Times New Roman" w:hAnsi="Times New Roman"/>
          <w:b/>
          <w:szCs w:val="24"/>
        </w:rPr>
        <w:t>capital and start-up cost component annualized over its expected useful life; and (b) a total operation and maintenance and purchase of services component.</w:t>
      </w:r>
    </w:p>
    <w:p w:rsidR="001C2939" w:rsidP="000438E8" w14:paraId="352EAED6" w14:textId="0A853082">
      <w:pPr>
        <w:tabs>
          <w:tab w:val="left" w:pos="0"/>
        </w:tabs>
        <w:suppressAutoHyphens/>
        <w:rPr>
          <w:rFonts w:ascii="Times New Roman" w:hAnsi="Times New Roman"/>
          <w:b/>
          <w:szCs w:val="24"/>
        </w:rPr>
      </w:pPr>
    </w:p>
    <w:p w:rsidR="001C2939" w:rsidP="001C2939" w14:paraId="32A2A572" w14:textId="09DBE904">
      <w:pPr>
        <w:tabs>
          <w:tab w:val="left" w:pos="0"/>
        </w:tabs>
        <w:suppressAutoHyphens/>
        <w:spacing w:line="480" w:lineRule="auto"/>
        <w:rPr>
          <w:rFonts w:ascii="Times New Roman" w:hAnsi="Times New Roman"/>
          <w:bCs/>
          <w:szCs w:val="24"/>
        </w:rPr>
      </w:pPr>
      <w:r>
        <w:rPr>
          <w:rFonts w:ascii="Times New Roman" w:hAnsi="Times New Roman"/>
          <w:bCs/>
          <w:szCs w:val="24"/>
        </w:rPr>
        <w:tab/>
        <w:t xml:space="preserve">There are no capital or start-up costs or ongoing operation or maintenance costs </w:t>
      </w:r>
      <w:r w:rsidR="00BE05B4">
        <w:rPr>
          <w:rFonts w:ascii="Times New Roman" w:hAnsi="Times New Roman"/>
          <w:bCs/>
          <w:szCs w:val="24"/>
        </w:rPr>
        <w:t xml:space="preserve">related to the revisions in this proposed rule.  </w:t>
      </w:r>
      <w:r w:rsidR="002B0416">
        <w:rPr>
          <w:rFonts w:ascii="Times New Roman" w:hAnsi="Times New Roman"/>
          <w:bCs/>
          <w:szCs w:val="24"/>
        </w:rPr>
        <w:t>The currently approved collection does have start-up and maintenance costs</w:t>
      </w:r>
      <w:r w:rsidR="002D54CC">
        <w:rPr>
          <w:rFonts w:ascii="Times New Roman" w:hAnsi="Times New Roman"/>
          <w:bCs/>
          <w:szCs w:val="24"/>
        </w:rPr>
        <w:t xml:space="preserve"> related to menu changes resulting </w:t>
      </w:r>
      <w:r w:rsidR="00D850D3">
        <w:rPr>
          <w:rFonts w:ascii="Times New Roman" w:hAnsi="Times New Roman"/>
          <w:bCs/>
          <w:szCs w:val="24"/>
        </w:rPr>
        <w:t xml:space="preserve">from the </w:t>
      </w:r>
      <w:r w:rsidRPr="00E233D2" w:rsidR="009968BA">
        <w:rPr>
          <w:rFonts w:ascii="Times New Roman" w:hAnsi="Times New Roman"/>
          <w:szCs w:val="24"/>
        </w:rPr>
        <w:t xml:space="preserve">final </w:t>
      </w:r>
      <w:r w:rsidRPr="00E233D2" w:rsidR="009968BA">
        <w:rPr>
          <w:rFonts w:ascii="Times New Roman" w:hAnsi="Times New Roman"/>
          <w:spacing w:val="-3"/>
          <w:szCs w:val="24"/>
        </w:rPr>
        <w:t xml:space="preserve">rule, </w:t>
      </w:r>
      <w:r w:rsidRPr="00E233D2" w:rsidR="009968BA">
        <w:rPr>
          <w:rFonts w:ascii="Times New Roman" w:hAnsi="Times New Roman"/>
          <w:i/>
          <w:iCs/>
          <w:szCs w:val="24"/>
        </w:rPr>
        <w:t xml:space="preserve">Child Nutrition Programs: </w:t>
      </w:r>
      <w:r w:rsidR="009968BA">
        <w:rPr>
          <w:rFonts w:ascii="Times New Roman" w:hAnsi="Times New Roman"/>
          <w:i/>
          <w:iCs/>
          <w:szCs w:val="24"/>
        </w:rPr>
        <w:t>Meal Patterns Consistent</w:t>
      </w:r>
      <w:r w:rsidRPr="00E233D2" w:rsidR="009968BA">
        <w:rPr>
          <w:rFonts w:ascii="Times New Roman" w:hAnsi="Times New Roman"/>
          <w:i/>
          <w:iCs/>
          <w:szCs w:val="24"/>
        </w:rPr>
        <w:t xml:space="preserve"> with the 2020</w:t>
      </w:r>
      <w:r w:rsidR="009968BA">
        <w:rPr>
          <w:rFonts w:ascii="Times New Roman" w:hAnsi="Times New Roman"/>
          <w:i/>
          <w:iCs/>
          <w:szCs w:val="24"/>
        </w:rPr>
        <w:t>-2025</w:t>
      </w:r>
      <w:r w:rsidRPr="00E233D2" w:rsidR="009968BA">
        <w:rPr>
          <w:rFonts w:ascii="Times New Roman" w:hAnsi="Times New Roman"/>
          <w:i/>
          <w:iCs/>
          <w:szCs w:val="24"/>
        </w:rPr>
        <w:t xml:space="preserve"> Dietary Guidelines for Americans </w:t>
      </w:r>
      <w:r w:rsidRPr="00E233D2" w:rsidR="009968BA">
        <w:rPr>
          <w:rFonts w:ascii="Times New Roman" w:hAnsi="Times New Roman"/>
          <w:szCs w:val="24"/>
        </w:rPr>
        <w:t>(RIN 0584-AE88)</w:t>
      </w:r>
      <w:r w:rsidR="00A742EC">
        <w:rPr>
          <w:rFonts w:ascii="Times New Roman" w:hAnsi="Times New Roman"/>
          <w:bCs/>
          <w:szCs w:val="24"/>
        </w:rPr>
        <w:t>.</w:t>
      </w:r>
      <w:r w:rsidR="0034689B">
        <w:rPr>
          <w:rFonts w:ascii="Times New Roman" w:hAnsi="Times New Roman"/>
          <w:bCs/>
          <w:szCs w:val="24"/>
        </w:rPr>
        <w:t xml:space="preserve">  </w:t>
      </w:r>
      <w:r w:rsidR="00394F0C">
        <w:rPr>
          <w:rFonts w:ascii="Times New Roman" w:hAnsi="Times New Roman"/>
          <w:bCs/>
          <w:szCs w:val="24"/>
        </w:rPr>
        <w:t xml:space="preserve">The costs cover such items as extra supplies, funding to implement the updated meal patterns, and costs for updating websites, materials, menus, and recipes.  </w:t>
      </w:r>
      <w:r w:rsidR="00D61798">
        <w:rPr>
          <w:rFonts w:ascii="Times New Roman" w:hAnsi="Times New Roman"/>
          <w:bCs/>
          <w:szCs w:val="24"/>
        </w:rPr>
        <w:t xml:space="preserve">FNS estimates that this collection has $10,000 in start-up costs </w:t>
      </w:r>
      <w:r w:rsidR="00345A49">
        <w:rPr>
          <w:rFonts w:ascii="Times New Roman" w:hAnsi="Times New Roman"/>
          <w:bCs/>
          <w:szCs w:val="24"/>
        </w:rPr>
        <w:t xml:space="preserve">related to changes that SFSP operators need to make to their menus.  </w:t>
      </w:r>
      <w:r w:rsidR="007F26DF">
        <w:rPr>
          <w:rFonts w:ascii="Times New Roman" w:hAnsi="Times New Roman"/>
          <w:bCs/>
          <w:szCs w:val="24"/>
        </w:rPr>
        <w:t xml:space="preserve">FNS estimates that 20 operators will need to make these changes and that it will cost $500 per operator, for an estimated total </w:t>
      </w:r>
      <w:r w:rsidR="00C62E74">
        <w:rPr>
          <w:rFonts w:ascii="Times New Roman" w:hAnsi="Times New Roman"/>
          <w:bCs/>
          <w:szCs w:val="24"/>
        </w:rPr>
        <w:t>$10,000</w:t>
      </w:r>
      <w:r w:rsidR="005F42C6">
        <w:rPr>
          <w:rFonts w:ascii="Times New Roman" w:hAnsi="Times New Roman"/>
          <w:bCs/>
          <w:szCs w:val="24"/>
        </w:rPr>
        <w:t>.</w:t>
      </w:r>
    </w:p>
    <w:p w:rsidR="00BE05B4" w:rsidP="001C2939" w14:paraId="6CB37F3B" w14:textId="77777777">
      <w:pPr>
        <w:tabs>
          <w:tab w:val="left" w:pos="0"/>
        </w:tabs>
        <w:suppressAutoHyphens/>
        <w:spacing w:line="480" w:lineRule="auto"/>
        <w:rPr>
          <w:rFonts w:ascii="Times New Roman" w:hAnsi="Times New Roman"/>
          <w:bCs/>
          <w:szCs w:val="24"/>
        </w:rPr>
      </w:pPr>
    </w:p>
    <w:p w:rsidR="00A308DB" w:rsidRPr="002568E6" w:rsidP="0062567E" w14:paraId="2A933E07" w14:textId="77777777">
      <w:pPr>
        <w:pStyle w:val="Heading1"/>
      </w:pPr>
      <w:bookmarkStart w:id="36" w:name="_Toc401831370"/>
      <w:bookmarkStart w:id="37" w:name="_Toc133329839"/>
      <w:r>
        <w:t>A14.  Provide estimates of annualized cost to the Federal government.</w:t>
      </w:r>
      <w:bookmarkEnd w:id="36"/>
      <w:bookmarkEnd w:id="37"/>
      <w:r w:rsidR="0088245A">
        <w:t xml:space="preserve">  </w:t>
      </w:r>
    </w:p>
    <w:p w:rsidR="0062567E" w:rsidRPr="002568E6" w:rsidP="000438E8" w14:paraId="2A933E08" w14:textId="77777777">
      <w:pPr>
        <w:tabs>
          <w:tab w:val="left" w:pos="0"/>
        </w:tabs>
        <w:suppressAutoHyphens/>
        <w:rPr>
          <w:rFonts w:ascii="Times New Roman" w:hAnsi="Times New Roman"/>
          <w:szCs w:val="24"/>
        </w:rPr>
      </w:pPr>
    </w:p>
    <w:p w:rsidR="0062567E" w:rsidRPr="002568E6" w:rsidP="0062567E" w14:paraId="2A933E09" w14:textId="10BA7C15">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r w:rsidR="00CE0FAD">
        <w:rPr>
          <w:b/>
          <w:szCs w:val="24"/>
        </w:rPr>
        <w:t>.</w:t>
      </w:r>
    </w:p>
    <w:p w:rsidR="0062567E" w:rsidRPr="002568E6" w:rsidP="000438E8" w14:paraId="2A933E0A" w14:textId="77777777">
      <w:pPr>
        <w:tabs>
          <w:tab w:val="left" w:pos="0"/>
        </w:tabs>
        <w:suppressAutoHyphens/>
        <w:rPr>
          <w:rFonts w:ascii="Times New Roman" w:hAnsi="Times New Roman"/>
          <w:szCs w:val="24"/>
        </w:rPr>
      </w:pPr>
    </w:p>
    <w:p w:rsidR="0002287F" w:rsidRPr="00A06827" w:rsidP="0002287F" w14:paraId="7BA09CA0" w14:textId="57E157DC">
      <w:pPr>
        <w:tabs>
          <w:tab w:val="left" w:pos="-720"/>
        </w:tabs>
        <w:suppressAutoHyphens/>
        <w:spacing w:line="480" w:lineRule="auto"/>
        <w:rPr>
          <w:rFonts w:ascii="Times New Roman" w:hAnsi="Times New Roman"/>
          <w:szCs w:val="24"/>
        </w:rPr>
      </w:pPr>
      <w:r>
        <w:rPr>
          <w:rFonts w:ascii="Times New Roman" w:hAnsi="Times New Roman"/>
          <w:szCs w:val="24"/>
        </w:rPr>
        <w:tab/>
      </w:r>
      <w:r w:rsidRPr="00A06827">
        <w:rPr>
          <w:rFonts w:ascii="Times New Roman" w:hAnsi="Times New Roman"/>
          <w:szCs w:val="24"/>
        </w:rPr>
        <w:t xml:space="preserve">To estimate the annualized cost of this information collection to the Federal government, we identified functions performed by FNS </w:t>
      </w:r>
      <w:r w:rsidR="006B3A18">
        <w:rPr>
          <w:rFonts w:ascii="Times New Roman" w:hAnsi="Times New Roman"/>
          <w:szCs w:val="24"/>
        </w:rPr>
        <w:t>National Office</w:t>
      </w:r>
      <w:r w:rsidRPr="00A06827">
        <w:rPr>
          <w:rFonts w:ascii="Times New Roman" w:hAnsi="Times New Roman"/>
          <w:szCs w:val="24"/>
        </w:rPr>
        <w:t xml:space="preserve"> and Regional Office</w:t>
      </w:r>
      <w:r w:rsidR="006B3A18">
        <w:rPr>
          <w:rFonts w:ascii="Times New Roman" w:hAnsi="Times New Roman"/>
          <w:szCs w:val="24"/>
        </w:rPr>
        <w:t xml:space="preserve"> (FNSRO)</w:t>
      </w:r>
      <w:r w:rsidRPr="00A06827">
        <w:rPr>
          <w:rFonts w:ascii="Times New Roman" w:hAnsi="Times New Roman"/>
          <w:szCs w:val="24"/>
        </w:rPr>
        <w:t xml:space="preserve"> staff related to the </w:t>
      </w:r>
      <w:r>
        <w:rPr>
          <w:rFonts w:ascii="Times New Roman" w:hAnsi="Times New Roman"/>
          <w:szCs w:val="24"/>
        </w:rPr>
        <w:t xml:space="preserve">SFSP </w:t>
      </w:r>
      <w:r w:rsidRPr="00A06827">
        <w:rPr>
          <w:rFonts w:ascii="Times New Roman" w:hAnsi="Times New Roman"/>
          <w:szCs w:val="24"/>
        </w:rPr>
        <w:t>(e.g., providing professional assistance to SAs). We then obtained estimates of the number of staff hours spent performing these functions</w:t>
      </w:r>
      <w:r w:rsidR="003F3BE2">
        <w:rPr>
          <w:rFonts w:ascii="Times New Roman" w:hAnsi="Times New Roman"/>
          <w:szCs w:val="24"/>
        </w:rPr>
        <w:t xml:space="preserve">.  </w:t>
      </w:r>
      <w:r w:rsidR="006B3A18">
        <w:rPr>
          <w:rFonts w:ascii="Times New Roman" w:hAnsi="Times New Roman"/>
          <w:szCs w:val="24"/>
        </w:rPr>
        <w:t>FNS identified functions performed by National Office and FNSRO staff that benefits the SFSP and obtained estimates of total number of hours spent performing these functions</w:t>
      </w:r>
      <w:r w:rsidR="009D6A18">
        <w:rPr>
          <w:rFonts w:ascii="Times New Roman" w:hAnsi="Times New Roman"/>
          <w:szCs w:val="24"/>
        </w:rPr>
        <w:t>.</w:t>
      </w:r>
    </w:p>
    <w:p w:rsidR="003E2C98" w:rsidP="00ED28F2" w14:paraId="0CBE4CAD" w14:textId="7F966EB3">
      <w:pPr>
        <w:tabs>
          <w:tab w:val="left" w:pos="-720"/>
        </w:tabs>
        <w:suppressAutoHyphens/>
        <w:spacing w:line="480" w:lineRule="auto"/>
        <w:rPr>
          <w:rFonts w:ascii="Times New Roman" w:hAnsi="Times New Roman"/>
          <w:szCs w:val="24"/>
        </w:rPr>
      </w:pPr>
      <w:r>
        <w:rPr>
          <w:rFonts w:ascii="Times New Roman" w:hAnsi="Times New Roman"/>
          <w:szCs w:val="24"/>
        </w:rPr>
        <w:tab/>
      </w:r>
      <w:r w:rsidRPr="00A06827">
        <w:rPr>
          <w:rFonts w:ascii="Times New Roman" w:hAnsi="Times New Roman"/>
          <w:szCs w:val="24"/>
        </w:rPr>
        <w:t xml:space="preserve">Using the </w:t>
      </w:r>
      <w:r w:rsidRPr="00A06827" w:rsidR="006B3A18">
        <w:rPr>
          <w:rFonts w:ascii="Times New Roman" w:hAnsi="Times New Roman"/>
          <w:szCs w:val="24"/>
        </w:rPr>
        <w:t>202</w:t>
      </w:r>
      <w:r w:rsidR="006B3A18">
        <w:rPr>
          <w:rFonts w:ascii="Times New Roman" w:hAnsi="Times New Roman"/>
          <w:szCs w:val="24"/>
        </w:rPr>
        <w:t>4</w:t>
      </w:r>
      <w:r w:rsidR="00E0703E">
        <w:rPr>
          <w:rFonts w:ascii="Times New Roman" w:hAnsi="Times New Roman"/>
          <w:szCs w:val="24"/>
        </w:rPr>
        <w:t xml:space="preserve"> </w:t>
      </w:r>
      <w:r w:rsidRPr="00A06827">
        <w:rPr>
          <w:rFonts w:ascii="Times New Roman" w:hAnsi="Times New Roman"/>
          <w:szCs w:val="24"/>
        </w:rPr>
        <w:t>Federal Wage Salary Tables (202</w:t>
      </w:r>
      <w:r w:rsidR="006B3A18">
        <w:rPr>
          <w:rFonts w:ascii="Times New Roman" w:hAnsi="Times New Roman"/>
          <w:szCs w:val="24"/>
        </w:rPr>
        <w:t>4</w:t>
      </w:r>
      <w:r w:rsidRPr="00A06827">
        <w:rPr>
          <w:rFonts w:ascii="Times New Roman" w:hAnsi="Times New Roman"/>
          <w:szCs w:val="24"/>
        </w:rPr>
        <w:t xml:space="preserve"> General Schedule (GS))</w:t>
      </w:r>
      <w:r w:rsidR="006B3A18">
        <w:rPr>
          <w:rFonts w:ascii="Times New Roman" w:hAnsi="Times New Roman"/>
          <w:szCs w:val="24"/>
        </w:rPr>
        <w:t xml:space="preserve">, available at </w:t>
      </w:r>
      <w:r w:rsidRPr="00E64BF9" w:rsidR="00E64BF9">
        <w:rPr>
          <w:rFonts w:ascii="Times New Roman" w:hAnsi="Times New Roman"/>
          <w:szCs w:val="24"/>
        </w:rPr>
        <w:t>https://www.opm.gov/policy-data-oversight/pay-leave/salaries-wages/2024/general-schedule</w:t>
      </w:r>
      <w:r w:rsidR="00E64BF9">
        <w:rPr>
          <w:rFonts w:ascii="Times New Roman" w:hAnsi="Times New Roman"/>
          <w:szCs w:val="24"/>
        </w:rPr>
        <w:t>, were used to estimate the total Federal cost.</w:t>
      </w:r>
      <w:r w:rsidR="004A5B92">
        <w:rPr>
          <w:rFonts w:ascii="Times New Roman" w:hAnsi="Times New Roman"/>
          <w:szCs w:val="24"/>
        </w:rPr>
        <w:t xml:space="preserve"> FNS estimates that FNSRO employees, receiving an </w:t>
      </w:r>
      <w:r w:rsidR="004A5B92">
        <w:rPr>
          <w:rFonts w:ascii="Times New Roman" w:hAnsi="Times New Roman"/>
          <w:szCs w:val="24"/>
        </w:rPr>
        <w:t>average GS grade 11 step 10 wage ($45.19) based on the 2024 Rest of the United States locality, take approximately 4,576 hours to provide professional assistance to State agencies, for an initial cost of $206,789.44 (4,576 x $45.19 = $206,789.44).</w:t>
      </w:r>
      <w:r w:rsidR="006E7AB7">
        <w:rPr>
          <w:rFonts w:ascii="Times New Roman" w:hAnsi="Times New Roman"/>
          <w:szCs w:val="24"/>
        </w:rPr>
        <w:t xml:space="preserve">  </w:t>
      </w:r>
      <w:r w:rsidR="004A5B92">
        <w:rPr>
          <w:rFonts w:ascii="Times New Roman" w:hAnsi="Times New Roman"/>
          <w:szCs w:val="24"/>
        </w:rPr>
        <w:t xml:space="preserve">Furthermore, it is estimated that National Office employees receiving an average GS grade 12 step 6 wage ($55.45) based on the 2024 Washington-Baltimore-Arlington locality, take approximately 5,824 hours to draft and clear regulations, for an initial cost of $322,940.80 (5,824 hours x $55.45 = 322,940.80). An additional </w:t>
      </w:r>
      <w:r w:rsidR="00463375">
        <w:rPr>
          <w:rFonts w:ascii="Times New Roman" w:hAnsi="Times New Roman"/>
          <w:szCs w:val="24"/>
        </w:rPr>
        <w:t xml:space="preserve">5,824 hours are spent providing policy development guidance, for an initial cost of $322,940.80 (5,824 hours x $55.45 = $322,940.80). It is estimated that a branch chief providing oversight of Federal employees, earning an average GS grade 14 step 6 wage ($77.92) based on the 2024 Washington-Baltimore-Arlington locality, takes approximately 8,112 hours, for an initial cost of $632,087.04 (8,122 x $77.92 = $632,087.04). Together, this results in an initial annualized cost of $1,484,758.08 ($205,789.44 + $322,940.80 + $322,940.80 + $632,087.04 = $1,484,758.08). Adding in $489,970.17 to account for fully loaded wages ($1,484,758.08 x 0.33 = $489,970.17), FNS estimates that the total annualized cost of this </w:t>
      </w:r>
      <w:r w:rsidR="00381946">
        <w:rPr>
          <w:rFonts w:ascii="Times New Roman" w:hAnsi="Times New Roman"/>
          <w:szCs w:val="24"/>
        </w:rPr>
        <w:t>proposed rule</w:t>
      </w:r>
      <w:r w:rsidR="00463375">
        <w:rPr>
          <w:rFonts w:ascii="Times New Roman" w:hAnsi="Times New Roman"/>
          <w:szCs w:val="24"/>
        </w:rPr>
        <w:t xml:space="preserve"> to the Federal government is approximately $1,974,728.25 ($1,484,758.08 + $489,970.17 = $1,974,728.25).</w:t>
      </w:r>
      <w:r w:rsidR="00381946">
        <w:rPr>
          <w:rFonts w:ascii="Times New Roman" w:hAnsi="Times New Roman"/>
          <w:szCs w:val="24"/>
        </w:rPr>
        <w:t xml:space="preserve"> The currently approved collection has a total annualized cost of approximately $1,</w:t>
      </w:r>
      <w:r w:rsidR="0034275E">
        <w:rPr>
          <w:rFonts w:ascii="Times New Roman" w:hAnsi="Times New Roman"/>
          <w:szCs w:val="24"/>
        </w:rPr>
        <w:t>217,222.49</w:t>
      </w:r>
      <w:r w:rsidR="00381946">
        <w:rPr>
          <w:rFonts w:ascii="Times New Roman" w:hAnsi="Times New Roman"/>
          <w:szCs w:val="24"/>
        </w:rPr>
        <w:t xml:space="preserve">. Adding </w:t>
      </w:r>
      <w:r w:rsidR="004273B4">
        <w:rPr>
          <w:rFonts w:ascii="Times New Roman" w:hAnsi="Times New Roman"/>
          <w:szCs w:val="24"/>
        </w:rPr>
        <w:t xml:space="preserve">the </w:t>
      </w:r>
      <w:r w:rsidR="00381946">
        <w:rPr>
          <w:rFonts w:ascii="Times New Roman" w:hAnsi="Times New Roman"/>
          <w:szCs w:val="24"/>
        </w:rPr>
        <w:t>currently approved costs</w:t>
      </w:r>
      <w:r w:rsidR="004273B4">
        <w:rPr>
          <w:rFonts w:ascii="Times New Roman" w:hAnsi="Times New Roman"/>
          <w:szCs w:val="24"/>
        </w:rPr>
        <w:t xml:space="preserve"> to those estimated for the proposed rule, FNS estimates </w:t>
      </w:r>
      <w:r w:rsidR="00381946">
        <w:rPr>
          <w:rFonts w:ascii="Times New Roman" w:hAnsi="Times New Roman"/>
          <w:szCs w:val="24"/>
        </w:rPr>
        <w:t xml:space="preserve">the total annualized cost </w:t>
      </w:r>
      <w:r w:rsidR="009E42EA">
        <w:rPr>
          <w:rFonts w:ascii="Times New Roman" w:hAnsi="Times New Roman"/>
          <w:szCs w:val="24"/>
        </w:rPr>
        <w:t xml:space="preserve">of </w:t>
      </w:r>
      <w:r w:rsidR="00381946">
        <w:rPr>
          <w:rFonts w:ascii="Times New Roman" w:hAnsi="Times New Roman"/>
          <w:szCs w:val="24"/>
        </w:rPr>
        <w:t>approximately $3,</w:t>
      </w:r>
      <w:r w:rsidR="002B516B">
        <w:rPr>
          <w:rFonts w:ascii="Times New Roman" w:hAnsi="Times New Roman"/>
          <w:szCs w:val="24"/>
        </w:rPr>
        <w:t>191,</w:t>
      </w:r>
      <w:r w:rsidR="009D7E2E">
        <w:rPr>
          <w:rFonts w:ascii="Times New Roman" w:hAnsi="Times New Roman"/>
          <w:szCs w:val="24"/>
        </w:rPr>
        <w:t xml:space="preserve">950.74 </w:t>
      </w:r>
      <w:r w:rsidR="00381946">
        <w:rPr>
          <w:rFonts w:ascii="Times New Roman" w:hAnsi="Times New Roman"/>
          <w:szCs w:val="24"/>
        </w:rPr>
        <w:t>(1,974,728.25 + $1,</w:t>
      </w:r>
      <w:r w:rsidR="0034275E">
        <w:rPr>
          <w:rFonts w:ascii="Times New Roman" w:hAnsi="Times New Roman"/>
          <w:szCs w:val="24"/>
        </w:rPr>
        <w:t>217</w:t>
      </w:r>
      <w:r w:rsidR="00FD13C4">
        <w:rPr>
          <w:rFonts w:ascii="Times New Roman" w:hAnsi="Times New Roman"/>
          <w:szCs w:val="24"/>
        </w:rPr>
        <w:t>,222.49</w:t>
      </w:r>
      <w:r w:rsidR="00381946">
        <w:rPr>
          <w:rFonts w:ascii="Times New Roman" w:hAnsi="Times New Roman"/>
          <w:szCs w:val="24"/>
        </w:rPr>
        <w:t xml:space="preserve"> = $3,</w:t>
      </w:r>
      <w:r w:rsidR="009D7E2E">
        <w:rPr>
          <w:rFonts w:ascii="Times New Roman" w:hAnsi="Times New Roman"/>
          <w:szCs w:val="24"/>
        </w:rPr>
        <w:t>191,950.74</w:t>
      </w:r>
      <w:r w:rsidR="00381946">
        <w:rPr>
          <w:rFonts w:ascii="Times New Roman" w:hAnsi="Times New Roman"/>
          <w:szCs w:val="24"/>
        </w:rPr>
        <w:t>)</w:t>
      </w:r>
      <w:r w:rsidR="009E42EA">
        <w:rPr>
          <w:rFonts w:ascii="Times New Roman" w:hAnsi="Times New Roman"/>
          <w:szCs w:val="24"/>
        </w:rPr>
        <w:t xml:space="preserve"> for this collection</w:t>
      </w:r>
      <w:r w:rsidR="00BE05BD">
        <w:rPr>
          <w:rFonts w:ascii="Times New Roman" w:hAnsi="Times New Roman"/>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3"/>
        <w:gridCol w:w="1769"/>
        <w:gridCol w:w="1760"/>
        <w:gridCol w:w="1891"/>
        <w:gridCol w:w="1801"/>
      </w:tblGrid>
      <w:tr w14:paraId="3BB065B3" w14:textId="77777777" w:rsidTr="00417E4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1923" w:type="dxa"/>
            <w:tcBorders>
              <w:top w:val="single" w:sz="4" w:space="0" w:color="auto"/>
              <w:left w:val="single" w:sz="4" w:space="0" w:color="auto"/>
              <w:bottom w:val="single" w:sz="4" w:space="0" w:color="auto"/>
              <w:right w:val="single" w:sz="4" w:space="0" w:color="auto"/>
            </w:tcBorders>
            <w:vAlign w:val="center"/>
            <w:hideMark/>
          </w:tcPr>
          <w:p w:rsidR="00417E4F" w14:paraId="421135DE" w14:textId="77777777">
            <w:pPr>
              <w:tabs>
                <w:tab w:val="left" w:pos="-720"/>
              </w:tabs>
              <w:suppressAutoHyphens/>
              <w:jc w:val="center"/>
              <w:rPr>
                <w:rFonts w:ascii="Times New Roman" w:hAnsi="Times New Roman"/>
                <w:szCs w:val="24"/>
              </w:rPr>
            </w:pPr>
            <w:r>
              <w:rPr>
                <w:rFonts w:ascii="Times New Roman" w:hAnsi="Times New Roman"/>
                <w:szCs w:val="24"/>
              </w:rPr>
              <w:t>FUNCTION</w:t>
            </w:r>
          </w:p>
        </w:tc>
        <w:tc>
          <w:tcPr>
            <w:tcW w:w="1769" w:type="dxa"/>
            <w:tcBorders>
              <w:top w:val="single" w:sz="4" w:space="0" w:color="auto"/>
              <w:left w:val="single" w:sz="4" w:space="0" w:color="auto"/>
              <w:bottom w:val="single" w:sz="4" w:space="0" w:color="auto"/>
              <w:right w:val="single" w:sz="4" w:space="0" w:color="auto"/>
            </w:tcBorders>
            <w:vAlign w:val="center"/>
            <w:hideMark/>
          </w:tcPr>
          <w:p w:rsidR="00417E4F" w14:paraId="294C5620" w14:textId="77777777">
            <w:pPr>
              <w:tabs>
                <w:tab w:val="left" w:pos="-720"/>
              </w:tabs>
              <w:suppressAutoHyphens/>
              <w:jc w:val="center"/>
              <w:rPr>
                <w:rFonts w:ascii="Times New Roman" w:hAnsi="Times New Roman"/>
                <w:szCs w:val="24"/>
              </w:rPr>
            </w:pPr>
            <w:r>
              <w:rPr>
                <w:rFonts w:ascii="Times New Roman" w:hAnsi="Times New Roman"/>
                <w:szCs w:val="24"/>
              </w:rPr>
              <w:t>DONE BY</w:t>
            </w:r>
          </w:p>
        </w:tc>
        <w:tc>
          <w:tcPr>
            <w:tcW w:w="1760" w:type="dxa"/>
            <w:tcBorders>
              <w:top w:val="single" w:sz="4" w:space="0" w:color="auto"/>
              <w:left w:val="single" w:sz="4" w:space="0" w:color="auto"/>
              <w:bottom w:val="single" w:sz="4" w:space="0" w:color="auto"/>
              <w:right w:val="single" w:sz="4" w:space="0" w:color="auto"/>
            </w:tcBorders>
            <w:vAlign w:val="center"/>
            <w:hideMark/>
          </w:tcPr>
          <w:p w:rsidR="00417E4F" w14:paraId="7090C03F" w14:textId="0DDA0826">
            <w:pPr>
              <w:tabs>
                <w:tab w:val="left" w:pos="-720"/>
              </w:tabs>
              <w:suppressAutoHyphens/>
              <w:jc w:val="center"/>
              <w:rPr>
                <w:rFonts w:ascii="Times New Roman" w:hAnsi="Times New Roman"/>
                <w:szCs w:val="24"/>
              </w:rPr>
            </w:pPr>
            <w:r>
              <w:rPr>
                <w:rFonts w:ascii="Times New Roman" w:hAnsi="Times New Roman"/>
                <w:szCs w:val="24"/>
              </w:rPr>
              <w:t>WAGE RATE</w:t>
            </w:r>
          </w:p>
        </w:tc>
        <w:tc>
          <w:tcPr>
            <w:tcW w:w="1891" w:type="dxa"/>
            <w:tcBorders>
              <w:top w:val="single" w:sz="4" w:space="0" w:color="auto"/>
              <w:left w:val="single" w:sz="4" w:space="0" w:color="auto"/>
              <w:bottom w:val="single" w:sz="4" w:space="0" w:color="auto"/>
              <w:right w:val="single" w:sz="4" w:space="0" w:color="auto"/>
            </w:tcBorders>
            <w:vAlign w:val="center"/>
            <w:hideMark/>
          </w:tcPr>
          <w:p w:rsidR="00417E4F" w14:paraId="7C2C1AAF" w14:textId="2844BB43">
            <w:pPr>
              <w:tabs>
                <w:tab w:val="left" w:pos="-720"/>
              </w:tabs>
              <w:suppressAutoHyphens/>
              <w:jc w:val="center"/>
              <w:rPr>
                <w:rFonts w:ascii="Times New Roman" w:hAnsi="Times New Roman"/>
                <w:szCs w:val="24"/>
              </w:rPr>
            </w:pPr>
            <w:r>
              <w:rPr>
                <w:rFonts w:ascii="Times New Roman" w:hAnsi="Times New Roman"/>
                <w:szCs w:val="24"/>
              </w:rPr>
              <w:t>TOTAL STAFF HOURS</w:t>
            </w:r>
          </w:p>
        </w:tc>
        <w:tc>
          <w:tcPr>
            <w:tcW w:w="1801" w:type="dxa"/>
            <w:tcBorders>
              <w:top w:val="single" w:sz="4" w:space="0" w:color="auto"/>
              <w:left w:val="single" w:sz="4" w:space="0" w:color="auto"/>
              <w:bottom w:val="single" w:sz="4" w:space="0" w:color="auto"/>
              <w:right w:val="single" w:sz="4" w:space="0" w:color="auto"/>
            </w:tcBorders>
            <w:vAlign w:val="center"/>
            <w:hideMark/>
          </w:tcPr>
          <w:p w:rsidR="00417E4F" w14:paraId="430897B2" w14:textId="15E52B83">
            <w:pPr>
              <w:tabs>
                <w:tab w:val="left" w:pos="-720"/>
              </w:tabs>
              <w:suppressAutoHyphens/>
              <w:jc w:val="center"/>
              <w:rPr>
                <w:rFonts w:ascii="Times New Roman" w:hAnsi="Times New Roman"/>
                <w:szCs w:val="24"/>
              </w:rPr>
            </w:pPr>
            <w:r>
              <w:rPr>
                <w:rFonts w:ascii="Times New Roman" w:hAnsi="Times New Roman"/>
                <w:szCs w:val="24"/>
              </w:rPr>
              <w:t>TOTAL COST</w:t>
            </w:r>
          </w:p>
        </w:tc>
      </w:tr>
      <w:tr w14:paraId="3320B6B2" w14:textId="77777777" w:rsidTr="00417E4F">
        <w:tblPrEx>
          <w:tblW w:w="0" w:type="auto"/>
          <w:jc w:val="center"/>
          <w:tblLook w:val="00A0"/>
        </w:tblPrEx>
        <w:trPr>
          <w:jc w:val="center"/>
        </w:trPr>
        <w:tc>
          <w:tcPr>
            <w:tcW w:w="1923" w:type="dxa"/>
            <w:tcBorders>
              <w:top w:val="single" w:sz="4" w:space="0" w:color="auto"/>
              <w:left w:val="single" w:sz="4" w:space="0" w:color="auto"/>
              <w:bottom w:val="single" w:sz="4" w:space="0" w:color="auto"/>
              <w:right w:val="single" w:sz="4" w:space="0" w:color="auto"/>
            </w:tcBorders>
            <w:vAlign w:val="center"/>
            <w:hideMark/>
          </w:tcPr>
          <w:p w:rsidR="00417E4F" w14:paraId="793A5C4A" w14:textId="77777777">
            <w:pPr>
              <w:tabs>
                <w:tab w:val="left" w:pos="-720"/>
              </w:tabs>
              <w:suppressAutoHyphens/>
              <w:jc w:val="center"/>
              <w:rPr>
                <w:rFonts w:ascii="Times New Roman" w:hAnsi="Times New Roman"/>
                <w:szCs w:val="24"/>
              </w:rPr>
            </w:pPr>
            <w:r>
              <w:rPr>
                <w:rFonts w:ascii="Times New Roman" w:hAnsi="Times New Roman"/>
                <w:szCs w:val="24"/>
              </w:rPr>
              <w:t>Professional Assistance to State agencies</w:t>
            </w:r>
          </w:p>
        </w:tc>
        <w:tc>
          <w:tcPr>
            <w:tcW w:w="1769" w:type="dxa"/>
            <w:tcBorders>
              <w:top w:val="single" w:sz="4" w:space="0" w:color="auto"/>
              <w:left w:val="single" w:sz="4" w:space="0" w:color="auto"/>
              <w:bottom w:val="single" w:sz="4" w:space="0" w:color="auto"/>
              <w:right w:val="single" w:sz="4" w:space="0" w:color="auto"/>
            </w:tcBorders>
            <w:vAlign w:val="center"/>
            <w:hideMark/>
          </w:tcPr>
          <w:p w:rsidR="00417E4F" w14:paraId="4EF38209" w14:textId="77777777">
            <w:pPr>
              <w:tabs>
                <w:tab w:val="left" w:pos="-720"/>
              </w:tabs>
              <w:suppressAutoHyphens/>
              <w:jc w:val="center"/>
              <w:rPr>
                <w:rFonts w:ascii="Times New Roman" w:hAnsi="Times New Roman"/>
                <w:szCs w:val="24"/>
              </w:rPr>
            </w:pPr>
            <w:r>
              <w:rPr>
                <w:rFonts w:ascii="Times New Roman" w:hAnsi="Times New Roman"/>
                <w:szCs w:val="24"/>
              </w:rPr>
              <w:t>FNSRO</w:t>
            </w:r>
          </w:p>
        </w:tc>
        <w:tc>
          <w:tcPr>
            <w:tcW w:w="1760" w:type="dxa"/>
            <w:tcBorders>
              <w:top w:val="single" w:sz="4" w:space="0" w:color="auto"/>
              <w:left w:val="single" w:sz="4" w:space="0" w:color="auto"/>
              <w:bottom w:val="single" w:sz="4" w:space="0" w:color="auto"/>
              <w:right w:val="single" w:sz="4" w:space="0" w:color="auto"/>
            </w:tcBorders>
            <w:vAlign w:val="center"/>
            <w:hideMark/>
          </w:tcPr>
          <w:p w:rsidR="00417E4F" w14:paraId="6ED0768C" w14:textId="7F73B3FC">
            <w:pPr>
              <w:tabs>
                <w:tab w:val="left" w:pos="-720"/>
              </w:tabs>
              <w:suppressAutoHyphens/>
              <w:jc w:val="center"/>
              <w:rPr>
                <w:rFonts w:ascii="Times New Roman" w:hAnsi="Times New Roman"/>
                <w:szCs w:val="24"/>
              </w:rPr>
            </w:pPr>
            <w:r>
              <w:rPr>
                <w:rFonts w:ascii="Times New Roman" w:hAnsi="Times New Roman"/>
                <w:szCs w:val="24"/>
              </w:rPr>
              <w:t>$45.19</w:t>
            </w:r>
          </w:p>
        </w:tc>
        <w:tc>
          <w:tcPr>
            <w:tcW w:w="1891" w:type="dxa"/>
            <w:tcBorders>
              <w:top w:val="single" w:sz="4" w:space="0" w:color="auto"/>
              <w:left w:val="single" w:sz="4" w:space="0" w:color="auto"/>
              <w:bottom w:val="single" w:sz="4" w:space="0" w:color="auto"/>
              <w:right w:val="single" w:sz="4" w:space="0" w:color="auto"/>
            </w:tcBorders>
            <w:vAlign w:val="center"/>
            <w:hideMark/>
          </w:tcPr>
          <w:p w:rsidR="00417E4F" w14:paraId="4E60CC8C" w14:textId="284E6FC0">
            <w:pPr>
              <w:tabs>
                <w:tab w:val="left" w:pos="-720"/>
              </w:tabs>
              <w:suppressAutoHyphens/>
              <w:jc w:val="center"/>
              <w:rPr>
                <w:rFonts w:ascii="Times New Roman" w:hAnsi="Times New Roman"/>
                <w:szCs w:val="24"/>
              </w:rPr>
            </w:pPr>
            <w:r>
              <w:rPr>
                <w:rFonts w:ascii="Times New Roman" w:hAnsi="Times New Roman"/>
                <w:szCs w:val="24"/>
              </w:rPr>
              <w:t>4,576</w:t>
            </w:r>
            <w:r>
              <w:rPr>
                <w:rFonts w:ascii="Times New Roman" w:hAnsi="Times New Roman"/>
                <w:szCs w:val="24"/>
              </w:rPr>
              <w:t xml:space="preserve"> hours</w:t>
            </w:r>
          </w:p>
        </w:tc>
        <w:tc>
          <w:tcPr>
            <w:tcW w:w="1801" w:type="dxa"/>
            <w:tcBorders>
              <w:top w:val="single" w:sz="4" w:space="0" w:color="auto"/>
              <w:left w:val="single" w:sz="4" w:space="0" w:color="auto"/>
              <w:bottom w:val="single" w:sz="4" w:space="0" w:color="auto"/>
              <w:right w:val="single" w:sz="4" w:space="0" w:color="auto"/>
            </w:tcBorders>
            <w:vAlign w:val="center"/>
            <w:hideMark/>
          </w:tcPr>
          <w:p w:rsidR="00417E4F" w14:paraId="72940214" w14:textId="4AE7D9E2">
            <w:pPr>
              <w:tabs>
                <w:tab w:val="left" w:pos="-720"/>
              </w:tabs>
              <w:suppressAutoHyphens/>
              <w:jc w:val="center"/>
              <w:rPr>
                <w:rFonts w:ascii="Times New Roman" w:hAnsi="Times New Roman"/>
                <w:szCs w:val="24"/>
              </w:rPr>
            </w:pPr>
            <w:r>
              <w:rPr>
                <w:rFonts w:ascii="Times New Roman" w:hAnsi="Times New Roman"/>
                <w:szCs w:val="24"/>
              </w:rPr>
              <w:t>$</w:t>
            </w:r>
            <w:r w:rsidR="00F675E3">
              <w:rPr>
                <w:rFonts w:ascii="Times New Roman" w:hAnsi="Times New Roman"/>
                <w:szCs w:val="24"/>
              </w:rPr>
              <w:t>20</w:t>
            </w:r>
            <w:r w:rsidR="004A5B92">
              <w:rPr>
                <w:rFonts w:ascii="Times New Roman" w:hAnsi="Times New Roman"/>
                <w:szCs w:val="24"/>
              </w:rPr>
              <w:t>6,789.44</w:t>
            </w:r>
          </w:p>
        </w:tc>
      </w:tr>
      <w:tr w14:paraId="7121CEF3" w14:textId="77777777" w:rsidTr="00417E4F">
        <w:tblPrEx>
          <w:tblW w:w="0" w:type="auto"/>
          <w:jc w:val="center"/>
          <w:tblLook w:val="00A0"/>
        </w:tblPrEx>
        <w:trPr>
          <w:jc w:val="center"/>
        </w:trPr>
        <w:tc>
          <w:tcPr>
            <w:tcW w:w="1923" w:type="dxa"/>
            <w:tcBorders>
              <w:top w:val="single" w:sz="4" w:space="0" w:color="auto"/>
              <w:left w:val="single" w:sz="4" w:space="0" w:color="auto"/>
              <w:bottom w:val="single" w:sz="4" w:space="0" w:color="auto"/>
              <w:right w:val="single" w:sz="4" w:space="0" w:color="auto"/>
            </w:tcBorders>
            <w:vAlign w:val="center"/>
            <w:hideMark/>
          </w:tcPr>
          <w:p w:rsidR="00417E4F" w14:paraId="090DA734" w14:textId="77777777">
            <w:pPr>
              <w:tabs>
                <w:tab w:val="left" w:pos="-720"/>
              </w:tabs>
              <w:suppressAutoHyphens/>
              <w:jc w:val="center"/>
              <w:rPr>
                <w:rFonts w:ascii="Times New Roman" w:hAnsi="Times New Roman"/>
                <w:szCs w:val="24"/>
              </w:rPr>
            </w:pPr>
            <w:r>
              <w:rPr>
                <w:rFonts w:ascii="Times New Roman" w:hAnsi="Times New Roman"/>
                <w:szCs w:val="24"/>
              </w:rPr>
              <w:t>Drafting/Clearing Regulations</w:t>
            </w:r>
          </w:p>
        </w:tc>
        <w:tc>
          <w:tcPr>
            <w:tcW w:w="1769" w:type="dxa"/>
            <w:tcBorders>
              <w:top w:val="single" w:sz="4" w:space="0" w:color="auto"/>
              <w:left w:val="single" w:sz="4" w:space="0" w:color="auto"/>
              <w:bottom w:val="single" w:sz="4" w:space="0" w:color="auto"/>
              <w:right w:val="single" w:sz="4" w:space="0" w:color="auto"/>
            </w:tcBorders>
            <w:vAlign w:val="center"/>
            <w:hideMark/>
          </w:tcPr>
          <w:p w:rsidR="00417E4F" w14:paraId="6BD435E1" w14:textId="77777777">
            <w:pPr>
              <w:tabs>
                <w:tab w:val="left" w:pos="-720"/>
              </w:tabs>
              <w:suppressAutoHyphens/>
              <w:jc w:val="center"/>
              <w:rPr>
                <w:rFonts w:ascii="Times New Roman" w:hAnsi="Times New Roman"/>
                <w:szCs w:val="24"/>
              </w:rPr>
            </w:pPr>
            <w:r>
              <w:rPr>
                <w:rFonts w:ascii="Times New Roman" w:hAnsi="Times New Roman"/>
                <w:szCs w:val="24"/>
              </w:rPr>
              <w:t>NO</w:t>
            </w:r>
          </w:p>
        </w:tc>
        <w:tc>
          <w:tcPr>
            <w:tcW w:w="1760" w:type="dxa"/>
            <w:tcBorders>
              <w:top w:val="single" w:sz="4" w:space="0" w:color="auto"/>
              <w:left w:val="single" w:sz="4" w:space="0" w:color="auto"/>
              <w:bottom w:val="single" w:sz="4" w:space="0" w:color="auto"/>
              <w:right w:val="single" w:sz="4" w:space="0" w:color="auto"/>
            </w:tcBorders>
            <w:vAlign w:val="center"/>
            <w:hideMark/>
          </w:tcPr>
          <w:p w:rsidR="00417E4F" w14:paraId="4723D739" w14:textId="7F5C1490">
            <w:pPr>
              <w:tabs>
                <w:tab w:val="left" w:pos="-720"/>
              </w:tabs>
              <w:suppressAutoHyphens/>
              <w:jc w:val="center"/>
              <w:rPr>
                <w:rFonts w:ascii="Times New Roman" w:hAnsi="Times New Roman"/>
                <w:szCs w:val="24"/>
              </w:rPr>
            </w:pPr>
            <w:r>
              <w:rPr>
                <w:rFonts w:ascii="Times New Roman" w:hAnsi="Times New Roman"/>
                <w:szCs w:val="24"/>
              </w:rPr>
              <w:t>$55.45</w:t>
            </w:r>
          </w:p>
        </w:tc>
        <w:tc>
          <w:tcPr>
            <w:tcW w:w="1891" w:type="dxa"/>
            <w:tcBorders>
              <w:top w:val="single" w:sz="4" w:space="0" w:color="auto"/>
              <w:left w:val="single" w:sz="4" w:space="0" w:color="auto"/>
              <w:bottom w:val="single" w:sz="4" w:space="0" w:color="auto"/>
              <w:right w:val="single" w:sz="4" w:space="0" w:color="auto"/>
            </w:tcBorders>
            <w:vAlign w:val="center"/>
            <w:hideMark/>
          </w:tcPr>
          <w:p w:rsidR="00417E4F" w14:paraId="4504817F" w14:textId="7FF041D8">
            <w:pPr>
              <w:tabs>
                <w:tab w:val="left" w:pos="-720"/>
              </w:tabs>
              <w:suppressAutoHyphens/>
              <w:jc w:val="center"/>
              <w:rPr>
                <w:rFonts w:ascii="Times New Roman" w:hAnsi="Times New Roman"/>
                <w:szCs w:val="24"/>
              </w:rPr>
            </w:pPr>
            <w:r>
              <w:rPr>
                <w:rFonts w:ascii="Times New Roman" w:hAnsi="Times New Roman"/>
                <w:szCs w:val="24"/>
              </w:rPr>
              <w:t>5,824</w:t>
            </w:r>
            <w:r>
              <w:rPr>
                <w:rFonts w:ascii="Times New Roman" w:hAnsi="Times New Roman"/>
                <w:szCs w:val="24"/>
              </w:rPr>
              <w:t xml:space="preserve"> hours</w:t>
            </w:r>
          </w:p>
        </w:tc>
        <w:tc>
          <w:tcPr>
            <w:tcW w:w="1801" w:type="dxa"/>
            <w:tcBorders>
              <w:top w:val="single" w:sz="4" w:space="0" w:color="auto"/>
              <w:left w:val="single" w:sz="4" w:space="0" w:color="auto"/>
              <w:bottom w:val="single" w:sz="4" w:space="0" w:color="auto"/>
              <w:right w:val="single" w:sz="4" w:space="0" w:color="auto"/>
            </w:tcBorders>
            <w:vAlign w:val="center"/>
            <w:hideMark/>
          </w:tcPr>
          <w:p w:rsidR="00417E4F" w14:paraId="58E8AC2B" w14:textId="750800AF">
            <w:pPr>
              <w:tabs>
                <w:tab w:val="left" w:pos="-720"/>
              </w:tabs>
              <w:suppressAutoHyphens/>
              <w:jc w:val="center"/>
              <w:rPr>
                <w:rFonts w:ascii="Times New Roman" w:hAnsi="Times New Roman"/>
                <w:szCs w:val="24"/>
              </w:rPr>
            </w:pPr>
            <w:r>
              <w:rPr>
                <w:rFonts w:ascii="Times New Roman" w:hAnsi="Times New Roman"/>
                <w:szCs w:val="24"/>
              </w:rPr>
              <w:t>$</w:t>
            </w:r>
            <w:r w:rsidR="00F675E3">
              <w:rPr>
                <w:rFonts w:ascii="Times New Roman" w:hAnsi="Times New Roman"/>
                <w:szCs w:val="24"/>
              </w:rPr>
              <w:t>322,940.80</w:t>
            </w:r>
          </w:p>
        </w:tc>
      </w:tr>
      <w:tr w14:paraId="73DA20F3" w14:textId="77777777" w:rsidTr="00417E4F">
        <w:tblPrEx>
          <w:tblW w:w="0" w:type="auto"/>
          <w:jc w:val="center"/>
          <w:tblLook w:val="00A0"/>
        </w:tblPrEx>
        <w:trPr>
          <w:jc w:val="center"/>
        </w:trPr>
        <w:tc>
          <w:tcPr>
            <w:tcW w:w="1923" w:type="dxa"/>
            <w:tcBorders>
              <w:top w:val="single" w:sz="4" w:space="0" w:color="auto"/>
              <w:left w:val="single" w:sz="4" w:space="0" w:color="auto"/>
              <w:bottom w:val="single" w:sz="4" w:space="0" w:color="auto"/>
              <w:right w:val="single" w:sz="4" w:space="0" w:color="auto"/>
            </w:tcBorders>
            <w:vAlign w:val="center"/>
            <w:hideMark/>
          </w:tcPr>
          <w:p w:rsidR="00417E4F" w14:paraId="390D3E9B" w14:textId="77777777">
            <w:pPr>
              <w:tabs>
                <w:tab w:val="left" w:pos="-720"/>
              </w:tabs>
              <w:suppressAutoHyphens/>
              <w:jc w:val="center"/>
              <w:rPr>
                <w:rFonts w:ascii="Times New Roman" w:hAnsi="Times New Roman"/>
                <w:szCs w:val="24"/>
              </w:rPr>
            </w:pPr>
            <w:r>
              <w:rPr>
                <w:rFonts w:ascii="Times New Roman" w:hAnsi="Times New Roman"/>
                <w:szCs w:val="24"/>
              </w:rPr>
              <w:t xml:space="preserve">Policy </w:t>
            </w:r>
            <w:r>
              <w:rPr>
                <w:rFonts w:ascii="Times New Roman" w:hAnsi="Times New Roman"/>
                <w:szCs w:val="24"/>
              </w:rPr>
              <w:t>Development Guidance</w:t>
            </w:r>
          </w:p>
        </w:tc>
        <w:tc>
          <w:tcPr>
            <w:tcW w:w="1769" w:type="dxa"/>
            <w:tcBorders>
              <w:top w:val="single" w:sz="4" w:space="0" w:color="auto"/>
              <w:left w:val="single" w:sz="4" w:space="0" w:color="auto"/>
              <w:bottom w:val="single" w:sz="4" w:space="0" w:color="auto"/>
              <w:right w:val="single" w:sz="4" w:space="0" w:color="auto"/>
            </w:tcBorders>
            <w:vAlign w:val="center"/>
            <w:hideMark/>
          </w:tcPr>
          <w:p w:rsidR="00417E4F" w14:paraId="4C27A3BD" w14:textId="77777777">
            <w:pPr>
              <w:tabs>
                <w:tab w:val="left" w:pos="-720"/>
              </w:tabs>
              <w:suppressAutoHyphens/>
              <w:jc w:val="center"/>
              <w:rPr>
                <w:rFonts w:ascii="Times New Roman" w:hAnsi="Times New Roman"/>
                <w:szCs w:val="24"/>
              </w:rPr>
            </w:pPr>
            <w:r>
              <w:rPr>
                <w:rFonts w:ascii="Times New Roman" w:hAnsi="Times New Roman"/>
                <w:szCs w:val="24"/>
              </w:rPr>
              <w:t>NO</w:t>
            </w:r>
          </w:p>
        </w:tc>
        <w:tc>
          <w:tcPr>
            <w:tcW w:w="1760" w:type="dxa"/>
            <w:tcBorders>
              <w:top w:val="single" w:sz="4" w:space="0" w:color="auto"/>
              <w:left w:val="single" w:sz="4" w:space="0" w:color="auto"/>
              <w:bottom w:val="single" w:sz="4" w:space="0" w:color="auto"/>
              <w:right w:val="single" w:sz="4" w:space="0" w:color="auto"/>
            </w:tcBorders>
            <w:vAlign w:val="center"/>
            <w:hideMark/>
          </w:tcPr>
          <w:p w:rsidR="00417E4F" w14:paraId="27C164ED" w14:textId="14479EA2">
            <w:pPr>
              <w:tabs>
                <w:tab w:val="left" w:pos="-720"/>
              </w:tabs>
              <w:suppressAutoHyphens/>
              <w:jc w:val="center"/>
              <w:rPr>
                <w:rFonts w:ascii="Times New Roman" w:hAnsi="Times New Roman"/>
                <w:szCs w:val="24"/>
              </w:rPr>
            </w:pPr>
            <w:r>
              <w:rPr>
                <w:rFonts w:ascii="Times New Roman" w:hAnsi="Times New Roman"/>
                <w:szCs w:val="24"/>
              </w:rPr>
              <w:t>$55.45</w:t>
            </w:r>
          </w:p>
        </w:tc>
        <w:tc>
          <w:tcPr>
            <w:tcW w:w="1891" w:type="dxa"/>
            <w:tcBorders>
              <w:top w:val="single" w:sz="4" w:space="0" w:color="auto"/>
              <w:left w:val="single" w:sz="4" w:space="0" w:color="auto"/>
              <w:bottom w:val="single" w:sz="4" w:space="0" w:color="auto"/>
              <w:right w:val="single" w:sz="4" w:space="0" w:color="auto"/>
            </w:tcBorders>
            <w:vAlign w:val="center"/>
            <w:hideMark/>
          </w:tcPr>
          <w:p w:rsidR="00417E4F" w14:paraId="414994B7" w14:textId="1B488C44">
            <w:pPr>
              <w:tabs>
                <w:tab w:val="left" w:pos="-720"/>
              </w:tabs>
              <w:suppressAutoHyphens/>
              <w:jc w:val="center"/>
              <w:rPr>
                <w:rFonts w:ascii="Times New Roman" w:hAnsi="Times New Roman"/>
                <w:szCs w:val="24"/>
              </w:rPr>
            </w:pPr>
            <w:r>
              <w:rPr>
                <w:rFonts w:ascii="Times New Roman" w:hAnsi="Times New Roman"/>
                <w:szCs w:val="24"/>
              </w:rPr>
              <w:t>5,824</w:t>
            </w:r>
            <w:r>
              <w:rPr>
                <w:rFonts w:ascii="Times New Roman" w:hAnsi="Times New Roman"/>
                <w:szCs w:val="24"/>
              </w:rPr>
              <w:t xml:space="preserve"> hours</w:t>
            </w:r>
          </w:p>
        </w:tc>
        <w:tc>
          <w:tcPr>
            <w:tcW w:w="1801" w:type="dxa"/>
            <w:tcBorders>
              <w:top w:val="single" w:sz="4" w:space="0" w:color="auto"/>
              <w:left w:val="single" w:sz="4" w:space="0" w:color="auto"/>
              <w:bottom w:val="single" w:sz="4" w:space="0" w:color="auto"/>
              <w:right w:val="single" w:sz="4" w:space="0" w:color="auto"/>
            </w:tcBorders>
            <w:vAlign w:val="center"/>
            <w:hideMark/>
          </w:tcPr>
          <w:p w:rsidR="00417E4F" w14:paraId="3EDB084C" w14:textId="73D26B64">
            <w:pPr>
              <w:tabs>
                <w:tab w:val="left" w:pos="-720"/>
              </w:tabs>
              <w:suppressAutoHyphens/>
              <w:jc w:val="center"/>
              <w:rPr>
                <w:rFonts w:ascii="Times New Roman" w:hAnsi="Times New Roman"/>
                <w:szCs w:val="24"/>
              </w:rPr>
            </w:pPr>
            <w:r>
              <w:rPr>
                <w:rFonts w:ascii="Times New Roman" w:hAnsi="Times New Roman"/>
                <w:szCs w:val="24"/>
              </w:rPr>
              <w:t>$</w:t>
            </w:r>
            <w:r w:rsidR="004A5B92">
              <w:rPr>
                <w:rFonts w:ascii="Times New Roman" w:hAnsi="Times New Roman"/>
                <w:szCs w:val="24"/>
              </w:rPr>
              <w:t>322,940.80</w:t>
            </w:r>
          </w:p>
        </w:tc>
      </w:tr>
      <w:tr w14:paraId="0F9696DD" w14:textId="77777777" w:rsidTr="00417E4F">
        <w:tblPrEx>
          <w:tblW w:w="0" w:type="auto"/>
          <w:jc w:val="center"/>
          <w:tblLook w:val="00A0"/>
        </w:tblPrEx>
        <w:trPr>
          <w:jc w:val="center"/>
        </w:trPr>
        <w:tc>
          <w:tcPr>
            <w:tcW w:w="1923" w:type="dxa"/>
            <w:tcBorders>
              <w:top w:val="single" w:sz="4" w:space="0" w:color="auto"/>
              <w:left w:val="single" w:sz="4" w:space="0" w:color="auto"/>
              <w:bottom w:val="single" w:sz="4" w:space="0" w:color="auto"/>
              <w:right w:val="single" w:sz="4" w:space="0" w:color="auto"/>
            </w:tcBorders>
            <w:vAlign w:val="center"/>
          </w:tcPr>
          <w:p w:rsidR="00417E4F" w14:paraId="53AB3B56" w14:textId="24F874CE">
            <w:pPr>
              <w:tabs>
                <w:tab w:val="left" w:pos="-720"/>
              </w:tabs>
              <w:suppressAutoHyphens/>
              <w:jc w:val="center"/>
              <w:rPr>
                <w:rFonts w:ascii="Times New Roman" w:hAnsi="Times New Roman"/>
                <w:szCs w:val="24"/>
              </w:rPr>
            </w:pPr>
            <w:r>
              <w:rPr>
                <w:rFonts w:ascii="Times New Roman" w:hAnsi="Times New Roman"/>
                <w:szCs w:val="24"/>
              </w:rPr>
              <w:t>Oversight of Federal Employees</w:t>
            </w:r>
          </w:p>
        </w:tc>
        <w:tc>
          <w:tcPr>
            <w:tcW w:w="1769" w:type="dxa"/>
            <w:tcBorders>
              <w:top w:val="single" w:sz="4" w:space="0" w:color="auto"/>
              <w:left w:val="single" w:sz="4" w:space="0" w:color="auto"/>
              <w:bottom w:val="single" w:sz="4" w:space="0" w:color="auto"/>
              <w:right w:val="single" w:sz="4" w:space="0" w:color="auto"/>
            </w:tcBorders>
            <w:vAlign w:val="center"/>
          </w:tcPr>
          <w:p w:rsidR="00417E4F" w14:paraId="6B102F60" w14:textId="076EE3E1">
            <w:pPr>
              <w:tabs>
                <w:tab w:val="left" w:pos="-720"/>
              </w:tabs>
              <w:suppressAutoHyphens/>
              <w:jc w:val="center"/>
              <w:rPr>
                <w:rFonts w:ascii="Times New Roman" w:hAnsi="Times New Roman"/>
                <w:szCs w:val="24"/>
              </w:rPr>
            </w:pPr>
            <w:r>
              <w:rPr>
                <w:rFonts w:ascii="Times New Roman" w:hAnsi="Times New Roman"/>
                <w:szCs w:val="24"/>
              </w:rPr>
              <w:t>NO</w:t>
            </w:r>
          </w:p>
        </w:tc>
        <w:tc>
          <w:tcPr>
            <w:tcW w:w="1760" w:type="dxa"/>
            <w:tcBorders>
              <w:top w:val="single" w:sz="4" w:space="0" w:color="auto"/>
              <w:left w:val="single" w:sz="4" w:space="0" w:color="auto"/>
              <w:bottom w:val="single" w:sz="4" w:space="0" w:color="auto"/>
              <w:right w:val="single" w:sz="4" w:space="0" w:color="auto"/>
            </w:tcBorders>
            <w:vAlign w:val="center"/>
          </w:tcPr>
          <w:p w:rsidR="00417E4F" w14:paraId="66F66D9C" w14:textId="7065A541">
            <w:pPr>
              <w:tabs>
                <w:tab w:val="left" w:pos="-720"/>
              </w:tabs>
              <w:suppressAutoHyphens/>
              <w:jc w:val="center"/>
              <w:rPr>
                <w:rFonts w:ascii="Times New Roman" w:hAnsi="Times New Roman"/>
                <w:szCs w:val="24"/>
              </w:rPr>
            </w:pPr>
            <w:r>
              <w:rPr>
                <w:rFonts w:ascii="Times New Roman" w:hAnsi="Times New Roman"/>
                <w:szCs w:val="24"/>
              </w:rPr>
              <w:t>$7</w:t>
            </w:r>
            <w:r w:rsidR="00F675E3">
              <w:rPr>
                <w:rFonts w:ascii="Times New Roman" w:hAnsi="Times New Roman"/>
                <w:szCs w:val="24"/>
              </w:rPr>
              <w:t>7</w:t>
            </w:r>
            <w:r>
              <w:rPr>
                <w:rFonts w:ascii="Times New Roman" w:hAnsi="Times New Roman"/>
                <w:szCs w:val="24"/>
              </w:rPr>
              <w:t>.92</w:t>
            </w:r>
          </w:p>
        </w:tc>
        <w:tc>
          <w:tcPr>
            <w:tcW w:w="1891" w:type="dxa"/>
            <w:tcBorders>
              <w:top w:val="single" w:sz="4" w:space="0" w:color="auto"/>
              <w:left w:val="single" w:sz="4" w:space="0" w:color="auto"/>
              <w:bottom w:val="single" w:sz="4" w:space="0" w:color="auto"/>
              <w:right w:val="single" w:sz="4" w:space="0" w:color="auto"/>
            </w:tcBorders>
            <w:vAlign w:val="center"/>
          </w:tcPr>
          <w:p w:rsidR="00417E4F" w14:paraId="16D7DDB4" w14:textId="5403FCEB">
            <w:pPr>
              <w:tabs>
                <w:tab w:val="left" w:pos="-720"/>
              </w:tabs>
              <w:suppressAutoHyphens/>
              <w:jc w:val="center"/>
              <w:rPr>
                <w:rFonts w:ascii="Times New Roman" w:hAnsi="Times New Roman"/>
                <w:szCs w:val="24"/>
              </w:rPr>
            </w:pPr>
            <w:r>
              <w:rPr>
                <w:rFonts w:ascii="Times New Roman" w:hAnsi="Times New Roman"/>
                <w:szCs w:val="24"/>
              </w:rPr>
              <w:t>8,112 hours</w:t>
            </w:r>
          </w:p>
        </w:tc>
        <w:tc>
          <w:tcPr>
            <w:tcW w:w="1801" w:type="dxa"/>
            <w:tcBorders>
              <w:top w:val="single" w:sz="4" w:space="0" w:color="auto"/>
              <w:left w:val="single" w:sz="4" w:space="0" w:color="auto"/>
              <w:bottom w:val="single" w:sz="4" w:space="0" w:color="auto"/>
              <w:right w:val="single" w:sz="4" w:space="0" w:color="auto"/>
            </w:tcBorders>
            <w:vAlign w:val="center"/>
          </w:tcPr>
          <w:p w:rsidR="00417E4F" w14:paraId="726108AC" w14:textId="095C1A0F">
            <w:pPr>
              <w:tabs>
                <w:tab w:val="left" w:pos="-720"/>
              </w:tabs>
              <w:suppressAutoHyphens/>
              <w:jc w:val="center"/>
              <w:rPr>
                <w:rFonts w:ascii="Times New Roman" w:hAnsi="Times New Roman"/>
                <w:szCs w:val="24"/>
              </w:rPr>
            </w:pPr>
            <w:r>
              <w:rPr>
                <w:rFonts w:ascii="Times New Roman" w:hAnsi="Times New Roman"/>
                <w:szCs w:val="24"/>
              </w:rPr>
              <w:t>$</w:t>
            </w:r>
            <w:r w:rsidR="004A5B92">
              <w:rPr>
                <w:rFonts w:ascii="Times New Roman" w:hAnsi="Times New Roman"/>
                <w:szCs w:val="24"/>
              </w:rPr>
              <w:t>632,087.04</w:t>
            </w:r>
          </w:p>
        </w:tc>
      </w:tr>
      <w:tr w14:paraId="07B1DD07" w14:textId="77777777" w:rsidTr="00D86B3C">
        <w:tblPrEx>
          <w:tblW w:w="0" w:type="auto"/>
          <w:jc w:val="center"/>
          <w:tblLook w:val="00A0"/>
        </w:tblPrEx>
        <w:trPr>
          <w:jc w:val="center"/>
        </w:trPr>
        <w:tc>
          <w:tcPr>
            <w:tcW w:w="7343" w:type="dxa"/>
            <w:gridSpan w:val="4"/>
            <w:tcBorders>
              <w:top w:val="single" w:sz="4" w:space="0" w:color="auto"/>
              <w:left w:val="single" w:sz="4" w:space="0" w:color="auto"/>
              <w:bottom w:val="single" w:sz="4" w:space="0" w:color="auto"/>
              <w:right w:val="single" w:sz="4" w:space="0" w:color="auto"/>
            </w:tcBorders>
            <w:vAlign w:val="center"/>
            <w:hideMark/>
          </w:tcPr>
          <w:p w:rsidR="004A5B92" w:rsidRPr="00A71216" w:rsidP="00A71216" w14:paraId="79388039" w14:textId="1350FA30">
            <w:pPr>
              <w:tabs>
                <w:tab w:val="left" w:pos="-720"/>
              </w:tabs>
              <w:suppressAutoHyphens/>
              <w:jc w:val="right"/>
              <w:rPr>
                <w:rFonts w:ascii="Times New Roman" w:hAnsi="Times New Roman"/>
                <w:b/>
                <w:szCs w:val="24"/>
              </w:rPr>
            </w:pPr>
            <w:r>
              <w:rPr>
                <w:rFonts w:ascii="Times New Roman" w:hAnsi="Times New Roman"/>
                <w:b/>
                <w:szCs w:val="24"/>
              </w:rPr>
              <w:t>Subtotal</w:t>
            </w:r>
          </w:p>
        </w:tc>
        <w:tc>
          <w:tcPr>
            <w:tcW w:w="1801" w:type="dxa"/>
            <w:tcBorders>
              <w:top w:val="single" w:sz="4" w:space="0" w:color="auto"/>
              <w:left w:val="single" w:sz="4" w:space="0" w:color="auto"/>
              <w:bottom w:val="single" w:sz="4" w:space="0" w:color="auto"/>
              <w:right w:val="single" w:sz="4" w:space="0" w:color="auto"/>
            </w:tcBorders>
            <w:vAlign w:val="center"/>
            <w:hideMark/>
          </w:tcPr>
          <w:p w:rsidR="004A5B92" w14:paraId="079C067F" w14:textId="791003E2">
            <w:pPr>
              <w:tabs>
                <w:tab w:val="left" w:pos="-720"/>
              </w:tabs>
              <w:suppressAutoHyphens/>
              <w:jc w:val="center"/>
              <w:rPr>
                <w:rFonts w:ascii="Times New Roman" w:hAnsi="Times New Roman"/>
                <w:szCs w:val="24"/>
              </w:rPr>
            </w:pPr>
            <w:r>
              <w:rPr>
                <w:rFonts w:ascii="Times New Roman" w:hAnsi="Times New Roman"/>
                <w:szCs w:val="24"/>
              </w:rPr>
              <w:t>$1,484,758.08</w:t>
            </w:r>
          </w:p>
        </w:tc>
      </w:tr>
      <w:tr w14:paraId="29C02779" w14:textId="77777777" w:rsidTr="00D0463C">
        <w:tblPrEx>
          <w:tblW w:w="0" w:type="auto"/>
          <w:jc w:val="center"/>
          <w:tblLook w:val="00A0"/>
        </w:tblPrEx>
        <w:trPr>
          <w:jc w:val="center"/>
        </w:trPr>
        <w:tc>
          <w:tcPr>
            <w:tcW w:w="7343" w:type="dxa"/>
            <w:gridSpan w:val="4"/>
            <w:tcBorders>
              <w:top w:val="single" w:sz="4" w:space="0" w:color="auto"/>
              <w:left w:val="single" w:sz="4" w:space="0" w:color="auto"/>
              <w:bottom w:val="single" w:sz="4" w:space="0" w:color="auto"/>
              <w:right w:val="single" w:sz="4" w:space="0" w:color="auto"/>
            </w:tcBorders>
            <w:vAlign w:val="center"/>
          </w:tcPr>
          <w:p w:rsidR="004A5B92" w:rsidRPr="00A71216" w:rsidP="00A71216" w14:paraId="1DDCE878" w14:textId="3563B35B">
            <w:pPr>
              <w:tabs>
                <w:tab w:val="left" w:pos="-720"/>
              </w:tabs>
              <w:suppressAutoHyphens/>
              <w:jc w:val="right"/>
              <w:rPr>
                <w:rFonts w:ascii="Times New Roman" w:hAnsi="Times New Roman"/>
                <w:b/>
                <w:bCs/>
                <w:szCs w:val="24"/>
              </w:rPr>
            </w:pPr>
            <w:r>
              <w:rPr>
                <w:rFonts w:ascii="Times New Roman" w:hAnsi="Times New Roman"/>
                <w:b/>
                <w:szCs w:val="24"/>
              </w:rPr>
              <w:t>Cost of Fully Loaded Wage (33%)</w:t>
            </w:r>
          </w:p>
        </w:tc>
        <w:tc>
          <w:tcPr>
            <w:tcW w:w="1801" w:type="dxa"/>
            <w:tcBorders>
              <w:top w:val="single" w:sz="4" w:space="0" w:color="auto"/>
              <w:left w:val="single" w:sz="4" w:space="0" w:color="auto"/>
              <w:bottom w:val="single" w:sz="4" w:space="0" w:color="auto"/>
              <w:right w:val="single" w:sz="4" w:space="0" w:color="auto"/>
            </w:tcBorders>
            <w:vAlign w:val="center"/>
          </w:tcPr>
          <w:p w:rsidR="004A5B92" w14:paraId="3ECF175D" w14:textId="05EB5616">
            <w:pPr>
              <w:tabs>
                <w:tab w:val="left" w:pos="-720"/>
              </w:tabs>
              <w:suppressAutoHyphens/>
              <w:jc w:val="center"/>
              <w:rPr>
                <w:rFonts w:ascii="Times New Roman" w:hAnsi="Times New Roman"/>
                <w:szCs w:val="24"/>
              </w:rPr>
            </w:pPr>
            <w:r>
              <w:rPr>
                <w:rFonts w:ascii="Times New Roman" w:hAnsi="Times New Roman"/>
                <w:szCs w:val="24"/>
              </w:rPr>
              <w:t>$489,970.17</w:t>
            </w:r>
          </w:p>
        </w:tc>
      </w:tr>
      <w:tr w14:paraId="4BC00CB0" w14:textId="77777777" w:rsidTr="00365567">
        <w:tblPrEx>
          <w:tblW w:w="0" w:type="auto"/>
          <w:jc w:val="center"/>
          <w:tblLook w:val="00A0"/>
        </w:tblPrEx>
        <w:trPr>
          <w:jc w:val="center"/>
        </w:trPr>
        <w:tc>
          <w:tcPr>
            <w:tcW w:w="7343" w:type="dxa"/>
            <w:gridSpan w:val="4"/>
            <w:tcBorders>
              <w:top w:val="single" w:sz="4" w:space="0" w:color="auto"/>
              <w:left w:val="single" w:sz="4" w:space="0" w:color="auto"/>
              <w:bottom w:val="single" w:sz="4" w:space="0" w:color="auto"/>
              <w:right w:val="single" w:sz="4" w:space="0" w:color="auto"/>
            </w:tcBorders>
            <w:vAlign w:val="center"/>
          </w:tcPr>
          <w:p w:rsidR="004A5B92" w:rsidP="00A71216" w14:paraId="448A2FB5" w14:textId="5DEB12FF">
            <w:pPr>
              <w:tabs>
                <w:tab w:val="left" w:pos="-720"/>
              </w:tabs>
              <w:suppressAutoHyphens/>
              <w:jc w:val="right"/>
              <w:rPr>
                <w:rFonts w:ascii="Times New Roman" w:hAnsi="Times New Roman"/>
                <w:szCs w:val="24"/>
              </w:rPr>
            </w:pPr>
            <w:r>
              <w:rPr>
                <w:rFonts w:ascii="Times New Roman" w:hAnsi="Times New Roman"/>
                <w:b/>
                <w:szCs w:val="24"/>
              </w:rPr>
              <w:t>Total</w:t>
            </w:r>
            <w:r w:rsidR="00006B9C">
              <w:rPr>
                <w:rFonts w:ascii="Times New Roman" w:hAnsi="Times New Roman"/>
                <w:b/>
                <w:szCs w:val="24"/>
              </w:rPr>
              <w:t xml:space="preserve"> for Proposed Rule</w:t>
            </w:r>
          </w:p>
        </w:tc>
        <w:tc>
          <w:tcPr>
            <w:tcW w:w="1801" w:type="dxa"/>
            <w:tcBorders>
              <w:top w:val="single" w:sz="4" w:space="0" w:color="auto"/>
              <w:left w:val="single" w:sz="4" w:space="0" w:color="auto"/>
              <w:bottom w:val="single" w:sz="4" w:space="0" w:color="auto"/>
              <w:right w:val="single" w:sz="4" w:space="0" w:color="auto"/>
            </w:tcBorders>
            <w:vAlign w:val="center"/>
          </w:tcPr>
          <w:p w:rsidR="004A5B92" w14:paraId="0454FECF" w14:textId="7DF70139">
            <w:pPr>
              <w:tabs>
                <w:tab w:val="left" w:pos="-720"/>
              </w:tabs>
              <w:suppressAutoHyphens/>
              <w:jc w:val="center"/>
              <w:rPr>
                <w:rFonts w:ascii="Times New Roman" w:hAnsi="Times New Roman"/>
                <w:szCs w:val="24"/>
              </w:rPr>
            </w:pPr>
            <w:r>
              <w:rPr>
                <w:rFonts w:ascii="Times New Roman" w:hAnsi="Times New Roman"/>
                <w:szCs w:val="24"/>
              </w:rPr>
              <w:t>$1,974,728.25</w:t>
            </w:r>
          </w:p>
        </w:tc>
      </w:tr>
      <w:tr w14:paraId="0802E1AC" w14:textId="77777777" w:rsidTr="00365567">
        <w:tblPrEx>
          <w:tblW w:w="0" w:type="auto"/>
          <w:jc w:val="center"/>
          <w:tblLook w:val="00A0"/>
        </w:tblPrEx>
        <w:trPr>
          <w:jc w:val="center"/>
        </w:trPr>
        <w:tc>
          <w:tcPr>
            <w:tcW w:w="7343" w:type="dxa"/>
            <w:gridSpan w:val="4"/>
            <w:tcBorders>
              <w:top w:val="single" w:sz="4" w:space="0" w:color="auto"/>
              <w:left w:val="single" w:sz="4" w:space="0" w:color="auto"/>
              <w:bottom w:val="single" w:sz="4" w:space="0" w:color="auto"/>
              <w:right w:val="single" w:sz="4" w:space="0" w:color="auto"/>
            </w:tcBorders>
            <w:vAlign w:val="center"/>
          </w:tcPr>
          <w:p w:rsidR="00006B9C" w:rsidP="00A71216" w14:paraId="0E59F4DE" w14:textId="56A83987">
            <w:pPr>
              <w:tabs>
                <w:tab w:val="left" w:pos="-720"/>
              </w:tabs>
              <w:suppressAutoHyphens/>
              <w:jc w:val="right"/>
              <w:rPr>
                <w:rFonts w:ascii="Times New Roman" w:hAnsi="Times New Roman"/>
                <w:b/>
                <w:szCs w:val="24"/>
              </w:rPr>
            </w:pPr>
            <w:r>
              <w:rPr>
                <w:rFonts w:ascii="Times New Roman" w:hAnsi="Times New Roman"/>
                <w:b/>
                <w:szCs w:val="24"/>
              </w:rPr>
              <w:t xml:space="preserve">Currently Approved Total for OMB </w:t>
            </w:r>
            <w:r w:rsidR="00B62B88">
              <w:rPr>
                <w:rFonts w:ascii="Times New Roman" w:hAnsi="Times New Roman"/>
                <w:b/>
                <w:szCs w:val="24"/>
              </w:rPr>
              <w:t xml:space="preserve">Control Number </w:t>
            </w:r>
            <w:r>
              <w:rPr>
                <w:rFonts w:ascii="Times New Roman" w:hAnsi="Times New Roman"/>
                <w:b/>
                <w:szCs w:val="24"/>
              </w:rPr>
              <w:t>0584-0280</w:t>
            </w:r>
          </w:p>
        </w:tc>
        <w:tc>
          <w:tcPr>
            <w:tcW w:w="1801" w:type="dxa"/>
            <w:tcBorders>
              <w:top w:val="single" w:sz="4" w:space="0" w:color="auto"/>
              <w:left w:val="single" w:sz="4" w:space="0" w:color="auto"/>
              <w:bottom w:val="single" w:sz="4" w:space="0" w:color="auto"/>
              <w:right w:val="single" w:sz="4" w:space="0" w:color="auto"/>
            </w:tcBorders>
            <w:vAlign w:val="center"/>
          </w:tcPr>
          <w:p w:rsidR="00006B9C" w14:paraId="2C13A08C" w14:textId="1DD7ADFC">
            <w:pPr>
              <w:tabs>
                <w:tab w:val="left" w:pos="-720"/>
              </w:tabs>
              <w:suppressAutoHyphens/>
              <w:jc w:val="center"/>
              <w:rPr>
                <w:rFonts w:ascii="Times New Roman" w:hAnsi="Times New Roman"/>
                <w:szCs w:val="24"/>
              </w:rPr>
            </w:pPr>
            <w:r>
              <w:rPr>
                <w:rFonts w:ascii="Times New Roman" w:hAnsi="Times New Roman"/>
                <w:szCs w:val="24"/>
              </w:rPr>
              <w:t>$1,</w:t>
            </w:r>
            <w:r w:rsidR="00B96ED3">
              <w:rPr>
                <w:rFonts w:ascii="Times New Roman" w:hAnsi="Times New Roman"/>
                <w:szCs w:val="24"/>
              </w:rPr>
              <w:t>217,222.49</w:t>
            </w:r>
          </w:p>
        </w:tc>
      </w:tr>
      <w:tr w14:paraId="6043110A" w14:textId="77777777" w:rsidTr="00365567">
        <w:tblPrEx>
          <w:tblW w:w="0" w:type="auto"/>
          <w:jc w:val="center"/>
          <w:tblLook w:val="00A0"/>
        </w:tblPrEx>
        <w:trPr>
          <w:jc w:val="center"/>
        </w:trPr>
        <w:tc>
          <w:tcPr>
            <w:tcW w:w="7343" w:type="dxa"/>
            <w:gridSpan w:val="4"/>
            <w:tcBorders>
              <w:top w:val="single" w:sz="4" w:space="0" w:color="auto"/>
              <w:left w:val="single" w:sz="4" w:space="0" w:color="auto"/>
              <w:bottom w:val="single" w:sz="4" w:space="0" w:color="auto"/>
              <w:right w:val="single" w:sz="4" w:space="0" w:color="auto"/>
            </w:tcBorders>
            <w:vAlign w:val="center"/>
          </w:tcPr>
          <w:p w:rsidR="00006B9C" w:rsidP="00A71216" w14:paraId="1647C60F" w14:textId="59EA79AA">
            <w:pPr>
              <w:tabs>
                <w:tab w:val="left" w:pos="-720"/>
              </w:tabs>
              <w:suppressAutoHyphens/>
              <w:jc w:val="right"/>
              <w:rPr>
                <w:rFonts w:ascii="Times New Roman" w:hAnsi="Times New Roman"/>
                <w:b/>
                <w:szCs w:val="24"/>
              </w:rPr>
            </w:pPr>
            <w:r>
              <w:rPr>
                <w:rFonts w:ascii="Times New Roman" w:hAnsi="Times New Roman"/>
                <w:b/>
                <w:szCs w:val="24"/>
              </w:rPr>
              <w:t>Total</w:t>
            </w:r>
          </w:p>
        </w:tc>
        <w:tc>
          <w:tcPr>
            <w:tcW w:w="1801" w:type="dxa"/>
            <w:tcBorders>
              <w:top w:val="single" w:sz="4" w:space="0" w:color="auto"/>
              <w:left w:val="single" w:sz="4" w:space="0" w:color="auto"/>
              <w:bottom w:val="single" w:sz="4" w:space="0" w:color="auto"/>
              <w:right w:val="single" w:sz="4" w:space="0" w:color="auto"/>
            </w:tcBorders>
            <w:vAlign w:val="center"/>
          </w:tcPr>
          <w:p w:rsidR="00006B9C" w14:paraId="5A85F634" w14:textId="7C9E0084">
            <w:pPr>
              <w:tabs>
                <w:tab w:val="left" w:pos="-720"/>
              </w:tabs>
              <w:suppressAutoHyphens/>
              <w:jc w:val="center"/>
              <w:rPr>
                <w:rFonts w:ascii="Times New Roman" w:hAnsi="Times New Roman"/>
                <w:szCs w:val="24"/>
              </w:rPr>
            </w:pPr>
            <w:r>
              <w:rPr>
                <w:rFonts w:ascii="Times New Roman" w:hAnsi="Times New Roman"/>
                <w:szCs w:val="24"/>
              </w:rPr>
              <w:t>$3,1</w:t>
            </w:r>
            <w:r w:rsidR="00AC5470">
              <w:rPr>
                <w:rFonts w:ascii="Times New Roman" w:hAnsi="Times New Roman"/>
                <w:szCs w:val="24"/>
              </w:rPr>
              <w:t>91,950.74</w:t>
            </w:r>
          </w:p>
        </w:tc>
      </w:tr>
    </w:tbl>
    <w:p w:rsidR="0002287F" w:rsidRPr="002568E6" w:rsidP="00ED28F2" w14:paraId="1EDF3A6D" w14:textId="77777777">
      <w:pPr>
        <w:tabs>
          <w:tab w:val="left" w:pos="-720"/>
        </w:tabs>
        <w:suppressAutoHyphens/>
        <w:spacing w:line="480" w:lineRule="auto"/>
        <w:rPr>
          <w:rFonts w:ascii="Times New Roman" w:hAnsi="Times New Roman"/>
          <w:szCs w:val="24"/>
        </w:rPr>
      </w:pPr>
    </w:p>
    <w:p w:rsidR="003F1E8F" w:rsidP="0062567E" w14:paraId="62CA11E6" w14:textId="77777777">
      <w:pPr>
        <w:pStyle w:val="Heading1"/>
      </w:pPr>
      <w:bookmarkStart w:id="38" w:name="_Toc401831371"/>
      <w:bookmarkStart w:id="39" w:name="_Toc133329840"/>
    </w:p>
    <w:p w:rsidR="000438E8" w:rsidRPr="002568E6" w:rsidP="0062567E" w14:paraId="2A933E0D" w14:textId="15791FEA">
      <w:pPr>
        <w:pStyle w:val="Heading1"/>
      </w:pPr>
      <w:r>
        <w:t xml:space="preserve">A15.  </w:t>
      </w:r>
      <w:r w:rsidR="00C619D0">
        <w:t xml:space="preserve">Explanation of </w:t>
      </w:r>
      <w:r w:rsidR="00E0371E">
        <w:t xml:space="preserve">program </w:t>
      </w:r>
      <w:r w:rsidR="00C619D0">
        <w:t>changes or adjustments</w:t>
      </w:r>
      <w:r w:rsidR="005E0A1A">
        <w:t>.</w:t>
      </w:r>
      <w:bookmarkEnd w:id="38"/>
      <w:bookmarkEnd w:id="39"/>
    </w:p>
    <w:p w:rsidR="0062567E" w:rsidRPr="002568E6" w:rsidP="0062567E" w14:paraId="2A933E0E" w14:textId="77777777">
      <w:pPr>
        <w:tabs>
          <w:tab w:val="left" w:pos="0"/>
        </w:tabs>
        <w:suppressAutoHyphens/>
        <w:jc w:val="center"/>
        <w:rPr>
          <w:rFonts w:ascii="Times New Roman" w:hAnsi="Times New Roman"/>
          <w:b/>
          <w:szCs w:val="24"/>
        </w:rPr>
      </w:pPr>
    </w:p>
    <w:p w:rsidR="0062567E" w:rsidRPr="002568E6" w:rsidP="0062567E" w14:paraId="2A933E0F"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ED28F2" w14:paraId="2A933E10" w14:textId="77777777">
      <w:pPr>
        <w:tabs>
          <w:tab w:val="left" w:pos="-720"/>
        </w:tabs>
        <w:suppressAutoHyphens/>
        <w:rPr>
          <w:rFonts w:ascii="Times New Roman" w:hAnsi="Times New Roman"/>
          <w:szCs w:val="24"/>
        </w:rPr>
      </w:pPr>
    </w:p>
    <w:p w:rsidR="00A51590" w:rsidP="00527B14" w14:paraId="01D8B698" w14:textId="48822B0D">
      <w:pPr>
        <w:tabs>
          <w:tab w:val="left" w:pos="-720"/>
        </w:tabs>
        <w:suppressAutoHyphens/>
        <w:spacing w:line="480" w:lineRule="auto"/>
        <w:rPr>
          <w:rFonts w:ascii="Times New Roman" w:hAnsi="Times New Roman"/>
          <w:szCs w:val="24"/>
        </w:rPr>
      </w:pPr>
      <w:r>
        <w:rPr>
          <w:rFonts w:ascii="Times New Roman" w:hAnsi="Times New Roman"/>
          <w:szCs w:val="24"/>
        </w:rPr>
        <w:tab/>
        <w:t xml:space="preserve">This collection is a revision of a currently approved information collection.  </w:t>
      </w:r>
      <w:r w:rsidR="00B34ACA">
        <w:rPr>
          <w:rFonts w:ascii="Times New Roman" w:hAnsi="Times New Roman"/>
          <w:szCs w:val="24"/>
        </w:rPr>
        <w:t>The currently</w:t>
      </w:r>
      <w:r w:rsidR="00945357">
        <w:rPr>
          <w:rFonts w:ascii="Times New Roman" w:hAnsi="Times New Roman"/>
          <w:szCs w:val="24"/>
        </w:rPr>
        <w:t xml:space="preserve"> approved burden </w:t>
      </w:r>
      <w:r>
        <w:rPr>
          <w:rFonts w:ascii="Times New Roman" w:hAnsi="Times New Roman"/>
          <w:szCs w:val="24"/>
        </w:rPr>
        <w:t xml:space="preserve">for this information collection is </w:t>
      </w:r>
      <w:r w:rsidR="00E37BF7">
        <w:rPr>
          <w:rFonts w:ascii="Times New Roman" w:hAnsi="Times New Roman"/>
          <w:szCs w:val="24"/>
        </w:rPr>
        <w:t xml:space="preserve">63,942 respondents, </w:t>
      </w:r>
      <w:r w:rsidRPr="0036795B" w:rsidR="0036795B">
        <w:rPr>
          <w:rFonts w:ascii="Times New Roman" w:hAnsi="Times New Roman"/>
          <w:szCs w:val="24"/>
        </w:rPr>
        <w:t>391,</w:t>
      </w:r>
      <w:r w:rsidR="00FD6F01">
        <w:rPr>
          <w:rFonts w:ascii="Times New Roman" w:hAnsi="Times New Roman"/>
          <w:szCs w:val="24"/>
        </w:rPr>
        <w:t xml:space="preserve">815 responses, 462,724 burden hours, and </w:t>
      </w:r>
      <w:r w:rsidR="009D5449">
        <w:rPr>
          <w:rFonts w:ascii="Times New Roman" w:hAnsi="Times New Roman"/>
          <w:szCs w:val="24"/>
        </w:rPr>
        <w:t xml:space="preserve">$10,000 in start-up costs.  </w:t>
      </w:r>
      <w:r w:rsidR="009F758E">
        <w:rPr>
          <w:rFonts w:ascii="Times New Roman" w:hAnsi="Times New Roman"/>
          <w:szCs w:val="24"/>
        </w:rPr>
        <w:t xml:space="preserve">FNS estimates that </w:t>
      </w:r>
      <w:r w:rsidR="00F146A0">
        <w:rPr>
          <w:rFonts w:ascii="Times New Roman" w:hAnsi="Times New Roman"/>
          <w:szCs w:val="24"/>
        </w:rPr>
        <w:t xml:space="preserve">the </w:t>
      </w:r>
      <w:r w:rsidR="00CB379B">
        <w:rPr>
          <w:rFonts w:ascii="Times New Roman" w:hAnsi="Times New Roman"/>
          <w:szCs w:val="24"/>
        </w:rPr>
        <w:t xml:space="preserve">requirements and burden </w:t>
      </w:r>
      <w:r w:rsidR="008861BC">
        <w:rPr>
          <w:rFonts w:ascii="Times New Roman" w:hAnsi="Times New Roman"/>
          <w:szCs w:val="24"/>
        </w:rPr>
        <w:t xml:space="preserve">that are being impacted by </w:t>
      </w:r>
      <w:r w:rsidR="00CB379B">
        <w:rPr>
          <w:rFonts w:ascii="Times New Roman" w:hAnsi="Times New Roman"/>
          <w:szCs w:val="24"/>
        </w:rPr>
        <w:t xml:space="preserve">the proposed rule will have </w:t>
      </w:r>
      <w:r w:rsidR="00984244">
        <w:rPr>
          <w:rFonts w:ascii="Times New Roman" w:hAnsi="Times New Roman"/>
          <w:szCs w:val="24"/>
        </w:rPr>
        <w:t>1,</w:t>
      </w:r>
      <w:r w:rsidR="00754954">
        <w:rPr>
          <w:rFonts w:ascii="Times New Roman" w:hAnsi="Times New Roman"/>
          <w:szCs w:val="24"/>
        </w:rPr>
        <w:t xml:space="preserve">463 respondents, </w:t>
      </w:r>
      <w:r w:rsidR="00CB379B">
        <w:rPr>
          <w:rFonts w:ascii="Times New Roman" w:hAnsi="Times New Roman"/>
          <w:szCs w:val="24"/>
        </w:rPr>
        <w:t>13,097 responses</w:t>
      </w:r>
      <w:r w:rsidR="00754954">
        <w:rPr>
          <w:rFonts w:ascii="Times New Roman" w:hAnsi="Times New Roman"/>
          <w:szCs w:val="24"/>
        </w:rPr>
        <w:t xml:space="preserve">, </w:t>
      </w:r>
      <w:r w:rsidR="00362947">
        <w:rPr>
          <w:rFonts w:ascii="Times New Roman" w:hAnsi="Times New Roman"/>
          <w:szCs w:val="24"/>
        </w:rPr>
        <w:t>9,959 burden hours</w:t>
      </w:r>
      <w:r w:rsidR="004E2A81">
        <w:rPr>
          <w:rFonts w:ascii="Times New Roman" w:hAnsi="Times New Roman"/>
          <w:szCs w:val="24"/>
        </w:rPr>
        <w:t xml:space="preserve">.  </w:t>
      </w:r>
      <w:r w:rsidR="00D76F99">
        <w:rPr>
          <w:rFonts w:ascii="Times New Roman" w:hAnsi="Times New Roman"/>
          <w:szCs w:val="24"/>
        </w:rPr>
        <w:t xml:space="preserve">The proposed rule does not change the </w:t>
      </w:r>
      <w:r w:rsidR="002B4B04">
        <w:rPr>
          <w:rFonts w:ascii="Times New Roman" w:hAnsi="Times New Roman"/>
          <w:szCs w:val="24"/>
        </w:rPr>
        <w:t>capital, start-up, operation, or maintenance costs</w:t>
      </w:r>
      <w:r w:rsidR="00BE05BD">
        <w:rPr>
          <w:rFonts w:ascii="Times New Roman" w:hAnsi="Times New Roman"/>
          <w:szCs w:val="24"/>
        </w:rPr>
        <w:t>.</w:t>
      </w:r>
    </w:p>
    <w:p w:rsidR="00A01740" w:rsidP="00B34ACA" w14:paraId="5CBF1582" w14:textId="5A5A8DD8">
      <w:pPr>
        <w:tabs>
          <w:tab w:val="left" w:pos="-720"/>
        </w:tabs>
        <w:suppressAutoHyphens/>
        <w:spacing w:line="480" w:lineRule="auto"/>
        <w:rPr>
          <w:rFonts w:ascii="Times New Roman" w:hAnsi="Times New Roman"/>
          <w:color w:val="000000"/>
          <w:spacing w:val="-3"/>
          <w:szCs w:val="24"/>
        </w:rPr>
      </w:pPr>
      <w:r>
        <w:rPr>
          <w:rFonts w:ascii="Times New Roman" w:hAnsi="Times New Roman"/>
          <w:szCs w:val="24"/>
        </w:rPr>
        <w:tab/>
      </w:r>
      <w:r w:rsidR="009F62DF">
        <w:rPr>
          <w:rFonts w:ascii="Times New Roman" w:hAnsi="Times New Roman"/>
          <w:szCs w:val="24"/>
        </w:rPr>
        <w:t xml:space="preserve">The provisions in the proposed rule impact the </w:t>
      </w:r>
      <w:r w:rsidR="00D66383">
        <w:rPr>
          <w:rFonts w:ascii="Times New Roman" w:hAnsi="Times New Roman"/>
          <w:color w:val="000000"/>
          <w:spacing w:val="-3"/>
        </w:rPr>
        <w:t>reporting</w:t>
      </w:r>
      <w:r w:rsidR="0036795B">
        <w:rPr>
          <w:rFonts w:ascii="Times New Roman" w:hAnsi="Times New Roman"/>
          <w:color w:val="000000" w:themeColor="text1"/>
        </w:rPr>
        <w:t>,</w:t>
      </w:r>
      <w:r w:rsidR="00D46D46">
        <w:rPr>
          <w:rFonts w:ascii="Times New Roman" w:hAnsi="Times New Roman"/>
          <w:color w:val="000000" w:themeColor="text1"/>
        </w:rPr>
        <w:t xml:space="preserve"> </w:t>
      </w:r>
      <w:r w:rsidR="00D66383">
        <w:rPr>
          <w:rFonts w:ascii="Times New Roman" w:hAnsi="Times New Roman"/>
          <w:color w:val="000000" w:themeColor="text1"/>
        </w:rPr>
        <w:t>recordkeeping</w:t>
      </w:r>
      <w:r w:rsidR="0036795B">
        <w:rPr>
          <w:rFonts w:ascii="Times New Roman" w:hAnsi="Times New Roman"/>
          <w:color w:val="000000" w:themeColor="text1"/>
        </w:rPr>
        <w:t>, and public disclosure burden</w:t>
      </w:r>
      <w:r w:rsidR="0036795B">
        <w:rPr>
          <w:rFonts w:ascii="Times New Roman" w:hAnsi="Times New Roman"/>
          <w:color w:val="000000"/>
          <w:spacing w:val="-3"/>
        </w:rPr>
        <w:t xml:space="preserve"> </w:t>
      </w:r>
      <w:r w:rsidR="004040E3">
        <w:rPr>
          <w:rFonts w:ascii="Times New Roman" w:hAnsi="Times New Roman"/>
          <w:color w:val="000000"/>
          <w:spacing w:val="-3"/>
        </w:rPr>
        <w:t xml:space="preserve">for the SFSP collection </w:t>
      </w:r>
      <w:r w:rsidR="00D66383">
        <w:rPr>
          <w:rFonts w:ascii="Times New Roman" w:hAnsi="Times New Roman"/>
          <w:color w:val="000000"/>
          <w:spacing w:val="-3"/>
        </w:rPr>
        <w:t>as a result of</w:t>
      </w:r>
      <w:r w:rsidR="00940EC2">
        <w:rPr>
          <w:rFonts w:ascii="Times New Roman" w:hAnsi="Times New Roman"/>
          <w:color w:val="000000"/>
          <w:spacing w:val="-3"/>
        </w:rPr>
        <w:t xml:space="preserve"> </w:t>
      </w:r>
      <w:r w:rsidR="007329BC">
        <w:rPr>
          <w:rFonts w:ascii="Times New Roman" w:hAnsi="Times New Roman"/>
          <w:color w:val="000000"/>
          <w:spacing w:val="-3"/>
          <w:szCs w:val="24"/>
        </w:rPr>
        <w:t>add</w:t>
      </w:r>
      <w:r w:rsidR="0036795B">
        <w:rPr>
          <w:rFonts w:ascii="Times New Roman" w:hAnsi="Times New Roman"/>
          <w:color w:val="000000"/>
          <w:spacing w:val="-3"/>
          <w:szCs w:val="24"/>
        </w:rPr>
        <w:t>ing</w:t>
      </w:r>
      <w:r w:rsidR="007329BC">
        <w:rPr>
          <w:rFonts w:ascii="Times New Roman" w:hAnsi="Times New Roman"/>
          <w:color w:val="000000"/>
          <w:spacing w:val="-3"/>
          <w:szCs w:val="24"/>
        </w:rPr>
        <w:t xml:space="preserve"> </w:t>
      </w:r>
      <w:r w:rsidR="00130684">
        <w:rPr>
          <w:rFonts w:ascii="Times New Roman" w:hAnsi="Times New Roman"/>
          <w:color w:val="000000"/>
          <w:spacing w:val="-3"/>
          <w:szCs w:val="24"/>
        </w:rPr>
        <w:t xml:space="preserve">new </w:t>
      </w:r>
      <w:r w:rsidR="007329BC">
        <w:rPr>
          <w:rFonts w:ascii="Times New Roman" w:hAnsi="Times New Roman"/>
          <w:color w:val="000000"/>
          <w:spacing w:val="-3"/>
          <w:szCs w:val="24"/>
        </w:rPr>
        <w:t>reporting</w:t>
      </w:r>
      <w:r w:rsidR="00130684">
        <w:rPr>
          <w:rFonts w:ascii="Times New Roman" w:hAnsi="Times New Roman"/>
          <w:color w:val="000000"/>
          <w:spacing w:val="-3"/>
          <w:szCs w:val="24"/>
        </w:rPr>
        <w:t>, recordkeeping, and public disclosure requirement</w:t>
      </w:r>
      <w:r w:rsidR="00D42271">
        <w:rPr>
          <w:rFonts w:ascii="Times New Roman" w:hAnsi="Times New Roman"/>
          <w:color w:val="000000"/>
          <w:spacing w:val="-3"/>
          <w:szCs w:val="24"/>
        </w:rPr>
        <w:t>s</w:t>
      </w:r>
      <w:r w:rsidR="00130684">
        <w:rPr>
          <w:rFonts w:ascii="Times New Roman" w:hAnsi="Times New Roman"/>
          <w:color w:val="000000"/>
          <w:spacing w:val="-3"/>
          <w:szCs w:val="24"/>
        </w:rPr>
        <w:t xml:space="preserve"> to the collection </w:t>
      </w:r>
      <w:r w:rsidR="009A3FFD">
        <w:rPr>
          <w:rFonts w:ascii="Times New Roman" w:hAnsi="Times New Roman"/>
          <w:color w:val="000000"/>
          <w:spacing w:val="-3"/>
          <w:szCs w:val="24"/>
        </w:rPr>
        <w:t xml:space="preserve">due to the proposed extension </w:t>
      </w:r>
      <w:r w:rsidR="007329BC">
        <w:rPr>
          <w:rFonts w:ascii="Times New Roman" w:hAnsi="Times New Roman"/>
          <w:color w:val="000000"/>
          <w:spacing w:val="-3"/>
          <w:szCs w:val="24"/>
        </w:rPr>
        <w:t>of the serious deficiency process to the SFSP</w:t>
      </w:r>
      <w:r w:rsidR="00351DB5">
        <w:rPr>
          <w:rFonts w:ascii="Times New Roman" w:hAnsi="Times New Roman"/>
          <w:color w:val="000000"/>
          <w:spacing w:val="-3"/>
          <w:szCs w:val="24"/>
        </w:rPr>
        <w:t xml:space="preserve">, which </w:t>
      </w:r>
      <w:r w:rsidR="00484E15">
        <w:rPr>
          <w:rFonts w:ascii="Times New Roman" w:hAnsi="Times New Roman"/>
          <w:color w:val="000000"/>
          <w:spacing w:val="-3"/>
          <w:szCs w:val="24"/>
        </w:rPr>
        <w:t xml:space="preserve">adds additional requirements </w:t>
      </w:r>
      <w:r w:rsidR="00D73E6C">
        <w:rPr>
          <w:rFonts w:ascii="Times New Roman" w:hAnsi="Times New Roman"/>
          <w:color w:val="000000"/>
          <w:spacing w:val="-3"/>
          <w:szCs w:val="24"/>
        </w:rPr>
        <w:t>that state/local/tribal governments and businesses must comply with.</w:t>
      </w:r>
      <w:r w:rsidR="00B3484C">
        <w:rPr>
          <w:rFonts w:ascii="Times New Roman" w:hAnsi="Times New Roman"/>
          <w:color w:val="000000"/>
          <w:spacing w:val="-3"/>
          <w:szCs w:val="24"/>
        </w:rPr>
        <w:t xml:space="preserve"> </w:t>
      </w:r>
      <w:r w:rsidR="00866BAB">
        <w:rPr>
          <w:rFonts w:ascii="Times New Roman" w:hAnsi="Times New Roman"/>
          <w:color w:val="000000"/>
          <w:spacing w:val="-3"/>
          <w:szCs w:val="24"/>
        </w:rPr>
        <w:t xml:space="preserve"> </w:t>
      </w:r>
      <w:r w:rsidR="000D1420">
        <w:rPr>
          <w:rFonts w:ascii="Times New Roman" w:hAnsi="Times New Roman"/>
          <w:color w:val="000000"/>
          <w:spacing w:val="-3"/>
          <w:szCs w:val="24"/>
        </w:rPr>
        <w:t xml:space="preserve">The addition </w:t>
      </w:r>
      <w:r w:rsidR="002B2FC6">
        <w:rPr>
          <w:rFonts w:ascii="Times New Roman" w:hAnsi="Times New Roman"/>
          <w:color w:val="000000"/>
          <w:spacing w:val="-3"/>
          <w:szCs w:val="24"/>
        </w:rPr>
        <w:t xml:space="preserve">of </w:t>
      </w:r>
      <w:r w:rsidR="00AC391D">
        <w:rPr>
          <w:rFonts w:ascii="Times New Roman" w:hAnsi="Times New Roman"/>
          <w:color w:val="000000"/>
          <w:spacing w:val="-3"/>
          <w:szCs w:val="24"/>
        </w:rPr>
        <w:t>these requirements results in an increase in burden due to program changes</w:t>
      </w:r>
      <w:r w:rsidR="005F42C6">
        <w:rPr>
          <w:rFonts w:ascii="Times New Roman" w:hAnsi="Times New Roman"/>
          <w:color w:val="000000"/>
          <w:spacing w:val="-3"/>
          <w:szCs w:val="24"/>
        </w:rPr>
        <w:t>.</w:t>
      </w:r>
    </w:p>
    <w:p w:rsidR="006B4BFE" w:rsidP="00607F01" w14:paraId="2A933E12" w14:textId="777E9D02">
      <w:pPr>
        <w:tabs>
          <w:tab w:val="left" w:pos="0"/>
        </w:tabs>
        <w:suppressAutoHyphens/>
        <w:spacing w:line="480" w:lineRule="auto"/>
        <w:rPr>
          <w:rFonts w:ascii="Times New Roman" w:hAnsi="Times New Roman"/>
          <w:color w:val="000000"/>
          <w:spacing w:val="-3"/>
          <w:szCs w:val="24"/>
        </w:rPr>
      </w:pPr>
      <w:r>
        <w:rPr>
          <w:rFonts w:ascii="Times New Roman" w:hAnsi="Times New Roman"/>
          <w:color w:val="000000"/>
          <w:spacing w:val="-3"/>
          <w:szCs w:val="24"/>
        </w:rPr>
        <w:tab/>
      </w:r>
      <w:r w:rsidR="00B21FCC">
        <w:rPr>
          <w:rFonts w:ascii="Times New Roman" w:hAnsi="Times New Roman"/>
          <w:color w:val="000000"/>
          <w:spacing w:val="-3"/>
          <w:szCs w:val="24"/>
        </w:rPr>
        <w:t>FNS estimates that these program changes will in</w:t>
      </w:r>
      <w:r w:rsidR="00070227">
        <w:rPr>
          <w:rFonts w:ascii="Times New Roman" w:hAnsi="Times New Roman"/>
          <w:color w:val="000000"/>
          <w:spacing w:val="-3"/>
          <w:szCs w:val="24"/>
        </w:rPr>
        <w:t>crease the burden for the collection by 12,</w:t>
      </w:r>
      <w:r w:rsidR="003A12DC">
        <w:rPr>
          <w:rFonts w:ascii="Times New Roman" w:hAnsi="Times New Roman"/>
          <w:color w:val="000000"/>
          <w:spacing w:val="-3"/>
          <w:szCs w:val="24"/>
        </w:rPr>
        <w:t>833</w:t>
      </w:r>
      <w:r w:rsidR="00070227">
        <w:rPr>
          <w:rFonts w:ascii="Times New Roman" w:hAnsi="Times New Roman"/>
          <w:color w:val="000000"/>
          <w:spacing w:val="-3"/>
          <w:szCs w:val="24"/>
        </w:rPr>
        <w:t xml:space="preserve"> </w:t>
      </w:r>
      <w:r w:rsidR="00295610">
        <w:rPr>
          <w:rFonts w:ascii="Times New Roman" w:hAnsi="Times New Roman"/>
          <w:color w:val="000000"/>
          <w:spacing w:val="-3"/>
          <w:szCs w:val="24"/>
        </w:rPr>
        <w:t>responses and 9,69</w:t>
      </w:r>
      <w:r w:rsidR="003F5D4F">
        <w:rPr>
          <w:rFonts w:ascii="Times New Roman" w:hAnsi="Times New Roman"/>
          <w:color w:val="000000"/>
          <w:spacing w:val="-3"/>
          <w:szCs w:val="24"/>
        </w:rPr>
        <w:t>5</w:t>
      </w:r>
      <w:r w:rsidR="00295610">
        <w:rPr>
          <w:rFonts w:ascii="Times New Roman" w:hAnsi="Times New Roman"/>
          <w:color w:val="000000"/>
          <w:spacing w:val="-3"/>
          <w:szCs w:val="24"/>
        </w:rPr>
        <w:t xml:space="preserve"> burden hours</w:t>
      </w:r>
      <w:r w:rsidR="008847FB">
        <w:rPr>
          <w:rFonts w:ascii="Times New Roman" w:hAnsi="Times New Roman"/>
          <w:color w:val="000000"/>
          <w:spacing w:val="-3"/>
          <w:szCs w:val="24"/>
        </w:rPr>
        <w:t xml:space="preserve">, for a new total </w:t>
      </w:r>
      <w:r w:rsidR="00BB2702">
        <w:rPr>
          <w:rFonts w:ascii="Times New Roman" w:hAnsi="Times New Roman"/>
          <w:color w:val="000000"/>
          <w:spacing w:val="-3"/>
          <w:szCs w:val="24"/>
        </w:rPr>
        <w:t>estimated burden of 404,</w:t>
      </w:r>
      <w:r w:rsidR="00256137">
        <w:rPr>
          <w:rFonts w:ascii="Times New Roman" w:hAnsi="Times New Roman"/>
          <w:color w:val="000000"/>
          <w:spacing w:val="-3"/>
          <w:szCs w:val="24"/>
        </w:rPr>
        <w:t>648</w:t>
      </w:r>
      <w:r w:rsidR="00BB2702">
        <w:rPr>
          <w:rFonts w:ascii="Times New Roman" w:hAnsi="Times New Roman"/>
          <w:color w:val="000000"/>
          <w:spacing w:val="-3"/>
          <w:szCs w:val="24"/>
        </w:rPr>
        <w:t xml:space="preserve"> responses </w:t>
      </w:r>
      <w:r w:rsidR="00BB2702">
        <w:rPr>
          <w:rFonts w:ascii="Times New Roman" w:hAnsi="Times New Roman"/>
          <w:color w:val="000000"/>
          <w:spacing w:val="-3"/>
          <w:szCs w:val="24"/>
        </w:rPr>
        <w:t>and 472,</w:t>
      </w:r>
      <w:r w:rsidR="0090493C">
        <w:rPr>
          <w:rFonts w:ascii="Times New Roman" w:hAnsi="Times New Roman"/>
          <w:color w:val="000000"/>
          <w:spacing w:val="-3"/>
          <w:szCs w:val="24"/>
        </w:rPr>
        <w:t>41</w:t>
      </w:r>
      <w:r w:rsidR="00C72AC1">
        <w:rPr>
          <w:rFonts w:ascii="Times New Roman" w:hAnsi="Times New Roman"/>
          <w:color w:val="000000"/>
          <w:spacing w:val="-3"/>
          <w:szCs w:val="24"/>
        </w:rPr>
        <w:t>9</w:t>
      </w:r>
      <w:r w:rsidR="00BB2702">
        <w:rPr>
          <w:rFonts w:ascii="Times New Roman" w:hAnsi="Times New Roman"/>
          <w:color w:val="000000"/>
          <w:spacing w:val="-3"/>
          <w:szCs w:val="24"/>
        </w:rPr>
        <w:t xml:space="preserve"> burden hours for the</w:t>
      </w:r>
      <w:r w:rsidR="0036795B">
        <w:rPr>
          <w:rFonts w:ascii="Times New Roman" w:hAnsi="Times New Roman"/>
          <w:color w:val="000000"/>
          <w:spacing w:val="-3"/>
          <w:szCs w:val="24"/>
        </w:rPr>
        <w:t xml:space="preserve"> entire</w:t>
      </w:r>
      <w:r w:rsidR="00BB2702">
        <w:rPr>
          <w:rFonts w:ascii="Times New Roman" w:hAnsi="Times New Roman"/>
          <w:color w:val="000000"/>
          <w:spacing w:val="-3"/>
          <w:szCs w:val="24"/>
        </w:rPr>
        <w:t xml:space="preserve"> collection</w:t>
      </w:r>
      <w:r w:rsidR="00002E45">
        <w:rPr>
          <w:rFonts w:ascii="Times New Roman" w:hAnsi="Times New Roman"/>
          <w:color w:val="000000"/>
          <w:spacing w:val="-3"/>
          <w:szCs w:val="24"/>
        </w:rPr>
        <w:t xml:space="preserve">.  The </w:t>
      </w:r>
      <w:r w:rsidR="003868AF">
        <w:rPr>
          <w:rFonts w:ascii="Times New Roman" w:hAnsi="Times New Roman"/>
          <w:color w:val="000000"/>
          <w:spacing w:val="-3"/>
          <w:szCs w:val="24"/>
        </w:rPr>
        <w:t>estimated number of respondents and the start-up costs for the collection remain unchanged</w:t>
      </w:r>
      <w:r w:rsidR="00BE05BD">
        <w:rPr>
          <w:rFonts w:ascii="Times New Roman" w:hAnsi="Times New Roman"/>
          <w:color w:val="000000"/>
          <w:spacing w:val="-3"/>
          <w:szCs w:val="24"/>
        </w:rPr>
        <w:t>.</w:t>
      </w:r>
    </w:p>
    <w:p w:rsidR="00607F01" w:rsidP="000438E8" w14:paraId="6915A7F5" w14:textId="77777777">
      <w:pPr>
        <w:tabs>
          <w:tab w:val="left" w:pos="0"/>
        </w:tabs>
        <w:suppressAutoHyphens/>
        <w:rPr>
          <w:rFonts w:ascii="Times New Roman" w:hAnsi="Times New Roman"/>
          <w:color w:val="000000"/>
          <w:spacing w:val="-3"/>
          <w:szCs w:val="24"/>
        </w:rPr>
      </w:pPr>
    </w:p>
    <w:p w:rsidR="00A308DB" w:rsidRPr="002568E6" w:rsidP="0062567E" w14:paraId="2A933E13" w14:textId="77777777">
      <w:pPr>
        <w:pStyle w:val="Heading1"/>
      </w:pPr>
      <w:bookmarkStart w:id="40" w:name="_Toc401831372"/>
      <w:bookmarkStart w:id="41" w:name="_Toc133329841"/>
      <w:r>
        <w:t xml:space="preserve">A16.  </w:t>
      </w:r>
      <w:r w:rsidR="00842E02">
        <w:t>Plans</w:t>
      </w:r>
      <w:r>
        <w:t xml:space="preserve"> for tabulation, and publication</w:t>
      </w:r>
      <w:r w:rsidR="00842E02">
        <w:t xml:space="preserve"> and project time schedule</w:t>
      </w:r>
      <w:r>
        <w:t>.</w:t>
      </w:r>
      <w:bookmarkEnd w:id="40"/>
      <w:bookmarkEnd w:id="41"/>
      <w:r>
        <w:t xml:space="preserve"> </w:t>
      </w:r>
    </w:p>
    <w:p w:rsidR="00A308DB" w:rsidRPr="002568E6" w:rsidP="000438E8" w14:paraId="2A933E14" w14:textId="77777777">
      <w:pPr>
        <w:tabs>
          <w:tab w:val="left" w:pos="0"/>
        </w:tabs>
        <w:suppressAutoHyphens/>
        <w:rPr>
          <w:rFonts w:ascii="Times New Roman" w:hAnsi="Times New Roman"/>
          <w:b/>
          <w:szCs w:val="24"/>
        </w:rPr>
      </w:pPr>
    </w:p>
    <w:p w:rsidR="0062567E" w:rsidRPr="002568E6" w:rsidP="0062567E" w14:paraId="2A933E15"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2A933E16" w14:textId="77777777">
      <w:pPr>
        <w:tabs>
          <w:tab w:val="left" w:pos="-720"/>
        </w:tabs>
        <w:suppressAutoHyphens/>
        <w:rPr>
          <w:rFonts w:ascii="Times New Roman" w:hAnsi="Times New Roman"/>
          <w:szCs w:val="24"/>
        </w:rPr>
      </w:pPr>
    </w:p>
    <w:p w:rsidR="000438E8" w:rsidP="005A7817" w14:paraId="2A933E18" w14:textId="30E20009">
      <w:pPr>
        <w:tabs>
          <w:tab w:val="left" w:pos="0"/>
        </w:tabs>
        <w:suppressAutoHyphens/>
        <w:spacing w:line="480" w:lineRule="auto"/>
        <w:rPr>
          <w:rFonts w:ascii="Times New Roman" w:hAnsi="Times New Roman"/>
          <w:szCs w:val="24"/>
        </w:rPr>
      </w:pPr>
      <w:r>
        <w:rPr>
          <w:rFonts w:ascii="Times New Roman" w:hAnsi="Times New Roman"/>
          <w:szCs w:val="24"/>
        </w:rPr>
        <w:tab/>
        <w:t>This collection does not employ statistical methods and there are no plans to publish the results of this collection for statistical use</w:t>
      </w:r>
      <w:r w:rsidR="005F42C6">
        <w:rPr>
          <w:rFonts w:ascii="Times New Roman" w:hAnsi="Times New Roman"/>
          <w:szCs w:val="24"/>
        </w:rPr>
        <w:t>.</w:t>
      </w:r>
    </w:p>
    <w:p w:rsidR="000842C2" w:rsidP="000438E8" w14:paraId="55F9C050" w14:textId="77777777">
      <w:pPr>
        <w:tabs>
          <w:tab w:val="left" w:pos="0"/>
        </w:tabs>
        <w:suppressAutoHyphens/>
        <w:rPr>
          <w:rFonts w:ascii="Times New Roman" w:hAnsi="Times New Roman"/>
          <w:szCs w:val="24"/>
        </w:rPr>
      </w:pPr>
    </w:p>
    <w:p w:rsidR="00A308DB" w:rsidRPr="002568E6" w:rsidP="58CE7D09" w14:paraId="2A933E19" w14:textId="77777777">
      <w:pPr>
        <w:pStyle w:val="Heading1"/>
      </w:pPr>
      <w:bookmarkStart w:id="42" w:name="_Toc401831373"/>
      <w:bookmarkStart w:id="43" w:name="_Toc133329842"/>
      <w:r>
        <w:t xml:space="preserve">A17.  </w:t>
      </w:r>
      <w:r w:rsidR="001C6CBE">
        <w:t>Displaying the OMB Approval Expiration Date.</w:t>
      </w:r>
      <w:bookmarkEnd w:id="42"/>
      <w:bookmarkEnd w:id="43"/>
    </w:p>
    <w:p w:rsidR="0062567E" w:rsidRPr="002568E6" w:rsidP="0062567E" w14:paraId="2A933E1A" w14:textId="77777777">
      <w:pPr>
        <w:pStyle w:val="ListParagraph"/>
        <w:widowControl/>
        <w:spacing w:line="240" w:lineRule="auto"/>
        <w:ind w:left="0"/>
        <w:rPr>
          <w:b/>
          <w:szCs w:val="24"/>
        </w:rPr>
      </w:pPr>
    </w:p>
    <w:p w:rsidR="0062567E" w:rsidRPr="002568E6" w:rsidP="0062567E" w14:paraId="2A933E1B"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2A933E1C" w14:textId="77777777">
      <w:pPr>
        <w:tabs>
          <w:tab w:val="left" w:pos="-720"/>
        </w:tabs>
        <w:suppressAutoHyphens/>
        <w:rPr>
          <w:rFonts w:ascii="Times New Roman" w:hAnsi="Times New Roman"/>
          <w:szCs w:val="24"/>
        </w:rPr>
      </w:pPr>
    </w:p>
    <w:p w:rsidR="00037366" w:rsidRPr="002568E6" w:rsidP="00ED28F2" w14:paraId="6BEDE147" w14:textId="3683D83A">
      <w:pPr>
        <w:tabs>
          <w:tab w:val="left" w:pos="-720"/>
        </w:tabs>
        <w:suppressAutoHyphens/>
        <w:spacing w:line="480" w:lineRule="auto"/>
        <w:rPr>
          <w:rFonts w:ascii="Times New Roman" w:hAnsi="Times New Roman"/>
          <w:szCs w:val="24"/>
        </w:rPr>
      </w:pPr>
      <w:r>
        <w:rPr>
          <w:rFonts w:ascii="Times New Roman" w:hAnsi="Times New Roman"/>
          <w:szCs w:val="24"/>
        </w:rPr>
        <w:tab/>
        <w:t>The agency plans to display the expiration date for OMB approval of the information collection on related instruments</w:t>
      </w:r>
      <w:r w:rsidR="00BE05BD">
        <w:rPr>
          <w:rFonts w:ascii="Times New Roman" w:hAnsi="Times New Roman"/>
          <w:szCs w:val="24"/>
        </w:rPr>
        <w:t>.</w:t>
      </w:r>
    </w:p>
    <w:p w:rsidR="000438E8" w:rsidRPr="002568E6" w:rsidP="000438E8" w14:paraId="2A933E1E" w14:textId="77777777">
      <w:pPr>
        <w:tabs>
          <w:tab w:val="left" w:pos="0"/>
        </w:tabs>
        <w:suppressAutoHyphens/>
        <w:rPr>
          <w:rFonts w:ascii="Times New Roman" w:hAnsi="Times New Roman"/>
          <w:szCs w:val="24"/>
        </w:rPr>
      </w:pPr>
    </w:p>
    <w:p w:rsidR="00A308DB" w:rsidRPr="002568E6" w:rsidP="0062567E" w14:paraId="2A933E1F" w14:textId="77777777">
      <w:pPr>
        <w:pStyle w:val="Heading1"/>
      </w:pPr>
      <w:bookmarkStart w:id="44" w:name="_Toc401831374"/>
      <w:bookmarkStart w:id="45" w:name="_Toc133329843"/>
      <w:r>
        <w:t>A18.  Exception</w:t>
      </w:r>
      <w:r w:rsidR="002568E6">
        <w:t>s</w:t>
      </w:r>
      <w:r>
        <w:t xml:space="preserve"> to the certification statement identified in Item 19.</w:t>
      </w:r>
      <w:bookmarkEnd w:id="44"/>
      <w:bookmarkEnd w:id="45"/>
      <w:r w:rsidR="006F346E">
        <w:t xml:space="preserve">  </w:t>
      </w:r>
    </w:p>
    <w:p w:rsidR="0062567E" w:rsidRPr="002568E6" w:rsidP="000438E8" w14:paraId="2A933E20" w14:textId="77777777">
      <w:pPr>
        <w:tabs>
          <w:tab w:val="left" w:pos="0"/>
        </w:tabs>
        <w:suppressAutoHyphens/>
        <w:rPr>
          <w:rFonts w:ascii="Times New Roman" w:hAnsi="Times New Roman"/>
          <w:b/>
          <w:szCs w:val="24"/>
        </w:rPr>
      </w:pPr>
    </w:p>
    <w:p w:rsidR="0062567E" w:rsidRPr="002568E6" w:rsidP="000438E8" w14:paraId="2A933E21" w14:textId="4F7C0318">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w:t>
      </w:r>
      <w:r w:rsidR="004043DE">
        <w:rPr>
          <w:rFonts w:ascii="Times New Roman" w:hAnsi="Times New Roman"/>
          <w:b/>
          <w:szCs w:val="24"/>
        </w:rPr>
        <w:t>”</w:t>
      </w:r>
      <w:r w:rsidRPr="002568E6">
        <w:rPr>
          <w:rFonts w:ascii="Times New Roman" w:hAnsi="Times New Roman"/>
          <w:b/>
          <w:szCs w:val="24"/>
        </w:rPr>
        <w:t xml:space="preserve"> Certification for Paperwork Reduction Act.</w:t>
      </w:r>
      <w:r w:rsidR="004043DE">
        <w:rPr>
          <w:rFonts w:ascii="Times New Roman" w:hAnsi="Times New Roman"/>
          <w:b/>
          <w:szCs w:val="24"/>
        </w:rPr>
        <w:t>”</w:t>
      </w:r>
    </w:p>
    <w:p w:rsidR="00ED28F2" w:rsidRPr="002568E6" w:rsidP="00ED28F2" w14:paraId="2A933E22" w14:textId="77777777">
      <w:pPr>
        <w:tabs>
          <w:tab w:val="left" w:pos="-720"/>
        </w:tabs>
        <w:suppressAutoHyphens/>
        <w:rPr>
          <w:rFonts w:ascii="Times New Roman" w:hAnsi="Times New Roman"/>
          <w:szCs w:val="24"/>
        </w:rPr>
      </w:pPr>
    </w:p>
    <w:p w:rsidR="00EC1F46" w:rsidP="00ED28F2" w14:paraId="4F15E3C9" w14:textId="42CD3C9E">
      <w:pPr>
        <w:tabs>
          <w:tab w:val="left" w:pos="-720"/>
        </w:tabs>
        <w:suppressAutoHyphens/>
        <w:spacing w:line="480" w:lineRule="auto"/>
        <w:rPr>
          <w:rFonts w:ascii="Times New Roman" w:hAnsi="Times New Roman"/>
          <w:szCs w:val="24"/>
        </w:rPr>
      </w:pPr>
      <w:r>
        <w:rPr>
          <w:rFonts w:ascii="Times New Roman" w:hAnsi="Times New Roman"/>
          <w:szCs w:val="24"/>
        </w:rPr>
        <w:tab/>
        <w:t>There are no exceptions to the certification statement</w:t>
      </w:r>
      <w:r w:rsidR="00D80C92">
        <w:rPr>
          <w:rFonts w:ascii="Times New Roman" w:hAnsi="Times New Roman"/>
          <w:szCs w:val="24"/>
        </w:rPr>
        <w:t>.</w:t>
      </w:r>
    </w:p>
    <w:p w:rsidR="004043DE" w:rsidP="00ED28F2" w14:paraId="0B487345" w14:textId="77777777">
      <w:pPr>
        <w:tabs>
          <w:tab w:val="left" w:pos="-720"/>
        </w:tabs>
        <w:suppressAutoHyphens/>
        <w:spacing w:line="480" w:lineRule="auto"/>
        <w:rPr>
          <w:rFonts w:ascii="Times New Roman" w:hAnsi="Times New Roman"/>
          <w:szCs w:val="24"/>
        </w:rPr>
      </w:pPr>
    </w:p>
    <w:p w:rsidR="00FD6F64" w:rsidRPr="00FB34D9" w:rsidP="00FD6F64" w14:paraId="338804FC" w14:textId="4D8D295F">
      <w:pPr>
        <w:tabs>
          <w:tab w:val="left" w:pos="-720"/>
        </w:tabs>
        <w:suppressAutoHyphens/>
        <w:spacing w:line="480" w:lineRule="auto"/>
        <w:rPr>
          <w:rFonts w:ascii="Times New Roman" w:hAnsi="Times New Roman"/>
          <w:color w:val="7030A0"/>
          <w:szCs w:val="24"/>
        </w:rPr>
      </w:pPr>
    </w:p>
    <w:p w:rsidR="006F346E" w:rsidRPr="002568E6" w:rsidP="00ED28F2" w14:paraId="2A933E24" w14:textId="77777777">
      <w:pPr>
        <w:tabs>
          <w:tab w:val="left" w:pos="0"/>
        </w:tabs>
        <w:suppressAutoHyphens/>
        <w:rPr>
          <w:rFonts w:ascii="Times New Roman" w:hAnsi="Times New Roman"/>
          <w:szCs w:val="24"/>
        </w:rPr>
      </w:pPr>
    </w:p>
    <w:sectPr w:rsidSect="00965F9C">
      <w:endnotePr>
        <w:numFmt w:val="decimal"/>
      </w:endnotePr>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D3C52" w14:paraId="14530147" w14:textId="77777777">
      <w:pPr>
        <w:spacing w:line="20" w:lineRule="exact"/>
      </w:pPr>
    </w:p>
  </w:endnote>
  <w:endnote w:type="continuationSeparator" w:id="1">
    <w:p w:rsidR="00BD3C52" w14:paraId="63E35E11" w14:textId="77777777">
      <w:r>
        <w:t xml:space="preserve"> </w:t>
      </w:r>
    </w:p>
  </w:endnote>
  <w:endnote w:type="continuationNotice" w:id="2">
    <w:p w:rsidR="00BD3C52" w14:paraId="26E7ADC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2A933E33" w14:textId="77777777">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063761">
          <w:rPr>
            <w:rFonts w:ascii="Times New Roman" w:hAnsi="Times New Roman"/>
            <w:noProof/>
          </w:rPr>
          <w:t>7</w:t>
        </w:r>
        <w:r w:rsidRPr="002568E6">
          <w:rPr>
            <w:rFonts w:ascii="Times New Roman" w:hAnsi="Times New Roman"/>
            <w:noProof/>
          </w:rPr>
          <w:fldChar w:fldCharType="end"/>
        </w:r>
      </w:p>
    </w:sdtContent>
  </w:sdt>
  <w:p w:rsidR="00BF780B" w14:paraId="2A933E3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570" w14:paraId="6CE59FD3" w14:textId="367974AE">
    <w:pPr>
      <w:pStyle w:val="Footer"/>
      <w:jc w:val="center"/>
    </w:pPr>
  </w:p>
  <w:p w:rsidR="00E67570" w14:paraId="0FF7DD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3C52" w14:paraId="556CD38E" w14:textId="77777777">
      <w:r>
        <w:separator/>
      </w:r>
    </w:p>
  </w:footnote>
  <w:footnote w:type="continuationSeparator" w:id="1">
    <w:p w:rsidR="00BD3C52" w14:paraId="61CC6ACC" w14:textId="77777777">
      <w:r>
        <w:continuationSeparator/>
      </w:r>
    </w:p>
  </w:footnote>
  <w:footnote w:type="continuationNotice" w:id="2">
    <w:p w:rsidR="00BD3C52" w14:paraId="3999A6E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0B136EA"/>
    <w:multiLevelType w:val="hybridMultilevel"/>
    <w:tmpl w:val="D362F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196644"/>
    <w:multiLevelType w:val="hybridMultilevel"/>
    <w:tmpl w:val="1AB023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325D30"/>
    <w:multiLevelType w:val="hybridMultilevel"/>
    <w:tmpl w:val="707232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94086061">
    <w:abstractNumId w:val="13"/>
  </w:num>
  <w:num w:numId="2" w16cid:durableId="1183473011">
    <w:abstractNumId w:val="20"/>
  </w:num>
  <w:num w:numId="3" w16cid:durableId="1595480401">
    <w:abstractNumId w:val="19"/>
  </w:num>
  <w:num w:numId="4" w16cid:durableId="999773055">
    <w:abstractNumId w:val="11"/>
  </w:num>
  <w:num w:numId="5" w16cid:durableId="267347694">
    <w:abstractNumId w:val="21"/>
  </w:num>
  <w:num w:numId="6" w16cid:durableId="303390239">
    <w:abstractNumId w:val="12"/>
  </w:num>
  <w:num w:numId="7" w16cid:durableId="2075660844">
    <w:abstractNumId w:val="9"/>
  </w:num>
  <w:num w:numId="8" w16cid:durableId="1600867269">
    <w:abstractNumId w:val="7"/>
  </w:num>
  <w:num w:numId="9" w16cid:durableId="1757627667">
    <w:abstractNumId w:val="6"/>
  </w:num>
  <w:num w:numId="10" w16cid:durableId="1562792666">
    <w:abstractNumId w:val="5"/>
  </w:num>
  <w:num w:numId="11" w16cid:durableId="126556841">
    <w:abstractNumId w:val="4"/>
  </w:num>
  <w:num w:numId="12" w16cid:durableId="1479301883">
    <w:abstractNumId w:val="8"/>
  </w:num>
  <w:num w:numId="13" w16cid:durableId="2144808773">
    <w:abstractNumId w:val="3"/>
  </w:num>
  <w:num w:numId="14" w16cid:durableId="1126317857">
    <w:abstractNumId w:val="2"/>
  </w:num>
  <w:num w:numId="15" w16cid:durableId="1422796934">
    <w:abstractNumId w:val="1"/>
  </w:num>
  <w:num w:numId="16" w16cid:durableId="1662729491">
    <w:abstractNumId w:val="0"/>
  </w:num>
  <w:num w:numId="17" w16cid:durableId="87387426">
    <w:abstractNumId w:val="15"/>
  </w:num>
  <w:num w:numId="18" w16cid:durableId="1160270793">
    <w:abstractNumId w:val="14"/>
  </w:num>
  <w:num w:numId="19" w16cid:durableId="1207447383">
    <w:abstractNumId w:val="10"/>
  </w:num>
  <w:num w:numId="20" w16cid:durableId="213082246">
    <w:abstractNumId w:val="18"/>
  </w:num>
  <w:num w:numId="21" w16cid:durableId="1954366023">
    <w:abstractNumId w:val="16"/>
  </w:num>
  <w:num w:numId="22" w16cid:durableId="5708963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0E18"/>
    <w:rsid w:val="000011A4"/>
    <w:rsid w:val="00001CB2"/>
    <w:rsid w:val="00001DDD"/>
    <w:rsid w:val="00002E45"/>
    <w:rsid w:val="00002E7A"/>
    <w:rsid w:val="000032E7"/>
    <w:rsid w:val="00003E01"/>
    <w:rsid w:val="00003E15"/>
    <w:rsid w:val="00003EA5"/>
    <w:rsid w:val="0000474C"/>
    <w:rsid w:val="00004E17"/>
    <w:rsid w:val="00004F72"/>
    <w:rsid w:val="000065D9"/>
    <w:rsid w:val="00006B9C"/>
    <w:rsid w:val="000076A1"/>
    <w:rsid w:val="00007847"/>
    <w:rsid w:val="0000790A"/>
    <w:rsid w:val="000101CD"/>
    <w:rsid w:val="00010DE3"/>
    <w:rsid w:val="00010DEC"/>
    <w:rsid w:val="0001128D"/>
    <w:rsid w:val="0001194B"/>
    <w:rsid w:val="0001269D"/>
    <w:rsid w:val="00012824"/>
    <w:rsid w:val="000145E1"/>
    <w:rsid w:val="00014851"/>
    <w:rsid w:val="00014B4D"/>
    <w:rsid w:val="00015BF6"/>
    <w:rsid w:val="00015FCF"/>
    <w:rsid w:val="0001643D"/>
    <w:rsid w:val="00017324"/>
    <w:rsid w:val="000213A7"/>
    <w:rsid w:val="00021B17"/>
    <w:rsid w:val="0002214F"/>
    <w:rsid w:val="000221EE"/>
    <w:rsid w:val="000223C1"/>
    <w:rsid w:val="00022487"/>
    <w:rsid w:val="00022592"/>
    <w:rsid w:val="0002287F"/>
    <w:rsid w:val="000234FF"/>
    <w:rsid w:val="00023B9C"/>
    <w:rsid w:val="00023BFF"/>
    <w:rsid w:val="00023EFF"/>
    <w:rsid w:val="0002402F"/>
    <w:rsid w:val="000258C8"/>
    <w:rsid w:val="00025D14"/>
    <w:rsid w:val="00027233"/>
    <w:rsid w:val="0003190C"/>
    <w:rsid w:val="000324D5"/>
    <w:rsid w:val="00032621"/>
    <w:rsid w:val="000329F0"/>
    <w:rsid w:val="00032CFB"/>
    <w:rsid w:val="00033A30"/>
    <w:rsid w:val="00034457"/>
    <w:rsid w:val="00034978"/>
    <w:rsid w:val="00034B3D"/>
    <w:rsid w:val="00036733"/>
    <w:rsid w:val="0003723B"/>
    <w:rsid w:val="00037366"/>
    <w:rsid w:val="000373C7"/>
    <w:rsid w:val="00040718"/>
    <w:rsid w:val="000409FF"/>
    <w:rsid w:val="00040E5E"/>
    <w:rsid w:val="000417D2"/>
    <w:rsid w:val="000431A5"/>
    <w:rsid w:val="00043601"/>
    <w:rsid w:val="0004364B"/>
    <w:rsid w:val="000438E8"/>
    <w:rsid w:val="00043FE5"/>
    <w:rsid w:val="00043FE9"/>
    <w:rsid w:val="00044480"/>
    <w:rsid w:val="000444DE"/>
    <w:rsid w:val="00044521"/>
    <w:rsid w:val="000447C0"/>
    <w:rsid w:val="0004539F"/>
    <w:rsid w:val="000460EC"/>
    <w:rsid w:val="00046404"/>
    <w:rsid w:val="0004668E"/>
    <w:rsid w:val="00047338"/>
    <w:rsid w:val="00047A9F"/>
    <w:rsid w:val="000506DA"/>
    <w:rsid w:val="000507EA"/>
    <w:rsid w:val="00051E36"/>
    <w:rsid w:val="00052C5C"/>
    <w:rsid w:val="00053AB5"/>
    <w:rsid w:val="00054582"/>
    <w:rsid w:val="00054647"/>
    <w:rsid w:val="00054E5E"/>
    <w:rsid w:val="000563D0"/>
    <w:rsid w:val="00056479"/>
    <w:rsid w:val="000569F3"/>
    <w:rsid w:val="0005780D"/>
    <w:rsid w:val="00057840"/>
    <w:rsid w:val="00060541"/>
    <w:rsid w:val="0006089A"/>
    <w:rsid w:val="00060A8E"/>
    <w:rsid w:val="00061574"/>
    <w:rsid w:val="00061BEA"/>
    <w:rsid w:val="00061FC3"/>
    <w:rsid w:val="000621C5"/>
    <w:rsid w:val="0006257F"/>
    <w:rsid w:val="000629F8"/>
    <w:rsid w:val="00062A5E"/>
    <w:rsid w:val="00062F63"/>
    <w:rsid w:val="00063761"/>
    <w:rsid w:val="00063800"/>
    <w:rsid w:val="00064112"/>
    <w:rsid w:val="0006449A"/>
    <w:rsid w:val="00064754"/>
    <w:rsid w:val="00064876"/>
    <w:rsid w:val="00065903"/>
    <w:rsid w:val="0006609B"/>
    <w:rsid w:val="00066338"/>
    <w:rsid w:val="000700B5"/>
    <w:rsid w:val="00070227"/>
    <w:rsid w:val="00070A9C"/>
    <w:rsid w:val="00071ACF"/>
    <w:rsid w:val="00071E51"/>
    <w:rsid w:val="00071F51"/>
    <w:rsid w:val="00072177"/>
    <w:rsid w:val="00072C97"/>
    <w:rsid w:val="00072E23"/>
    <w:rsid w:val="00072F01"/>
    <w:rsid w:val="000732A5"/>
    <w:rsid w:val="00073973"/>
    <w:rsid w:val="000750F4"/>
    <w:rsid w:val="00075687"/>
    <w:rsid w:val="00075AFC"/>
    <w:rsid w:val="000766FD"/>
    <w:rsid w:val="00076931"/>
    <w:rsid w:val="00076D3A"/>
    <w:rsid w:val="0007794B"/>
    <w:rsid w:val="00077ACD"/>
    <w:rsid w:val="0008056E"/>
    <w:rsid w:val="0008081D"/>
    <w:rsid w:val="00080C3F"/>
    <w:rsid w:val="000812F7"/>
    <w:rsid w:val="000814C3"/>
    <w:rsid w:val="000814FD"/>
    <w:rsid w:val="00081650"/>
    <w:rsid w:val="00082502"/>
    <w:rsid w:val="00082896"/>
    <w:rsid w:val="000842C2"/>
    <w:rsid w:val="00084B36"/>
    <w:rsid w:val="00086831"/>
    <w:rsid w:val="00086ABF"/>
    <w:rsid w:val="0008751B"/>
    <w:rsid w:val="00087534"/>
    <w:rsid w:val="00087746"/>
    <w:rsid w:val="00087BAC"/>
    <w:rsid w:val="00087FC6"/>
    <w:rsid w:val="00090155"/>
    <w:rsid w:val="00090408"/>
    <w:rsid w:val="00090C98"/>
    <w:rsid w:val="00090E3B"/>
    <w:rsid w:val="00091E81"/>
    <w:rsid w:val="00092C0C"/>
    <w:rsid w:val="00093427"/>
    <w:rsid w:val="0009444C"/>
    <w:rsid w:val="0009515C"/>
    <w:rsid w:val="0009567D"/>
    <w:rsid w:val="00095C26"/>
    <w:rsid w:val="000975FA"/>
    <w:rsid w:val="000A10BD"/>
    <w:rsid w:val="000A1790"/>
    <w:rsid w:val="000A1E58"/>
    <w:rsid w:val="000A24DB"/>
    <w:rsid w:val="000A28C4"/>
    <w:rsid w:val="000A34BE"/>
    <w:rsid w:val="000A3781"/>
    <w:rsid w:val="000A448D"/>
    <w:rsid w:val="000A49D6"/>
    <w:rsid w:val="000A4E4B"/>
    <w:rsid w:val="000A4F8D"/>
    <w:rsid w:val="000A521A"/>
    <w:rsid w:val="000A6446"/>
    <w:rsid w:val="000A64DA"/>
    <w:rsid w:val="000A71E6"/>
    <w:rsid w:val="000A7424"/>
    <w:rsid w:val="000A7F9B"/>
    <w:rsid w:val="000B0375"/>
    <w:rsid w:val="000B169A"/>
    <w:rsid w:val="000B16B1"/>
    <w:rsid w:val="000B26F3"/>
    <w:rsid w:val="000B3DA9"/>
    <w:rsid w:val="000B50C9"/>
    <w:rsid w:val="000B7836"/>
    <w:rsid w:val="000B7E99"/>
    <w:rsid w:val="000C04E3"/>
    <w:rsid w:val="000C089B"/>
    <w:rsid w:val="000C0DDD"/>
    <w:rsid w:val="000C10F7"/>
    <w:rsid w:val="000C19CF"/>
    <w:rsid w:val="000C4433"/>
    <w:rsid w:val="000C4AB2"/>
    <w:rsid w:val="000C55A2"/>
    <w:rsid w:val="000C5B0F"/>
    <w:rsid w:val="000C5EA9"/>
    <w:rsid w:val="000C632D"/>
    <w:rsid w:val="000C75F2"/>
    <w:rsid w:val="000D0BAF"/>
    <w:rsid w:val="000D0C93"/>
    <w:rsid w:val="000D109C"/>
    <w:rsid w:val="000D1352"/>
    <w:rsid w:val="000D1420"/>
    <w:rsid w:val="000D17F6"/>
    <w:rsid w:val="000D202B"/>
    <w:rsid w:val="000D216E"/>
    <w:rsid w:val="000D279A"/>
    <w:rsid w:val="000D3DB7"/>
    <w:rsid w:val="000D501C"/>
    <w:rsid w:val="000D5750"/>
    <w:rsid w:val="000D6419"/>
    <w:rsid w:val="000D65E4"/>
    <w:rsid w:val="000D724C"/>
    <w:rsid w:val="000E0405"/>
    <w:rsid w:val="000E1B39"/>
    <w:rsid w:val="000E1CA0"/>
    <w:rsid w:val="000E2CEB"/>
    <w:rsid w:val="000E2E6E"/>
    <w:rsid w:val="000E3CC6"/>
    <w:rsid w:val="000E3D4E"/>
    <w:rsid w:val="000E4107"/>
    <w:rsid w:val="000E5653"/>
    <w:rsid w:val="000E5B68"/>
    <w:rsid w:val="000E5C26"/>
    <w:rsid w:val="000E61B9"/>
    <w:rsid w:val="000E675B"/>
    <w:rsid w:val="000E6CC9"/>
    <w:rsid w:val="000E73C8"/>
    <w:rsid w:val="000E79E2"/>
    <w:rsid w:val="000E7D6D"/>
    <w:rsid w:val="000F05EC"/>
    <w:rsid w:val="000F1BD4"/>
    <w:rsid w:val="000F24C8"/>
    <w:rsid w:val="000F2BAE"/>
    <w:rsid w:val="000F3A4A"/>
    <w:rsid w:val="000F49B5"/>
    <w:rsid w:val="000F4DAC"/>
    <w:rsid w:val="000F4EE7"/>
    <w:rsid w:val="000F533D"/>
    <w:rsid w:val="000F5451"/>
    <w:rsid w:val="000F6FDF"/>
    <w:rsid w:val="00101EF8"/>
    <w:rsid w:val="00102980"/>
    <w:rsid w:val="00102F84"/>
    <w:rsid w:val="0010333B"/>
    <w:rsid w:val="0010460C"/>
    <w:rsid w:val="00104737"/>
    <w:rsid w:val="001052BD"/>
    <w:rsid w:val="001065D4"/>
    <w:rsid w:val="0010698D"/>
    <w:rsid w:val="00107293"/>
    <w:rsid w:val="0010767E"/>
    <w:rsid w:val="00110773"/>
    <w:rsid w:val="0011123F"/>
    <w:rsid w:val="00112109"/>
    <w:rsid w:val="00112630"/>
    <w:rsid w:val="0011437E"/>
    <w:rsid w:val="00115E73"/>
    <w:rsid w:val="00115F4A"/>
    <w:rsid w:val="00116DF8"/>
    <w:rsid w:val="00116ECF"/>
    <w:rsid w:val="001170E4"/>
    <w:rsid w:val="00117A58"/>
    <w:rsid w:val="00117DDE"/>
    <w:rsid w:val="00117EE5"/>
    <w:rsid w:val="00120A68"/>
    <w:rsid w:val="00120E03"/>
    <w:rsid w:val="00120E7F"/>
    <w:rsid w:val="00121633"/>
    <w:rsid w:val="00121AC3"/>
    <w:rsid w:val="00122007"/>
    <w:rsid w:val="0012249E"/>
    <w:rsid w:val="001228ED"/>
    <w:rsid w:val="001234E0"/>
    <w:rsid w:val="00123591"/>
    <w:rsid w:val="0012531F"/>
    <w:rsid w:val="00126565"/>
    <w:rsid w:val="001265AC"/>
    <w:rsid w:val="00127364"/>
    <w:rsid w:val="00127A32"/>
    <w:rsid w:val="00130684"/>
    <w:rsid w:val="00130FB4"/>
    <w:rsid w:val="00131B24"/>
    <w:rsid w:val="001329B5"/>
    <w:rsid w:val="00132EF8"/>
    <w:rsid w:val="00132F0C"/>
    <w:rsid w:val="0013306C"/>
    <w:rsid w:val="001334EF"/>
    <w:rsid w:val="0013469F"/>
    <w:rsid w:val="00135939"/>
    <w:rsid w:val="001363FB"/>
    <w:rsid w:val="001365AB"/>
    <w:rsid w:val="00136CBA"/>
    <w:rsid w:val="001428AD"/>
    <w:rsid w:val="00143411"/>
    <w:rsid w:val="0014383A"/>
    <w:rsid w:val="00143852"/>
    <w:rsid w:val="00143D6E"/>
    <w:rsid w:val="001446CC"/>
    <w:rsid w:val="00145FCB"/>
    <w:rsid w:val="0014664B"/>
    <w:rsid w:val="001466C8"/>
    <w:rsid w:val="001471E8"/>
    <w:rsid w:val="0015139F"/>
    <w:rsid w:val="00151DF5"/>
    <w:rsid w:val="00153DCF"/>
    <w:rsid w:val="00154D85"/>
    <w:rsid w:val="00155007"/>
    <w:rsid w:val="00155A48"/>
    <w:rsid w:val="00156839"/>
    <w:rsid w:val="00157282"/>
    <w:rsid w:val="00160026"/>
    <w:rsid w:val="00160308"/>
    <w:rsid w:val="00160DAC"/>
    <w:rsid w:val="0016100B"/>
    <w:rsid w:val="001613F6"/>
    <w:rsid w:val="00163BBD"/>
    <w:rsid w:val="001640C2"/>
    <w:rsid w:val="001643D8"/>
    <w:rsid w:val="00165447"/>
    <w:rsid w:val="00166501"/>
    <w:rsid w:val="001666B3"/>
    <w:rsid w:val="00167686"/>
    <w:rsid w:val="0016785B"/>
    <w:rsid w:val="001707D4"/>
    <w:rsid w:val="001707E2"/>
    <w:rsid w:val="0017092F"/>
    <w:rsid w:val="00171619"/>
    <w:rsid w:val="00172B17"/>
    <w:rsid w:val="0017348C"/>
    <w:rsid w:val="0017400C"/>
    <w:rsid w:val="00174631"/>
    <w:rsid w:val="001779C5"/>
    <w:rsid w:val="00180150"/>
    <w:rsid w:val="00181013"/>
    <w:rsid w:val="00182728"/>
    <w:rsid w:val="001829D2"/>
    <w:rsid w:val="0018306B"/>
    <w:rsid w:val="001834A9"/>
    <w:rsid w:val="00183B49"/>
    <w:rsid w:val="00184332"/>
    <w:rsid w:val="0018456B"/>
    <w:rsid w:val="0018464C"/>
    <w:rsid w:val="00185270"/>
    <w:rsid w:val="00186390"/>
    <w:rsid w:val="0018740F"/>
    <w:rsid w:val="0018763E"/>
    <w:rsid w:val="00190881"/>
    <w:rsid w:val="00190FA6"/>
    <w:rsid w:val="001912C2"/>
    <w:rsid w:val="001939AF"/>
    <w:rsid w:val="00194532"/>
    <w:rsid w:val="0019474C"/>
    <w:rsid w:val="00194A25"/>
    <w:rsid w:val="001955F9"/>
    <w:rsid w:val="001964E8"/>
    <w:rsid w:val="001A01C9"/>
    <w:rsid w:val="001A13D1"/>
    <w:rsid w:val="001A22E1"/>
    <w:rsid w:val="001A23A7"/>
    <w:rsid w:val="001A395C"/>
    <w:rsid w:val="001A3E34"/>
    <w:rsid w:val="001A4B15"/>
    <w:rsid w:val="001A4D14"/>
    <w:rsid w:val="001A5205"/>
    <w:rsid w:val="001A5785"/>
    <w:rsid w:val="001A5C1A"/>
    <w:rsid w:val="001A63AF"/>
    <w:rsid w:val="001A6E5F"/>
    <w:rsid w:val="001A730D"/>
    <w:rsid w:val="001B0873"/>
    <w:rsid w:val="001B0E1D"/>
    <w:rsid w:val="001B1E25"/>
    <w:rsid w:val="001B3D92"/>
    <w:rsid w:val="001B42B9"/>
    <w:rsid w:val="001B7724"/>
    <w:rsid w:val="001C048C"/>
    <w:rsid w:val="001C15C7"/>
    <w:rsid w:val="001C1865"/>
    <w:rsid w:val="001C256E"/>
    <w:rsid w:val="001C2939"/>
    <w:rsid w:val="001C379A"/>
    <w:rsid w:val="001C3A4C"/>
    <w:rsid w:val="001C4170"/>
    <w:rsid w:val="001C48EE"/>
    <w:rsid w:val="001C4A58"/>
    <w:rsid w:val="001C4C39"/>
    <w:rsid w:val="001C5266"/>
    <w:rsid w:val="001C54B0"/>
    <w:rsid w:val="001C6CBE"/>
    <w:rsid w:val="001C70AF"/>
    <w:rsid w:val="001C73BD"/>
    <w:rsid w:val="001C7536"/>
    <w:rsid w:val="001C7CDC"/>
    <w:rsid w:val="001C7D75"/>
    <w:rsid w:val="001C7DC9"/>
    <w:rsid w:val="001C7DE7"/>
    <w:rsid w:val="001D018F"/>
    <w:rsid w:val="001D0DD5"/>
    <w:rsid w:val="001D1022"/>
    <w:rsid w:val="001D1C86"/>
    <w:rsid w:val="001D1F25"/>
    <w:rsid w:val="001D1F6E"/>
    <w:rsid w:val="001D2F45"/>
    <w:rsid w:val="001D303B"/>
    <w:rsid w:val="001D343E"/>
    <w:rsid w:val="001D4FB0"/>
    <w:rsid w:val="001D55DC"/>
    <w:rsid w:val="001D5A09"/>
    <w:rsid w:val="001E1F67"/>
    <w:rsid w:val="001E22E9"/>
    <w:rsid w:val="001E298D"/>
    <w:rsid w:val="001E5E03"/>
    <w:rsid w:val="001E5E0C"/>
    <w:rsid w:val="001E5E66"/>
    <w:rsid w:val="001E7291"/>
    <w:rsid w:val="001F054A"/>
    <w:rsid w:val="001F0E6B"/>
    <w:rsid w:val="001F0F8D"/>
    <w:rsid w:val="001F4CE0"/>
    <w:rsid w:val="001F549E"/>
    <w:rsid w:val="001F585B"/>
    <w:rsid w:val="001F5921"/>
    <w:rsid w:val="001F63F8"/>
    <w:rsid w:val="001F642E"/>
    <w:rsid w:val="001F6E85"/>
    <w:rsid w:val="001F716D"/>
    <w:rsid w:val="001F73D9"/>
    <w:rsid w:val="001F7B33"/>
    <w:rsid w:val="00201068"/>
    <w:rsid w:val="00201287"/>
    <w:rsid w:val="00203336"/>
    <w:rsid w:val="00204E6E"/>
    <w:rsid w:val="00205B44"/>
    <w:rsid w:val="002062CF"/>
    <w:rsid w:val="00206D07"/>
    <w:rsid w:val="002075EB"/>
    <w:rsid w:val="00207CFA"/>
    <w:rsid w:val="00210D68"/>
    <w:rsid w:val="00210FA8"/>
    <w:rsid w:val="00211C84"/>
    <w:rsid w:val="00211E87"/>
    <w:rsid w:val="00212905"/>
    <w:rsid w:val="0021308B"/>
    <w:rsid w:val="00213436"/>
    <w:rsid w:val="00215C5B"/>
    <w:rsid w:val="00215CC6"/>
    <w:rsid w:val="002162FD"/>
    <w:rsid w:val="002167E3"/>
    <w:rsid w:val="002176E3"/>
    <w:rsid w:val="0022192F"/>
    <w:rsid w:val="00221F17"/>
    <w:rsid w:val="0022282D"/>
    <w:rsid w:val="00222EDC"/>
    <w:rsid w:val="0022443A"/>
    <w:rsid w:val="00224F58"/>
    <w:rsid w:val="002251B2"/>
    <w:rsid w:val="0022554B"/>
    <w:rsid w:val="0022649D"/>
    <w:rsid w:val="0022712C"/>
    <w:rsid w:val="00227F84"/>
    <w:rsid w:val="0023063C"/>
    <w:rsid w:val="0023128C"/>
    <w:rsid w:val="00231406"/>
    <w:rsid w:val="00231C61"/>
    <w:rsid w:val="00233824"/>
    <w:rsid w:val="0023398E"/>
    <w:rsid w:val="00233A16"/>
    <w:rsid w:val="00235198"/>
    <w:rsid w:val="00235EB3"/>
    <w:rsid w:val="0023708C"/>
    <w:rsid w:val="002370B7"/>
    <w:rsid w:val="002373A5"/>
    <w:rsid w:val="00237F88"/>
    <w:rsid w:val="0024178A"/>
    <w:rsid w:val="00241834"/>
    <w:rsid w:val="00242822"/>
    <w:rsid w:val="002431A3"/>
    <w:rsid w:val="00245150"/>
    <w:rsid w:val="00245CF0"/>
    <w:rsid w:val="00246085"/>
    <w:rsid w:val="002460F3"/>
    <w:rsid w:val="0024624D"/>
    <w:rsid w:val="00246457"/>
    <w:rsid w:val="002468EE"/>
    <w:rsid w:val="00246B71"/>
    <w:rsid w:val="00247090"/>
    <w:rsid w:val="00247E48"/>
    <w:rsid w:val="0025003B"/>
    <w:rsid w:val="00250CEF"/>
    <w:rsid w:val="00251478"/>
    <w:rsid w:val="00252CF2"/>
    <w:rsid w:val="00253C68"/>
    <w:rsid w:val="00253ECC"/>
    <w:rsid w:val="00255137"/>
    <w:rsid w:val="002560DA"/>
    <w:rsid w:val="00256137"/>
    <w:rsid w:val="002562E3"/>
    <w:rsid w:val="0025683E"/>
    <w:rsid w:val="002568E6"/>
    <w:rsid w:val="00260648"/>
    <w:rsid w:val="00260913"/>
    <w:rsid w:val="00260BBD"/>
    <w:rsid w:val="00260EAB"/>
    <w:rsid w:val="0026263B"/>
    <w:rsid w:val="00262817"/>
    <w:rsid w:val="00262FFF"/>
    <w:rsid w:val="00263062"/>
    <w:rsid w:val="0026333C"/>
    <w:rsid w:val="002642E5"/>
    <w:rsid w:val="002647DF"/>
    <w:rsid w:val="002649A9"/>
    <w:rsid w:val="002653E2"/>
    <w:rsid w:val="00265623"/>
    <w:rsid w:val="00265F5E"/>
    <w:rsid w:val="00267411"/>
    <w:rsid w:val="00267E64"/>
    <w:rsid w:val="00270D71"/>
    <w:rsid w:val="00272265"/>
    <w:rsid w:val="00272DD6"/>
    <w:rsid w:val="002737E9"/>
    <w:rsid w:val="00274365"/>
    <w:rsid w:val="0027472F"/>
    <w:rsid w:val="00274DC8"/>
    <w:rsid w:val="00275494"/>
    <w:rsid w:val="00275AC1"/>
    <w:rsid w:val="0027695F"/>
    <w:rsid w:val="0028097D"/>
    <w:rsid w:val="00282315"/>
    <w:rsid w:val="0028237A"/>
    <w:rsid w:val="00282423"/>
    <w:rsid w:val="00283364"/>
    <w:rsid w:val="00283803"/>
    <w:rsid w:val="002844DB"/>
    <w:rsid w:val="0028474E"/>
    <w:rsid w:val="00285BFD"/>
    <w:rsid w:val="00286F50"/>
    <w:rsid w:val="0028739F"/>
    <w:rsid w:val="002875C2"/>
    <w:rsid w:val="00287ADD"/>
    <w:rsid w:val="002900F6"/>
    <w:rsid w:val="00290902"/>
    <w:rsid w:val="00291EF0"/>
    <w:rsid w:val="00292744"/>
    <w:rsid w:val="00293243"/>
    <w:rsid w:val="0029338A"/>
    <w:rsid w:val="002936F4"/>
    <w:rsid w:val="002943CB"/>
    <w:rsid w:val="002954B1"/>
    <w:rsid w:val="00295610"/>
    <w:rsid w:val="002959EE"/>
    <w:rsid w:val="00296002"/>
    <w:rsid w:val="00296871"/>
    <w:rsid w:val="00296E80"/>
    <w:rsid w:val="002A0261"/>
    <w:rsid w:val="002A029B"/>
    <w:rsid w:val="002A1B3D"/>
    <w:rsid w:val="002A1FEB"/>
    <w:rsid w:val="002A2D23"/>
    <w:rsid w:val="002A5061"/>
    <w:rsid w:val="002A64AF"/>
    <w:rsid w:val="002A7181"/>
    <w:rsid w:val="002A7390"/>
    <w:rsid w:val="002A751A"/>
    <w:rsid w:val="002A7C42"/>
    <w:rsid w:val="002B0416"/>
    <w:rsid w:val="002B0654"/>
    <w:rsid w:val="002B2FC6"/>
    <w:rsid w:val="002B3630"/>
    <w:rsid w:val="002B3A84"/>
    <w:rsid w:val="002B3C01"/>
    <w:rsid w:val="002B46E1"/>
    <w:rsid w:val="002B4B04"/>
    <w:rsid w:val="002B4F85"/>
    <w:rsid w:val="002B516B"/>
    <w:rsid w:val="002B5338"/>
    <w:rsid w:val="002B5E90"/>
    <w:rsid w:val="002B6140"/>
    <w:rsid w:val="002B6341"/>
    <w:rsid w:val="002B6598"/>
    <w:rsid w:val="002B6DF4"/>
    <w:rsid w:val="002B7DB8"/>
    <w:rsid w:val="002C05AC"/>
    <w:rsid w:val="002C2401"/>
    <w:rsid w:val="002C3AF3"/>
    <w:rsid w:val="002C4936"/>
    <w:rsid w:val="002C4954"/>
    <w:rsid w:val="002C4A5E"/>
    <w:rsid w:val="002C511F"/>
    <w:rsid w:val="002C62D3"/>
    <w:rsid w:val="002C6748"/>
    <w:rsid w:val="002C67A5"/>
    <w:rsid w:val="002C6C71"/>
    <w:rsid w:val="002C7B26"/>
    <w:rsid w:val="002D0145"/>
    <w:rsid w:val="002D020F"/>
    <w:rsid w:val="002D078A"/>
    <w:rsid w:val="002D0DED"/>
    <w:rsid w:val="002D1032"/>
    <w:rsid w:val="002D1383"/>
    <w:rsid w:val="002D177A"/>
    <w:rsid w:val="002D1AB5"/>
    <w:rsid w:val="002D1E33"/>
    <w:rsid w:val="002D43A3"/>
    <w:rsid w:val="002D47CD"/>
    <w:rsid w:val="002D542A"/>
    <w:rsid w:val="002D54CC"/>
    <w:rsid w:val="002D61C2"/>
    <w:rsid w:val="002D63E2"/>
    <w:rsid w:val="002E049A"/>
    <w:rsid w:val="002E0544"/>
    <w:rsid w:val="002E0F99"/>
    <w:rsid w:val="002E1315"/>
    <w:rsid w:val="002E1A35"/>
    <w:rsid w:val="002E1E96"/>
    <w:rsid w:val="002E2C66"/>
    <w:rsid w:val="002E2E68"/>
    <w:rsid w:val="002E3B1B"/>
    <w:rsid w:val="002E3D8B"/>
    <w:rsid w:val="002E3DF1"/>
    <w:rsid w:val="002E3E5E"/>
    <w:rsid w:val="002E40A9"/>
    <w:rsid w:val="002E6B5E"/>
    <w:rsid w:val="002E6D52"/>
    <w:rsid w:val="002E6EBC"/>
    <w:rsid w:val="002E7427"/>
    <w:rsid w:val="002E74A7"/>
    <w:rsid w:val="002E7DB1"/>
    <w:rsid w:val="002F01F0"/>
    <w:rsid w:val="002F2888"/>
    <w:rsid w:val="002F28FD"/>
    <w:rsid w:val="002F2CAF"/>
    <w:rsid w:val="002F3249"/>
    <w:rsid w:val="002F4036"/>
    <w:rsid w:val="002F5951"/>
    <w:rsid w:val="002F72BC"/>
    <w:rsid w:val="002F7C75"/>
    <w:rsid w:val="00300565"/>
    <w:rsid w:val="003008DF"/>
    <w:rsid w:val="00301B11"/>
    <w:rsid w:val="00302085"/>
    <w:rsid w:val="00303475"/>
    <w:rsid w:val="00304807"/>
    <w:rsid w:val="003065C0"/>
    <w:rsid w:val="003068E6"/>
    <w:rsid w:val="0030739A"/>
    <w:rsid w:val="00307D2B"/>
    <w:rsid w:val="0031071F"/>
    <w:rsid w:val="003113C0"/>
    <w:rsid w:val="003118B8"/>
    <w:rsid w:val="003125D7"/>
    <w:rsid w:val="00312A60"/>
    <w:rsid w:val="00312EF6"/>
    <w:rsid w:val="003134E6"/>
    <w:rsid w:val="00313A06"/>
    <w:rsid w:val="003140F4"/>
    <w:rsid w:val="00314A6D"/>
    <w:rsid w:val="00315029"/>
    <w:rsid w:val="00315CD2"/>
    <w:rsid w:val="003164E9"/>
    <w:rsid w:val="00316EE2"/>
    <w:rsid w:val="003179FA"/>
    <w:rsid w:val="0032274E"/>
    <w:rsid w:val="00322C15"/>
    <w:rsid w:val="00323D7E"/>
    <w:rsid w:val="00324C06"/>
    <w:rsid w:val="00325195"/>
    <w:rsid w:val="0032533B"/>
    <w:rsid w:val="003265B3"/>
    <w:rsid w:val="00326F10"/>
    <w:rsid w:val="00327DDE"/>
    <w:rsid w:val="003302DC"/>
    <w:rsid w:val="003306D4"/>
    <w:rsid w:val="00330BEC"/>
    <w:rsid w:val="00331AC3"/>
    <w:rsid w:val="00332174"/>
    <w:rsid w:val="00332175"/>
    <w:rsid w:val="0033229D"/>
    <w:rsid w:val="00332658"/>
    <w:rsid w:val="00332E74"/>
    <w:rsid w:val="00333190"/>
    <w:rsid w:val="003333DF"/>
    <w:rsid w:val="0033452C"/>
    <w:rsid w:val="00334635"/>
    <w:rsid w:val="00334906"/>
    <w:rsid w:val="00334F89"/>
    <w:rsid w:val="00335288"/>
    <w:rsid w:val="0033630C"/>
    <w:rsid w:val="00336B89"/>
    <w:rsid w:val="0033721D"/>
    <w:rsid w:val="00337B9D"/>
    <w:rsid w:val="00337ED1"/>
    <w:rsid w:val="003404B5"/>
    <w:rsid w:val="00341BB4"/>
    <w:rsid w:val="00341DA8"/>
    <w:rsid w:val="00341DEE"/>
    <w:rsid w:val="00342170"/>
    <w:rsid w:val="0034275E"/>
    <w:rsid w:val="00342968"/>
    <w:rsid w:val="003438D7"/>
    <w:rsid w:val="00343967"/>
    <w:rsid w:val="00344849"/>
    <w:rsid w:val="0034535B"/>
    <w:rsid w:val="0034537B"/>
    <w:rsid w:val="00345A49"/>
    <w:rsid w:val="0034619A"/>
    <w:rsid w:val="00346614"/>
    <w:rsid w:val="0034689B"/>
    <w:rsid w:val="00350550"/>
    <w:rsid w:val="0035068A"/>
    <w:rsid w:val="00350765"/>
    <w:rsid w:val="00351C2D"/>
    <w:rsid w:val="00351DB5"/>
    <w:rsid w:val="003520D1"/>
    <w:rsid w:val="003521A9"/>
    <w:rsid w:val="0035224E"/>
    <w:rsid w:val="00352D8E"/>
    <w:rsid w:val="00353797"/>
    <w:rsid w:val="0035521C"/>
    <w:rsid w:val="00356D92"/>
    <w:rsid w:val="00360B8B"/>
    <w:rsid w:val="003623F3"/>
    <w:rsid w:val="00362947"/>
    <w:rsid w:val="00363398"/>
    <w:rsid w:val="003635EF"/>
    <w:rsid w:val="003637E7"/>
    <w:rsid w:val="003647C2"/>
    <w:rsid w:val="0036497A"/>
    <w:rsid w:val="0036674C"/>
    <w:rsid w:val="00366BB8"/>
    <w:rsid w:val="0036795B"/>
    <w:rsid w:val="00367D03"/>
    <w:rsid w:val="00370171"/>
    <w:rsid w:val="003701EE"/>
    <w:rsid w:val="0037115C"/>
    <w:rsid w:val="00371E6E"/>
    <w:rsid w:val="003726C0"/>
    <w:rsid w:val="00372784"/>
    <w:rsid w:val="00372D04"/>
    <w:rsid w:val="0037590A"/>
    <w:rsid w:val="003759EC"/>
    <w:rsid w:val="00375A16"/>
    <w:rsid w:val="00375FCD"/>
    <w:rsid w:val="00376E39"/>
    <w:rsid w:val="003770FE"/>
    <w:rsid w:val="00380077"/>
    <w:rsid w:val="00381946"/>
    <w:rsid w:val="00383C0A"/>
    <w:rsid w:val="00384735"/>
    <w:rsid w:val="0038536F"/>
    <w:rsid w:val="0038549F"/>
    <w:rsid w:val="00385A58"/>
    <w:rsid w:val="00386068"/>
    <w:rsid w:val="003868AF"/>
    <w:rsid w:val="003874A5"/>
    <w:rsid w:val="003879D5"/>
    <w:rsid w:val="0039065D"/>
    <w:rsid w:val="00390E79"/>
    <w:rsid w:val="00391B9E"/>
    <w:rsid w:val="00393405"/>
    <w:rsid w:val="00394F0C"/>
    <w:rsid w:val="003952D0"/>
    <w:rsid w:val="0039574F"/>
    <w:rsid w:val="00395831"/>
    <w:rsid w:val="00395DDA"/>
    <w:rsid w:val="00396E91"/>
    <w:rsid w:val="003A0D66"/>
    <w:rsid w:val="003A114D"/>
    <w:rsid w:val="003A12DC"/>
    <w:rsid w:val="003A1C41"/>
    <w:rsid w:val="003A222F"/>
    <w:rsid w:val="003A2FB7"/>
    <w:rsid w:val="003A32C0"/>
    <w:rsid w:val="003A3EDA"/>
    <w:rsid w:val="003A459E"/>
    <w:rsid w:val="003A4F9D"/>
    <w:rsid w:val="003A4FC2"/>
    <w:rsid w:val="003A556E"/>
    <w:rsid w:val="003A6840"/>
    <w:rsid w:val="003A6B6E"/>
    <w:rsid w:val="003A7703"/>
    <w:rsid w:val="003A7939"/>
    <w:rsid w:val="003B0566"/>
    <w:rsid w:val="003B05CE"/>
    <w:rsid w:val="003B0FD0"/>
    <w:rsid w:val="003B10E4"/>
    <w:rsid w:val="003B1199"/>
    <w:rsid w:val="003B1D07"/>
    <w:rsid w:val="003B28E2"/>
    <w:rsid w:val="003B4C92"/>
    <w:rsid w:val="003B6351"/>
    <w:rsid w:val="003B65DE"/>
    <w:rsid w:val="003B6C56"/>
    <w:rsid w:val="003B6D6D"/>
    <w:rsid w:val="003C1D06"/>
    <w:rsid w:val="003C2346"/>
    <w:rsid w:val="003C2B9E"/>
    <w:rsid w:val="003C3C93"/>
    <w:rsid w:val="003C3FCC"/>
    <w:rsid w:val="003C41FC"/>
    <w:rsid w:val="003C4784"/>
    <w:rsid w:val="003C498D"/>
    <w:rsid w:val="003C517F"/>
    <w:rsid w:val="003C53A9"/>
    <w:rsid w:val="003C5E7D"/>
    <w:rsid w:val="003C646A"/>
    <w:rsid w:val="003C6657"/>
    <w:rsid w:val="003C69C0"/>
    <w:rsid w:val="003C6BDD"/>
    <w:rsid w:val="003D0B57"/>
    <w:rsid w:val="003D1E10"/>
    <w:rsid w:val="003D2FA4"/>
    <w:rsid w:val="003D3135"/>
    <w:rsid w:val="003D6927"/>
    <w:rsid w:val="003D7492"/>
    <w:rsid w:val="003E0D93"/>
    <w:rsid w:val="003E1048"/>
    <w:rsid w:val="003E2C2B"/>
    <w:rsid w:val="003E2C98"/>
    <w:rsid w:val="003E2DBE"/>
    <w:rsid w:val="003E2F2D"/>
    <w:rsid w:val="003E39F5"/>
    <w:rsid w:val="003E491D"/>
    <w:rsid w:val="003E4B42"/>
    <w:rsid w:val="003E5473"/>
    <w:rsid w:val="003E621E"/>
    <w:rsid w:val="003E64F6"/>
    <w:rsid w:val="003E79D8"/>
    <w:rsid w:val="003F08E5"/>
    <w:rsid w:val="003F1E8F"/>
    <w:rsid w:val="003F268C"/>
    <w:rsid w:val="003F2A4F"/>
    <w:rsid w:val="003F2DF3"/>
    <w:rsid w:val="003F3BE2"/>
    <w:rsid w:val="003F497B"/>
    <w:rsid w:val="003F4AE8"/>
    <w:rsid w:val="003F590D"/>
    <w:rsid w:val="003F5D4F"/>
    <w:rsid w:val="003F5E5D"/>
    <w:rsid w:val="003F7EFD"/>
    <w:rsid w:val="004000FA"/>
    <w:rsid w:val="00400754"/>
    <w:rsid w:val="00402955"/>
    <w:rsid w:val="004033DD"/>
    <w:rsid w:val="004037F9"/>
    <w:rsid w:val="004040C0"/>
    <w:rsid w:val="004040E3"/>
    <w:rsid w:val="00404334"/>
    <w:rsid w:val="004043DE"/>
    <w:rsid w:val="0040495B"/>
    <w:rsid w:val="00404B46"/>
    <w:rsid w:val="004051E8"/>
    <w:rsid w:val="00405B6A"/>
    <w:rsid w:val="004060BE"/>
    <w:rsid w:val="004061F0"/>
    <w:rsid w:val="0040728F"/>
    <w:rsid w:val="00407AEA"/>
    <w:rsid w:val="0041081C"/>
    <w:rsid w:val="004113AB"/>
    <w:rsid w:val="00411C6D"/>
    <w:rsid w:val="004127EA"/>
    <w:rsid w:val="004135AE"/>
    <w:rsid w:val="00414B31"/>
    <w:rsid w:val="00415AE6"/>
    <w:rsid w:val="00415EBF"/>
    <w:rsid w:val="00416E37"/>
    <w:rsid w:val="00417C54"/>
    <w:rsid w:val="00417E4F"/>
    <w:rsid w:val="00420DFC"/>
    <w:rsid w:val="00421BAB"/>
    <w:rsid w:val="00422327"/>
    <w:rsid w:val="00422CFE"/>
    <w:rsid w:val="00424A8A"/>
    <w:rsid w:val="00425C9C"/>
    <w:rsid w:val="004266E9"/>
    <w:rsid w:val="004268A3"/>
    <w:rsid w:val="004273B4"/>
    <w:rsid w:val="0042749F"/>
    <w:rsid w:val="0043075E"/>
    <w:rsid w:val="00430E00"/>
    <w:rsid w:val="00430EA3"/>
    <w:rsid w:val="00431084"/>
    <w:rsid w:val="0043148A"/>
    <w:rsid w:val="0043193C"/>
    <w:rsid w:val="00431975"/>
    <w:rsid w:val="00431C86"/>
    <w:rsid w:val="00431F69"/>
    <w:rsid w:val="00432716"/>
    <w:rsid w:val="0043383F"/>
    <w:rsid w:val="004345F3"/>
    <w:rsid w:val="00434859"/>
    <w:rsid w:val="00435AB5"/>
    <w:rsid w:val="00437234"/>
    <w:rsid w:val="004373E3"/>
    <w:rsid w:val="00437471"/>
    <w:rsid w:val="00440392"/>
    <w:rsid w:val="0044083D"/>
    <w:rsid w:val="004419A1"/>
    <w:rsid w:val="004427D1"/>
    <w:rsid w:val="00442B73"/>
    <w:rsid w:val="00443A6D"/>
    <w:rsid w:val="00444F29"/>
    <w:rsid w:val="0044575E"/>
    <w:rsid w:val="004459C6"/>
    <w:rsid w:val="00445B4C"/>
    <w:rsid w:val="00446314"/>
    <w:rsid w:val="0044659C"/>
    <w:rsid w:val="004470D5"/>
    <w:rsid w:val="00447C1E"/>
    <w:rsid w:val="00450E3A"/>
    <w:rsid w:val="00451B00"/>
    <w:rsid w:val="00451DEC"/>
    <w:rsid w:val="00452695"/>
    <w:rsid w:val="00452E03"/>
    <w:rsid w:val="00454428"/>
    <w:rsid w:val="00454566"/>
    <w:rsid w:val="00455066"/>
    <w:rsid w:val="00455134"/>
    <w:rsid w:val="004600D7"/>
    <w:rsid w:val="00461296"/>
    <w:rsid w:val="00462B00"/>
    <w:rsid w:val="00462C4E"/>
    <w:rsid w:val="00463375"/>
    <w:rsid w:val="0046423B"/>
    <w:rsid w:val="004643E9"/>
    <w:rsid w:val="0046729D"/>
    <w:rsid w:val="004677BE"/>
    <w:rsid w:val="004708FD"/>
    <w:rsid w:val="004714B1"/>
    <w:rsid w:val="004718AC"/>
    <w:rsid w:val="00471B06"/>
    <w:rsid w:val="00472A8F"/>
    <w:rsid w:val="00472B34"/>
    <w:rsid w:val="00472B37"/>
    <w:rsid w:val="00472D01"/>
    <w:rsid w:val="00472E23"/>
    <w:rsid w:val="00474678"/>
    <w:rsid w:val="00474A8E"/>
    <w:rsid w:val="00474C8A"/>
    <w:rsid w:val="0047508F"/>
    <w:rsid w:val="004752E2"/>
    <w:rsid w:val="0047544E"/>
    <w:rsid w:val="0047561A"/>
    <w:rsid w:val="00476676"/>
    <w:rsid w:val="00477544"/>
    <w:rsid w:val="00477E91"/>
    <w:rsid w:val="00480162"/>
    <w:rsid w:val="0048146B"/>
    <w:rsid w:val="00481BF7"/>
    <w:rsid w:val="004825EE"/>
    <w:rsid w:val="00482F99"/>
    <w:rsid w:val="004835E1"/>
    <w:rsid w:val="00483781"/>
    <w:rsid w:val="00483CCC"/>
    <w:rsid w:val="00483F2C"/>
    <w:rsid w:val="004846C4"/>
    <w:rsid w:val="00484E15"/>
    <w:rsid w:val="00485528"/>
    <w:rsid w:val="00486C37"/>
    <w:rsid w:val="00487E40"/>
    <w:rsid w:val="00490416"/>
    <w:rsid w:val="004940DD"/>
    <w:rsid w:val="00494219"/>
    <w:rsid w:val="004946B4"/>
    <w:rsid w:val="00494A82"/>
    <w:rsid w:val="00494B1D"/>
    <w:rsid w:val="0049520F"/>
    <w:rsid w:val="00495B1E"/>
    <w:rsid w:val="00495F4E"/>
    <w:rsid w:val="004A0EC7"/>
    <w:rsid w:val="004A223B"/>
    <w:rsid w:val="004A2944"/>
    <w:rsid w:val="004A298F"/>
    <w:rsid w:val="004A2D34"/>
    <w:rsid w:val="004A2F08"/>
    <w:rsid w:val="004A3E29"/>
    <w:rsid w:val="004A48CA"/>
    <w:rsid w:val="004A543C"/>
    <w:rsid w:val="004A57B2"/>
    <w:rsid w:val="004A5B92"/>
    <w:rsid w:val="004A6286"/>
    <w:rsid w:val="004A6581"/>
    <w:rsid w:val="004B03AA"/>
    <w:rsid w:val="004B1D50"/>
    <w:rsid w:val="004B20E9"/>
    <w:rsid w:val="004B2B6D"/>
    <w:rsid w:val="004B46EC"/>
    <w:rsid w:val="004B52A6"/>
    <w:rsid w:val="004B5CE0"/>
    <w:rsid w:val="004C0066"/>
    <w:rsid w:val="004C2842"/>
    <w:rsid w:val="004C2E49"/>
    <w:rsid w:val="004C4B63"/>
    <w:rsid w:val="004C50AE"/>
    <w:rsid w:val="004C615B"/>
    <w:rsid w:val="004C6693"/>
    <w:rsid w:val="004C68D8"/>
    <w:rsid w:val="004C69A7"/>
    <w:rsid w:val="004C6A48"/>
    <w:rsid w:val="004C71D6"/>
    <w:rsid w:val="004C7F3D"/>
    <w:rsid w:val="004D04AD"/>
    <w:rsid w:val="004D050F"/>
    <w:rsid w:val="004D1FDB"/>
    <w:rsid w:val="004D3638"/>
    <w:rsid w:val="004D3D37"/>
    <w:rsid w:val="004D43D3"/>
    <w:rsid w:val="004D4AB8"/>
    <w:rsid w:val="004D5E86"/>
    <w:rsid w:val="004D632E"/>
    <w:rsid w:val="004D746B"/>
    <w:rsid w:val="004E0984"/>
    <w:rsid w:val="004E108D"/>
    <w:rsid w:val="004E10E7"/>
    <w:rsid w:val="004E11D8"/>
    <w:rsid w:val="004E134A"/>
    <w:rsid w:val="004E160F"/>
    <w:rsid w:val="004E1C36"/>
    <w:rsid w:val="004E2A81"/>
    <w:rsid w:val="004E2F20"/>
    <w:rsid w:val="004E3B20"/>
    <w:rsid w:val="004E3D3E"/>
    <w:rsid w:val="004E4959"/>
    <w:rsid w:val="004E5D8C"/>
    <w:rsid w:val="004E5F80"/>
    <w:rsid w:val="004E61FA"/>
    <w:rsid w:val="004E6BFA"/>
    <w:rsid w:val="004E6F27"/>
    <w:rsid w:val="004E72D3"/>
    <w:rsid w:val="004E7651"/>
    <w:rsid w:val="004E7819"/>
    <w:rsid w:val="004E7FD0"/>
    <w:rsid w:val="004F01E0"/>
    <w:rsid w:val="004F046F"/>
    <w:rsid w:val="004F0CE9"/>
    <w:rsid w:val="004F2540"/>
    <w:rsid w:val="004F2F54"/>
    <w:rsid w:val="004F345B"/>
    <w:rsid w:val="004F4886"/>
    <w:rsid w:val="004F5182"/>
    <w:rsid w:val="004F58CC"/>
    <w:rsid w:val="004F5CC0"/>
    <w:rsid w:val="004F6EDF"/>
    <w:rsid w:val="004F6F4B"/>
    <w:rsid w:val="004F72C7"/>
    <w:rsid w:val="004F77ED"/>
    <w:rsid w:val="004F7A78"/>
    <w:rsid w:val="005007AB"/>
    <w:rsid w:val="00501357"/>
    <w:rsid w:val="0050255B"/>
    <w:rsid w:val="005025FB"/>
    <w:rsid w:val="00502FDE"/>
    <w:rsid w:val="00503865"/>
    <w:rsid w:val="00503920"/>
    <w:rsid w:val="00503944"/>
    <w:rsid w:val="00503F52"/>
    <w:rsid w:val="00505511"/>
    <w:rsid w:val="00505C81"/>
    <w:rsid w:val="00506C5C"/>
    <w:rsid w:val="00506D32"/>
    <w:rsid w:val="005071FE"/>
    <w:rsid w:val="005072CD"/>
    <w:rsid w:val="00510518"/>
    <w:rsid w:val="0051085D"/>
    <w:rsid w:val="00510AEF"/>
    <w:rsid w:val="00511375"/>
    <w:rsid w:val="00511668"/>
    <w:rsid w:val="00511934"/>
    <w:rsid w:val="005121D4"/>
    <w:rsid w:val="0051291B"/>
    <w:rsid w:val="00512A64"/>
    <w:rsid w:val="00512C6B"/>
    <w:rsid w:val="00512D34"/>
    <w:rsid w:val="005130EE"/>
    <w:rsid w:val="00513BE7"/>
    <w:rsid w:val="005206B0"/>
    <w:rsid w:val="00520761"/>
    <w:rsid w:val="00520864"/>
    <w:rsid w:val="00520A94"/>
    <w:rsid w:val="00520EDE"/>
    <w:rsid w:val="00521FF1"/>
    <w:rsid w:val="00522599"/>
    <w:rsid w:val="00522639"/>
    <w:rsid w:val="005234BE"/>
    <w:rsid w:val="00523C22"/>
    <w:rsid w:val="00524943"/>
    <w:rsid w:val="0052558F"/>
    <w:rsid w:val="005261F3"/>
    <w:rsid w:val="005266CA"/>
    <w:rsid w:val="005272E9"/>
    <w:rsid w:val="00527B14"/>
    <w:rsid w:val="00530848"/>
    <w:rsid w:val="00531482"/>
    <w:rsid w:val="00531671"/>
    <w:rsid w:val="00531CD0"/>
    <w:rsid w:val="00532B16"/>
    <w:rsid w:val="005358BC"/>
    <w:rsid w:val="005364A3"/>
    <w:rsid w:val="00536557"/>
    <w:rsid w:val="0053713F"/>
    <w:rsid w:val="0054002F"/>
    <w:rsid w:val="00540140"/>
    <w:rsid w:val="00540608"/>
    <w:rsid w:val="00540A8E"/>
    <w:rsid w:val="005418B2"/>
    <w:rsid w:val="00542038"/>
    <w:rsid w:val="00542051"/>
    <w:rsid w:val="00542C4F"/>
    <w:rsid w:val="00543790"/>
    <w:rsid w:val="00544100"/>
    <w:rsid w:val="00544566"/>
    <w:rsid w:val="005445BE"/>
    <w:rsid w:val="005447C3"/>
    <w:rsid w:val="00545890"/>
    <w:rsid w:val="00546DCF"/>
    <w:rsid w:val="0054776B"/>
    <w:rsid w:val="00550A3B"/>
    <w:rsid w:val="00550E21"/>
    <w:rsid w:val="005511C9"/>
    <w:rsid w:val="0055158F"/>
    <w:rsid w:val="005516A3"/>
    <w:rsid w:val="005524A2"/>
    <w:rsid w:val="00553867"/>
    <w:rsid w:val="0055478F"/>
    <w:rsid w:val="005547E1"/>
    <w:rsid w:val="00556850"/>
    <w:rsid w:val="005601C3"/>
    <w:rsid w:val="00560A01"/>
    <w:rsid w:val="00562ADF"/>
    <w:rsid w:val="00563EAF"/>
    <w:rsid w:val="00564EC4"/>
    <w:rsid w:val="00564F6F"/>
    <w:rsid w:val="0056518C"/>
    <w:rsid w:val="005652F2"/>
    <w:rsid w:val="00565D5B"/>
    <w:rsid w:val="005665BE"/>
    <w:rsid w:val="0056721C"/>
    <w:rsid w:val="005674F7"/>
    <w:rsid w:val="005676E1"/>
    <w:rsid w:val="00567DE7"/>
    <w:rsid w:val="005705E9"/>
    <w:rsid w:val="00570966"/>
    <w:rsid w:val="005721E3"/>
    <w:rsid w:val="005739A5"/>
    <w:rsid w:val="00573FDD"/>
    <w:rsid w:val="00574D72"/>
    <w:rsid w:val="00577999"/>
    <w:rsid w:val="00580507"/>
    <w:rsid w:val="0058064B"/>
    <w:rsid w:val="00581999"/>
    <w:rsid w:val="00581E1A"/>
    <w:rsid w:val="00581E48"/>
    <w:rsid w:val="00581F7D"/>
    <w:rsid w:val="005824B9"/>
    <w:rsid w:val="005827E8"/>
    <w:rsid w:val="005838C3"/>
    <w:rsid w:val="00583DDE"/>
    <w:rsid w:val="0058592F"/>
    <w:rsid w:val="00585D92"/>
    <w:rsid w:val="00585DFD"/>
    <w:rsid w:val="00586660"/>
    <w:rsid w:val="0058689F"/>
    <w:rsid w:val="00586F6C"/>
    <w:rsid w:val="00587B0F"/>
    <w:rsid w:val="00591112"/>
    <w:rsid w:val="005912FB"/>
    <w:rsid w:val="005917B8"/>
    <w:rsid w:val="00591AD7"/>
    <w:rsid w:val="00591B14"/>
    <w:rsid w:val="00591D5E"/>
    <w:rsid w:val="00593620"/>
    <w:rsid w:val="005940EB"/>
    <w:rsid w:val="005941E7"/>
    <w:rsid w:val="0059545A"/>
    <w:rsid w:val="005955C7"/>
    <w:rsid w:val="00596675"/>
    <w:rsid w:val="005967BB"/>
    <w:rsid w:val="00596896"/>
    <w:rsid w:val="00596D9B"/>
    <w:rsid w:val="00596DD3"/>
    <w:rsid w:val="005A0C2E"/>
    <w:rsid w:val="005A0DC4"/>
    <w:rsid w:val="005A1FC7"/>
    <w:rsid w:val="005A3F80"/>
    <w:rsid w:val="005A4F79"/>
    <w:rsid w:val="005A518C"/>
    <w:rsid w:val="005A598F"/>
    <w:rsid w:val="005A72D1"/>
    <w:rsid w:val="005A7817"/>
    <w:rsid w:val="005B0796"/>
    <w:rsid w:val="005B126A"/>
    <w:rsid w:val="005B172E"/>
    <w:rsid w:val="005B1E15"/>
    <w:rsid w:val="005B2A87"/>
    <w:rsid w:val="005B2B27"/>
    <w:rsid w:val="005B2F4C"/>
    <w:rsid w:val="005B5A74"/>
    <w:rsid w:val="005C04BB"/>
    <w:rsid w:val="005C1028"/>
    <w:rsid w:val="005C143A"/>
    <w:rsid w:val="005C15DC"/>
    <w:rsid w:val="005C286E"/>
    <w:rsid w:val="005C2D02"/>
    <w:rsid w:val="005C33B4"/>
    <w:rsid w:val="005C3960"/>
    <w:rsid w:val="005C41CF"/>
    <w:rsid w:val="005C423C"/>
    <w:rsid w:val="005C4857"/>
    <w:rsid w:val="005C4961"/>
    <w:rsid w:val="005C4ACF"/>
    <w:rsid w:val="005C50FC"/>
    <w:rsid w:val="005C54B0"/>
    <w:rsid w:val="005C58AF"/>
    <w:rsid w:val="005C62AC"/>
    <w:rsid w:val="005C6321"/>
    <w:rsid w:val="005C66BD"/>
    <w:rsid w:val="005C6AF3"/>
    <w:rsid w:val="005C771E"/>
    <w:rsid w:val="005C7A1D"/>
    <w:rsid w:val="005D021A"/>
    <w:rsid w:val="005D06F9"/>
    <w:rsid w:val="005D0A61"/>
    <w:rsid w:val="005D0D92"/>
    <w:rsid w:val="005D0DEB"/>
    <w:rsid w:val="005D12F0"/>
    <w:rsid w:val="005D15A9"/>
    <w:rsid w:val="005D2CAD"/>
    <w:rsid w:val="005D3F77"/>
    <w:rsid w:val="005D4603"/>
    <w:rsid w:val="005D521A"/>
    <w:rsid w:val="005D532E"/>
    <w:rsid w:val="005D604B"/>
    <w:rsid w:val="005D61D8"/>
    <w:rsid w:val="005D6E6C"/>
    <w:rsid w:val="005D7CF3"/>
    <w:rsid w:val="005E0A1A"/>
    <w:rsid w:val="005E1392"/>
    <w:rsid w:val="005E22A5"/>
    <w:rsid w:val="005E292E"/>
    <w:rsid w:val="005E3013"/>
    <w:rsid w:val="005E3FDB"/>
    <w:rsid w:val="005E4050"/>
    <w:rsid w:val="005E42B3"/>
    <w:rsid w:val="005E64F2"/>
    <w:rsid w:val="005E6A3C"/>
    <w:rsid w:val="005E7063"/>
    <w:rsid w:val="005E7156"/>
    <w:rsid w:val="005E7295"/>
    <w:rsid w:val="005E730D"/>
    <w:rsid w:val="005E78B0"/>
    <w:rsid w:val="005E7AEF"/>
    <w:rsid w:val="005E7EA4"/>
    <w:rsid w:val="005F0A77"/>
    <w:rsid w:val="005F1617"/>
    <w:rsid w:val="005F1989"/>
    <w:rsid w:val="005F2D11"/>
    <w:rsid w:val="005F2D36"/>
    <w:rsid w:val="005F2F63"/>
    <w:rsid w:val="005F31C0"/>
    <w:rsid w:val="005F42C6"/>
    <w:rsid w:val="005F43D7"/>
    <w:rsid w:val="005F473D"/>
    <w:rsid w:val="005F507F"/>
    <w:rsid w:val="005F5264"/>
    <w:rsid w:val="005F52F7"/>
    <w:rsid w:val="005F5492"/>
    <w:rsid w:val="005F5FFE"/>
    <w:rsid w:val="005F6830"/>
    <w:rsid w:val="005F6B82"/>
    <w:rsid w:val="005F7A59"/>
    <w:rsid w:val="005F7C5A"/>
    <w:rsid w:val="005F7F94"/>
    <w:rsid w:val="006006D6"/>
    <w:rsid w:val="00600B7F"/>
    <w:rsid w:val="00600F05"/>
    <w:rsid w:val="00601563"/>
    <w:rsid w:val="00601AFD"/>
    <w:rsid w:val="006033EB"/>
    <w:rsid w:val="0060364B"/>
    <w:rsid w:val="00603FF7"/>
    <w:rsid w:val="00604BE2"/>
    <w:rsid w:val="006054C7"/>
    <w:rsid w:val="006059DF"/>
    <w:rsid w:val="00605B15"/>
    <w:rsid w:val="006064A8"/>
    <w:rsid w:val="00606A4B"/>
    <w:rsid w:val="00606D8F"/>
    <w:rsid w:val="00606DF2"/>
    <w:rsid w:val="0060707B"/>
    <w:rsid w:val="00607720"/>
    <w:rsid w:val="00607878"/>
    <w:rsid w:val="00607F01"/>
    <w:rsid w:val="00613564"/>
    <w:rsid w:val="00614DBE"/>
    <w:rsid w:val="006159B7"/>
    <w:rsid w:val="00616358"/>
    <w:rsid w:val="0061708B"/>
    <w:rsid w:val="006172EB"/>
    <w:rsid w:val="00617B1B"/>
    <w:rsid w:val="00620AF2"/>
    <w:rsid w:val="00620ED4"/>
    <w:rsid w:val="0062182F"/>
    <w:rsid w:val="00621D8F"/>
    <w:rsid w:val="0062229A"/>
    <w:rsid w:val="00622409"/>
    <w:rsid w:val="0062241E"/>
    <w:rsid w:val="006226A2"/>
    <w:rsid w:val="006228E2"/>
    <w:rsid w:val="00622D62"/>
    <w:rsid w:val="00624242"/>
    <w:rsid w:val="00624F82"/>
    <w:rsid w:val="0062567E"/>
    <w:rsid w:val="00625D82"/>
    <w:rsid w:val="00626133"/>
    <w:rsid w:val="00626691"/>
    <w:rsid w:val="00627391"/>
    <w:rsid w:val="00630AC9"/>
    <w:rsid w:val="00630C90"/>
    <w:rsid w:val="00631FC2"/>
    <w:rsid w:val="0063244C"/>
    <w:rsid w:val="00633C55"/>
    <w:rsid w:val="00633D36"/>
    <w:rsid w:val="00634425"/>
    <w:rsid w:val="00634E66"/>
    <w:rsid w:val="0063613D"/>
    <w:rsid w:val="0063641B"/>
    <w:rsid w:val="0063688D"/>
    <w:rsid w:val="00636E00"/>
    <w:rsid w:val="00636EE2"/>
    <w:rsid w:val="0064031A"/>
    <w:rsid w:val="00640767"/>
    <w:rsid w:val="00640F7D"/>
    <w:rsid w:val="0064131D"/>
    <w:rsid w:val="006414E9"/>
    <w:rsid w:val="00641FFA"/>
    <w:rsid w:val="0064215F"/>
    <w:rsid w:val="0064229A"/>
    <w:rsid w:val="006469D1"/>
    <w:rsid w:val="00646DDA"/>
    <w:rsid w:val="00647822"/>
    <w:rsid w:val="0065006B"/>
    <w:rsid w:val="00650D99"/>
    <w:rsid w:val="00650EBF"/>
    <w:rsid w:val="00651327"/>
    <w:rsid w:val="00651894"/>
    <w:rsid w:val="00651B9E"/>
    <w:rsid w:val="00652388"/>
    <w:rsid w:val="0065358D"/>
    <w:rsid w:val="00655BB6"/>
    <w:rsid w:val="00655D39"/>
    <w:rsid w:val="0065657E"/>
    <w:rsid w:val="006566CC"/>
    <w:rsid w:val="00657C36"/>
    <w:rsid w:val="0066069C"/>
    <w:rsid w:val="00661039"/>
    <w:rsid w:val="00661AF9"/>
    <w:rsid w:val="00661B51"/>
    <w:rsid w:val="00663354"/>
    <w:rsid w:val="00663814"/>
    <w:rsid w:val="00663AEB"/>
    <w:rsid w:val="00663C99"/>
    <w:rsid w:val="00664522"/>
    <w:rsid w:val="00664AD0"/>
    <w:rsid w:val="00664C7C"/>
    <w:rsid w:val="0066583A"/>
    <w:rsid w:val="00665B4D"/>
    <w:rsid w:val="00665D78"/>
    <w:rsid w:val="00666462"/>
    <w:rsid w:val="0066688F"/>
    <w:rsid w:val="00666F6E"/>
    <w:rsid w:val="00671C8C"/>
    <w:rsid w:val="00673E6A"/>
    <w:rsid w:val="006752DD"/>
    <w:rsid w:val="00675EDB"/>
    <w:rsid w:val="006768A6"/>
    <w:rsid w:val="00676B8D"/>
    <w:rsid w:val="00676E0C"/>
    <w:rsid w:val="00676E4D"/>
    <w:rsid w:val="00677034"/>
    <w:rsid w:val="00677BA1"/>
    <w:rsid w:val="00677CDA"/>
    <w:rsid w:val="0068067E"/>
    <w:rsid w:val="0068097B"/>
    <w:rsid w:val="00682090"/>
    <w:rsid w:val="00682EF9"/>
    <w:rsid w:val="0068319C"/>
    <w:rsid w:val="006839AF"/>
    <w:rsid w:val="00684494"/>
    <w:rsid w:val="00686481"/>
    <w:rsid w:val="00686BB3"/>
    <w:rsid w:val="00687C66"/>
    <w:rsid w:val="00691940"/>
    <w:rsid w:val="006929FB"/>
    <w:rsid w:val="00693746"/>
    <w:rsid w:val="00694161"/>
    <w:rsid w:val="00694A12"/>
    <w:rsid w:val="00695911"/>
    <w:rsid w:val="0069604B"/>
    <w:rsid w:val="00696160"/>
    <w:rsid w:val="006962CF"/>
    <w:rsid w:val="00696634"/>
    <w:rsid w:val="006A069F"/>
    <w:rsid w:val="006A0B26"/>
    <w:rsid w:val="006A131B"/>
    <w:rsid w:val="006A1D0B"/>
    <w:rsid w:val="006A30C2"/>
    <w:rsid w:val="006A3E01"/>
    <w:rsid w:val="006A4E35"/>
    <w:rsid w:val="006A5FA9"/>
    <w:rsid w:val="006A6E43"/>
    <w:rsid w:val="006A7A14"/>
    <w:rsid w:val="006A7F48"/>
    <w:rsid w:val="006B005F"/>
    <w:rsid w:val="006B0D6C"/>
    <w:rsid w:val="006B1048"/>
    <w:rsid w:val="006B1516"/>
    <w:rsid w:val="006B2171"/>
    <w:rsid w:val="006B22CD"/>
    <w:rsid w:val="006B2A1B"/>
    <w:rsid w:val="006B2B78"/>
    <w:rsid w:val="006B3A18"/>
    <w:rsid w:val="006B3BF8"/>
    <w:rsid w:val="006B4BFE"/>
    <w:rsid w:val="006B5B2D"/>
    <w:rsid w:val="006C0F33"/>
    <w:rsid w:val="006C2A01"/>
    <w:rsid w:val="006C2B18"/>
    <w:rsid w:val="006C2D07"/>
    <w:rsid w:val="006C3D60"/>
    <w:rsid w:val="006C48D4"/>
    <w:rsid w:val="006C4919"/>
    <w:rsid w:val="006C4942"/>
    <w:rsid w:val="006C4BE5"/>
    <w:rsid w:val="006C5470"/>
    <w:rsid w:val="006C571B"/>
    <w:rsid w:val="006C6014"/>
    <w:rsid w:val="006C60D2"/>
    <w:rsid w:val="006C633F"/>
    <w:rsid w:val="006C6C38"/>
    <w:rsid w:val="006C6F61"/>
    <w:rsid w:val="006C7186"/>
    <w:rsid w:val="006D0EAD"/>
    <w:rsid w:val="006D0FF5"/>
    <w:rsid w:val="006D1560"/>
    <w:rsid w:val="006D2901"/>
    <w:rsid w:val="006D4339"/>
    <w:rsid w:val="006D4AE1"/>
    <w:rsid w:val="006D5ABA"/>
    <w:rsid w:val="006D5D1F"/>
    <w:rsid w:val="006D6B2A"/>
    <w:rsid w:val="006D7116"/>
    <w:rsid w:val="006D77E0"/>
    <w:rsid w:val="006D7835"/>
    <w:rsid w:val="006D7F88"/>
    <w:rsid w:val="006E1050"/>
    <w:rsid w:val="006E1C5F"/>
    <w:rsid w:val="006E367B"/>
    <w:rsid w:val="006E37D3"/>
    <w:rsid w:val="006E3DB9"/>
    <w:rsid w:val="006E475D"/>
    <w:rsid w:val="006E4822"/>
    <w:rsid w:val="006E4AC6"/>
    <w:rsid w:val="006E4B7F"/>
    <w:rsid w:val="006E4FB6"/>
    <w:rsid w:val="006E504D"/>
    <w:rsid w:val="006E5418"/>
    <w:rsid w:val="006E5E54"/>
    <w:rsid w:val="006E7AB7"/>
    <w:rsid w:val="006F05C3"/>
    <w:rsid w:val="006F0AFB"/>
    <w:rsid w:val="006F0E31"/>
    <w:rsid w:val="006F15B1"/>
    <w:rsid w:val="006F174B"/>
    <w:rsid w:val="006F1D4B"/>
    <w:rsid w:val="006F2E65"/>
    <w:rsid w:val="006F3032"/>
    <w:rsid w:val="006F346E"/>
    <w:rsid w:val="006F5B38"/>
    <w:rsid w:val="006F6A9F"/>
    <w:rsid w:val="0070001D"/>
    <w:rsid w:val="00700579"/>
    <w:rsid w:val="007006AB"/>
    <w:rsid w:val="00700A8B"/>
    <w:rsid w:val="00700F3B"/>
    <w:rsid w:val="00701AE5"/>
    <w:rsid w:val="00701E5A"/>
    <w:rsid w:val="00702279"/>
    <w:rsid w:val="00702822"/>
    <w:rsid w:val="0070367B"/>
    <w:rsid w:val="007044B4"/>
    <w:rsid w:val="00704B8A"/>
    <w:rsid w:val="00704E6E"/>
    <w:rsid w:val="0070660C"/>
    <w:rsid w:val="00706A17"/>
    <w:rsid w:val="00706EB1"/>
    <w:rsid w:val="00707ED6"/>
    <w:rsid w:val="00710AEF"/>
    <w:rsid w:val="00710CF7"/>
    <w:rsid w:val="00711392"/>
    <w:rsid w:val="007116A7"/>
    <w:rsid w:val="0071282D"/>
    <w:rsid w:val="007135AF"/>
    <w:rsid w:val="00713631"/>
    <w:rsid w:val="007136E9"/>
    <w:rsid w:val="0071373A"/>
    <w:rsid w:val="007138DD"/>
    <w:rsid w:val="0071658A"/>
    <w:rsid w:val="007172DC"/>
    <w:rsid w:val="00717835"/>
    <w:rsid w:val="00720489"/>
    <w:rsid w:val="007206E2"/>
    <w:rsid w:val="0072072E"/>
    <w:rsid w:val="00720BC7"/>
    <w:rsid w:val="007218D9"/>
    <w:rsid w:val="00722B78"/>
    <w:rsid w:val="00722F55"/>
    <w:rsid w:val="00723374"/>
    <w:rsid w:val="007237D5"/>
    <w:rsid w:val="00724AEA"/>
    <w:rsid w:val="00726C47"/>
    <w:rsid w:val="00727D69"/>
    <w:rsid w:val="007305E6"/>
    <w:rsid w:val="00730697"/>
    <w:rsid w:val="0073096B"/>
    <w:rsid w:val="007317BC"/>
    <w:rsid w:val="0073263B"/>
    <w:rsid w:val="007327CA"/>
    <w:rsid w:val="007329BC"/>
    <w:rsid w:val="007333D8"/>
    <w:rsid w:val="0073357B"/>
    <w:rsid w:val="00733A77"/>
    <w:rsid w:val="00734D74"/>
    <w:rsid w:val="0073696A"/>
    <w:rsid w:val="00736B8F"/>
    <w:rsid w:val="00736CE0"/>
    <w:rsid w:val="007377F1"/>
    <w:rsid w:val="007407E9"/>
    <w:rsid w:val="00740F5C"/>
    <w:rsid w:val="0074205E"/>
    <w:rsid w:val="00742246"/>
    <w:rsid w:val="007439F4"/>
    <w:rsid w:val="0074479F"/>
    <w:rsid w:val="007455CD"/>
    <w:rsid w:val="00745A77"/>
    <w:rsid w:val="00745F3B"/>
    <w:rsid w:val="00745F88"/>
    <w:rsid w:val="0074676D"/>
    <w:rsid w:val="00746993"/>
    <w:rsid w:val="00746CA9"/>
    <w:rsid w:val="00747267"/>
    <w:rsid w:val="007505B0"/>
    <w:rsid w:val="00750798"/>
    <w:rsid w:val="0075173E"/>
    <w:rsid w:val="00751946"/>
    <w:rsid w:val="0075255A"/>
    <w:rsid w:val="007532C9"/>
    <w:rsid w:val="00754954"/>
    <w:rsid w:val="00754981"/>
    <w:rsid w:val="00755ACF"/>
    <w:rsid w:val="00755FB9"/>
    <w:rsid w:val="00756119"/>
    <w:rsid w:val="00757106"/>
    <w:rsid w:val="007578A5"/>
    <w:rsid w:val="00760434"/>
    <w:rsid w:val="00760A61"/>
    <w:rsid w:val="00761877"/>
    <w:rsid w:val="00762258"/>
    <w:rsid w:val="007627C8"/>
    <w:rsid w:val="00762854"/>
    <w:rsid w:val="00763D19"/>
    <w:rsid w:val="00764433"/>
    <w:rsid w:val="00764AB6"/>
    <w:rsid w:val="00764B9D"/>
    <w:rsid w:val="00765980"/>
    <w:rsid w:val="00765DAC"/>
    <w:rsid w:val="007673A9"/>
    <w:rsid w:val="00767817"/>
    <w:rsid w:val="007704A9"/>
    <w:rsid w:val="00772250"/>
    <w:rsid w:val="00772867"/>
    <w:rsid w:val="00772B26"/>
    <w:rsid w:val="0077330C"/>
    <w:rsid w:val="00773C52"/>
    <w:rsid w:val="00773D69"/>
    <w:rsid w:val="00774098"/>
    <w:rsid w:val="00774700"/>
    <w:rsid w:val="00774EC7"/>
    <w:rsid w:val="00775716"/>
    <w:rsid w:val="00776135"/>
    <w:rsid w:val="00776D16"/>
    <w:rsid w:val="00776D2E"/>
    <w:rsid w:val="00780C94"/>
    <w:rsid w:val="00781172"/>
    <w:rsid w:val="007815A3"/>
    <w:rsid w:val="00783691"/>
    <w:rsid w:val="00783919"/>
    <w:rsid w:val="00783DA7"/>
    <w:rsid w:val="00784603"/>
    <w:rsid w:val="0078653A"/>
    <w:rsid w:val="00787FB5"/>
    <w:rsid w:val="00791591"/>
    <w:rsid w:val="00791D02"/>
    <w:rsid w:val="00792219"/>
    <w:rsid w:val="00792B56"/>
    <w:rsid w:val="00792C32"/>
    <w:rsid w:val="0079387D"/>
    <w:rsid w:val="00793F24"/>
    <w:rsid w:val="00794AFB"/>
    <w:rsid w:val="00796045"/>
    <w:rsid w:val="00797164"/>
    <w:rsid w:val="007A0017"/>
    <w:rsid w:val="007A238A"/>
    <w:rsid w:val="007A293E"/>
    <w:rsid w:val="007A2BBA"/>
    <w:rsid w:val="007A4167"/>
    <w:rsid w:val="007A56F0"/>
    <w:rsid w:val="007A576F"/>
    <w:rsid w:val="007A5CE9"/>
    <w:rsid w:val="007A5E7D"/>
    <w:rsid w:val="007A5EC1"/>
    <w:rsid w:val="007A7123"/>
    <w:rsid w:val="007B0003"/>
    <w:rsid w:val="007B008F"/>
    <w:rsid w:val="007B04EE"/>
    <w:rsid w:val="007B13FA"/>
    <w:rsid w:val="007B1511"/>
    <w:rsid w:val="007B17C2"/>
    <w:rsid w:val="007B3030"/>
    <w:rsid w:val="007B3264"/>
    <w:rsid w:val="007B32AD"/>
    <w:rsid w:val="007B3429"/>
    <w:rsid w:val="007B3AA3"/>
    <w:rsid w:val="007B4777"/>
    <w:rsid w:val="007B4A75"/>
    <w:rsid w:val="007B77BD"/>
    <w:rsid w:val="007C0BE8"/>
    <w:rsid w:val="007C0D2F"/>
    <w:rsid w:val="007C0EBF"/>
    <w:rsid w:val="007C2127"/>
    <w:rsid w:val="007C3179"/>
    <w:rsid w:val="007C31C5"/>
    <w:rsid w:val="007C3662"/>
    <w:rsid w:val="007C44DA"/>
    <w:rsid w:val="007C64A4"/>
    <w:rsid w:val="007C67DD"/>
    <w:rsid w:val="007C759A"/>
    <w:rsid w:val="007D0284"/>
    <w:rsid w:val="007D0685"/>
    <w:rsid w:val="007D09B9"/>
    <w:rsid w:val="007D1FBD"/>
    <w:rsid w:val="007D2A8A"/>
    <w:rsid w:val="007D3104"/>
    <w:rsid w:val="007D320C"/>
    <w:rsid w:val="007D3301"/>
    <w:rsid w:val="007D3409"/>
    <w:rsid w:val="007D46EC"/>
    <w:rsid w:val="007D4AE6"/>
    <w:rsid w:val="007D4D5F"/>
    <w:rsid w:val="007D5172"/>
    <w:rsid w:val="007D57C8"/>
    <w:rsid w:val="007D585D"/>
    <w:rsid w:val="007D5EE9"/>
    <w:rsid w:val="007D76FB"/>
    <w:rsid w:val="007E012D"/>
    <w:rsid w:val="007E0B9B"/>
    <w:rsid w:val="007E1822"/>
    <w:rsid w:val="007E1B71"/>
    <w:rsid w:val="007E213A"/>
    <w:rsid w:val="007E2447"/>
    <w:rsid w:val="007E2D0B"/>
    <w:rsid w:val="007E3170"/>
    <w:rsid w:val="007E4256"/>
    <w:rsid w:val="007E5364"/>
    <w:rsid w:val="007E5A6B"/>
    <w:rsid w:val="007E6BEB"/>
    <w:rsid w:val="007E7CC2"/>
    <w:rsid w:val="007F0A25"/>
    <w:rsid w:val="007F172C"/>
    <w:rsid w:val="007F26DF"/>
    <w:rsid w:val="007F2B2C"/>
    <w:rsid w:val="007F2B6A"/>
    <w:rsid w:val="007F5E47"/>
    <w:rsid w:val="007F6609"/>
    <w:rsid w:val="007F6B01"/>
    <w:rsid w:val="007F6FE3"/>
    <w:rsid w:val="007F7E17"/>
    <w:rsid w:val="00800EB9"/>
    <w:rsid w:val="00800EE9"/>
    <w:rsid w:val="00801786"/>
    <w:rsid w:val="0080197D"/>
    <w:rsid w:val="00802C73"/>
    <w:rsid w:val="00803F61"/>
    <w:rsid w:val="00804C79"/>
    <w:rsid w:val="00804F03"/>
    <w:rsid w:val="008050EE"/>
    <w:rsid w:val="00805E8B"/>
    <w:rsid w:val="008071C5"/>
    <w:rsid w:val="00810BB3"/>
    <w:rsid w:val="0081397D"/>
    <w:rsid w:val="00813EE2"/>
    <w:rsid w:val="00814DD6"/>
    <w:rsid w:val="00816EB4"/>
    <w:rsid w:val="0082083D"/>
    <w:rsid w:val="0082162A"/>
    <w:rsid w:val="00821AC8"/>
    <w:rsid w:val="00821E27"/>
    <w:rsid w:val="00822125"/>
    <w:rsid w:val="008221AA"/>
    <w:rsid w:val="00822980"/>
    <w:rsid w:val="00822CAF"/>
    <w:rsid w:val="00823838"/>
    <w:rsid w:val="008243F8"/>
    <w:rsid w:val="0082448C"/>
    <w:rsid w:val="00824A61"/>
    <w:rsid w:val="00826253"/>
    <w:rsid w:val="00826372"/>
    <w:rsid w:val="0082671D"/>
    <w:rsid w:val="00826DD8"/>
    <w:rsid w:val="008270DC"/>
    <w:rsid w:val="0082710F"/>
    <w:rsid w:val="00827970"/>
    <w:rsid w:val="008305EC"/>
    <w:rsid w:val="0083118E"/>
    <w:rsid w:val="00831228"/>
    <w:rsid w:val="00831EA7"/>
    <w:rsid w:val="008326A8"/>
    <w:rsid w:val="0083279F"/>
    <w:rsid w:val="00832C13"/>
    <w:rsid w:val="00833324"/>
    <w:rsid w:val="00834898"/>
    <w:rsid w:val="00834F51"/>
    <w:rsid w:val="00835147"/>
    <w:rsid w:val="00835A63"/>
    <w:rsid w:val="00835EF2"/>
    <w:rsid w:val="00835FDE"/>
    <w:rsid w:val="008377B5"/>
    <w:rsid w:val="008379F2"/>
    <w:rsid w:val="00837A0C"/>
    <w:rsid w:val="00837C2B"/>
    <w:rsid w:val="00841477"/>
    <w:rsid w:val="00842E02"/>
    <w:rsid w:val="00843122"/>
    <w:rsid w:val="00845CD6"/>
    <w:rsid w:val="00846C9F"/>
    <w:rsid w:val="008502C2"/>
    <w:rsid w:val="008506BE"/>
    <w:rsid w:val="008507EF"/>
    <w:rsid w:val="00850904"/>
    <w:rsid w:val="0085150E"/>
    <w:rsid w:val="0085172C"/>
    <w:rsid w:val="008525DD"/>
    <w:rsid w:val="008528D7"/>
    <w:rsid w:val="00853829"/>
    <w:rsid w:val="00853BF9"/>
    <w:rsid w:val="00856AB0"/>
    <w:rsid w:val="00856C65"/>
    <w:rsid w:val="0085728E"/>
    <w:rsid w:val="0086055C"/>
    <w:rsid w:val="00860802"/>
    <w:rsid w:val="00861FED"/>
    <w:rsid w:val="00862A3F"/>
    <w:rsid w:val="00862A63"/>
    <w:rsid w:val="008648BF"/>
    <w:rsid w:val="00864F28"/>
    <w:rsid w:val="008653D4"/>
    <w:rsid w:val="00865D5C"/>
    <w:rsid w:val="00866BAB"/>
    <w:rsid w:val="00866C1D"/>
    <w:rsid w:val="00867C20"/>
    <w:rsid w:val="00870BB1"/>
    <w:rsid w:val="0087187D"/>
    <w:rsid w:val="00871D76"/>
    <w:rsid w:val="00871E93"/>
    <w:rsid w:val="00872B95"/>
    <w:rsid w:val="008733D8"/>
    <w:rsid w:val="00873474"/>
    <w:rsid w:val="008745A8"/>
    <w:rsid w:val="00876642"/>
    <w:rsid w:val="00876F1E"/>
    <w:rsid w:val="00877147"/>
    <w:rsid w:val="00877226"/>
    <w:rsid w:val="00877DE9"/>
    <w:rsid w:val="008802AD"/>
    <w:rsid w:val="00881334"/>
    <w:rsid w:val="008814D8"/>
    <w:rsid w:val="0088245A"/>
    <w:rsid w:val="008832DB"/>
    <w:rsid w:val="008837D0"/>
    <w:rsid w:val="008847FB"/>
    <w:rsid w:val="00884B5C"/>
    <w:rsid w:val="0088500E"/>
    <w:rsid w:val="0088606B"/>
    <w:rsid w:val="008861BC"/>
    <w:rsid w:val="008861D2"/>
    <w:rsid w:val="008864EC"/>
    <w:rsid w:val="00886AC1"/>
    <w:rsid w:val="00886D1C"/>
    <w:rsid w:val="00886D91"/>
    <w:rsid w:val="008876AB"/>
    <w:rsid w:val="00887D6F"/>
    <w:rsid w:val="0089143D"/>
    <w:rsid w:val="008915FB"/>
    <w:rsid w:val="00891750"/>
    <w:rsid w:val="00892918"/>
    <w:rsid w:val="00892AF8"/>
    <w:rsid w:val="00892B05"/>
    <w:rsid w:val="008942E4"/>
    <w:rsid w:val="00894379"/>
    <w:rsid w:val="0089463F"/>
    <w:rsid w:val="0089577E"/>
    <w:rsid w:val="00895CB0"/>
    <w:rsid w:val="00897DE4"/>
    <w:rsid w:val="008A0CE2"/>
    <w:rsid w:val="008A104E"/>
    <w:rsid w:val="008A152F"/>
    <w:rsid w:val="008A1A85"/>
    <w:rsid w:val="008A1CE9"/>
    <w:rsid w:val="008A1E64"/>
    <w:rsid w:val="008A1F39"/>
    <w:rsid w:val="008A2948"/>
    <w:rsid w:val="008A3B52"/>
    <w:rsid w:val="008A4842"/>
    <w:rsid w:val="008A6851"/>
    <w:rsid w:val="008A7380"/>
    <w:rsid w:val="008B03BE"/>
    <w:rsid w:val="008B0F94"/>
    <w:rsid w:val="008B1A52"/>
    <w:rsid w:val="008B25E6"/>
    <w:rsid w:val="008B334B"/>
    <w:rsid w:val="008B3559"/>
    <w:rsid w:val="008B3FDA"/>
    <w:rsid w:val="008B410D"/>
    <w:rsid w:val="008B4683"/>
    <w:rsid w:val="008B472E"/>
    <w:rsid w:val="008B54EE"/>
    <w:rsid w:val="008B57A8"/>
    <w:rsid w:val="008B5CB2"/>
    <w:rsid w:val="008B5CBE"/>
    <w:rsid w:val="008C00B4"/>
    <w:rsid w:val="008C1668"/>
    <w:rsid w:val="008C2EB3"/>
    <w:rsid w:val="008C3B4E"/>
    <w:rsid w:val="008C3FAF"/>
    <w:rsid w:val="008C4036"/>
    <w:rsid w:val="008C41AB"/>
    <w:rsid w:val="008C4797"/>
    <w:rsid w:val="008C4E0F"/>
    <w:rsid w:val="008C6166"/>
    <w:rsid w:val="008C62AD"/>
    <w:rsid w:val="008C6BEB"/>
    <w:rsid w:val="008C7AC0"/>
    <w:rsid w:val="008D0723"/>
    <w:rsid w:val="008D0959"/>
    <w:rsid w:val="008D1717"/>
    <w:rsid w:val="008D174D"/>
    <w:rsid w:val="008D2039"/>
    <w:rsid w:val="008D2E1A"/>
    <w:rsid w:val="008D2FF6"/>
    <w:rsid w:val="008D4709"/>
    <w:rsid w:val="008D483E"/>
    <w:rsid w:val="008D554A"/>
    <w:rsid w:val="008D5C30"/>
    <w:rsid w:val="008D5DC5"/>
    <w:rsid w:val="008D6BB4"/>
    <w:rsid w:val="008D7D92"/>
    <w:rsid w:val="008E0925"/>
    <w:rsid w:val="008E1F5B"/>
    <w:rsid w:val="008E2903"/>
    <w:rsid w:val="008E2B05"/>
    <w:rsid w:val="008E2B44"/>
    <w:rsid w:val="008E493B"/>
    <w:rsid w:val="008E4D05"/>
    <w:rsid w:val="008E569D"/>
    <w:rsid w:val="008E56E6"/>
    <w:rsid w:val="008E5A27"/>
    <w:rsid w:val="008E64CE"/>
    <w:rsid w:val="008E7C50"/>
    <w:rsid w:val="008F0099"/>
    <w:rsid w:val="008F0605"/>
    <w:rsid w:val="008F0A60"/>
    <w:rsid w:val="008F1BEE"/>
    <w:rsid w:val="008F1D1F"/>
    <w:rsid w:val="008F2DEC"/>
    <w:rsid w:val="008F2F6B"/>
    <w:rsid w:val="008F3752"/>
    <w:rsid w:val="008F3F14"/>
    <w:rsid w:val="008F46DB"/>
    <w:rsid w:val="008F494C"/>
    <w:rsid w:val="008F5240"/>
    <w:rsid w:val="008F5BFC"/>
    <w:rsid w:val="008F7BCE"/>
    <w:rsid w:val="008F7DFF"/>
    <w:rsid w:val="009007FC"/>
    <w:rsid w:val="00901E95"/>
    <w:rsid w:val="00902E57"/>
    <w:rsid w:val="00903920"/>
    <w:rsid w:val="00903BBC"/>
    <w:rsid w:val="00904305"/>
    <w:rsid w:val="009046DD"/>
    <w:rsid w:val="0090482E"/>
    <w:rsid w:val="0090491A"/>
    <w:rsid w:val="0090493C"/>
    <w:rsid w:val="009049D1"/>
    <w:rsid w:val="00904A7F"/>
    <w:rsid w:val="00904B25"/>
    <w:rsid w:val="00904B63"/>
    <w:rsid w:val="00904B8C"/>
    <w:rsid w:val="00905A5F"/>
    <w:rsid w:val="00906220"/>
    <w:rsid w:val="009062BF"/>
    <w:rsid w:val="00906F7A"/>
    <w:rsid w:val="00907469"/>
    <w:rsid w:val="00907B8F"/>
    <w:rsid w:val="0091018C"/>
    <w:rsid w:val="00910330"/>
    <w:rsid w:val="00910824"/>
    <w:rsid w:val="00910CCC"/>
    <w:rsid w:val="00910E59"/>
    <w:rsid w:val="00911669"/>
    <w:rsid w:val="00911D30"/>
    <w:rsid w:val="00912A1A"/>
    <w:rsid w:val="00913166"/>
    <w:rsid w:val="00913DF0"/>
    <w:rsid w:val="009141DF"/>
    <w:rsid w:val="00916315"/>
    <w:rsid w:val="00916405"/>
    <w:rsid w:val="00917120"/>
    <w:rsid w:val="009171A0"/>
    <w:rsid w:val="00917530"/>
    <w:rsid w:val="009175AF"/>
    <w:rsid w:val="00920936"/>
    <w:rsid w:val="00920B77"/>
    <w:rsid w:val="00921A94"/>
    <w:rsid w:val="0092248C"/>
    <w:rsid w:val="00922DEC"/>
    <w:rsid w:val="00922FC1"/>
    <w:rsid w:val="009232EE"/>
    <w:rsid w:val="00923F25"/>
    <w:rsid w:val="0092466F"/>
    <w:rsid w:val="00925533"/>
    <w:rsid w:val="00925D56"/>
    <w:rsid w:val="0092640D"/>
    <w:rsid w:val="0092668F"/>
    <w:rsid w:val="00926D0A"/>
    <w:rsid w:val="00927177"/>
    <w:rsid w:val="00930156"/>
    <w:rsid w:val="009304C4"/>
    <w:rsid w:val="009309EE"/>
    <w:rsid w:val="00930FCC"/>
    <w:rsid w:val="00931527"/>
    <w:rsid w:val="009316B8"/>
    <w:rsid w:val="00933069"/>
    <w:rsid w:val="00934B8E"/>
    <w:rsid w:val="009361A2"/>
    <w:rsid w:val="009379DE"/>
    <w:rsid w:val="00937FC0"/>
    <w:rsid w:val="00940C00"/>
    <w:rsid w:val="00940D65"/>
    <w:rsid w:val="00940EC2"/>
    <w:rsid w:val="0094179F"/>
    <w:rsid w:val="00941AFA"/>
    <w:rsid w:val="00942A59"/>
    <w:rsid w:val="0094351C"/>
    <w:rsid w:val="0094368C"/>
    <w:rsid w:val="00944397"/>
    <w:rsid w:val="00944654"/>
    <w:rsid w:val="00944853"/>
    <w:rsid w:val="00945357"/>
    <w:rsid w:val="009500BC"/>
    <w:rsid w:val="009514BF"/>
    <w:rsid w:val="00951A11"/>
    <w:rsid w:val="009523C8"/>
    <w:rsid w:val="00953137"/>
    <w:rsid w:val="009536A2"/>
    <w:rsid w:val="00954676"/>
    <w:rsid w:val="00955181"/>
    <w:rsid w:val="00955212"/>
    <w:rsid w:val="00955C04"/>
    <w:rsid w:val="00956A9A"/>
    <w:rsid w:val="00956D8E"/>
    <w:rsid w:val="009575CF"/>
    <w:rsid w:val="0096022D"/>
    <w:rsid w:val="00960E70"/>
    <w:rsid w:val="00960EF6"/>
    <w:rsid w:val="00961994"/>
    <w:rsid w:val="00962A79"/>
    <w:rsid w:val="00962F5F"/>
    <w:rsid w:val="00963304"/>
    <w:rsid w:val="009636BF"/>
    <w:rsid w:val="0096431C"/>
    <w:rsid w:val="00964E59"/>
    <w:rsid w:val="009658CA"/>
    <w:rsid w:val="00965F9C"/>
    <w:rsid w:val="009666C0"/>
    <w:rsid w:val="00966860"/>
    <w:rsid w:val="00967F46"/>
    <w:rsid w:val="00970794"/>
    <w:rsid w:val="00971C3A"/>
    <w:rsid w:val="00972641"/>
    <w:rsid w:val="009727E2"/>
    <w:rsid w:val="00973A02"/>
    <w:rsid w:val="00973EF8"/>
    <w:rsid w:val="009749FB"/>
    <w:rsid w:val="00974A06"/>
    <w:rsid w:val="00974B18"/>
    <w:rsid w:val="009751DC"/>
    <w:rsid w:val="00975D62"/>
    <w:rsid w:val="009761EB"/>
    <w:rsid w:val="00977200"/>
    <w:rsid w:val="0097794D"/>
    <w:rsid w:val="00977C0D"/>
    <w:rsid w:val="00980270"/>
    <w:rsid w:val="00980D53"/>
    <w:rsid w:val="009810FB"/>
    <w:rsid w:val="00981759"/>
    <w:rsid w:val="0098306F"/>
    <w:rsid w:val="00983ECF"/>
    <w:rsid w:val="00983FCB"/>
    <w:rsid w:val="00984244"/>
    <w:rsid w:val="009846F1"/>
    <w:rsid w:val="00984976"/>
    <w:rsid w:val="00984D7A"/>
    <w:rsid w:val="00985089"/>
    <w:rsid w:val="009853F5"/>
    <w:rsid w:val="00985454"/>
    <w:rsid w:val="0098563F"/>
    <w:rsid w:val="009860E2"/>
    <w:rsid w:val="00986168"/>
    <w:rsid w:val="00986A71"/>
    <w:rsid w:val="00986CFB"/>
    <w:rsid w:val="00987BDE"/>
    <w:rsid w:val="0099071B"/>
    <w:rsid w:val="00990736"/>
    <w:rsid w:val="00990E83"/>
    <w:rsid w:val="00991650"/>
    <w:rsid w:val="00991EA1"/>
    <w:rsid w:val="00991FC3"/>
    <w:rsid w:val="00992CA5"/>
    <w:rsid w:val="00993BC1"/>
    <w:rsid w:val="00994206"/>
    <w:rsid w:val="00994582"/>
    <w:rsid w:val="00994791"/>
    <w:rsid w:val="00994BF3"/>
    <w:rsid w:val="009968BA"/>
    <w:rsid w:val="00997530"/>
    <w:rsid w:val="009A07D2"/>
    <w:rsid w:val="009A1758"/>
    <w:rsid w:val="009A187B"/>
    <w:rsid w:val="009A1CA0"/>
    <w:rsid w:val="009A20C2"/>
    <w:rsid w:val="009A2236"/>
    <w:rsid w:val="009A28AF"/>
    <w:rsid w:val="009A3AAC"/>
    <w:rsid w:val="009A3FFD"/>
    <w:rsid w:val="009A483E"/>
    <w:rsid w:val="009A5532"/>
    <w:rsid w:val="009A570C"/>
    <w:rsid w:val="009A5A09"/>
    <w:rsid w:val="009A6BE0"/>
    <w:rsid w:val="009A6E3B"/>
    <w:rsid w:val="009A7BE0"/>
    <w:rsid w:val="009A7FA0"/>
    <w:rsid w:val="009B0BC5"/>
    <w:rsid w:val="009B16A2"/>
    <w:rsid w:val="009B26CD"/>
    <w:rsid w:val="009B2E15"/>
    <w:rsid w:val="009B3919"/>
    <w:rsid w:val="009B4B0D"/>
    <w:rsid w:val="009B4F6F"/>
    <w:rsid w:val="009B538D"/>
    <w:rsid w:val="009B5AE9"/>
    <w:rsid w:val="009B6105"/>
    <w:rsid w:val="009B691B"/>
    <w:rsid w:val="009B7633"/>
    <w:rsid w:val="009C0596"/>
    <w:rsid w:val="009C1A67"/>
    <w:rsid w:val="009C2F34"/>
    <w:rsid w:val="009C32A5"/>
    <w:rsid w:val="009C4135"/>
    <w:rsid w:val="009C419C"/>
    <w:rsid w:val="009C5170"/>
    <w:rsid w:val="009C5B28"/>
    <w:rsid w:val="009C5C9F"/>
    <w:rsid w:val="009C7411"/>
    <w:rsid w:val="009D057F"/>
    <w:rsid w:val="009D09E2"/>
    <w:rsid w:val="009D1C47"/>
    <w:rsid w:val="009D2F27"/>
    <w:rsid w:val="009D5449"/>
    <w:rsid w:val="009D5A73"/>
    <w:rsid w:val="009D5B4E"/>
    <w:rsid w:val="009D5C70"/>
    <w:rsid w:val="009D5CAD"/>
    <w:rsid w:val="009D5EF6"/>
    <w:rsid w:val="009D6A18"/>
    <w:rsid w:val="009D6FBD"/>
    <w:rsid w:val="009D7A98"/>
    <w:rsid w:val="009D7E2E"/>
    <w:rsid w:val="009E017F"/>
    <w:rsid w:val="009E02B3"/>
    <w:rsid w:val="009E07EA"/>
    <w:rsid w:val="009E0DFB"/>
    <w:rsid w:val="009E1059"/>
    <w:rsid w:val="009E120D"/>
    <w:rsid w:val="009E1234"/>
    <w:rsid w:val="009E2FAD"/>
    <w:rsid w:val="009E3032"/>
    <w:rsid w:val="009E3311"/>
    <w:rsid w:val="009E42EA"/>
    <w:rsid w:val="009E4619"/>
    <w:rsid w:val="009E4B44"/>
    <w:rsid w:val="009E4BEE"/>
    <w:rsid w:val="009E6159"/>
    <w:rsid w:val="009F0360"/>
    <w:rsid w:val="009F0786"/>
    <w:rsid w:val="009F0EAB"/>
    <w:rsid w:val="009F104D"/>
    <w:rsid w:val="009F146E"/>
    <w:rsid w:val="009F14CE"/>
    <w:rsid w:val="009F1848"/>
    <w:rsid w:val="009F201F"/>
    <w:rsid w:val="009F228E"/>
    <w:rsid w:val="009F239F"/>
    <w:rsid w:val="009F34B1"/>
    <w:rsid w:val="009F3853"/>
    <w:rsid w:val="009F3F2B"/>
    <w:rsid w:val="009F54AE"/>
    <w:rsid w:val="009F600B"/>
    <w:rsid w:val="009F62DF"/>
    <w:rsid w:val="009F67CC"/>
    <w:rsid w:val="009F758E"/>
    <w:rsid w:val="009F7643"/>
    <w:rsid w:val="009F7E1A"/>
    <w:rsid w:val="00A007CC"/>
    <w:rsid w:val="00A0080A"/>
    <w:rsid w:val="00A00A84"/>
    <w:rsid w:val="00A01459"/>
    <w:rsid w:val="00A01740"/>
    <w:rsid w:val="00A021C3"/>
    <w:rsid w:val="00A0326C"/>
    <w:rsid w:val="00A04647"/>
    <w:rsid w:val="00A0637C"/>
    <w:rsid w:val="00A06827"/>
    <w:rsid w:val="00A06E4C"/>
    <w:rsid w:val="00A07741"/>
    <w:rsid w:val="00A1117D"/>
    <w:rsid w:val="00A1154D"/>
    <w:rsid w:val="00A1172C"/>
    <w:rsid w:val="00A12F4D"/>
    <w:rsid w:val="00A13F72"/>
    <w:rsid w:val="00A15D98"/>
    <w:rsid w:val="00A160BF"/>
    <w:rsid w:val="00A162D5"/>
    <w:rsid w:val="00A16AE1"/>
    <w:rsid w:val="00A171D3"/>
    <w:rsid w:val="00A17719"/>
    <w:rsid w:val="00A20EB7"/>
    <w:rsid w:val="00A20EFB"/>
    <w:rsid w:val="00A2115F"/>
    <w:rsid w:val="00A211C7"/>
    <w:rsid w:val="00A233AC"/>
    <w:rsid w:val="00A24C1D"/>
    <w:rsid w:val="00A25FBA"/>
    <w:rsid w:val="00A2660C"/>
    <w:rsid w:val="00A26FF2"/>
    <w:rsid w:val="00A27B3A"/>
    <w:rsid w:val="00A30364"/>
    <w:rsid w:val="00A308DB"/>
    <w:rsid w:val="00A310A0"/>
    <w:rsid w:val="00A3110D"/>
    <w:rsid w:val="00A314B8"/>
    <w:rsid w:val="00A31871"/>
    <w:rsid w:val="00A31B2A"/>
    <w:rsid w:val="00A31FE1"/>
    <w:rsid w:val="00A32543"/>
    <w:rsid w:val="00A3317C"/>
    <w:rsid w:val="00A34019"/>
    <w:rsid w:val="00A37C87"/>
    <w:rsid w:val="00A404B0"/>
    <w:rsid w:val="00A40ECB"/>
    <w:rsid w:val="00A41F1E"/>
    <w:rsid w:val="00A424F3"/>
    <w:rsid w:val="00A431C7"/>
    <w:rsid w:val="00A439DA"/>
    <w:rsid w:val="00A44347"/>
    <w:rsid w:val="00A44727"/>
    <w:rsid w:val="00A44D1F"/>
    <w:rsid w:val="00A45DE3"/>
    <w:rsid w:val="00A45E2B"/>
    <w:rsid w:val="00A465A4"/>
    <w:rsid w:val="00A4681B"/>
    <w:rsid w:val="00A468F8"/>
    <w:rsid w:val="00A46FE3"/>
    <w:rsid w:val="00A47310"/>
    <w:rsid w:val="00A500EE"/>
    <w:rsid w:val="00A51238"/>
    <w:rsid w:val="00A51590"/>
    <w:rsid w:val="00A51D62"/>
    <w:rsid w:val="00A52D2C"/>
    <w:rsid w:val="00A5327A"/>
    <w:rsid w:val="00A53ADE"/>
    <w:rsid w:val="00A549AC"/>
    <w:rsid w:val="00A55E93"/>
    <w:rsid w:val="00A56891"/>
    <w:rsid w:val="00A56DAE"/>
    <w:rsid w:val="00A56E31"/>
    <w:rsid w:val="00A612F5"/>
    <w:rsid w:val="00A616E0"/>
    <w:rsid w:val="00A61F65"/>
    <w:rsid w:val="00A6232F"/>
    <w:rsid w:val="00A635A8"/>
    <w:rsid w:val="00A641B0"/>
    <w:rsid w:val="00A64291"/>
    <w:rsid w:val="00A649BB"/>
    <w:rsid w:val="00A65016"/>
    <w:rsid w:val="00A66DF7"/>
    <w:rsid w:val="00A6703B"/>
    <w:rsid w:val="00A67A50"/>
    <w:rsid w:val="00A70E02"/>
    <w:rsid w:val="00A71216"/>
    <w:rsid w:val="00A716C4"/>
    <w:rsid w:val="00A7252E"/>
    <w:rsid w:val="00A72FDE"/>
    <w:rsid w:val="00A73197"/>
    <w:rsid w:val="00A73507"/>
    <w:rsid w:val="00A742EC"/>
    <w:rsid w:val="00A7439D"/>
    <w:rsid w:val="00A7459E"/>
    <w:rsid w:val="00A75998"/>
    <w:rsid w:val="00A7615D"/>
    <w:rsid w:val="00A7688B"/>
    <w:rsid w:val="00A76D68"/>
    <w:rsid w:val="00A803E4"/>
    <w:rsid w:val="00A810A5"/>
    <w:rsid w:val="00A812A5"/>
    <w:rsid w:val="00A81B52"/>
    <w:rsid w:val="00A82747"/>
    <w:rsid w:val="00A82AA1"/>
    <w:rsid w:val="00A82ACD"/>
    <w:rsid w:val="00A82BB4"/>
    <w:rsid w:val="00A8346B"/>
    <w:rsid w:val="00A83800"/>
    <w:rsid w:val="00A83EFD"/>
    <w:rsid w:val="00A83FB0"/>
    <w:rsid w:val="00A8411D"/>
    <w:rsid w:val="00A84BD6"/>
    <w:rsid w:val="00A84C72"/>
    <w:rsid w:val="00A85EEC"/>
    <w:rsid w:val="00A86B36"/>
    <w:rsid w:val="00A874A8"/>
    <w:rsid w:val="00A900C5"/>
    <w:rsid w:val="00A905F5"/>
    <w:rsid w:val="00A90791"/>
    <w:rsid w:val="00A9172A"/>
    <w:rsid w:val="00A9175C"/>
    <w:rsid w:val="00A91AA3"/>
    <w:rsid w:val="00A91CD2"/>
    <w:rsid w:val="00A91FA5"/>
    <w:rsid w:val="00A925C9"/>
    <w:rsid w:val="00A92D91"/>
    <w:rsid w:val="00A936DF"/>
    <w:rsid w:val="00A9501B"/>
    <w:rsid w:val="00A951B8"/>
    <w:rsid w:val="00A95DB5"/>
    <w:rsid w:val="00A969EB"/>
    <w:rsid w:val="00A96B59"/>
    <w:rsid w:val="00A97DE1"/>
    <w:rsid w:val="00A97E58"/>
    <w:rsid w:val="00AA0B6C"/>
    <w:rsid w:val="00AA3824"/>
    <w:rsid w:val="00AA55D2"/>
    <w:rsid w:val="00AA5F67"/>
    <w:rsid w:val="00AA6BEE"/>
    <w:rsid w:val="00AB04A0"/>
    <w:rsid w:val="00AB0FFF"/>
    <w:rsid w:val="00AB5A8B"/>
    <w:rsid w:val="00AB5F42"/>
    <w:rsid w:val="00AB67B2"/>
    <w:rsid w:val="00AB6B56"/>
    <w:rsid w:val="00AB700F"/>
    <w:rsid w:val="00AC0289"/>
    <w:rsid w:val="00AC0DA1"/>
    <w:rsid w:val="00AC1631"/>
    <w:rsid w:val="00AC1CF7"/>
    <w:rsid w:val="00AC2B52"/>
    <w:rsid w:val="00AC3261"/>
    <w:rsid w:val="00AC391D"/>
    <w:rsid w:val="00AC3E6F"/>
    <w:rsid w:val="00AC4744"/>
    <w:rsid w:val="00AC4B27"/>
    <w:rsid w:val="00AC5470"/>
    <w:rsid w:val="00AC54FA"/>
    <w:rsid w:val="00AC5858"/>
    <w:rsid w:val="00AC60A9"/>
    <w:rsid w:val="00AC61A8"/>
    <w:rsid w:val="00AD02A1"/>
    <w:rsid w:val="00AD1B31"/>
    <w:rsid w:val="00AD2642"/>
    <w:rsid w:val="00AD2800"/>
    <w:rsid w:val="00AD2A89"/>
    <w:rsid w:val="00AD33BE"/>
    <w:rsid w:val="00AD4629"/>
    <w:rsid w:val="00AD5688"/>
    <w:rsid w:val="00AD56B5"/>
    <w:rsid w:val="00AD6414"/>
    <w:rsid w:val="00AD6C80"/>
    <w:rsid w:val="00AD6ECF"/>
    <w:rsid w:val="00AE06B4"/>
    <w:rsid w:val="00AE0DA1"/>
    <w:rsid w:val="00AE169A"/>
    <w:rsid w:val="00AE23D5"/>
    <w:rsid w:val="00AE34B8"/>
    <w:rsid w:val="00AE3A0E"/>
    <w:rsid w:val="00AE3BEC"/>
    <w:rsid w:val="00AE3C21"/>
    <w:rsid w:val="00AE47F9"/>
    <w:rsid w:val="00AE4F48"/>
    <w:rsid w:val="00AE5108"/>
    <w:rsid w:val="00AE5933"/>
    <w:rsid w:val="00AE5974"/>
    <w:rsid w:val="00AE6A0B"/>
    <w:rsid w:val="00AE7A2F"/>
    <w:rsid w:val="00AF0B29"/>
    <w:rsid w:val="00AF0C38"/>
    <w:rsid w:val="00AF143D"/>
    <w:rsid w:val="00AF1531"/>
    <w:rsid w:val="00AF2385"/>
    <w:rsid w:val="00AF27CC"/>
    <w:rsid w:val="00AF32EA"/>
    <w:rsid w:val="00AF3364"/>
    <w:rsid w:val="00AF42CC"/>
    <w:rsid w:val="00AF4F5F"/>
    <w:rsid w:val="00AF5532"/>
    <w:rsid w:val="00AF55EF"/>
    <w:rsid w:val="00AF7AC8"/>
    <w:rsid w:val="00B01286"/>
    <w:rsid w:val="00B01681"/>
    <w:rsid w:val="00B01769"/>
    <w:rsid w:val="00B01B6B"/>
    <w:rsid w:val="00B029A8"/>
    <w:rsid w:val="00B03025"/>
    <w:rsid w:val="00B03F9A"/>
    <w:rsid w:val="00B048B5"/>
    <w:rsid w:val="00B04D6C"/>
    <w:rsid w:val="00B04E35"/>
    <w:rsid w:val="00B05498"/>
    <w:rsid w:val="00B06937"/>
    <w:rsid w:val="00B06CD9"/>
    <w:rsid w:val="00B06D04"/>
    <w:rsid w:val="00B07597"/>
    <w:rsid w:val="00B07E96"/>
    <w:rsid w:val="00B10816"/>
    <w:rsid w:val="00B110AA"/>
    <w:rsid w:val="00B12AEA"/>
    <w:rsid w:val="00B12FBB"/>
    <w:rsid w:val="00B13639"/>
    <w:rsid w:val="00B141E8"/>
    <w:rsid w:val="00B164CC"/>
    <w:rsid w:val="00B172CA"/>
    <w:rsid w:val="00B17440"/>
    <w:rsid w:val="00B20E43"/>
    <w:rsid w:val="00B2117C"/>
    <w:rsid w:val="00B21FCC"/>
    <w:rsid w:val="00B22A4E"/>
    <w:rsid w:val="00B22E0E"/>
    <w:rsid w:val="00B23835"/>
    <w:rsid w:val="00B27C66"/>
    <w:rsid w:val="00B303B9"/>
    <w:rsid w:val="00B3064B"/>
    <w:rsid w:val="00B30A20"/>
    <w:rsid w:val="00B31F8B"/>
    <w:rsid w:val="00B324BA"/>
    <w:rsid w:val="00B335C9"/>
    <w:rsid w:val="00B33FB9"/>
    <w:rsid w:val="00B34198"/>
    <w:rsid w:val="00B3484C"/>
    <w:rsid w:val="00B34ACA"/>
    <w:rsid w:val="00B35616"/>
    <w:rsid w:val="00B359E8"/>
    <w:rsid w:val="00B35F66"/>
    <w:rsid w:val="00B36D92"/>
    <w:rsid w:val="00B36F43"/>
    <w:rsid w:val="00B40E2C"/>
    <w:rsid w:val="00B41001"/>
    <w:rsid w:val="00B410B9"/>
    <w:rsid w:val="00B4117A"/>
    <w:rsid w:val="00B41779"/>
    <w:rsid w:val="00B4191D"/>
    <w:rsid w:val="00B42633"/>
    <w:rsid w:val="00B428DF"/>
    <w:rsid w:val="00B42A4C"/>
    <w:rsid w:val="00B44520"/>
    <w:rsid w:val="00B45036"/>
    <w:rsid w:val="00B46119"/>
    <w:rsid w:val="00B4660B"/>
    <w:rsid w:val="00B47907"/>
    <w:rsid w:val="00B47D7A"/>
    <w:rsid w:val="00B5016E"/>
    <w:rsid w:val="00B502BF"/>
    <w:rsid w:val="00B507B0"/>
    <w:rsid w:val="00B50BDD"/>
    <w:rsid w:val="00B521EA"/>
    <w:rsid w:val="00B52B0C"/>
    <w:rsid w:val="00B52C79"/>
    <w:rsid w:val="00B531A4"/>
    <w:rsid w:val="00B534DA"/>
    <w:rsid w:val="00B548A7"/>
    <w:rsid w:val="00B54CE4"/>
    <w:rsid w:val="00B54F8A"/>
    <w:rsid w:val="00B55CA4"/>
    <w:rsid w:val="00B56435"/>
    <w:rsid w:val="00B56A87"/>
    <w:rsid w:val="00B60B89"/>
    <w:rsid w:val="00B616CD"/>
    <w:rsid w:val="00B62726"/>
    <w:rsid w:val="00B62B88"/>
    <w:rsid w:val="00B62F67"/>
    <w:rsid w:val="00B63738"/>
    <w:rsid w:val="00B651ED"/>
    <w:rsid w:val="00B6562C"/>
    <w:rsid w:val="00B65B78"/>
    <w:rsid w:val="00B676C9"/>
    <w:rsid w:val="00B677F2"/>
    <w:rsid w:val="00B71940"/>
    <w:rsid w:val="00B7313C"/>
    <w:rsid w:val="00B73492"/>
    <w:rsid w:val="00B73995"/>
    <w:rsid w:val="00B73CF6"/>
    <w:rsid w:val="00B753E6"/>
    <w:rsid w:val="00B7560A"/>
    <w:rsid w:val="00B756FB"/>
    <w:rsid w:val="00B75FF5"/>
    <w:rsid w:val="00B764A7"/>
    <w:rsid w:val="00B77694"/>
    <w:rsid w:val="00B77958"/>
    <w:rsid w:val="00B77B1F"/>
    <w:rsid w:val="00B77C3D"/>
    <w:rsid w:val="00B8362B"/>
    <w:rsid w:val="00B837C3"/>
    <w:rsid w:val="00B847CE"/>
    <w:rsid w:val="00B85875"/>
    <w:rsid w:val="00B90C23"/>
    <w:rsid w:val="00B92C27"/>
    <w:rsid w:val="00B9315A"/>
    <w:rsid w:val="00B932BE"/>
    <w:rsid w:val="00B9352B"/>
    <w:rsid w:val="00B93A5E"/>
    <w:rsid w:val="00B94086"/>
    <w:rsid w:val="00B942FD"/>
    <w:rsid w:val="00B94E08"/>
    <w:rsid w:val="00B958A4"/>
    <w:rsid w:val="00B95B69"/>
    <w:rsid w:val="00B965B4"/>
    <w:rsid w:val="00B96662"/>
    <w:rsid w:val="00B96C1D"/>
    <w:rsid w:val="00B96ED3"/>
    <w:rsid w:val="00B97C5A"/>
    <w:rsid w:val="00BA028A"/>
    <w:rsid w:val="00BA0965"/>
    <w:rsid w:val="00BA2E7F"/>
    <w:rsid w:val="00BA4A4C"/>
    <w:rsid w:val="00BA4BA8"/>
    <w:rsid w:val="00BA529C"/>
    <w:rsid w:val="00BA5440"/>
    <w:rsid w:val="00BA55A5"/>
    <w:rsid w:val="00BA7656"/>
    <w:rsid w:val="00BA7B45"/>
    <w:rsid w:val="00BB0003"/>
    <w:rsid w:val="00BB061C"/>
    <w:rsid w:val="00BB07CF"/>
    <w:rsid w:val="00BB1681"/>
    <w:rsid w:val="00BB2702"/>
    <w:rsid w:val="00BB284C"/>
    <w:rsid w:val="00BB31D8"/>
    <w:rsid w:val="00BB355F"/>
    <w:rsid w:val="00BB4B24"/>
    <w:rsid w:val="00BB4D5A"/>
    <w:rsid w:val="00BB5AA1"/>
    <w:rsid w:val="00BB63B6"/>
    <w:rsid w:val="00BB6B52"/>
    <w:rsid w:val="00BB7A38"/>
    <w:rsid w:val="00BC19EC"/>
    <w:rsid w:val="00BC1F50"/>
    <w:rsid w:val="00BC207F"/>
    <w:rsid w:val="00BC23B8"/>
    <w:rsid w:val="00BC4CFE"/>
    <w:rsid w:val="00BC4D2F"/>
    <w:rsid w:val="00BC6ABA"/>
    <w:rsid w:val="00BD0385"/>
    <w:rsid w:val="00BD063B"/>
    <w:rsid w:val="00BD112C"/>
    <w:rsid w:val="00BD18DE"/>
    <w:rsid w:val="00BD1DD0"/>
    <w:rsid w:val="00BD29F1"/>
    <w:rsid w:val="00BD3C52"/>
    <w:rsid w:val="00BD40C4"/>
    <w:rsid w:val="00BD4DF6"/>
    <w:rsid w:val="00BD5404"/>
    <w:rsid w:val="00BD5862"/>
    <w:rsid w:val="00BD63BE"/>
    <w:rsid w:val="00BD6965"/>
    <w:rsid w:val="00BD6F4E"/>
    <w:rsid w:val="00BD6F9A"/>
    <w:rsid w:val="00BE05B4"/>
    <w:rsid w:val="00BE05BD"/>
    <w:rsid w:val="00BE0B08"/>
    <w:rsid w:val="00BE0F50"/>
    <w:rsid w:val="00BE294C"/>
    <w:rsid w:val="00BE308A"/>
    <w:rsid w:val="00BE4553"/>
    <w:rsid w:val="00BE476D"/>
    <w:rsid w:val="00BE5423"/>
    <w:rsid w:val="00BE589F"/>
    <w:rsid w:val="00BE639B"/>
    <w:rsid w:val="00BF03E7"/>
    <w:rsid w:val="00BF0F97"/>
    <w:rsid w:val="00BF1931"/>
    <w:rsid w:val="00BF2B93"/>
    <w:rsid w:val="00BF2C40"/>
    <w:rsid w:val="00BF2DF4"/>
    <w:rsid w:val="00BF4B90"/>
    <w:rsid w:val="00BF5056"/>
    <w:rsid w:val="00BF56CD"/>
    <w:rsid w:val="00BF65E3"/>
    <w:rsid w:val="00BF6DD1"/>
    <w:rsid w:val="00BF70BC"/>
    <w:rsid w:val="00BF71DC"/>
    <w:rsid w:val="00BF780B"/>
    <w:rsid w:val="00BF79A8"/>
    <w:rsid w:val="00BF7F3D"/>
    <w:rsid w:val="00C00128"/>
    <w:rsid w:val="00C009FB"/>
    <w:rsid w:val="00C00B31"/>
    <w:rsid w:val="00C02236"/>
    <w:rsid w:val="00C02C23"/>
    <w:rsid w:val="00C02C6A"/>
    <w:rsid w:val="00C03071"/>
    <w:rsid w:val="00C038B2"/>
    <w:rsid w:val="00C04E0A"/>
    <w:rsid w:val="00C05182"/>
    <w:rsid w:val="00C052AC"/>
    <w:rsid w:val="00C05443"/>
    <w:rsid w:val="00C054F7"/>
    <w:rsid w:val="00C05550"/>
    <w:rsid w:val="00C05589"/>
    <w:rsid w:val="00C05D7C"/>
    <w:rsid w:val="00C06C94"/>
    <w:rsid w:val="00C075A4"/>
    <w:rsid w:val="00C10D1F"/>
    <w:rsid w:val="00C11DAB"/>
    <w:rsid w:val="00C13E67"/>
    <w:rsid w:val="00C1494E"/>
    <w:rsid w:val="00C15742"/>
    <w:rsid w:val="00C15AB7"/>
    <w:rsid w:val="00C15C45"/>
    <w:rsid w:val="00C16031"/>
    <w:rsid w:val="00C17264"/>
    <w:rsid w:val="00C17A13"/>
    <w:rsid w:val="00C17FF8"/>
    <w:rsid w:val="00C21063"/>
    <w:rsid w:val="00C2156E"/>
    <w:rsid w:val="00C2183D"/>
    <w:rsid w:val="00C218B9"/>
    <w:rsid w:val="00C223A2"/>
    <w:rsid w:val="00C2370C"/>
    <w:rsid w:val="00C24355"/>
    <w:rsid w:val="00C24C23"/>
    <w:rsid w:val="00C25057"/>
    <w:rsid w:val="00C25696"/>
    <w:rsid w:val="00C26717"/>
    <w:rsid w:val="00C279DD"/>
    <w:rsid w:val="00C311B6"/>
    <w:rsid w:val="00C313B6"/>
    <w:rsid w:val="00C315EE"/>
    <w:rsid w:val="00C31BFA"/>
    <w:rsid w:val="00C324B1"/>
    <w:rsid w:val="00C327D9"/>
    <w:rsid w:val="00C32B1D"/>
    <w:rsid w:val="00C32DEF"/>
    <w:rsid w:val="00C333A0"/>
    <w:rsid w:val="00C33642"/>
    <w:rsid w:val="00C3460A"/>
    <w:rsid w:val="00C34D0E"/>
    <w:rsid w:val="00C351B7"/>
    <w:rsid w:val="00C359D5"/>
    <w:rsid w:val="00C36522"/>
    <w:rsid w:val="00C365BA"/>
    <w:rsid w:val="00C36E90"/>
    <w:rsid w:val="00C376C8"/>
    <w:rsid w:val="00C37760"/>
    <w:rsid w:val="00C378A4"/>
    <w:rsid w:val="00C379C4"/>
    <w:rsid w:val="00C37C2F"/>
    <w:rsid w:val="00C403B9"/>
    <w:rsid w:val="00C408EC"/>
    <w:rsid w:val="00C40BC0"/>
    <w:rsid w:val="00C417DB"/>
    <w:rsid w:val="00C41B18"/>
    <w:rsid w:val="00C41E75"/>
    <w:rsid w:val="00C427D6"/>
    <w:rsid w:val="00C432C9"/>
    <w:rsid w:val="00C442CB"/>
    <w:rsid w:val="00C44ED7"/>
    <w:rsid w:val="00C45064"/>
    <w:rsid w:val="00C45366"/>
    <w:rsid w:val="00C4592B"/>
    <w:rsid w:val="00C462F1"/>
    <w:rsid w:val="00C47CAA"/>
    <w:rsid w:val="00C5330F"/>
    <w:rsid w:val="00C53DCB"/>
    <w:rsid w:val="00C545BC"/>
    <w:rsid w:val="00C54A1A"/>
    <w:rsid w:val="00C557D4"/>
    <w:rsid w:val="00C55A6C"/>
    <w:rsid w:val="00C5617B"/>
    <w:rsid w:val="00C5641E"/>
    <w:rsid w:val="00C56BDB"/>
    <w:rsid w:val="00C575DA"/>
    <w:rsid w:val="00C6025D"/>
    <w:rsid w:val="00C619D0"/>
    <w:rsid w:val="00C61B37"/>
    <w:rsid w:val="00C6270C"/>
    <w:rsid w:val="00C62E74"/>
    <w:rsid w:val="00C6489B"/>
    <w:rsid w:val="00C64CA8"/>
    <w:rsid w:val="00C65300"/>
    <w:rsid w:val="00C65659"/>
    <w:rsid w:val="00C65744"/>
    <w:rsid w:val="00C66BCB"/>
    <w:rsid w:val="00C7090B"/>
    <w:rsid w:val="00C7097C"/>
    <w:rsid w:val="00C70AD9"/>
    <w:rsid w:val="00C71276"/>
    <w:rsid w:val="00C72234"/>
    <w:rsid w:val="00C72374"/>
    <w:rsid w:val="00C72AC1"/>
    <w:rsid w:val="00C74221"/>
    <w:rsid w:val="00C745EA"/>
    <w:rsid w:val="00C74D73"/>
    <w:rsid w:val="00C75038"/>
    <w:rsid w:val="00C75BEE"/>
    <w:rsid w:val="00C77545"/>
    <w:rsid w:val="00C77CDA"/>
    <w:rsid w:val="00C81187"/>
    <w:rsid w:val="00C82339"/>
    <w:rsid w:val="00C82E85"/>
    <w:rsid w:val="00C8453D"/>
    <w:rsid w:val="00C84D5A"/>
    <w:rsid w:val="00C851FC"/>
    <w:rsid w:val="00C8528D"/>
    <w:rsid w:val="00C859C6"/>
    <w:rsid w:val="00C860DE"/>
    <w:rsid w:val="00C867FB"/>
    <w:rsid w:val="00C87CA5"/>
    <w:rsid w:val="00C90227"/>
    <w:rsid w:val="00C902A4"/>
    <w:rsid w:val="00C915DE"/>
    <w:rsid w:val="00C929DD"/>
    <w:rsid w:val="00C93362"/>
    <w:rsid w:val="00C93698"/>
    <w:rsid w:val="00C93E3D"/>
    <w:rsid w:val="00C94FA5"/>
    <w:rsid w:val="00C97873"/>
    <w:rsid w:val="00CA0412"/>
    <w:rsid w:val="00CA1F00"/>
    <w:rsid w:val="00CA2468"/>
    <w:rsid w:val="00CA29B7"/>
    <w:rsid w:val="00CA2EE6"/>
    <w:rsid w:val="00CA33C7"/>
    <w:rsid w:val="00CA3701"/>
    <w:rsid w:val="00CA59C9"/>
    <w:rsid w:val="00CA5F04"/>
    <w:rsid w:val="00CA61A0"/>
    <w:rsid w:val="00CA64A6"/>
    <w:rsid w:val="00CA68D3"/>
    <w:rsid w:val="00CA69A8"/>
    <w:rsid w:val="00CA737A"/>
    <w:rsid w:val="00CA7819"/>
    <w:rsid w:val="00CB022F"/>
    <w:rsid w:val="00CB0760"/>
    <w:rsid w:val="00CB16EF"/>
    <w:rsid w:val="00CB379B"/>
    <w:rsid w:val="00CB44FC"/>
    <w:rsid w:val="00CB462E"/>
    <w:rsid w:val="00CB4A42"/>
    <w:rsid w:val="00CB4BAA"/>
    <w:rsid w:val="00CB4EF1"/>
    <w:rsid w:val="00CB4F68"/>
    <w:rsid w:val="00CB706F"/>
    <w:rsid w:val="00CC03DA"/>
    <w:rsid w:val="00CC04B1"/>
    <w:rsid w:val="00CC0AA1"/>
    <w:rsid w:val="00CC0E71"/>
    <w:rsid w:val="00CC1FD8"/>
    <w:rsid w:val="00CC34CC"/>
    <w:rsid w:val="00CC3B51"/>
    <w:rsid w:val="00CC400E"/>
    <w:rsid w:val="00CC43C3"/>
    <w:rsid w:val="00CC5351"/>
    <w:rsid w:val="00CC5EE3"/>
    <w:rsid w:val="00CC6310"/>
    <w:rsid w:val="00CC68B0"/>
    <w:rsid w:val="00CC78E0"/>
    <w:rsid w:val="00CC7D21"/>
    <w:rsid w:val="00CD11B6"/>
    <w:rsid w:val="00CD1BD2"/>
    <w:rsid w:val="00CD2F83"/>
    <w:rsid w:val="00CD311F"/>
    <w:rsid w:val="00CD3BA7"/>
    <w:rsid w:val="00CD406A"/>
    <w:rsid w:val="00CD45F3"/>
    <w:rsid w:val="00CD4EFE"/>
    <w:rsid w:val="00CD52CA"/>
    <w:rsid w:val="00CD565E"/>
    <w:rsid w:val="00CD6717"/>
    <w:rsid w:val="00CD78A4"/>
    <w:rsid w:val="00CE0175"/>
    <w:rsid w:val="00CE06D5"/>
    <w:rsid w:val="00CE0FAD"/>
    <w:rsid w:val="00CE212A"/>
    <w:rsid w:val="00CE2511"/>
    <w:rsid w:val="00CE2F33"/>
    <w:rsid w:val="00CE3E29"/>
    <w:rsid w:val="00CE3E90"/>
    <w:rsid w:val="00CE466A"/>
    <w:rsid w:val="00CE5DF7"/>
    <w:rsid w:val="00CE6187"/>
    <w:rsid w:val="00CE77C2"/>
    <w:rsid w:val="00CE7FB8"/>
    <w:rsid w:val="00CF0312"/>
    <w:rsid w:val="00CF05DC"/>
    <w:rsid w:val="00CF0960"/>
    <w:rsid w:val="00CF0BBA"/>
    <w:rsid w:val="00CF198E"/>
    <w:rsid w:val="00CF265B"/>
    <w:rsid w:val="00CF2F46"/>
    <w:rsid w:val="00CF3028"/>
    <w:rsid w:val="00CF3C88"/>
    <w:rsid w:val="00CF451C"/>
    <w:rsid w:val="00CF6B1E"/>
    <w:rsid w:val="00CF7201"/>
    <w:rsid w:val="00CF7840"/>
    <w:rsid w:val="00CF7C13"/>
    <w:rsid w:val="00CF7CB1"/>
    <w:rsid w:val="00CF7CEC"/>
    <w:rsid w:val="00D0059B"/>
    <w:rsid w:val="00D007EB"/>
    <w:rsid w:val="00D00B63"/>
    <w:rsid w:val="00D00C4A"/>
    <w:rsid w:val="00D01018"/>
    <w:rsid w:val="00D01088"/>
    <w:rsid w:val="00D012BE"/>
    <w:rsid w:val="00D02248"/>
    <w:rsid w:val="00D04910"/>
    <w:rsid w:val="00D04B01"/>
    <w:rsid w:val="00D05251"/>
    <w:rsid w:val="00D05A62"/>
    <w:rsid w:val="00D06A93"/>
    <w:rsid w:val="00D076D5"/>
    <w:rsid w:val="00D07A9A"/>
    <w:rsid w:val="00D07D78"/>
    <w:rsid w:val="00D100BF"/>
    <w:rsid w:val="00D10D29"/>
    <w:rsid w:val="00D12812"/>
    <w:rsid w:val="00D13013"/>
    <w:rsid w:val="00D13180"/>
    <w:rsid w:val="00D13EA6"/>
    <w:rsid w:val="00D142C7"/>
    <w:rsid w:val="00D15167"/>
    <w:rsid w:val="00D15723"/>
    <w:rsid w:val="00D157A4"/>
    <w:rsid w:val="00D160B1"/>
    <w:rsid w:val="00D165F6"/>
    <w:rsid w:val="00D1795D"/>
    <w:rsid w:val="00D17BB9"/>
    <w:rsid w:val="00D17F46"/>
    <w:rsid w:val="00D21651"/>
    <w:rsid w:val="00D21E91"/>
    <w:rsid w:val="00D2213B"/>
    <w:rsid w:val="00D2260D"/>
    <w:rsid w:val="00D227C2"/>
    <w:rsid w:val="00D232CA"/>
    <w:rsid w:val="00D23EE0"/>
    <w:rsid w:val="00D245FB"/>
    <w:rsid w:val="00D24E16"/>
    <w:rsid w:val="00D254A5"/>
    <w:rsid w:val="00D25651"/>
    <w:rsid w:val="00D25FD8"/>
    <w:rsid w:val="00D27211"/>
    <w:rsid w:val="00D31D52"/>
    <w:rsid w:val="00D33375"/>
    <w:rsid w:val="00D33988"/>
    <w:rsid w:val="00D33E4A"/>
    <w:rsid w:val="00D34305"/>
    <w:rsid w:val="00D352D9"/>
    <w:rsid w:val="00D3613E"/>
    <w:rsid w:val="00D3622E"/>
    <w:rsid w:val="00D365F2"/>
    <w:rsid w:val="00D373E1"/>
    <w:rsid w:val="00D3753F"/>
    <w:rsid w:val="00D379CF"/>
    <w:rsid w:val="00D37A18"/>
    <w:rsid w:val="00D37A4B"/>
    <w:rsid w:val="00D41FA8"/>
    <w:rsid w:val="00D4218C"/>
    <w:rsid w:val="00D42271"/>
    <w:rsid w:val="00D42417"/>
    <w:rsid w:val="00D4297F"/>
    <w:rsid w:val="00D43D0A"/>
    <w:rsid w:val="00D4425F"/>
    <w:rsid w:val="00D44685"/>
    <w:rsid w:val="00D44B59"/>
    <w:rsid w:val="00D46C9F"/>
    <w:rsid w:val="00D46D46"/>
    <w:rsid w:val="00D46D94"/>
    <w:rsid w:val="00D4719E"/>
    <w:rsid w:val="00D502E7"/>
    <w:rsid w:val="00D50362"/>
    <w:rsid w:val="00D51819"/>
    <w:rsid w:val="00D5257C"/>
    <w:rsid w:val="00D528DB"/>
    <w:rsid w:val="00D53C6C"/>
    <w:rsid w:val="00D54002"/>
    <w:rsid w:val="00D5419B"/>
    <w:rsid w:val="00D544D3"/>
    <w:rsid w:val="00D55B8A"/>
    <w:rsid w:val="00D56971"/>
    <w:rsid w:val="00D571DE"/>
    <w:rsid w:val="00D57931"/>
    <w:rsid w:val="00D57DE9"/>
    <w:rsid w:val="00D60210"/>
    <w:rsid w:val="00D603FC"/>
    <w:rsid w:val="00D61798"/>
    <w:rsid w:val="00D61B62"/>
    <w:rsid w:val="00D62495"/>
    <w:rsid w:val="00D62AB0"/>
    <w:rsid w:val="00D63ADE"/>
    <w:rsid w:val="00D63EE9"/>
    <w:rsid w:val="00D64124"/>
    <w:rsid w:val="00D64255"/>
    <w:rsid w:val="00D65FE3"/>
    <w:rsid w:val="00D65FFD"/>
    <w:rsid w:val="00D66261"/>
    <w:rsid w:val="00D66383"/>
    <w:rsid w:val="00D66655"/>
    <w:rsid w:val="00D66E39"/>
    <w:rsid w:val="00D70331"/>
    <w:rsid w:val="00D7035E"/>
    <w:rsid w:val="00D704CC"/>
    <w:rsid w:val="00D71322"/>
    <w:rsid w:val="00D713CE"/>
    <w:rsid w:val="00D71DFC"/>
    <w:rsid w:val="00D726F8"/>
    <w:rsid w:val="00D736B2"/>
    <w:rsid w:val="00D738B2"/>
    <w:rsid w:val="00D73E6C"/>
    <w:rsid w:val="00D7474F"/>
    <w:rsid w:val="00D75085"/>
    <w:rsid w:val="00D75FBC"/>
    <w:rsid w:val="00D7624B"/>
    <w:rsid w:val="00D76CF7"/>
    <w:rsid w:val="00D76F99"/>
    <w:rsid w:val="00D77B69"/>
    <w:rsid w:val="00D77F76"/>
    <w:rsid w:val="00D80153"/>
    <w:rsid w:val="00D803BD"/>
    <w:rsid w:val="00D80C92"/>
    <w:rsid w:val="00D810A4"/>
    <w:rsid w:val="00D8130C"/>
    <w:rsid w:val="00D815E8"/>
    <w:rsid w:val="00D82746"/>
    <w:rsid w:val="00D82D2D"/>
    <w:rsid w:val="00D83489"/>
    <w:rsid w:val="00D845DF"/>
    <w:rsid w:val="00D84706"/>
    <w:rsid w:val="00D8470C"/>
    <w:rsid w:val="00D84C83"/>
    <w:rsid w:val="00D84EC0"/>
    <w:rsid w:val="00D850D3"/>
    <w:rsid w:val="00D85D57"/>
    <w:rsid w:val="00D8645D"/>
    <w:rsid w:val="00D90A6D"/>
    <w:rsid w:val="00D91BC2"/>
    <w:rsid w:val="00D91CEF"/>
    <w:rsid w:val="00D92128"/>
    <w:rsid w:val="00D92291"/>
    <w:rsid w:val="00D92F09"/>
    <w:rsid w:val="00D93106"/>
    <w:rsid w:val="00D93333"/>
    <w:rsid w:val="00D93D88"/>
    <w:rsid w:val="00D93DB0"/>
    <w:rsid w:val="00D941E0"/>
    <w:rsid w:val="00D947FC"/>
    <w:rsid w:val="00D94CD1"/>
    <w:rsid w:val="00D959BC"/>
    <w:rsid w:val="00D96534"/>
    <w:rsid w:val="00D96C21"/>
    <w:rsid w:val="00DA0E06"/>
    <w:rsid w:val="00DA129E"/>
    <w:rsid w:val="00DA1E2C"/>
    <w:rsid w:val="00DA2938"/>
    <w:rsid w:val="00DA2DD7"/>
    <w:rsid w:val="00DA38A0"/>
    <w:rsid w:val="00DA38D2"/>
    <w:rsid w:val="00DA40F0"/>
    <w:rsid w:val="00DA56CF"/>
    <w:rsid w:val="00DA5801"/>
    <w:rsid w:val="00DA581C"/>
    <w:rsid w:val="00DA6090"/>
    <w:rsid w:val="00DA6445"/>
    <w:rsid w:val="00DA6CF2"/>
    <w:rsid w:val="00DA6F82"/>
    <w:rsid w:val="00DB1FB8"/>
    <w:rsid w:val="00DB247F"/>
    <w:rsid w:val="00DB35CD"/>
    <w:rsid w:val="00DB3DC0"/>
    <w:rsid w:val="00DB3FA9"/>
    <w:rsid w:val="00DB4209"/>
    <w:rsid w:val="00DB44CA"/>
    <w:rsid w:val="00DB50B4"/>
    <w:rsid w:val="00DB704C"/>
    <w:rsid w:val="00DB71BA"/>
    <w:rsid w:val="00DB739F"/>
    <w:rsid w:val="00DB7D87"/>
    <w:rsid w:val="00DB7E31"/>
    <w:rsid w:val="00DC1BD4"/>
    <w:rsid w:val="00DC268D"/>
    <w:rsid w:val="00DC39D9"/>
    <w:rsid w:val="00DC3ED1"/>
    <w:rsid w:val="00DC4531"/>
    <w:rsid w:val="00DC4628"/>
    <w:rsid w:val="00DC5AE6"/>
    <w:rsid w:val="00DC6BEA"/>
    <w:rsid w:val="00DC6C99"/>
    <w:rsid w:val="00DC708F"/>
    <w:rsid w:val="00DC7E44"/>
    <w:rsid w:val="00DD0230"/>
    <w:rsid w:val="00DD0609"/>
    <w:rsid w:val="00DD0DE4"/>
    <w:rsid w:val="00DD12B3"/>
    <w:rsid w:val="00DD1995"/>
    <w:rsid w:val="00DD1A9F"/>
    <w:rsid w:val="00DD1ABB"/>
    <w:rsid w:val="00DD1AF7"/>
    <w:rsid w:val="00DD4385"/>
    <w:rsid w:val="00DD4661"/>
    <w:rsid w:val="00DD5C89"/>
    <w:rsid w:val="00DD6D9D"/>
    <w:rsid w:val="00DD7880"/>
    <w:rsid w:val="00DD7A23"/>
    <w:rsid w:val="00DE0C6E"/>
    <w:rsid w:val="00DE13FD"/>
    <w:rsid w:val="00DE1D1B"/>
    <w:rsid w:val="00DE23F4"/>
    <w:rsid w:val="00DE2494"/>
    <w:rsid w:val="00DE283C"/>
    <w:rsid w:val="00DE4085"/>
    <w:rsid w:val="00DE41CE"/>
    <w:rsid w:val="00DE4461"/>
    <w:rsid w:val="00DE58F5"/>
    <w:rsid w:val="00DE5EB6"/>
    <w:rsid w:val="00DF0354"/>
    <w:rsid w:val="00DF16C7"/>
    <w:rsid w:val="00DF28C6"/>
    <w:rsid w:val="00DF2C39"/>
    <w:rsid w:val="00DF2C53"/>
    <w:rsid w:val="00DF2F7E"/>
    <w:rsid w:val="00DF42E0"/>
    <w:rsid w:val="00DF5756"/>
    <w:rsid w:val="00DF57F1"/>
    <w:rsid w:val="00DF66E6"/>
    <w:rsid w:val="00DF70D9"/>
    <w:rsid w:val="00DF725F"/>
    <w:rsid w:val="00DF72AB"/>
    <w:rsid w:val="00E00927"/>
    <w:rsid w:val="00E00ABA"/>
    <w:rsid w:val="00E01192"/>
    <w:rsid w:val="00E03170"/>
    <w:rsid w:val="00E0371E"/>
    <w:rsid w:val="00E03B56"/>
    <w:rsid w:val="00E0476C"/>
    <w:rsid w:val="00E06442"/>
    <w:rsid w:val="00E06672"/>
    <w:rsid w:val="00E06ED6"/>
    <w:rsid w:val="00E0703E"/>
    <w:rsid w:val="00E1019A"/>
    <w:rsid w:val="00E10AB6"/>
    <w:rsid w:val="00E11581"/>
    <w:rsid w:val="00E11A38"/>
    <w:rsid w:val="00E11AB9"/>
    <w:rsid w:val="00E126E2"/>
    <w:rsid w:val="00E12B85"/>
    <w:rsid w:val="00E13003"/>
    <w:rsid w:val="00E14EA6"/>
    <w:rsid w:val="00E15C41"/>
    <w:rsid w:val="00E16AF8"/>
    <w:rsid w:val="00E16D1A"/>
    <w:rsid w:val="00E20AF5"/>
    <w:rsid w:val="00E20E11"/>
    <w:rsid w:val="00E20E92"/>
    <w:rsid w:val="00E2256B"/>
    <w:rsid w:val="00E233D2"/>
    <w:rsid w:val="00E24C4B"/>
    <w:rsid w:val="00E25202"/>
    <w:rsid w:val="00E27695"/>
    <w:rsid w:val="00E2775D"/>
    <w:rsid w:val="00E279C3"/>
    <w:rsid w:val="00E27BE9"/>
    <w:rsid w:val="00E27FA9"/>
    <w:rsid w:val="00E30FD9"/>
    <w:rsid w:val="00E311D8"/>
    <w:rsid w:val="00E313EC"/>
    <w:rsid w:val="00E315C8"/>
    <w:rsid w:val="00E3278B"/>
    <w:rsid w:val="00E3333E"/>
    <w:rsid w:val="00E35B7D"/>
    <w:rsid w:val="00E36435"/>
    <w:rsid w:val="00E368D6"/>
    <w:rsid w:val="00E37B85"/>
    <w:rsid w:val="00E37BF7"/>
    <w:rsid w:val="00E37CF7"/>
    <w:rsid w:val="00E403BF"/>
    <w:rsid w:val="00E40B4E"/>
    <w:rsid w:val="00E40D82"/>
    <w:rsid w:val="00E410AB"/>
    <w:rsid w:val="00E410EF"/>
    <w:rsid w:val="00E41819"/>
    <w:rsid w:val="00E41939"/>
    <w:rsid w:val="00E4401A"/>
    <w:rsid w:val="00E44AE6"/>
    <w:rsid w:val="00E44D62"/>
    <w:rsid w:val="00E45906"/>
    <w:rsid w:val="00E46246"/>
    <w:rsid w:val="00E46F66"/>
    <w:rsid w:val="00E47383"/>
    <w:rsid w:val="00E506CC"/>
    <w:rsid w:val="00E50B85"/>
    <w:rsid w:val="00E51A0C"/>
    <w:rsid w:val="00E52126"/>
    <w:rsid w:val="00E526AD"/>
    <w:rsid w:val="00E52E60"/>
    <w:rsid w:val="00E534EB"/>
    <w:rsid w:val="00E5460E"/>
    <w:rsid w:val="00E546CF"/>
    <w:rsid w:val="00E55327"/>
    <w:rsid w:val="00E55926"/>
    <w:rsid w:val="00E55974"/>
    <w:rsid w:val="00E55D0D"/>
    <w:rsid w:val="00E55E04"/>
    <w:rsid w:val="00E56226"/>
    <w:rsid w:val="00E563A4"/>
    <w:rsid w:val="00E57A43"/>
    <w:rsid w:val="00E606B2"/>
    <w:rsid w:val="00E613C0"/>
    <w:rsid w:val="00E61FC6"/>
    <w:rsid w:val="00E62F5B"/>
    <w:rsid w:val="00E63ADA"/>
    <w:rsid w:val="00E63BDA"/>
    <w:rsid w:val="00E64BF9"/>
    <w:rsid w:val="00E6538E"/>
    <w:rsid w:val="00E65AE0"/>
    <w:rsid w:val="00E66871"/>
    <w:rsid w:val="00E6687D"/>
    <w:rsid w:val="00E66B44"/>
    <w:rsid w:val="00E67389"/>
    <w:rsid w:val="00E674D5"/>
    <w:rsid w:val="00E67570"/>
    <w:rsid w:val="00E67B35"/>
    <w:rsid w:val="00E7082E"/>
    <w:rsid w:val="00E70ABD"/>
    <w:rsid w:val="00E7144D"/>
    <w:rsid w:val="00E718F2"/>
    <w:rsid w:val="00E71E8E"/>
    <w:rsid w:val="00E724EC"/>
    <w:rsid w:val="00E730BC"/>
    <w:rsid w:val="00E738CF"/>
    <w:rsid w:val="00E757B4"/>
    <w:rsid w:val="00E779B7"/>
    <w:rsid w:val="00E77A50"/>
    <w:rsid w:val="00E800DA"/>
    <w:rsid w:val="00E8084A"/>
    <w:rsid w:val="00E810A3"/>
    <w:rsid w:val="00E812B2"/>
    <w:rsid w:val="00E8290F"/>
    <w:rsid w:val="00E84197"/>
    <w:rsid w:val="00E849A4"/>
    <w:rsid w:val="00E84E10"/>
    <w:rsid w:val="00E84F9E"/>
    <w:rsid w:val="00E8616A"/>
    <w:rsid w:val="00E86A4C"/>
    <w:rsid w:val="00E87587"/>
    <w:rsid w:val="00E87D3D"/>
    <w:rsid w:val="00E905D4"/>
    <w:rsid w:val="00E91FD4"/>
    <w:rsid w:val="00E921EC"/>
    <w:rsid w:val="00E92723"/>
    <w:rsid w:val="00E9313C"/>
    <w:rsid w:val="00E948E4"/>
    <w:rsid w:val="00E94D26"/>
    <w:rsid w:val="00E94D94"/>
    <w:rsid w:val="00E95102"/>
    <w:rsid w:val="00E95FED"/>
    <w:rsid w:val="00E96345"/>
    <w:rsid w:val="00E9685C"/>
    <w:rsid w:val="00E969F2"/>
    <w:rsid w:val="00E96E76"/>
    <w:rsid w:val="00E973BF"/>
    <w:rsid w:val="00E976FA"/>
    <w:rsid w:val="00E97E45"/>
    <w:rsid w:val="00EA0C3D"/>
    <w:rsid w:val="00EA0D14"/>
    <w:rsid w:val="00EA118D"/>
    <w:rsid w:val="00EA2F5B"/>
    <w:rsid w:val="00EA369C"/>
    <w:rsid w:val="00EA3C99"/>
    <w:rsid w:val="00EA4467"/>
    <w:rsid w:val="00EA500A"/>
    <w:rsid w:val="00EA52B6"/>
    <w:rsid w:val="00EA5B71"/>
    <w:rsid w:val="00EA6E0F"/>
    <w:rsid w:val="00EA755E"/>
    <w:rsid w:val="00EB0163"/>
    <w:rsid w:val="00EB01BF"/>
    <w:rsid w:val="00EB03FE"/>
    <w:rsid w:val="00EB08BC"/>
    <w:rsid w:val="00EB2A7D"/>
    <w:rsid w:val="00EB323E"/>
    <w:rsid w:val="00EB3424"/>
    <w:rsid w:val="00EB3649"/>
    <w:rsid w:val="00EB3854"/>
    <w:rsid w:val="00EB3985"/>
    <w:rsid w:val="00EB4A80"/>
    <w:rsid w:val="00EB6644"/>
    <w:rsid w:val="00EB6A0C"/>
    <w:rsid w:val="00EB6F76"/>
    <w:rsid w:val="00EB71DF"/>
    <w:rsid w:val="00EB7D33"/>
    <w:rsid w:val="00EB7F9D"/>
    <w:rsid w:val="00EC0443"/>
    <w:rsid w:val="00EC0BC2"/>
    <w:rsid w:val="00EC17A9"/>
    <w:rsid w:val="00EC1D6A"/>
    <w:rsid w:val="00EC1F46"/>
    <w:rsid w:val="00EC35EA"/>
    <w:rsid w:val="00EC3AC1"/>
    <w:rsid w:val="00EC3C78"/>
    <w:rsid w:val="00EC3E6D"/>
    <w:rsid w:val="00EC46EE"/>
    <w:rsid w:val="00EC5AC9"/>
    <w:rsid w:val="00EC661B"/>
    <w:rsid w:val="00EC680D"/>
    <w:rsid w:val="00EC685F"/>
    <w:rsid w:val="00EC6954"/>
    <w:rsid w:val="00EC6B84"/>
    <w:rsid w:val="00EC7B8D"/>
    <w:rsid w:val="00ED02C1"/>
    <w:rsid w:val="00ED1895"/>
    <w:rsid w:val="00ED18D2"/>
    <w:rsid w:val="00ED1A53"/>
    <w:rsid w:val="00ED28F2"/>
    <w:rsid w:val="00ED3465"/>
    <w:rsid w:val="00ED3655"/>
    <w:rsid w:val="00ED36CD"/>
    <w:rsid w:val="00ED3E7D"/>
    <w:rsid w:val="00ED5039"/>
    <w:rsid w:val="00ED6695"/>
    <w:rsid w:val="00ED7701"/>
    <w:rsid w:val="00EE0069"/>
    <w:rsid w:val="00EE1A3D"/>
    <w:rsid w:val="00EE4038"/>
    <w:rsid w:val="00EE4456"/>
    <w:rsid w:val="00EE4A48"/>
    <w:rsid w:val="00EE50D2"/>
    <w:rsid w:val="00EE574A"/>
    <w:rsid w:val="00EE59C2"/>
    <w:rsid w:val="00EE76C5"/>
    <w:rsid w:val="00EF1F31"/>
    <w:rsid w:val="00EF249A"/>
    <w:rsid w:val="00EF347D"/>
    <w:rsid w:val="00EF3632"/>
    <w:rsid w:val="00EF3E6A"/>
    <w:rsid w:val="00EF415A"/>
    <w:rsid w:val="00EF44D0"/>
    <w:rsid w:val="00EF46A2"/>
    <w:rsid w:val="00EF4F29"/>
    <w:rsid w:val="00EF5483"/>
    <w:rsid w:val="00EF54D8"/>
    <w:rsid w:val="00EF59EE"/>
    <w:rsid w:val="00F00259"/>
    <w:rsid w:val="00F003F3"/>
    <w:rsid w:val="00F00874"/>
    <w:rsid w:val="00F01091"/>
    <w:rsid w:val="00F01BA3"/>
    <w:rsid w:val="00F024E6"/>
    <w:rsid w:val="00F026D5"/>
    <w:rsid w:val="00F028D8"/>
    <w:rsid w:val="00F02BFD"/>
    <w:rsid w:val="00F042AF"/>
    <w:rsid w:val="00F042B4"/>
    <w:rsid w:val="00F05414"/>
    <w:rsid w:val="00F05D6B"/>
    <w:rsid w:val="00F061F2"/>
    <w:rsid w:val="00F06715"/>
    <w:rsid w:val="00F07336"/>
    <w:rsid w:val="00F07DED"/>
    <w:rsid w:val="00F07E69"/>
    <w:rsid w:val="00F10541"/>
    <w:rsid w:val="00F10753"/>
    <w:rsid w:val="00F10FA6"/>
    <w:rsid w:val="00F11199"/>
    <w:rsid w:val="00F146A0"/>
    <w:rsid w:val="00F14FF5"/>
    <w:rsid w:val="00F1599B"/>
    <w:rsid w:val="00F15ACC"/>
    <w:rsid w:val="00F16980"/>
    <w:rsid w:val="00F16C55"/>
    <w:rsid w:val="00F17799"/>
    <w:rsid w:val="00F178A6"/>
    <w:rsid w:val="00F205E6"/>
    <w:rsid w:val="00F20AEF"/>
    <w:rsid w:val="00F21C7B"/>
    <w:rsid w:val="00F222A9"/>
    <w:rsid w:val="00F224B8"/>
    <w:rsid w:val="00F22A97"/>
    <w:rsid w:val="00F23533"/>
    <w:rsid w:val="00F239BA"/>
    <w:rsid w:val="00F23E7C"/>
    <w:rsid w:val="00F240C5"/>
    <w:rsid w:val="00F24220"/>
    <w:rsid w:val="00F25F82"/>
    <w:rsid w:val="00F26AD0"/>
    <w:rsid w:val="00F26E4E"/>
    <w:rsid w:val="00F27614"/>
    <w:rsid w:val="00F2762A"/>
    <w:rsid w:val="00F27D40"/>
    <w:rsid w:val="00F305A7"/>
    <w:rsid w:val="00F31298"/>
    <w:rsid w:val="00F31DC7"/>
    <w:rsid w:val="00F325A8"/>
    <w:rsid w:val="00F326B3"/>
    <w:rsid w:val="00F333A2"/>
    <w:rsid w:val="00F33458"/>
    <w:rsid w:val="00F33492"/>
    <w:rsid w:val="00F334F9"/>
    <w:rsid w:val="00F33A35"/>
    <w:rsid w:val="00F3467D"/>
    <w:rsid w:val="00F34E43"/>
    <w:rsid w:val="00F36057"/>
    <w:rsid w:val="00F3642B"/>
    <w:rsid w:val="00F366AB"/>
    <w:rsid w:val="00F36940"/>
    <w:rsid w:val="00F37B56"/>
    <w:rsid w:val="00F37F24"/>
    <w:rsid w:val="00F40148"/>
    <w:rsid w:val="00F40686"/>
    <w:rsid w:val="00F4115C"/>
    <w:rsid w:val="00F411CB"/>
    <w:rsid w:val="00F418BA"/>
    <w:rsid w:val="00F443C6"/>
    <w:rsid w:val="00F444B8"/>
    <w:rsid w:val="00F445C0"/>
    <w:rsid w:val="00F45742"/>
    <w:rsid w:val="00F4599D"/>
    <w:rsid w:val="00F468E1"/>
    <w:rsid w:val="00F50335"/>
    <w:rsid w:val="00F507F6"/>
    <w:rsid w:val="00F5182F"/>
    <w:rsid w:val="00F51A73"/>
    <w:rsid w:val="00F522CB"/>
    <w:rsid w:val="00F533F0"/>
    <w:rsid w:val="00F54087"/>
    <w:rsid w:val="00F54E46"/>
    <w:rsid w:val="00F55EC5"/>
    <w:rsid w:val="00F55F14"/>
    <w:rsid w:val="00F5625C"/>
    <w:rsid w:val="00F56824"/>
    <w:rsid w:val="00F570E0"/>
    <w:rsid w:val="00F57678"/>
    <w:rsid w:val="00F60447"/>
    <w:rsid w:val="00F62E54"/>
    <w:rsid w:val="00F63FAF"/>
    <w:rsid w:val="00F64087"/>
    <w:rsid w:val="00F645A3"/>
    <w:rsid w:val="00F64768"/>
    <w:rsid w:val="00F64EFC"/>
    <w:rsid w:val="00F6575B"/>
    <w:rsid w:val="00F65818"/>
    <w:rsid w:val="00F669AB"/>
    <w:rsid w:val="00F6731C"/>
    <w:rsid w:val="00F675E3"/>
    <w:rsid w:val="00F7052B"/>
    <w:rsid w:val="00F7240C"/>
    <w:rsid w:val="00F729E9"/>
    <w:rsid w:val="00F72A41"/>
    <w:rsid w:val="00F72B39"/>
    <w:rsid w:val="00F73AAD"/>
    <w:rsid w:val="00F7632B"/>
    <w:rsid w:val="00F77D2F"/>
    <w:rsid w:val="00F80F6C"/>
    <w:rsid w:val="00F811F6"/>
    <w:rsid w:val="00F81FD4"/>
    <w:rsid w:val="00F82053"/>
    <w:rsid w:val="00F8233F"/>
    <w:rsid w:val="00F8252D"/>
    <w:rsid w:val="00F8269D"/>
    <w:rsid w:val="00F82BCE"/>
    <w:rsid w:val="00F8390E"/>
    <w:rsid w:val="00F83EE6"/>
    <w:rsid w:val="00F84248"/>
    <w:rsid w:val="00F854FE"/>
    <w:rsid w:val="00F868A2"/>
    <w:rsid w:val="00F86B17"/>
    <w:rsid w:val="00F87024"/>
    <w:rsid w:val="00F8793E"/>
    <w:rsid w:val="00F8794A"/>
    <w:rsid w:val="00F90DC9"/>
    <w:rsid w:val="00F91587"/>
    <w:rsid w:val="00F931C5"/>
    <w:rsid w:val="00F943AD"/>
    <w:rsid w:val="00F9455A"/>
    <w:rsid w:val="00F95373"/>
    <w:rsid w:val="00F960C4"/>
    <w:rsid w:val="00F96207"/>
    <w:rsid w:val="00F97372"/>
    <w:rsid w:val="00F97589"/>
    <w:rsid w:val="00F975B9"/>
    <w:rsid w:val="00F97EA7"/>
    <w:rsid w:val="00F97F51"/>
    <w:rsid w:val="00FA03F2"/>
    <w:rsid w:val="00FA0622"/>
    <w:rsid w:val="00FA0A5B"/>
    <w:rsid w:val="00FA0F9E"/>
    <w:rsid w:val="00FA15FD"/>
    <w:rsid w:val="00FA1C7B"/>
    <w:rsid w:val="00FA2369"/>
    <w:rsid w:val="00FA2717"/>
    <w:rsid w:val="00FA2749"/>
    <w:rsid w:val="00FA37DD"/>
    <w:rsid w:val="00FA39FA"/>
    <w:rsid w:val="00FA4565"/>
    <w:rsid w:val="00FA5256"/>
    <w:rsid w:val="00FA529A"/>
    <w:rsid w:val="00FA59A9"/>
    <w:rsid w:val="00FA5E34"/>
    <w:rsid w:val="00FA7380"/>
    <w:rsid w:val="00FB02DD"/>
    <w:rsid w:val="00FB1352"/>
    <w:rsid w:val="00FB2323"/>
    <w:rsid w:val="00FB34D9"/>
    <w:rsid w:val="00FB39CF"/>
    <w:rsid w:val="00FB41E1"/>
    <w:rsid w:val="00FB50DB"/>
    <w:rsid w:val="00FB51BF"/>
    <w:rsid w:val="00FB54FE"/>
    <w:rsid w:val="00FB6150"/>
    <w:rsid w:val="00FB7807"/>
    <w:rsid w:val="00FB7AB0"/>
    <w:rsid w:val="00FC08D4"/>
    <w:rsid w:val="00FC1ADD"/>
    <w:rsid w:val="00FC1C12"/>
    <w:rsid w:val="00FC1F39"/>
    <w:rsid w:val="00FC26B5"/>
    <w:rsid w:val="00FC5112"/>
    <w:rsid w:val="00FC54F6"/>
    <w:rsid w:val="00FC5505"/>
    <w:rsid w:val="00FC5B00"/>
    <w:rsid w:val="00FC5C39"/>
    <w:rsid w:val="00FC5EF5"/>
    <w:rsid w:val="00FC62DF"/>
    <w:rsid w:val="00FC656E"/>
    <w:rsid w:val="00FC67BB"/>
    <w:rsid w:val="00FC777B"/>
    <w:rsid w:val="00FD13C4"/>
    <w:rsid w:val="00FD14C0"/>
    <w:rsid w:val="00FD188D"/>
    <w:rsid w:val="00FD1B1E"/>
    <w:rsid w:val="00FD4380"/>
    <w:rsid w:val="00FD48F4"/>
    <w:rsid w:val="00FD52ED"/>
    <w:rsid w:val="00FD5D4F"/>
    <w:rsid w:val="00FD6092"/>
    <w:rsid w:val="00FD65F1"/>
    <w:rsid w:val="00FD6C56"/>
    <w:rsid w:val="00FD6F01"/>
    <w:rsid w:val="00FD6F64"/>
    <w:rsid w:val="00FD71D3"/>
    <w:rsid w:val="00FD7835"/>
    <w:rsid w:val="00FE0581"/>
    <w:rsid w:val="00FE09E0"/>
    <w:rsid w:val="00FE161D"/>
    <w:rsid w:val="00FE1B20"/>
    <w:rsid w:val="00FE21EF"/>
    <w:rsid w:val="00FE37C1"/>
    <w:rsid w:val="00FE4809"/>
    <w:rsid w:val="00FE4AC5"/>
    <w:rsid w:val="00FE7B86"/>
    <w:rsid w:val="00FE7CF9"/>
    <w:rsid w:val="00FE7D9F"/>
    <w:rsid w:val="00FF1D67"/>
    <w:rsid w:val="00FF2856"/>
    <w:rsid w:val="00FF3918"/>
    <w:rsid w:val="00FF50EC"/>
    <w:rsid w:val="00FF5B04"/>
    <w:rsid w:val="00FF6A3F"/>
    <w:rsid w:val="00FF704D"/>
    <w:rsid w:val="00FF7A7E"/>
    <w:rsid w:val="00FF7E68"/>
    <w:rsid w:val="02617E28"/>
    <w:rsid w:val="0392D7B8"/>
    <w:rsid w:val="0C2A24D0"/>
    <w:rsid w:val="0CEDC038"/>
    <w:rsid w:val="0FFC4E80"/>
    <w:rsid w:val="11377459"/>
    <w:rsid w:val="14F0A86E"/>
    <w:rsid w:val="1E5AF76B"/>
    <w:rsid w:val="27EC6742"/>
    <w:rsid w:val="34316D21"/>
    <w:rsid w:val="3B5298B7"/>
    <w:rsid w:val="43A04024"/>
    <w:rsid w:val="45C98AE9"/>
    <w:rsid w:val="45E8F8FA"/>
    <w:rsid w:val="472A258C"/>
    <w:rsid w:val="47FF70A3"/>
    <w:rsid w:val="48576021"/>
    <w:rsid w:val="4E513973"/>
    <w:rsid w:val="526CDD6D"/>
    <w:rsid w:val="542CA919"/>
    <w:rsid w:val="56B36E12"/>
    <w:rsid w:val="58ABCAB1"/>
    <w:rsid w:val="58CE7D09"/>
    <w:rsid w:val="5A4E18C3"/>
    <w:rsid w:val="5B64C100"/>
    <w:rsid w:val="604651F8"/>
    <w:rsid w:val="61248D58"/>
    <w:rsid w:val="63231835"/>
    <w:rsid w:val="6357F1DE"/>
    <w:rsid w:val="63F4ECA0"/>
    <w:rsid w:val="65265055"/>
    <w:rsid w:val="69098C53"/>
    <w:rsid w:val="6C8EE7EA"/>
    <w:rsid w:val="731BB128"/>
    <w:rsid w:val="7396FA7F"/>
    <w:rsid w:val="75EF828B"/>
    <w:rsid w:val="7A9C0FC5"/>
    <w:rsid w:val="7EB533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A933D7A"/>
  <w15:docId w15:val="{877801EB-9C7E-4670-BD27-0F231D06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ListParagraphChar">
    <w:name w:val="List Paragraph Char"/>
    <w:aliases w:val="3 Char,Bullet Paragraphs Char,Bullet Points Char,Dot pt Char,F5 List Paragraph Char,Indicator Text Char,Issue Action POC Char,List Paragraph Char Char Char Char,List Paragraph1 Char,Numbered Para 1 Char,POCG Table Text Char"/>
    <w:basedOn w:val="DefaultParagraphFont"/>
    <w:link w:val="ListParagraph"/>
    <w:uiPriority w:val="34"/>
    <w:locked/>
    <w:rsid w:val="009A5532"/>
    <w:rPr>
      <w:spacing w:val="-3"/>
      <w:sz w:val="24"/>
    </w:rPr>
  </w:style>
  <w:style w:type="paragraph" w:customStyle="1" w:styleId="p6">
    <w:name w:val="p6"/>
    <w:basedOn w:val="Normal"/>
    <w:rsid w:val="00477544"/>
    <w:pPr>
      <w:overflowPunct/>
      <w:ind w:left="777"/>
      <w:textAlignment w:val="auto"/>
    </w:pPr>
    <w:rPr>
      <w:rFonts w:ascii="Times New Roman" w:hAnsi="Times New Roman"/>
      <w:szCs w:val="24"/>
    </w:rPr>
  </w:style>
  <w:style w:type="paragraph" w:customStyle="1" w:styleId="Level2">
    <w:name w:val="Level 2"/>
    <w:basedOn w:val="Normal"/>
    <w:uiPriority w:val="99"/>
    <w:rsid w:val="00E30FD9"/>
    <w:pPr>
      <w:overflowPunct/>
      <w:ind w:left="722" w:hanging="361"/>
      <w:textAlignment w:val="auto"/>
    </w:pPr>
    <w:rPr>
      <w:rFonts w:ascii="Times New Roman" w:hAnsi="Times New Roman"/>
      <w:szCs w:val="24"/>
    </w:rPr>
  </w:style>
  <w:style w:type="character" w:styleId="UnresolvedMention">
    <w:name w:val="Unresolved Mention"/>
    <w:basedOn w:val="DefaultParagraphFont"/>
    <w:uiPriority w:val="99"/>
    <w:semiHidden/>
    <w:unhideWhenUsed/>
    <w:rsid w:val="001A13D1"/>
    <w:rPr>
      <w:color w:val="605E5C"/>
      <w:shd w:val="clear" w:color="auto" w:fill="E1DFDD"/>
    </w:rPr>
  </w:style>
  <w:style w:type="character" w:customStyle="1" w:styleId="CommentTextChar">
    <w:name w:val="Comment Text Char"/>
    <w:basedOn w:val="DefaultParagraphFont"/>
    <w:link w:val="CommentText"/>
    <w:rsid w:val="00FE161D"/>
    <w:rPr>
      <w:rFonts w:ascii="Courier" w:hAnsi="Courier"/>
    </w:rPr>
  </w:style>
  <w:style w:type="paragraph" w:styleId="NoSpacing">
    <w:name w:val="No Spacing"/>
    <w:link w:val="NoSpacingChar"/>
    <w:uiPriority w:val="1"/>
    <w:qFormat/>
    <w:rsid w:val="00E67570"/>
    <w:rPr>
      <w:rFonts w:ascii="Calibri" w:eastAsia="Calibri" w:hAnsi="Calibri"/>
      <w:sz w:val="22"/>
      <w:szCs w:val="22"/>
    </w:rPr>
  </w:style>
  <w:style w:type="character" w:customStyle="1" w:styleId="NoSpacingChar">
    <w:name w:val="No Spacing Char"/>
    <w:link w:val="NoSpacing"/>
    <w:uiPriority w:val="1"/>
    <w:rsid w:val="00E6757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www.bls.gov/oes/current/oes_nat.ht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3D8A803B97C449C3F4A0A11149BF6" ma:contentTypeVersion="11" ma:contentTypeDescription="Create a new document." ma:contentTypeScope="" ma:versionID="ae946d6b4cc016391ebfa6c1ae2317b7">
  <xsd:schema xmlns:xsd="http://www.w3.org/2001/XMLSchema" xmlns:xs="http://www.w3.org/2001/XMLSchema" xmlns:p="http://schemas.microsoft.com/office/2006/metadata/properties" xmlns:ns2="190132a1-b740-41e9-a9d3-aef04dc8f2ab" xmlns:ns3="1fa27c74-dbb6-4e30-b933-9d82255035f8" xmlns:ns4="73fb875a-8af9-4255-b008-0995492d31cd" targetNamespace="http://schemas.microsoft.com/office/2006/metadata/properties" ma:root="true" ma:fieldsID="9c174bf3ed93211398bbba44e3a8920f" ns2:_="" ns3:_="" ns4:_="">
    <xsd:import namespace="190132a1-b740-41e9-a9d3-aef04dc8f2ab"/>
    <xsd:import namespace="1fa27c74-dbb6-4e30-b933-9d82255035f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32a1-b740-41e9-a9d3-aef04dc8f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27c74-dbb6-4e30-b933-9d82255035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87fc19-7d4f-4113-b6f5-28a50fdb693f}" ma:internalName="TaxCatchAll" ma:showField="CatchAllData" ma:web="1fa27c74-dbb6-4e30-b933-9d8225503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190132a1-b740-41e9-a9d3-aef04dc8f2ab">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040F-1273-463F-93E2-11007532F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32a1-b740-41e9-a9d3-aef04dc8f2ab"/>
    <ds:schemaRef ds:uri="1fa27c74-dbb6-4e30-b933-9d82255035f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190132a1-b740-41e9-a9d3-aef04dc8f2ab"/>
    <ds:schemaRef ds:uri="http://schemas.microsoft.com/office/infopath/2007/PartnerControls"/>
    <ds:schemaRef ds:uri="73fb875a-8af9-4255-b008-0995492d31cd"/>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27</Pages>
  <Words>7741</Words>
  <Characters>44124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Sandberg, Christina - FNS</cp:lastModifiedBy>
  <cp:revision>442</cp:revision>
  <cp:lastPrinted>2013-08-08T17:23:00Z</cp:lastPrinted>
  <dcterms:created xsi:type="dcterms:W3CDTF">2024-08-19T14:30:00Z</dcterms:created>
  <dcterms:modified xsi:type="dcterms:W3CDTF">2025-02-21T16:12:00Z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0x010100DD63D8A803B97C449C3F4A0A11149BF6</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