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01347" w:rsidRPr="00E12A81" w:rsidP="2DDF10C6" w14:paraId="3D99F753" w14:textId="77777777">
      <w:pPr>
        <w:pStyle w:val="NoSpacing"/>
        <w:spacing w:line="259" w:lineRule="auto"/>
        <w:jc w:val="center"/>
        <w:rPr>
          <w:rFonts w:ascii="Calibri" w:hAnsi="Calibri" w:cs="Calibri"/>
          <w:b/>
          <w:bCs/>
          <w:sz w:val="24"/>
          <w:szCs w:val="24"/>
        </w:rPr>
      </w:pPr>
      <w:r w:rsidRPr="2DDF10C6">
        <w:rPr>
          <w:rFonts w:ascii="Calibri" w:hAnsi="Calibri" w:cs="Calibri"/>
          <w:b/>
          <w:bCs/>
          <w:sz w:val="24"/>
          <w:szCs w:val="24"/>
        </w:rPr>
        <w:t>SUPPORTING STATEMENT</w:t>
      </w:r>
      <w:r w:rsidRPr="2DDF10C6" w:rsidR="007F2304">
        <w:rPr>
          <w:rFonts w:ascii="Calibri" w:hAnsi="Calibri" w:cs="Calibri"/>
          <w:b/>
          <w:bCs/>
          <w:sz w:val="24"/>
          <w:szCs w:val="24"/>
        </w:rPr>
        <w:t xml:space="preserve"> A</w:t>
      </w:r>
    </w:p>
    <w:p w:rsidR="00E12A81" w:rsidRPr="00E12A81" w:rsidP="00E12A81" w14:paraId="1AC24A25" w14:textId="77777777">
      <w:pPr>
        <w:pStyle w:val="NoSpacing"/>
        <w:jc w:val="center"/>
        <w:rPr>
          <w:rFonts w:ascii="Calibri" w:hAnsi="Calibri" w:cs="Calibri"/>
          <w:b/>
          <w:sz w:val="24"/>
        </w:rPr>
      </w:pPr>
      <w:r w:rsidRPr="00E12A81">
        <w:rPr>
          <w:rFonts w:ascii="Calibri" w:hAnsi="Calibri" w:cs="Calibri"/>
          <w:b/>
          <w:sz w:val="24"/>
        </w:rPr>
        <w:t>U.S. Department of Commerce</w:t>
      </w:r>
    </w:p>
    <w:p w:rsidR="00201347" w:rsidRPr="00E12A81" w:rsidP="00E12A81" w14:paraId="6D9F978C" w14:textId="77777777">
      <w:pPr>
        <w:pStyle w:val="NoSpacing"/>
        <w:jc w:val="center"/>
        <w:rPr>
          <w:rFonts w:ascii="Calibri" w:hAnsi="Calibri" w:cs="Calibri"/>
          <w:b/>
          <w:sz w:val="24"/>
        </w:rPr>
      </w:pPr>
      <w:r>
        <w:rPr>
          <w:rFonts w:ascii="Calibri" w:hAnsi="Calibri" w:cs="Calibri"/>
          <w:b/>
          <w:sz w:val="24"/>
        </w:rPr>
        <w:t>U.S. Census Bureau</w:t>
      </w:r>
    </w:p>
    <w:p w:rsidR="00E12A81" w:rsidRPr="00D51045" w:rsidP="00E12A81" w14:paraId="02DC0E54" w14:textId="67615E55">
      <w:pPr>
        <w:pStyle w:val="NoSpacing"/>
        <w:jc w:val="center"/>
        <w:rPr>
          <w:rFonts w:asciiTheme="minorHAnsi" w:hAnsiTheme="minorHAnsi" w:cstheme="minorHAnsi"/>
          <w:b/>
          <w:color w:val="FF0000"/>
          <w:sz w:val="24"/>
        </w:rPr>
      </w:pPr>
      <w:r w:rsidRPr="00D51045">
        <w:rPr>
          <w:rFonts w:eastAsia="Times New Roman" w:asciiTheme="minorHAnsi" w:hAnsiTheme="minorHAnsi" w:cstheme="minorHAnsi"/>
          <w:b/>
          <w:sz w:val="24"/>
          <w:szCs w:val="20"/>
        </w:rPr>
        <w:t xml:space="preserve">Generic Clearance for </w:t>
      </w:r>
      <w:bookmarkStart w:id="0" w:name="_Hlk179190983"/>
      <w:r w:rsidRPr="00D51045">
        <w:rPr>
          <w:rFonts w:eastAsia="Times New Roman" w:asciiTheme="minorHAnsi" w:hAnsiTheme="minorHAnsi" w:cstheme="minorHAnsi"/>
          <w:b/>
          <w:sz w:val="24"/>
          <w:szCs w:val="20"/>
        </w:rPr>
        <w:t xml:space="preserve">2030 Census Small-Scale Tests, Evaluations, and </w:t>
      </w:r>
      <w:r w:rsidRPr="00D51045" w:rsidR="004A7444">
        <w:rPr>
          <w:rFonts w:eastAsia="Times New Roman" w:asciiTheme="minorHAnsi" w:hAnsiTheme="minorHAnsi" w:cstheme="minorHAnsi"/>
          <w:b/>
          <w:sz w:val="24"/>
          <w:szCs w:val="20"/>
        </w:rPr>
        <w:t xml:space="preserve">Database </w:t>
      </w:r>
      <w:r w:rsidRPr="00D51045">
        <w:rPr>
          <w:rFonts w:eastAsia="Times New Roman" w:asciiTheme="minorHAnsi" w:hAnsiTheme="minorHAnsi" w:cstheme="minorHAnsi"/>
          <w:b/>
          <w:sz w:val="24"/>
          <w:szCs w:val="20"/>
        </w:rPr>
        <w:t>Updates</w:t>
      </w:r>
      <w:bookmarkEnd w:id="0"/>
      <w:r w:rsidRPr="00D51045" w:rsidR="001F2674">
        <w:rPr>
          <w:rFonts w:asciiTheme="minorHAnsi" w:hAnsiTheme="minorHAnsi" w:cstheme="minorHAnsi"/>
          <w:b/>
          <w:color w:val="FF0000"/>
          <w:sz w:val="24"/>
        </w:rPr>
        <w:t xml:space="preserve"> </w:t>
      </w:r>
    </w:p>
    <w:p w:rsidR="00201347" w:rsidRPr="00D51045" w:rsidP="00E12A81" w14:paraId="55C6B4DF" w14:textId="77777777">
      <w:pPr>
        <w:pStyle w:val="NoSpacing"/>
        <w:jc w:val="center"/>
        <w:rPr>
          <w:rFonts w:asciiTheme="minorHAnsi" w:hAnsiTheme="minorHAnsi" w:cstheme="minorHAnsi"/>
          <w:b/>
          <w:sz w:val="24"/>
        </w:rPr>
      </w:pPr>
      <w:r w:rsidRPr="00D51045">
        <w:rPr>
          <w:rFonts w:asciiTheme="minorHAnsi" w:hAnsiTheme="minorHAnsi" w:cstheme="minorHAnsi"/>
          <w:b/>
          <w:sz w:val="24"/>
        </w:rPr>
        <w:t xml:space="preserve">OMB Control No. </w:t>
      </w:r>
      <w:r w:rsidRPr="00D51045" w:rsidR="00E12A81">
        <w:rPr>
          <w:rFonts w:asciiTheme="minorHAnsi" w:hAnsiTheme="minorHAnsi" w:cstheme="minorHAnsi"/>
          <w:b/>
          <w:sz w:val="24"/>
        </w:rPr>
        <w:t>0607</w:t>
      </w:r>
      <w:r w:rsidRPr="00D51045">
        <w:rPr>
          <w:rFonts w:asciiTheme="minorHAnsi" w:hAnsiTheme="minorHAnsi" w:cstheme="minorHAnsi"/>
          <w:b/>
          <w:sz w:val="24"/>
        </w:rPr>
        <w:t>-XXXX</w:t>
      </w:r>
    </w:p>
    <w:p w:rsidR="00201347" w:rsidRPr="00124446" w14:paraId="672A6659" w14:textId="77777777">
      <w:pPr>
        <w:pStyle w:val="BodyText"/>
        <w:spacing w:before="1"/>
        <w:ind w:left="0"/>
        <w:rPr>
          <w:rFonts w:ascii="Calibri" w:hAnsi="Calibri" w:cs="Calibri"/>
          <w:b/>
          <w:sz w:val="31"/>
        </w:rPr>
      </w:pPr>
    </w:p>
    <w:p w:rsidR="00201347" w:rsidRPr="00124446" w:rsidP="007F2304" w14:paraId="7CBFD60A" w14:textId="6D7DBFBA">
      <w:pPr>
        <w:pStyle w:val="Heading1"/>
        <w:spacing w:before="199"/>
        <w:ind w:left="0"/>
        <w:rPr>
          <w:rFonts w:ascii="Calibri" w:hAnsi="Calibri" w:cs="Calibri"/>
        </w:rPr>
      </w:pPr>
      <w:r w:rsidRPr="00124446">
        <w:rPr>
          <w:rFonts w:ascii="Calibri" w:hAnsi="Calibri" w:cs="Calibri"/>
        </w:rPr>
        <w:t>Abstract</w:t>
      </w:r>
    </w:p>
    <w:p w:rsidR="007F2304" w:rsidRPr="005B035B" w:rsidP="1ECBE758" w14:paraId="46F543FC" w14:textId="19F2E33D">
      <w:pPr>
        <w:spacing w:before="161"/>
        <w:rPr>
          <w:rFonts w:ascii="Calibri" w:hAnsi="Calibri" w:cs="Calibri"/>
          <w:color w:val="FF0000"/>
          <w:sz w:val="24"/>
          <w:szCs w:val="24"/>
        </w:rPr>
      </w:pPr>
      <w:r w:rsidRPr="19AB3403">
        <w:rPr>
          <w:rFonts w:ascii="Calibri" w:hAnsi="Calibri" w:cs="Calibri"/>
          <w:sz w:val="24"/>
          <w:szCs w:val="24"/>
        </w:rPr>
        <w:t xml:space="preserve">The U.S. Census Bureau plans to request OMB approval for a three-year period for a new Generic Information Collection to conduct a series of studies to research and evaluate how to improve data collection activities for 2030 Census programs at the Census Bureau. </w:t>
      </w:r>
      <w:r w:rsidRPr="19AB3403" w:rsidR="6389DB9B">
        <w:rPr>
          <w:rFonts w:ascii="Calibri" w:hAnsi="Calibri" w:cs="Calibri"/>
          <w:sz w:val="24"/>
          <w:szCs w:val="24"/>
        </w:rPr>
        <w:t xml:space="preserve">In addition, the Census Bureau </w:t>
      </w:r>
      <w:r w:rsidRPr="19AB3403" w:rsidR="1BE699B9">
        <w:rPr>
          <w:rFonts w:ascii="Calibri" w:eastAsia="Calibri" w:hAnsi="Calibri" w:cs="Calibri"/>
          <w:sz w:val="24"/>
          <w:szCs w:val="24"/>
        </w:rPr>
        <w:t xml:space="preserve">plans to use this generic clearance to test updating address databases and other datasets used to plan and conduct larger tests and the 2030 Census itself. </w:t>
      </w:r>
      <w:r w:rsidRPr="19AB3403" w:rsidR="00576202">
        <w:rPr>
          <w:rFonts w:ascii="Calibri" w:eastAsia="Calibri" w:hAnsi="Calibri" w:cs="Calibri"/>
          <w:sz w:val="24"/>
          <w:szCs w:val="24"/>
        </w:rPr>
        <w:t xml:space="preserve">Both the database updates and the studies are informed by recommendations developed </w:t>
      </w:r>
      <w:r w:rsidRPr="19AB3403" w:rsidR="6389DB9B">
        <w:rPr>
          <w:rFonts w:ascii="Calibri" w:hAnsi="Calibri" w:cs="Calibri"/>
          <w:sz w:val="24"/>
          <w:szCs w:val="24"/>
        </w:rPr>
        <w:t>from lessons learned from previous censuses</w:t>
      </w:r>
      <w:r w:rsidRPr="19AB3403" w:rsidR="6D62CF0C">
        <w:rPr>
          <w:rFonts w:ascii="Calibri" w:hAnsi="Calibri" w:cs="Calibri"/>
          <w:sz w:val="24"/>
          <w:szCs w:val="24"/>
        </w:rPr>
        <w:t>,</w:t>
      </w:r>
      <w:r w:rsidRPr="19AB3403" w:rsidR="6389DB9B">
        <w:rPr>
          <w:rFonts w:ascii="Calibri" w:hAnsi="Calibri" w:cs="Calibri"/>
          <w:sz w:val="24"/>
          <w:szCs w:val="24"/>
        </w:rPr>
        <w:t xml:space="preserve"> suggestions</w:t>
      </w:r>
      <w:r w:rsidRPr="19AB3403" w:rsidR="4A4CAA61">
        <w:rPr>
          <w:rFonts w:ascii="Calibri" w:hAnsi="Calibri" w:cs="Calibri"/>
          <w:sz w:val="24"/>
          <w:szCs w:val="24"/>
        </w:rPr>
        <w:t xml:space="preserve"> received</w:t>
      </w:r>
      <w:r w:rsidRPr="19AB3403" w:rsidR="6389DB9B">
        <w:rPr>
          <w:rFonts w:ascii="Calibri" w:hAnsi="Calibri" w:cs="Calibri"/>
          <w:sz w:val="24"/>
          <w:szCs w:val="24"/>
        </w:rPr>
        <w:t xml:space="preserve"> from stakeholders, focus groups, a</w:t>
      </w:r>
      <w:r w:rsidRPr="19AB3403" w:rsidR="5D7A984E">
        <w:rPr>
          <w:rFonts w:ascii="Calibri" w:hAnsi="Calibri" w:cs="Calibri"/>
          <w:sz w:val="24"/>
          <w:szCs w:val="24"/>
        </w:rPr>
        <w:t>s well as</w:t>
      </w:r>
      <w:r w:rsidRPr="19AB3403" w:rsidR="6389DB9B">
        <w:rPr>
          <w:rFonts w:ascii="Calibri" w:hAnsi="Calibri" w:cs="Calibri"/>
          <w:sz w:val="24"/>
          <w:szCs w:val="24"/>
        </w:rPr>
        <w:t xml:space="preserve"> </w:t>
      </w:r>
      <w:r w:rsidRPr="19AB3403" w:rsidR="0492771E">
        <w:rPr>
          <w:rFonts w:ascii="Calibri" w:hAnsi="Calibri" w:cs="Calibri"/>
          <w:sz w:val="24"/>
          <w:szCs w:val="24"/>
        </w:rPr>
        <w:t xml:space="preserve">the </w:t>
      </w:r>
      <w:r w:rsidRPr="19AB3403" w:rsidR="6389DB9B">
        <w:rPr>
          <w:rFonts w:ascii="Calibri" w:hAnsi="Calibri" w:cs="Calibri"/>
          <w:sz w:val="24"/>
          <w:szCs w:val="24"/>
        </w:rPr>
        <w:t>results of earlier research studies</w:t>
      </w:r>
      <w:r w:rsidRPr="19AB3403" w:rsidR="38065DBA">
        <w:rPr>
          <w:rFonts w:ascii="Calibri" w:hAnsi="Calibri" w:cs="Calibri"/>
          <w:sz w:val="24"/>
          <w:szCs w:val="24"/>
        </w:rPr>
        <w:t>.</w:t>
      </w:r>
      <w:r w:rsidRPr="19AB3403" w:rsidR="6389DB9B">
        <w:rPr>
          <w:rFonts w:ascii="Calibri" w:hAnsi="Calibri" w:cs="Calibri"/>
          <w:sz w:val="24"/>
          <w:szCs w:val="24"/>
        </w:rPr>
        <w:t xml:space="preserve"> </w:t>
      </w:r>
      <w:r w:rsidRPr="19AB3403" w:rsidR="17375194">
        <w:rPr>
          <w:rFonts w:ascii="Calibri" w:hAnsi="Calibri" w:cs="Calibri"/>
          <w:sz w:val="24"/>
          <w:szCs w:val="24"/>
        </w:rPr>
        <w:t>U</w:t>
      </w:r>
      <w:r w:rsidRPr="19AB3403">
        <w:rPr>
          <w:rFonts w:ascii="Calibri" w:hAnsi="Calibri" w:cs="Calibri"/>
          <w:sz w:val="24"/>
          <w:szCs w:val="24"/>
        </w:rPr>
        <w:t xml:space="preserve">nder this Generic Information Collection, the Census Bureau plans to </w:t>
      </w:r>
      <w:r w:rsidRPr="19AB3403" w:rsidR="6389DB9B">
        <w:rPr>
          <w:rFonts w:ascii="Calibri" w:hAnsi="Calibri" w:cs="Calibri"/>
          <w:sz w:val="24"/>
          <w:szCs w:val="24"/>
        </w:rPr>
        <w:t xml:space="preserve">test </w:t>
      </w:r>
      <w:r w:rsidRPr="19AB3403">
        <w:rPr>
          <w:rFonts w:ascii="Calibri" w:hAnsi="Calibri" w:cs="Calibri"/>
          <w:sz w:val="24"/>
          <w:szCs w:val="24"/>
        </w:rPr>
        <w:t>implement</w:t>
      </w:r>
      <w:r w:rsidRPr="19AB3403" w:rsidR="6389DB9B">
        <w:rPr>
          <w:rFonts w:ascii="Calibri" w:hAnsi="Calibri" w:cs="Calibri"/>
          <w:sz w:val="24"/>
          <w:szCs w:val="24"/>
        </w:rPr>
        <w:t>ing</w:t>
      </w:r>
      <w:r w:rsidRPr="19AB3403">
        <w:rPr>
          <w:rFonts w:ascii="Calibri" w:hAnsi="Calibri" w:cs="Calibri"/>
          <w:sz w:val="24"/>
          <w:szCs w:val="24"/>
        </w:rPr>
        <w:t xml:space="preserve"> some of </w:t>
      </w:r>
      <w:r w:rsidRPr="19AB3403" w:rsidR="6389DB9B">
        <w:rPr>
          <w:rFonts w:ascii="Calibri" w:hAnsi="Calibri" w:cs="Calibri"/>
          <w:sz w:val="24"/>
          <w:szCs w:val="24"/>
        </w:rPr>
        <w:t xml:space="preserve">those </w:t>
      </w:r>
      <w:r w:rsidRPr="19AB3403">
        <w:rPr>
          <w:rFonts w:ascii="Calibri" w:hAnsi="Calibri" w:cs="Calibri"/>
          <w:sz w:val="24"/>
          <w:szCs w:val="24"/>
        </w:rPr>
        <w:t>recommendations</w:t>
      </w:r>
      <w:r w:rsidRPr="19AB3403" w:rsidR="6389DB9B">
        <w:rPr>
          <w:rFonts w:ascii="Calibri" w:hAnsi="Calibri" w:cs="Calibri"/>
          <w:sz w:val="24"/>
          <w:szCs w:val="24"/>
        </w:rPr>
        <w:t xml:space="preserve"> and suggestions.</w:t>
      </w:r>
      <w:r w:rsidRPr="19AB3403">
        <w:rPr>
          <w:rFonts w:ascii="Calibri" w:hAnsi="Calibri" w:cs="Calibri"/>
          <w:sz w:val="24"/>
          <w:szCs w:val="24"/>
        </w:rPr>
        <w:t xml:space="preserve"> These studies will explore how the Census Bureau can improve efficiency, data quality, and response rates and reduce respondent burden in future census and survey </w:t>
      </w:r>
      <w:r w:rsidRPr="19AB3403" w:rsidR="6389DB9B">
        <w:rPr>
          <w:rFonts w:ascii="Calibri" w:hAnsi="Calibri" w:cs="Calibri"/>
          <w:sz w:val="24"/>
          <w:szCs w:val="24"/>
        </w:rPr>
        <w:t xml:space="preserve">tests, </w:t>
      </w:r>
      <w:r w:rsidRPr="19AB3403">
        <w:rPr>
          <w:rFonts w:ascii="Calibri" w:hAnsi="Calibri" w:cs="Calibri"/>
          <w:sz w:val="24"/>
          <w:szCs w:val="24"/>
        </w:rPr>
        <w:t xml:space="preserve">operations, evaluations, experiments, and </w:t>
      </w:r>
      <w:r w:rsidRPr="19AB3403" w:rsidR="6389DB9B">
        <w:rPr>
          <w:rFonts w:ascii="Calibri" w:hAnsi="Calibri" w:cs="Calibri"/>
          <w:sz w:val="24"/>
          <w:szCs w:val="24"/>
        </w:rPr>
        <w:t xml:space="preserve">database </w:t>
      </w:r>
      <w:r w:rsidRPr="19AB3403">
        <w:rPr>
          <w:rFonts w:ascii="Calibri" w:hAnsi="Calibri" w:cs="Calibri"/>
          <w:sz w:val="24"/>
          <w:szCs w:val="24"/>
        </w:rPr>
        <w:t>updates. Having it as a Generic Information Collection will also provide the quick turn-around necessary for conducting tests in response to unanticipated international, national, regional, or state-level emergencies and other disruptions that could have a major impact on</w:t>
      </w:r>
      <w:r w:rsidRPr="19AB3403" w:rsidR="6389DB9B">
        <w:rPr>
          <w:rFonts w:ascii="Calibri" w:hAnsi="Calibri" w:cs="Calibri"/>
          <w:sz w:val="24"/>
          <w:szCs w:val="24"/>
        </w:rPr>
        <w:t xml:space="preserve"> the development and planning of</w:t>
      </w:r>
      <w:r w:rsidRPr="19AB3403">
        <w:rPr>
          <w:rFonts w:ascii="Calibri" w:hAnsi="Calibri" w:cs="Calibri"/>
          <w:sz w:val="24"/>
          <w:szCs w:val="24"/>
        </w:rPr>
        <w:t xml:space="preserve"> </w:t>
      </w:r>
      <w:r w:rsidRPr="19AB3403" w:rsidR="3D20A3CB">
        <w:rPr>
          <w:rFonts w:ascii="Calibri" w:hAnsi="Calibri" w:cs="Calibri"/>
          <w:sz w:val="24"/>
          <w:szCs w:val="24"/>
        </w:rPr>
        <w:t xml:space="preserve">census </w:t>
      </w:r>
      <w:r w:rsidRPr="19AB3403">
        <w:rPr>
          <w:rFonts w:ascii="Calibri" w:hAnsi="Calibri" w:cs="Calibri"/>
          <w:sz w:val="24"/>
          <w:szCs w:val="24"/>
        </w:rPr>
        <w:t>operations.</w:t>
      </w:r>
    </w:p>
    <w:p w:rsidR="007F2304" w:rsidRPr="005B035B" w:rsidP="007F2304" w14:paraId="5DAB6C7B" w14:textId="77777777">
      <w:pPr>
        <w:spacing w:before="144" w:line="259" w:lineRule="auto"/>
        <w:rPr>
          <w:rFonts w:ascii="Calibri" w:hAnsi="Calibri" w:cs="Calibri"/>
          <w:bCs/>
          <w:sz w:val="24"/>
        </w:rPr>
      </w:pPr>
    </w:p>
    <w:p w:rsidR="00201347" w:rsidRPr="00124446" w:rsidP="007F2304" w14:paraId="2D134F98" w14:textId="77777777">
      <w:pPr>
        <w:pStyle w:val="Heading1"/>
        <w:spacing w:before="124"/>
        <w:ind w:left="0"/>
        <w:rPr>
          <w:rFonts w:ascii="Calibri" w:hAnsi="Calibri" w:cs="Calibri"/>
        </w:rPr>
      </w:pPr>
      <w:r w:rsidRPr="00124446">
        <w:rPr>
          <w:rFonts w:ascii="Calibri" w:hAnsi="Calibri" w:cs="Calibri"/>
        </w:rPr>
        <w:t>Justification</w:t>
      </w:r>
    </w:p>
    <w:p w:rsidR="00201347" w:rsidRPr="00124446" w:rsidP="00844D2F" w14:paraId="4E9A3E84" w14:textId="77777777">
      <w:pPr>
        <w:pStyle w:val="ListParagraph"/>
        <w:numPr>
          <w:ilvl w:val="0"/>
          <w:numId w:val="9"/>
        </w:numPr>
        <w:tabs>
          <w:tab w:val="left" w:pos="669"/>
        </w:tabs>
        <w:spacing w:before="182" w:line="259" w:lineRule="auto"/>
        <w:ind w:left="360" w:hanging="360"/>
        <w:rPr>
          <w:rFonts w:ascii="Calibri" w:hAnsi="Calibri" w:cs="Calibri"/>
          <w:b/>
          <w:sz w:val="24"/>
        </w:rPr>
      </w:pPr>
      <w:r w:rsidRPr="00124446">
        <w:rPr>
          <w:rFonts w:ascii="Calibri" w:hAnsi="Calibri" w:cs="Calibri"/>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10D50" w:rsidP="141FC402" w14:paraId="12F81461" w14:textId="1F43DF86">
      <w:pPr>
        <w:spacing w:before="161"/>
        <w:ind w:left="400"/>
        <w:rPr>
          <w:rFonts w:asciiTheme="minorHAnsi" w:hAnsiTheme="minorHAnsi" w:cstheme="minorBidi"/>
          <w:sz w:val="24"/>
          <w:szCs w:val="24"/>
        </w:rPr>
      </w:pPr>
      <w:r w:rsidRPr="141FC402">
        <w:rPr>
          <w:rFonts w:asciiTheme="minorHAnsi" w:hAnsiTheme="minorHAnsi" w:cstheme="minorBidi"/>
          <w:sz w:val="24"/>
          <w:szCs w:val="24"/>
        </w:rPr>
        <w:t xml:space="preserve">The U.S. Census Bureau is committed to conducting research towards decennial census operations </w:t>
      </w:r>
      <w:r w:rsidRPr="141FC402" w:rsidR="7B3E6D59">
        <w:rPr>
          <w:rFonts w:asciiTheme="minorHAnsi" w:hAnsiTheme="minorHAnsi" w:cstheme="minorBidi"/>
          <w:sz w:val="24"/>
          <w:szCs w:val="24"/>
        </w:rPr>
        <w:t xml:space="preserve">that </w:t>
      </w:r>
      <w:r w:rsidRPr="141FC402" w:rsidR="00F72079">
        <w:rPr>
          <w:rFonts w:asciiTheme="minorHAnsi" w:hAnsiTheme="minorHAnsi" w:cstheme="minorBidi"/>
          <w:sz w:val="24"/>
          <w:szCs w:val="24"/>
        </w:rPr>
        <w:t>produce an efficient, effective, and quality census that counts the people of our nation, once, only once and in the right place</w:t>
      </w:r>
      <w:r w:rsidRPr="141FC402">
        <w:rPr>
          <w:rFonts w:asciiTheme="minorHAnsi" w:hAnsiTheme="minorHAnsi" w:cstheme="minorBidi"/>
          <w:sz w:val="24"/>
          <w:szCs w:val="24"/>
        </w:rPr>
        <w:t xml:space="preserve">. The Census Bureau requests a new information collection for obtaining generic clearances </w:t>
      </w:r>
      <w:r w:rsidRPr="141FC402">
        <w:rPr>
          <w:rFonts w:ascii="Calibri" w:hAnsi="Calibri" w:cs="Calibri"/>
          <w:sz w:val="24"/>
          <w:szCs w:val="24"/>
        </w:rPr>
        <w:t>to conduct a series of studies to research and evaluate how to improve data collection activities for 2030 Census data collection programs at the Census Bureau and to update Census Bureau databases in support of the 2030 Census.</w:t>
      </w:r>
      <w:r w:rsidRPr="141FC402">
        <w:rPr>
          <w:rFonts w:asciiTheme="minorHAnsi" w:hAnsiTheme="minorHAnsi" w:cstheme="minorBidi"/>
          <w:sz w:val="24"/>
          <w:szCs w:val="24"/>
        </w:rPr>
        <w:t xml:space="preserve"> These studies will explore how the Census Bureau can improve efficiency, data quality, and response rates and reduce respondent burden in future census and survey operations, evaluations</w:t>
      </w:r>
      <w:r w:rsidRPr="141FC402" w:rsidR="00424F2B">
        <w:rPr>
          <w:rFonts w:asciiTheme="minorHAnsi" w:hAnsiTheme="minorHAnsi" w:cstheme="minorBidi"/>
          <w:sz w:val="24"/>
          <w:szCs w:val="24"/>
        </w:rPr>
        <w:t>,</w:t>
      </w:r>
      <w:r w:rsidRPr="141FC402">
        <w:rPr>
          <w:rFonts w:asciiTheme="minorHAnsi" w:hAnsiTheme="minorHAnsi" w:cstheme="minorBidi"/>
          <w:sz w:val="24"/>
          <w:szCs w:val="24"/>
        </w:rPr>
        <w:t xml:space="preserve"> and experiments.</w:t>
      </w:r>
    </w:p>
    <w:p w:rsidR="00E10D50" w:rsidRPr="00E10D50" w:rsidP="1C14B75A" w14:paraId="4FE7745E" w14:textId="55837F99">
      <w:pPr>
        <w:spacing w:before="161"/>
        <w:ind w:left="400"/>
        <w:rPr>
          <w:rFonts w:asciiTheme="minorHAnsi" w:hAnsiTheme="minorHAnsi" w:cstheme="minorBidi"/>
          <w:sz w:val="24"/>
          <w:szCs w:val="24"/>
        </w:rPr>
      </w:pPr>
      <w:r w:rsidRPr="1C14B75A">
        <w:rPr>
          <w:rFonts w:asciiTheme="minorHAnsi" w:hAnsiTheme="minorHAnsi" w:cstheme="minorBidi"/>
          <w:sz w:val="24"/>
          <w:szCs w:val="24"/>
        </w:rPr>
        <w:t xml:space="preserve">This information collection will operate as a generic clearance. The estimated number of respondents and annual reporting hours requested cover both the known and yet to be determined tests. A generic clearance is needed for these tests </w:t>
      </w:r>
      <w:r w:rsidRPr="1C14B75A" w:rsidR="6319E8F1">
        <w:rPr>
          <w:rFonts w:asciiTheme="minorHAnsi" w:hAnsiTheme="minorHAnsi" w:cstheme="minorBidi"/>
          <w:sz w:val="24"/>
          <w:szCs w:val="24"/>
        </w:rPr>
        <w:t xml:space="preserve">and database updates </w:t>
      </w:r>
      <w:r w:rsidRPr="1C14B75A">
        <w:rPr>
          <w:rFonts w:asciiTheme="minorHAnsi" w:hAnsiTheme="minorHAnsi" w:cstheme="minorBidi"/>
          <w:sz w:val="24"/>
          <w:szCs w:val="24"/>
        </w:rPr>
        <w:t>because though each share similar methodology, the explicit details of each test</w:t>
      </w:r>
      <w:r w:rsidRPr="1C14B75A" w:rsidR="4EA4A5F8">
        <w:rPr>
          <w:rFonts w:asciiTheme="minorHAnsi" w:hAnsiTheme="minorHAnsi" w:cstheme="minorBidi"/>
          <w:sz w:val="24"/>
          <w:szCs w:val="24"/>
        </w:rPr>
        <w:t xml:space="preserve"> and database update</w:t>
      </w:r>
      <w:r w:rsidRPr="1C14B75A">
        <w:rPr>
          <w:rFonts w:asciiTheme="minorHAnsi" w:hAnsiTheme="minorHAnsi" w:cstheme="minorBidi"/>
          <w:sz w:val="24"/>
          <w:szCs w:val="24"/>
        </w:rPr>
        <w:t xml:space="preserve"> to be performed has yet to be determined. Once information collection plans are defined, they will be </w:t>
      </w:r>
      <w:r w:rsidRPr="1C14B75A">
        <w:rPr>
          <w:rFonts w:asciiTheme="minorHAnsi" w:hAnsiTheme="minorHAnsi" w:cstheme="minorBidi"/>
          <w:sz w:val="24"/>
          <w:szCs w:val="24"/>
        </w:rPr>
        <w:t>submitted on an individual basis for approval.</w:t>
      </w:r>
    </w:p>
    <w:p w:rsidR="00E10D50" w:rsidRPr="00E10D50" w:rsidP="00E10D50" w14:paraId="7D682AC3" w14:textId="712A311B">
      <w:pPr>
        <w:spacing w:before="161"/>
        <w:ind w:left="400"/>
        <w:rPr>
          <w:rFonts w:asciiTheme="minorHAnsi" w:hAnsiTheme="minorHAnsi" w:cstheme="minorHAnsi"/>
          <w:bCs/>
          <w:sz w:val="24"/>
        </w:rPr>
      </w:pPr>
      <w:r w:rsidRPr="00E10D50">
        <w:rPr>
          <w:rFonts w:asciiTheme="minorHAnsi" w:hAnsiTheme="minorHAnsi" w:cstheme="minorHAnsi"/>
          <w:bCs/>
          <w:sz w:val="24"/>
        </w:rPr>
        <w:t>The Census Bureau plans to test the use of new and improved data collection techniques for self-enumeration and interviewer data-collection tasks surrounding and following the ongoing census and survey operations. The research and evaluation may include</w:t>
      </w:r>
      <w:r w:rsidR="00190AF6">
        <w:rPr>
          <w:rFonts w:asciiTheme="minorHAnsi" w:hAnsiTheme="minorHAnsi" w:cstheme="minorHAnsi"/>
          <w:bCs/>
          <w:sz w:val="24"/>
        </w:rPr>
        <w:t xml:space="preserve"> the following</w:t>
      </w:r>
      <w:r w:rsidRPr="00E10D50">
        <w:rPr>
          <w:rFonts w:asciiTheme="minorHAnsi" w:hAnsiTheme="minorHAnsi" w:cstheme="minorHAnsi"/>
          <w:bCs/>
          <w:sz w:val="24"/>
        </w:rPr>
        <w:t xml:space="preserve">: </w:t>
      </w:r>
      <w:r w:rsidR="00E519E9">
        <w:rPr>
          <w:rFonts w:asciiTheme="minorHAnsi" w:hAnsiTheme="minorHAnsi" w:cstheme="minorHAnsi"/>
          <w:bCs/>
          <w:sz w:val="24"/>
        </w:rPr>
        <w:t xml:space="preserve"> </w:t>
      </w:r>
      <w:r w:rsidRPr="00E10D50">
        <w:rPr>
          <w:rFonts w:asciiTheme="minorHAnsi" w:hAnsiTheme="minorHAnsi" w:cstheme="minorHAnsi"/>
          <w:bCs/>
          <w:sz w:val="24"/>
        </w:rPr>
        <w:t>research on public outreach, messaging, and similar invitations to participate in surveys; developing alternative enumeration or follow-up questionnaires; usability issues; conducting interviews or debriefings; and non-English language training and interviews. The questions asked in these studies will be typical census or survey questions and questions related to that content or attitudinal, opinion and satisfaction questions related to responding to Census Bureau surveys.</w:t>
      </w:r>
    </w:p>
    <w:p w:rsidR="002A1D08" w:rsidP="008C4A87" w14:paraId="6A05A809" w14:textId="3B716BBC">
      <w:pPr>
        <w:spacing w:before="161"/>
        <w:ind w:left="400"/>
        <w:rPr>
          <w:rFonts w:asciiTheme="minorHAnsi" w:hAnsiTheme="minorHAnsi" w:cstheme="minorHAnsi"/>
          <w:bCs/>
          <w:sz w:val="24"/>
        </w:rPr>
      </w:pPr>
      <w:r w:rsidRPr="00E10D50">
        <w:rPr>
          <w:rFonts w:asciiTheme="minorHAnsi" w:hAnsiTheme="minorHAnsi" w:cstheme="minorHAnsi"/>
          <w:bCs/>
          <w:sz w:val="24"/>
        </w:rPr>
        <w:t>The Census Bureau plans to conduct these tests in small geographic areas or national samples over the next three years. We will follow the protocol of past generic clearances: at least 30 days before the scheduled start date of each field test, we will provide OMB with a detailed background on the activity, estimates of respondent burden, and samples of pertinent forms and/or questions.</w:t>
      </w:r>
      <w:r>
        <w:rPr>
          <w:rFonts w:asciiTheme="minorHAnsi" w:hAnsiTheme="minorHAnsi" w:cstheme="minorHAnsi"/>
          <w:bCs/>
          <w:sz w:val="24"/>
        </w:rPr>
        <w:t xml:space="preserve"> </w:t>
      </w:r>
    </w:p>
    <w:p w:rsidR="00B53B50" w:rsidP="19AB3403" w14:paraId="516FA13F" w14:textId="600E307E">
      <w:pPr>
        <w:spacing w:before="161"/>
        <w:ind w:left="400"/>
        <w:rPr>
          <w:rFonts w:asciiTheme="minorHAnsi" w:hAnsiTheme="minorHAnsi" w:cstheme="minorBidi"/>
          <w:sz w:val="24"/>
          <w:szCs w:val="24"/>
        </w:rPr>
      </w:pPr>
      <w:r w:rsidRPr="19AB3403">
        <w:rPr>
          <w:rFonts w:ascii="Calibri" w:eastAsia="Arial Unicode MS" w:hAnsi="Calibri" w:cs="Arial Unicode MS"/>
          <w:color w:val="000000" w:themeColor="text1"/>
          <w:sz w:val="24"/>
          <w:szCs w:val="24"/>
          <w:lang w:bidi="ar-SA"/>
        </w:rPr>
        <w:t>The Census Bureau is collecting these data under the authority of Title 13, United States Code, Sections 141, 191, 193, 221, and 223. Please see Title 13 U.S.C. section</w:t>
      </w:r>
      <w:r w:rsidRPr="19AB3403" w:rsidR="3ABF6226">
        <w:rPr>
          <w:rFonts w:ascii="Calibri" w:eastAsia="Arial Unicode MS" w:hAnsi="Calibri" w:cs="Arial Unicode MS"/>
          <w:color w:val="000000" w:themeColor="text1"/>
          <w:sz w:val="24"/>
          <w:szCs w:val="24"/>
          <w:lang w:bidi="ar-SA"/>
        </w:rPr>
        <w:t>s</w:t>
      </w:r>
      <w:r w:rsidRPr="19AB3403">
        <w:rPr>
          <w:rFonts w:ascii="Calibri" w:eastAsia="Arial Unicode MS" w:hAnsi="Calibri" w:cs="Arial Unicode MS"/>
          <w:color w:val="000000" w:themeColor="text1"/>
          <w:sz w:val="24"/>
          <w:szCs w:val="24"/>
          <w:lang w:bidi="ar-SA"/>
        </w:rPr>
        <w:t xml:space="preserve"> 141, 191, 193, 221, and 223 in Attachment </w:t>
      </w:r>
      <w:r w:rsidRPr="19AB3403" w:rsidR="7E3DABBD">
        <w:rPr>
          <w:rFonts w:ascii="Calibri" w:eastAsia="Arial Unicode MS" w:hAnsi="Calibri" w:cs="Arial Unicode MS"/>
          <w:color w:val="000000" w:themeColor="text1"/>
          <w:sz w:val="24"/>
          <w:szCs w:val="24"/>
          <w:lang w:bidi="ar-SA"/>
        </w:rPr>
        <w:t>A</w:t>
      </w:r>
      <w:r w:rsidRPr="19AB3403">
        <w:rPr>
          <w:rFonts w:ascii="Calibri" w:eastAsia="Arial Unicode MS" w:hAnsi="Calibri" w:cs="Arial Unicode MS"/>
          <w:color w:val="000000" w:themeColor="text1"/>
          <w:sz w:val="24"/>
          <w:szCs w:val="24"/>
          <w:lang w:bidi="ar-SA"/>
        </w:rPr>
        <w:t xml:space="preserve"> for more information about this legal authority.</w:t>
      </w:r>
    </w:p>
    <w:p w:rsidR="00B53B50" w:rsidP="008C4A87" w14:paraId="5E11071E" w14:textId="77777777">
      <w:pPr>
        <w:spacing w:before="161"/>
        <w:ind w:left="400"/>
      </w:pPr>
    </w:p>
    <w:p w:rsidR="00201347" w:rsidRPr="00124446" w:rsidP="00844D2F" w14:paraId="100B7680" w14:textId="77777777">
      <w:pPr>
        <w:pStyle w:val="Heading1"/>
        <w:numPr>
          <w:ilvl w:val="0"/>
          <w:numId w:val="9"/>
        </w:numPr>
        <w:tabs>
          <w:tab w:val="left" w:pos="669"/>
        </w:tabs>
        <w:spacing w:before="197"/>
        <w:ind w:left="360" w:hanging="360"/>
        <w:rPr>
          <w:rFonts w:ascii="Calibri" w:hAnsi="Calibri" w:cs="Calibri"/>
        </w:rPr>
      </w:pPr>
      <w:r w:rsidRPr="00124446">
        <w:rPr>
          <w:rFonts w:ascii="Calibri" w:hAnsi="Calibri" w:cs="Calibri"/>
        </w:rPr>
        <w:t>Indicate how, by whom, and for what purpose the information is to be used. Except for a new collection, indicate the actual use the agency has made of the information received from the current</w:t>
      </w:r>
      <w:r w:rsidRPr="00124446">
        <w:rPr>
          <w:rFonts w:ascii="Calibri" w:hAnsi="Calibri" w:cs="Calibri"/>
          <w:spacing w:val="-1"/>
        </w:rPr>
        <w:t xml:space="preserve"> </w:t>
      </w:r>
      <w:r w:rsidRPr="00124446">
        <w:rPr>
          <w:rFonts w:ascii="Calibri" w:hAnsi="Calibri" w:cs="Calibri"/>
        </w:rPr>
        <w:t>collection.</w:t>
      </w:r>
    </w:p>
    <w:p w:rsidR="00E10D50" w:rsidRPr="008C4A87" w:rsidP="1C14B75A" w14:paraId="79F0B273" w14:textId="2F7CE63D">
      <w:pPr>
        <w:spacing w:before="161"/>
        <w:ind w:left="400"/>
        <w:rPr>
          <w:rFonts w:ascii="Calibri" w:hAnsi="Calibri" w:cs="Calibri"/>
          <w:sz w:val="24"/>
          <w:szCs w:val="24"/>
        </w:rPr>
      </w:pPr>
      <w:r w:rsidRPr="19AB3403">
        <w:rPr>
          <w:rFonts w:ascii="Calibri" w:hAnsi="Calibri" w:cs="Calibri"/>
          <w:sz w:val="24"/>
          <w:szCs w:val="24"/>
        </w:rPr>
        <w:t xml:space="preserve">This research program is for respondent communication, questionnaire and procedure development and evaluation purposes. We will use data tabulations to evaluate the results of questionnaire testing. </w:t>
      </w:r>
      <w:r w:rsidRPr="19AB3403" w:rsidR="3C1AF491">
        <w:rPr>
          <w:rFonts w:ascii="Calibri" w:hAnsi="Calibri" w:cs="Calibri"/>
          <w:sz w:val="24"/>
          <w:szCs w:val="24"/>
        </w:rPr>
        <w:t>Data tabulations will also be used to assess the suitability and coverage</w:t>
      </w:r>
      <w:r w:rsidRPr="19AB3403">
        <w:rPr>
          <w:rFonts w:ascii="Calibri" w:hAnsi="Calibri" w:cs="Calibri"/>
          <w:sz w:val="24"/>
          <w:szCs w:val="24"/>
        </w:rPr>
        <w:t xml:space="preserve"> </w:t>
      </w:r>
      <w:r w:rsidRPr="19AB3403" w:rsidR="3C1AF491">
        <w:rPr>
          <w:rFonts w:ascii="Calibri" w:hAnsi="Calibri" w:cs="Calibri"/>
          <w:sz w:val="24"/>
          <w:szCs w:val="24"/>
        </w:rPr>
        <w:t>issues of any datasets acquired to support 2030 tests and operations</w:t>
      </w:r>
      <w:r w:rsidRPr="19AB3403" w:rsidR="61DE191A">
        <w:rPr>
          <w:rFonts w:ascii="Calibri" w:hAnsi="Calibri" w:cs="Calibri"/>
          <w:sz w:val="24"/>
          <w:szCs w:val="24"/>
        </w:rPr>
        <w:t xml:space="preserve"> as well as testing improvements for 2030 Census test operations and the 2030 Census itself</w:t>
      </w:r>
      <w:r w:rsidRPr="19AB3403" w:rsidR="3C1AF491">
        <w:rPr>
          <w:rFonts w:ascii="Calibri" w:hAnsi="Calibri" w:cs="Calibri"/>
          <w:sz w:val="24"/>
          <w:szCs w:val="24"/>
        </w:rPr>
        <w:t xml:space="preserve">. </w:t>
      </w:r>
      <w:r w:rsidRPr="19AB3403">
        <w:rPr>
          <w:rFonts w:ascii="Calibri" w:hAnsi="Calibri" w:cs="Calibri"/>
          <w:sz w:val="24"/>
          <w:szCs w:val="24"/>
        </w:rPr>
        <w:t xml:space="preserve">The information collected in </w:t>
      </w:r>
      <w:r w:rsidRPr="19AB3403" w:rsidR="3C1AF491">
        <w:rPr>
          <w:rFonts w:ascii="Calibri" w:hAnsi="Calibri" w:cs="Calibri"/>
          <w:sz w:val="24"/>
          <w:szCs w:val="24"/>
        </w:rPr>
        <w:t xml:space="preserve">these </w:t>
      </w:r>
      <w:r w:rsidRPr="19AB3403">
        <w:rPr>
          <w:rFonts w:ascii="Calibri" w:hAnsi="Calibri" w:cs="Calibri"/>
          <w:sz w:val="24"/>
          <w:szCs w:val="24"/>
        </w:rPr>
        <w:t>effort</w:t>
      </w:r>
      <w:r w:rsidRPr="19AB3403" w:rsidR="708E7053">
        <w:rPr>
          <w:rFonts w:ascii="Calibri" w:hAnsi="Calibri" w:cs="Calibri"/>
          <w:sz w:val="24"/>
          <w:szCs w:val="24"/>
        </w:rPr>
        <w:t>s</w:t>
      </w:r>
      <w:r w:rsidRPr="19AB3403">
        <w:rPr>
          <w:rFonts w:ascii="Calibri" w:hAnsi="Calibri" w:cs="Calibri"/>
          <w:sz w:val="24"/>
          <w:szCs w:val="24"/>
        </w:rPr>
        <w:t xml:space="preserve"> shall not be released as official statistics. However, summarized results shall be released in methodological reports, or as a methodological appendix or footnote in a report containing data from a larger data collection effort. The results of this research may also be prepared for presentation at professional meetings or publication in professional journals</w:t>
      </w:r>
      <w:r w:rsidRPr="19AB3403" w:rsidR="56861797">
        <w:rPr>
          <w:rFonts w:ascii="Calibri" w:hAnsi="Calibri" w:cs="Calibri"/>
          <w:sz w:val="24"/>
          <w:szCs w:val="24"/>
        </w:rPr>
        <w:t>.</w:t>
      </w:r>
    </w:p>
    <w:p w:rsidR="00B82768" w:rsidRPr="008C4A87" w:rsidP="00E10D50" w14:paraId="64E37446" w14:textId="2CA4AE4D">
      <w:pPr>
        <w:spacing w:before="161"/>
        <w:ind w:left="400"/>
        <w:rPr>
          <w:rFonts w:ascii="Calibri" w:hAnsi="Calibri" w:cs="Calibri"/>
          <w:bCs/>
          <w:sz w:val="24"/>
        </w:rPr>
      </w:pPr>
      <w:r w:rsidRPr="008C4A87">
        <w:rPr>
          <w:rFonts w:ascii="Calibri" w:hAnsi="Calibri" w:cs="Calibri"/>
          <w:bCs/>
          <w:sz w:val="24"/>
        </w:rP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B82768" w:rsidRPr="00B82768" w:rsidP="00B82768" w14:paraId="0D0B940D" w14:textId="77777777">
      <w:pPr>
        <w:pStyle w:val="ListParagraph"/>
        <w:tabs>
          <w:tab w:val="left" w:pos="669"/>
        </w:tabs>
        <w:spacing w:before="199"/>
        <w:ind w:left="400" w:firstLine="0"/>
        <w:rPr>
          <w:rFonts w:ascii="Calibri" w:hAnsi="Calibri" w:cs="Calibri"/>
          <w:sz w:val="24"/>
          <w:szCs w:val="24"/>
        </w:rPr>
      </w:pPr>
    </w:p>
    <w:p w:rsidR="00201347" w:rsidRPr="00124446" w:rsidP="00844D2F" w14:paraId="0D6FD0C8" w14:textId="77777777">
      <w:pPr>
        <w:pStyle w:val="ListParagraph"/>
        <w:numPr>
          <w:ilvl w:val="0"/>
          <w:numId w:val="9"/>
        </w:numPr>
        <w:tabs>
          <w:tab w:val="left" w:pos="669"/>
        </w:tabs>
        <w:spacing w:before="199"/>
        <w:ind w:left="360" w:hanging="360"/>
        <w:rPr>
          <w:rFonts w:ascii="Calibri" w:hAnsi="Calibri" w:cs="Calibri"/>
          <w:b/>
          <w:sz w:val="24"/>
        </w:rPr>
      </w:pPr>
      <w:r w:rsidRPr="00124446">
        <w:rPr>
          <w:rFonts w:ascii="Calibri" w:hAnsi="Calibri" w:cs="Calibri"/>
          <w:b/>
          <w:sz w:val="24"/>
        </w:rPr>
        <w:t xml:space="preserve">Describe whether, and to what extent, the collection of information involves the use of automated, electronic, mechanical, or other technological collection </w:t>
      </w:r>
      <w:r w:rsidRPr="00B82768">
        <w:rPr>
          <w:rFonts w:ascii="Calibri" w:hAnsi="Calibri" w:cs="Calibri"/>
          <w:b/>
          <w:sz w:val="24"/>
        </w:rPr>
        <w:t>techniques</w:t>
      </w:r>
      <w:r w:rsidRPr="00124446">
        <w:rPr>
          <w:rFonts w:ascii="Calibri" w:hAnsi="Calibri" w:cs="Calibri"/>
          <w:b/>
          <w:sz w:val="24"/>
        </w:rPr>
        <w:t xml:space="preserve"> or other forms of information technology, e.g. permitting electronic submission of responses, and the basis for the decision for adopting this means of collection. Also, describe any consideration of using information technology to reduce</w:t>
      </w:r>
      <w:r w:rsidRPr="00124446">
        <w:rPr>
          <w:rFonts w:ascii="Calibri" w:hAnsi="Calibri" w:cs="Calibri"/>
          <w:b/>
          <w:spacing w:val="-6"/>
          <w:sz w:val="24"/>
        </w:rPr>
        <w:t xml:space="preserve"> </w:t>
      </w:r>
      <w:r w:rsidRPr="00124446">
        <w:rPr>
          <w:rFonts w:ascii="Calibri" w:hAnsi="Calibri" w:cs="Calibri"/>
          <w:b/>
          <w:sz w:val="24"/>
        </w:rPr>
        <w:t>burden.</w:t>
      </w:r>
    </w:p>
    <w:p w:rsidR="00B82768" w:rsidRPr="008C4A87" w:rsidP="1C14B75A" w14:paraId="4EF5D799" w14:textId="45FA9A29">
      <w:pPr>
        <w:spacing w:before="161"/>
        <w:ind w:left="400"/>
        <w:rPr>
          <w:rFonts w:ascii="Calibri" w:hAnsi="Calibri" w:cs="Calibri"/>
          <w:color w:val="FF0000"/>
          <w:sz w:val="24"/>
          <w:szCs w:val="24"/>
        </w:rPr>
      </w:pPr>
      <w:r w:rsidRPr="19AB3403">
        <w:rPr>
          <w:rFonts w:ascii="Calibri" w:hAnsi="Calibri" w:cs="Calibri"/>
          <w:sz w:val="24"/>
          <w:szCs w:val="24"/>
        </w:rPr>
        <w:t>The information will be collected through observations, self-response, face-face interviews, telephone interviews</w:t>
      </w:r>
      <w:r w:rsidRPr="19AB3403" w:rsidR="1584AE8A">
        <w:rPr>
          <w:rFonts w:ascii="Calibri" w:hAnsi="Calibri" w:cs="Calibri"/>
          <w:sz w:val="24"/>
          <w:szCs w:val="24"/>
        </w:rPr>
        <w:t xml:space="preserve"> and/or data uploads</w:t>
      </w:r>
      <w:r w:rsidRPr="19AB3403">
        <w:rPr>
          <w:rFonts w:ascii="Calibri" w:hAnsi="Calibri" w:cs="Calibri"/>
          <w:sz w:val="24"/>
          <w:szCs w:val="24"/>
        </w:rPr>
        <w:t xml:space="preserve">. </w:t>
      </w:r>
      <w:r w:rsidRPr="19AB3403" w:rsidR="49FE9F9F">
        <w:rPr>
          <w:rFonts w:ascii="Calibri" w:hAnsi="Calibri" w:cs="Calibri"/>
          <w:sz w:val="24"/>
          <w:szCs w:val="24"/>
        </w:rPr>
        <w:t xml:space="preserve"> </w:t>
      </w:r>
      <w:r w:rsidRPr="19AB3403" w:rsidR="49FE9F9F">
        <w:rPr>
          <w:rFonts w:ascii="Calibri" w:hAnsi="Calibri" w:cs="Calibri"/>
          <w:sz w:val="24"/>
          <w:szCs w:val="24"/>
        </w:rPr>
        <w:t xml:space="preserve">The majority </w:t>
      </w:r>
      <w:r w:rsidRPr="19AB3403">
        <w:rPr>
          <w:rFonts w:ascii="Calibri" w:hAnsi="Calibri" w:cs="Calibri"/>
          <w:sz w:val="24"/>
          <w:szCs w:val="24"/>
        </w:rPr>
        <w:t>of</w:t>
      </w:r>
      <w:r w:rsidRPr="19AB3403">
        <w:rPr>
          <w:rFonts w:ascii="Calibri" w:hAnsi="Calibri" w:cs="Calibri"/>
          <w:sz w:val="24"/>
          <w:szCs w:val="24"/>
        </w:rPr>
        <w:t xml:space="preserve"> the data covered by this generic clearance will be collected through electronic instruments, with the remainder on paper questionnaires.</w:t>
      </w:r>
    </w:p>
    <w:p w:rsidR="00B82768" w:rsidRPr="00B82768" w:rsidP="004C6F21" w14:paraId="0E27B00A" w14:textId="77777777">
      <w:pPr>
        <w:spacing w:before="161"/>
        <w:ind w:left="400"/>
        <w:rPr>
          <w:rFonts w:ascii="Calibri" w:hAnsi="Calibri" w:cs="Calibri"/>
          <w:b/>
          <w:color w:val="0070C0"/>
          <w:sz w:val="24"/>
        </w:rPr>
      </w:pPr>
    </w:p>
    <w:p w:rsidR="00201347" w:rsidRPr="004C6F21" w:rsidP="00844D2F" w14:paraId="606E298F" w14:textId="77777777">
      <w:pPr>
        <w:pStyle w:val="ListParagraph"/>
        <w:numPr>
          <w:ilvl w:val="0"/>
          <w:numId w:val="9"/>
        </w:numPr>
        <w:ind w:left="360" w:hanging="360"/>
        <w:rPr>
          <w:rFonts w:ascii="Calibri" w:hAnsi="Calibri" w:cs="Calibri"/>
          <w:b/>
          <w:sz w:val="24"/>
        </w:rPr>
      </w:pPr>
      <w:r w:rsidRPr="004C6F21">
        <w:rPr>
          <w:rFonts w:ascii="Calibri" w:hAnsi="Calibri" w:cs="Calibri"/>
          <w:b/>
          <w:sz w:val="24"/>
        </w:rPr>
        <w:t>Describe efforts to identify duplication. Show specifically why any similar information already available cannot be used or modified for use for the purposes described in Question</w:t>
      </w:r>
      <w:r w:rsidRPr="004C6F21">
        <w:rPr>
          <w:rFonts w:ascii="Calibri" w:hAnsi="Calibri" w:cs="Calibri"/>
          <w:b/>
          <w:spacing w:val="-42"/>
          <w:sz w:val="24"/>
        </w:rPr>
        <w:t xml:space="preserve"> </w:t>
      </w:r>
      <w:r w:rsidRPr="004C6F21">
        <w:rPr>
          <w:rFonts w:ascii="Calibri" w:hAnsi="Calibri" w:cs="Calibri"/>
          <w:b/>
          <w:sz w:val="24"/>
        </w:rPr>
        <w:t>2</w:t>
      </w:r>
      <w:r w:rsidR="003C66B9">
        <w:rPr>
          <w:rFonts w:ascii="Calibri" w:hAnsi="Calibri" w:cs="Calibri"/>
          <w:b/>
          <w:sz w:val="24"/>
        </w:rPr>
        <w:t>.</w:t>
      </w:r>
    </w:p>
    <w:p w:rsidR="00B82768" w:rsidP="1C14B75A" w14:paraId="265EECE8" w14:textId="79BD492D">
      <w:pPr>
        <w:spacing w:before="161"/>
        <w:ind w:left="400"/>
        <w:rPr>
          <w:rFonts w:ascii="Calibri" w:hAnsi="Calibri" w:cs="Calibri"/>
          <w:b/>
          <w:bCs/>
          <w:color w:val="FF0000"/>
          <w:sz w:val="24"/>
          <w:szCs w:val="24"/>
        </w:rPr>
      </w:pPr>
      <w:r w:rsidRPr="1C14B75A">
        <w:rPr>
          <w:rFonts w:ascii="Calibri" w:hAnsi="Calibri" w:cs="Calibri"/>
          <w:sz w:val="24"/>
          <w:szCs w:val="24"/>
        </w:rPr>
        <w:t>This research does not duplicate any other questionnaire design work being done by the Census Bureau or other Federal agencies. The purpose of this clearance is to stimulate additional research, which would not be done under other circumstances due to time constraints. The research may involve joint efforts with staff from other Federal Statistical Agencies. All efforts would be collaborative in nature, and no duplication in this area is anticipated.</w:t>
      </w:r>
    </w:p>
    <w:p w:rsidR="008C4A87" w:rsidRPr="00B33BBE" w:rsidP="1C14B75A" w14:paraId="044CDD65" w14:textId="58C317A4">
      <w:pPr>
        <w:spacing w:before="161"/>
        <w:ind w:left="400"/>
        <w:rPr>
          <w:rFonts w:ascii="Calibri" w:hAnsi="Calibri" w:cs="Calibri"/>
          <w:sz w:val="24"/>
          <w:szCs w:val="24"/>
        </w:rPr>
      </w:pPr>
      <w:r w:rsidRPr="1C14B75A">
        <w:rPr>
          <w:rFonts w:ascii="Calibri" w:hAnsi="Calibri" w:cs="Calibri"/>
          <w:sz w:val="24"/>
          <w:szCs w:val="24"/>
        </w:rPr>
        <w:t>To the maximum extent possible, we will make use of previous information, reviewing results of previous evaluations of decennial census and survey data before we attempt to revise decennial communication materials, invitations, or questionnaires. However, this information is not sufficient to refine our census invitations or questionnaires without conducting additional research which can be conducted concurrently with census production work.</w:t>
      </w:r>
    </w:p>
    <w:p w:rsidR="008C4A87" w:rsidRPr="00B33BBE" w:rsidP="19AB3403" w14:paraId="374E5507" w14:textId="5B7C4C32">
      <w:pPr>
        <w:spacing w:before="161" w:line="259" w:lineRule="auto"/>
        <w:ind w:left="400"/>
        <w:rPr>
          <w:rFonts w:ascii="Calibri" w:hAnsi="Calibri" w:cs="Calibri"/>
          <w:sz w:val="24"/>
          <w:szCs w:val="24"/>
        </w:rPr>
      </w:pPr>
      <w:r w:rsidRPr="19AB3403">
        <w:rPr>
          <w:rFonts w:ascii="Calibri" w:hAnsi="Calibri" w:cs="Calibri"/>
          <w:sz w:val="24"/>
          <w:szCs w:val="24"/>
        </w:rPr>
        <w:t>This generic clearance request is an explicit addition to the current generic clearance for</w:t>
      </w:r>
      <w:r w:rsidR="70732BC5">
        <w:t xml:space="preserve"> </w:t>
      </w:r>
      <w:r w:rsidRPr="19AB3403" w:rsidR="761A5ACF">
        <w:rPr>
          <w:rFonts w:ascii="Calibri" w:hAnsi="Calibri" w:cs="Calibri"/>
          <w:sz w:val="24"/>
          <w:szCs w:val="24"/>
        </w:rPr>
        <w:t>field t</w:t>
      </w:r>
      <w:r w:rsidRPr="19AB3403" w:rsidR="70732BC5">
        <w:rPr>
          <w:rFonts w:ascii="Calibri" w:hAnsi="Calibri" w:cs="Calibri"/>
          <w:sz w:val="24"/>
          <w:szCs w:val="24"/>
        </w:rPr>
        <w:t xml:space="preserve">ests and </w:t>
      </w:r>
      <w:r w:rsidRPr="19AB3403" w:rsidR="761A5ACF">
        <w:rPr>
          <w:rFonts w:ascii="Calibri" w:hAnsi="Calibri" w:cs="Calibri"/>
          <w:sz w:val="24"/>
          <w:szCs w:val="24"/>
        </w:rPr>
        <w:t>e</w:t>
      </w:r>
      <w:r w:rsidRPr="19AB3403" w:rsidR="70732BC5">
        <w:rPr>
          <w:rFonts w:ascii="Calibri" w:hAnsi="Calibri" w:cs="Calibri"/>
          <w:sz w:val="24"/>
          <w:szCs w:val="24"/>
        </w:rPr>
        <w:t>valuations (Number 0607-0971) that allows st</w:t>
      </w:r>
      <w:r w:rsidRPr="19AB3403" w:rsidR="761A5ACF">
        <w:rPr>
          <w:rFonts w:ascii="Calibri" w:hAnsi="Calibri" w:cs="Calibri"/>
          <w:sz w:val="24"/>
          <w:szCs w:val="24"/>
        </w:rPr>
        <w:t>u</w:t>
      </w:r>
      <w:r w:rsidRPr="19AB3403" w:rsidR="70732BC5">
        <w:rPr>
          <w:rFonts w:ascii="Calibri" w:hAnsi="Calibri" w:cs="Calibri"/>
          <w:sz w:val="24"/>
          <w:szCs w:val="24"/>
        </w:rPr>
        <w:t xml:space="preserve">dies </w:t>
      </w:r>
      <w:r w:rsidRPr="19AB3403" w:rsidR="761A5ACF">
        <w:rPr>
          <w:rFonts w:ascii="Calibri" w:hAnsi="Calibri" w:cs="Calibri"/>
          <w:sz w:val="24"/>
          <w:szCs w:val="24"/>
        </w:rPr>
        <w:t xml:space="preserve">for new and improved techniques for self-enumeration and interviewer data collection, the generic clearance for </w:t>
      </w:r>
      <w:r w:rsidRPr="19AB3403">
        <w:rPr>
          <w:rFonts w:ascii="Calibri" w:hAnsi="Calibri" w:cs="Calibri"/>
          <w:sz w:val="24"/>
          <w:szCs w:val="24"/>
        </w:rPr>
        <w:t>pretesting (Number 0607-0725) that allows small-scale cognitive and usability testing research</w:t>
      </w:r>
      <w:r w:rsidRPr="19AB3403" w:rsidR="761A5ACF">
        <w:rPr>
          <w:rFonts w:ascii="Calibri" w:hAnsi="Calibri" w:cs="Calibri"/>
          <w:sz w:val="24"/>
          <w:szCs w:val="24"/>
        </w:rPr>
        <w:t>;</w:t>
      </w:r>
      <w:r w:rsidRPr="19AB3403">
        <w:rPr>
          <w:rFonts w:ascii="Calibri" w:hAnsi="Calibri" w:cs="Calibri"/>
          <w:sz w:val="24"/>
          <w:szCs w:val="24"/>
        </w:rPr>
        <w:t xml:space="preserve"> and the generic clearance for internet pretesting (Number 0607-0978) that allows medium-scale online pretesting. This generic clearance is different from the </w:t>
      </w:r>
      <w:r w:rsidRPr="19AB3403" w:rsidR="761A5ACF">
        <w:rPr>
          <w:rFonts w:ascii="Calibri" w:hAnsi="Calibri" w:cs="Calibri"/>
          <w:sz w:val="24"/>
          <w:szCs w:val="24"/>
        </w:rPr>
        <w:t xml:space="preserve">latter three </w:t>
      </w:r>
      <w:r w:rsidRPr="19AB3403">
        <w:rPr>
          <w:rFonts w:ascii="Calibri" w:hAnsi="Calibri" w:cs="Calibri"/>
          <w:sz w:val="24"/>
          <w:szCs w:val="24"/>
        </w:rPr>
        <w:t xml:space="preserve">clearances in </w:t>
      </w:r>
      <w:r w:rsidRPr="19AB3403" w:rsidR="761A5ACF">
        <w:rPr>
          <w:rFonts w:ascii="Calibri" w:hAnsi="Calibri" w:cs="Calibri"/>
          <w:sz w:val="24"/>
          <w:szCs w:val="24"/>
        </w:rPr>
        <w:t>two</w:t>
      </w:r>
      <w:r w:rsidRPr="19AB3403" w:rsidR="6F938344">
        <w:rPr>
          <w:rFonts w:ascii="Calibri" w:hAnsi="Calibri" w:cs="Calibri"/>
          <w:sz w:val="24"/>
          <w:szCs w:val="24"/>
        </w:rPr>
        <w:t xml:space="preserve"> </w:t>
      </w:r>
      <w:r w:rsidRPr="19AB3403">
        <w:rPr>
          <w:rFonts w:ascii="Calibri" w:hAnsi="Calibri" w:cs="Calibri"/>
          <w:sz w:val="24"/>
          <w:szCs w:val="24"/>
        </w:rPr>
        <w:t xml:space="preserve">ways.  First, this clearance can collect data using the mandatory authorities provided for </w:t>
      </w:r>
      <w:r w:rsidRPr="19AB3403" w:rsidR="3DFB11B5">
        <w:rPr>
          <w:rFonts w:ascii="Calibri" w:hAnsi="Calibri" w:cs="Calibri"/>
          <w:sz w:val="24"/>
          <w:szCs w:val="24"/>
        </w:rPr>
        <w:t>d</w:t>
      </w:r>
      <w:r w:rsidRPr="19AB3403" w:rsidR="030FFF37">
        <w:rPr>
          <w:rFonts w:ascii="Calibri" w:hAnsi="Calibri" w:cs="Calibri"/>
          <w:sz w:val="24"/>
          <w:szCs w:val="24"/>
        </w:rPr>
        <w:t xml:space="preserve">ecennial </w:t>
      </w:r>
      <w:r w:rsidRPr="19AB3403" w:rsidR="3482E01E">
        <w:rPr>
          <w:rFonts w:ascii="Calibri" w:hAnsi="Calibri" w:cs="Calibri"/>
          <w:sz w:val="24"/>
          <w:szCs w:val="24"/>
        </w:rPr>
        <w:t>c</w:t>
      </w:r>
      <w:r w:rsidRPr="19AB3403" w:rsidR="030FFF37">
        <w:rPr>
          <w:rFonts w:ascii="Calibri" w:hAnsi="Calibri" w:cs="Calibri"/>
          <w:sz w:val="24"/>
          <w:szCs w:val="24"/>
        </w:rPr>
        <w:t>ensus</w:t>
      </w:r>
      <w:r w:rsidRPr="19AB3403">
        <w:rPr>
          <w:rFonts w:ascii="Calibri" w:hAnsi="Calibri" w:cs="Calibri"/>
          <w:sz w:val="24"/>
          <w:szCs w:val="24"/>
        </w:rPr>
        <w:t xml:space="preserve"> operations and testing. These mandatory authorities have been repeatedly shown to increase response rates. Second, this clearance focuses on sma</w:t>
      </w:r>
      <w:r w:rsidRPr="19AB3403" w:rsidR="07213AF5">
        <w:rPr>
          <w:rFonts w:ascii="Calibri" w:hAnsi="Calibri" w:cs="Calibri"/>
          <w:sz w:val="24"/>
          <w:szCs w:val="24"/>
        </w:rPr>
        <w:t xml:space="preserve">ll-scale </w:t>
      </w:r>
      <w:r w:rsidRPr="19AB3403">
        <w:rPr>
          <w:rFonts w:ascii="Calibri" w:hAnsi="Calibri" w:cs="Calibri"/>
          <w:sz w:val="24"/>
          <w:szCs w:val="24"/>
        </w:rPr>
        <w:t xml:space="preserve">field tests and evaluations, which typically occur </w:t>
      </w:r>
      <w:r w:rsidRPr="19AB3403" w:rsidR="07213AF5">
        <w:rPr>
          <w:rFonts w:ascii="Calibri" w:hAnsi="Calibri" w:cs="Calibri"/>
          <w:sz w:val="24"/>
          <w:szCs w:val="24"/>
        </w:rPr>
        <w:t xml:space="preserve">before 2030 Census production work or </w:t>
      </w:r>
      <w:r w:rsidRPr="19AB3403">
        <w:rPr>
          <w:rFonts w:ascii="Calibri" w:hAnsi="Calibri" w:cs="Calibri"/>
          <w:sz w:val="24"/>
          <w:szCs w:val="24"/>
        </w:rPr>
        <w:t xml:space="preserve">concurrently with production </w:t>
      </w:r>
      <w:r w:rsidRPr="19AB3403" w:rsidR="07213AF5">
        <w:rPr>
          <w:rFonts w:ascii="Calibri" w:hAnsi="Calibri" w:cs="Calibri"/>
          <w:sz w:val="24"/>
          <w:szCs w:val="24"/>
        </w:rPr>
        <w:t xml:space="preserve">on larger-scale </w:t>
      </w:r>
      <w:r w:rsidRPr="19AB3403">
        <w:rPr>
          <w:rFonts w:ascii="Calibri" w:hAnsi="Calibri" w:cs="Calibri"/>
          <w:sz w:val="24"/>
          <w:szCs w:val="24"/>
        </w:rPr>
        <w:t xml:space="preserve">census </w:t>
      </w:r>
      <w:r w:rsidRPr="19AB3403" w:rsidR="07213AF5">
        <w:rPr>
          <w:rFonts w:ascii="Calibri" w:hAnsi="Calibri" w:cs="Calibri"/>
          <w:sz w:val="24"/>
          <w:szCs w:val="24"/>
        </w:rPr>
        <w:t xml:space="preserve">test </w:t>
      </w:r>
      <w:r w:rsidRPr="19AB3403">
        <w:rPr>
          <w:rFonts w:ascii="Calibri" w:hAnsi="Calibri" w:cs="Calibri"/>
          <w:sz w:val="24"/>
          <w:szCs w:val="24"/>
        </w:rPr>
        <w:t xml:space="preserve">work, </w:t>
      </w:r>
      <w:r w:rsidRPr="19AB3403">
        <w:rPr>
          <w:rFonts w:ascii="Calibri" w:hAnsi="Calibri" w:cs="Calibri"/>
          <w:sz w:val="24"/>
          <w:szCs w:val="24"/>
        </w:rPr>
        <w:t>in order to</w:t>
      </w:r>
      <w:r w:rsidRPr="19AB3403">
        <w:rPr>
          <w:rFonts w:ascii="Calibri" w:hAnsi="Calibri" w:cs="Calibri"/>
          <w:sz w:val="24"/>
          <w:szCs w:val="24"/>
        </w:rPr>
        <w:t xml:space="preserve"> efficiently use existing resources and processes, rather than preceding census work as is the case with the previously mentioned clearances. </w:t>
      </w:r>
      <w:r w:rsidRPr="19AB3403" w:rsidR="761A5ACF">
        <w:rPr>
          <w:rFonts w:ascii="Calibri" w:hAnsi="Calibri" w:cs="Calibri"/>
          <w:sz w:val="24"/>
          <w:szCs w:val="24"/>
        </w:rPr>
        <w:t xml:space="preserve">This generic clearance is different from the one for field tests and evaluations because it will also allow for collection of database updates in support of 2030 Census testing and field tests and evaluations approved under it will be only in support of the 2030 Census. Information requests that would have previously been made under 0607-0971 will henceforth be conducted under this </w:t>
      </w:r>
      <w:r w:rsidRPr="19AB3403" w:rsidR="22EB368E">
        <w:rPr>
          <w:rFonts w:ascii="Calibri" w:hAnsi="Calibri" w:cs="Calibri"/>
          <w:sz w:val="24"/>
          <w:szCs w:val="24"/>
        </w:rPr>
        <w:t xml:space="preserve">clearance </w:t>
      </w:r>
      <w:r w:rsidRPr="19AB3403" w:rsidR="761A5ACF">
        <w:rPr>
          <w:rFonts w:ascii="Calibri" w:hAnsi="Calibri" w:cs="Calibri"/>
          <w:sz w:val="24"/>
          <w:szCs w:val="24"/>
        </w:rPr>
        <w:t>to keep 2030 Census approvals in one record.</w:t>
      </w:r>
    </w:p>
    <w:p w:rsidR="00B82768" w:rsidRPr="00124446" w:rsidP="00B82768" w14:paraId="60061E4C" w14:textId="77777777">
      <w:pPr>
        <w:pStyle w:val="BodyText"/>
        <w:rPr>
          <w:rFonts w:ascii="Calibri" w:hAnsi="Calibri" w:cs="Calibri"/>
        </w:rPr>
      </w:pPr>
    </w:p>
    <w:p w:rsidR="00201347" w:rsidRPr="00124446" w:rsidP="00060FAF" w14:paraId="6E07D74F" w14:textId="77777777">
      <w:pPr>
        <w:pStyle w:val="Heading1"/>
        <w:numPr>
          <w:ilvl w:val="0"/>
          <w:numId w:val="9"/>
        </w:numPr>
        <w:tabs>
          <w:tab w:val="left" w:pos="669"/>
        </w:tabs>
        <w:spacing w:before="123"/>
        <w:ind w:hanging="400"/>
        <w:rPr>
          <w:rFonts w:ascii="Calibri" w:hAnsi="Calibri" w:cs="Calibri"/>
        </w:rPr>
      </w:pPr>
      <w:r w:rsidRPr="00124446">
        <w:rPr>
          <w:rFonts w:ascii="Calibri" w:hAnsi="Calibri" w:cs="Calibri"/>
        </w:rPr>
        <w:t>If the collection of information impacts small businesses or other small entities, describe any methods used to minimize</w:t>
      </w:r>
      <w:r w:rsidRPr="00124446">
        <w:rPr>
          <w:rFonts w:ascii="Calibri" w:hAnsi="Calibri" w:cs="Calibri"/>
          <w:spacing w:val="-3"/>
        </w:rPr>
        <w:t xml:space="preserve"> </w:t>
      </w:r>
      <w:r w:rsidRPr="00124446">
        <w:rPr>
          <w:rFonts w:ascii="Calibri" w:hAnsi="Calibri" w:cs="Calibri"/>
        </w:rPr>
        <w:t>burden.</w:t>
      </w:r>
    </w:p>
    <w:p w:rsidR="00B82768" w:rsidRPr="009A5344" w:rsidP="6C47B086" w14:paraId="3612E0D9" w14:textId="484D1B1B">
      <w:pPr>
        <w:spacing w:before="161"/>
        <w:ind w:left="400"/>
        <w:rPr>
          <w:rFonts w:ascii="Calibri" w:hAnsi="Calibri" w:cs="Calibri"/>
          <w:sz w:val="24"/>
          <w:szCs w:val="24"/>
        </w:rPr>
      </w:pPr>
      <w:r w:rsidRPr="6C47B086">
        <w:rPr>
          <w:rFonts w:ascii="Calibri" w:hAnsi="Calibri" w:cs="Calibri"/>
          <w:sz w:val="24"/>
          <w:szCs w:val="24"/>
        </w:rPr>
        <w:t xml:space="preserve">To the extent possible, and as appropriate to address research questions, sample sizes for this research will be based on power analyses that identify the minimum number of cases needed to be able to detect substantive and statistically significant differences in treatment. This will minimize the number of respondents needed to test improvements to questionnaire design, test field data collection procedures and new technologies. For field tests involving households and individuals, we will attempt to exclude housing units that have been in sample for </w:t>
      </w:r>
      <w:r w:rsidRPr="6C47B086" w:rsidR="2BEA7EB9">
        <w:rPr>
          <w:rFonts w:ascii="Calibri" w:hAnsi="Calibri" w:cs="Calibri"/>
          <w:sz w:val="24"/>
          <w:szCs w:val="24"/>
        </w:rPr>
        <w:t>o</w:t>
      </w:r>
      <w:r w:rsidRPr="6C47B086">
        <w:rPr>
          <w:rFonts w:ascii="Calibri" w:hAnsi="Calibri" w:cs="Calibri"/>
          <w:sz w:val="24"/>
          <w:szCs w:val="24"/>
        </w:rPr>
        <w:t>ther large</w:t>
      </w:r>
      <w:r w:rsidRPr="6C47B086" w:rsidR="04546E0C">
        <w:rPr>
          <w:rFonts w:ascii="Calibri" w:hAnsi="Calibri" w:cs="Calibri"/>
          <w:sz w:val="24"/>
          <w:szCs w:val="24"/>
        </w:rPr>
        <w:t>-scale</w:t>
      </w:r>
      <w:r w:rsidRPr="6C47B086">
        <w:rPr>
          <w:rFonts w:ascii="Calibri" w:hAnsi="Calibri" w:cs="Calibri"/>
          <w:sz w:val="24"/>
          <w:szCs w:val="24"/>
        </w:rPr>
        <w:t xml:space="preserve"> </w:t>
      </w:r>
      <w:r w:rsidRPr="6C47B086" w:rsidR="04546E0C">
        <w:rPr>
          <w:rFonts w:ascii="Calibri" w:hAnsi="Calibri" w:cs="Calibri"/>
          <w:sz w:val="24"/>
          <w:szCs w:val="24"/>
        </w:rPr>
        <w:t xml:space="preserve">decennial surveys at the Census Bureau. </w:t>
      </w:r>
      <w:r w:rsidRPr="6C47B086">
        <w:rPr>
          <w:rFonts w:ascii="Calibri" w:hAnsi="Calibri" w:cs="Calibri"/>
          <w:sz w:val="24"/>
          <w:szCs w:val="24"/>
        </w:rPr>
        <w:t xml:space="preserve"> </w:t>
      </w:r>
      <w:r w:rsidRPr="6C47B086" w:rsidR="00693767">
        <w:rPr>
          <w:rFonts w:ascii="Calibri" w:hAnsi="Calibri" w:cs="Calibri"/>
          <w:sz w:val="24"/>
          <w:szCs w:val="24"/>
        </w:rPr>
        <w:t xml:space="preserve">For dataset updates, selection may be targeted based on pre-determined criteria to support the goals of the dataset update; these will be detailed in each individual clearance request. </w:t>
      </w:r>
    </w:p>
    <w:p w:rsidR="00B82768" w:rsidRPr="00124446" w14:paraId="44EAFD9C" w14:textId="77777777">
      <w:pPr>
        <w:pStyle w:val="BodyText"/>
        <w:spacing w:before="160"/>
        <w:ind w:right="580"/>
        <w:rPr>
          <w:rFonts w:ascii="Calibri" w:hAnsi="Calibri" w:cs="Calibri"/>
        </w:rPr>
      </w:pPr>
    </w:p>
    <w:p w:rsidR="00201347" w:rsidRPr="00124446" w:rsidP="00844D2F" w14:paraId="16040DF1" w14:textId="77777777">
      <w:pPr>
        <w:pStyle w:val="Heading1"/>
        <w:numPr>
          <w:ilvl w:val="0"/>
          <w:numId w:val="9"/>
        </w:numPr>
        <w:tabs>
          <w:tab w:val="left" w:pos="669"/>
        </w:tabs>
        <w:spacing w:before="116"/>
        <w:ind w:left="360" w:hanging="360"/>
        <w:rPr>
          <w:rFonts w:ascii="Calibri" w:hAnsi="Calibri" w:cs="Calibri"/>
        </w:rPr>
      </w:pPr>
      <w:r w:rsidRPr="00124446">
        <w:rPr>
          <w:rFonts w:ascii="Calibri" w:hAnsi="Calibri" w:cs="Calibri"/>
        </w:rPr>
        <w:t>Describe the consequence to Federal program or policy acti</w:t>
      </w:r>
      <w:r w:rsidR="00060FAF">
        <w:rPr>
          <w:rFonts w:ascii="Calibri" w:hAnsi="Calibri" w:cs="Calibri"/>
        </w:rPr>
        <w:t xml:space="preserve">vities if the collection is not </w:t>
      </w:r>
      <w:r w:rsidRPr="00124446">
        <w:rPr>
          <w:rFonts w:ascii="Calibri" w:hAnsi="Calibri" w:cs="Calibri"/>
        </w:rPr>
        <w:t>conducted or is conducted less frequently, as well as any technical or legal obstacles to reducing</w:t>
      </w:r>
      <w:r w:rsidRPr="00124446">
        <w:rPr>
          <w:rFonts w:ascii="Calibri" w:hAnsi="Calibri" w:cs="Calibri"/>
          <w:spacing w:val="-1"/>
        </w:rPr>
        <w:t xml:space="preserve"> </w:t>
      </w:r>
      <w:r w:rsidRPr="00124446">
        <w:rPr>
          <w:rFonts w:ascii="Calibri" w:hAnsi="Calibri" w:cs="Calibri"/>
        </w:rPr>
        <w:t>burden.</w:t>
      </w:r>
    </w:p>
    <w:p w:rsidR="00B82768" w:rsidP="125F5955" w14:paraId="4B94D5A5" w14:textId="0374C54C">
      <w:pPr>
        <w:pStyle w:val="BodyText"/>
        <w:spacing w:before="115"/>
        <w:rPr>
          <w:rFonts w:ascii="Calibri" w:hAnsi="Calibri" w:cs="Calibri"/>
          <w:strike/>
        </w:rPr>
      </w:pPr>
      <w:r w:rsidRPr="19AB3403">
        <w:rPr>
          <w:rFonts w:ascii="Calibri" w:hAnsi="Calibri" w:cs="Calibri"/>
        </w:rPr>
        <w:t>These research activities are typical</w:t>
      </w:r>
      <w:r w:rsidRPr="19AB3403" w:rsidR="238D2A3C">
        <w:rPr>
          <w:rFonts w:ascii="Calibri" w:hAnsi="Calibri" w:cs="Calibri"/>
        </w:rPr>
        <w:t>ly</w:t>
      </w:r>
      <w:r w:rsidRPr="19AB3403">
        <w:rPr>
          <w:rFonts w:ascii="Calibri" w:hAnsi="Calibri" w:cs="Calibri"/>
        </w:rPr>
        <w:t xml:space="preserve"> focused on individual research questions that are collected one time only. Response</w:t>
      </w:r>
      <w:r w:rsidRPr="19AB3403" w:rsidR="7BA75815">
        <w:rPr>
          <w:rFonts w:ascii="Calibri" w:hAnsi="Calibri" w:cs="Calibri"/>
        </w:rPr>
        <w:t xml:space="preserve"> data</w:t>
      </w:r>
      <w:r w:rsidRPr="19AB3403">
        <w:rPr>
          <w:rFonts w:ascii="Calibri" w:hAnsi="Calibri" w:cs="Calibri"/>
        </w:rPr>
        <w:t xml:space="preserve"> may be used in future research studies that build upon the results of the current production census and survey work. Failure to research and test new methods could result in increased costs and less accuracy of future census and survey operations.</w:t>
      </w:r>
      <w:r w:rsidRPr="19AB3403" w:rsidR="331C5EFD">
        <w:rPr>
          <w:rFonts w:ascii="Calibri" w:hAnsi="Calibri" w:cs="Calibri"/>
        </w:rPr>
        <w:t xml:space="preserve"> Similarly, failure to update datasets could result in increased costs, less accuracy, and more attempts needing to be made to contact facilities</w:t>
      </w:r>
      <w:r w:rsidRPr="19AB3403" w:rsidR="46D41509">
        <w:rPr>
          <w:rFonts w:ascii="Calibri" w:hAnsi="Calibri" w:cs="Calibri"/>
        </w:rPr>
        <w:t>.</w:t>
      </w:r>
    </w:p>
    <w:p w:rsidR="00693767" w:rsidRPr="009A5344" w:rsidP="00693767" w14:paraId="076BBC07" w14:textId="77777777">
      <w:pPr>
        <w:pStyle w:val="BodyText"/>
        <w:spacing w:before="115"/>
        <w:rPr>
          <w:rFonts w:ascii="Calibri" w:hAnsi="Calibri" w:cs="Calibri"/>
          <w:bCs/>
        </w:rPr>
      </w:pPr>
    </w:p>
    <w:p w:rsidR="00201347" w:rsidRPr="00124446" w:rsidP="00844D2F" w14:paraId="74BEDF83" w14:textId="6C202713">
      <w:pPr>
        <w:pStyle w:val="Heading1"/>
        <w:numPr>
          <w:ilvl w:val="0"/>
          <w:numId w:val="9"/>
        </w:numPr>
        <w:tabs>
          <w:tab w:val="left" w:pos="669"/>
        </w:tabs>
        <w:spacing w:before="122" w:line="259" w:lineRule="auto"/>
        <w:ind w:left="360" w:hanging="360"/>
        <w:rPr>
          <w:rFonts w:ascii="Calibri" w:hAnsi="Calibri" w:cs="Calibri"/>
        </w:rPr>
      </w:pPr>
      <w:r w:rsidRPr="00124446">
        <w:rPr>
          <w:rFonts w:ascii="Calibri" w:hAnsi="Calibri" w:cs="Calibri"/>
        </w:rPr>
        <w:t>Explain any special circumstances that would cause an information collection to</w:t>
      </w:r>
      <w:r w:rsidRPr="1C14B75A" w:rsidR="00693767">
        <w:rPr>
          <w:rFonts w:ascii="Calibri" w:hAnsi="Calibri" w:cs="Calibri"/>
        </w:rPr>
        <w:t xml:space="preserve"> </w:t>
      </w:r>
      <w:r w:rsidRPr="00124446">
        <w:rPr>
          <w:rFonts w:ascii="Calibri" w:hAnsi="Calibri" w:cs="Calibri"/>
        </w:rPr>
        <w:t>be conducted in a</w:t>
      </w:r>
      <w:r w:rsidRPr="00124446">
        <w:rPr>
          <w:rFonts w:ascii="Calibri" w:hAnsi="Calibri" w:cs="Calibri"/>
          <w:spacing w:val="-2"/>
        </w:rPr>
        <w:t xml:space="preserve"> </w:t>
      </w:r>
      <w:r w:rsidRPr="00124446">
        <w:rPr>
          <w:rFonts w:ascii="Calibri" w:hAnsi="Calibri" w:cs="Calibri"/>
        </w:rPr>
        <w:t>manner:</w:t>
      </w:r>
    </w:p>
    <w:p w:rsidR="00201347" w:rsidRPr="009A5344" w:rsidP="00060FAF" w14:paraId="29B1D7A1" w14:textId="77777777">
      <w:pPr>
        <w:pStyle w:val="ListParagraph"/>
        <w:numPr>
          <w:ilvl w:val="0"/>
          <w:numId w:val="11"/>
        </w:numPr>
        <w:tabs>
          <w:tab w:val="left" w:pos="759"/>
          <w:tab w:val="left" w:pos="760"/>
        </w:tabs>
        <w:spacing w:before="160"/>
        <w:rPr>
          <w:rFonts w:ascii="Calibri" w:hAnsi="Calibri" w:cs="Calibri"/>
          <w:sz w:val="24"/>
        </w:rPr>
      </w:pPr>
      <w:r w:rsidRPr="003C66B9">
        <w:rPr>
          <w:rFonts w:ascii="Calibri" w:hAnsi="Calibri" w:cs="Calibri"/>
          <w:sz w:val="24"/>
        </w:rPr>
        <w:t>requiring respondents to report information to the agency more often than</w:t>
      </w:r>
      <w:r w:rsidRPr="003C66B9">
        <w:rPr>
          <w:rFonts w:ascii="Calibri" w:hAnsi="Calibri" w:cs="Calibri"/>
          <w:spacing w:val="-16"/>
          <w:sz w:val="24"/>
        </w:rPr>
        <w:t xml:space="preserve"> </w:t>
      </w:r>
      <w:r w:rsidRPr="003C66B9">
        <w:rPr>
          <w:rFonts w:ascii="Calibri" w:hAnsi="Calibri" w:cs="Calibri"/>
          <w:sz w:val="24"/>
        </w:rPr>
        <w:t>quarterly;</w:t>
      </w:r>
    </w:p>
    <w:p w:rsidR="00B33BBE" w:rsidRPr="009A5344" w:rsidP="009A5344" w14:paraId="60D4BBFB" w14:textId="7655CA6A">
      <w:pPr>
        <w:tabs>
          <w:tab w:val="left" w:pos="759"/>
          <w:tab w:val="left" w:pos="760"/>
        </w:tabs>
        <w:spacing w:before="160"/>
        <w:ind w:left="400"/>
        <w:rPr>
          <w:rFonts w:ascii="Calibri" w:hAnsi="Calibri" w:cs="Calibri"/>
          <w:sz w:val="24"/>
          <w:szCs w:val="24"/>
        </w:rPr>
      </w:pPr>
      <w:r w:rsidRPr="125F5955">
        <w:rPr>
          <w:rFonts w:ascii="Calibri" w:hAnsi="Calibri" w:cs="Calibri"/>
          <w:sz w:val="24"/>
          <w:szCs w:val="24"/>
        </w:rPr>
        <w:t>This generic clearance will not require respondents to report information to the agency more often than quarterly.</w:t>
      </w:r>
    </w:p>
    <w:p w:rsidR="00201347" w:rsidP="00060FAF" w14:paraId="1CA4CE55" w14:textId="77777777">
      <w:pPr>
        <w:pStyle w:val="ListParagraph"/>
        <w:numPr>
          <w:ilvl w:val="0"/>
          <w:numId w:val="11"/>
        </w:numPr>
        <w:tabs>
          <w:tab w:val="left" w:pos="759"/>
          <w:tab w:val="left" w:pos="760"/>
        </w:tabs>
        <w:rPr>
          <w:rFonts w:ascii="Calibri" w:hAnsi="Calibri" w:cs="Calibri"/>
          <w:sz w:val="24"/>
        </w:rPr>
      </w:pPr>
      <w:r w:rsidRPr="003C66B9">
        <w:rPr>
          <w:rFonts w:ascii="Calibri" w:hAnsi="Calibri" w:cs="Calibri"/>
          <w:sz w:val="24"/>
        </w:rPr>
        <w:t>requiring respondents to prepare a written response to a collection of information in fewer than 30 days after receipt of it;</w:t>
      </w:r>
    </w:p>
    <w:p w:rsidR="009A5344" w:rsidRPr="009A5344" w:rsidP="009A5344" w14:paraId="087307CF" w14:textId="77777777">
      <w:pPr>
        <w:tabs>
          <w:tab w:val="left" w:pos="759"/>
          <w:tab w:val="left" w:pos="760"/>
        </w:tabs>
        <w:rPr>
          <w:rFonts w:ascii="Calibri" w:hAnsi="Calibri" w:cs="Calibri"/>
          <w:sz w:val="24"/>
        </w:rPr>
      </w:pPr>
    </w:p>
    <w:p w:rsidR="00B33BBE" w:rsidRPr="009A5344" w:rsidP="009A5344" w14:paraId="7AE42C0C" w14:textId="74262EC7">
      <w:pPr>
        <w:tabs>
          <w:tab w:val="left" w:pos="759"/>
          <w:tab w:val="left" w:pos="760"/>
        </w:tabs>
        <w:ind w:left="400"/>
        <w:rPr>
          <w:rFonts w:ascii="Calibri" w:hAnsi="Calibri" w:cs="Calibri"/>
          <w:sz w:val="24"/>
          <w:szCs w:val="24"/>
        </w:rPr>
      </w:pPr>
      <w:r w:rsidRPr="009A5344">
        <w:rPr>
          <w:rFonts w:ascii="Calibri" w:hAnsi="Calibri" w:cs="Calibri"/>
          <w:sz w:val="24"/>
          <w:szCs w:val="24"/>
        </w:rPr>
        <w:t>This generic clearance will not require respondents to prepare a written response to a collection of information in fewer than 30 days after receipt of it.</w:t>
      </w:r>
    </w:p>
    <w:p w:rsidR="00201347" w:rsidRPr="009A5344" w:rsidP="00060FAF" w14:paraId="10AA5D52" w14:textId="77777777">
      <w:pPr>
        <w:pStyle w:val="ListParagraph"/>
        <w:numPr>
          <w:ilvl w:val="0"/>
          <w:numId w:val="11"/>
        </w:numPr>
        <w:tabs>
          <w:tab w:val="left" w:pos="759"/>
          <w:tab w:val="left" w:pos="760"/>
        </w:tabs>
        <w:rPr>
          <w:rFonts w:ascii="Calibri" w:hAnsi="Calibri" w:cs="Calibri"/>
          <w:sz w:val="24"/>
        </w:rPr>
      </w:pPr>
      <w:r w:rsidRPr="003C66B9">
        <w:rPr>
          <w:rFonts w:ascii="Calibri" w:hAnsi="Calibri" w:cs="Calibri"/>
          <w:sz w:val="24"/>
        </w:rPr>
        <w:t>requiring respondents to submit more than an original and two copies of any</w:t>
      </w:r>
      <w:r w:rsidRPr="003C66B9">
        <w:rPr>
          <w:rFonts w:ascii="Calibri" w:hAnsi="Calibri" w:cs="Calibri"/>
          <w:spacing w:val="-16"/>
          <w:sz w:val="24"/>
        </w:rPr>
        <w:t xml:space="preserve"> </w:t>
      </w:r>
      <w:r w:rsidRPr="003C66B9">
        <w:rPr>
          <w:rFonts w:ascii="Calibri" w:hAnsi="Calibri" w:cs="Calibri"/>
          <w:sz w:val="24"/>
        </w:rPr>
        <w:t>document;</w:t>
      </w:r>
    </w:p>
    <w:p w:rsidR="00B33BBE" w:rsidRPr="009A5344" w:rsidP="00FC7067" w14:paraId="25857743" w14:textId="4FCF47D6">
      <w:pPr>
        <w:tabs>
          <w:tab w:val="left" w:pos="759"/>
          <w:tab w:val="left" w:pos="760"/>
        </w:tabs>
        <w:spacing w:before="240"/>
        <w:ind w:left="400"/>
        <w:rPr>
          <w:rFonts w:ascii="Calibri" w:hAnsi="Calibri" w:cs="Calibri"/>
          <w:sz w:val="20"/>
        </w:rPr>
      </w:pPr>
      <w:r w:rsidRPr="009A5344">
        <w:rPr>
          <w:rFonts w:ascii="Calibri" w:hAnsi="Calibri" w:cs="Calibri"/>
          <w:sz w:val="24"/>
          <w:szCs w:val="24"/>
        </w:rPr>
        <w:t xml:space="preserve">This generic clearance will not require </w:t>
      </w:r>
      <w:r w:rsidRPr="009A5344">
        <w:rPr>
          <w:rFonts w:ascii="Calibri" w:hAnsi="Calibri" w:cs="Calibri"/>
          <w:sz w:val="24"/>
        </w:rPr>
        <w:t>respondents to submit more than an original and two copies of any</w:t>
      </w:r>
      <w:r w:rsidRPr="009A5344">
        <w:rPr>
          <w:rFonts w:ascii="Calibri" w:hAnsi="Calibri" w:cs="Calibri"/>
          <w:spacing w:val="-16"/>
          <w:sz w:val="24"/>
        </w:rPr>
        <w:t xml:space="preserve"> </w:t>
      </w:r>
      <w:r w:rsidRPr="009A5344">
        <w:rPr>
          <w:rFonts w:ascii="Calibri" w:hAnsi="Calibri" w:cs="Calibri"/>
          <w:sz w:val="24"/>
        </w:rPr>
        <w:t>document.</w:t>
      </w:r>
    </w:p>
    <w:p w:rsidR="00201347" w:rsidRPr="009A5344" w:rsidP="00060FAF" w14:paraId="4F71E0AE" w14:textId="77777777">
      <w:pPr>
        <w:pStyle w:val="ListParagraph"/>
        <w:numPr>
          <w:ilvl w:val="0"/>
          <w:numId w:val="11"/>
        </w:numPr>
        <w:tabs>
          <w:tab w:val="left" w:pos="759"/>
          <w:tab w:val="left" w:pos="760"/>
        </w:tabs>
        <w:spacing w:before="158"/>
        <w:rPr>
          <w:rFonts w:ascii="Calibri" w:hAnsi="Calibri" w:cs="Calibri"/>
          <w:sz w:val="20"/>
        </w:rPr>
      </w:pPr>
      <w:r w:rsidRPr="003C66B9">
        <w:rPr>
          <w:rFonts w:ascii="Calibri" w:hAnsi="Calibri" w:cs="Calibri"/>
          <w:sz w:val="24"/>
        </w:rPr>
        <w:t>requiring respondents to retain records, other than health, medical, government contract, grant-in- aid, or tax records for more than three</w:t>
      </w:r>
      <w:r w:rsidRPr="003C66B9">
        <w:rPr>
          <w:rFonts w:ascii="Calibri" w:hAnsi="Calibri" w:cs="Calibri"/>
          <w:spacing w:val="-4"/>
          <w:sz w:val="24"/>
        </w:rPr>
        <w:t xml:space="preserve"> </w:t>
      </w:r>
      <w:r w:rsidRPr="003C66B9">
        <w:rPr>
          <w:rFonts w:ascii="Calibri" w:hAnsi="Calibri" w:cs="Calibri"/>
          <w:sz w:val="24"/>
        </w:rPr>
        <w:t>years;</w:t>
      </w:r>
    </w:p>
    <w:p w:rsidR="00B33BBE" w:rsidRPr="009A5344" w:rsidP="009A5344" w14:paraId="16987447" w14:textId="094F6642">
      <w:pPr>
        <w:tabs>
          <w:tab w:val="left" w:pos="759"/>
          <w:tab w:val="left" w:pos="760"/>
        </w:tabs>
        <w:spacing w:before="158"/>
        <w:ind w:left="400"/>
        <w:rPr>
          <w:rFonts w:ascii="Calibri" w:hAnsi="Calibri" w:cs="Calibri"/>
          <w:sz w:val="20"/>
        </w:rPr>
      </w:pPr>
      <w:r w:rsidRPr="009A5344">
        <w:rPr>
          <w:rFonts w:ascii="Calibri" w:hAnsi="Calibri" w:cs="Calibri"/>
          <w:sz w:val="24"/>
          <w:szCs w:val="24"/>
        </w:rPr>
        <w:t>This generic clearance will not require</w:t>
      </w:r>
      <w:r w:rsidRPr="009A5344">
        <w:rPr>
          <w:rFonts w:ascii="Calibri" w:hAnsi="Calibri" w:cs="Calibri"/>
          <w:sz w:val="24"/>
        </w:rPr>
        <w:t xml:space="preserve"> respondents to retain records for more than three</w:t>
      </w:r>
      <w:r w:rsidRPr="009A5344">
        <w:rPr>
          <w:rFonts w:ascii="Calibri" w:hAnsi="Calibri" w:cs="Calibri"/>
          <w:spacing w:val="-4"/>
          <w:sz w:val="24"/>
        </w:rPr>
        <w:t xml:space="preserve"> </w:t>
      </w:r>
      <w:r w:rsidRPr="009A5344">
        <w:rPr>
          <w:rFonts w:ascii="Calibri" w:hAnsi="Calibri" w:cs="Calibri"/>
          <w:sz w:val="24"/>
        </w:rPr>
        <w:t>years.</w:t>
      </w:r>
    </w:p>
    <w:p w:rsidR="00201347" w:rsidRPr="009A5344" w:rsidP="00060FAF" w14:paraId="6B6C121A" w14:textId="77777777">
      <w:pPr>
        <w:pStyle w:val="ListParagraph"/>
        <w:numPr>
          <w:ilvl w:val="0"/>
          <w:numId w:val="11"/>
        </w:numPr>
        <w:tabs>
          <w:tab w:val="left" w:pos="759"/>
          <w:tab w:val="left" w:pos="760"/>
        </w:tabs>
        <w:rPr>
          <w:rFonts w:ascii="Calibri" w:hAnsi="Calibri" w:cs="Calibri"/>
          <w:sz w:val="20"/>
        </w:rPr>
      </w:pPr>
      <w:r w:rsidRPr="003C66B9">
        <w:rPr>
          <w:rFonts w:ascii="Calibri" w:hAnsi="Calibri" w:cs="Calibri"/>
          <w:sz w:val="24"/>
        </w:rPr>
        <w:t>in connection with a statistical survey, that is not designed to produce valid and reliable results that can be generalized to the universe of</w:t>
      </w:r>
      <w:r w:rsidRPr="003C66B9">
        <w:rPr>
          <w:rFonts w:ascii="Calibri" w:hAnsi="Calibri" w:cs="Calibri"/>
          <w:spacing w:val="-5"/>
          <w:sz w:val="24"/>
        </w:rPr>
        <w:t xml:space="preserve"> </w:t>
      </w:r>
      <w:r w:rsidRPr="003C66B9">
        <w:rPr>
          <w:rFonts w:ascii="Calibri" w:hAnsi="Calibri" w:cs="Calibri"/>
          <w:sz w:val="24"/>
        </w:rPr>
        <w:t>study;</w:t>
      </w:r>
    </w:p>
    <w:p w:rsidR="009A5344" w:rsidP="009A5344" w14:paraId="77B3F5E9" w14:textId="77777777">
      <w:pPr>
        <w:tabs>
          <w:tab w:val="left" w:pos="759"/>
          <w:tab w:val="left" w:pos="760"/>
        </w:tabs>
        <w:ind w:left="400"/>
        <w:rPr>
          <w:rFonts w:ascii="Calibri" w:hAnsi="Calibri" w:cs="Calibri"/>
          <w:sz w:val="24"/>
          <w:szCs w:val="24"/>
        </w:rPr>
      </w:pPr>
    </w:p>
    <w:p w:rsidR="00B33BBE" w:rsidRPr="009A5344" w:rsidP="1C14B75A" w14:paraId="7EAC5A1F" w14:textId="38D2347D">
      <w:pPr>
        <w:tabs>
          <w:tab w:val="left" w:pos="759"/>
          <w:tab w:val="left" w:pos="760"/>
        </w:tabs>
        <w:ind w:left="400"/>
        <w:rPr>
          <w:rFonts w:ascii="Calibri" w:hAnsi="Calibri" w:cs="Calibri"/>
          <w:sz w:val="20"/>
          <w:szCs w:val="20"/>
        </w:rPr>
      </w:pPr>
      <w:r w:rsidRPr="1C14B75A">
        <w:rPr>
          <w:rFonts w:ascii="Calibri" w:hAnsi="Calibri" w:cs="Calibri"/>
          <w:sz w:val="24"/>
          <w:szCs w:val="24"/>
        </w:rPr>
        <w:t>This generic clearance will not be used to produce official statistics. However, summarized results shall be released in methodological reports, or as a methodological appendix or footnote in a report containing data from a larger data collection effort. The results of this research may also be prepared for presentation at professional meetings or publication in professional journals.</w:t>
      </w:r>
    </w:p>
    <w:p w:rsidR="00201347" w:rsidRPr="009A5344" w:rsidP="00060FAF" w14:paraId="032EB8FB" w14:textId="77777777">
      <w:pPr>
        <w:pStyle w:val="ListParagraph"/>
        <w:numPr>
          <w:ilvl w:val="0"/>
          <w:numId w:val="11"/>
        </w:numPr>
        <w:tabs>
          <w:tab w:val="left" w:pos="759"/>
          <w:tab w:val="left" w:pos="760"/>
        </w:tabs>
        <w:spacing w:before="159"/>
        <w:rPr>
          <w:rFonts w:ascii="Calibri" w:hAnsi="Calibri" w:cs="Calibri"/>
          <w:sz w:val="20"/>
        </w:rPr>
      </w:pPr>
      <w:r w:rsidRPr="003C66B9">
        <w:rPr>
          <w:rFonts w:ascii="Calibri" w:hAnsi="Calibri" w:cs="Calibri"/>
          <w:sz w:val="24"/>
        </w:rPr>
        <w:t>requiring the use of a statistical data classification that has not been reviewed and approved by OMB;</w:t>
      </w:r>
    </w:p>
    <w:p w:rsidR="00B33BBE" w:rsidRPr="009A5344" w:rsidP="6C47B086" w14:paraId="365BBD43" w14:textId="44D81249">
      <w:pPr>
        <w:tabs>
          <w:tab w:val="left" w:pos="759"/>
          <w:tab w:val="left" w:pos="760"/>
        </w:tabs>
        <w:spacing w:before="159"/>
        <w:ind w:left="400"/>
        <w:rPr>
          <w:rFonts w:ascii="Calibri" w:hAnsi="Calibri" w:cs="Calibri"/>
          <w:sz w:val="20"/>
          <w:szCs w:val="20"/>
        </w:rPr>
      </w:pPr>
      <w:r w:rsidRPr="6C47B086">
        <w:rPr>
          <w:rFonts w:ascii="Calibri" w:hAnsi="Calibri" w:cs="Calibri"/>
          <w:sz w:val="24"/>
          <w:szCs w:val="24"/>
        </w:rPr>
        <w:t>This generic clearance will not require the use of a statistical data classification that has not been reviewed and approved by OMB</w:t>
      </w:r>
      <w:r w:rsidRPr="6C47B086" w:rsidR="00B31246">
        <w:rPr>
          <w:rFonts w:ascii="Calibri" w:hAnsi="Calibri" w:cs="Calibri"/>
          <w:sz w:val="24"/>
          <w:szCs w:val="24"/>
        </w:rPr>
        <w:t xml:space="preserve">, including in support of the implementation of Statistical Policy Directive </w:t>
      </w:r>
      <w:r w:rsidRPr="6C47B086" w:rsidR="005C299F">
        <w:rPr>
          <w:rFonts w:ascii="Calibri" w:hAnsi="Calibri" w:cs="Calibri"/>
          <w:sz w:val="24"/>
          <w:szCs w:val="24"/>
        </w:rPr>
        <w:t xml:space="preserve">No. </w:t>
      </w:r>
      <w:r w:rsidRPr="6C47B086" w:rsidR="00B31246">
        <w:rPr>
          <w:rFonts w:ascii="Calibri" w:hAnsi="Calibri" w:cs="Calibri"/>
          <w:sz w:val="24"/>
          <w:szCs w:val="24"/>
        </w:rPr>
        <w:t xml:space="preserve">15 </w:t>
      </w:r>
      <w:r w:rsidRPr="6C47B086" w:rsidR="005C299F">
        <w:rPr>
          <w:rFonts w:ascii="Calibri" w:hAnsi="Calibri" w:cs="Calibri"/>
          <w:sz w:val="24"/>
          <w:szCs w:val="24"/>
        </w:rPr>
        <w:t xml:space="preserve">Federal Race and Ethnicity Data Standards </w:t>
      </w:r>
      <w:r w:rsidRPr="6C47B086" w:rsidR="00B31246">
        <w:rPr>
          <w:rFonts w:ascii="Calibri" w:hAnsi="Calibri" w:cs="Calibri"/>
          <w:sz w:val="24"/>
          <w:szCs w:val="24"/>
        </w:rPr>
        <w:t>(SPD 15)</w:t>
      </w:r>
      <w:r w:rsidRPr="6C47B086">
        <w:rPr>
          <w:rFonts w:ascii="Calibri" w:hAnsi="Calibri" w:cs="Calibri"/>
          <w:sz w:val="24"/>
          <w:szCs w:val="24"/>
        </w:rPr>
        <w:t>.</w:t>
      </w:r>
    </w:p>
    <w:p w:rsidR="00201347" w:rsidRPr="003C66B9" w:rsidP="00060FAF" w14:paraId="6D8434DF" w14:textId="77777777">
      <w:pPr>
        <w:pStyle w:val="ListParagraph"/>
        <w:numPr>
          <w:ilvl w:val="0"/>
          <w:numId w:val="11"/>
        </w:numPr>
        <w:tabs>
          <w:tab w:val="left" w:pos="759"/>
          <w:tab w:val="left" w:pos="760"/>
        </w:tabs>
        <w:rPr>
          <w:rFonts w:ascii="Calibri" w:hAnsi="Calibri" w:cs="Calibri"/>
          <w:sz w:val="20"/>
        </w:rPr>
      </w:pPr>
      <w:r w:rsidRPr="003C66B9">
        <w:rPr>
          <w:rFonts w:ascii="Calibri" w:hAnsi="Calibri" w:cs="Calibri"/>
          <w:sz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Pr="003C66B9">
        <w:rPr>
          <w:rFonts w:ascii="Calibri" w:hAnsi="Calibri" w:cs="Calibri"/>
          <w:spacing w:val="-6"/>
          <w:sz w:val="24"/>
        </w:rPr>
        <w:t xml:space="preserve"> </w:t>
      </w:r>
      <w:r w:rsidRPr="003C66B9">
        <w:rPr>
          <w:rFonts w:ascii="Calibri" w:hAnsi="Calibri" w:cs="Calibri"/>
          <w:sz w:val="24"/>
        </w:rPr>
        <w:t>or</w:t>
      </w:r>
    </w:p>
    <w:p w:rsidR="00B33BBE" w:rsidRPr="009A5344" w:rsidP="009A5344" w14:paraId="14C80487" w14:textId="1FDFC513">
      <w:pPr>
        <w:tabs>
          <w:tab w:val="left" w:pos="759"/>
          <w:tab w:val="left" w:pos="760"/>
        </w:tabs>
        <w:spacing w:before="160"/>
        <w:ind w:left="400"/>
        <w:rPr>
          <w:rFonts w:ascii="Calibri" w:hAnsi="Calibri" w:cs="Calibri"/>
          <w:sz w:val="20"/>
        </w:rPr>
      </w:pPr>
      <w:r w:rsidRPr="009A5344">
        <w:rPr>
          <w:rFonts w:ascii="Calibri" w:hAnsi="Calibri" w:cs="Calibri"/>
          <w:sz w:val="24"/>
          <w:szCs w:val="24"/>
        </w:rPr>
        <w:t xml:space="preserve">This generic clearance will </w:t>
      </w:r>
      <w:r w:rsidRPr="009A5344">
        <w:rPr>
          <w:rFonts w:ascii="Calibri" w:hAnsi="Calibri" w:cs="Calibri"/>
          <w:sz w:val="24"/>
        </w:rPr>
        <w:t>include assurances of confidentiality established in statute and supported by disclosure and data security policies consistent with statute.</w:t>
      </w:r>
    </w:p>
    <w:p w:rsidR="00201347" w:rsidRPr="009A5344" w:rsidP="00060FAF" w14:paraId="674B9ECE" w14:textId="643D0A7B">
      <w:pPr>
        <w:pStyle w:val="ListParagraph"/>
        <w:numPr>
          <w:ilvl w:val="0"/>
          <w:numId w:val="11"/>
        </w:numPr>
        <w:tabs>
          <w:tab w:val="left" w:pos="759"/>
          <w:tab w:val="left" w:pos="760"/>
        </w:tabs>
        <w:spacing w:before="160"/>
        <w:rPr>
          <w:rFonts w:ascii="Calibri" w:hAnsi="Calibri" w:cs="Calibri"/>
          <w:sz w:val="20"/>
        </w:rPr>
      </w:pPr>
      <w:r w:rsidRPr="003C66B9">
        <w:rPr>
          <w:rFonts w:ascii="Calibri" w:hAnsi="Calibri" w:cs="Calibri"/>
          <w:sz w:val="24"/>
        </w:rPr>
        <w:t>requiring respondents to submit proprietary trade secret, or other confidential information unless the agency can demonstrate that it has instituted procedures to protect the information's confidentiality to the extent permitted by</w:t>
      </w:r>
      <w:r w:rsidRPr="003C66B9">
        <w:rPr>
          <w:rFonts w:ascii="Calibri" w:hAnsi="Calibri" w:cs="Calibri"/>
          <w:spacing w:val="-3"/>
          <w:sz w:val="24"/>
        </w:rPr>
        <w:t xml:space="preserve"> </w:t>
      </w:r>
      <w:r w:rsidRPr="003C66B9">
        <w:rPr>
          <w:rFonts w:ascii="Calibri" w:hAnsi="Calibri" w:cs="Calibri"/>
          <w:sz w:val="24"/>
        </w:rPr>
        <w:t>law.</w:t>
      </w:r>
    </w:p>
    <w:p w:rsidR="00B33BBE" w:rsidRPr="003C66B9" w:rsidP="00FC7067" w14:paraId="42B93C76" w14:textId="57E7D38A">
      <w:pPr>
        <w:tabs>
          <w:tab w:val="left" w:pos="759"/>
          <w:tab w:val="left" w:pos="760"/>
        </w:tabs>
        <w:spacing w:before="160"/>
        <w:ind w:left="400"/>
        <w:rPr>
          <w:rFonts w:ascii="Calibri" w:hAnsi="Calibri" w:cs="Calibri"/>
          <w:sz w:val="20"/>
        </w:rPr>
      </w:pPr>
      <w:r w:rsidRPr="00FC7067">
        <w:rPr>
          <w:rFonts w:ascii="Calibri" w:hAnsi="Calibri" w:cs="Calibri"/>
          <w:sz w:val="24"/>
          <w:szCs w:val="24"/>
        </w:rPr>
        <w:t xml:space="preserve">This generic clearance will </w:t>
      </w:r>
      <w:r w:rsidRPr="00FC7067">
        <w:rPr>
          <w:rFonts w:ascii="Calibri" w:hAnsi="Calibri" w:cs="Calibri"/>
          <w:sz w:val="24"/>
        </w:rPr>
        <w:t>include assurances of confidentiality established in statute and supported by disclosure and data security policies consistent with statute.</w:t>
      </w:r>
    </w:p>
    <w:p w:rsidR="00060FAF" w:rsidRPr="00060FAF" w14:paraId="3DEEC669" w14:textId="77777777">
      <w:pPr>
        <w:pStyle w:val="BodyText"/>
        <w:spacing w:before="80"/>
        <w:ind w:right="379"/>
        <w:rPr>
          <w:rFonts w:ascii="Calibri" w:hAnsi="Calibri" w:cs="Calibri"/>
        </w:rPr>
      </w:pPr>
    </w:p>
    <w:p w:rsidR="00201347" w:rsidRPr="00124446" w:rsidP="00844D2F" w14:paraId="011B0591" w14:textId="77777777">
      <w:pPr>
        <w:pStyle w:val="Heading1"/>
        <w:numPr>
          <w:ilvl w:val="0"/>
          <w:numId w:val="9"/>
        </w:numPr>
        <w:tabs>
          <w:tab w:val="left" w:pos="669"/>
        </w:tabs>
        <w:spacing w:before="125"/>
        <w:ind w:left="360" w:hanging="360"/>
        <w:rPr>
          <w:rFonts w:ascii="Calibri" w:hAnsi="Calibri" w:cs="Calibri"/>
        </w:rPr>
      </w:pPr>
      <w:r w:rsidRPr="00124446">
        <w:rPr>
          <w:rFonts w:ascii="Calibri" w:hAnsi="Calibri" w:cs="Calibri"/>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sidRPr="00124446">
        <w:rPr>
          <w:rFonts w:ascii="Calibri" w:hAnsi="Calibri" w:cs="Calibri"/>
          <w:spacing w:val="-17"/>
        </w:rPr>
        <w:t xml:space="preserve"> </w:t>
      </w:r>
      <w:r w:rsidRPr="00124446">
        <w:rPr>
          <w:rFonts w:ascii="Calibri" w:hAnsi="Calibri" w:cs="Calibri"/>
        </w:rPr>
        <w:t>burden.</w:t>
      </w:r>
    </w:p>
    <w:p w:rsidR="0056581F" w:rsidRPr="0056581F" w:rsidP="00060FAF" w14:paraId="2F54815D" w14:textId="77777777">
      <w:pPr>
        <w:pStyle w:val="BodyText"/>
        <w:spacing w:before="159"/>
        <w:rPr>
          <w:rFonts w:ascii="Calibri" w:hAnsi="Calibri" w:cs="Calibri"/>
          <w:b/>
          <w:bCs/>
        </w:rPr>
      </w:pPr>
      <w:r w:rsidRPr="0056581F">
        <w:rPr>
          <w:rFonts w:ascii="Calibri" w:hAnsi="Calibri" w:cs="Calibri"/>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413E84" w:rsidRPr="00FC7067" w:rsidP="00060FAF" w14:paraId="7DA1A0A3" w14:textId="77777777">
      <w:pPr>
        <w:spacing w:before="161"/>
        <w:ind w:left="400"/>
        <w:rPr>
          <w:rFonts w:ascii="Calibri" w:hAnsi="Calibri" w:cs="Calibri"/>
          <w:bCs/>
          <w:sz w:val="24"/>
        </w:rPr>
      </w:pPr>
      <w:r w:rsidRPr="00FC7067">
        <w:rPr>
          <w:rFonts w:ascii="Calibri" w:hAnsi="Calibri" w:cs="Calibri"/>
          <w:bCs/>
          <w:sz w:val="24"/>
        </w:rPr>
        <w:t xml:space="preserve">The Census Bureau regularly consults with outside parties in its census and survey planning. </w:t>
      </w:r>
    </w:p>
    <w:p w:rsidR="00413E84" w:rsidRPr="00FC7067" w:rsidP="1C14B75A" w14:paraId="48744669" w14:textId="6198C4E3">
      <w:pPr>
        <w:spacing w:before="161"/>
        <w:ind w:left="400"/>
        <w:rPr>
          <w:rFonts w:ascii="Calibri" w:hAnsi="Calibri" w:cs="Calibri"/>
          <w:sz w:val="24"/>
          <w:szCs w:val="24"/>
        </w:rPr>
      </w:pPr>
      <w:r w:rsidRPr="1C14B75A">
        <w:rPr>
          <w:rFonts w:ascii="Calibri" w:hAnsi="Calibri" w:cs="Calibri"/>
          <w:sz w:val="24"/>
          <w:szCs w:val="24"/>
        </w:rPr>
        <w:t>Consultation with staff from other Federal laboratory facilities may also occur as part of joint research efforts. These consultations will include discussions concerning potential response problems, clarity of questions and instructions, and other aspects of respondent burden.  Additional efforts to consult with potential respondents to obtain their views on the availability of data, clarity of instructions, etc., may be undertaken as part of the testing that is conducted under this clearance.</w:t>
      </w:r>
    </w:p>
    <w:p w:rsidR="00060FAF" w:rsidRPr="00FC7067" w:rsidP="1ECBE758" w14:paraId="1C043918" w14:textId="5929CF6B">
      <w:pPr>
        <w:pStyle w:val="BodyText"/>
        <w:spacing w:before="159"/>
        <w:rPr>
          <w:rFonts w:ascii="Calibri" w:hAnsi="Calibri" w:cs="Calibri"/>
        </w:rPr>
      </w:pPr>
      <w:r w:rsidRPr="19AB3403">
        <w:rPr>
          <w:rFonts w:ascii="Calibri" w:hAnsi="Calibri" w:cs="Calibri"/>
        </w:rPr>
        <w:t xml:space="preserve">The Census Bureau published a notice in the Federal Register on September 12, </w:t>
      </w:r>
      <w:r w:rsidRPr="19AB3403" w:rsidR="4C032DFE">
        <w:rPr>
          <w:rFonts w:ascii="Calibri" w:hAnsi="Calibri" w:cs="Calibri"/>
        </w:rPr>
        <w:t>2024,</w:t>
      </w:r>
      <w:r w:rsidRPr="19AB3403">
        <w:rPr>
          <w:rFonts w:ascii="Calibri" w:hAnsi="Calibri" w:cs="Calibri"/>
        </w:rPr>
        <w:t xml:space="preserve"> soliciting public comments on our plans to submit this request (Vol. 87, No. 142). We received </w:t>
      </w:r>
      <w:r w:rsidRPr="19AB3403" w:rsidR="2E88F42E">
        <w:rPr>
          <w:rFonts w:ascii="Calibri" w:hAnsi="Calibri" w:cs="Calibri"/>
        </w:rPr>
        <w:t xml:space="preserve">four </w:t>
      </w:r>
      <w:r w:rsidRPr="19AB3403">
        <w:rPr>
          <w:rFonts w:ascii="Calibri" w:hAnsi="Calibri" w:cs="Calibri"/>
        </w:rPr>
        <w:t>public comments.</w:t>
      </w:r>
      <w:r w:rsidRPr="19AB3403" w:rsidR="6CFFDAE7">
        <w:rPr>
          <w:rFonts w:ascii="Calibri" w:hAnsi="Calibri" w:cs="Calibri"/>
        </w:rPr>
        <w:t xml:space="preserve"> </w:t>
      </w:r>
    </w:p>
    <w:p w:rsidR="00060FAF" w:rsidRPr="00FC7067" w:rsidP="19AB3403" w14:paraId="2AF7C7F8" w14:textId="7C0A876A">
      <w:pPr>
        <w:pStyle w:val="BodyText"/>
        <w:numPr>
          <w:ilvl w:val="0"/>
          <w:numId w:val="2"/>
        </w:numPr>
        <w:spacing w:before="159"/>
        <w:rPr>
          <w:rFonts w:ascii="Calibri" w:hAnsi="Calibri" w:cs="Calibri"/>
        </w:rPr>
      </w:pPr>
      <w:r w:rsidRPr="19AB3403">
        <w:rPr>
          <w:rFonts w:ascii="Calibri" w:hAnsi="Calibri" w:cs="Calibri"/>
        </w:rPr>
        <w:t>One comment offered advice on what survey and data quality metrics to measure while conducting tests and evaluations</w:t>
      </w:r>
      <w:r w:rsidRPr="19AB3403" w:rsidR="03010651">
        <w:rPr>
          <w:rFonts w:ascii="Calibri" w:hAnsi="Calibri" w:cs="Calibri"/>
        </w:rPr>
        <w:t xml:space="preserve"> </w:t>
      </w:r>
      <w:r w:rsidRPr="19AB3403" w:rsidR="03010651">
        <w:rPr>
          <w:rFonts w:ascii="Calibri" w:eastAsia="Calibri" w:hAnsi="Calibri" w:cs="Calibri"/>
        </w:rPr>
        <w:t>and requested that the Census Bureau ensure that all small-scale tests work toward collecting data that support the quality metrics mentioned. The Census Bureau strives to integrate quality across the survey lifecycle of each iteration of the Small-Scale Response Testing (SmaRT) program from design through data collection and ultimately analysis. Sample and experimental design for SmaRT focuses on obtaining representative respondents while making every effort to minimize respondent burden, which is relatively low for the decennial-like, test questionnaires. In addition, we offer multimode response options such as the internet self-response instrument and paper questionnaires to enable respondents to respond in their preferred mode. In addition, we cognitively test all public-facing materials before sending SmaRT survey invitations to our sample addresses. Throughout our data collection, we carefully monitor key metrics to minimize/eliminate processing and system errors. In addition, all estimates and results must meet or exceed quality standards that are consistent with standards set across the field of survey methodology, professional associations, and the federal government.</w:t>
      </w:r>
      <w:r w:rsidRPr="19AB3403">
        <w:rPr>
          <w:rFonts w:ascii="Calibri" w:hAnsi="Calibri" w:cs="Calibri"/>
        </w:rPr>
        <w:t xml:space="preserve"> </w:t>
      </w:r>
    </w:p>
    <w:p w:rsidR="00060FAF" w:rsidRPr="00FC7067" w:rsidP="19AB3403" w14:paraId="3656B9AB" w14:textId="04EC9E08">
      <w:pPr>
        <w:pStyle w:val="BodyText"/>
        <w:numPr>
          <w:ilvl w:val="0"/>
          <w:numId w:val="2"/>
        </w:numPr>
        <w:spacing w:before="159" w:line="259" w:lineRule="auto"/>
        <w:rPr>
          <w:rFonts w:ascii="Calibri" w:hAnsi="Calibri" w:cs="Calibri"/>
        </w:rPr>
      </w:pPr>
      <w:r w:rsidRPr="19AB3403">
        <w:rPr>
          <w:rFonts w:ascii="Calibri" w:hAnsi="Calibri" w:cs="Calibri"/>
        </w:rPr>
        <w:t xml:space="preserve">Another comment expressed support for continuing the small-scale testing program but encouraged the Census Bureau to revise the </w:t>
      </w:r>
      <w:r w:rsidRPr="19AB3403" w:rsidR="209F77E9">
        <w:rPr>
          <w:rFonts w:ascii="Calibri" w:hAnsi="Calibri" w:cs="Calibri"/>
        </w:rPr>
        <w:t>“</w:t>
      </w:r>
      <w:r w:rsidRPr="19AB3403">
        <w:rPr>
          <w:rFonts w:ascii="Calibri" w:hAnsi="Calibri" w:cs="Calibri"/>
        </w:rPr>
        <w:t>Every Door Direct Mailer</w:t>
      </w:r>
      <w:r w:rsidRPr="19AB3403" w:rsidR="7862E3AE">
        <w:rPr>
          <w:rFonts w:ascii="Calibri" w:hAnsi="Calibri" w:cs="Calibri"/>
        </w:rPr>
        <w:t>”</w:t>
      </w:r>
      <w:r w:rsidRPr="19AB3403">
        <w:rPr>
          <w:rFonts w:ascii="Calibri" w:hAnsi="Calibri" w:cs="Calibri"/>
        </w:rPr>
        <w:t xml:space="preserve"> test to include a split panel design for assessing the effectiveness of a message about including young children, and ideally testing at least two different messages as well as a control group. </w:t>
      </w:r>
      <w:r w:rsidRPr="19AB3403" w:rsidR="175247BB">
        <w:rPr>
          <w:rFonts w:ascii="Calibri" w:eastAsia="Calibri" w:hAnsi="Calibri" w:cs="Calibri"/>
        </w:rPr>
        <w:t>The Census Bureau is exploring if we can use the 2027 panel of the Small-Scale Response Testing program to evaluate the effectiveness of an Every-Door Direct Mailer (EDDM) to inform respondents about counting young children in the decennial census.</w:t>
      </w:r>
      <w:r w:rsidRPr="19AB3403" w:rsidR="175247BB">
        <w:t xml:space="preserve"> </w:t>
      </w:r>
    </w:p>
    <w:p w:rsidR="46346D8D" w:rsidP="19AB3403" w14:paraId="2F509847" w14:textId="16FCE31B">
      <w:pPr>
        <w:pStyle w:val="BodyText"/>
        <w:numPr>
          <w:ilvl w:val="0"/>
          <w:numId w:val="2"/>
        </w:numPr>
        <w:spacing w:before="159" w:line="259" w:lineRule="auto"/>
        <w:rPr>
          <w:rFonts w:ascii="Calibri" w:eastAsia="Calibri" w:hAnsi="Calibri" w:cs="Calibri"/>
        </w:rPr>
      </w:pPr>
      <w:r w:rsidRPr="19AB3403">
        <w:rPr>
          <w:rFonts w:ascii="Calibri" w:eastAsia="Calibri" w:hAnsi="Calibri" w:cs="Calibri"/>
        </w:rPr>
        <w:t xml:space="preserve">A third comment stated that "executing small scale response tests utilizing the Internet Choice contract strategy rather than the Internet First contact strategy is important to identifying tactics that can increase response among persistently undercounted groups." The comment also stated, "[It] is critical...the Census Bureau examine effectiveness not just by increased self-response but specifically increased self-response among groups that have persistently been undercounted." We agree that it is critically important to examine effectiveness not just by increased self-response but specifically increased self-response among groups that have persistently been undercounted and have incorporated that goal into the Small-Scale Response Testing (SmaRT) program. The SmaRT program used the contact strategy of sending the invite to respond via Internet in the first mailing with a paper questionnaire sent in the fourth mailing (i.e., Internet First contact strategy). We did not restrict the SmaRT surveys’ target population to 2020 Census Internet First tracts; the SmaRT target population was housing units that had mailable addresses across the nation (excluding those addresses sampled for recent decennial tests to reduce burden). In the 2025 SmaRT iteration, we will be testing using the Internet First and Internet Choice designations, </w:t>
      </w:r>
      <w:r w:rsidRPr="19AB3403">
        <w:rPr>
          <w:rFonts w:ascii="Calibri" w:eastAsia="Calibri" w:hAnsi="Calibri" w:cs="Calibri"/>
        </w:rPr>
        <w:t>similar to</w:t>
      </w:r>
      <w:r w:rsidRPr="19AB3403">
        <w:rPr>
          <w:rFonts w:ascii="Calibri" w:eastAsia="Calibri" w:hAnsi="Calibri" w:cs="Calibri"/>
        </w:rPr>
        <w:t xml:space="preserve"> what 2030 production may look like.</w:t>
      </w:r>
    </w:p>
    <w:p w:rsidR="46346D8D" w:rsidP="19AB3403" w14:paraId="7AAB3628" w14:textId="3947C192">
      <w:pPr>
        <w:pStyle w:val="ListParagraph"/>
        <w:numPr>
          <w:ilvl w:val="0"/>
          <w:numId w:val="2"/>
        </w:numPr>
        <w:rPr>
          <w:rFonts w:ascii="Calibri" w:eastAsia="Calibri" w:hAnsi="Calibri" w:cs="Calibri"/>
        </w:rPr>
      </w:pPr>
      <w:r w:rsidRPr="19AB3403">
        <w:rPr>
          <w:rFonts w:ascii="Calibri" w:eastAsia="Calibri" w:hAnsi="Calibri" w:cs="Calibri"/>
          <w:sz w:val="24"/>
          <w:szCs w:val="24"/>
        </w:rPr>
        <w:t>The fourth comment asked the Census Bureau to conduct one or more small-scale tests of methods for collecting home address</w:t>
      </w:r>
      <w:r w:rsidRPr="19AB3403">
        <w:rPr>
          <w:rFonts w:ascii="Calibri" w:eastAsia="Calibri" w:hAnsi="Calibri" w:cs="Calibri"/>
        </w:rPr>
        <w:t>e</w:t>
      </w:r>
      <w:r w:rsidRPr="19AB3403">
        <w:rPr>
          <w:rFonts w:ascii="Calibri" w:eastAsia="Calibri" w:hAnsi="Calibri" w:cs="Calibri"/>
          <w:sz w:val="24"/>
          <w:szCs w:val="24"/>
        </w:rPr>
        <w:t xml:space="preserve">s of incarcerated people </w:t>
      </w:r>
      <w:r w:rsidRPr="19AB3403" w:rsidR="666DF788">
        <w:rPr>
          <w:rFonts w:ascii="Calibri" w:eastAsia="Calibri" w:hAnsi="Calibri" w:cs="Calibri"/>
          <w:sz w:val="24"/>
          <w:szCs w:val="24"/>
        </w:rPr>
        <w:t xml:space="preserve">to determine how best to implement a revision of the Residence Criteria and Residence Situations for people who are in </w:t>
      </w:r>
      <w:r w:rsidRPr="19AB3403" w:rsidR="666DF788">
        <w:rPr>
          <w:rFonts w:ascii="Calibri" w:eastAsia="Calibri" w:hAnsi="Calibri" w:cs="Calibri"/>
          <w:sz w:val="24"/>
          <w:szCs w:val="24"/>
        </w:rPr>
        <w:t>correctional facilities</w:t>
      </w:r>
      <w:r w:rsidRPr="19AB3403" w:rsidR="666DF788">
        <w:rPr>
          <w:rFonts w:ascii="Calibri" w:eastAsia="Calibri" w:hAnsi="Calibri" w:cs="Calibri"/>
          <w:sz w:val="24"/>
          <w:szCs w:val="24"/>
        </w:rPr>
        <w:t xml:space="preserve"> on Census Day.  As in previous decades, the Census Bureau will review the Residence Criteria and Residence Situations ahead of the 2030 Census. We will begin our review in early 2025 and then gather public input by engaging with stakeholders.</w:t>
      </w:r>
    </w:p>
    <w:p w:rsidR="19AB3403" w:rsidP="19AB3403" w14:paraId="2797486F" w14:textId="3633C2A4">
      <w:pPr>
        <w:pStyle w:val="ListParagraph"/>
        <w:ind w:left="720" w:firstLine="0"/>
        <w:rPr>
          <w:rFonts w:ascii="Calibri" w:eastAsia="Calibri" w:hAnsi="Calibri" w:cs="Calibri"/>
        </w:rPr>
      </w:pPr>
    </w:p>
    <w:p w:rsidR="00201347" w:rsidRPr="00124446" w:rsidP="00844D2F" w14:paraId="66A4E15B" w14:textId="77777777">
      <w:pPr>
        <w:pStyle w:val="Heading1"/>
        <w:numPr>
          <w:ilvl w:val="0"/>
          <w:numId w:val="9"/>
        </w:numPr>
        <w:tabs>
          <w:tab w:val="left" w:pos="669"/>
        </w:tabs>
        <w:spacing w:before="161"/>
        <w:ind w:left="360" w:hanging="360"/>
        <w:rPr>
          <w:rFonts w:ascii="Calibri" w:hAnsi="Calibri" w:cs="Calibri"/>
        </w:rPr>
      </w:pPr>
      <w:r w:rsidRPr="00124446">
        <w:rPr>
          <w:rFonts w:ascii="Calibri" w:hAnsi="Calibri" w:cs="Calibri"/>
        </w:rPr>
        <w:t>Explain any decision to provide any paymen</w:t>
      </w:r>
      <w:r w:rsidR="00060FAF">
        <w:rPr>
          <w:rFonts w:ascii="Calibri" w:hAnsi="Calibri" w:cs="Calibri"/>
        </w:rPr>
        <w:t xml:space="preserve">t or gift to respondents, other </w:t>
      </w:r>
      <w:r w:rsidR="00EB723C">
        <w:rPr>
          <w:rFonts w:ascii="Calibri" w:hAnsi="Calibri" w:cs="Calibri"/>
        </w:rPr>
        <w:t>than remun</w:t>
      </w:r>
      <w:r w:rsidRPr="00124446">
        <w:rPr>
          <w:rFonts w:ascii="Calibri" w:hAnsi="Calibri" w:cs="Calibri"/>
        </w:rPr>
        <w:t>eration of contractors or</w:t>
      </w:r>
      <w:r w:rsidRPr="00124446">
        <w:rPr>
          <w:rFonts w:ascii="Calibri" w:hAnsi="Calibri" w:cs="Calibri"/>
          <w:spacing w:val="-2"/>
        </w:rPr>
        <w:t xml:space="preserve"> </w:t>
      </w:r>
      <w:r w:rsidRPr="00124446">
        <w:rPr>
          <w:rFonts w:ascii="Calibri" w:hAnsi="Calibri" w:cs="Calibri"/>
        </w:rPr>
        <w:t>grantees.</w:t>
      </w:r>
    </w:p>
    <w:p w:rsidR="00060FAF" w:rsidRPr="00FC7067" w:rsidP="19AB3403" w14:paraId="45FB0818" w14:textId="58A5C698">
      <w:pPr>
        <w:pStyle w:val="BodyText"/>
        <w:rPr>
          <w:rFonts w:ascii="Calibri" w:hAnsi="Calibri" w:cs="Calibri"/>
        </w:rPr>
      </w:pPr>
      <w:r w:rsidRPr="19AB3403">
        <w:rPr>
          <w:rFonts w:ascii="Calibri" w:hAnsi="Calibri" w:cs="Calibri"/>
        </w:rPr>
        <w:t>In general, respondents will not be paid or provided any incentive for their participation. In certain situations, a small token or other incentive may be proposed. Details of this incentive will be outlined with each individual request submitted by the Census Bureau to OMB</w:t>
      </w:r>
      <w:r w:rsidRPr="19AB3403" w:rsidR="49BE1DFE">
        <w:rPr>
          <w:rFonts w:ascii="Calibri" w:hAnsi="Calibri" w:cs="Calibri"/>
        </w:rPr>
        <w:t>.</w:t>
      </w:r>
    </w:p>
    <w:p w:rsidR="19AB3403" w:rsidP="19AB3403" w14:paraId="4293EE48" w14:textId="0326609B">
      <w:pPr>
        <w:pStyle w:val="BodyText"/>
        <w:rPr>
          <w:rFonts w:ascii="Calibri" w:hAnsi="Calibri" w:cs="Calibri"/>
        </w:rPr>
      </w:pPr>
    </w:p>
    <w:p w:rsidR="00201347" w:rsidRPr="00124446" w:rsidP="00844D2F" w14:paraId="0C7002A8" w14:textId="7B616BA0">
      <w:pPr>
        <w:pStyle w:val="Heading1"/>
        <w:numPr>
          <w:ilvl w:val="0"/>
          <w:numId w:val="9"/>
        </w:numPr>
        <w:tabs>
          <w:tab w:val="left" w:pos="804"/>
        </w:tabs>
        <w:spacing w:before="161"/>
        <w:ind w:left="360" w:hanging="360"/>
        <w:rPr>
          <w:rFonts w:ascii="Calibri" w:hAnsi="Calibri" w:cs="Calibri"/>
        </w:rPr>
      </w:pPr>
      <w:r w:rsidRPr="00124446">
        <w:rPr>
          <w:rFonts w:ascii="Calibri" w:hAnsi="Calibri" w:cs="Calibri"/>
        </w:rPr>
        <w:t xml:space="preserve">Describe any assurance of confidentiality provided to </w:t>
      </w:r>
      <w:r w:rsidR="00FF1A79">
        <w:rPr>
          <w:rFonts w:ascii="Calibri" w:hAnsi="Calibri" w:cs="Calibri"/>
        </w:rPr>
        <w:t xml:space="preserve">respondents and the basis </w:t>
      </w:r>
      <w:r w:rsidRPr="00124446">
        <w:rPr>
          <w:rFonts w:ascii="Calibri" w:hAnsi="Calibri" w:cs="Calibri"/>
        </w:rPr>
        <w:t xml:space="preserve">for the assurance in statute, regulation, or agency policy. If the collection requires a </w:t>
      </w:r>
      <w:r w:rsidRPr="00124446" w:rsidR="00190AF6">
        <w:rPr>
          <w:rFonts w:ascii="Calibri" w:hAnsi="Calibri" w:cs="Calibri"/>
        </w:rPr>
        <w:t>system of records notice (SORN)</w:t>
      </w:r>
      <w:r w:rsidRPr="00124446">
        <w:rPr>
          <w:rFonts w:ascii="Calibri" w:hAnsi="Calibri" w:cs="Calibri"/>
        </w:rPr>
        <w:t xml:space="preserve"> or privacy impact assessment (PIA), those should be cited and described</w:t>
      </w:r>
      <w:r w:rsidRPr="00124446">
        <w:rPr>
          <w:rFonts w:ascii="Calibri" w:hAnsi="Calibri" w:cs="Calibri"/>
          <w:spacing w:val="-1"/>
        </w:rPr>
        <w:t xml:space="preserve"> </w:t>
      </w:r>
      <w:r w:rsidRPr="00124446">
        <w:rPr>
          <w:rFonts w:ascii="Calibri" w:hAnsi="Calibri" w:cs="Calibri"/>
        </w:rPr>
        <w:t>here.</w:t>
      </w:r>
    </w:p>
    <w:p w:rsidR="00060FAF" w:rsidP="00060FAF" w14:paraId="049F31CB" w14:textId="01963555">
      <w:pPr>
        <w:pStyle w:val="BodyText"/>
        <w:spacing w:before="158"/>
        <w:rPr>
          <w:rFonts w:ascii="Calibri" w:hAnsi="Calibri" w:cs="Calibri"/>
        </w:rPr>
      </w:pPr>
      <w:r w:rsidRPr="1B79E1C1">
        <w:rPr>
          <w:rFonts w:ascii="Calibri" w:hAnsi="Calibri" w:cs="Calibri"/>
        </w:rPr>
        <w:t xml:space="preserve">All respondents who participate in research under this clearance will be informed that the information they provide will not be made available to anyone who is not a Census employee or does not have Special Sworn Status in any way that would personally identify an individual, household, </w:t>
      </w:r>
      <w:r w:rsidRPr="1B79E1C1">
        <w:rPr>
          <w:rFonts w:ascii="Calibri" w:hAnsi="Calibri" w:cs="Calibri"/>
        </w:rPr>
        <w:t>business</w:t>
      </w:r>
      <w:r w:rsidRPr="1B79E1C1">
        <w:rPr>
          <w:rFonts w:ascii="Calibri" w:hAnsi="Calibri" w:cs="Calibri"/>
        </w:rPr>
        <w:t xml:space="preserve"> or other organization. They will also be informed that their participation is mandatory. This disclosure will be made prior to any data collection.</w:t>
      </w:r>
      <w:r w:rsidRPr="1B79E1C1" w:rsidR="00FC7067">
        <w:rPr>
          <w:rFonts w:ascii="Calibri" w:hAnsi="Calibri" w:cs="Calibri"/>
        </w:rPr>
        <w:t xml:space="preserve">  </w:t>
      </w:r>
      <w:r w:rsidRPr="1B79E1C1">
        <w:rPr>
          <w:rFonts w:ascii="Calibri" w:hAnsi="Calibri" w:cs="Calibri"/>
        </w:rPr>
        <w:t xml:space="preserve">Data collection for this project is authorized under the authorizing legislation for the questionnaire being tested. This may be Title 13, Sections </w:t>
      </w:r>
      <w:r w:rsidRPr="1B79E1C1" w:rsidR="005E1BA3">
        <w:rPr>
          <w:rFonts w:asciiTheme="minorHAnsi" w:hAnsiTheme="minorHAnsi" w:cstheme="minorBidi"/>
        </w:rPr>
        <w:t>141, 191, 193, 221, 223</w:t>
      </w:r>
      <w:r w:rsidRPr="1B79E1C1">
        <w:rPr>
          <w:rFonts w:ascii="Calibri" w:hAnsi="Calibri" w:cs="Calibri"/>
        </w:rPr>
        <w:t>. Per the Federal Cybersecurity Enhancement Act of 2015, data are protected from cybersecurity risks through screening of the systems that transmit data.</w:t>
      </w:r>
    </w:p>
    <w:p w:rsidR="00035520" w:rsidRPr="00060FAF" w:rsidP="19AB3403" w14:paraId="7D4C1C8E" w14:textId="59EBA653">
      <w:pPr>
        <w:pStyle w:val="BodyText"/>
        <w:spacing w:before="158"/>
        <w:rPr>
          <w:rFonts w:asciiTheme="minorHAnsi" w:eastAsiaTheme="minorEastAsia" w:hAnsiTheme="minorHAnsi" w:cstheme="minorBidi"/>
        </w:rPr>
      </w:pPr>
      <w:r w:rsidRPr="19AB3403">
        <w:rPr>
          <w:rFonts w:asciiTheme="minorHAnsi" w:eastAsiaTheme="minorEastAsia" w:hAnsiTheme="minorHAnsi" w:cstheme="minorBidi"/>
        </w:rPr>
        <w:t xml:space="preserve">Summary information </w:t>
      </w:r>
      <w:r w:rsidRPr="19AB3403" w:rsidR="20664388">
        <w:rPr>
          <w:rFonts w:asciiTheme="minorHAnsi" w:eastAsiaTheme="minorEastAsia" w:hAnsiTheme="minorHAnsi" w:cstheme="minorBidi"/>
        </w:rPr>
        <w:t xml:space="preserve">will be </w:t>
      </w:r>
      <w:r w:rsidRPr="19AB3403">
        <w:rPr>
          <w:rFonts w:asciiTheme="minorHAnsi" w:eastAsiaTheme="minorEastAsia" w:hAnsiTheme="minorHAnsi" w:cstheme="minorBidi"/>
        </w:rPr>
        <w:t xml:space="preserve">available to the public, including other Federal Agencies, </w:t>
      </w:r>
      <w:r w:rsidRPr="19AB3403" w:rsidR="374B774F">
        <w:rPr>
          <w:rFonts w:asciiTheme="minorHAnsi" w:eastAsiaTheme="minorEastAsia" w:hAnsiTheme="minorHAnsi" w:cstheme="minorBidi"/>
        </w:rPr>
        <w:t>in</w:t>
      </w:r>
      <w:r w:rsidRPr="19AB3403" w:rsidR="102DE904">
        <w:rPr>
          <w:rFonts w:asciiTheme="minorHAnsi" w:eastAsiaTheme="minorEastAsia" w:hAnsiTheme="minorHAnsi" w:cstheme="minorBidi"/>
        </w:rPr>
        <w:t xml:space="preserve"> any</w:t>
      </w:r>
      <w:r w:rsidRPr="19AB3403" w:rsidR="374B774F">
        <w:rPr>
          <w:rFonts w:asciiTheme="minorHAnsi" w:eastAsiaTheme="minorEastAsia" w:hAnsiTheme="minorHAnsi" w:cstheme="minorBidi"/>
        </w:rPr>
        <w:t xml:space="preserve"> proposed reports but only </w:t>
      </w:r>
      <w:r w:rsidRPr="19AB3403">
        <w:rPr>
          <w:rFonts w:asciiTheme="minorHAnsi" w:eastAsiaTheme="minorEastAsia" w:hAnsiTheme="minorHAnsi" w:cstheme="minorBidi"/>
        </w:rPr>
        <w:t xml:space="preserve">after applying disclosure avoidance techniques to protect the confidentiality of respondent data. Individual responses also are protected by the Privacy Act and subject only to the uses provided in the Commerce/Census-5, Decennial Census Program System of Records Notice.  See </w:t>
      </w:r>
      <w:r w:rsidRPr="00947291" w:rsidR="00947291">
        <w:rPr>
          <w:rFonts w:ascii="Calibri" w:eastAsia="Calibri" w:hAnsi="Calibri" w:cs="Calibri"/>
        </w:rPr>
        <w:t>https://www.osec.doc.gov/opog/PrivacyAct/SORNs/census-5.html</w:t>
      </w:r>
      <w:r w:rsidRPr="00947291">
        <w:rPr>
          <w:rFonts w:asciiTheme="minorHAnsi" w:eastAsiaTheme="minorEastAsia" w:hAnsiTheme="minorHAnsi" w:cstheme="minorBidi"/>
        </w:rPr>
        <w:t>.</w:t>
      </w:r>
      <w:r w:rsidRPr="19AB3403">
        <w:rPr>
          <w:rFonts w:asciiTheme="minorHAnsi" w:eastAsiaTheme="minorEastAsia" w:hAnsiTheme="minorHAnsi" w:cstheme="minorBidi"/>
        </w:rPr>
        <w:t xml:space="preserve"> The corresponding Privacy Impact Assessment is "Associate Director for Decennial Census Programs (ADDCP) Decennial," signed September 20, 2023. </w:t>
      </w:r>
    </w:p>
    <w:p w:rsidR="00035520" w:rsidRPr="00060FAF" w:rsidP="1EF5E606" w14:paraId="148E3445" w14:textId="6D76EA00">
      <w:pPr>
        <w:pStyle w:val="BodyText"/>
        <w:spacing w:before="158"/>
        <w:ind w:left="360"/>
        <w:rPr>
          <w:rFonts w:ascii="Calibri" w:hAnsi="Calibri" w:cs="Calibri"/>
          <w:caps/>
        </w:rPr>
      </w:pPr>
    </w:p>
    <w:p w:rsidR="00201347" w:rsidRPr="00124446" w:rsidP="00844D2F" w14:paraId="06337390" w14:textId="77777777">
      <w:pPr>
        <w:pStyle w:val="Heading1"/>
        <w:numPr>
          <w:ilvl w:val="0"/>
          <w:numId w:val="9"/>
        </w:numPr>
        <w:tabs>
          <w:tab w:val="left" w:pos="804"/>
        </w:tabs>
        <w:spacing w:before="185"/>
        <w:ind w:left="360" w:hanging="400"/>
        <w:rPr>
          <w:rFonts w:ascii="Calibri" w:hAnsi="Calibri" w:cs="Calibri"/>
        </w:rPr>
      </w:pPr>
      <w:r w:rsidRPr="00124446">
        <w:rPr>
          <w:rFonts w:ascii="Calibri" w:hAnsi="Calibri" w:cs="Calibri"/>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19DF2B1D" w:rsidP="19AB3403" w14:paraId="138A2F23" w14:textId="1FA1CEF5">
      <w:pPr>
        <w:pStyle w:val="BodyText"/>
        <w:spacing w:before="80" w:line="259" w:lineRule="auto"/>
        <w:ind w:right="368"/>
        <w:rPr>
          <w:rFonts w:ascii="Calibri" w:hAnsi="Calibri" w:cs="Calibri"/>
        </w:rPr>
      </w:pPr>
      <w:r w:rsidRPr="19AB3403">
        <w:rPr>
          <w:rFonts w:ascii="Calibri" w:hAnsi="Calibri" w:cs="Calibri"/>
        </w:rPr>
        <w:t>Most of the questions included on the questionnaires are not of a sensitive nature and are not anticipated to pose a problem to respondents. However, it is possible that some questions could be perceived as sensitive</w:t>
      </w:r>
      <w:r w:rsidRPr="19AB3403" w:rsidR="0954FF29">
        <w:rPr>
          <w:rFonts w:ascii="Calibri" w:hAnsi="Calibri" w:cs="Calibri"/>
        </w:rPr>
        <w:t>;</w:t>
      </w:r>
      <w:r w:rsidRPr="19AB3403">
        <w:rPr>
          <w:rFonts w:ascii="Calibri" w:hAnsi="Calibri" w:cs="Calibri"/>
        </w:rPr>
        <w:t xml:space="preserve"> or, in database updates possibly from businesses or outside organizations</w:t>
      </w:r>
      <w:r w:rsidRPr="19AB3403" w:rsidR="4BD5BC2A">
        <w:rPr>
          <w:rFonts w:ascii="Calibri" w:hAnsi="Calibri" w:cs="Calibri"/>
        </w:rPr>
        <w:t>,</w:t>
      </w:r>
      <w:r w:rsidRPr="19AB3403">
        <w:rPr>
          <w:rFonts w:ascii="Calibri" w:hAnsi="Calibri" w:cs="Calibri"/>
        </w:rPr>
        <w:t xml:space="preserve"> requested information may be considered by the business to be strategic or proprietary. One of the purposes of testing included here is to identify such questions, determine sources of sensitivity and/or reporting burden, and alleviate them.  Additionally, confidentiality will be emphasized to relieve respondent concerns.</w:t>
      </w:r>
    </w:p>
    <w:p w:rsidR="19AB3403" w:rsidP="19AB3403" w14:paraId="0A93D783" w14:textId="201B582E">
      <w:pPr>
        <w:pStyle w:val="BodyText"/>
        <w:spacing w:before="80" w:line="259" w:lineRule="auto"/>
        <w:ind w:right="368"/>
        <w:rPr>
          <w:rFonts w:ascii="Calibri" w:hAnsi="Calibri" w:cs="Calibri"/>
        </w:rPr>
      </w:pPr>
    </w:p>
    <w:p w:rsidR="00201347" w:rsidRPr="00124446" w:rsidP="003B1309" w14:paraId="5B7A8C0D" w14:textId="77777777">
      <w:pPr>
        <w:pStyle w:val="Heading1"/>
        <w:numPr>
          <w:ilvl w:val="0"/>
          <w:numId w:val="9"/>
        </w:numPr>
        <w:tabs>
          <w:tab w:val="left" w:pos="540"/>
        </w:tabs>
        <w:spacing w:before="122"/>
        <w:ind w:left="360" w:hanging="360"/>
        <w:rPr>
          <w:rFonts w:ascii="Calibri" w:hAnsi="Calibri" w:cs="Calibri"/>
        </w:rPr>
      </w:pPr>
      <w:r w:rsidRPr="00124446">
        <w:rPr>
          <w:rFonts w:ascii="Calibri" w:hAnsi="Calibri" w:cs="Calibri"/>
        </w:rPr>
        <w:t>Provide estimates of the hour burden of the collection of</w:t>
      </w:r>
      <w:r w:rsidRPr="00124446">
        <w:rPr>
          <w:rFonts w:ascii="Calibri" w:hAnsi="Calibri" w:cs="Calibri"/>
          <w:spacing w:val="-10"/>
        </w:rPr>
        <w:t xml:space="preserve"> </w:t>
      </w:r>
      <w:r w:rsidRPr="00124446">
        <w:rPr>
          <w:rFonts w:ascii="Calibri" w:hAnsi="Calibri" w:cs="Calibri"/>
        </w:rPr>
        <w:t>information.</w:t>
      </w:r>
    </w:p>
    <w:p w:rsidR="00201347" w:rsidRPr="000311EF" w:rsidP="003B1309" w14:paraId="01A1C6D7" w14:textId="77777777">
      <w:pPr>
        <w:pStyle w:val="ListParagraph"/>
        <w:numPr>
          <w:ilvl w:val="0"/>
          <w:numId w:val="12"/>
        </w:numPr>
        <w:tabs>
          <w:tab w:val="left" w:pos="759"/>
          <w:tab w:val="left" w:pos="760"/>
        </w:tabs>
        <w:spacing w:before="140"/>
        <w:rPr>
          <w:rFonts w:ascii="Calibri" w:hAnsi="Calibri" w:cs="Calibri"/>
          <w:b/>
          <w:sz w:val="24"/>
        </w:rPr>
      </w:pPr>
      <w:r w:rsidRPr="000311EF">
        <w:rPr>
          <w:rFonts w:ascii="Calibri" w:hAnsi="Calibri" w:cs="Calibri"/>
          <w:b/>
          <w:sz w:val="24"/>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sidRPr="000311EF">
        <w:rPr>
          <w:rFonts w:ascii="Calibri" w:hAnsi="Calibri" w:cs="Calibri"/>
          <w:b/>
          <w:spacing w:val="-2"/>
          <w:sz w:val="24"/>
        </w:rPr>
        <w:t xml:space="preserve"> </w:t>
      </w:r>
      <w:r w:rsidRPr="000311EF">
        <w:rPr>
          <w:rFonts w:ascii="Calibri" w:hAnsi="Calibri" w:cs="Calibri"/>
          <w:b/>
          <w:sz w:val="24"/>
        </w:rPr>
        <w:t>practices.</w:t>
      </w:r>
    </w:p>
    <w:p w:rsidR="00201347" w:rsidRPr="000311EF" w:rsidP="003B1309" w14:paraId="1B16A307" w14:textId="77777777">
      <w:pPr>
        <w:pStyle w:val="ListParagraph"/>
        <w:numPr>
          <w:ilvl w:val="0"/>
          <w:numId w:val="12"/>
        </w:numPr>
        <w:tabs>
          <w:tab w:val="left" w:pos="759"/>
          <w:tab w:val="left" w:pos="760"/>
        </w:tabs>
        <w:spacing w:before="128"/>
        <w:rPr>
          <w:rFonts w:ascii="Calibri" w:hAnsi="Calibri" w:cs="Calibri"/>
          <w:b/>
          <w:sz w:val="24"/>
        </w:rPr>
      </w:pPr>
      <w:r w:rsidRPr="000311EF">
        <w:rPr>
          <w:rFonts w:ascii="Calibri" w:hAnsi="Calibri" w:cs="Calibri"/>
          <w:b/>
          <w:sz w:val="24"/>
        </w:rPr>
        <w:t xml:space="preserve">If this request for approval covers more than one form, provide separate hour burden estimates for each </w:t>
      </w:r>
      <w:r w:rsidRPr="000311EF">
        <w:rPr>
          <w:rFonts w:ascii="Calibri" w:hAnsi="Calibri" w:cs="Calibri"/>
          <w:b/>
          <w:sz w:val="24"/>
        </w:rPr>
        <w:t>form</w:t>
      </w:r>
      <w:r w:rsidRPr="000311EF">
        <w:rPr>
          <w:rFonts w:ascii="Calibri" w:hAnsi="Calibri" w:cs="Calibri"/>
          <w:b/>
          <w:sz w:val="24"/>
        </w:rPr>
        <w:t xml:space="preserve"> and aggregate the hour</w:t>
      </w:r>
      <w:r w:rsidRPr="000311EF">
        <w:rPr>
          <w:rFonts w:ascii="Calibri" w:hAnsi="Calibri" w:cs="Calibri"/>
          <w:b/>
          <w:spacing w:val="-3"/>
          <w:sz w:val="24"/>
        </w:rPr>
        <w:t xml:space="preserve"> </w:t>
      </w:r>
      <w:r w:rsidRPr="000311EF">
        <w:rPr>
          <w:rFonts w:ascii="Calibri" w:hAnsi="Calibri" w:cs="Calibri"/>
          <w:b/>
          <w:sz w:val="24"/>
        </w:rPr>
        <w:t>burdens.</w:t>
      </w:r>
    </w:p>
    <w:p w:rsidR="00201347" w:rsidRPr="000311EF" w:rsidP="003B1309" w14:paraId="6F1AF403" w14:textId="77777777">
      <w:pPr>
        <w:pStyle w:val="ListParagraph"/>
        <w:numPr>
          <w:ilvl w:val="0"/>
          <w:numId w:val="12"/>
        </w:numPr>
        <w:tabs>
          <w:tab w:val="left" w:pos="759"/>
          <w:tab w:val="left" w:pos="760"/>
        </w:tabs>
        <w:spacing w:before="131"/>
        <w:rPr>
          <w:rFonts w:ascii="Calibri" w:hAnsi="Calibri" w:cs="Calibri"/>
          <w:b/>
          <w:sz w:val="24"/>
        </w:rPr>
      </w:pPr>
      <w:r w:rsidRPr="000311EF">
        <w:rPr>
          <w:rFonts w:ascii="Calibri" w:hAnsi="Calibri" w:cs="Calibri"/>
          <w:b/>
          <w:sz w:val="24"/>
        </w:rPr>
        <w:t>Provide estimates of annualized cost to respondents for the hour burdens for collections of information, identifying and using appropriate wage rate categories. The cost of contracting out or paying outside parties for information collection activities should</w:t>
      </w:r>
      <w:r w:rsidRPr="000311EF">
        <w:rPr>
          <w:rFonts w:ascii="Calibri" w:hAnsi="Calibri" w:cs="Calibri"/>
          <w:b/>
          <w:spacing w:val="-49"/>
          <w:sz w:val="24"/>
        </w:rPr>
        <w:t xml:space="preserve"> </w:t>
      </w:r>
      <w:r w:rsidRPr="000311EF">
        <w:rPr>
          <w:rFonts w:ascii="Calibri" w:hAnsi="Calibri" w:cs="Calibri"/>
          <w:b/>
          <w:sz w:val="24"/>
        </w:rPr>
        <w:t>not be included here. Instead, this cost should be included under ‘Annual Cost to Federal Government’</w:t>
      </w:r>
      <w:r w:rsidR="002D0D06">
        <w:rPr>
          <w:rFonts w:ascii="Calibri" w:hAnsi="Calibri" w:cs="Calibri"/>
          <w:b/>
          <w:sz w:val="24"/>
        </w:rPr>
        <w:t xml:space="preserve"> (Item #14)</w:t>
      </w:r>
      <w:r w:rsidRPr="000311EF">
        <w:rPr>
          <w:rFonts w:ascii="Calibri" w:hAnsi="Calibri" w:cs="Calibri"/>
          <w:b/>
          <w:sz w:val="24"/>
        </w:rPr>
        <w:t>.</w:t>
      </w:r>
    </w:p>
    <w:p w:rsidR="00A93D97" w:rsidP="00A93D97" w14:paraId="0FB78278" w14:textId="77777777">
      <w:pPr>
        <w:spacing w:line="259" w:lineRule="auto"/>
        <w:ind w:left="399" w:right="359" w:firstLine="50"/>
        <w:rPr>
          <w:rFonts w:ascii="Calibri" w:hAnsi="Calibri" w:cs="Calibri"/>
        </w:rPr>
      </w:pPr>
    </w:p>
    <w:p w:rsidR="00FC7067" w:rsidRPr="00FC7067" w:rsidP="00FC7067" w14:paraId="459C4014" w14:textId="77777777">
      <w:pPr>
        <w:spacing w:line="259" w:lineRule="auto"/>
        <w:ind w:left="399" w:right="359"/>
        <w:rPr>
          <w:rFonts w:ascii="Calibri" w:hAnsi="Calibri" w:cs="Calibri"/>
          <w:bCs/>
          <w:sz w:val="24"/>
        </w:rPr>
      </w:pPr>
      <w:r w:rsidRPr="00FC7067">
        <w:rPr>
          <w:rFonts w:ascii="Calibri" w:hAnsi="Calibri" w:cs="Calibri"/>
          <w:bCs/>
          <w:sz w:val="24"/>
        </w:rPr>
        <w:t>Specific plans for each field test, including pre-specified selection criteria, will be provided in Individual Request for Clearance documents submitted to OMB prior to conducting the pretest.</w:t>
      </w:r>
    </w:p>
    <w:p w:rsidR="00FC7067" w:rsidRPr="00FC7067" w:rsidP="00FC7067" w14:paraId="165318A8" w14:textId="77777777">
      <w:pPr>
        <w:spacing w:line="259" w:lineRule="auto"/>
        <w:ind w:left="399" w:right="359" w:firstLine="50"/>
        <w:rPr>
          <w:rFonts w:ascii="Calibri" w:hAnsi="Calibri" w:cs="Calibri"/>
          <w:bCs/>
          <w:sz w:val="24"/>
        </w:rPr>
      </w:pPr>
    </w:p>
    <w:p w:rsidR="005E1BA3" w:rsidP="005E1BA3" w14:paraId="4D990E1F" w14:textId="77777777">
      <w:pPr>
        <w:ind w:left="399"/>
        <w:rPr>
          <w:rFonts w:ascii="Calibri" w:hAnsi="Calibri" w:cs="Calibri"/>
          <w:bCs/>
          <w:sz w:val="24"/>
        </w:rPr>
      </w:pPr>
      <w:r w:rsidRPr="005E1BA3">
        <w:rPr>
          <w:rFonts w:ascii="Calibri" w:hAnsi="Calibri" w:cs="Calibri"/>
          <w:bCs/>
          <w:sz w:val="24"/>
        </w:rPr>
        <w:t>The Census Bureau roughly estimates that, during the three-year period of this clearance, two currently planned tests will go to 216,000 respondents a piece (70,000 burden hours each); four potential experiments/tests on Group Quarters will average 50-60 respondents (an average of 15-20 burden hours) and as-yet unknown tests, evaluations, or database updates might go to 25,000 to 37,500 respondents (7,300 to 10,000 burden hours). In addition, the Census Bureau might have to collect information from 30,000 to 55,000 respondents (5,000 to 9,000 burden hours) in response to declared disasters.</w:t>
      </w:r>
    </w:p>
    <w:p w:rsidR="005E1BA3" w:rsidP="005E1BA3" w14:paraId="630FA908" w14:textId="77777777">
      <w:pPr>
        <w:ind w:left="399"/>
        <w:rPr>
          <w:rFonts w:ascii="Calibri" w:hAnsi="Calibri" w:cs="Calibri"/>
          <w:bCs/>
          <w:sz w:val="24"/>
        </w:rPr>
      </w:pPr>
    </w:p>
    <w:tbl>
      <w:tblPr>
        <w:tblW w:w="10879" w:type="dxa"/>
        <w:tblLayout w:type="fixed"/>
        <w:tblLook w:val="04A0"/>
      </w:tblPr>
      <w:tblGrid>
        <w:gridCol w:w="1610"/>
        <w:gridCol w:w="2969"/>
        <w:gridCol w:w="1261"/>
        <w:gridCol w:w="1260"/>
        <w:gridCol w:w="1260"/>
        <w:gridCol w:w="1284"/>
        <w:gridCol w:w="1235"/>
      </w:tblGrid>
      <w:tr w14:paraId="2BB79AF6" w14:textId="77777777" w:rsidTr="2152C583">
        <w:tblPrEx>
          <w:tblW w:w="10879" w:type="dxa"/>
          <w:tblLayout w:type="fixed"/>
          <w:tblLook w:val="04A0"/>
        </w:tblPrEx>
        <w:trPr>
          <w:cantSplit/>
          <w:trHeight w:val="820"/>
        </w:trPr>
        <w:tc>
          <w:tcPr>
            <w:tcW w:w="1610" w:type="dxa"/>
            <w:tcBorders>
              <w:top w:val="single" w:sz="8" w:space="0" w:color="auto"/>
              <w:left w:val="single" w:sz="8" w:space="0" w:color="auto"/>
              <w:bottom w:val="single" w:sz="8" w:space="0" w:color="auto"/>
              <w:right w:val="single" w:sz="8" w:space="0" w:color="auto"/>
            </w:tcBorders>
            <w:shd w:val="clear" w:color="auto" w:fill="000000" w:themeFill="text1"/>
            <w:vAlign w:val="center"/>
            <w:hideMark/>
          </w:tcPr>
          <w:p w:rsidR="005E1BA3" w:rsidRPr="005E1BA3" w:rsidP="005E1BA3" w14:paraId="3C330558" w14:textId="77777777">
            <w:pPr>
              <w:widowControl/>
              <w:autoSpaceDE/>
              <w:autoSpaceDN/>
              <w:jc w:val="center"/>
              <w:rPr>
                <w:rFonts w:eastAsia="Times New Roman"/>
                <w:b/>
                <w:bCs/>
                <w:color w:val="FFFFFF"/>
                <w:sz w:val="20"/>
                <w:szCs w:val="20"/>
                <w:lang w:bidi="ar-SA"/>
              </w:rPr>
            </w:pPr>
            <w:r w:rsidRPr="005E1BA3">
              <w:rPr>
                <w:rFonts w:eastAsia="Times New Roman"/>
                <w:b/>
                <w:bCs/>
                <w:color w:val="FFFFFF"/>
                <w:sz w:val="20"/>
                <w:szCs w:val="20"/>
                <w:lang w:bidi="ar-SA"/>
              </w:rPr>
              <w:t>Collection</w:t>
            </w:r>
          </w:p>
        </w:tc>
        <w:tc>
          <w:tcPr>
            <w:tcW w:w="2969" w:type="dxa"/>
            <w:tcBorders>
              <w:top w:val="single" w:sz="8" w:space="0" w:color="auto"/>
              <w:left w:val="nil"/>
              <w:bottom w:val="single" w:sz="8" w:space="0" w:color="auto"/>
              <w:right w:val="single" w:sz="8" w:space="0" w:color="auto"/>
            </w:tcBorders>
            <w:shd w:val="clear" w:color="auto" w:fill="000000" w:themeFill="text1"/>
            <w:vAlign w:val="center"/>
            <w:hideMark/>
          </w:tcPr>
          <w:p w:rsidR="005E1BA3" w:rsidRPr="005E1BA3" w:rsidP="005E1BA3" w14:paraId="0C60CD66" w14:textId="77777777">
            <w:pPr>
              <w:widowControl/>
              <w:autoSpaceDE/>
              <w:autoSpaceDN/>
              <w:jc w:val="center"/>
              <w:rPr>
                <w:rFonts w:eastAsia="Times New Roman"/>
                <w:b/>
                <w:bCs/>
                <w:color w:val="FFFFFF"/>
                <w:sz w:val="20"/>
                <w:szCs w:val="20"/>
                <w:lang w:bidi="ar-SA"/>
              </w:rPr>
            </w:pPr>
            <w:r w:rsidRPr="005E1BA3">
              <w:rPr>
                <w:rFonts w:eastAsia="Times New Roman"/>
                <w:b/>
                <w:bCs/>
                <w:color w:val="FFFFFF"/>
                <w:sz w:val="20"/>
                <w:szCs w:val="20"/>
                <w:lang w:bidi="ar-SA"/>
              </w:rPr>
              <w:t>Description</w:t>
            </w:r>
          </w:p>
        </w:tc>
        <w:tc>
          <w:tcPr>
            <w:tcW w:w="1261" w:type="dxa"/>
            <w:tcBorders>
              <w:top w:val="single" w:sz="8" w:space="0" w:color="auto"/>
              <w:left w:val="nil"/>
              <w:bottom w:val="single" w:sz="8" w:space="0" w:color="auto"/>
              <w:right w:val="single" w:sz="8" w:space="0" w:color="auto"/>
            </w:tcBorders>
            <w:shd w:val="clear" w:color="auto" w:fill="000000" w:themeFill="text1"/>
            <w:vAlign w:val="center"/>
            <w:hideMark/>
          </w:tcPr>
          <w:p w:rsidR="005E1BA3" w:rsidRPr="005E1BA3" w:rsidP="005E1BA3" w14:paraId="78B48004" w14:textId="590DC79A">
            <w:pPr>
              <w:widowControl/>
              <w:autoSpaceDE/>
              <w:autoSpaceDN/>
              <w:jc w:val="center"/>
              <w:rPr>
                <w:rFonts w:eastAsia="Times New Roman"/>
                <w:b/>
                <w:bCs/>
                <w:color w:val="FFFFFF"/>
                <w:sz w:val="20"/>
                <w:szCs w:val="20"/>
                <w:lang w:bidi="ar-SA"/>
              </w:rPr>
            </w:pPr>
            <w:r w:rsidRPr="005E1BA3">
              <w:rPr>
                <w:rFonts w:eastAsia="Times New Roman"/>
                <w:b/>
                <w:bCs/>
                <w:color w:val="FFFFFF"/>
                <w:sz w:val="20"/>
                <w:szCs w:val="20"/>
                <w:lang w:bidi="ar-SA"/>
              </w:rPr>
              <w:t>Burden Minutes/</w:t>
            </w:r>
            <w:r>
              <w:rPr>
                <w:rFonts w:eastAsia="Times New Roman"/>
                <w:b/>
                <w:bCs/>
                <w:color w:val="FFFFFF"/>
                <w:sz w:val="20"/>
                <w:szCs w:val="20"/>
                <w:lang w:bidi="ar-SA"/>
              </w:rPr>
              <w:t xml:space="preserve"> </w:t>
            </w:r>
            <w:r w:rsidRPr="005E1BA3">
              <w:rPr>
                <w:rFonts w:eastAsia="Times New Roman"/>
                <w:b/>
                <w:bCs/>
                <w:color w:val="FFFFFF"/>
                <w:sz w:val="20"/>
                <w:szCs w:val="20"/>
                <w:lang w:bidi="ar-SA"/>
              </w:rPr>
              <w:t>Response</w:t>
            </w:r>
          </w:p>
        </w:tc>
        <w:tc>
          <w:tcPr>
            <w:tcW w:w="1260" w:type="dxa"/>
            <w:tcBorders>
              <w:top w:val="single" w:sz="8" w:space="0" w:color="auto"/>
              <w:left w:val="nil"/>
              <w:bottom w:val="single" w:sz="8" w:space="0" w:color="auto"/>
              <w:right w:val="single" w:sz="8" w:space="0" w:color="auto"/>
            </w:tcBorders>
            <w:shd w:val="clear" w:color="auto" w:fill="000000" w:themeFill="text1"/>
            <w:vAlign w:val="center"/>
            <w:hideMark/>
          </w:tcPr>
          <w:p w:rsidR="005E1BA3" w:rsidRPr="005E1BA3" w:rsidP="005E1BA3" w14:paraId="3FA021F9" w14:textId="23E66718">
            <w:pPr>
              <w:widowControl/>
              <w:autoSpaceDE/>
              <w:autoSpaceDN/>
              <w:jc w:val="center"/>
              <w:rPr>
                <w:rFonts w:eastAsia="Times New Roman"/>
                <w:b/>
                <w:bCs/>
                <w:color w:val="FFFFFF"/>
                <w:sz w:val="20"/>
                <w:szCs w:val="20"/>
                <w:lang w:bidi="ar-SA"/>
              </w:rPr>
            </w:pPr>
            <w:r w:rsidRPr="005E1BA3">
              <w:rPr>
                <w:rFonts w:eastAsia="Times New Roman"/>
                <w:b/>
                <w:bCs/>
                <w:color w:val="FFFFFF"/>
                <w:sz w:val="20"/>
                <w:szCs w:val="20"/>
                <w:lang w:bidi="ar-SA"/>
              </w:rPr>
              <w:t>Cummu</w:t>
            </w:r>
            <w:r>
              <w:rPr>
                <w:rFonts w:eastAsia="Times New Roman"/>
                <w:b/>
                <w:bCs/>
                <w:color w:val="FFFFFF"/>
                <w:sz w:val="20"/>
                <w:szCs w:val="20"/>
                <w:lang w:bidi="ar-SA"/>
              </w:rPr>
              <w:t xml:space="preserve">- </w:t>
            </w:r>
            <w:r w:rsidRPr="005E1BA3">
              <w:rPr>
                <w:rFonts w:eastAsia="Times New Roman"/>
                <w:b/>
                <w:bCs/>
                <w:color w:val="FFFFFF"/>
                <w:sz w:val="20"/>
                <w:szCs w:val="20"/>
                <w:lang w:bidi="ar-SA"/>
              </w:rPr>
              <w:t>lative Responses</w:t>
            </w:r>
          </w:p>
        </w:tc>
        <w:tc>
          <w:tcPr>
            <w:tcW w:w="1260" w:type="dxa"/>
            <w:tcBorders>
              <w:top w:val="single" w:sz="8" w:space="0" w:color="auto"/>
              <w:left w:val="nil"/>
              <w:bottom w:val="single" w:sz="8" w:space="0" w:color="auto"/>
              <w:right w:val="single" w:sz="8" w:space="0" w:color="auto"/>
            </w:tcBorders>
            <w:shd w:val="clear" w:color="auto" w:fill="000000" w:themeFill="text1"/>
            <w:vAlign w:val="center"/>
            <w:hideMark/>
          </w:tcPr>
          <w:p w:rsidR="005E1BA3" w:rsidRPr="005E1BA3" w:rsidP="005E1BA3" w14:paraId="7D44257F" w14:textId="1184C842">
            <w:pPr>
              <w:widowControl/>
              <w:autoSpaceDE/>
              <w:autoSpaceDN/>
              <w:jc w:val="center"/>
              <w:rPr>
                <w:rFonts w:eastAsia="Times New Roman"/>
                <w:b/>
                <w:bCs/>
                <w:color w:val="FFFFFF"/>
                <w:sz w:val="20"/>
                <w:szCs w:val="20"/>
                <w:lang w:bidi="ar-SA"/>
              </w:rPr>
            </w:pPr>
            <w:r w:rsidRPr="005E1BA3">
              <w:rPr>
                <w:rFonts w:eastAsia="Times New Roman"/>
                <w:b/>
                <w:bCs/>
                <w:color w:val="FFFFFF"/>
                <w:sz w:val="20"/>
                <w:szCs w:val="20"/>
                <w:lang w:bidi="ar-SA"/>
              </w:rPr>
              <w:t>Cummu</w:t>
            </w:r>
            <w:r>
              <w:rPr>
                <w:rFonts w:eastAsia="Times New Roman"/>
                <w:b/>
                <w:bCs/>
                <w:color w:val="FFFFFF"/>
                <w:sz w:val="20"/>
                <w:szCs w:val="20"/>
                <w:lang w:bidi="ar-SA"/>
              </w:rPr>
              <w:t xml:space="preserve">- </w:t>
            </w:r>
            <w:r w:rsidRPr="005E1BA3">
              <w:rPr>
                <w:rFonts w:eastAsia="Times New Roman"/>
                <w:b/>
                <w:bCs/>
                <w:color w:val="FFFFFF"/>
                <w:sz w:val="20"/>
                <w:szCs w:val="20"/>
                <w:lang w:bidi="ar-SA"/>
              </w:rPr>
              <w:t>lative Burden Hours</w:t>
            </w:r>
          </w:p>
        </w:tc>
        <w:tc>
          <w:tcPr>
            <w:tcW w:w="1284" w:type="dxa"/>
            <w:tcBorders>
              <w:top w:val="single" w:sz="8" w:space="0" w:color="auto"/>
              <w:left w:val="nil"/>
              <w:bottom w:val="single" w:sz="8" w:space="0" w:color="auto"/>
              <w:right w:val="single" w:sz="8" w:space="0" w:color="auto"/>
            </w:tcBorders>
            <w:shd w:val="clear" w:color="auto" w:fill="000000" w:themeFill="text1"/>
            <w:vAlign w:val="center"/>
            <w:hideMark/>
          </w:tcPr>
          <w:p w:rsidR="005E1BA3" w:rsidRPr="005E1BA3" w:rsidP="005E1BA3" w14:paraId="3A5F6363" w14:textId="77777777">
            <w:pPr>
              <w:widowControl/>
              <w:autoSpaceDE/>
              <w:autoSpaceDN/>
              <w:jc w:val="center"/>
              <w:rPr>
                <w:rFonts w:eastAsia="Times New Roman"/>
                <w:b/>
                <w:bCs/>
                <w:color w:val="FFFFFF"/>
                <w:sz w:val="20"/>
                <w:szCs w:val="20"/>
                <w:lang w:bidi="ar-SA"/>
              </w:rPr>
            </w:pPr>
            <w:r w:rsidRPr="005E1BA3">
              <w:rPr>
                <w:rFonts w:eastAsia="Times New Roman"/>
                <w:b/>
                <w:bCs/>
                <w:color w:val="FFFFFF"/>
                <w:sz w:val="20"/>
                <w:szCs w:val="20"/>
                <w:lang w:bidi="ar-SA"/>
              </w:rPr>
              <w:t>Annualized Responses</w:t>
            </w:r>
          </w:p>
        </w:tc>
        <w:tc>
          <w:tcPr>
            <w:tcW w:w="1235" w:type="dxa"/>
            <w:tcBorders>
              <w:top w:val="single" w:sz="8" w:space="0" w:color="auto"/>
              <w:left w:val="nil"/>
              <w:bottom w:val="single" w:sz="8" w:space="0" w:color="auto"/>
              <w:right w:val="single" w:sz="8" w:space="0" w:color="auto"/>
            </w:tcBorders>
            <w:shd w:val="clear" w:color="auto" w:fill="000000" w:themeFill="text1"/>
            <w:vAlign w:val="center"/>
            <w:hideMark/>
          </w:tcPr>
          <w:p w:rsidR="005E1BA3" w:rsidRPr="005E1BA3" w:rsidP="005E1BA3" w14:paraId="78749651" w14:textId="77777777">
            <w:pPr>
              <w:widowControl/>
              <w:autoSpaceDE/>
              <w:autoSpaceDN/>
              <w:jc w:val="center"/>
              <w:rPr>
                <w:rFonts w:eastAsia="Times New Roman"/>
                <w:b/>
                <w:bCs/>
                <w:color w:val="FFFFFF"/>
                <w:sz w:val="20"/>
                <w:szCs w:val="20"/>
                <w:lang w:bidi="ar-SA"/>
              </w:rPr>
            </w:pPr>
            <w:r w:rsidRPr="005E1BA3">
              <w:rPr>
                <w:rFonts w:eastAsia="Times New Roman"/>
                <w:b/>
                <w:bCs/>
                <w:color w:val="FFFFFF"/>
                <w:sz w:val="20"/>
                <w:szCs w:val="20"/>
                <w:lang w:bidi="ar-SA"/>
              </w:rPr>
              <w:t>Total Annual Burden Hours</w:t>
            </w:r>
          </w:p>
        </w:tc>
      </w:tr>
      <w:tr w14:paraId="2AB3B885" w14:textId="77777777" w:rsidTr="2152C583">
        <w:tblPrEx>
          <w:tblW w:w="10879" w:type="dxa"/>
          <w:tblLayout w:type="fixed"/>
          <w:tblLook w:val="04A0"/>
        </w:tblPrEx>
        <w:trPr>
          <w:cantSplit/>
          <w:trHeight w:val="1970"/>
        </w:trPr>
        <w:tc>
          <w:tcPr>
            <w:tcW w:w="1610" w:type="dxa"/>
            <w:tcBorders>
              <w:top w:val="single" w:sz="8" w:space="0" w:color="auto"/>
              <w:left w:val="single" w:sz="8" w:space="0" w:color="auto"/>
              <w:bottom w:val="nil"/>
              <w:right w:val="single" w:sz="8" w:space="0" w:color="auto"/>
            </w:tcBorders>
            <w:shd w:val="clear" w:color="auto" w:fill="auto"/>
            <w:vAlign w:val="center"/>
            <w:hideMark/>
          </w:tcPr>
          <w:p w:rsidR="005E1BA3" w:rsidRPr="005E1BA3" w:rsidP="005E1BA3" w14:paraId="3DC09AD2" w14:textId="77777777">
            <w:pPr>
              <w:widowControl/>
              <w:autoSpaceDE/>
              <w:autoSpaceDN/>
              <w:rPr>
                <w:rFonts w:eastAsia="Times New Roman"/>
                <w:color w:val="000000"/>
                <w:sz w:val="20"/>
                <w:szCs w:val="20"/>
                <w:lang w:bidi="ar-SA"/>
              </w:rPr>
            </w:pPr>
            <w:r w:rsidRPr="005E1BA3">
              <w:rPr>
                <w:rFonts w:eastAsia="Times New Roman"/>
                <w:color w:val="000000"/>
                <w:sz w:val="20"/>
                <w:szCs w:val="20"/>
                <w:lang w:bidi="ar-SA"/>
              </w:rPr>
              <w:t>Small -Scale Response Testing (SmaRT)</w:t>
            </w:r>
          </w:p>
        </w:tc>
        <w:tc>
          <w:tcPr>
            <w:tcW w:w="2969" w:type="dxa"/>
            <w:tcBorders>
              <w:top w:val="single" w:sz="8" w:space="0" w:color="auto"/>
              <w:left w:val="single" w:sz="8" w:space="0" w:color="auto"/>
              <w:bottom w:val="nil"/>
              <w:right w:val="single" w:sz="8" w:space="0" w:color="auto"/>
            </w:tcBorders>
            <w:shd w:val="clear" w:color="auto" w:fill="auto"/>
            <w:vAlign w:val="center"/>
            <w:hideMark/>
          </w:tcPr>
          <w:p w:rsidR="005E1BA3" w:rsidRPr="005E1BA3" w:rsidP="005E1BA3" w14:paraId="210040C2" w14:textId="77777777">
            <w:pPr>
              <w:widowControl/>
              <w:autoSpaceDE/>
              <w:autoSpaceDN/>
              <w:rPr>
                <w:rFonts w:eastAsia="Times New Roman"/>
                <w:color w:val="000000"/>
                <w:lang w:bidi="ar-SA"/>
              </w:rPr>
            </w:pPr>
            <w:r w:rsidRPr="005E1BA3">
              <w:rPr>
                <w:rFonts w:eastAsia="Times New Roman"/>
                <w:color w:val="000000"/>
                <w:lang w:bidi="ar-SA"/>
              </w:rPr>
              <w:t>The Decennial Directorate is planning two small-scale response testing (SmaRT) program tests – to answer research questions outside of larger mid-decade census tests. Two tests (n=216,000 each) are planned per year with individual research questions to be determined.</w:t>
            </w:r>
          </w:p>
        </w:tc>
        <w:tc>
          <w:tcPr>
            <w:tcW w:w="1261" w:type="dxa"/>
            <w:tcBorders>
              <w:top w:val="single" w:sz="8" w:space="0" w:color="auto"/>
              <w:left w:val="single" w:sz="8" w:space="0" w:color="auto"/>
              <w:bottom w:val="nil"/>
              <w:right w:val="single" w:sz="8" w:space="0" w:color="auto"/>
            </w:tcBorders>
            <w:shd w:val="clear" w:color="auto" w:fill="auto"/>
            <w:vAlign w:val="center"/>
            <w:hideMark/>
          </w:tcPr>
          <w:p w:rsidR="005E1BA3" w:rsidRPr="005E1BA3" w:rsidP="005E1BA3" w14:paraId="21C11D7B"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19.3 minutes</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5E1BA3" w:rsidRPr="005E1BA3" w:rsidP="005E1BA3" w14:paraId="0894CAB5"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432,000</w:t>
            </w:r>
          </w:p>
        </w:tc>
        <w:tc>
          <w:tcPr>
            <w:tcW w:w="1260" w:type="dxa"/>
            <w:tcBorders>
              <w:top w:val="single" w:sz="8" w:space="0" w:color="auto"/>
              <w:left w:val="single" w:sz="8" w:space="0" w:color="auto"/>
              <w:bottom w:val="nil"/>
              <w:right w:val="single" w:sz="8" w:space="0" w:color="auto"/>
            </w:tcBorders>
            <w:shd w:val="clear" w:color="auto" w:fill="auto"/>
            <w:vAlign w:val="center"/>
            <w:hideMark/>
          </w:tcPr>
          <w:p w:rsidR="005E1BA3" w:rsidRPr="005E1BA3" w:rsidP="005E1BA3" w14:paraId="4F313F1F"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140,000 hours</w:t>
            </w:r>
          </w:p>
        </w:tc>
        <w:tc>
          <w:tcPr>
            <w:tcW w:w="1284" w:type="dxa"/>
            <w:tcBorders>
              <w:top w:val="single" w:sz="8" w:space="0" w:color="auto"/>
              <w:left w:val="single" w:sz="8" w:space="0" w:color="auto"/>
              <w:bottom w:val="nil"/>
              <w:right w:val="single" w:sz="8" w:space="0" w:color="auto"/>
            </w:tcBorders>
            <w:shd w:val="clear" w:color="auto" w:fill="auto"/>
            <w:vAlign w:val="center"/>
            <w:hideMark/>
          </w:tcPr>
          <w:p w:rsidR="005E1BA3" w:rsidRPr="005E1BA3" w:rsidP="005E1BA3" w14:paraId="2F4F5909"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144,000</w:t>
            </w:r>
          </w:p>
        </w:tc>
        <w:tc>
          <w:tcPr>
            <w:tcW w:w="1235" w:type="dxa"/>
            <w:tcBorders>
              <w:top w:val="single" w:sz="8" w:space="0" w:color="auto"/>
              <w:left w:val="single" w:sz="8" w:space="0" w:color="auto"/>
              <w:bottom w:val="nil"/>
              <w:right w:val="single" w:sz="8" w:space="0" w:color="auto"/>
            </w:tcBorders>
            <w:shd w:val="clear" w:color="auto" w:fill="auto"/>
            <w:vAlign w:val="center"/>
            <w:hideMark/>
          </w:tcPr>
          <w:p w:rsidR="005E1BA3" w:rsidRPr="005E1BA3" w:rsidP="005E1BA3" w14:paraId="121780C5"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46,700 hours</w:t>
            </w:r>
          </w:p>
        </w:tc>
      </w:tr>
      <w:tr w14:paraId="6C81E37F" w14:textId="77777777" w:rsidTr="2152C583">
        <w:tblPrEx>
          <w:tblW w:w="10879" w:type="dxa"/>
          <w:tblLayout w:type="fixed"/>
          <w:tblLook w:val="04A0"/>
        </w:tblPrEx>
        <w:trPr>
          <w:trHeight w:val="2230"/>
        </w:trPr>
        <w:tc>
          <w:tcPr>
            <w:tcW w:w="16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4BBA8D93" w14:textId="77777777">
            <w:pPr>
              <w:widowControl/>
              <w:autoSpaceDE/>
              <w:autoSpaceDN/>
              <w:rPr>
                <w:rFonts w:eastAsia="Times New Roman"/>
                <w:color w:val="000000"/>
                <w:sz w:val="20"/>
                <w:szCs w:val="20"/>
                <w:lang w:bidi="ar-SA"/>
              </w:rPr>
            </w:pPr>
            <w:r w:rsidRPr="005E1BA3">
              <w:rPr>
                <w:rFonts w:eastAsia="Times New Roman"/>
                <w:color w:val="000000"/>
                <w:sz w:val="20"/>
                <w:szCs w:val="20"/>
                <w:lang w:bidi="ar-SA"/>
              </w:rPr>
              <w:t>Group Quarters and Service Based Enumeration</w:t>
            </w:r>
          </w:p>
        </w:tc>
        <w:tc>
          <w:tcPr>
            <w:tcW w:w="29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4ED61046" w14:textId="569959BD">
            <w:pPr>
              <w:widowControl/>
              <w:autoSpaceDE/>
              <w:autoSpaceDN/>
              <w:rPr>
                <w:rFonts w:eastAsia="Times New Roman"/>
                <w:color w:val="000000"/>
                <w:sz w:val="20"/>
                <w:szCs w:val="20"/>
                <w:lang w:bidi="ar-SA"/>
              </w:rPr>
            </w:pPr>
            <w:r w:rsidRPr="005E1BA3">
              <w:rPr>
                <w:rFonts w:eastAsia="Times New Roman"/>
                <w:color w:val="000000"/>
                <w:sz w:val="20"/>
                <w:szCs w:val="20"/>
                <w:lang w:bidi="ar-SA"/>
              </w:rPr>
              <w:t xml:space="preserve">The Decennial Directorate is planning 4 tests for group quarters and </w:t>
            </w:r>
            <w:r w:rsidRPr="005E1BA3" w:rsidR="00190AF6">
              <w:rPr>
                <w:rFonts w:eastAsia="Times New Roman"/>
                <w:color w:val="000000"/>
                <w:sz w:val="20"/>
                <w:szCs w:val="20"/>
                <w:lang w:bidi="ar-SA"/>
              </w:rPr>
              <w:t>service-based</w:t>
            </w:r>
            <w:r w:rsidRPr="005E1BA3">
              <w:rPr>
                <w:rFonts w:eastAsia="Times New Roman"/>
                <w:color w:val="000000"/>
                <w:sz w:val="20"/>
                <w:szCs w:val="20"/>
                <w:lang w:bidi="ar-SA"/>
              </w:rPr>
              <w:t xml:space="preserve"> enumeration. </w:t>
            </w:r>
          </w:p>
        </w:tc>
        <w:tc>
          <w:tcPr>
            <w:tcW w:w="1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053B3F66"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15 minutes</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4CFBEA18"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235</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775083D7"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60 hours</w:t>
            </w:r>
          </w:p>
        </w:tc>
        <w:tc>
          <w:tcPr>
            <w:tcW w:w="12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66DEC93D"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80</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0BDB0600" w14:textId="77777777">
            <w:pPr>
              <w:widowControl/>
              <w:autoSpaceDE/>
              <w:autoSpaceDN/>
              <w:jc w:val="right"/>
              <w:rPr>
                <w:rFonts w:eastAsia="Times New Roman"/>
                <w:color w:val="000000"/>
                <w:sz w:val="20"/>
                <w:szCs w:val="20"/>
                <w:lang w:bidi="ar-SA"/>
              </w:rPr>
            </w:pPr>
            <w:r w:rsidRPr="005E1BA3">
              <w:rPr>
                <w:rFonts w:eastAsia="Times New Roman" w:cstheme="minorHAnsi"/>
                <w:color w:val="000000"/>
                <w:sz w:val="20"/>
                <w:szCs w:val="20"/>
                <w:lang w:bidi="ar-SA"/>
              </w:rPr>
              <w:t>20 hours</w:t>
            </w:r>
          </w:p>
        </w:tc>
      </w:tr>
      <w:tr w14:paraId="54D052A1" w14:textId="77777777" w:rsidTr="2152C583">
        <w:tblPrEx>
          <w:tblW w:w="10879" w:type="dxa"/>
          <w:tblLayout w:type="fixed"/>
          <w:tblLook w:val="04A0"/>
        </w:tblPrEx>
        <w:trPr>
          <w:trHeight w:val="760"/>
        </w:trPr>
        <w:tc>
          <w:tcPr>
            <w:tcW w:w="16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1C14B75A" w14:paraId="4E017380" w14:textId="77777777">
            <w:pPr>
              <w:widowControl/>
              <w:autoSpaceDE/>
              <w:autoSpaceDN/>
              <w:rPr>
                <w:rFonts w:eastAsia="Times New Roman"/>
                <w:color w:val="000000"/>
                <w:sz w:val="20"/>
                <w:szCs w:val="20"/>
                <w:lang w:bidi="ar-SA"/>
              </w:rPr>
            </w:pPr>
            <w:r w:rsidRPr="1C14B75A">
              <w:rPr>
                <w:rFonts w:eastAsia="Times New Roman"/>
                <w:color w:val="000000" w:themeColor="text1"/>
                <w:sz w:val="20"/>
                <w:szCs w:val="20"/>
                <w:lang w:bidi="ar-SA"/>
              </w:rPr>
              <w:t>As yet  unplanned tests, evaluations, or database updates</w:t>
            </w:r>
          </w:p>
        </w:tc>
        <w:tc>
          <w:tcPr>
            <w:tcW w:w="29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28B8D2CA" w14:textId="77777777">
            <w:pPr>
              <w:widowControl/>
              <w:autoSpaceDE/>
              <w:autoSpaceDN/>
              <w:rPr>
                <w:rFonts w:eastAsia="Times New Roman"/>
                <w:color w:val="000000"/>
                <w:sz w:val="20"/>
                <w:szCs w:val="20"/>
                <w:lang w:bidi="ar-SA"/>
              </w:rPr>
            </w:pPr>
            <w:r w:rsidRPr="005E1BA3">
              <w:rPr>
                <w:rFonts w:eastAsia="Times New Roman"/>
                <w:color w:val="000000"/>
                <w:sz w:val="20"/>
                <w:szCs w:val="20"/>
                <w:lang w:bidi="ar-SA"/>
              </w:rPr>
              <w:t>N/A</w:t>
            </w:r>
          </w:p>
        </w:tc>
        <w:tc>
          <w:tcPr>
            <w:tcW w:w="1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557B4854"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18 minutes</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75929A26"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25,000-37,500</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1430A9A1"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7,300-10,000 hours</w:t>
            </w:r>
          </w:p>
        </w:tc>
        <w:tc>
          <w:tcPr>
            <w:tcW w:w="12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29E848DA"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8,300-12,500</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4F3F91FC"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2,400-3,300 hours</w:t>
            </w:r>
          </w:p>
        </w:tc>
      </w:tr>
      <w:tr w14:paraId="5522D272" w14:textId="77777777" w:rsidTr="2152C583">
        <w:tblPrEx>
          <w:tblW w:w="10879" w:type="dxa"/>
          <w:tblLayout w:type="fixed"/>
          <w:tblLook w:val="04A0"/>
        </w:tblPrEx>
        <w:trPr>
          <w:trHeight w:val="760"/>
        </w:trPr>
        <w:tc>
          <w:tcPr>
            <w:tcW w:w="1610" w:type="dxa"/>
            <w:tcBorders>
              <w:top w:val="single" w:sz="4" w:space="0" w:color="000000" w:themeColor="text1"/>
              <w:left w:val="single" w:sz="8" w:space="0" w:color="auto"/>
              <w:bottom w:val="single" w:sz="8" w:space="0" w:color="auto"/>
              <w:right w:val="single" w:sz="8" w:space="0" w:color="auto"/>
            </w:tcBorders>
            <w:shd w:val="clear" w:color="auto" w:fill="auto"/>
            <w:vAlign w:val="center"/>
            <w:hideMark/>
          </w:tcPr>
          <w:p w:rsidR="005E1BA3" w:rsidRPr="005E1BA3" w:rsidP="1C14B75A" w14:paraId="56FEBB69" w14:textId="77777777">
            <w:pPr>
              <w:widowControl/>
              <w:autoSpaceDE/>
              <w:autoSpaceDN/>
              <w:rPr>
                <w:rFonts w:eastAsia="Times New Roman"/>
                <w:color w:val="000000"/>
                <w:sz w:val="20"/>
                <w:szCs w:val="20"/>
                <w:lang w:bidi="ar-SA"/>
              </w:rPr>
            </w:pPr>
            <w:r w:rsidRPr="1C14B75A">
              <w:rPr>
                <w:rFonts w:eastAsia="Times New Roman"/>
                <w:color w:val="000000" w:themeColor="text1"/>
                <w:sz w:val="20"/>
                <w:szCs w:val="20"/>
                <w:lang w:bidi="ar-SA"/>
              </w:rPr>
              <w:t>Unplanned collections in response to declared disasters</w:t>
            </w:r>
          </w:p>
        </w:tc>
        <w:tc>
          <w:tcPr>
            <w:tcW w:w="2969" w:type="dxa"/>
            <w:tcBorders>
              <w:top w:val="single" w:sz="4" w:space="0" w:color="000000" w:themeColor="text1"/>
              <w:left w:val="nil"/>
              <w:bottom w:val="single" w:sz="8" w:space="0" w:color="auto"/>
              <w:right w:val="single" w:sz="8" w:space="0" w:color="auto"/>
            </w:tcBorders>
            <w:shd w:val="clear" w:color="auto" w:fill="auto"/>
            <w:vAlign w:val="center"/>
            <w:hideMark/>
          </w:tcPr>
          <w:p w:rsidR="005E1BA3" w:rsidRPr="005E1BA3" w:rsidP="005E1BA3" w14:paraId="05688B95" w14:textId="77777777">
            <w:pPr>
              <w:widowControl/>
              <w:autoSpaceDE/>
              <w:autoSpaceDN/>
              <w:rPr>
                <w:rFonts w:eastAsia="Times New Roman"/>
                <w:color w:val="000000"/>
                <w:sz w:val="20"/>
                <w:szCs w:val="20"/>
                <w:lang w:bidi="ar-SA"/>
              </w:rPr>
            </w:pPr>
            <w:r w:rsidRPr="005E1BA3">
              <w:rPr>
                <w:rFonts w:eastAsia="Times New Roman"/>
                <w:color w:val="000000"/>
                <w:sz w:val="20"/>
                <w:szCs w:val="20"/>
                <w:lang w:bidi="ar-SA"/>
              </w:rPr>
              <w:t>N/A</w:t>
            </w:r>
          </w:p>
        </w:tc>
        <w:tc>
          <w:tcPr>
            <w:tcW w:w="1261" w:type="dxa"/>
            <w:tcBorders>
              <w:top w:val="single" w:sz="4" w:space="0" w:color="000000" w:themeColor="text1"/>
              <w:left w:val="nil"/>
              <w:bottom w:val="single" w:sz="8" w:space="0" w:color="auto"/>
              <w:right w:val="single" w:sz="8" w:space="0" w:color="auto"/>
            </w:tcBorders>
            <w:shd w:val="clear" w:color="auto" w:fill="auto"/>
            <w:vAlign w:val="center"/>
            <w:hideMark/>
          </w:tcPr>
          <w:p w:rsidR="005E1BA3" w:rsidRPr="005E1BA3" w:rsidP="005E1BA3" w14:paraId="16BF7DD7"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10 minutes</w:t>
            </w:r>
          </w:p>
        </w:tc>
        <w:tc>
          <w:tcPr>
            <w:tcW w:w="1260" w:type="dxa"/>
            <w:tcBorders>
              <w:top w:val="single" w:sz="4" w:space="0" w:color="000000" w:themeColor="text1"/>
              <w:left w:val="nil"/>
              <w:bottom w:val="single" w:sz="8" w:space="0" w:color="auto"/>
              <w:right w:val="single" w:sz="8" w:space="0" w:color="auto"/>
            </w:tcBorders>
            <w:shd w:val="clear" w:color="auto" w:fill="auto"/>
            <w:vAlign w:val="center"/>
            <w:hideMark/>
          </w:tcPr>
          <w:p w:rsidR="005E1BA3" w:rsidRPr="005E1BA3" w:rsidP="005E1BA3" w14:paraId="4B4B691C"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30,000-55,000</w:t>
            </w:r>
          </w:p>
        </w:tc>
        <w:tc>
          <w:tcPr>
            <w:tcW w:w="1260" w:type="dxa"/>
            <w:tcBorders>
              <w:top w:val="single" w:sz="4" w:space="0" w:color="000000" w:themeColor="text1"/>
              <w:left w:val="nil"/>
              <w:bottom w:val="single" w:sz="8" w:space="0" w:color="auto"/>
              <w:right w:val="single" w:sz="8" w:space="0" w:color="auto"/>
            </w:tcBorders>
            <w:shd w:val="clear" w:color="auto" w:fill="auto"/>
            <w:vAlign w:val="center"/>
            <w:hideMark/>
          </w:tcPr>
          <w:p w:rsidR="005E1BA3" w:rsidRPr="005E1BA3" w:rsidP="005E1BA3" w14:paraId="270C465E"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5,000-9,000 hours</w:t>
            </w:r>
          </w:p>
        </w:tc>
        <w:tc>
          <w:tcPr>
            <w:tcW w:w="1284" w:type="dxa"/>
            <w:tcBorders>
              <w:top w:val="single" w:sz="4" w:space="0" w:color="000000" w:themeColor="text1"/>
              <w:left w:val="nil"/>
              <w:bottom w:val="single" w:sz="8" w:space="0" w:color="auto"/>
              <w:right w:val="single" w:sz="8" w:space="0" w:color="auto"/>
            </w:tcBorders>
            <w:shd w:val="clear" w:color="auto" w:fill="auto"/>
            <w:vAlign w:val="center"/>
            <w:hideMark/>
          </w:tcPr>
          <w:p w:rsidR="005E1BA3" w:rsidRPr="005E1BA3" w:rsidP="005E1BA3" w14:paraId="1CF44CE8"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10,000-18,300</w:t>
            </w:r>
          </w:p>
        </w:tc>
        <w:tc>
          <w:tcPr>
            <w:tcW w:w="1235" w:type="dxa"/>
            <w:tcBorders>
              <w:top w:val="single" w:sz="4" w:space="0" w:color="000000" w:themeColor="text1"/>
              <w:left w:val="nil"/>
              <w:bottom w:val="single" w:sz="8" w:space="0" w:color="auto"/>
              <w:right w:val="single" w:sz="8" w:space="0" w:color="auto"/>
            </w:tcBorders>
            <w:shd w:val="clear" w:color="auto" w:fill="auto"/>
            <w:vAlign w:val="center"/>
            <w:hideMark/>
          </w:tcPr>
          <w:p w:rsidR="005E1BA3" w:rsidRPr="005E1BA3" w:rsidP="005E1BA3" w14:paraId="63372211"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1,700-3,100 hours</w:t>
            </w:r>
          </w:p>
        </w:tc>
      </w:tr>
      <w:tr w14:paraId="7191B95A" w14:textId="77777777" w:rsidTr="2152C583">
        <w:tblPrEx>
          <w:tblW w:w="10879" w:type="dxa"/>
          <w:tblLayout w:type="fixed"/>
          <w:tblLook w:val="04A0"/>
        </w:tblPrEx>
        <w:trPr>
          <w:trHeight w:val="700"/>
        </w:trPr>
        <w:tc>
          <w:tcPr>
            <w:tcW w:w="161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33F04B50" w14:textId="77777777">
            <w:pPr>
              <w:widowControl/>
              <w:autoSpaceDE/>
              <w:autoSpaceDN/>
              <w:rPr>
                <w:rFonts w:eastAsia="Times New Roman"/>
                <w:b/>
                <w:bCs/>
                <w:color w:val="000000"/>
                <w:sz w:val="20"/>
                <w:szCs w:val="20"/>
                <w:lang w:bidi="ar-SA"/>
              </w:rPr>
            </w:pPr>
            <w:r w:rsidRPr="005E1BA3">
              <w:rPr>
                <w:rFonts w:eastAsia="Times New Roman"/>
                <w:b/>
                <w:bCs/>
                <w:color w:val="000000"/>
                <w:sz w:val="20"/>
                <w:szCs w:val="20"/>
                <w:lang w:bidi="ar-SA"/>
              </w:rPr>
              <w:t>Totals</w:t>
            </w:r>
          </w:p>
        </w:tc>
        <w:tc>
          <w:tcPr>
            <w:tcW w:w="296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2486051F" w14:textId="77777777">
            <w:pPr>
              <w:widowControl/>
              <w:autoSpaceDE/>
              <w:autoSpaceDN/>
              <w:rPr>
                <w:rFonts w:eastAsia="Times New Roman"/>
                <w:b/>
                <w:bCs/>
                <w:color w:val="000000"/>
                <w:sz w:val="20"/>
                <w:szCs w:val="20"/>
                <w:lang w:bidi="ar-SA"/>
              </w:rPr>
            </w:pPr>
            <w:r w:rsidRPr="005E1BA3">
              <w:rPr>
                <w:rFonts w:eastAsia="Times New Roman" w:cstheme="minorHAnsi"/>
                <w:b/>
                <w:bCs/>
                <w:color w:val="000000"/>
                <w:sz w:val="20"/>
                <w:szCs w:val="20"/>
                <w:lang w:bidi="ar-SA"/>
              </w:rPr>
              <w:t> </w:t>
            </w:r>
          </w:p>
        </w:tc>
        <w:tc>
          <w:tcPr>
            <w:tcW w:w="1261"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447F2D8F" w14:textId="77777777">
            <w:pPr>
              <w:widowControl/>
              <w:autoSpaceDE/>
              <w:autoSpaceDN/>
              <w:jc w:val="center"/>
              <w:rPr>
                <w:rFonts w:eastAsia="Times New Roman"/>
                <w:b/>
                <w:bCs/>
                <w:color w:val="000000"/>
                <w:sz w:val="20"/>
                <w:szCs w:val="20"/>
                <w:lang w:bidi="ar-SA"/>
              </w:rPr>
            </w:pPr>
            <w:r w:rsidRPr="005E1BA3">
              <w:rPr>
                <w:rFonts w:eastAsia="Times New Roman"/>
                <w:b/>
                <w:bCs/>
                <w:color w:val="000000"/>
                <w:sz w:val="20"/>
                <w:szCs w:val="20"/>
                <w:lang w:bidi="ar-SA"/>
              </w:rPr>
              <w:t> </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5E03A2BC"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487,200-524,700</w:t>
            </w:r>
          </w:p>
        </w:tc>
        <w:tc>
          <w:tcPr>
            <w:tcW w:w="126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4C86F3B1" w14:textId="77777777">
            <w:pPr>
              <w:widowControl/>
              <w:autoSpaceDE/>
              <w:autoSpaceDN/>
              <w:jc w:val="right"/>
              <w:rPr>
                <w:rFonts w:eastAsia="Times New Roman"/>
                <w:color w:val="000000"/>
                <w:sz w:val="20"/>
                <w:szCs w:val="20"/>
                <w:lang w:bidi="ar-SA"/>
              </w:rPr>
            </w:pPr>
            <w:r w:rsidRPr="005E1BA3">
              <w:rPr>
                <w:rFonts w:eastAsia="Times New Roman"/>
                <w:color w:val="000000"/>
                <w:sz w:val="20"/>
                <w:szCs w:val="20"/>
                <w:lang w:bidi="ar-SA"/>
              </w:rPr>
              <w:t>152,000-159,000 hours</w:t>
            </w:r>
          </w:p>
        </w:tc>
        <w:tc>
          <w:tcPr>
            <w:tcW w:w="128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703FAEA1" w14:textId="77777777">
            <w:pPr>
              <w:widowControl/>
              <w:autoSpaceDE/>
              <w:autoSpaceDN/>
              <w:jc w:val="right"/>
              <w:rPr>
                <w:rFonts w:eastAsia="Times New Roman"/>
                <w:b/>
                <w:bCs/>
                <w:color w:val="000000"/>
                <w:sz w:val="20"/>
                <w:szCs w:val="20"/>
                <w:lang w:bidi="ar-SA"/>
              </w:rPr>
            </w:pPr>
            <w:r w:rsidRPr="005E1BA3">
              <w:rPr>
                <w:rFonts w:eastAsia="Times New Roman"/>
                <w:b/>
                <w:bCs/>
                <w:color w:val="000000"/>
                <w:sz w:val="20"/>
                <w:szCs w:val="20"/>
                <w:lang w:bidi="ar-SA"/>
              </w:rPr>
              <w:t>162,400-174,900</w:t>
            </w:r>
          </w:p>
        </w:tc>
        <w:tc>
          <w:tcPr>
            <w:tcW w:w="12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5E1BA3" w:rsidRPr="005E1BA3" w:rsidP="005E1BA3" w14:paraId="561B54D1" w14:textId="77777777">
            <w:pPr>
              <w:widowControl/>
              <w:autoSpaceDE/>
              <w:autoSpaceDN/>
              <w:jc w:val="right"/>
              <w:rPr>
                <w:rFonts w:eastAsia="Times New Roman"/>
                <w:b/>
                <w:bCs/>
                <w:color w:val="000000"/>
                <w:sz w:val="20"/>
                <w:szCs w:val="20"/>
                <w:lang w:bidi="ar-SA"/>
              </w:rPr>
            </w:pPr>
            <w:r w:rsidRPr="2152C583">
              <w:rPr>
                <w:rFonts w:eastAsia="Times New Roman"/>
                <w:b/>
                <w:bCs/>
                <w:color w:val="000000" w:themeColor="text1"/>
                <w:sz w:val="20"/>
                <w:szCs w:val="20"/>
                <w:lang w:bidi="ar-SA"/>
              </w:rPr>
              <w:t>50,800-53,100 hours</w:t>
            </w:r>
          </w:p>
        </w:tc>
      </w:tr>
    </w:tbl>
    <w:p w:rsidR="005E1BA3" w:rsidRPr="005E1BA3" w:rsidP="005E1BA3" w14:paraId="770D70AA" w14:textId="77777777">
      <w:pPr>
        <w:ind w:left="399"/>
        <w:rPr>
          <w:rFonts w:ascii="Calibri" w:hAnsi="Calibri" w:cs="Calibri"/>
          <w:bCs/>
          <w:sz w:val="24"/>
        </w:rPr>
      </w:pPr>
    </w:p>
    <w:p w:rsidR="004C56A7" w:rsidP="00FC7067" w14:paraId="46E6A5C2" w14:textId="77777777">
      <w:pPr>
        <w:spacing w:line="259" w:lineRule="auto"/>
        <w:ind w:left="399" w:right="359"/>
        <w:rPr>
          <w:rFonts w:ascii="Calibri" w:hAnsi="Calibri" w:cs="Calibri"/>
          <w:bCs/>
          <w:sz w:val="24"/>
        </w:rPr>
      </w:pPr>
    </w:p>
    <w:p w:rsidR="00A82C0C" w:rsidRPr="00FC7067" w14:paraId="1FC39945" w14:textId="1929B800">
      <w:pPr>
        <w:spacing w:line="259" w:lineRule="auto"/>
        <w:ind w:left="399" w:right="359"/>
        <w:rPr>
          <w:rFonts w:ascii="Calibri" w:hAnsi="Calibri" w:cs="Calibri"/>
        </w:rPr>
      </w:pPr>
      <w:r w:rsidRPr="19AB3403">
        <w:rPr>
          <w:rFonts w:ascii="Calibri" w:hAnsi="Calibri" w:cs="Calibri"/>
          <w:sz w:val="24"/>
          <w:szCs w:val="24"/>
        </w:rPr>
        <w:t xml:space="preserve">The total estimated respondent burden is </w:t>
      </w:r>
      <w:r w:rsidRPr="19AB3403" w:rsidR="6ED01C5A">
        <w:rPr>
          <w:rFonts w:ascii="Calibri" w:hAnsi="Calibri" w:cs="Calibri"/>
          <w:sz w:val="24"/>
          <w:szCs w:val="24"/>
        </w:rPr>
        <w:t xml:space="preserve">roughly </w:t>
      </w:r>
      <w:r w:rsidRPr="19AB3403" w:rsidR="4D8FB590">
        <w:rPr>
          <w:rFonts w:eastAsia="Times New Roman" w:asciiTheme="minorHAnsi" w:hAnsiTheme="minorHAnsi" w:cstheme="minorBidi"/>
          <w:sz w:val="24"/>
          <w:szCs w:val="24"/>
        </w:rPr>
        <w:t xml:space="preserve">51,000 – 53,000 </w:t>
      </w:r>
      <w:r w:rsidRPr="19AB3403">
        <w:rPr>
          <w:rFonts w:ascii="Calibri" w:hAnsi="Calibri" w:cs="Calibri"/>
          <w:sz w:val="24"/>
          <w:szCs w:val="24"/>
        </w:rPr>
        <w:t>hours annually.</w:t>
      </w:r>
      <w:r w:rsidRPr="19AB3403" w:rsidR="40556489">
        <w:rPr>
          <w:rFonts w:ascii="Calibri" w:hAnsi="Calibri" w:cs="Calibri"/>
          <w:sz w:val="24"/>
          <w:szCs w:val="24"/>
        </w:rPr>
        <w:t xml:space="preserve"> </w:t>
      </w:r>
      <w:r w:rsidRPr="19AB3403">
        <w:rPr>
          <w:rFonts w:ascii="Calibri" w:hAnsi="Calibri" w:cs="Calibri"/>
          <w:sz w:val="24"/>
          <w:szCs w:val="24"/>
        </w:rPr>
        <w:t xml:space="preserve"> </w:t>
      </w:r>
      <w:r w:rsidRPr="19AB3403" w:rsidR="1EFC9947">
        <w:rPr>
          <w:rFonts w:ascii="Calibri" w:hAnsi="Calibri" w:cs="Calibri"/>
          <w:sz w:val="24"/>
          <w:szCs w:val="24"/>
        </w:rPr>
        <w:t xml:space="preserve">The latter figure is a slight reduction from the 55,000 hours the Census Bureau estimated in the 60-day Federal Register Notice </w:t>
      </w:r>
      <w:r w:rsidRPr="19AB3403" w:rsidR="73F5CD67">
        <w:rPr>
          <w:rFonts w:ascii="Calibri" w:hAnsi="Calibri" w:cs="Calibri"/>
          <w:sz w:val="24"/>
          <w:szCs w:val="24"/>
        </w:rPr>
        <w:t xml:space="preserve">for this generic information collection, </w:t>
      </w:r>
      <w:r w:rsidRPr="19AB3403" w:rsidR="1EFC9947">
        <w:rPr>
          <w:rFonts w:ascii="Calibri" w:hAnsi="Calibri" w:cs="Calibri"/>
          <w:sz w:val="24"/>
          <w:szCs w:val="24"/>
        </w:rPr>
        <w:t xml:space="preserve">and </w:t>
      </w:r>
      <w:r w:rsidRPr="19AB3403" w:rsidR="25BE6346">
        <w:rPr>
          <w:rFonts w:ascii="Calibri" w:hAnsi="Calibri" w:cs="Calibri"/>
          <w:sz w:val="24"/>
          <w:szCs w:val="24"/>
        </w:rPr>
        <w:t xml:space="preserve">it </w:t>
      </w:r>
      <w:r w:rsidRPr="19AB3403" w:rsidR="1EFC9947">
        <w:rPr>
          <w:rFonts w:ascii="Calibri" w:hAnsi="Calibri" w:cs="Calibri"/>
          <w:sz w:val="24"/>
          <w:szCs w:val="24"/>
        </w:rPr>
        <w:t>was reduced for programmatic reasons</w:t>
      </w:r>
      <w:r w:rsidRPr="19AB3403" w:rsidR="593B7500">
        <w:rPr>
          <w:rFonts w:ascii="Calibri" w:hAnsi="Calibri" w:cs="Calibri"/>
          <w:sz w:val="24"/>
          <w:szCs w:val="24"/>
        </w:rPr>
        <w:t xml:space="preserve">. </w:t>
      </w:r>
      <w:r w:rsidRPr="19AB3403">
        <w:rPr>
          <w:rFonts w:ascii="Calibri" w:hAnsi="Calibri" w:cs="Calibri"/>
          <w:sz w:val="24"/>
          <w:szCs w:val="24"/>
        </w:rPr>
        <w:t>A variety of activities will be conducted under this clearance and the exact dates and number of households, businesses/organizations, and respondents for all activities are estimated at this time. The estimate of hour burden is based on our current expectations and planned work.</w:t>
      </w:r>
    </w:p>
    <w:p w:rsidR="19AB3403" w:rsidP="19AB3403" w14:paraId="4A381A48" w14:textId="665340CB">
      <w:pPr>
        <w:spacing w:line="259" w:lineRule="auto"/>
        <w:ind w:left="399" w:right="359"/>
        <w:rPr>
          <w:rFonts w:ascii="Calibri" w:hAnsi="Calibri" w:cs="Calibri"/>
          <w:sz w:val="24"/>
          <w:szCs w:val="24"/>
        </w:rPr>
      </w:pPr>
    </w:p>
    <w:p w:rsidR="00201347" w:rsidRPr="00A82C0C" w:rsidP="00A82C0C" w14:paraId="3F30C93F" w14:textId="77777777">
      <w:pPr>
        <w:pStyle w:val="ListParagraph"/>
        <w:numPr>
          <w:ilvl w:val="0"/>
          <w:numId w:val="9"/>
        </w:numPr>
        <w:spacing w:line="259" w:lineRule="auto"/>
        <w:ind w:left="360" w:hanging="360"/>
        <w:rPr>
          <w:rFonts w:ascii="Calibri" w:hAnsi="Calibri" w:cs="Calibri"/>
          <w:b/>
          <w:sz w:val="24"/>
          <w:szCs w:val="24"/>
        </w:rPr>
      </w:pPr>
      <w:r w:rsidRPr="00A82C0C">
        <w:rPr>
          <w:rFonts w:ascii="Calibri" w:hAnsi="Calibri" w:cs="Calibri"/>
          <w:b/>
          <w:sz w:val="24"/>
          <w:szCs w:val="24"/>
        </w:rPr>
        <w:t>Provide an estimate for the total annual cost burden to respondents or record</w:t>
      </w:r>
      <w:r w:rsidRPr="00A82C0C">
        <w:rPr>
          <w:rFonts w:ascii="Calibri" w:hAnsi="Calibri" w:cs="Calibri"/>
          <w:b/>
          <w:spacing w:val="-44"/>
          <w:sz w:val="24"/>
          <w:szCs w:val="24"/>
        </w:rPr>
        <w:t xml:space="preserve"> </w:t>
      </w:r>
      <w:r w:rsidRPr="00A82C0C">
        <w:rPr>
          <w:rFonts w:ascii="Calibri" w:hAnsi="Calibri" w:cs="Calibri"/>
          <w:b/>
          <w:sz w:val="24"/>
          <w:szCs w:val="24"/>
        </w:rPr>
        <w:t>keepers resulting from the collection of information. (Do not include the cost of any hour burden already reflected on the burden worksheet).</w:t>
      </w:r>
    </w:p>
    <w:p w:rsidR="00061D50" w:rsidRPr="004C56A7" w:rsidP="6C47B086" w14:paraId="637805D2" w14:textId="2E8D0809">
      <w:pPr>
        <w:ind w:left="400"/>
        <w:rPr>
          <w:rFonts w:ascii="Calibri" w:hAnsi="Calibri" w:cs="Calibri"/>
        </w:rPr>
      </w:pPr>
      <w:r w:rsidRPr="19AB3403">
        <w:rPr>
          <w:rFonts w:ascii="Calibri" w:hAnsi="Calibri" w:cs="Calibri"/>
          <w:sz w:val="24"/>
          <w:szCs w:val="24"/>
        </w:rPr>
        <w:t xml:space="preserve">There are no costs to </w:t>
      </w:r>
      <w:r w:rsidRPr="19AB3403" w:rsidR="4A612DA4">
        <w:rPr>
          <w:rFonts w:ascii="Calibri" w:hAnsi="Calibri" w:cs="Calibri"/>
          <w:sz w:val="24"/>
          <w:szCs w:val="24"/>
        </w:rPr>
        <w:t xml:space="preserve">respondents to </w:t>
      </w:r>
      <w:r w:rsidRPr="19AB3403">
        <w:rPr>
          <w:rFonts w:ascii="Calibri" w:hAnsi="Calibri" w:cs="Calibri"/>
          <w:sz w:val="24"/>
          <w:szCs w:val="24"/>
        </w:rPr>
        <w:t xml:space="preserve">small-scale 2030 Census tests, </w:t>
      </w:r>
      <w:r w:rsidRPr="19AB3403">
        <w:rPr>
          <w:rFonts w:ascii="Calibri" w:hAnsi="Calibri" w:cs="Calibri"/>
          <w:sz w:val="24"/>
          <w:szCs w:val="24"/>
        </w:rPr>
        <w:t>evaluations</w:t>
      </w:r>
      <w:r w:rsidRPr="19AB3403">
        <w:rPr>
          <w:rFonts w:ascii="Calibri" w:hAnsi="Calibri" w:cs="Calibri"/>
          <w:sz w:val="24"/>
          <w:szCs w:val="24"/>
        </w:rPr>
        <w:t xml:space="preserve"> and database update</w:t>
      </w:r>
      <w:r w:rsidRPr="19AB3403" w:rsidR="0F441AA8">
        <w:rPr>
          <w:rFonts w:ascii="Calibri" w:hAnsi="Calibri" w:cs="Calibri"/>
          <w:sz w:val="24"/>
          <w:szCs w:val="24"/>
        </w:rPr>
        <w:t>s</w:t>
      </w:r>
      <w:r w:rsidRPr="19AB3403">
        <w:rPr>
          <w:rFonts w:ascii="Calibri" w:hAnsi="Calibri" w:cs="Calibri"/>
          <w:sz w:val="24"/>
          <w:szCs w:val="24"/>
        </w:rPr>
        <w:t xml:space="preserve"> other than that of their personal time to respond. For field tests and database updates from organizations and governments, we do not expect respondents to incur any costs other than that of their time to respond. The information requested is of the type and scope normally carried in organizational records and no special hardware or accounting software or system is necessary to provide answers to prospective information collections. </w:t>
      </w:r>
    </w:p>
    <w:p w:rsidR="19AB3403" w:rsidP="19AB3403" w14:paraId="0FBAF6F8" w14:textId="2E9C7049">
      <w:pPr>
        <w:ind w:left="400"/>
        <w:rPr>
          <w:rFonts w:ascii="Calibri" w:hAnsi="Calibri" w:cs="Calibri"/>
          <w:sz w:val="24"/>
          <w:szCs w:val="24"/>
        </w:rPr>
      </w:pPr>
    </w:p>
    <w:p w:rsidR="00201347" w:rsidRPr="00124446" w14:paraId="463F29E8" w14:textId="77777777">
      <w:pPr>
        <w:pStyle w:val="BodyText"/>
        <w:spacing w:before="7"/>
        <w:ind w:left="0"/>
        <w:rPr>
          <w:rFonts w:ascii="Calibri" w:hAnsi="Calibri" w:cs="Calibri"/>
          <w:b/>
          <w:sz w:val="16"/>
        </w:rPr>
      </w:pPr>
    </w:p>
    <w:p w:rsidR="00201347" w:rsidRPr="00124446" w:rsidP="00972981" w14:paraId="1A5067AE" w14:textId="77777777">
      <w:pPr>
        <w:pStyle w:val="Heading1"/>
        <w:numPr>
          <w:ilvl w:val="0"/>
          <w:numId w:val="9"/>
        </w:numPr>
        <w:tabs>
          <w:tab w:val="left" w:pos="804"/>
        </w:tabs>
        <w:spacing w:before="0"/>
        <w:ind w:left="360" w:hanging="360"/>
        <w:rPr>
          <w:rFonts w:ascii="Calibri" w:hAnsi="Calibri" w:cs="Calibri"/>
        </w:rPr>
      </w:pPr>
      <w:r w:rsidRPr="00124446">
        <w:rPr>
          <w:rFonts w:ascii="Calibri" w:hAnsi="Calibri" w:cs="Calibri"/>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w:t>
      </w:r>
      <w:r w:rsidRPr="00124446">
        <w:rPr>
          <w:rFonts w:ascii="Calibri" w:hAnsi="Calibri" w:cs="Calibri"/>
          <w:spacing w:val="-24"/>
        </w:rPr>
        <w:t xml:space="preserve"> </w:t>
      </w:r>
      <w:r w:rsidRPr="00124446">
        <w:rPr>
          <w:rFonts w:ascii="Calibri" w:hAnsi="Calibri" w:cs="Calibri"/>
        </w:rPr>
        <w:t>information.</w:t>
      </w:r>
    </w:p>
    <w:p w:rsidR="00061D50" w:rsidRPr="004C56A7" w:rsidP="6C47B086" w14:paraId="0B4020A7" w14:textId="2B4B478E">
      <w:pPr>
        <w:pStyle w:val="ListParagraph"/>
        <w:tabs>
          <w:tab w:val="left" w:pos="804"/>
        </w:tabs>
        <w:spacing w:before="199"/>
        <w:ind w:left="432" w:firstLine="0"/>
        <w:rPr>
          <w:rFonts w:ascii="Calibri" w:hAnsi="Calibri" w:cs="Calibri"/>
          <w:sz w:val="24"/>
          <w:szCs w:val="24"/>
        </w:rPr>
      </w:pPr>
      <w:r w:rsidRPr="19AB3403">
        <w:rPr>
          <w:rFonts w:ascii="Calibri" w:hAnsi="Calibri" w:cs="Calibri"/>
          <w:sz w:val="24"/>
          <w:szCs w:val="24"/>
        </w:rPr>
        <w:t>The annual costs to the Federal Government associated with each specific test are to be determined as the individual tests are planned.</w:t>
      </w:r>
    </w:p>
    <w:p w:rsidR="19AB3403" w:rsidP="19AB3403" w14:paraId="7578838C" w14:textId="24E85DF5">
      <w:pPr>
        <w:pStyle w:val="ListParagraph"/>
        <w:tabs>
          <w:tab w:val="left" w:pos="804"/>
        </w:tabs>
        <w:spacing w:before="199"/>
        <w:ind w:left="432" w:firstLine="0"/>
        <w:rPr>
          <w:rFonts w:ascii="Calibri" w:hAnsi="Calibri" w:cs="Calibri"/>
          <w:sz w:val="24"/>
          <w:szCs w:val="24"/>
        </w:rPr>
      </w:pPr>
    </w:p>
    <w:p w:rsidR="00201347" w:rsidRPr="00124446" w:rsidP="00061D50" w14:paraId="33D48EDE" w14:textId="77777777">
      <w:pPr>
        <w:pStyle w:val="ListParagraph"/>
        <w:numPr>
          <w:ilvl w:val="0"/>
          <w:numId w:val="9"/>
        </w:numPr>
        <w:tabs>
          <w:tab w:val="left" w:pos="720"/>
        </w:tabs>
        <w:spacing w:before="199"/>
        <w:ind w:left="360" w:hanging="360"/>
        <w:rPr>
          <w:rFonts w:ascii="Calibri" w:hAnsi="Calibri" w:cs="Calibri"/>
          <w:b/>
          <w:sz w:val="24"/>
        </w:rPr>
      </w:pPr>
      <w:r w:rsidRPr="00124446">
        <w:rPr>
          <w:rFonts w:ascii="Calibri" w:hAnsi="Calibri" w:cs="Calibri"/>
          <w:b/>
          <w:sz w:val="24"/>
        </w:rPr>
        <w:t>Explain the reasons for any program changes or adjustments reported in</w:t>
      </w:r>
      <w:r w:rsidRPr="00124446">
        <w:rPr>
          <w:rFonts w:ascii="Calibri" w:hAnsi="Calibri" w:cs="Calibri"/>
          <w:b/>
          <w:spacing w:val="-11"/>
          <w:sz w:val="24"/>
        </w:rPr>
        <w:t xml:space="preserve"> </w:t>
      </w:r>
      <w:r w:rsidRPr="00124446">
        <w:rPr>
          <w:rFonts w:ascii="Calibri" w:hAnsi="Calibri" w:cs="Calibri"/>
          <w:b/>
          <w:sz w:val="24"/>
        </w:rPr>
        <w:t>ROCIS.</w:t>
      </w:r>
    </w:p>
    <w:p w:rsidR="00061D50" w:rsidP="19AB3403" w14:paraId="13CB595B" w14:textId="718FF88E">
      <w:pPr>
        <w:pStyle w:val="ListParagraph"/>
        <w:tabs>
          <w:tab w:val="left" w:pos="804"/>
        </w:tabs>
        <w:spacing w:before="123"/>
        <w:ind w:left="400" w:right="429" w:firstLine="0"/>
        <w:rPr>
          <w:rFonts w:ascii="Calibri" w:hAnsi="Calibri" w:cs="Calibri"/>
          <w:b/>
          <w:bCs/>
          <w:sz w:val="24"/>
          <w:szCs w:val="24"/>
        </w:rPr>
      </w:pPr>
      <w:r w:rsidRPr="19AB3403">
        <w:rPr>
          <w:rFonts w:ascii="Calibri" w:hAnsi="Calibri" w:cs="Calibri"/>
          <w:sz w:val="24"/>
          <w:szCs w:val="24"/>
        </w:rPr>
        <w:t>This is a new collection request</w:t>
      </w:r>
      <w:r w:rsidRPr="19AB3403" w:rsidR="50866D2E">
        <w:rPr>
          <w:rFonts w:ascii="Calibri" w:hAnsi="Calibri" w:cs="Calibri"/>
          <w:sz w:val="24"/>
          <w:szCs w:val="24"/>
        </w:rPr>
        <w:t>,</w:t>
      </w:r>
      <w:r w:rsidRPr="19AB3403">
        <w:rPr>
          <w:rFonts w:ascii="Calibri" w:hAnsi="Calibri" w:cs="Calibri"/>
          <w:sz w:val="24"/>
          <w:szCs w:val="24"/>
        </w:rPr>
        <w:t xml:space="preserve"> so we </w:t>
      </w:r>
      <w:r w:rsidRPr="19AB3403" w:rsidR="124D8BD3">
        <w:rPr>
          <w:rFonts w:ascii="Calibri" w:hAnsi="Calibri" w:cs="Calibri"/>
          <w:sz w:val="24"/>
          <w:szCs w:val="24"/>
        </w:rPr>
        <w:t>are not requesting any changes to the burden estimates reported in ROCIS.</w:t>
      </w:r>
    </w:p>
    <w:p w:rsidR="19AB3403" w:rsidP="19AB3403" w14:paraId="3E48C9FC" w14:textId="688BDEA5">
      <w:pPr>
        <w:pStyle w:val="ListParagraph"/>
        <w:tabs>
          <w:tab w:val="left" w:pos="804"/>
        </w:tabs>
        <w:spacing w:before="123"/>
        <w:ind w:left="400" w:right="429" w:firstLine="0"/>
        <w:rPr>
          <w:rFonts w:ascii="Calibri" w:hAnsi="Calibri" w:cs="Calibri"/>
          <w:sz w:val="24"/>
          <w:szCs w:val="24"/>
        </w:rPr>
      </w:pPr>
    </w:p>
    <w:p w:rsidR="00201347" w:rsidRPr="00124446" w:rsidP="00972981" w14:paraId="6B0C3B9C" w14:textId="77777777">
      <w:pPr>
        <w:pStyle w:val="ListParagraph"/>
        <w:numPr>
          <w:ilvl w:val="0"/>
          <w:numId w:val="9"/>
        </w:numPr>
        <w:tabs>
          <w:tab w:val="left" w:pos="804"/>
        </w:tabs>
        <w:spacing w:before="123"/>
        <w:ind w:left="360" w:hanging="360"/>
        <w:rPr>
          <w:rFonts w:ascii="Calibri" w:hAnsi="Calibri" w:cs="Calibri"/>
          <w:b/>
          <w:sz w:val="24"/>
        </w:rPr>
      </w:pPr>
      <w:r w:rsidRPr="00124446">
        <w:rPr>
          <w:rFonts w:ascii="Calibri" w:hAnsi="Calibri" w:cs="Calibri"/>
          <w:b/>
          <w:sz w:val="24"/>
        </w:rPr>
        <w:t>For collections of information whose results will</w:t>
      </w:r>
      <w:r w:rsidR="008D6D12">
        <w:rPr>
          <w:rFonts w:ascii="Calibri" w:hAnsi="Calibri" w:cs="Calibri"/>
          <w:b/>
          <w:sz w:val="24"/>
        </w:rPr>
        <w:t xml:space="preserve"> be published, outline plans for </w:t>
      </w:r>
      <w:r w:rsidRPr="00124446">
        <w:rPr>
          <w:rFonts w:ascii="Calibri" w:hAnsi="Calibri" w:cs="Calibri"/>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sidRPr="00124446">
        <w:rPr>
          <w:rFonts w:ascii="Calibri" w:hAnsi="Calibri" w:cs="Calibri"/>
          <w:b/>
          <w:spacing w:val="-9"/>
          <w:sz w:val="24"/>
        </w:rPr>
        <w:t xml:space="preserve"> </w:t>
      </w:r>
      <w:r w:rsidRPr="00124446">
        <w:rPr>
          <w:rFonts w:ascii="Calibri" w:hAnsi="Calibri" w:cs="Calibri"/>
          <w:b/>
          <w:sz w:val="24"/>
        </w:rPr>
        <w:t>actions.</w:t>
      </w:r>
    </w:p>
    <w:p w:rsidR="00972981" w:rsidRPr="00972981" w:rsidP="00972981" w14:paraId="6D9C8D39" w14:textId="7C2BF727">
      <w:pPr>
        <w:pStyle w:val="BodyText"/>
        <w:spacing w:before="160"/>
        <w:rPr>
          <w:rFonts w:ascii="Calibri" w:hAnsi="Calibri" w:cs="Calibri"/>
          <w:color w:val="0070C0"/>
        </w:rPr>
      </w:pPr>
      <w:r w:rsidRPr="19AB3403">
        <w:rPr>
          <w:rFonts w:ascii="Calibri" w:hAnsi="Calibri" w:cs="Calibri"/>
        </w:rPr>
        <w:t>The agency will not be developing official statistics based on data collected in this clearance. A schedule for completing each activity will be provided in the Individual Request for Clearance document submitted to the OMB that will precede the activity.</w:t>
      </w:r>
    </w:p>
    <w:p w:rsidR="19AB3403" w:rsidP="19AB3403" w14:paraId="7B2B9FCE" w14:textId="36BF31EF">
      <w:pPr>
        <w:pStyle w:val="BodyText"/>
        <w:spacing w:before="160"/>
        <w:rPr>
          <w:rFonts w:ascii="Calibri" w:hAnsi="Calibri" w:cs="Calibri"/>
        </w:rPr>
      </w:pPr>
    </w:p>
    <w:p w:rsidR="00201347" w:rsidRPr="00124446" w:rsidP="00220406" w14:paraId="18D08025" w14:textId="77777777">
      <w:pPr>
        <w:pStyle w:val="Heading1"/>
        <w:numPr>
          <w:ilvl w:val="0"/>
          <w:numId w:val="9"/>
        </w:numPr>
        <w:tabs>
          <w:tab w:val="left" w:pos="804"/>
        </w:tabs>
        <w:spacing w:before="116"/>
        <w:ind w:left="360" w:right="509" w:hanging="360"/>
        <w:rPr>
          <w:rFonts w:ascii="Calibri" w:hAnsi="Calibri" w:cs="Calibri"/>
        </w:rPr>
      </w:pPr>
      <w:r w:rsidRPr="00124446">
        <w:rPr>
          <w:rFonts w:ascii="Calibri" w:hAnsi="Calibri" w:cs="Calibri"/>
        </w:rPr>
        <w:t>If seeking approval to not display the expiration date for OMB approval of the</w:t>
      </w:r>
      <w:r w:rsidRPr="00124446">
        <w:rPr>
          <w:rFonts w:ascii="Calibri" w:hAnsi="Calibri" w:cs="Calibri"/>
          <w:spacing w:val="-44"/>
        </w:rPr>
        <w:t xml:space="preserve"> </w:t>
      </w:r>
      <w:r w:rsidRPr="00124446">
        <w:rPr>
          <w:rFonts w:ascii="Calibri" w:hAnsi="Calibri" w:cs="Calibri"/>
        </w:rPr>
        <w:t>information collection, explain the reasons that display would be</w:t>
      </w:r>
      <w:r w:rsidRPr="00124446">
        <w:rPr>
          <w:rFonts w:ascii="Calibri" w:hAnsi="Calibri" w:cs="Calibri"/>
          <w:spacing w:val="-7"/>
        </w:rPr>
        <w:t xml:space="preserve"> </w:t>
      </w:r>
      <w:r w:rsidRPr="00124446">
        <w:rPr>
          <w:rFonts w:ascii="Calibri" w:hAnsi="Calibri" w:cs="Calibri"/>
        </w:rPr>
        <w:t>inappropriate.</w:t>
      </w:r>
    </w:p>
    <w:p w:rsidR="002E0A8F" w:rsidRPr="00341532" w:rsidP="002E0A8F" w14:paraId="42312E64" w14:textId="1D550CE8">
      <w:pPr>
        <w:spacing w:before="161"/>
        <w:ind w:left="400" w:right="402"/>
        <w:rPr>
          <w:rFonts w:ascii="Calibri" w:hAnsi="Calibri" w:cs="Calibri"/>
          <w:bCs/>
          <w:sz w:val="24"/>
        </w:rPr>
      </w:pPr>
      <w:r w:rsidRPr="00341532">
        <w:rPr>
          <w:rFonts w:ascii="Calibri" w:hAnsi="Calibri" w:cs="Calibri"/>
          <w:bCs/>
          <w:sz w:val="24"/>
        </w:rPr>
        <w:t xml:space="preserve">The agency plans to display the expiration date for OMB approval of the information collection on all </w:t>
      </w:r>
      <w:r w:rsidRPr="00341532" w:rsidR="00190AF6">
        <w:rPr>
          <w:rFonts w:ascii="Calibri" w:hAnsi="Calibri" w:cs="Calibri"/>
          <w:bCs/>
          <w:sz w:val="24"/>
        </w:rPr>
        <w:t>instruments.</w:t>
      </w:r>
    </w:p>
    <w:p w:rsidR="00220406" w:rsidRPr="00220406" w14:paraId="675E05EE" w14:textId="77777777">
      <w:pPr>
        <w:spacing w:before="161"/>
        <w:ind w:left="400" w:right="402"/>
        <w:rPr>
          <w:rFonts w:ascii="Calibri" w:hAnsi="Calibri" w:cs="Calibri"/>
          <w:sz w:val="24"/>
        </w:rPr>
      </w:pPr>
    </w:p>
    <w:p w:rsidR="00201347" w:rsidRPr="00124446" w:rsidP="00220406" w14:paraId="47E11939" w14:textId="77777777">
      <w:pPr>
        <w:pStyle w:val="Heading1"/>
        <w:numPr>
          <w:ilvl w:val="0"/>
          <w:numId w:val="9"/>
        </w:numPr>
        <w:tabs>
          <w:tab w:val="left" w:pos="720"/>
        </w:tabs>
        <w:spacing w:line="259" w:lineRule="auto"/>
        <w:ind w:left="360" w:hanging="360"/>
        <w:rPr>
          <w:rFonts w:ascii="Calibri" w:hAnsi="Calibri" w:cs="Calibri"/>
        </w:rPr>
      </w:pPr>
      <w:r w:rsidRPr="00124446">
        <w:rPr>
          <w:rFonts w:ascii="Calibri" w:hAnsi="Calibri" w:cs="Calibri"/>
        </w:rPr>
        <w:t xml:space="preserve">Explain each exception to the certification statement identified in “Certification </w:t>
      </w:r>
      <w:r w:rsidRPr="00124446">
        <w:rPr>
          <w:rFonts w:ascii="Calibri" w:hAnsi="Calibri" w:cs="Calibri"/>
          <w:spacing w:val="-2"/>
        </w:rPr>
        <w:t xml:space="preserve">for </w:t>
      </w:r>
      <w:r w:rsidRPr="00124446">
        <w:rPr>
          <w:rFonts w:ascii="Calibri" w:hAnsi="Calibri" w:cs="Calibri"/>
        </w:rPr>
        <w:t>Paperwork Reduction Act</w:t>
      </w:r>
      <w:r w:rsidRPr="00124446">
        <w:rPr>
          <w:rFonts w:ascii="Calibri" w:hAnsi="Calibri" w:cs="Calibri"/>
          <w:spacing w:val="-1"/>
        </w:rPr>
        <w:t xml:space="preserve"> </w:t>
      </w:r>
      <w:r w:rsidRPr="00124446">
        <w:rPr>
          <w:rFonts w:ascii="Calibri" w:hAnsi="Calibri" w:cs="Calibri"/>
        </w:rPr>
        <w:t>Submissions."</w:t>
      </w:r>
    </w:p>
    <w:p w:rsidR="002E0A8F" w:rsidP="00220406" w14:paraId="676725AB" w14:textId="1E3145A1">
      <w:pPr>
        <w:spacing w:before="221" w:line="259" w:lineRule="auto"/>
        <w:ind w:left="400" w:right="477"/>
        <w:rPr>
          <w:rFonts w:ascii="Calibri" w:hAnsi="Calibri" w:cs="Calibri"/>
        </w:rPr>
      </w:pPr>
      <w:r w:rsidRPr="00947291">
        <w:rPr>
          <w:rFonts w:ascii="Calibri" w:hAnsi="Calibri" w:cs="Calibri"/>
          <w:sz w:val="24"/>
          <w:szCs w:val="24"/>
        </w:rPr>
        <w:t>The agency certifies compliance with 5 CFR 1320.9 and the related provisions of 5 CFR 1320.8(b)(3)</w:t>
      </w:r>
      <w:r w:rsidRPr="002E0A8F">
        <w:rPr>
          <w:rFonts w:ascii="Calibri" w:hAnsi="Calibri" w:cs="Calibri"/>
        </w:rPr>
        <w:t>.</w:t>
      </w:r>
    </w:p>
    <w:p w:rsidR="002E0A8F" w:rsidRPr="00124446" w:rsidP="00220406" w14:paraId="27A397A0" w14:textId="77777777">
      <w:pPr>
        <w:spacing w:before="221" w:line="259" w:lineRule="auto"/>
        <w:ind w:left="400" w:right="477"/>
        <w:rPr>
          <w:rFonts w:ascii="Calibri" w:hAnsi="Calibri" w:cs="Calibri"/>
        </w:rPr>
      </w:pPr>
    </w:p>
    <w:sectPr w:rsidSect="002A1D08">
      <w:headerReference w:type="even" r:id="rId7"/>
      <w:headerReference w:type="default" r:id="rId8"/>
      <w:footerReference w:type="default" r:id="rId9"/>
      <w:headerReference w:type="first" r:id="rId10"/>
      <w:pgSz w:w="12240" w:h="15840"/>
      <w:pgMar w:top="1440" w:right="1080" w:bottom="1440" w:left="1080" w:header="0" w:footer="1014"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29865770"/>
      <w:docPartObj>
        <w:docPartGallery w:val="Page Numbers (Bottom of Page)"/>
        <w:docPartUnique/>
      </w:docPartObj>
    </w:sdtPr>
    <w:sdtEndPr>
      <w:rPr>
        <w:noProof/>
      </w:rPr>
    </w:sdtEndPr>
    <w:sdtContent>
      <w:p w:rsidR="00A93D97" w14:paraId="45FE3254" w14:textId="77777777">
        <w:pPr>
          <w:pStyle w:val="Footer"/>
        </w:pPr>
        <w:r>
          <w:t xml:space="preserve">Page | </w:t>
        </w:r>
        <w:r>
          <w:rPr>
            <w:color w:val="2B579A"/>
            <w:shd w:val="clear" w:color="auto" w:fill="E6E6E6"/>
          </w:rPr>
          <w:fldChar w:fldCharType="begin"/>
        </w:r>
        <w:r>
          <w:instrText xml:space="preserve"> PAGE   \* MERGEFORMAT </w:instrText>
        </w:r>
        <w:r>
          <w:rPr>
            <w:color w:val="2B579A"/>
            <w:shd w:val="clear" w:color="auto" w:fill="E6E6E6"/>
          </w:rPr>
          <w:fldChar w:fldCharType="separate"/>
        </w:r>
        <w:r w:rsidR="00EB723C">
          <w:rPr>
            <w:noProof/>
          </w:rPr>
          <w:t>6</w:t>
        </w:r>
        <w:r>
          <w:rPr>
            <w:noProof/>
            <w:color w:val="2B579A"/>
            <w:shd w:val="clear" w:color="auto" w:fill="E6E6E6"/>
          </w:rPr>
          <w:fldChar w:fldCharType="end"/>
        </w:r>
      </w:p>
    </w:sdtContent>
  </w:sdt>
  <w:p w:rsidR="00201347" w14:paraId="5AE48A43" w14:textId="77777777">
    <w:pPr>
      <w:pStyle w:val="BodyText"/>
      <w:spacing w:before="0" w:line="14" w:lineRule="auto"/>
      <w:ind w:left="0"/>
      <w:rPr>
        <w:sz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1045" w14:paraId="32CAC560" w14:textId="11DEF0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1045" w14:paraId="0B16FFA3" w14:textId="30B262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51045" w14:paraId="3B60FDB5" w14:textId="1AC4F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33534"/>
    <w:multiLevelType w:val="hybridMultilevel"/>
    <w:tmpl w:val="77C2BF08"/>
    <w:lvl w:ilvl="0">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1">
    <w:nsid w:val="03F626D6"/>
    <w:multiLevelType w:val="hybridMultilevel"/>
    <w:tmpl w:val="457E7D22"/>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2">
    <w:nsid w:val="1A153A94"/>
    <w:multiLevelType w:val="hybridMultilevel"/>
    <w:tmpl w:val="FEC8DE9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C21669D"/>
    <w:multiLevelType w:val="hybridMultilevel"/>
    <w:tmpl w:val="940AD0D8"/>
    <w:lvl w:ilvl="0">
      <w:start w:val="1"/>
      <w:numFmt w:val="bullet"/>
      <w:lvlText w:val=""/>
      <w:lvlJc w:val="left"/>
      <w:pPr>
        <w:ind w:left="760" w:hanging="360"/>
      </w:pPr>
      <w:rPr>
        <w:rFonts w:ascii="Symbol" w:hAnsi="Symbol"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4">
    <w:nsid w:val="1CE07014"/>
    <w:multiLevelType w:val="hybridMultilevel"/>
    <w:tmpl w:val="E66689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E063C5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2F724E1"/>
    <w:multiLevelType w:val="hybridMultilevel"/>
    <w:tmpl w:val="EA36992C"/>
    <w:lvl w:ilvl="0">
      <w:start w:val="1"/>
      <w:numFmt w:val="lowerLetter"/>
      <w:lvlText w:val="(%1)"/>
      <w:lvlJc w:val="left"/>
      <w:pPr>
        <w:ind w:left="1839" w:hanging="720"/>
      </w:pPr>
      <w:rPr>
        <w:rFonts w:ascii="Arial" w:eastAsia="Arial" w:hAnsi="Arial" w:cs="Arial" w:hint="default"/>
        <w:color w:val="2F5496"/>
        <w:spacing w:val="-1"/>
        <w:w w:val="100"/>
        <w:sz w:val="22"/>
        <w:szCs w:val="22"/>
        <w:lang w:val="en-US" w:eastAsia="en-US" w:bidi="en-US"/>
      </w:rPr>
    </w:lvl>
    <w:lvl w:ilvl="1">
      <w:start w:val="0"/>
      <w:numFmt w:val="bullet"/>
      <w:lvlText w:val="•"/>
      <w:lvlJc w:val="left"/>
      <w:pPr>
        <w:ind w:left="2806" w:hanging="720"/>
      </w:pPr>
      <w:rPr>
        <w:rFonts w:hint="default"/>
        <w:lang w:val="en-US" w:eastAsia="en-US" w:bidi="en-US"/>
      </w:rPr>
    </w:lvl>
    <w:lvl w:ilvl="2">
      <w:start w:val="0"/>
      <w:numFmt w:val="bullet"/>
      <w:lvlText w:val="•"/>
      <w:lvlJc w:val="left"/>
      <w:pPr>
        <w:ind w:left="3772" w:hanging="720"/>
      </w:pPr>
      <w:rPr>
        <w:rFonts w:hint="default"/>
        <w:lang w:val="en-US" w:eastAsia="en-US" w:bidi="en-US"/>
      </w:rPr>
    </w:lvl>
    <w:lvl w:ilvl="3">
      <w:start w:val="0"/>
      <w:numFmt w:val="bullet"/>
      <w:lvlText w:val="•"/>
      <w:lvlJc w:val="left"/>
      <w:pPr>
        <w:ind w:left="4738" w:hanging="720"/>
      </w:pPr>
      <w:rPr>
        <w:rFonts w:hint="default"/>
        <w:lang w:val="en-US" w:eastAsia="en-US" w:bidi="en-US"/>
      </w:rPr>
    </w:lvl>
    <w:lvl w:ilvl="4">
      <w:start w:val="0"/>
      <w:numFmt w:val="bullet"/>
      <w:lvlText w:val="•"/>
      <w:lvlJc w:val="left"/>
      <w:pPr>
        <w:ind w:left="5704" w:hanging="720"/>
      </w:pPr>
      <w:rPr>
        <w:rFonts w:hint="default"/>
        <w:lang w:val="en-US" w:eastAsia="en-US" w:bidi="en-US"/>
      </w:rPr>
    </w:lvl>
    <w:lvl w:ilvl="5">
      <w:start w:val="0"/>
      <w:numFmt w:val="bullet"/>
      <w:lvlText w:val="•"/>
      <w:lvlJc w:val="left"/>
      <w:pPr>
        <w:ind w:left="6670" w:hanging="720"/>
      </w:pPr>
      <w:rPr>
        <w:rFonts w:hint="default"/>
        <w:lang w:val="en-US" w:eastAsia="en-US" w:bidi="en-US"/>
      </w:rPr>
    </w:lvl>
    <w:lvl w:ilvl="6">
      <w:start w:val="0"/>
      <w:numFmt w:val="bullet"/>
      <w:lvlText w:val="•"/>
      <w:lvlJc w:val="left"/>
      <w:pPr>
        <w:ind w:left="7636" w:hanging="720"/>
      </w:pPr>
      <w:rPr>
        <w:rFonts w:hint="default"/>
        <w:lang w:val="en-US" w:eastAsia="en-US" w:bidi="en-US"/>
      </w:rPr>
    </w:lvl>
    <w:lvl w:ilvl="7">
      <w:start w:val="0"/>
      <w:numFmt w:val="bullet"/>
      <w:lvlText w:val="•"/>
      <w:lvlJc w:val="left"/>
      <w:pPr>
        <w:ind w:left="8602" w:hanging="720"/>
      </w:pPr>
      <w:rPr>
        <w:rFonts w:hint="default"/>
        <w:lang w:val="en-US" w:eastAsia="en-US" w:bidi="en-US"/>
      </w:rPr>
    </w:lvl>
    <w:lvl w:ilvl="8">
      <w:start w:val="0"/>
      <w:numFmt w:val="bullet"/>
      <w:lvlText w:val="•"/>
      <w:lvlJc w:val="left"/>
      <w:pPr>
        <w:ind w:left="9568" w:hanging="720"/>
      </w:pPr>
      <w:rPr>
        <w:rFonts w:hint="default"/>
        <w:lang w:val="en-US" w:eastAsia="en-US" w:bidi="en-US"/>
      </w:rPr>
    </w:lvl>
  </w:abstractNum>
  <w:abstractNum w:abstractNumId="7">
    <w:nsid w:val="2A9D721F"/>
    <w:multiLevelType w:val="hybridMultilevel"/>
    <w:tmpl w:val="993074EC"/>
    <w:lvl w:ilvl="0">
      <w:start w:val="0"/>
      <w:numFmt w:val="bullet"/>
      <w:lvlText w:val=""/>
      <w:lvlJc w:val="left"/>
      <w:pPr>
        <w:ind w:left="760" w:hanging="360"/>
      </w:pPr>
      <w:rPr>
        <w:rFonts w:hint="default"/>
        <w:w w:val="99"/>
        <w:lang w:val="en-US" w:eastAsia="en-US" w:bidi="en-US"/>
      </w:rPr>
    </w:lvl>
    <w:lvl w:ilvl="1">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2">
      <w:start w:val="0"/>
      <w:numFmt w:val="bullet"/>
      <w:lvlText w:val="•"/>
      <w:lvlJc w:val="left"/>
      <w:pPr>
        <w:ind w:left="2273" w:hanging="360"/>
      </w:pPr>
      <w:rPr>
        <w:rFonts w:hint="default"/>
        <w:lang w:val="en-US" w:eastAsia="en-US" w:bidi="en-US"/>
      </w:rPr>
    </w:lvl>
    <w:lvl w:ilvl="3">
      <w:start w:val="0"/>
      <w:numFmt w:val="bullet"/>
      <w:lvlText w:val="•"/>
      <w:lvlJc w:val="left"/>
      <w:pPr>
        <w:ind w:left="3426" w:hanging="360"/>
      </w:pPr>
      <w:rPr>
        <w:rFonts w:hint="default"/>
        <w:lang w:val="en-US" w:eastAsia="en-US" w:bidi="en-US"/>
      </w:rPr>
    </w:lvl>
    <w:lvl w:ilvl="4">
      <w:start w:val="0"/>
      <w:numFmt w:val="bullet"/>
      <w:lvlText w:val="•"/>
      <w:lvlJc w:val="left"/>
      <w:pPr>
        <w:ind w:left="4580" w:hanging="360"/>
      </w:pPr>
      <w:rPr>
        <w:rFonts w:hint="default"/>
        <w:lang w:val="en-US" w:eastAsia="en-US" w:bidi="en-US"/>
      </w:rPr>
    </w:lvl>
    <w:lvl w:ilvl="5">
      <w:start w:val="0"/>
      <w:numFmt w:val="bullet"/>
      <w:lvlText w:val="•"/>
      <w:lvlJc w:val="left"/>
      <w:pPr>
        <w:ind w:left="5733" w:hanging="360"/>
      </w:pPr>
      <w:rPr>
        <w:rFonts w:hint="default"/>
        <w:lang w:val="en-US" w:eastAsia="en-US" w:bidi="en-US"/>
      </w:rPr>
    </w:lvl>
    <w:lvl w:ilvl="6">
      <w:start w:val="0"/>
      <w:numFmt w:val="bullet"/>
      <w:lvlText w:val="•"/>
      <w:lvlJc w:val="left"/>
      <w:pPr>
        <w:ind w:left="6886" w:hanging="360"/>
      </w:pPr>
      <w:rPr>
        <w:rFonts w:hint="default"/>
        <w:lang w:val="en-US" w:eastAsia="en-US" w:bidi="en-US"/>
      </w:rPr>
    </w:lvl>
    <w:lvl w:ilvl="7">
      <w:start w:val="0"/>
      <w:numFmt w:val="bullet"/>
      <w:lvlText w:val="•"/>
      <w:lvlJc w:val="left"/>
      <w:pPr>
        <w:ind w:left="8040" w:hanging="360"/>
      </w:pPr>
      <w:rPr>
        <w:rFonts w:hint="default"/>
        <w:lang w:val="en-US" w:eastAsia="en-US" w:bidi="en-US"/>
      </w:rPr>
    </w:lvl>
    <w:lvl w:ilvl="8">
      <w:start w:val="0"/>
      <w:numFmt w:val="bullet"/>
      <w:lvlText w:val="•"/>
      <w:lvlJc w:val="left"/>
      <w:pPr>
        <w:ind w:left="9193" w:hanging="360"/>
      </w:pPr>
      <w:rPr>
        <w:rFonts w:hint="default"/>
        <w:lang w:val="en-US" w:eastAsia="en-US" w:bidi="en-US"/>
      </w:rPr>
    </w:lvl>
  </w:abstractNum>
  <w:abstractNum w:abstractNumId="8">
    <w:nsid w:val="2EDE2FA0"/>
    <w:multiLevelType w:val="hybridMultilevel"/>
    <w:tmpl w:val="877411E4"/>
    <w:lvl w:ilvl="0">
      <w:start w:val="0"/>
      <w:numFmt w:val="bullet"/>
      <w:lvlText w:val=""/>
      <w:lvlJc w:val="left"/>
      <w:pPr>
        <w:ind w:left="469"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713" w:hanging="360"/>
      </w:pPr>
      <w:rPr>
        <w:rFonts w:hint="default"/>
        <w:lang w:val="en-US" w:eastAsia="en-US" w:bidi="en-US"/>
      </w:rPr>
    </w:lvl>
    <w:lvl w:ilvl="2">
      <w:start w:val="0"/>
      <w:numFmt w:val="bullet"/>
      <w:lvlText w:val="•"/>
      <w:lvlJc w:val="left"/>
      <w:pPr>
        <w:ind w:left="966" w:hanging="360"/>
      </w:pPr>
      <w:rPr>
        <w:rFonts w:hint="default"/>
        <w:lang w:val="en-US" w:eastAsia="en-US" w:bidi="en-US"/>
      </w:rPr>
    </w:lvl>
    <w:lvl w:ilvl="3">
      <w:start w:val="0"/>
      <w:numFmt w:val="bullet"/>
      <w:lvlText w:val="•"/>
      <w:lvlJc w:val="left"/>
      <w:pPr>
        <w:ind w:left="1219" w:hanging="360"/>
      </w:pPr>
      <w:rPr>
        <w:rFonts w:hint="default"/>
        <w:lang w:val="en-US" w:eastAsia="en-US" w:bidi="en-US"/>
      </w:rPr>
    </w:lvl>
    <w:lvl w:ilvl="4">
      <w:start w:val="0"/>
      <w:numFmt w:val="bullet"/>
      <w:lvlText w:val="•"/>
      <w:lvlJc w:val="left"/>
      <w:pPr>
        <w:ind w:left="1472" w:hanging="360"/>
      </w:pPr>
      <w:rPr>
        <w:rFonts w:hint="default"/>
        <w:lang w:val="en-US" w:eastAsia="en-US" w:bidi="en-US"/>
      </w:rPr>
    </w:lvl>
    <w:lvl w:ilvl="5">
      <w:start w:val="0"/>
      <w:numFmt w:val="bullet"/>
      <w:lvlText w:val="•"/>
      <w:lvlJc w:val="left"/>
      <w:pPr>
        <w:ind w:left="1725" w:hanging="360"/>
      </w:pPr>
      <w:rPr>
        <w:rFonts w:hint="default"/>
        <w:lang w:val="en-US" w:eastAsia="en-US" w:bidi="en-US"/>
      </w:rPr>
    </w:lvl>
    <w:lvl w:ilvl="6">
      <w:start w:val="0"/>
      <w:numFmt w:val="bullet"/>
      <w:lvlText w:val="•"/>
      <w:lvlJc w:val="left"/>
      <w:pPr>
        <w:ind w:left="1978" w:hanging="360"/>
      </w:pPr>
      <w:rPr>
        <w:rFonts w:hint="default"/>
        <w:lang w:val="en-US" w:eastAsia="en-US" w:bidi="en-US"/>
      </w:rPr>
    </w:lvl>
    <w:lvl w:ilvl="7">
      <w:start w:val="0"/>
      <w:numFmt w:val="bullet"/>
      <w:lvlText w:val="•"/>
      <w:lvlJc w:val="left"/>
      <w:pPr>
        <w:ind w:left="2231" w:hanging="360"/>
      </w:pPr>
      <w:rPr>
        <w:rFonts w:hint="default"/>
        <w:lang w:val="en-US" w:eastAsia="en-US" w:bidi="en-US"/>
      </w:rPr>
    </w:lvl>
    <w:lvl w:ilvl="8">
      <w:start w:val="0"/>
      <w:numFmt w:val="bullet"/>
      <w:lvlText w:val="•"/>
      <w:lvlJc w:val="left"/>
      <w:pPr>
        <w:ind w:left="2484" w:hanging="360"/>
      </w:pPr>
      <w:rPr>
        <w:rFonts w:hint="default"/>
        <w:lang w:val="en-US" w:eastAsia="en-US" w:bidi="en-US"/>
      </w:rPr>
    </w:lvl>
  </w:abstractNum>
  <w:abstractNum w:abstractNumId="9">
    <w:nsid w:val="2F2C5497"/>
    <w:multiLevelType w:val="hybridMultilevel"/>
    <w:tmpl w:val="BDDE8F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0">
    <w:nsid w:val="34B96E5E"/>
    <w:multiLevelType w:val="hybridMultilevel"/>
    <w:tmpl w:val="BC44F82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45161E59"/>
    <w:multiLevelType w:val="hybridMultilevel"/>
    <w:tmpl w:val="034268DA"/>
    <w:lvl w:ilvl="0">
      <w:start w:val="1"/>
      <w:numFmt w:val="decimal"/>
      <w:lvlText w:val="%1."/>
      <w:lvlJc w:val="left"/>
      <w:pPr>
        <w:ind w:left="1120" w:hanging="360"/>
      </w:p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12">
    <w:nsid w:val="4805353F"/>
    <w:multiLevelType w:val="hybridMultilevel"/>
    <w:tmpl w:val="3A1244B2"/>
    <w:lvl w:ilvl="0">
      <w:start w:val="1"/>
      <w:numFmt w:val="decimal"/>
      <w:lvlText w:val="%1."/>
      <w:lvlJc w:val="left"/>
      <w:pPr>
        <w:ind w:left="400" w:hanging="269"/>
      </w:pPr>
      <w:rPr>
        <w:rFonts w:eastAsia="Arial" w:asciiTheme="minorHAnsi" w:hAnsiTheme="minorHAnsi" w:cstheme="minorHAnsi" w:hint="default"/>
        <w:b/>
        <w:bCs/>
        <w:w w:val="100"/>
        <w:sz w:val="24"/>
        <w:szCs w:val="24"/>
        <w:lang w:val="en-US" w:eastAsia="en-US" w:bidi="en-US"/>
      </w:rPr>
    </w:lvl>
    <w:lvl w:ilvl="1">
      <w:start w:val="0"/>
      <w:numFmt w:val="bullet"/>
      <w:lvlText w:val=""/>
      <w:lvlJc w:val="left"/>
      <w:pPr>
        <w:ind w:left="1120" w:hanging="360"/>
      </w:pPr>
      <w:rPr>
        <w:rFonts w:hint="default"/>
        <w:w w:val="99"/>
        <w:lang w:val="en-US" w:eastAsia="en-US" w:bidi="en-US"/>
      </w:rPr>
    </w:lvl>
    <w:lvl w:ilvl="2">
      <w:start w:val="0"/>
      <w:numFmt w:val="bullet"/>
      <w:lvlText w:val="•"/>
      <w:lvlJc w:val="left"/>
      <w:pPr>
        <w:ind w:left="1220" w:hanging="360"/>
      </w:pPr>
      <w:rPr>
        <w:rFonts w:hint="default"/>
        <w:lang w:val="en-US" w:eastAsia="en-US" w:bidi="en-US"/>
      </w:rPr>
    </w:lvl>
    <w:lvl w:ilvl="3">
      <w:start w:val="0"/>
      <w:numFmt w:val="bullet"/>
      <w:lvlText w:val="•"/>
      <w:lvlJc w:val="left"/>
      <w:pPr>
        <w:ind w:left="2505" w:hanging="360"/>
      </w:pPr>
      <w:rPr>
        <w:rFonts w:hint="default"/>
        <w:lang w:val="en-US" w:eastAsia="en-US" w:bidi="en-US"/>
      </w:rPr>
    </w:lvl>
    <w:lvl w:ilvl="4">
      <w:start w:val="0"/>
      <w:numFmt w:val="bullet"/>
      <w:lvlText w:val="•"/>
      <w:lvlJc w:val="left"/>
      <w:pPr>
        <w:ind w:left="3790" w:hanging="360"/>
      </w:pPr>
      <w:rPr>
        <w:rFonts w:hint="default"/>
        <w:lang w:val="en-US" w:eastAsia="en-US" w:bidi="en-US"/>
      </w:rPr>
    </w:lvl>
    <w:lvl w:ilvl="5">
      <w:start w:val="0"/>
      <w:numFmt w:val="bullet"/>
      <w:lvlText w:val="•"/>
      <w:lvlJc w:val="left"/>
      <w:pPr>
        <w:ind w:left="5075" w:hanging="360"/>
      </w:pPr>
      <w:rPr>
        <w:rFonts w:hint="default"/>
        <w:lang w:val="en-US" w:eastAsia="en-US" w:bidi="en-US"/>
      </w:rPr>
    </w:lvl>
    <w:lvl w:ilvl="6">
      <w:start w:val="0"/>
      <w:numFmt w:val="bullet"/>
      <w:lvlText w:val="•"/>
      <w:lvlJc w:val="left"/>
      <w:pPr>
        <w:ind w:left="6360" w:hanging="360"/>
      </w:pPr>
      <w:rPr>
        <w:rFonts w:hint="default"/>
        <w:lang w:val="en-US" w:eastAsia="en-US" w:bidi="en-US"/>
      </w:rPr>
    </w:lvl>
    <w:lvl w:ilvl="7">
      <w:start w:val="0"/>
      <w:numFmt w:val="bullet"/>
      <w:lvlText w:val="•"/>
      <w:lvlJc w:val="left"/>
      <w:pPr>
        <w:ind w:left="7645" w:hanging="360"/>
      </w:pPr>
      <w:rPr>
        <w:rFonts w:hint="default"/>
        <w:lang w:val="en-US" w:eastAsia="en-US" w:bidi="en-US"/>
      </w:rPr>
    </w:lvl>
    <w:lvl w:ilvl="8">
      <w:start w:val="0"/>
      <w:numFmt w:val="bullet"/>
      <w:lvlText w:val="•"/>
      <w:lvlJc w:val="left"/>
      <w:pPr>
        <w:ind w:left="8930" w:hanging="360"/>
      </w:pPr>
      <w:rPr>
        <w:rFonts w:hint="default"/>
        <w:lang w:val="en-US" w:eastAsia="en-US" w:bidi="en-US"/>
      </w:rPr>
    </w:lvl>
  </w:abstractNum>
  <w:abstractNum w:abstractNumId="13">
    <w:nsid w:val="4B24E359"/>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72F5789F"/>
    <w:multiLevelType w:val="hybridMultilevel"/>
    <w:tmpl w:val="9EBE51D4"/>
    <w:lvl w:ilvl="0">
      <w:start w:val="0"/>
      <w:numFmt w:val="bullet"/>
      <w:lvlText w:val=""/>
      <w:lvlJc w:val="left"/>
      <w:pPr>
        <w:ind w:left="1120" w:hanging="360"/>
      </w:pPr>
      <w:rPr>
        <w:rFonts w:ascii="Symbol" w:eastAsia="Symbol" w:hAnsi="Symbol" w:cs="Symbol" w:hint="default"/>
        <w:color w:val="2F5496"/>
        <w:w w:val="99"/>
        <w:sz w:val="20"/>
        <w:szCs w:val="20"/>
        <w:lang w:val="en-US" w:eastAsia="en-US" w:bidi="en-US"/>
      </w:rPr>
    </w:lvl>
    <w:lvl w:ilvl="1">
      <w:start w:val="0"/>
      <w:numFmt w:val="bullet"/>
      <w:lvlText w:val="•"/>
      <w:lvlJc w:val="left"/>
      <w:pPr>
        <w:ind w:left="2158" w:hanging="360"/>
      </w:pPr>
      <w:rPr>
        <w:rFonts w:hint="default"/>
        <w:lang w:val="en-US" w:eastAsia="en-US" w:bidi="en-US"/>
      </w:rPr>
    </w:lvl>
    <w:lvl w:ilvl="2">
      <w:start w:val="0"/>
      <w:numFmt w:val="bullet"/>
      <w:lvlText w:val="•"/>
      <w:lvlJc w:val="left"/>
      <w:pPr>
        <w:ind w:left="3196" w:hanging="360"/>
      </w:pPr>
      <w:rPr>
        <w:rFonts w:hint="default"/>
        <w:lang w:val="en-US" w:eastAsia="en-US" w:bidi="en-US"/>
      </w:rPr>
    </w:lvl>
    <w:lvl w:ilvl="3">
      <w:start w:val="0"/>
      <w:numFmt w:val="bullet"/>
      <w:lvlText w:val="•"/>
      <w:lvlJc w:val="left"/>
      <w:pPr>
        <w:ind w:left="4234" w:hanging="360"/>
      </w:pPr>
      <w:rPr>
        <w:rFonts w:hint="default"/>
        <w:lang w:val="en-US" w:eastAsia="en-US" w:bidi="en-US"/>
      </w:rPr>
    </w:lvl>
    <w:lvl w:ilvl="4">
      <w:start w:val="0"/>
      <w:numFmt w:val="bullet"/>
      <w:lvlText w:val="•"/>
      <w:lvlJc w:val="left"/>
      <w:pPr>
        <w:ind w:left="5272" w:hanging="360"/>
      </w:pPr>
      <w:rPr>
        <w:rFonts w:hint="default"/>
        <w:lang w:val="en-US" w:eastAsia="en-US" w:bidi="en-US"/>
      </w:rPr>
    </w:lvl>
    <w:lvl w:ilvl="5">
      <w:start w:val="0"/>
      <w:numFmt w:val="bullet"/>
      <w:lvlText w:val="•"/>
      <w:lvlJc w:val="left"/>
      <w:pPr>
        <w:ind w:left="6310" w:hanging="360"/>
      </w:pPr>
      <w:rPr>
        <w:rFonts w:hint="default"/>
        <w:lang w:val="en-US" w:eastAsia="en-US" w:bidi="en-US"/>
      </w:rPr>
    </w:lvl>
    <w:lvl w:ilvl="6">
      <w:start w:val="0"/>
      <w:numFmt w:val="bullet"/>
      <w:lvlText w:val="•"/>
      <w:lvlJc w:val="left"/>
      <w:pPr>
        <w:ind w:left="7348" w:hanging="360"/>
      </w:pPr>
      <w:rPr>
        <w:rFonts w:hint="default"/>
        <w:lang w:val="en-US" w:eastAsia="en-US" w:bidi="en-US"/>
      </w:rPr>
    </w:lvl>
    <w:lvl w:ilvl="7">
      <w:start w:val="0"/>
      <w:numFmt w:val="bullet"/>
      <w:lvlText w:val="•"/>
      <w:lvlJc w:val="left"/>
      <w:pPr>
        <w:ind w:left="8386" w:hanging="360"/>
      </w:pPr>
      <w:rPr>
        <w:rFonts w:hint="default"/>
        <w:lang w:val="en-US" w:eastAsia="en-US" w:bidi="en-US"/>
      </w:rPr>
    </w:lvl>
    <w:lvl w:ilvl="8">
      <w:start w:val="0"/>
      <w:numFmt w:val="bullet"/>
      <w:lvlText w:val="•"/>
      <w:lvlJc w:val="left"/>
      <w:pPr>
        <w:ind w:left="9424" w:hanging="360"/>
      </w:pPr>
      <w:rPr>
        <w:rFonts w:hint="default"/>
        <w:lang w:val="en-US" w:eastAsia="en-US" w:bidi="en-US"/>
      </w:rPr>
    </w:lvl>
  </w:abstractNum>
  <w:abstractNum w:abstractNumId="15">
    <w:nsid w:val="73C061E5"/>
    <w:multiLevelType w:val="hybridMultilevel"/>
    <w:tmpl w:val="CB8C50C8"/>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abstractNum w:abstractNumId="16">
    <w:nsid w:val="76974381"/>
    <w:multiLevelType w:val="hybridMultilevel"/>
    <w:tmpl w:val="E27EA1CE"/>
    <w:lvl w:ilvl="0">
      <w:start w:val="1"/>
      <w:numFmt w:val="bullet"/>
      <w:lvlText w:val=""/>
      <w:lvlJc w:val="left"/>
      <w:pPr>
        <w:ind w:left="760" w:hanging="360"/>
      </w:pPr>
      <w:rPr>
        <w:rFonts w:ascii="Symbol" w:hAnsi="Symbol" w:hint="default"/>
      </w:rPr>
    </w:lvl>
    <w:lvl w:ilvl="1" w:tentative="1">
      <w:start w:val="1"/>
      <w:numFmt w:val="bullet"/>
      <w:lvlText w:val="o"/>
      <w:lvlJc w:val="left"/>
      <w:pPr>
        <w:ind w:left="1480" w:hanging="360"/>
      </w:pPr>
      <w:rPr>
        <w:rFonts w:ascii="Courier New" w:hAnsi="Courier New" w:cs="Courier New" w:hint="default"/>
      </w:rPr>
    </w:lvl>
    <w:lvl w:ilvl="2" w:tentative="1">
      <w:start w:val="1"/>
      <w:numFmt w:val="bullet"/>
      <w:lvlText w:val=""/>
      <w:lvlJc w:val="left"/>
      <w:pPr>
        <w:ind w:left="2200" w:hanging="360"/>
      </w:pPr>
      <w:rPr>
        <w:rFonts w:ascii="Wingdings" w:hAnsi="Wingdings" w:hint="default"/>
      </w:rPr>
    </w:lvl>
    <w:lvl w:ilvl="3" w:tentative="1">
      <w:start w:val="1"/>
      <w:numFmt w:val="bullet"/>
      <w:lvlText w:val=""/>
      <w:lvlJc w:val="left"/>
      <w:pPr>
        <w:ind w:left="2920" w:hanging="360"/>
      </w:pPr>
      <w:rPr>
        <w:rFonts w:ascii="Symbol" w:hAnsi="Symbol" w:hint="default"/>
      </w:rPr>
    </w:lvl>
    <w:lvl w:ilvl="4" w:tentative="1">
      <w:start w:val="1"/>
      <w:numFmt w:val="bullet"/>
      <w:lvlText w:val="o"/>
      <w:lvlJc w:val="left"/>
      <w:pPr>
        <w:ind w:left="3640" w:hanging="360"/>
      </w:pPr>
      <w:rPr>
        <w:rFonts w:ascii="Courier New" w:hAnsi="Courier New" w:cs="Courier New" w:hint="default"/>
      </w:rPr>
    </w:lvl>
    <w:lvl w:ilvl="5" w:tentative="1">
      <w:start w:val="1"/>
      <w:numFmt w:val="bullet"/>
      <w:lvlText w:val=""/>
      <w:lvlJc w:val="left"/>
      <w:pPr>
        <w:ind w:left="4360" w:hanging="360"/>
      </w:pPr>
      <w:rPr>
        <w:rFonts w:ascii="Wingdings" w:hAnsi="Wingdings" w:hint="default"/>
      </w:rPr>
    </w:lvl>
    <w:lvl w:ilvl="6" w:tentative="1">
      <w:start w:val="1"/>
      <w:numFmt w:val="bullet"/>
      <w:lvlText w:val=""/>
      <w:lvlJc w:val="left"/>
      <w:pPr>
        <w:ind w:left="5080" w:hanging="360"/>
      </w:pPr>
      <w:rPr>
        <w:rFonts w:ascii="Symbol" w:hAnsi="Symbol" w:hint="default"/>
      </w:rPr>
    </w:lvl>
    <w:lvl w:ilvl="7" w:tentative="1">
      <w:start w:val="1"/>
      <w:numFmt w:val="bullet"/>
      <w:lvlText w:val="o"/>
      <w:lvlJc w:val="left"/>
      <w:pPr>
        <w:ind w:left="5800" w:hanging="360"/>
      </w:pPr>
      <w:rPr>
        <w:rFonts w:ascii="Courier New" w:hAnsi="Courier New" w:cs="Courier New" w:hint="default"/>
      </w:rPr>
    </w:lvl>
    <w:lvl w:ilvl="8" w:tentative="1">
      <w:start w:val="1"/>
      <w:numFmt w:val="bullet"/>
      <w:lvlText w:val=""/>
      <w:lvlJc w:val="left"/>
      <w:pPr>
        <w:ind w:left="6520" w:hanging="360"/>
      </w:pPr>
      <w:rPr>
        <w:rFonts w:ascii="Wingdings" w:hAnsi="Wingdings" w:hint="default"/>
      </w:rPr>
    </w:lvl>
  </w:abstractNum>
  <w:num w:numId="1" w16cid:durableId="1926720290">
    <w:abstractNumId w:val="13"/>
  </w:num>
  <w:num w:numId="2" w16cid:durableId="1533229708">
    <w:abstractNumId w:val="5"/>
  </w:num>
  <w:num w:numId="3" w16cid:durableId="807406102">
    <w:abstractNumId w:val="0"/>
  </w:num>
  <w:num w:numId="4" w16cid:durableId="1554392693">
    <w:abstractNumId w:val="6"/>
  </w:num>
  <w:num w:numId="5" w16cid:durableId="1074164156">
    <w:abstractNumId w:val="14"/>
  </w:num>
  <w:num w:numId="6" w16cid:durableId="1415012061">
    <w:abstractNumId w:val="8"/>
  </w:num>
  <w:num w:numId="7" w16cid:durableId="915213851">
    <w:abstractNumId w:val="1"/>
  </w:num>
  <w:num w:numId="8" w16cid:durableId="1599371009">
    <w:abstractNumId w:val="7"/>
  </w:num>
  <w:num w:numId="9" w16cid:durableId="177432387">
    <w:abstractNumId w:val="12"/>
  </w:num>
  <w:num w:numId="10" w16cid:durableId="2121144525">
    <w:abstractNumId w:val="3"/>
  </w:num>
  <w:num w:numId="11" w16cid:durableId="208537775">
    <w:abstractNumId w:val="9"/>
  </w:num>
  <w:num w:numId="12" w16cid:durableId="1331105079">
    <w:abstractNumId w:val="15"/>
  </w:num>
  <w:num w:numId="13" w16cid:durableId="1684822887">
    <w:abstractNumId w:val="16"/>
  </w:num>
  <w:num w:numId="14" w16cid:durableId="3019686">
    <w:abstractNumId w:val="10"/>
  </w:num>
  <w:num w:numId="15" w16cid:durableId="241792299">
    <w:abstractNumId w:val="4"/>
  </w:num>
  <w:num w:numId="16" w16cid:durableId="465007900">
    <w:abstractNumId w:val="11"/>
  </w:num>
  <w:num w:numId="17" w16cid:durableId="5332279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347"/>
    <w:rsid w:val="00020E36"/>
    <w:rsid w:val="000311EF"/>
    <w:rsid w:val="00035520"/>
    <w:rsid w:val="00051540"/>
    <w:rsid w:val="00060FAF"/>
    <w:rsid w:val="00061D50"/>
    <w:rsid w:val="00084AE2"/>
    <w:rsid w:val="00087454"/>
    <w:rsid w:val="0008797A"/>
    <w:rsid w:val="001235D4"/>
    <w:rsid w:val="00124446"/>
    <w:rsid w:val="00147F27"/>
    <w:rsid w:val="00154292"/>
    <w:rsid w:val="00157254"/>
    <w:rsid w:val="00165CBD"/>
    <w:rsid w:val="001831B3"/>
    <w:rsid w:val="00190AF6"/>
    <w:rsid w:val="001B0F4C"/>
    <w:rsid w:val="001D72C3"/>
    <w:rsid w:val="001E22D7"/>
    <w:rsid w:val="001F2674"/>
    <w:rsid w:val="00201347"/>
    <w:rsid w:val="0021066B"/>
    <w:rsid w:val="00220406"/>
    <w:rsid w:val="00241D51"/>
    <w:rsid w:val="00253FBE"/>
    <w:rsid w:val="00277DE3"/>
    <w:rsid w:val="002A1D08"/>
    <w:rsid w:val="002D0D06"/>
    <w:rsid w:val="002D2382"/>
    <w:rsid w:val="002D6C72"/>
    <w:rsid w:val="002E0A8F"/>
    <w:rsid w:val="002E0EBB"/>
    <w:rsid w:val="00341532"/>
    <w:rsid w:val="003948D5"/>
    <w:rsid w:val="003A2AD9"/>
    <w:rsid w:val="003B1309"/>
    <w:rsid w:val="003C66B9"/>
    <w:rsid w:val="00413E84"/>
    <w:rsid w:val="00424F2B"/>
    <w:rsid w:val="004273B6"/>
    <w:rsid w:val="004558A1"/>
    <w:rsid w:val="00472A7B"/>
    <w:rsid w:val="004A7444"/>
    <w:rsid w:val="004C402D"/>
    <w:rsid w:val="004C56A7"/>
    <w:rsid w:val="004C6F21"/>
    <w:rsid w:val="005122C5"/>
    <w:rsid w:val="00545A05"/>
    <w:rsid w:val="00556ED3"/>
    <w:rsid w:val="0056581F"/>
    <w:rsid w:val="00576202"/>
    <w:rsid w:val="005907E0"/>
    <w:rsid w:val="005B035B"/>
    <w:rsid w:val="005C299F"/>
    <w:rsid w:val="005D7CE8"/>
    <w:rsid w:val="005E1BA3"/>
    <w:rsid w:val="0066332B"/>
    <w:rsid w:val="00683754"/>
    <w:rsid w:val="00693767"/>
    <w:rsid w:val="006A60CF"/>
    <w:rsid w:val="006B176A"/>
    <w:rsid w:val="006B49C2"/>
    <w:rsid w:val="00710DB3"/>
    <w:rsid w:val="00736B1B"/>
    <w:rsid w:val="0076735D"/>
    <w:rsid w:val="007761C6"/>
    <w:rsid w:val="00793856"/>
    <w:rsid w:val="007D6F83"/>
    <w:rsid w:val="007E1185"/>
    <w:rsid w:val="007F2304"/>
    <w:rsid w:val="00811EAE"/>
    <w:rsid w:val="008249F3"/>
    <w:rsid w:val="00841016"/>
    <w:rsid w:val="008432A8"/>
    <w:rsid w:val="00844D2F"/>
    <w:rsid w:val="008A6B72"/>
    <w:rsid w:val="008C4A87"/>
    <w:rsid w:val="008D6D12"/>
    <w:rsid w:val="00947291"/>
    <w:rsid w:val="0096082B"/>
    <w:rsid w:val="00972981"/>
    <w:rsid w:val="009929EA"/>
    <w:rsid w:val="009A5344"/>
    <w:rsid w:val="009C644D"/>
    <w:rsid w:val="009D7605"/>
    <w:rsid w:val="009E5FCC"/>
    <w:rsid w:val="00A10DFC"/>
    <w:rsid w:val="00A62779"/>
    <w:rsid w:val="00A82C0C"/>
    <w:rsid w:val="00A93D97"/>
    <w:rsid w:val="00AB1D23"/>
    <w:rsid w:val="00B31246"/>
    <w:rsid w:val="00B33BBE"/>
    <w:rsid w:val="00B441AE"/>
    <w:rsid w:val="00B53B50"/>
    <w:rsid w:val="00B755D9"/>
    <w:rsid w:val="00B82768"/>
    <w:rsid w:val="00BB368E"/>
    <w:rsid w:val="00BE7C08"/>
    <w:rsid w:val="00CB589E"/>
    <w:rsid w:val="00D0605F"/>
    <w:rsid w:val="00D373C4"/>
    <w:rsid w:val="00D51045"/>
    <w:rsid w:val="00D61534"/>
    <w:rsid w:val="00DB546A"/>
    <w:rsid w:val="00DD32FE"/>
    <w:rsid w:val="00E10D50"/>
    <w:rsid w:val="00E12A81"/>
    <w:rsid w:val="00E32C4C"/>
    <w:rsid w:val="00E47708"/>
    <w:rsid w:val="00E519E9"/>
    <w:rsid w:val="00E631B1"/>
    <w:rsid w:val="00EB723C"/>
    <w:rsid w:val="00EB7C82"/>
    <w:rsid w:val="00EC47CC"/>
    <w:rsid w:val="00EE46BC"/>
    <w:rsid w:val="00EF0648"/>
    <w:rsid w:val="00F148E8"/>
    <w:rsid w:val="00F5284A"/>
    <w:rsid w:val="00F72079"/>
    <w:rsid w:val="00F749AE"/>
    <w:rsid w:val="00F80B47"/>
    <w:rsid w:val="00F82090"/>
    <w:rsid w:val="00F95DC8"/>
    <w:rsid w:val="00FB1670"/>
    <w:rsid w:val="00FC4077"/>
    <w:rsid w:val="00FC7067"/>
    <w:rsid w:val="00FF1A79"/>
    <w:rsid w:val="00FF2180"/>
    <w:rsid w:val="00FF2759"/>
    <w:rsid w:val="014330B2"/>
    <w:rsid w:val="02EEF8B7"/>
    <w:rsid w:val="03010651"/>
    <w:rsid w:val="030FFF37"/>
    <w:rsid w:val="044714DF"/>
    <w:rsid w:val="04546E0C"/>
    <w:rsid w:val="0492771E"/>
    <w:rsid w:val="04AB10C7"/>
    <w:rsid w:val="0564C459"/>
    <w:rsid w:val="05F825BA"/>
    <w:rsid w:val="0693DFD4"/>
    <w:rsid w:val="06954F94"/>
    <w:rsid w:val="07213AF5"/>
    <w:rsid w:val="0759DD1B"/>
    <w:rsid w:val="07EB374F"/>
    <w:rsid w:val="09519BF4"/>
    <w:rsid w:val="0954FF29"/>
    <w:rsid w:val="095525A9"/>
    <w:rsid w:val="0B3194D3"/>
    <w:rsid w:val="0B9FFEA6"/>
    <w:rsid w:val="0C932951"/>
    <w:rsid w:val="0D3B9330"/>
    <w:rsid w:val="0E1EDAB5"/>
    <w:rsid w:val="0E3C5C7D"/>
    <w:rsid w:val="0E4D1EF1"/>
    <w:rsid w:val="0E6EFA3D"/>
    <w:rsid w:val="0F03551F"/>
    <w:rsid w:val="0F441AA8"/>
    <w:rsid w:val="0F5122E3"/>
    <w:rsid w:val="0F825AF6"/>
    <w:rsid w:val="1016ACF3"/>
    <w:rsid w:val="102DE904"/>
    <w:rsid w:val="1036BD06"/>
    <w:rsid w:val="11D8B3EA"/>
    <w:rsid w:val="120C4D88"/>
    <w:rsid w:val="124D8BD3"/>
    <w:rsid w:val="125F5955"/>
    <w:rsid w:val="1274ED89"/>
    <w:rsid w:val="12820482"/>
    <w:rsid w:val="141FC402"/>
    <w:rsid w:val="15141A49"/>
    <w:rsid w:val="151BB24D"/>
    <w:rsid w:val="1532B371"/>
    <w:rsid w:val="1533EEFF"/>
    <w:rsid w:val="153E6120"/>
    <w:rsid w:val="1548A81E"/>
    <w:rsid w:val="155C80E2"/>
    <w:rsid w:val="1584AE8A"/>
    <w:rsid w:val="158BD624"/>
    <w:rsid w:val="1601DE74"/>
    <w:rsid w:val="16E9DF00"/>
    <w:rsid w:val="171C9E28"/>
    <w:rsid w:val="172ABA50"/>
    <w:rsid w:val="17375194"/>
    <w:rsid w:val="175247BB"/>
    <w:rsid w:val="17D98ABF"/>
    <w:rsid w:val="186290F8"/>
    <w:rsid w:val="1862D884"/>
    <w:rsid w:val="187552AA"/>
    <w:rsid w:val="1883264E"/>
    <w:rsid w:val="1884EAAE"/>
    <w:rsid w:val="18A19546"/>
    <w:rsid w:val="1921C686"/>
    <w:rsid w:val="19AB3403"/>
    <w:rsid w:val="19DF2B1D"/>
    <w:rsid w:val="1A367AD7"/>
    <w:rsid w:val="1B096443"/>
    <w:rsid w:val="1B415580"/>
    <w:rsid w:val="1B79E1C1"/>
    <w:rsid w:val="1BAFD108"/>
    <w:rsid w:val="1BE699B9"/>
    <w:rsid w:val="1C0FB392"/>
    <w:rsid w:val="1C14B75A"/>
    <w:rsid w:val="1E483023"/>
    <w:rsid w:val="1ECBE758"/>
    <w:rsid w:val="1EF5E606"/>
    <w:rsid w:val="1EFC9947"/>
    <w:rsid w:val="1F4AC84F"/>
    <w:rsid w:val="1FC0B418"/>
    <w:rsid w:val="1FCE5C8A"/>
    <w:rsid w:val="1FD50D4E"/>
    <w:rsid w:val="203DD77C"/>
    <w:rsid w:val="20664388"/>
    <w:rsid w:val="2097EFB2"/>
    <w:rsid w:val="209F77E9"/>
    <w:rsid w:val="20CC9726"/>
    <w:rsid w:val="20EC3496"/>
    <w:rsid w:val="2152C583"/>
    <w:rsid w:val="217A0D98"/>
    <w:rsid w:val="21A1AEA4"/>
    <w:rsid w:val="21C4F723"/>
    <w:rsid w:val="21F86514"/>
    <w:rsid w:val="22EB368E"/>
    <w:rsid w:val="23419BA2"/>
    <w:rsid w:val="238D2A3C"/>
    <w:rsid w:val="2471D537"/>
    <w:rsid w:val="2538103F"/>
    <w:rsid w:val="254F6646"/>
    <w:rsid w:val="2582A494"/>
    <w:rsid w:val="25BE6346"/>
    <w:rsid w:val="25E901B2"/>
    <w:rsid w:val="26D93655"/>
    <w:rsid w:val="2764B456"/>
    <w:rsid w:val="27FB2973"/>
    <w:rsid w:val="286BC50D"/>
    <w:rsid w:val="28DB7C58"/>
    <w:rsid w:val="28F748EB"/>
    <w:rsid w:val="290A8F45"/>
    <w:rsid w:val="291DD6E9"/>
    <w:rsid w:val="29FC1EB3"/>
    <w:rsid w:val="2ACF18A8"/>
    <w:rsid w:val="2BEA7EB9"/>
    <w:rsid w:val="2C220E11"/>
    <w:rsid w:val="2C4D0567"/>
    <w:rsid w:val="2CB4CC52"/>
    <w:rsid w:val="2DDF10C6"/>
    <w:rsid w:val="2E31507D"/>
    <w:rsid w:val="2E88F42E"/>
    <w:rsid w:val="2E9DF07B"/>
    <w:rsid w:val="2F0786A6"/>
    <w:rsid w:val="2FF3BD94"/>
    <w:rsid w:val="302494D1"/>
    <w:rsid w:val="306B68BE"/>
    <w:rsid w:val="328BFF91"/>
    <w:rsid w:val="331C5EFD"/>
    <w:rsid w:val="337BA8BC"/>
    <w:rsid w:val="3482E01E"/>
    <w:rsid w:val="3487EC90"/>
    <w:rsid w:val="35C24804"/>
    <w:rsid w:val="36591F80"/>
    <w:rsid w:val="36E482A0"/>
    <w:rsid w:val="36EBC19A"/>
    <w:rsid w:val="372CA9AD"/>
    <w:rsid w:val="374B774F"/>
    <w:rsid w:val="374BAF7D"/>
    <w:rsid w:val="37B7A6B1"/>
    <w:rsid w:val="37C08E7B"/>
    <w:rsid w:val="38065DBA"/>
    <w:rsid w:val="3857B186"/>
    <w:rsid w:val="391BCF30"/>
    <w:rsid w:val="39C00D96"/>
    <w:rsid w:val="3AB71FC6"/>
    <w:rsid w:val="3ABF6226"/>
    <w:rsid w:val="3B7E6F7F"/>
    <w:rsid w:val="3C16BBD7"/>
    <w:rsid w:val="3C1AF491"/>
    <w:rsid w:val="3D12BB82"/>
    <w:rsid w:val="3D20A3CB"/>
    <w:rsid w:val="3D308AAD"/>
    <w:rsid w:val="3DFB11B5"/>
    <w:rsid w:val="3E38BD07"/>
    <w:rsid w:val="3EB249CA"/>
    <w:rsid w:val="40556489"/>
    <w:rsid w:val="40DC0B63"/>
    <w:rsid w:val="40F2AF96"/>
    <w:rsid w:val="4169A7DD"/>
    <w:rsid w:val="41BCFAF7"/>
    <w:rsid w:val="42B63C84"/>
    <w:rsid w:val="438F62B7"/>
    <w:rsid w:val="44325301"/>
    <w:rsid w:val="45168AA4"/>
    <w:rsid w:val="46346D8D"/>
    <w:rsid w:val="46694B9A"/>
    <w:rsid w:val="4673F44D"/>
    <w:rsid w:val="46D41509"/>
    <w:rsid w:val="472001CC"/>
    <w:rsid w:val="47A33DC7"/>
    <w:rsid w:val="49BE1DFE"/>
    <w:rsid w:val="49F10D0D"/>
    <w:rsid w:val="49FE9F9F"/>
    <w:rsid w:val="4A4CAA61"/>
    <w:rsid w:val="4A612DA4"/>
    <w:rsid w:val="4AC71590"/>
    <w:rsid w:val="4B62A792"/>
    <w:rsid w:val="4B6FD838"/>
    <w:rsid w:val="4BB8E9A8"/>
    <w:rsid w:val="4BD5BC2A"/>
    <w:rsid w:val="4C032DFE"/>
    <w:rsid w:val="4CBDAC1F"/>
    <w:rsid w:val="4CC10406"/>
    <w:rsid w:val="4CEA2A21"/>
    <w:rsid w:val="4D7C2ED9"/>
    <w:rsid w:val="4D8FB590"/>
    <w:rsid w:val="4E84DF3D"/>
    <w:rsid w:val="4E8FA0A3"/>
    <w:rsid w:val="4E90CD0E"/>
    <w:rsid w:val="4EA4A5F8"/>
    <w:rsid w:val="4F40DC52"/>
    <w:rsid w:val="50866D2E"/>
    <w:rsid w:val="529DA831"/>
    <w:rsid w:val="52C78CBE"/>
    <w:rsid w:val="53202760"/>
    <w:rsid w:val="53DE8E00"/>
    <w:rsid w:val="5438421A"/>
    <w:rsid w:val="544B7E7A"/>
    <w:rsid w:val="5559C2A2"/>
    <w:rsid w:val="5560C93A"/>
    <w:rsid w:val="55B0557B"/>
    <w:rsid w:val="5680815E"/>
    <w:rsid w:val="56861797"/>
    <w:rsid w:val="56D9514A"/>
    <w:rsid w:val="57309EC2"/>
    <w:rsid w:val="57A0BFBB"/>
    <w:rsid w:val="58AFA9B9"/>
    <w:rsid w:val="58B9CBCC"/>
    <w:rsid w:val="5912C0DD"/>
    <w:rsid w:val="593B7500"/>
    <w:rsid w:val="5942DB27"/>
    <w:rsid w:val="5AE8C21F"/>
    <w:rsid w:val="5AF2CFEE"/>
    <w:rsid w:val="5B5B156B"/>
    <w:rsid w:val="5C616022"/>
    <w:rsid w:val="5CBDBCBC"/>
    <w:rsid w:val="5D601712"/>
    <w:rsid w:val="5D7A984E"/>
    <w:rsid w:val="5DA71C7E"/>
    <w:rsid w:val="5DB5DD25"/>
    <w:rsid w:val="5DE6C335"/>
    <w:rsid w:val="5ED217E9"/>
    <w:rsid w:val="5F06E837"/>
    <w:rsid w:val="5F526045"/>
    <w:rsid w:val="5F6FB5A8"/>
    <w:rsid w:val="5FD7D1D7"/>
    <w:rsid w:val="6084E760"/>
    <w:rsid w:val="60BD291F"/>
    <w:rsid w:val="6144FB2D"/>
    <w:rsid w:val="61DE191A"/>
    <w:rsid w:val="6255C356"/>
    <w:rsid w:val="6319E8F1"/>
    <w:rsid w:val="63585CA2"/>
    <w:rsid w:val="6389DB9B"/>
    <w:rsid w:val="64586088"/>
    <w:rsid w:val="6475846F"/>
    <w:rsid w:val="64AD9C30"/>
    <w:rsid w:val="64B95495"/>
    <w:rsid w:val="64D68E46"/>
    <w:rsid w:val="6511B78B"/>
    <w:rsid w:val="666DF788"/>
    <w:rsid w:val="668D1DE1"/>
    <w:rsid w:val="66DE4D1E"/>
    <w:rsid w:val="66F0A7A7"/>
    <w:rsid w:val="6759273F"/>
    <w:rsid w:val="67872B4C"/>
    <w:rsid w:val="6813ADC9"/>
    <w:rsid w:val="685DFD5F"/>
    <w:rsid w:val="68918021"/>
    <w:rsid w:val="69F703AA"/>
    <w:rsid w:val="6A35234C"/>
    <w:rsid w:val="6A78CFF0"/>
    <w:rsid w:val="6A92D14B"/>
    <w:rsid w:val="6ACADB98"/>
    <w:rsid w:val="6B7DE719"/>
    <w:rsid w:val="6C47B086"/>
    <w:rsid w:val="6C8F6CDA"/>
    <w:rsid w:val="6CFFDAE7"/>
    <w:rsid w:val="6D62CF0C"/>
    <w:rsid w:val="6E882B2C"/>
    <w:rsid w:val="6ED01C5A"/>
    <w:rsid w:val="6F938344"/>
    <w:rsid w:val="70732BC5"/>
    <w:rsid w:val="708E7053"/>
    <w:rsid w:val="70A41BB6"/>
    <w:rsid w:val="725BCE84"/>
    <w:rsid w:val="72FA00E5"/>
    <w:rsid w:val="73F5CD67"/>
    <w:rsid w:val="757B174F"/>
    <w:rsid w:val="761A5ACF"/>
    <w:rsid w:val="771DD082"/>
    <w:rsid w:val="77C0DFE0"/>
    <w:rsid w:val="77D02942"/>
    <w:rsid w:val="7862E3AE"/>
    <w:rsid w:val="786D6777"/>
    <w:rsid w:val="78E5B8A3"/>
    <w:rsid w:val="7A16DF1D"/>
    <w:rsid w:val="7A68216E"/>
    <w:rsid w:val="7AF9D0C8"/>
    <w:rsid w:val="7B3E6D59"/>
    <w:rsid w:val="7BA75815"/>
    <w:rsid w:val="7BD40F9B"/>
    <w:rsid w:val="7DFF47D9"/>
    <w:rsid w:val="7E23381C"/>
    <w:rsid w:val="7E2B8F29"/>
    <w:rsid w:val="7E3DABBD"/>
    <w:rsid w:val="7F566369"/>
    <w:rsid w:val="7F79A06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43F4A28"/>
  <w15:docId w15:val="{F8ECBDA1-B9D6-4F6D-A515-206C7CD5B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1"/>
      <w:ind w:left="400"/>
    </w:pPr>
    <w:rPr>
      <w:sz w:val="24"/>
      <w:szCs w:val="24"/>
    </w:rPr>
  </w:style>
  <w:style w:type="paragraph" w:styleId="ListParagraph">
    <w:name w:val="List Paragraph"/>
    <w:basedOn w:val="Normal"/>
    <w:uiPriority w:val="1"/>
    <w:qFormat/>
    <w:pPr>
      <w:spacing w:before="161"/>
      <w:ind w:left="7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D2382"/>
    <w:pPr>
      <w:tabs>
        <w:tab w:val="center" w:pos="4680"/>
        <w:tab w:val="right" w:pos="9360"/>
      </w:tabs>
    </w:pPr>
  </w:style>
  <w:style w:type="character" w:customStyle="1" w:styleId="HeaderChar">
    <w:name w:val="Header Char"/>
    <w:basedOn w:val="DefaultParagraphFont"/>
    <w:link w:val="Header"/>
    <w:uiPriority w:val="99"/>
    <w:rsid w:val="002D2382"/>
    <w:rPr>
      <w:rFonts w:ascii="Arial" w:eastAsia="Arial" w:hAnsi="Arial" w:cs="Arial"/>
      <w:lang w:bidi="en-US"/>
    </w:rPr>
  </w:style>
  <w:style w:type="paragraph" w:styleId="Footer">
    <w:name w:val="footer"/>
    <w:basedOn w:val="Normal"/>
    <w:link w:val="FooterChar"/>
    <w:uiPriority w:val="99"/>
    <w:unhideWhenUsed/>
    <w:rsid w:val="002D2382"/>
    <w:pPr>
      <w:tabs>
        <w:tab w:val="center" w:pos="4680"/>
        <w:tab w:val="right" w:pos="9360"/>
      </w:tabs>
    </w:pPr>
  </w:style>
  <w:style w:type="character" w:customStyle="1" w:styleId="FooterChar">
    <w:name w:val="Footer Char"/>
    <w:basedOn w:val="DefaultParagraphFont"/>
    <w:link w:val="Footer"/>
    <w:uiPriority w:val="99"/>
    <w:rsid w:val="002D2382"/>
    <w:rPr>
      <w:rFonts w:ascii="Arial" w:eastAsia="Arial" w:hAnsi="Arial" w:cs="Arial"/>
      <w:lang w:bidi="en-US"/>
    </w:rPr>
  </w:style>
  <w:style w:type="paragraph" w:styleId="NoSpacing">
    <w:name w:val="No Spacing"/>
    <w:uiPriority w:val="1"/>
    <w:qFormat/>
    <w:rsid w:val="00E12A81"/>
    <w:rPr>
      <w:rFonts w:ascii="Arial" w:eastAsia="Arial" w:hAnsi="Arial" w:cs="Arial"/>
      <w:lang w:bidi="en-US"/>
    </w:rPr>
  </w:style>
  <w:style w:type="character" w:styleId="CommentReference">
    <w:name w:val="annotation reference"/>
    <w:basedOn w:val="DefaultParagraphFont"/>
    <w:uiPriority w:val="99"/>
    <w:semiHidden/>
    <w:unhideWhenUsed/>
    <w:rsid w:val="005B035B"/>
    <w:rPr>
      <w:sz w:val="16"/>
      <w:szCs w:val="16"/>
    </w:rPr>
  </w:style>
  <w:style w:type="paragraph" w:styleId="CommentText">
    <w:name w:val="annotation text"/>
    <w:basedOn w:val="Normal"/>
    <w:link w:val="CommentTextChar"/>
    <w:uiPriority w:val="99"/>
    <w:unhideWhenUsed/>
    <w:rsid w:val="005B035B"/>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rsid w:val="005B035B"/>
    <w:rPr>
      <w:sz w:val="20"/>
      <w:szCs w:val="20"/>
    </w:rPr>
  </w:style>
  <w:style w:type="paragraph" w:styleId="Revision">
    <w:name w:val="Revision"/>
    <w:hidden/>
    <w:uiPriority w:val="99"/>
    <w:semiHidden/>
    <w:rsid w:val="003948D5"/>
    <w:pPr>
      <w:widowControl/>
      <w:autoSpaceDE/>
      <w:autoSpaceDN/>
    </w:pPr>
    <w:rPr>
      <w:rFonts w:ascii="Arial" w:eastAsia="Arial" w:hAnsi="Arial" w:cs="Arial"/>
      <w:lang w:bidi="en-US"/>
    </w:rPr>
  </w:style>
  <w:style w:type="paragraph" w:styleId="CommentSubject">
    <w:name w:val="annotation subject"/>
    <w:basedOn w:val="CommentText"/>
    <w:next w:val="CommentText"/>
    <w:link w:val="CommentSubjectChar"/>
    <w:uiPriority w:val="99"/>
    <w:semiHidden/>
    <w:unhideWhenUsed/>
    <w:rsid w:val="00165CBD"/>
    <w:pPr>
      <w:widowControl w:val="0"/>
      <w:autoSpaceDE w:val="0"/>
      <w:autoSpaceDN w:val="0"/>
      <w:spacing w:after="0"/>
    </w:pPr>
    <w:rPr>
      <w:rFonts w:ascii="Arial" w:eastAsia="Arial" w:hAnsi="Arial" w:cs="Arial"/>
      <w:b/>
      <w:bCs/>
      <w:lang w:bidi="en-US"/>
    </w:rPr>
  </w:style>
  <w:style w:type="character" w:customStyle="1" w:styleId="CommentSubjectChar">
    <w:name w:val="Comment Subject Char"/>
    <w:basedOn w:val="CommentTextChar"/>
    <w:link w:val="CommentSubject"/>
    <w:uiPriority w:val="99"/>
    <w:semiHidden/>
    <w:rsid w:val="00165CBD"/>
    <w:rPr>
      <w:rFonts w:ascii="Arial" w:eastAsia="Arial" w:hAnsi="Arial" w:cs="Arial"/>
      <w:b/>
      <w:bCs/>
      <w:sz w:val="20"/>
      <w:szCs w:val="20"/>
      <w:lang w:bidi="en-US"/>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7E9E72BAF83C4FB9F4B79D6F940E38" ma:contentTypeVersion="17" ma:contentTypeDescription="Create a new document." ma:contentTypeScope="" ma:versionID="7dbe2db6bfe32bc4127960186f7a14b5">
  <xsd:schema xmlns:xsd="http://www.w3.org/2001/XMLSchema" xmlns:xs="http://www.w3.org/2001/XMLSchema" xmlns:p="http://schemas.microsoft.com/office/2006/metadata/properties" xmlns:ns2="f762c95d-3cca-4969-a35b-3d8ab5bf0d48" xmlns:ns3="67e9e401-0492-4107-8ab8-e7caf78996f7" targetNamespace="http://schemas.microsoft.com/office/2006/metadata/properties" ma:root="true" ma:fieldsID="d4be4ef8738204ecd70fe323483b89c3" ns2:_="" ns3:_="">
    <xsd:import namespace="f762c95d-3cca-4969-a35b-3d8ab5bf0d48"/>
    <xsd:import namespace="67e9e401-0492-4107-8ab8-e7caf78996f7"/>
    <xsd:element name="properties">
      <xsd:complexType>
        <xsd:sequence>
          <xsd:element name="documentManagement">
            <xsd:complexType>
              <xsd:all>
                <xsd:element ref="ns2:ICR_ID" minOccurs="0"/>
                <xsd:element ref="ns2:Parent_ICR" minOccurs="0"/>
                <xsd:element ref="ns2:DocumentType" minOccurs="0"/>
                <xsd:element ref="ns2:SubmitterNam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62c95d-3cca-4969-a35b-3d8ab5bf0d48" elementFormDefault="qualified">
    <xsd:import namespace="http://schemas.microsoft.com/office/2006/documentManagement/types"/>
    <xsd:import namespace="http://schemas.microsoft.com/office/infopath/2007/PartnerControls"/>
    <xsd:element name="ICR_ID" ma:index="8" nillable="true" ma:displayName="ICR_ID" ma:decimals="0" ma:format="Dropdown" ma:internalName="ICR_ID" ma:percentage="FALSE">
      <xsd:simpleType>
        <xsd:restriction base="dms:Number"/>
      </xsd:simpleType>
    </xsd:element>
    <xsd:element name="Parent_ICR" ma:index="9" nillable="true" ma:displayName="Parent_ICR" ma:indexed="true" ma:list="{f58e052a-7028-420d-9076-1ccdfa325b5f}" ma:internalName="Parent_ICR" ma:showField="ID">
      <xsd:simpleType>
        <xsd:restriction base="dms:Lookup"/>
      </xsd:simpleType>
    </xsd:element>
    <xsd:element name="DocumentType" ma:index="10" nillable="true" ma:displayName="Document Type" ma:internalName="DocumentType">
      <xsd:simpleType>
        <xsd:restriction base="dms:Text">
          <xsd:maxLength value="150"/>
        </xsd:restriction>
      </xsd:simpleType>
    </xsd:element>
    <xsd:element name="SubmitterName" ma:index="11" nillable="true" ma:displayName="Submitter Name" ma:internalName="SubmitterName">
      <xsd:simpleType>
        <xsd:restriction base="dms:Text">
          <xsd:maxLength value="1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fea54593-d362-4dcd-bfd7-547f760de9d2"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e9e401-0492-4107-8ab8-e7caf78996f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9f47f2f-d4b9-42b5-81cc-697de354ebb0}" ma:internalName="TaxCatchAll" ma:showField="CatchAllData" ma:web="67e9e401-0492-4107-8ab8-e7caf7899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mitterName xmlns="f762c95d-3cca-4969-a35b-3d8ab5bf0d48">Kenneth Turner</SubmitterName>
    <Parent_ICR xmlns="f762c95d-3cca-4969-a35b-3d8ab5bf0d48">1796</Parent_ICR>
    <ICR_ID xmlns="f762c95d-3cca-4969-a35b-3d8ab5bf0d48">1796</ICR_ID>
    <DocumentType xmlns="f762c95d-3cca-4969-a35b-3d8ab5bf0d48">Supporting Statement A</DocumentType>
    <TaxCatchAll xmlns="67e9e401-0492-4107-8ab8-e7caf78996f7" xsi:nil="true"/>
    <lcf76f155ced4ddcb4097134ff3c332f xmlns="f762c95d-3cca-4969-a35b-3d8ab5bf0d4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002DC-2B84-4412-89E3-453E98AAFD1C}">
  <ds:schemaRefs>
    <ds:schemaRef ds:uri="http://schemas.microsoft.com/sharepoint/v3/contenttype/forms"/>
  </ds:schemaRefs>
</ds:datastoreItem>
</file>

<file path=customXml/itemProps2.xml><?xml version="1.0" encoding="utf-8"?>
<ds:datastoreItem xmlns:ds="http://schemas.openxmlformats.org/officeDocument/2006/customXml" ds:itemID="{27B9278A-13D1-492A-A749-728F2924F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62c95d-3cca-4969-a35b-3d8ab5bf0d48"/>
    <ds:schemaRef ds:uri="67e9e401-0492-4107-8ab8-e7caf7899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5DA9AB-DD3B-4552-9DAC-0302FF86DDBA}">
  <ds:schemaRefs>
    <ds:schemaRef ds:uri="http://schemas.microsoft.com/office/2006/metadata/properties"/>
    <ds:schemaRef ds:uri="http://schemas.microsoft.com/office/infopath/2007/PartnerControls"/>
    <ds:schemaRef ds:uri="f762c95d-3cca-4969-a35b-3d8ab5bf0d48"/>
    <ds:schemaRef ds:uri="67e9e401-0492-4107-8ab8-e7caf78996f7"/>
  </ds:schemaRefs>
</ds:datastoreItem>
</file>

<file path=docMetadata/LabelInfo.xml><?xml version="1.0" encoding="utf-8"?>
<clbl:labelList xmlns:clbl="http://schemas.microsoft.com/office/2020/mipLabelMetadata">
  <clbl:label id="{3aa716f1-e559-41ce-a530-47d18313c603}" enabled="0" method="" siteId="{3aa716f1-e559-41ce-a530-47d18313c603}" removed="1"/>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4265</Words>
  <Characters>24314</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Supporting Statement Part A Generic Clearance 2030 Census Small Scale Test and Updates DRAFTv.1.1</vt:lpstr>
    </vt:vector>
  </TitlesOfParts>
  <Company>Bureau of the Census</Company>
  <LinksUpToDate>false</LinksUpToDate>
  <CharactersWithSpaces>28522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 Generic Clearance 2030 Census Small Scale Test and Updates DRAFTv.1.1</dc:title>
  <dc:subject>2020</dc:subject>
  <dc:creator>Dumas, Sheleen (Federal)</dc:creator>
  <cp:lastModifiedBy>Michael S Snow (CENSUS/DCMD FED)</cp:lastModifiedBy>
  <cp:revision>23</cp:revision>
  <dcterms:created xsi:type="dcterms:W3CDTF">2024-10-31T16:55:00Z</dcterms:created>
  <dcterms:modified xsi:type="dcterms:W3CDTF">2024-11-20T16:27:00Z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0x0101008A7E9E72BAF83C4FB9F4B79D6F940E38</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2020-05-12T00:00:00Z</vt:filetime>
  </property>
  <property fmtid="{D5CDD505-2E9C-101B-9397-08002B2CF9AE}" pid="6" name="MediaServiceImageTags">
    <vt:lpwstr/>
  </property>
  <property fmtid="{D5CDD505-2E9C-101B-9397-08002B2CF9AE}" pid="7" name="_dlc_DocIdItemGuid">
    <vt:lpwstr>259b9584-25c9-43ba-abe2-dbc64603a980</vt:lpwstr>
  </property>
</Properties>
</file>