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D6431" w14:paraId="4CE7DD48" w14:textId="77777777">
      <w:pPr>
        <w:pStyle w:val="Heading4"/>
        <w:ind w:left="-720"/>
        <w:rPr>
          <w:sz w:val="22"/>
          <w:szCs w:val="22"/>
        </w:rPr>
      </w:pPr>
      <w:bookmarkStart w:id="0" w:name="_j2a2w3ewyl2r" w:colFirst="0" w:colLast="0"/>
      <w:bookmarkEnd w:id="0"/>
      <w:r>
        <w:rPr>
          <w:sz w:val="22"/>
          <w:szCs w:val="22"/>
        </w:rPr>
        <w:t xml:space="preserve">Section 1: Data Management Contact Information </w:t>
      </w:r>
    </w:p>
    <w:p w:rsidR="005D6431" w14:paraId="7620E294" w14:textId="77777777">
      <w:pPr>
        <w:rPr>
          <w:sz w:val="20"/>
          <w:szCs w:val="20"/>
        </w:rPr>
      </w:pPr>
      <w:r>
        <w:rPr>
          <w:sz w:val="20"/>
          <w:szCs w:val="20"/>
        </w:rPr>
        <w:t>Project Data Manager Contact Information:</w:t>
      </w:r>
    </w:p>
    <w:p w:rsidR="005D6431" w14:paraId="66A13648" w14:textId="77777777">
      <w:pPr>
        <w:ind w:left="720"/>
        <w:rPr>
          <w:sz w:val="20"/>
          <w:szCs w:val="20"/>
        </w:rPr>
      </w:pPr>
      <w:r>
        <w:rPr>
          <w:sz w:val="20"/>
          <w:szCs w:val="20"/>
        </w:rPr>
        <w:t>Name/Organization/Email:</w:t>
      </w:r>
      <w:r>
        <w:rPr>
          <w:sz w:val="20"/>
          <w:szCs w:val="20"/>
        </w:rPr>
        <w:br/>
        <w:t>(repeat as necessary)</w:t>
      </w:r>
    </w:p>
    <w:p w:rsidR="005D6431" w14:paraId="51AC655C" w14:textId="77777777">
      <w:pPr>
        <w:pStyle w:val="Heading4"/>
        <w:ind w:left="-720"/>
        <w:rPr>
          <w:strike/>
          <w:sz w:val="22"/>
          <w:szCs w:val="22"/>
        </w:rPr>
      </w:pPr>
      <w:bookmarkStart w:id="1" w:name="_yahfpq9dthd0" w:colFirst="0" w:colLast="0"/>
      <w:bookmarkEnd w:id="1"/>
      <w:r>
        <w:rPr>
          <w:sz w:val="22"/>
          <w:szCs w:val="22"/>
        </w:rPr>
        <w:t>Section 2: Anticipated Datasets and Data Access</w:t>
      </w:r>
    </w:p>
    <w:p w:rsidR="005D6431" w14:paraId="5DB96844" w14:textId="77777777">
      <w:pPr>
        <w:rPr>
          <w:sz w:val="20"/>
          <w:szCs w:val="20"/>
        </w:rPr>
      </w:pPr>
      <w:r>
        <w:rPr>
          <w:sz w:val="20"/>
          <w:szCs w:val="20"/>
        </w:rPr>
        <w:t>2.1 What data collection and/or generation methods will be used to develop the project data?</w:t>
      </w:r>
    </w:p>
    <w:p w:rsidR="005D6431" w14:paraId="2CE1DD7C" w14:textId="77777777">
      <w:pPr>
        <w:ind w:left="720"/>
        <w:rPr>
          <w:sz w:val="20"/>
          <w:szCs w:val="20"/>
        </w:rPr>
      </w:pPr>
    </w:p>
    <w:p w:rsidR="005D6431" w14:paraId="6FFA9D49" w14:textId="77777777">
      <w:pPr>
        <w:rPr>
          <w:sz w:val="20"/>
          <w:szCs w:val="20"/>
        </w:rPr>
      </w:pPr>
    </w:p>
    <w:p w:rsidR="005D6431" w14:paraId="7C70DF0B" w14:textId="77777777">
      <w:pPr>
        <w:rPr>
          <w:sz w:val="20"/>
          <w:szCs w:val="20"/>
        </w:rPr>
      </w:pPr>
      <w:r>
        <w:rPr>
          <w:sz w:val="20"/>
          <w:szCs w:val="20"/>
        </w:rPr>
        <w:t xml:space="preserve">2.2 Table of anticipated datasets. (Add additional rows as necessary.) </w:t>
      </w:r>
    </w:p>
    <w:tbl>
      <w:tblPr>
        <w:tblStyle w:val="a"/>
        <w:tblW w:w="1104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90"/>
        <w:gridCol w:w="1860"/>
        <w:gridCol w:w="1860"/>
        <w:gridCol w:w="1860"/>
        <w:gridCol w:w="2970"/>
      </w:tblGrid>
      <w:tr w14:paraId="6D0A9E99" w14:textId="77777777">
        <w:tblPrEx>
          <w:tblW w:w="1104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490" w:type="dxa"/>
            <w:tcBorders>
              <w:bottom w:val="single" w:sz="18" w:space="0" w:color="000000"/>
            </w:tcBorders>
            <w:shd w:val="clear" w:color="auto" w:fill="EFEFEF"/>
            <w:tcMar>
              <w:top w:w="100" w:type="dxa"/>
              <w:left w:w="100" w:type="dxa"/>
              <w:bottom w:w="100" w:type="dxa"/>
              <w:right w:w="100" w:type="dxa"/>
            </w:tcMar>
          </w:tcPr>
          <w:p w:rsidR="005D6431" w14:paraId="1129ADFF" w14:textId="77777777">
            <w:pPr>
              <w:widowControl w:val="0"/>
              <w:pBdr>
                <w:top w:val="nil"/>
                <w:left w:val="nil"/>
                <w:bottom w:val="nil"/>
                <w:right w:val="nil"/>
                <w:between w:val="nil"/>
              </w:pBdr>
              <w:spacing w:line="240" w:lineRule="auto"/>
              <w:jc w:val="center"/>
              <w:rPr>
                <w:b/>
                <w:sz w:val="20"/>
                <w:szCs w:val="20"/>
              </w:rPr>
            </w:pPr>
            <w:r>
              <w:rPr>
                <w:b/>
                <w:sz w:val="20"/>
                <w:szCs w:val="20"/>
              </w:rPr>
              <w:t>Anticipated Dataset Type</w:t>
            </w:r>
          </w:p>
        </w:tc>
        <w:tc>
          <w:tcPr>
            <w:tcW w:w="1860" w:type="dxa"/>
            <w:tcBorders>
              <w:bottom w:val="single" w:sz="18" w:space="0" w:color="000000"/>
            </w:tcBorders>
            <w:shd w:val="clear" w:color="auto" w:fill="EFEFEF"/>
            <w:tcMar>
              <w:top w:w="100" w:type="dxa"/>
              <w:left w:w="100" w:type="dxa"/>
              <w:bottom w:w="100" w:type="dxa"/>
              <w:right w:w="100" w:type="dxa"/>
            </w:tcMar>
          </w:tcPr>
          <w:p w:rsidR="005D6431" w14:paraId="0704D300" w14:textId="77777777">
            <w:pPr>
              <w:widowControl w:val="0"/>
              <w:pBdr>
                <w:top w:val="nil"/>
                <w:left w:val="nil"/>
                <w:bottom w:val="nil"/>
                <w:right w:val="nil"/>
                <w:between w:val="nil"/>
              </w:pBdr>
              <w:spacing w:line="240" w:lineRule="auto"/>
              <w:jc w:val="center"/>
              <w:rPr>
                <w:b/>
                <w:sz w:val="20"/>
                <w:szCs w:val="20"/>
              </w:rPr>
            </w:pPr>
            <w:r>
              <w:rPr>
                <w:b/>
                <w:sz w:val="20"/>
                <w:szCs w:val="20"/>
              </w:rPr>
              <w:t>Related Project Milestone Chart Task Numbers</w:t>
            </w:r>
          </w:p>
        </w:tc>
        <w:tc>
          <w:tcPr>
            <w:tcW w:w="1860" w:type="dxa"/>
            <w:tcBorders>
              <w:bottom w:val="single" w:sz="18" w:space="0" w:color="000000"/>
            </w:tcBorders>
            <w:shd w:val="clear" w:color="auto" w:fill="EFEFEF"/>
            <w:tcMar>
              <w:top w:w="100" w:type="dxa"/>
              <w:left w:w="100" w:type="dxa"/>
              <w:bottom w:w="100" w:type="dxa"/>
              <w:right w:w="100" w:type="dxa"/>
            </w:tcMar>
          </w:tcPr>
          <w:p w:rsidR="005D6431" w14:paraId="5F1F65CA" w14:textId="77777777">
            <w:pPr>
              <w:widowControl w:val="0"/>
              <w:pBdr>
                <w:top w:val="nil"/>
                <w:left w:val="nil"/>
                <w:bottom w:val="nil"/>
                <w:right w:val="nil"/>
                <w:between w:val="nil"/>
              </w:pBdr>
              <w:spacing w:line="240" w:lineRule="auto"/>
              <w:jc w:val="center"/>
              <w:rPr>
                <w:b/>
                <w:sz w:val="20"/>
                <w:szCs w:val="20"/>
              </w:rPr>
            </w:pPr>
            <w:r>
              <w:rPr>
                <w:b/>
                <w:sz w:val="20"/>
                <w:szCs w:val="20"/>
              </w:rPr>
              <w:t>File Formats*</w:t>
            </w:r>
          </w:p>
        </w:tc>
        <w:tc>
          <w:tcPr>
            <w:tcW w:w="1860" w:type="dxa"/>
            <w:tcBorders>
              <w:bottom w:val="single" w:sz="18" w:space="0" w:color="000000"/>
            </w:tcBorders>
            <w:shd w:val="clear" w:color="auto" w:fill="EFEFEF"/>
            <w:tcMar>
              <w:top w:w="100" w:type="dxa"/>
              <w:left w:w="100" w:type="dxa"/>
              <w:bottom w:w="100" w:type="dxa"/>
              <w:right w:w="100" w:type="dxa"/>
            </w:tcMar>
          </w:tcPr>
          <w:p w:rsidR="005D6431" w14:paraId="5290D877" w14:textId="77777777">
            <w:pPr>
              <w:widowControl w:val="0"/>
              <w:pBdr>
                <w:top w:val="nil"/>
                <w:left w:val="nil"/>
                <w:bottom w:val="nil"/>
                <w:right w:val="nil"/>
                <w:between w:val="nil"/>
              </w:pBdr>
              <w:spacing w:line="240" w:lineRule="auto"/>
              <w:jc w:val="center"/>
              <w:rPr>
                <w:b/>
                <w:sz w:val="20"/>
                <w:szCs w:val="20"/>
              </w:rPr>
            </w:pPr>
            <w:r>
              <w:rPr>
                <w:b/>
                <w:sz w:val="20"/>
                <w:szCs w:val="20"/>
              </w:rPr>
              <w:t>Data Volume</w:t>
            </w:r>
          </w:p>
        </w:tc>
        <w:tc>
          <w:tcPr>
            <w:tcW w:w="2970" w:type="dxa"/>
            <w:tcBorders>
              <w:bottom w:val="single" w:sz="18" w:space="0" w:color="000000"/>
            </w:tcBorders>
            <w:shd w:val="clear" w:color="auto" w:fill="EFEFEF"/>
            <w:tcMar>
              <w:top w:w="100" w:type="dxa"/>
              <w:left w:w="100" w:type="dxa"/>
              <w:bottom w:w="100" w:type="dxa"/>
              <w:right w:w="100" w:type="dxa"/>
            </w:tcMar>
          </w:tcPr>
          <w:p w:rsidR="005D6431" w14:paraId="19CD1E28" w14:textId="77777777">
            <w:pPr>
              <w:widowControl w:val="0"/>
              <w:pBdr>
                <w:top w:val="nil"/>
                <w:left w:val="nil"/>
                <w:bottom w:val="nil"/>
                <w:right w:val="nil"/>
                <w:between w:val="nil"/>
              </w:pBdr>
              <w:spacing w:line="240" w:lineRule="auto"/>
              <w:jc w:val="center"/>
              <w:rPr>
                <w:b/>
                <w:sz w:val="20"/>
                <w:szCs w:val="20"/>
              </w:rPr>
            </w:pPr>
            <w:r>
              <w:rPr>
                <w:b/>
                <w:sz w:val="20"/>
                <w:szCs w:val="20"/>
              </w:rPr>
              <w:t>Final Data Access and Long-term Archival Location(s)</w:t>
            </w:r>
          </w:p>
        </w:tc>
      </w:tr>
      <w:tr w14:paraId="5ACB3CC5" w14:textId="77777777">
        <w:tblPrEx>
          <w:tblW w:w="11040" w:type="dxa"/>
          <w:tblInd w:w="-630" w:type="dxa"/>
          <w:tblLayout w:type="fixed"/>
          <w:tblLook w:val="0600"/>
        </w:tblPrEx>
        <w:tc>
          <w:tcPr>
            <w:tcW w:w="2490" w:type="dxa"/>
            <w:tcBorders>
              <w:top w:val="single" w:sz="18" w:space="0" w:color="000000"/>
            </w:tcBorders>
            <w:shd w:val="clear" w:color="auto" w:fill="auto"/>
            <w:tcMar>
              <w:top w:w="100" w:type="dxa"/>
              <w:left w:w="100" w:type="dxa"/>
              <w:bottom w:w="100" w:type="dxa"/>
              <w:right w:w="100" w:type="dxa"/>
            </w:tcMar>
          </w:tcPr>
          <w:p w:rsidR="005D6431" w14:paraId="4B734B04" w14:textId="77777777">
            <w:pPr>
              <w:widowControl w:val="0"/>
              <w:pBdr>
                <w:top w:val="nil"/>
                <w:left w:val="nil"/>
                <w:bottom w:val="nil"/>
                <w:right w:val="nil"/>
                <w:between w:val="nil"/>
              </w:pBdr>
              <w:spacing w:line="240" w:lineRule="auto"/>
              <w:rPr>
                <w:sz w:val="20"/>
                <w:szCs w:val="20"/>
              </w:rPr>
            </w:pPr>
          </w:p>
        </w:tc>
        <w:tc>
          <w:tcPr>
            <w:tcW w:w="1860" w:type="dxa"/>
            <w:tcBorders>
              <w:top w:val="single" w:sz="18" w:space="0" w:color="000000"/>
            </w:tcBorders>
            <w:shd w:val="clear" w:color="auto" w:fill="auto"/>
            <w:tcMar>
              <w:top w:w="100" w:type="dxa"/>
              <w:left w:w="100" w:type="dxa"/>
              <w:bottom w:w="100" w:type="dxa"/>
              <w:right w:w="100" w:type="dxa"/>
            </w:tcMar>
          </w:tcPr>
          <w:p w:rsidR="005D6431" w14:paraId="2111C6F9" w14:textId="77777777">
            <w:pPr>
              <w:widowControl w:val="0"/>
              <w:pBdr>
                <w:top w:val="nil"/>
                <w:left w:val="nil"/>
                <w:bottom w:val="nil"/>
                <w:right w:val="nil"/>
                <w:between w:val="nil"/>
              </w:pBdr>
              <w:spacing w:line="240" w:lineRule="auto"/>
              <w:rPr>
                <w:sz w:val="20"/>
                <w:szCs w:val="20"/>
              </w:rPr>
            </w:pPr>
          </w:p>
        </w:tc>
        <w:tc>
          <w:tcPr>
            <w:tcW w:w="1860" w:type="dxa"/>
            <w:tcBorders>
              <w:top w:val="single" w:sz="18" w:space="0" w:color="000000"/>
            </w:tcBorders>
            <w:shd w:val="clear" w:color="auto" w:fill="auto"/>
            <w:tcMar>
              <w:top w:w="100" w:type="dxa"/>
              <w:left w:w="100" w:type="dxa"/>
              <w:bottom w:w="100" w:type="dxa"/>
              <w:right w:w="100" w:type="dxa"/>
            </w:tcMar>
          </w:tcPr>
          <w:p w:rsidR="005D6431" w14:paraId="420B1539" w14:textId="77777777">
            <w:pPr>
              <w:widowControl w:val="0"/>
              <w:pBdr>
                <w:top w:val="nil"/>
                <w:left w:val="nil"/>
                <w:bottom w:val="nil"/>
                <w:right w:val="nil"/>
                <w:between w:val="nil"/>
              </w:pBdr>
              <w:spacing w:line="240" w:lineRule="auto"/>
              <w:rPr>
                <w:sz w:val="20"/>
                <w:szCs w:val="20"/>
              </w:rPr>
            </w:pPr>
          </w:p>
        </w:tc>
        <w:tc>
          <w:tcPr>
            <w:tcW w:w="1860" w:type="dxa"/>
            <w:tcBorders>
              <w:top w:val="single" w:sz="18" w:space="0" w:color="000000"/>
            </w:tcBorders>
            <w:shd w:val="clear" w:color="auto" w:fill="auto"/>
            <w:tcMar>
              <w:top w:w="100" w:type="dxa"/>
              <w:left w:w="100" w:type="dxa"/>
              <w:bottom w:w="100" w:type="dxa"/>
              <w:right w:w="100" w:type="dxa"/>
            </w:tcMar>
          </w:tcPr>
          <w:p w:rsidR="005D6431" w14:paraId="3E3A1296" w14:textId="77777777">
            <w:pPr>
              <w:widowControl w:val="0"/>
              <w:pBdr>
                <w:top w:val="nil"/>
                <w:left w:val="nil"/>
                <w:bottom w:val="nil"/>
                <w:right w:val="nil"/>
                <w:between w:val="nil"/>
              </w:pBdr>
              <w:spacing w:line="240" w:lineRule="auto"/>
              <w:rPr>
                <w:sz w:val="20"/>
                <w:szCs w:val="20"/>
              </w:rPr>
            </w:pPr>
          </w:p>
        </w:tc>
        <w:tc>
          <w:tcPr>
            <w:tcW w:w="2970" w:type="dxa"/>
            <w:tcBorders>
              <w:top w:val="single" w:sz="18" w:space="0" w:color="000000"/>
            </w:tcBorders>
            <w:shd w:val="clear" w:color="auto" w:fill="auto"/>
            <w:tcMar>
              <w:top w:w="100" w:type="dxa"/>
              <w:left w:w="100" w:type="dxa"/>
              <w:bottom w:w="100" w:type="dxa"/>
              <w:right w:w="100" w:type="dxa"/>
            </w:tcMar>
          </w:tcPr>
          <w:p w:rsidR="005D6431" w14:paraId="54E7C707" w14:textId="77777777">
            <w:pPr>
              <w:widowControl w:val="0"/>
              <w:pBdr>
                <w:top w:val="nil"/>
                <w:left w:val="nil"/>
                <w:bottom w:val="nil"/>
                <w:right w:val="nil"/>
                <w:between w:val="nil"/>
              </w:pBdr>
              <w:spacing w:line="240" w:lineRule="auto"/>
              <w:rPr>
                <w:sz w:val="20"/>
                <w:szCs w:val="20"/>
              </w:rPr>
            </w:pPr>
          </w:p>
        </w:tc>
      </w:tr>
      <w:tr w14:paraId="76069271" w14:textId="77777777">
        <w:tblPrEx>
          <w:tblW w:w="11040" w:type="dxa"/>
          <w:tblInd w:w="-630" w:type="dxa"/>
          <w:tblLayout w:type="fixed"/>
          <w:tblLook w:val="0600"/>
        </w:tblPrEx>
        <w:tc>
          <w:tcPr>
            <w:tcW w:w="2490" w:type="dxa"/>
            <w:shd w:val="clear" w:color="auto" w:fill="auto"/>
            <w:tcMar>
              <w:top w:w="100" w:type="dxa"/>
              <w:left w:w="100" w:type="dxa"/>
              <w:bottom w:w="100" w:type="dxa"/>
              <w:right w:w="100" w:type="dxa"/>
            </w:tcMar>
          </w:tcPr>
          <w:p w:rsidR="005D6431" w14:paraId="41E73A9E" w14:textId="77777777">
            <w:pPr>
              <w:widowControl w:val="0"/>
              <w:pBdr>
                <w:top w:val="nil"/>
                <w:left w:val="nil"/>
                <w:bottom w:val="nil"/>
                <w:right w:val="nil"/>
                <w:between w:val="nil"/>
              </w:pBdr>
              <w:spacing w:line="240" w:lineRule="auto"/>
              <w:rPr>
                <w:sz w:val="20"/>
                <w:szCs w:val="20"/>
              </w:rPr>
            </w:pPr>
          </w:p>
        </w:tc>
        <w:tc>
          <w:tcPr>
            <w:tcW w:w="1860" w:type="dxa"/>
            <w:shd w:val="clear" w:color="auto" w:fill="auto"/>
            <w:tcMar>
              <w:top w:w="100" w:type="dxa"/>
              <w:left w:w="100" w:type="dxa"/>
              <w:bottom w:w="100" w:type="dxa"/>
              <w:right w:w="100" w:type="dxa"/>
            </w:tcMar>
          </w:tcPr>
          <w:p w:rsidR="005D6431" w14:paraId="5EC08C33" w14:textId="77777777">
            <w:pPr>
              <w:widowControl w:val="0"/>
              <w:pBdr>
                <w:top w:val="nil"/>
                <w:left w:val="nil"/>
                <w:bottom w:val="nil"/>
                <w:right w:val="nil"/>
                <w:between w:val="nil"/>
              </w:pBdr>
              <w:spacing w:line="240" w:lineRule="auto"/>
              <w:rPr>
                <w:sz w:val="20"/>
                <w:szCs w:val="20"/>
              </w:rPr>
            </w:pPr>
          </w:p>
        </w:tc>
        <w:tc>
          <w:tcPr>
            <w:tcW w:w="1860" w:type="dxa"/>
            <w:shd w:val="clear" w:color="auto" w:fill="auto"/>
            <w:tcMar>
              <w:top w:w="100" w:type="dxa"/>
              <w:left w:w="100" w:type="dxa"/>
              <w:bottom w:w="100" w:type="dxa"/>
              <w:right w:w="100" w:type="dxa"/>
            </w:tcMar>
          </w:tcPr>
          <w:p w:rsidR="005D6431" w14:paraId="1BCF6156" w14:textId="77777777">
            <w:pPr>
              <w:widowControl w:val="0"/>
              <w:pBdr>
                <w:top w:val="nil"/>
                <w:left w:val="nil"/>
                <w:bottom w:val="nil"/>
                <w:right w:val="nil"/>
                <w:between w:val="nil"/>
              </w:pBdr>
              <w:spacing w:line="240" w:lineRule="auto"/>
              <w:rPr>
                <w:sz w:val="20"/>
                <w:szCs w:val="20"/>
              </w:rPr>
            </w:pPr>
          </w:p>
        </w:tc>
        <w:tc>
          <w:tcPr>
            <w:tcW w:w="1860" w:type="dxa"/>
            <w:shd w:val="clear" w:color="auto" w:fill="auto"/>
            <w:tcMar>
              <w:top w:w="100" w:type="dxa"/>
              <w:left w:w="100" w:type="dxa"/>
              <w:bottom w:w="100" w:type="dxa"/>
              <w:right w:w="100" w:type="dxa"/>
            </w:tcMar>
          </w:tcPr>
          <w:p w:rsidR="005D6431" w14:paraId="7DD5EDCA" w14:textId="77777777">
            <w:pPr>
              <w:widowControl w:val="0"/>
              <w:pBdr>
                <w:top w:val="nil"/>
                <w:left w:val="nil"/>
                <w:bottom w:val="nil"/>
                <w:right w:val="nil"/>
                <w:between w:val="nil"/>
              </w:pBdr>
              <w:spacing w:line="240" w:lineRule="auto"/>
              <w:rPr>
                <w:sz w:val="20"/>
                <w:szCs w:val="20"/>
              </w:rPr>
            </w:pPr>
          </w:p>
        </w:tc>
        <w:tc>
          <w:tcPr>
            <w:tcW w:w="2970" w:type="dxa"/>
            <w:shd w:val="clear" w:color="auto" w:fill="auto"/>
            <w:tcMar>
              <w:top w:w="100" w:type="dxa"/>
              <w:left w:w="100" w:type="dxa"/>
              <w:bottom w:w="100" w:type="dxa"/>
              <w:right w:w="100" w:type="dxa"/>
            </w:tcMar>
          </w:tcPr>
          <w:p w:rsidR="005D6431" w14:paraId="13105E83" w14:textId="77777777">
            <w:pPr>
              <w:widowControl w:val="0"/>
              <w:pBdr>
                <w:top w:val="nil"/>
                <w:left w:val="nil"/>
                <w:bottom w:val="nil"/>
                <w:right w:val="nil"/>
                <w:between w:val="nil"/>
              </w:pBdr>
              <w:spacing w:line="240" w:lineRule="auto"/>
              <w:rPr>
                <w:sz w:val="20"/>
                <w:szCs w:val="20"/>
              </w:rPr>
            </w:pPr>
          </w:p>
        </w:tc>
      </w:tr>
      <w:tr w14:paraId="0425CBC8" w14:textId="77777777">
        <w:tblPrEx>
          <w:tblW w:w="11040" w:type="dxa"/>
          <w:tblInd w:w="-630" w:type="dxa"/>
          <w:tblLayout w:type="fixed"/>
          <w:tblLook w:val="0600"/>
        </w:tblPrEx>
        <w:tc>
          <w:tcPr>
            <w:tcW w:w="2490" w:type="dxa"/>
            <w:shd w:val="clear" w:color="auto" w:fill="auto"/>
            <w:tcMar>
              <w:top w:w="100" w:type="dxa"/>
              <w:left w:w="100" w:type="dxa"/>
              <w:bottom w:w="100" w:type="dxa"/>
              <w:right w:w="100" w:type="dxa"/>
            </w:tcMar>
          </w:tcPr>
          <w:p w:rsidR="005D6431" w14:paraId="752CE47F" w14:textId="77777777">
            <w:pPr>
              <w:widowControl w:val="0"/>
              <w:pBdr>
                <w:top w:val="nil"/>
                <w:left w:val="nil"/>
                <w:bottom w:val="nil"/>
                <w:right w:val="nil"/>
                <w:between w:val="nil"/>
              </w:pBdr>
              <w:spacing w:line="240" w:lineRule="auto"/>
              <w:rPr>
                <w:sz w:val="20"/>
                <w:szCs w:val="20"/>
              </w:rPr>
            </w:pPr>
          </w:p>
        </w:tc>
        <w:tc>
          <w:tcPr>
            <w:tcW w:w="1860" w:type="dxa"/>
            <w:shd w:val="clear" w:color="auto" w:fill="auto"/>
            <w:tcMar>
              <w:top w:w="100" w:type="dxa"/>
              <w:left w:w="100" w:type="dxa"/>
              <w:bottom w:w="100" w:type="dxa"/>
              <w:right w:w="100" w:type="dxa"/>
            </w:tcMar>
          </w:tcPr>
          <w:p w:rsidR="005D6431" w14:paraId="5646C842" w14:textId="77777777">
            <w:pPr>
              <w:widowControl w:val="0"/>
              <w:pBdr>
                <w:top w:val="nil"/>
                <w:left w:val="nil"/>
                <w:bottom w:val="nil"/>
                <w:right w:val="nil"/>
                <w:between w:val="nil"/>
              </w:pBdr>
              <w:spacing w:line="240" w:lineRule="auto"/>
              <w:rPr>
                <w:sz w:val="20"/>
                <w:szCs w:val="20"/>
              </w:rPr>
            </w:pPr>
          </w:p>
        </w:tc>
        <w:tc>
          <w:tcPr>
            <w:tcW w:w="1860" w:type="dxa"/>
            <w:shd w:val="clear" w:color="auto" w:fill="auto"/>
            <w:tcMar>
              <w:top w:w="100" w:type="dxa"/>
              <w:left w:w="100" w:type="dxa"/>
              <w:bottom w:w="100" w:type="dxa"/>
              <w:right w:w="100" w:type="dxa"/>
            </w:tcMar>
          </w:tcPr>
          <w:p w:rsidR="005D6431" w14:paraId="747D6A02" w14:textId="77777777">
            <w:pPr>
              <w:widowControl w:val="0"/>
              <w:pBdr>
                <w:top w:val="nil"/>
                <w:left w:val="nil"/>
                <w:bottom w:val="nil"/>
                <w:right w:val="nil"/>
                <w:between w:val="nil"/>
              </w:pBdr>
              <w:spacing w:line="240" w:lineRule="auto"/>
              <w:rPr>
                <w:sz w:val="20"/>
                <w:szCs w:val="20"/>
              </w:rPr>
            </w:pPr>
          </w:p>
        </w:tc>
        <w:tc>
          <w:tcPr>
            <w:tcW w:w="1860" w:type="dxa"/>
            <w:shd w:val="clear" w:color="auto" w:fill="auto"/>
            <w:tcMar>
              <w:top w:w="100" w:type="dxa"/>
              <w:left w:w="100" w:type="dxa"/>
              <w:bottom w:w="100" w:type="dxa"/>
              <w:right w:w="100" w:type="dxa"/>
            </w:tcMar>
          </w:tcPr>
          <w:p w:rsidR="005D6431" w14:paraId="0A58CD5C" w14:textId="77777777">
            <w:pPr>
              <w:widowControl w:val="0"/>
              <w:pBdr>
                <w:top w:val="nil"/>
                <w:left w:val="nil"/>
                <w:bottom w:val="nil"/>
                <w:right w:val="nil"/>
                <w:between w:val="nil"/>
              </w:pBdr>
              <w:spacing w:line="240" w:lineRule="auto"/>
              <w:rPr>
                <w:sz w:val="20"/>
                <w:szCs w:val="20"/>
              </w:rPr>
            </w:pPr>
          </w:p>
        </w:tc>
        <w:tc>
          <w:tcPr>
            <w:tcW w:w="2970" w:type="dxa"/>
            <w:shd w:val="clear" w:color="auto" w:fill="auto"/>
            <w:tcMar>
              <w:top w:w="100" w:type="dxa"/>
              <w:left w:w="100" w:type="dxa"/>
              <w:bottom w:w="100" w:type="dxa"/>
              <w:right w:w="100" w:type="dxa"/>
            </w:tcMar>
          </w:tcPr>
          <w:p w:rsidR="005D6431" w14:paraId="0BCAF501" w14:textId="77777777">
            <w:pPr>
              <w:widowControl w:val="0"/>
              <w:pBdr>
                <w:top w:val="nil"/>
                <w:left w:val="nil"/>
                <w:bottom w:val="nil"/>
                <w:right w:val="nil"/>
                <w:between w:val="nil"/>
              </w:pBdr>
              <w:spacing w:line="240" w:lineRule="auto"/>
              <w:rPr>
                <w:sz w:val="20"/>
                <w:szCs w:val="20"/>
              </w:rPr>
            </w:pPr>
          </w:p>
        </w:tc>
      </w:tr>
      <w:tr w14:paraId="2602A23D" w14:textId="77777777">
        <w:tblPrEx>
          <w:tblW w:w="11040" w:type="dxa"/>
          <w:tblInd w:w="-630" w:type="dxa"/>
          <w:tblLayout w:type="fixed"/>
          <w:tblLook w:val="0600"/>
        </w:tblPrEx>
        <w:tc>
          <w:tcPr>
            <w:tcW w:w="2490" w:type="dxa"/>
            <w:shd w:val="clear" w:color="auto" w:fill="auto"/>
            <w:tcMar>
              <w:top w:w="100" w:type="dxa"/>
              <w:left w:w="100" w:type="dxa"/>
              <w:bottom w:w="100" w:type="dxa"/>
              <w:right w:w="100" w:type="dxa"/>
            </w:tcMar>
          </w:tcPr>
          <w:p w:rsidR="005D6431" w14:paraId="390775C6" w14:textId="77777777">
            <w:pPr>
              <w:widowControl w:val="0"/>
              <w:pBdr>
                <w:top w:val="nil"/>
                <w:left w:val="nil"/>
                <w:bottom w:val="nil"/>
                <w:right w:val="nil"/>
                <w:between w:val="nil"/>
              </w:pBdr>
              <w:spacing w:line="240" w:lineRule="auto"/>
              <w:rPr>
                <w:sz w:val="20"/>
                <w:szCs w:val="20"/>
              </w:rPr>
            </w:pPr>
          </w:p>
        </w:tc>
        <w:tc>
          <w:tcPr>
            <w:tcW w:w="1860" w:type="dxa"/>
            <w:shd w:val="clear" w:color="auto" w:fill="auto"/>
            <w:tcMar>
              <w:top w:w="100" w:type="dxa"/>
              <w:left w:w="100" w:type="dxa"/>
              <w:bottom w:w="100" w:type="dxa"/>
              <w:right w:w="100" w:type="dxa"/>
            </w:tcMar>
          </w:tcPr>
          <w:p w:rsidR="005D6431" w14:paraId="6E3DF6A8" w14:textId="77777777">
            <w:pPr>
              <w:widowControl w:val="0"/>
              <w:pBdr>
                <w:top w:val="nil"/>
                <w:left w:val="nil"/>
                <w:bottom w:val="nil"/>
                <w:right w:val="nil"/>
                <w:between w:val="nil"/>
              </w:pBdr>
              <w:spacing w:line="240" w:lineRule="auto"/>
              <w:rPr>
                <w:sz w:val="20"/>
                <w:szCs w:val="20"/>
              </w:rPr>
            </w:pPr>
          </w:p>
        </w:tc>
        <w:tc>
          <w:tcPr>
            <w:tcW w:w="1860" w:type="dxa"/>
            <w:shd w:val="clear" w:color="auto" w:fill="auto"/>
            <w:tcMar>
              <w:top w:w="100" w:type="dxa"/>
              <w:left w:w="100" w:type="dxa"/>
              <w:bottom w:w="100" w:type="dxa"/>
              <w:right w:w="100" w:type="dxa"/>
            </w:tcMar>
          </w:tcPr>
          <w:p w:rsidR="005D6431" w14:paraId="5A2C810B" w14:textId="77777777">
            <w:pPr>
              <w:widowControl w:val="0"/>
              <w:pBdr>
                <w:top w:val="nil"/>
                <w:left w:val="nil"/>
                <w:bottom w:val="nil"/>
                <w:right w:val="nil"/>
                <w:between w:val="nil"/>
              </w:pBdr>
              <w:spacing w:line="240" w:lineRule="auto"/>
              <w:rPr>
                <w:sz w:val="20"/>
                <w:szCs w:val="20"/>
              </w:rPr>
            </w:pPr>
          </w:p>
        </w:tc>
        <w:tc>
          <w:tcPr>
            <w:tcW w:w="1860" w:type="dxa"/>
            <w:shd w:val="clear" w:color="auto" w:fill="auto"/>
            <w:tcMar>
              <w:top w:w="100" w:type="dxa"/>
              <w:left w:w="100" w:type="dxa"/>
              <w:bottom w:w="100" w:type="dxa"/>
              <w:right w:w="100" w:type="dxa"/>
            </w:tcMar>
          </w:tcPr>
          <w:p w:rsidR="005D6431" w14:paraId="785F6021" w14:textId="77777777">
            <w:pPr>
              <w:widowControl w:val="0"/>
              <w:pBdr>
                <w:top w:val="nil"/>
                <w:left w:val="nil"/>
                <w:bottom w:val="nil"/>
                <w:right w:val="nil"/>
                <w:between w:val="nil"/>
              </w:pBdr>
              <w:spacing w:line="240" w:lineRule="auto"/>
              <w:rPr>
                <w:sz w:val="20"/>
                <w:szCs w:val="20"/>
              </w:rPr>
            </w:pPr>
          </w:p>
        </w:tc>
        <w:tc>
          <w:tcPr>
            <w:tcW w:w="2970" w:type="dxa"/>
            <w:shd w:val="clear" w:color="auto" w:fill="auto"/>
            <w:tcMar>
              <w:top w:w="100" w:type="dxa"/>
              <w:left w:w="100" w:type="dxa"/>
              <w:bottom w:w="100" w:type="dxa"/>
              <w:right w:w="100" w:type="dxa"/>
            </w:tcMar>
          </w:tcPr>
          <w:p w:rsidR="005D6431" w14:paraId="7DF7C9B8" w14:textId="77777777">
            <w:pPr>
              <w:widowControl w:val="0"/>
              <w:pBdr>
                <w:top w:val="nil"/>
                <w:left w:val="nil"/>
                <w:bottom w:val="nil"/>
                <w:right w:val="nil"/>
                <w:between w:val="nil"/>
              </w:pBdr>
              <w:spacing w:line="240" w:lineRule="auto"/>
              <w:rPr>
                <w:sz w:val="20"/>
                <w:szCs w:val="20"/>
              </w:rPr>
            </w:pPr>
          </w:p>
        </w:tc>
      </w:tr>
    </w:tbl>
    <w:p w:rsidR="005D6431" w14:paraId="4E16C484" w14:textId="77777777">
      <w:pPr>
        <w:ind w:left="-630" w:right="-990"/>
        <w:rPr>
          <w:sz w:val="20"/>
          <w:szCs w:val="20"/>
        </w:rPr>
      </w:pPr>
      <w:r>
        <w:rPr>
          <w:sz w:val="20"/>
          <w:szCs w:val="20"/>
        </w:rPr>
        <w:t>*</w:t>
      </w:r>
      <w:r>
        <w:rPr>
          <w:sz w:val="17"/>
          <w:szCs w:val="17"/>
          <w:highlight w:val="white"/>
        </w:rPr>
        <w:t xml:space="preserve">See </w:t>
      </w:r>
      <w:hyperlink w:anchor="_uew7gbczsqaj">
        <w:r>
          <w:rPr>
            <w:color w:val="1155CC"/>
            <w:sz w:val="17"/>
            <w:szCs w:val="17"/>
            <w:highlight w:val="white"/>
            <w:u w:val="single"/>
          </w:rPr>
          <w:t>Appendix A</w:t>
        </w:r>
      </w:hyperlink>
      <w:r>
        <w:rPr>
          <w:sz w:val="17"/>
          <w:szCs w:val="17"/>
          <w:highlight w:val="white"/>
        </w:rPr>
        <w:t xml:space="preserve"> for a listing of frequently used archivable formats at NCEI</w:t>
      </w:r>
      <w:r>
        <w:rPr>
          <w:sz w:val="17"/>
          <w:szCs w:val="17"/>
          <w:highlight w:val="white"/>
        </w:rPr>
        <w:br/>
      </w:r>
    </w:p>
    <w:p w:rsidR="005D6431" w14:paraId="5A7DEB4C" w14:textId="77777777">
      <w:pPr>
        <w:rPr>
          <w:sz w:val="20"/>
          <w:szCs w:val="20"/>
        </w:rPr>
      </w:pPr>
      <w:r>
        <w:rPr>
          <w:sz w:val="20"/>
          <w:szCs w:val="20"/>
        </w:rPr>
        <w:t>2.2.1 If any elements of the table above need further descriptions, provide it here:</w:t>
      </w:r>
    </w:p>
    <w:p w:rsidR="005D6431" w14:paraId="2BB8994E" w14:textId="77777777">
      <w:pPr>
        <w:rPr>
          <w:sz w:val="20"/>
          <w:szCs w:val="20"/>
        </w:rPr>
      </w:pPr>
    </w:p>
    <w:p w:rsidR="005D6431" w14:paraId="63DDFEE1" w14:textId="77777777">
      <w:pPr>
        <w:pStyle w:val="Heading4"/>
        <w:ind w:left="-720"/>
        <w:rPr>
          <w:sz w:val="22"/>
          <w:szCs w:val="22"/>
        </w:rPr>
      </w:pPr>
      <w:bookmarkStart w:id="2" w:name="_a7hx3oqsbl2r" w:colFirst="0" w:colLast="0"/>
      <w:bookmarkEnd w:id="2"/>
      <w:r>
        <w:rPr>
          <w:sz w:val="22"/>
          <w:szCs w:val="22"/>
        </w:rPr>
        <w:t>Section 3: Data Availability to the Public and Restrictions</w:t>
      </w:r>
    </w:p>
    <w:p w:rsidR="005D6431" w14:paraId="5687EAC2" w14:textId="77777777">
      <w:pPr>
        <w:rPr>
          <w:sz w:val="20"/>
          <w:szCs w:val="20"/>
        </w:rPr>
      </w:pPr>
      <w:r>
        <w:rPr>
          <w:sz w:val="20"/>
          <w:szCs w:val="20"/>
        </w:rPr>
        <w:t>3.1 When and how frequently will the data be made available?</w:t>
      </w:r>
    </w:p>
    <w:p w:rsidR="005D6431" w14:paraId="3745F955" w14:textId="77777777">
      <w:pPr>
        <w:ind w:left="720"/>
        <w:rPr>
          <w:sz w:val="20"/>
          <w:szCs w:val="20"/>
        </w:rPr>
      </w:pPr>
    </w:p>
    <w:p w:rsidR="005D6431" w14:paraId="127AF817" w14:textId="77777777">
      <w:pPr>
        <w:rPr>
          <w:sz w:val="20"/>
          <w:szCs w:val="20"/>
        </w:rPr>
      </w:pPr>
    </w:p>
    <w:p w:rsidR="005D6431" w14:paraId="128C4567" w14:textId="77777777">
      <w:pPr>
        <w:rPr>
          <w:sz w:val="20"/>
          <w:szCs w:val="20"/>
        </w:rPr>
      </w:pPr>
    </w:p>
    <w:p w:rsidR="005D6431" w14:paraId="2A4F38FE" w14:textId="77777777">
      <w:pPr>
        <w:rPr>
          <w:sz w:val="20"/>
          <w:szCs w:val="20"/>
        </w:rPr>
      </w:pPr>
      <w:r>
        <w:rPr>
          <w:sz w:val="20"/>
          <w:szCs w:val="20"/>
        </w:rPr>
        <w:t xml:space="preserve">3.2 Will any personally identifiable information, restricted, or other sensitive data be collected? </w:t>
      </w:r>
    </w:p>
    <w:p w:rsidR="005D6431" w14:paraId="3C4A2112" w14:textId="1A05AC71">
      <w:pPr>
        <w:numPr>
          <w:ilvl w:val="0"/>
          <w:numId w:val="3"/>
        </w:numPr>
        <w:rPr>
          <w:sz w:val="20"/>
          <w:szCs w:val="20"/>
        </w:rPr>
      </w:pPr>
      <w:r>
        <w:rPr>
          <w:sz w:val="20"/>
          <w:szCs w:val="20"/>
        </w:rPr>
        <w:t>No</w:t>
      </w:r>
    </w:p>
    <w:p w:rsidR="005D6431" w:rsidRPr="00BF7E23" w:rsidP="00BF7E23" w14:paraId="02E37D3E" w14:textId="77777777">
      <w:pPr>
        <w:pStyle w:val="ListParagraph"/>
        <w:numPr>
          <w:ilvl w:val="0"/>
          <w:numId w:val="7"/>
        </w:numPr>
        <w:rPr>
          <w:sz w:val="20"/>
          <w:szCs w:val="20"/>
        </w:rPr>
      </w:pPr>
      <w:r w:rsidRPr="00BF7E23">
        <w:rPr>
          <w:sz w:val="20"/>
          <w:szCs w:val="20"/>
        </w:rPr>
        <w:t>Yes</w:t>
      </w:r>
      <w:r w:rsidRPr="00BF7E23">
        <w:rPr>
          <w:sz w:val="20"/>
          <w:szCs w:val="20"/>
        </w:rPr>
        <w:br/>
        <w:t xml:space="preserve">If YES, please briefly describe the sensitive nature of the data and project protection measures throughout the development of the dataset: </w:t>
      </w:r>
    </w:p>
    <w:p w:rsidR="005D6431" w14:paraId="6C4874DC" w14:textId="77777777">
      <w:pPr>
        <w:rPr>
          <w:sz w:val="20"/>
          <w:szCs w:val="20"/>
        </w:rPr>
      </w:pPr>
    </w:p>
    <w:p w:rsidR="005D6431" w14:paraId="32B804C0" w14:textId="77777777">
      <w:pPr>
        <w:rPr>
          <w:sz w:val="20"/>
          <w:szCs w:val="20"/>
        </w:rPr>
      </w:pPr>
    </w:p>
    <w:p w:rsidR="005D6431" w14:paraId="589B08A6" w14:textId="77777777">
      <w:pPr>
        <w:rPr>
          <w:sz w:val="20"/>
          <w:szCs w:val="20"/>
        </w:rPr>
      </w:pPr>
      <w:r>
        <w:rPr>
          <w:sz w:val="20"/>
          <w:szCs w:val="20"/>
        </w:rPr>
        <w:t xml:space="preserve">3.3 Will there be any restrictions or stipulations on public access to the project data? (select all that apply) </w:t>
      </w:r>
    </w:p>
    <w:p w:rsidR="005D6431" w:rsidP="00BF7E23" w14:paraId="4EA7AC69" w14:textId="77777777">
      <w:pPr>
        <w:numPr>
          <w:ilvl w:val="0"/>
          <w:numId w:val="8"/>
        </w:numPr>
        <w:rPr>
          <w:sz w:val="20"/>
          <w:szCs w:val="20"/>
        </w:rPr>
      </w:pPr>
      <w:r>
        <w:rPr>
          <w:sz w:val="20"/>
          <w:szCs w:val="20"/>
        </w:rPr>
        <w:t>No limitation, data will be publicly available and open.</w:t>
      </w:r>
    </w:p>
    <w:p w:rsidR="005D6431" w:rsidP="00BF7E23" w14:paraId="118E0566" w14:textId="77777777">
      <w:pPr>
        <w:numPr>
          <w:ilvl w:val="0"/>
          <w:numId w:val="8"/>
        </w:numPr>
        <w:rPr>
          <w:sz w:val="20"/>
          <w:szCs w:val="20"/>
        </w:rPr>
      </w:pPr>
      <w:r>
        <w:rPr>
          <w:sz w:val="20"/>
          <w:szCs w:val="20"/>
        </w:rPr>
        <w:t>Yes, all data is restricted, no access available.</w:t>
      </w:r>
    </w:p>
    <w:p w:rsidR="005D6431" w:rsidP="00BF7E23" w14:paraId="1071D7F3" w14:textId="4FC03737">
      <w:pPr>
        <w:numPr>
          <w:ilvl w:val="0"/>
          <w:numId w:val="8"/>
        </w:numPr>
        <w:rPr>
          <w:sz w:val="20"/>
          <w:szCs w:val="20"/>
        </w:rPr>
      </w:pPr>
      <w:r>
        <w:rPr>
          <w:sz w:val="20"/>
          <w:szCs w:val="20"/>
        </w:rPr>
        <w:t>Other:</w:t>
      </w:r>
      <w:r>
        <w:rPr>
          <w:sz w:val="20"/>
          <w:szCs w:val="20"/>
        </w:rPr>
        <w:br/>
        <w:t>If Y</w:t>
      </w:r>
      <w:r w:rsidR="00BF644C">
        <w:rPr>
          <w:sz w:val="20"/>
          <w:szCs w:val="20"/>
        </w:rPr>
        <w:t>es or Other</w:t>
      </w:r>
      <w:r>
        <w:rPr>
          <w:sz w:val="20"/>
          <w:szCs w:val="20"/>
        </w:rPr>
        <w:t>, please briefly describe the restrictions or stipulations:</w:t>
      </w:r>
    </w:p>
    <w:p w:rsidR="005D6431" w14:paraId="7A763A19" w14:textId="77777777">
      <w:pPr>
        <w:rPr>
          <w:sz w:val="20"/>
          <w:szCs w:val="20"/>
        </w:rPr>
      </w:pPr>
    </w:p>
    <w:p w:rsidR="005D6431" w14:paraId="249FD376" w14:textId="77777777">
      <w:pPr>
        <w:pStyle w:val="Heading4"/>
        <w:ind w:left="-630"/>
        <w:rPr>
          <w:sz w:val="22"/>
          <w:szCs w:val="22"/>
        </w:rPr>
      </w:pPr>
      <w:bookmarkStart w:id="3" w:name="_g7djvuu3hlbf" w:colFirst="0" w:colLast="0"/>
      <w:bookmarkEnd w:id="3"/>
      <w:r>
        <w:rPr>
          <w:sz w:val="22"/>
          <w:szCs w:val="22"/>
        </w:rPr>
        <w:t>Section 4: Metadata and Documentation</w:t>
      </w:r>
    </w:p>
    <w:p w:rsidR="005D6431" w14:paraId="22800B71" w14:textId="77777777">
      <w:pPr>
        <w:rPr>
          <w:sz w:val="20"/>
          <w:szCs w:val="20"/>
        </w:rPr>
      </w:pPr>
      <w:r>
        <w:rPr>
          <w:sz w:val="20"/>
          <w:szCs w:val="20"/>
        </w:rPr>
        <w:t>4.1 Which metadata standard(s) will be used to document the data? (Check all that apply.)</w:t>
      </w:r>
    </w:p>
    <w:p w:rsidR="005D6431" w:rsidP="00BF7E23" w14:paraId="2543C305" w14:textId="77777777">
      <w:pPr>
        <w:numPr>
          <w:ilvl w:val="0"/>
          <w:numId w:val="9"/>
        </w:numPr>
        <w:rPr>
          <w:sz w:val="20"/>
          <w:szCs w:val="20"/>
        </w:rPr>
      </w:pPr>
      <w:r>
        <w:rPr>
          <w:sz w:val="20"/>
          <w:szCs w:val="20"/>
        </w:rPr>
        <w:t>International Organization for Standardization (ISO)</w:t>
      </w:r>
    </w:p>
    <w:p w:rsidR="005D6431" w:rsidP="00BF7E23" w14:paraId="339D6FE8" w14:textId="77777777">
      <w:pPr>
        <w:numPr>
          <w:ilvl w:val="0"/>
          <w:numId w:val="9"/>
        </w:numPr>
        <w:rPr>
          <w:sz w:val="20"/>
          <w:szCs w:val="20"/>
        </w:rPr>
      </w:pPr>
      <w:r>
        <w:rPr>
          <w:sz w:val="20"/>
          <w:szCs w:val="20"/>
        </w:rPr>
        <w:t>Federal Geographic Data Committee (FGDC)</w:t>
      </w:r>
    </w:p>
    <w:p w:rsidR="005D6431" w:rsidP="00BF7E23" w14:paraId="39DAEFFF" w14:textId="77777777">
      <w:pPr>
        <w:numPr>
          <w:ilvl w:val="0"/>
          <w:numId w:val="9"/>
        </w:numPr>
        <w:rPr>
          <w:sz w:val="20"/>
          <w:szCs w:val="20"/>
        </w:rPr>
      </w:pPr>
      <w:r>
        <w:rPr>
          <w:sz w:val="20"/>
          <w:szCs w:val="20"/>
        </w:rPr>
        <w:t>Other: __________________________</w:t>
      </w:r>
    </w:p>
    <w:p w:rsidR="005D6431" w14:paraId="1F35E5E0" w14:textId="77777777">
      <w:pPr>
        <w:rPr>
          <w:sz w:val="20"/>
          <w:szCs w:val="20"/>
        </w:rPr>
      </w:pPr>
    </w:p>
    <w:p w:rsidR="005D6431" w14:paraId="71C08CDA" w14:textId="77777777">
      <w:pPr>
        <w:pStyle w:val="Heading4"/>
        <w:ind w:left="-720"/>
        <w:rPr>
          <w:sz w:val="22"/>
          <w:szCs w:val="22"/>
        </w:rPr>
      </w:pPr>
      <w:bookmarkStart w:id="4" w:name="_yqhwpuoq6924" w:colFirst="0" w:colLast="0"/>
      <w:bookmarkEnd w:id="4"/>
      <w:r>
        <w:rPr>
          <w:sz w:val="22"/>
          <w:szCs w:val="22"/>
        </w:rPr>
        <w:t xml:space="preserve">Section 5: Data Quality Assurance/Quality Control Procedures </w:t>
      </w:r>
    </w:p>
    <w:p w:rsidR="005D6431" w14:paraId="02E8762B" w14:textId="77777777">
      <w:pPr>
        <w:rPr>
          <w:sz w:val="20"/>
          <w:szCs w:val="20"/>
        </w:rPr>
      </w:pPr>
      <w:r>
        <w:rPr>
          <w:sz w:val="20"/>
          <w:szCs w:val="20"/>
        </w:rPr>
        <w:t>5.1 What quality control and quality assurance procedures will be used within the project?</w:t>
      </w:r>
    </w:p>
    <w:p w:rsidR="005D6431" w14:paraId="2B0A038C" w14:textId="77777777">
      <w:pPr>
        <w:rPr>
          <w:sz w:val="20"/>
          <w:szCs w:val="20"/>
        </w:rPr>
      </w:pPr>
    </w:p>
    <w:p w:rsidR="005D6431" w14:paraId="3A36E6FB" w14:textId="77777777">
      <w:pPr>
        <w:pStyle w:val="Heading4"/>
        <w:ind w:left="-720"/>
        <w:rPr>
          <w:sz w:val="22"/>
          <w:szCs w:val="22"/>
        </w:rPr>
      </w:pPr>
      <w:bookmarkStart w:id="5" w:name="_7qonqpx5y3ig" w:colFirst="0" w:colLast="0"/>
      <w:bookmarkEnd w:id="5"/>
      <w:r>
        <w:rPr>
          <w:sz w:val="22"/>
          <w:szCs w:val="22"/>
        </w:rPr>
        <w:t>Section 6: Data Backup and Protection Measures</w:t>
      </w:r>
    </w:p>
    <w:p w:rsidR="005D6431" w:rsidP="00BF7E23" w14:paraId="50A22C9A" w14:textId="19A06096">
      <w:pPr>
        <w:rPr>
          <w:sz w:val="20"/>
          <w:szCs w:val="20"/>
        </w:rPr>
      </w:pPr>
      <w:r>
        <w:rPr>
          <w:sz w:val="20"/>
          <w:szCs w:val="20"/>
        </w:rPr>
        <w:t>6.1 How will the project data be protected from unauthorized access and accidental or malicious modification or deletion?</w:t>
      </w:r>
    </w:p>
    <w:p w:rsidR="005D6431" w14:paraId="7895EDC1" w14:textId="77777777">
      <w:pPr>
        <w:rPr>
          <w:sz w:val="20"/>
          <w:szCs w:val="20"/>
        </w:rPr>
      </w:pPr>
    </w:p>
    <w:p w:rsidR="005D6431" w14:paraId="2ACEEED7" w14:textId="77777777">
      <w:pPr>
        <w:rPr>
          <w:sz w:val="20"/>
          <w:szCs w:val="20"/>
        </w:rPr>
      </w:pPr>
    </w:p>
    <w:p w:rsidR="005D6431" w14:paraId="5FAD6CF8" w14:textId="77777777">
      <w:pPr>
        <w:rPr>
          <w:sz w:val="20"/>
          <w:szCs w:val="20"/>
        </w:rPr>
      </w:pPr>
      <w:r>
        <w:rPr>
          <w:sz w:val="20"/>
          <w:szCs w:val="20"/>
        </w:rPr>
        <w:t>6.2 What is the back-up, disaster recovery, or contingency planning used to protect the project data? (select all that apply and add system name/description) Data are backed up on:</w:t>
      </w:r>
    </w:p>
    <w:p w:rsidR="005D6431" w:rsidP="00BF7E23" w14:paraId="1B3A4F25" w14:textId="4437A2EC">
      <w:pPr>
        <w:numPr>
          <w:ilvl w:val="0"/>
          <w:numId w:val="10"/>
        </w:numPr>
        <w:rPr>
          <w:sz w:val="20"/>
          <w:szCs w:val="20"/>
        </w:rPr>
      </w:pPr>
      <w:r>
        <w:rPr>
          <w:sz w:val="20"/>
          <w:szCs w:val="20"/>
        </w:rPr>
        <w:t xml:space="preserve">Local </w:t>
      </w:r>
      <w:r w:rsidR="00777687">
        <w:rPr>
          <w:sz w:val="20"/>
          <w:szCs w:val="20"/>
        </w:rPr>
        <w:t>servers: _</w:t>
      </w:r>
      <w:r>
        <w:rPr>
          <w:sz w:val="20"/>
          <w:szCs w:val="20"/>
        </w:rPr>
        <w:t>___________</w:t>
      </w:r>
    </w:p>
    <w:p w:rsidR="005D6431" w:rsidP="00BF7E23" w14:paraId="26FB0B3F" w14:textId="5CF3F2DC">
      <w:pPr>
        <w:numPr>
          <w:ilvl w:val="0"/>
          <w:numId w:val="10"/>
        </w:numPr>
        <w:rPr>
          <w:sz w:val="20"/>
          <w:szCs w:val="20"/>
        </w:rPr>
      </w:pPr>
      <w:r>
        <w:rPr>
          <w:sz w:val="20"/>
          <w:szCs w:val="20"/>
        </w:rPr>
        <w:t>Cloud: _</w:t>
      </w:r>
      <w:r w:rsidR="00F13173">
        <w:rPr>
          <w:sz w:val="20"/>
          <w:szCs w:val="20"/>
        </w:rPr>
        <w:t>___________</w:t>
      </w:r>
    </w:p>
    <w:p w:rsidR="005D6431" w:rsidP="00BF7E23" w14:paraId="07EB2A56" w14:textId="77777777">
      <w:pPr>
        <w:numPr>
          <w:ilvl w:val="0"/>
          <w:numId w:val="10"/>
        </w:numPr>
        <w:rPr>
          <w:sz w:val="20"/>
          <w:szCs w:val="20"/>
        </w:rPr>
      </w:pPr>
      <w:r>
        <w:rPr>
          <w:sz w:val="20"/>
          <w:szCs w:val="20"/>
        </w:rPr>
        <w:t>External hard drives</w:t>
      </w:r>
    </w:p>
    <w:p w:rsidR="005D6431" w:rsidP="00BF7E23" w14:paraId="63C3CC6E" w14:textId="001367C3">
      <w:pPr>
        <w:numPr>
          <w:ilvl w:val="0"/>
          <w:numId w:val="10"/>
        </w:numPr>
        <w:rPr>
          <w:sz w:val="20"/>
          <w:szCs w:val="20"/>
        </w:rPr>
      </w:pPr>
      <w:r>
        <w:rPr>
          <w:sz w:val="20"/>
          <w:szCs w:val="20"/>
        </w:rPr>
        <w:t>Other: _</w:t>
      </w:r>
      <w:r w:rsidR="00F13173">
        <w:rPr>
          <w:sz w:val="20"/>
          <w:szCs w:val="20"/>
        </w:rPr>
        <w:t>______________</w:t>
      </w:r>
    </w:p>
    <w:p w:rsidR="005D6431" w14:paraId="698671B9" w14:textId="77777777">
      <w:pPr>
        <w:rPr>
          <w:sz w:val="20"/>
          <w:szCs w:val="20"/>
        </w:rPr>
      </w:pPr>
    </w:p>
    <w:p w:rsidR="005D6431" w14:paraId="65C5B746" w14:textId="77777777">
      <w:pPr>
        <w:pStyle w:val="Heading4"/>
        <w:ind w:left="-720"/>
        <w:rPr>
          <w:sz w:val="22"/>
          <w:szCs w:val="22"/>
        </w:rPr>
      </w:pPr>
      <w:bookmarkStart w:id="6" w:name="_rowc3i6q9bte" w:colFirst="0" w:colLast="0"/>
      <w:bookmarkEnd w:id="6"/>
      <w:r>
        <w:rPr>
          <w:sz w:val="22"/>
          <w:szCs w:val="22"/>
        </w:rPr>
        <w:t>Section 7: General Information</w:t>
      </w:r>
    </w:p>
    <w:p w:rsidR="005D6431" w14:paraId="6D14D5F0" w14:textId="77777777">
      <w:pPr>
        <w:rPr>
          <w:sz w:val="20"/>
          <w:szCs w:val="20"/>
        </w:rPr>
      </w:pPr>
      <w:r>
        <w:rPr>
          <w:sz w:val="20"/>
          <w:szCs w:val="20"/>
        </w:rPr>
        <w:t>7.1 Briefly describe how data management is accounted for in your project budget. This can include project team member time for metadata/data preparations, data hardware such as hard drives or server space, and any fees associated with data archival.</w:t>
      </w:r>
    </w:p>
    <w:p w:rsidR="005D6431" w14:paraId="53604C67" w14:textId="77777777">
      <w:pPr>
        <w:ind w:left="720"/>
        <w:rPr>
          <w:sz w:val="20"/>
          <w:szCs w:val="20"/>
        </w:rPr>
      </w:pPr>
    </w:p>
    <w:p w:rsidR="005D6431" w14:paraId="305FDAC5" w14:textId="77777777">
      <w:pPr>
        <w:rPr>
          <w:sz w:val="20"/>
          <w:szCs w:val="20"/>
        </w:rPr>
      </w:pPr>
    </w:p>
    <w:p w:rsidR="005D6431" w14:paraId="685878C0" w14:textId="77777777">
      <w:pPr>
        <w:rPr>
          <w:sz w:val="20"/>
          <w:szCs w:val="20"/>
        </w:rPr>
      </w:pPr>
      <w:r>
        <w:rPr>
          <w:sz w:val="20"/>
          <w:szCs w:val="20"/>
        </w:rPr>
        <w:t xml:space="preserve">7.2 Do all sub-awardees have as a condition of their subaward the acceptance of this data sharing plan? This includes open data licenses for the data and metadata generated and budgeted time for data management and archival preparations. </w:t>
      </w:r>
    </w:p>
    <w:p w:rsidR="005D6431" w:rsidP="00BF7E23" w14:paraId="251D5F01" w14:textId="77777777">
      <w:pPr>
        <w:numPr>
          <w:ilvl w:val="0"/>
          <w:numId w:val="11"/>
        </w:numPr>
        <w:rPr>
          <w:sz w:val="20"/>
          <w:szCs w:val="20"/>
        </w:rPr>
      </w:pPr>
      <w:r>
        <w:rPr>
          <w:sz w:val="20"/>
          <w:szCs w:val="20"/>
        </w:rPr>
        <w:t>Yes, this is a condition of sub-award contracts</w:t>
      </w:r>
    </w:p>
    <w:p w:rsidR="005D6431" w:rsidP="00BF7E23" w14:paraId="72D26980" w14:textId="77777777">
      <w:pPr>
        <w:numPr>
          <w:ilvl w:val="0"/>
          <w:numId w:val="11"/>
        </w:numPr>
        <w:rPr>
          <w:sz w:val="20"/>
          <w:szCs w:val="20"/>
        </w:rPr>
      </w:pPr>
      <w:r>
        <w:rPr>
          <w:sz w:val="20"/>
          <w:szCs w:val="20"/>
        </w:rPr>
        <w:t>No, explanation ______________________</w:t>
      </w:r>
    </w:p>
    <w:p w:rsidR="005D6431" w14:paraId="0D263FED" w14:textId="77777777">
      <w:pPr>
        <w:rPr>
          <w:sz w:val="20"/>
          <w:szCs w:val="20"/>
        </w:rPr>
      </w:pPr>
    </w:p>
    <w:p w:rsidR="005D6431" w14:paraId="0F6F1448" w14:textId="77777777">
      <w:pPr>
        <w:rPr>
          <w:sz w:val="20"/>
          <w:szCs w:val="20"/>
        </w:rPr>
      </w:pPr>
    </w:p>
    <w:p w:rsidR="005D6431" w14:paraId="3369D5F0" w14:textId="77777777">
      <w:pPr>
        <w:widowControl w:val="0"/>
        <w:spacing w:line="240" w:lineRule="auto"/>
        <w:rPr>
          <w:sz w:val="20"/>
          <w:szCs w:val="20"/>
        </w:rPr>
      </w:pPr>
      <w:r>
        <w:rPr>
          <w:sz w:val="20"/>
          <w:szCs w:val="20"/>
        </w:rPr>
        <w:t>7.3 Describe any prior experience in making data publicly accessible:</w:t>
      </w:r>
    </w:p>
    <w:p w:rsidR="005D6431" w14:paraId="7E413279" w14:textId="77777777">
      <w:pPr>
        <w:widowControl w:val="0"/>
        <w:spacing w:line="240" w:lineRule="auto"/>
        <w:rPr>
          <w:sz w:val="20"/>
          <w:szCs w:val="20"/>
        </w:rPr>
      </w:pPr>
    </w:p>
    <w:p w:rsidR="005D6431" w14:paraId="263A4771" w14:textId="77777777">
      <w:pPr>
        <w:rPr>
          <w:sz w:val="20"/>
          <w:szCs w:val="20"/>
        </w:rPr>
      </w:pPr>
    </w:p>
    <w:p w:rsidR="005D6431" w14:paraId="24D37AB7" w14:textId="77777777">
      <w:pPr>
        <w:rPr>
          <w:sz w:val="20"/>
          <w:szCs w:val="20"/>
        </w:rPr>
      </w:pPr>
      <w:r>
        <w:rPr>
          <w:sz w:val="20"/>
          <w:szCs w:val="20"/>
        </w:rPr>
        <w:t xml:space="preserve">7.4 Will any technical publications or journal articles be published as part of this project? </w:t>
      </w:r>
      <w:r>
        <w:rPr>
          <w:sz w:val="20"/>
          <w:szCs w:val="20"/>
        </w:rPr>
        <w:br/>
        <w:t xml:space="preserve">If YES, describe which anticipated datasets will also have related publications. </w:t>
      </w:r>
    </w:p>
    <w:p w:rsidR="005D6431" w14:paraId="60178EF4" w14:textId="77777777">
      <w:pPr>
        <w:rPr>
          <w:sz w:val="20"/>
          <w:szCs w:val="20"/>
        </w:rPr>
      </w:pPr>
    </w:p>
    <w:p w:rsidR="005D6431" w14:paraId="02D403A1" w14:textId="77777777">
      <w:pPr>
        <w:rPr>
          <w:sz w:val="20"/>
          <w:szCs w:val="20"/>
        </w:rPr>
      </w:pPr>
    </w:p>
    <w:p w:rsidR="005D6431" w14:paraId="1A9BFAED" w14:textId="77777777">
      <w:pPr>
        <w:rPr>
          <w:sz w:val="20"/>
          <w:szCs w:val="20"/>
        </w:rPr>
      </w:pPr>
      <w:r>
        <w:rPr>
          <w:sz w:val="20"/>
          <w:szCs w:val="20"/>
        </w:rPr>
        <w:t>7.5 Provide any additional information necessary for the management of this project’s data:</w:t>
      </w:r>
      <w:r>
        <w:rPr>
          <w:sz w:val="20"/>
          <w:szCs w:val="20"/>
        </w:rPr>
        <w:br/>
      </w:r>
    </w:p>
    <w:p w:rsidR="005D6431" w14:paraId="6CF61BDB" w14:textId="77777777">
      <w:pPr>
        <w:jc w:val="center"/>
        <w:rPr>
          <w:color w:val="0B5394"/>
        </w:rPr>
      </w:pPr>
      <w:r>
        <w:br w:type="page"/>
      </w:r>
    </w:p>
    <w:p w:rsidR="005D6431" w14:paraId="2A4FFDFD" w14:textId="77777777">
      <w:pPr>
        <w:jc w:val="center"/>
        <w:rPr>
          <w:b/>
          <w:color w:val="0B5394"/>
          <w:u w:val="single"/>
        </w:rPr>
      </w:pPr>
      <w:bookmarkStart w:id="7" w:name="_GoBack"/>
      <w:bookmarkEnd w:id="7"/>
      <w:r>
        <w:rPr>
          <w:b/>
          <w:color w:val="0B5394"/>
        </w:rPr>
        <w:t xml:space="preserve">Data Management and Sharing Plan </w:t>
      </w:r>
      <w:r>
        <w:rPr>
          <w:b/>
          <w:color w:val="0B5394"/>
          <w:u w:val="single"/>
        </w:rPr>
        <w:t>Guidance</w:t>
      </w:r>
    </w:p>
    <w:p w:rsidR="005D6431" w14:paraId="59CF9140" w14:textId="77777777">
      <w:pPr>
        <w:pStyle w:val="Heading3"/>
        <w:jc w:val="center"/>
      </w:pPr>
      <w:bookmarkStart w:id="8" w:name="_ujhmoqymacph" w:colFirst="0" w:colLast="0"/>
      <w:bookmarkEnd w:id="8"/>
      <w:r>
        <w:rPr>
          <w:b/>
          <w:color w:val="0B5394"/>
        </w:rPr>
        <w:t>NOAA RESTORE Science Program</w:t>
      </w:r>
    </w:p>
    <w:p w:rsidR="005D6431" w14:paraId="0B0422E3" w14:textId="77777777"/>
    <w:p w:rsidR="005D6431" w14:paraId="38BB21C0" w14:textId="77777777">
      <w:pPr>
        <w:rPr>
          <w:i/>
          <w:sz w:val="20"/>
          <w:szCs w:val="20"/>
        </w:rPr>
      </w:pPr>
      <w:r>
        <w:rPr>
          <w:i/>
          <w:sz w:val="20"/>
          <w:szCs w:val="20"/>
        </w:rPr>
        <w:t xml:space="preserve">NOAA as well as NOAA grantees are required to comply with a number of data management requirements as outlined in </w:t>
      </w:r>
      <w:hyperlink r:id="rId4">
        <w:r>
          <w:rPr>
            <w:i/>
            <w:color w:val="1155CC"/>
            <w:sz w:val="20"/>
            <w:szCs w:val="20"/>
            <w:u w:val="single"/>
          </w:rPr>
          <w:t>NOAA Administrative Order 212-15B</w:t>
        </w:r>
      </w:hyperlink>
      <w:r>
        <w:rPr>
          <w:i/>
          <w:sz w:val="20"/>
          <w:szCs w:val="20"/>
        </w:rPr>
        <w:t xml:space="preserve"> as well as the </w:t>
      </w:r>
      <w:hyperlink r:id="rId5">
        <w:r>
          <w:rPr>
            <w:i/>
            <w:color w:val="1155CC"/>
            <w:sz w:val="20"/>
            <w:szCs w:val="20"/>
            <w:u w:val="single"/>
          </w:rPr>
          <w:t>NOAA Data Sharing Directive for NOAA Grants</w:t>
        </w:r>
      </w:hyperlink>
      <w:r>
        <w:rPr>
          <w:i/>
          <w:sz w:val="20"/>
          <w:szCs w:val="20"/>
        </w:rPr>
        <w:t xml:space="preserve">. The purpose of this data management and sharing plan is to satisfy the requirement for a data management plan, as well as have grantees provide their plan for how they will meet other requirements such as: public access to data, metadata creation, archiving of data, and citation for publications. Here we provide guidance and examples for populating the form above, which is encouraged for use for all applicants to NOAA RESTORE Science Program funding opportunities. Once the form is completed, delete this guidance and appendix, convert your Data Management Plan (likely in Word format) to a PDF, and upload it with your other documents when submitting your full proposal to grants.gov. Please contact </w:t>
      </w:r>
      <w:hyperlink r:id="rId6">
        <w:r>
          <w:rPr>
            <w:i/>
            <w:color w:val="1155CC"/>
            <w:sz w:val="20"/>
            <w:szCs w:val="20"/>
            <w:u w:val="single"/>
          </w:rPr>
          <w:t>nccos.data@noaa.gov</w:t>
        </w:r>
      </w:hyperlink>
      <w:r>
        <w:rPr>
          <w:i/>
          <w:sz w:val="20"/>
          <w:szCs w:val="20"/>
        </w:rPr>
        <w:t xml:space="preserve"> with any questions.</w:t>
      </w:r>
    </w:p>
    <w:p w:rsidR="005D6431" w14:paraId="7E0AA0EE" w14:textId="77777777">
      <w:pPr>
        <w:rPr>
          <w:i/>
          <w:sz w:val="20"/>
          <w:szCs w:val="20"/>
        </w:rPr>
      </w:pPr>
    </w:p>
    <w:p w:rsidR="005D6431" w14:paraId="78CCD706" w14:textId="77777777">
      <w:pPr>
        <w:pStyle w:val="Heading4"/>
        <w:ind w:left="-720"/>
        <w:rPr>
          <w:strike/>
          <w:sz w:val="22"/>
          <w:szCs w:val="22"/>
        </w:rPr>
      </w:pPr>
      <w:bookmarkStart w:id="9" w:name="_567o0dxydnk" w:colFirst="0" w:colLast="0"/>
      <w:bookmarkEnd w:id="9"/>
      <w:r>
        <w:rPr>
          <w:sz w:val="22"/>
          <w:szCs w:val="22"/>
        </w:rPr>
        <w:t>Section 2: Anticipated Datasets and Data Access</w:t>
      </w:r>
    </w:p>
    <w:p w:rsidR="005D6431" w14:paraId="6561F817" w14:textId="6E40AF43">
      <w:pPr>
        <w:rPr>
          <w:sz w:val="20"/>
          <w:szCs w:val="20"/>
        </w:rPr>
      </w:pPr>
      <w:r>
        <w:rPr>
          <w:sz w:val="20"/>
          <w:szCs w:val="20"/>
        </w:rPr>
        <w:t xml:space="preserve">2.1 </w:t>
      </w:r>
      <w:r>
        <w:rPr>
          <w:b/>
          <w:sz w:val="20"/>
          <w:szCs w:val="20"/>
        </w:rPr>
        <w:t xml:space="preserve">What collection and/or generation methods will be used to develop the project data? </w:t>
      </w:r>
      <w:r>
        <w:rPr>
          <w:b/>
          <w:sz w:val="20"/>
          <w:szCs w:val="20"/>
        </w:rPr>
        <w:br/>
      </w:r>
      <w:r>
        <w:rPr>
          <w:sz w:val="20"/>
          <w:szCs w:val="20"/>
        </w:rPr>
        <w:t>(</w:t>
      </w:r>
      <w:r w:rsidR="00BF644C">
        <w:rPr>
          <w:i/>
          <w:sz w:val="20"/>
          <w:szCs w:val="20"/>
        </w:rPr>
        <w:t>Brief</w:t>
      </w:r>
      <w:r>
        <w:rPr>
          <w:i/>
          <w:sz w:val="20"/>
          <w:szCs w:val="20"/>
        </w:rPr>
        <w:t xml:space="preserve"> description of main data collection instruments including hardware and software if applicable</w:t>
      </w:r>
      <w:r>
        <w:rPr>
          <w:sz w:val="20"/>
          <w:szCs w:val="20"/>
        </w:rPr>
        <w:t xml:space="preserve">) </w:t>
      </w:r>
      <w:r>
        <w:rPr>
          <w:sz w:val="20"/>
          <w:szCs w:val="20"/>
        </w:rPr>
        <w:br/>
        <w:t>Example: Georeferenced still images and videos of bird nesting sites will be collected by drones outfitted GPS units and Nikon cameras. OR Ship data; MOCNESS (10 m2 Multiple Opening/Closing Net and Environmental Sensing System [“MOC10”]) data; Biological data (fish counts, lengths, weights, etc.); CTD data</w:t>
      </w:r>
    </w:p>
    <w:p w:rsidR="005D6431" w14:paraId="7A776E62" w14:textId="77777777">
      <w:pPr>
        <w:rPr>
          <w:sz w:val="20"/>
          <w:szCs w:val="20"/>
        </w:rPr>
      </w:pPr>
    </w:p>
    <w:p w:rsidR="005D6431" w14:paraId="52D2923F" w14:textId="77777777">
      <w:pPr>
        <w:rPr>
          <w:sz w:val="20"/>
          <w:szCs w:val="20"/>
        </w:rPr>
      </w:pPr>
    </w:p>
    <w:p w:rsidR="005D6431" w14:paraId="73416369" w14:textId="77777777">
      <w:pPr>
        <w:rPr>
          <w:b/>
          <w:sz w:val="20"/>
          <w:szCs w:val="20"/>
        </w:rPr>
      </w:pPr>
      <w:r>
        <w:rPr>
          <w:sz w:val="20"/>
          <w:szCs w:val="20"/>
        </w:rPr>
        <w:t xml:space="preserve">2.2 </w:t>
      </w:r>
      <w:r>
        <w:rPr>
          <w:b/>
          <w:sz w:val="20"/>
          <w:szCs w:val="20"/>
        </w:rPr>
        <w:t xml:space="preserve">Table of anticipated datasets. (Add additional rows as necessary.) </w:t>
      </w:r>
    </w:p>
    <w:p w:rsidR="005D6431" w14:paraId="2E8F9BE5" w14:textId="77777777">
      <w:pPr>
        <w:rPr>
          <w:sz w:val="20"/>
          <w:szCs w:val="20"/>
        </w:rPr>
      </w:pPr>
    </w:p>
    <w:tbl>
      <w:tblPr>
        <w:tblStyle w:val="a0"/>
        <w:tblW w:w="1104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90"/>
        <w:gridCol w:w="1860"/>
        <w:gridCol w:w="1860"/>
        <w:gridCol w:w="1860"/>
        <w:gridCol w:w="2970"/>
      </w:tblGrid>
      <w:tr w14:paraId="21916E16" w14:textId="77777777">
        <w:tblPrEx>
          <w:tblW w:w="1104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490" w:type="dxa"/>
            <w:tcBorders>
              <w:bottom w:val="single" w:sz="18" w:space="0" w:color="000000"/>
            </w:tcBorders>
            <w:shd w:val="clear" w:color="auto" w:fill="EFEFEF"/>
            <w:tcMar>
              <w:top w:w="100" w:type="dxa"/>
              <w:left w:w="100" w:type="dxa"/>
              <w:bottom w:w="100" w:type="dxa"/>
              <w:right w:w="100" w:type="dxa"/>
            </w:tcMar>
          </w:tcPr>
          <w:p w:rsidR="005D6431" w14:paraId="565C77A2" w14:textId="77777777">
            <w:pPr>
              <w:widowControl w:val="0"/>
              <w:spacing w:line="240" w:lineRule="auto"/>
              <w:jc w:val="center"/>
              <w:rPr>
                <w:b/>
                <w:sz w:val="20"/>
                <w:szCs w:val="20"/>
              </w:rPr>
            </w:pPr>
            <w:r>
              <w:rPr>
                <w:b/>
                <w:sz w:val="20"/>
                <w:szCs w:val="20"/>
              </w:rPr>
              <w:t>Anticipated Dataset Type</w:t>
            </w:r>
          </w:p>
        </w:tc>
        <w:tc>
          <w:tcPr>
            <w:tcW w:w="1860" w:type="dxa"/>
            <w:tcBorders>
              <w:bottom w:val="single" w:sz="18" w:space="0" w:color="000000"/>
            </w:tcBorders>
            <w:shd w:val="clear" w:color="auto" w:fill="EFEFEF"/>
            <w:tcMar>
              <w:top w:w="100" w:type="dxa"/>
              <w:left w:w="100" w:type="dxa"/>
              <w:bottom w:w="100" w:type="dxa"/>
              <w:right w:w="100" w:type="dxa"/>
            </w:tcMar>
          </w:tcPr>
          <w:p w:rsidR="005D6431" w14:paraId="34665AB8" w14:textId="77777777">
            <w:pPr>
              <w:widowControl w:val="0"/>
              <w:spacing w:line="240" w:lineRule="auto"/>
              <w:jc w:val="center"/>
              <w:rPr>
                <w:b/>
                <w:sz w:val="20"/>
                <w:szCs w:val="20"/>
              </w:rPr>
            </w:pPr>
            <w:r>
              <w:rPr>
                <w:b/>
                <w:sz w:val="20"/>
                <w:szCs w:val="20"/>
              </w:rPr>
              <w:t>Related Project Milestone(s) Numbers</w:t>
            </w:r>
          </w:p>
        </w:tc>
        <w:tc>
          <w:tcPr>
            <w:tcW w:w="1860" w:type="dxa"/>
            <w:tcBorders>
              <w:bottom w:val="single" w:sz="18" w:space="0" w:color="000000"/>
            </w:tcBorders>
            <w:shd w:val="clear" w:color="auto" w:fill="EFEFEF"/>
            <w:tcMar>
              <w:top w:w="100" w:type="dxa"/>
              <w:left w:w="100" w:type="dxa"/>
              <w:bottom w:w="100" w:type="dxa"/>
              <w:right w:w="100" w:type="dxa"/>
            </w:tcMar>
          </w:tcPr>
          <w:p w:rsidR="005D6431" w14:paraId="55B308A7" w14:textId="77777777">
            <w:pPr>
              <w:widowControl w:val="0"/>
              <w:spacing w:line="240" w:lineRule="auto"/>
              <w:jc w:val="center"/>
              <w:rPr>
                <w:b/>
                <w:sz w:val="20"/>
                <w:szCs w:val="20"/>
              </w:rPr>
            </w:pPr>
            <w:r>
              <w:rPr>
                <w:b/>
                <w:sz w:val="20"/>
                <w:szCs w:val="20"/>
              </w:rPr>
              <w:t>File Formats</w:t>
            </w:r>
          </w:p>
          <w:p w:rsidR="005D6431" w14:paraId="505FD744" w14:textId="77777777">
            <w:pPr>
              <w:widowControl w:val="0"/>
              <w:spacing w:line="240" w:lineRule="auto"/>
              <w:jc w:val="center"/>
              <w:rPr>
                <w:b/>
                <w:sz w:val="20"/>
                <w:szCs w:val="20"/>
              </w:rPr>
            </w:pPr>
          </w:p>
        </w:tc>
        <w:tc>
          <w:tcPr>
            <w:tcW w:w="1860" w:type="dxa"/>
            <w:tcBorders>
              <w:bottom w:val="single" w:sz="18" w:space="0" w:color="000000"/>
            </w:tcBorders>
            <w:shd w:val="clear" w:color="auto" w:fill="EFEFEF"/>
            <w:tcMar>
              <w:top w:w="100" w:type="dxa"/>
              <w:left w:w="100" w:type="dxa"/>
              <w:bottom w:w="100" w:type="dxa"/>
              <w:right w:w="100" w:type="dxa"/>
            </w:tcMar>
          </w:tcPr>
          <w:p w:rsidR="005D6431" w14:paraId="07D23B6D" w14:textId="77777777">
            <w:pPr>
              <w:widowControl w:val="0"/>
              <w:spacing w:line="240" w:lineRule="auto"/>
              <w:jc w:val="center"/>
              <w:rPr>
                <w:b/>
                <w:sz w:val="20"/>
                <w:szCs w:val="20"/>
              </w:rPr>
            </w:pPr>
            <w:r>
              <w:rPr>
                <w:b/>
                <w:sz w:val="20"/>
                <w:szCs w:val="20"/>
              </w:rPr>
              <w:t>Data Volume</w:t>
            </w:r>
          </w:p>
        </w:tc>
        <w:tc>
          <w:tcPr>
            <w:tcW w:w="2970" w:type="dxa"/>
            <w:tcBorders>
              <w:bottom w:val="single" w:sz="18" w:space="0" w:color="000000"/>
            </w:tcBorders>
            <w:shd w:val="clear" w:color="auto" w:fill="EFEFEF"/>
            <w:tcMar>
              <w:top w:w="100" w:type="dxa"/>
              <w:left w:w="100" w:type="dxa"/>
              <w:bottom w:w="100" w:type="dxa"/>
              <w:right w:w="100" w:type="dxa"/>
            </w:tcMar>
          </w:tcPr>
          <w:p w:rsidR="005D6431" w14:paraId="273E7168" w14:textId="77777777">
            <w:pPr>
              <w:widowControl w:val="0"/>
              <w:spacing w:line="240" w:lineRule="auto"/>
              <w:jc w:val="center"/>
              <w:rPr>
                <w:b/>
                <w:sz w:val="20"/>
                <w:szCs w:val="20"/>
              </w:rPr>
            </w:pPr>
            <w:r>
              <w:rPr>
                <w:b/>
                <w:sz w:val="20"/>
                <w:szCs w:val="20"/>
              </w:rPr>
              <w:t xml:space="preserve">Final data access </w:t>
            </w:r>
            <w:r>
              <w:rPr>
                <w:b/>
                <w:sz w:val="20"/>
                <w:szCs w:val="20"/>
              </w:rPr>
              <w:t>and  long</w:t>
            </w:r>
            <w:r>
              <w:rPr>
                <w:b/>
                <w:sz w:val="20"/>
                <w:szCs w:val="20"/>
              </w:rPr>
              <w:t>-term archival location(s)</w:t>
            </w:r>
          </w:p>
        </w:tc>
      </w:tr>
      <w:tr w14:paraId="552AC5CF" w14:textId="77777777">
        <w:tblPrEx>
          <w:tblW w:w="11040" w:type="dxa"/>
          <w:tblInd w:w="-630" w:type="dxa"/>
          <w:tblLayout w:type="fixed"/>
          <w:tblLook w:val="0600"/>
        </w:tblPrEx>
        <w:tc>
          <w:tcPr>
            <w:tcW w:w="2490" w:type="dxa"/>
            <w:tcBorders>
              <w:top w:val="single" w:sz="18" w:space="0" w:color="000000"/>
            </w:tcBorders>
            <w:shd w:val="clear" w:color="auto" w:fill="auto"/>
            <w:tcMar>
              <w:top w:w="100" w:type="dxa"/>
              <w:left w:w="100" w:type="dxa"/>
              <w:bottom w:w="100" w:type="dxa"/>
              <w:right w:w="100" w:type="dxa"/>
            </w:tcMar>
          </w:tcPr>
          <w:p w:rsidR="005D6431" w14:paraId="63390A85" w14:textId="77777777">
            <w:pPr>
              <w:widowControl w:val="0"/>
              <w:spacing w:line="240" w:lineRule="auto"/>
              <w:rPr>
                <w:sz w:val="20"/>
                <w:szCs w:val="20"/>
              </w:rPr>
            </w:pPr>
            <w:r>
              <w:rPr>
                <w:sz w:val="20"/>
                <w:szCs w:val="20"/>
              </w:rPr>
              <w:t>Genetic Diversity &amp; eDNA (n= 2 datasets)</w:t>
            </w:r>
          </w:p>
        </w:tc>
        <w:tc>
          <w:tcPr>
            <w:tcW w:w="1860" w:type="dxa"/>
            <w:tcBorders>
              <w:top w:val="single" w:sz="18" w:space="0" w:color="000000"/>
            </w:tcBorders>
            <w:shd w:val="clear" w:color="auto" w:fill="auto"/>
            <w:tcMar>
              <w:top w:w="100" w:type="dxa"/>
              <w:left w:w="100" w:type="dxa"/>
              <w:bottom w:w="100" w:type="dxa"/>
              <w:right w:w="100" w:type="dxa"/>
            </w:tcMar>
          </w:tcPr>
          <w:p w:rsidR="005D6431" w14:paraId="1E5589ED" w14:textId="77777777">
            <w:pPr>
              <w:widowControl w:val="0"/>
              <w:spacing w:line="240" w:lineRule="auto"/>
              <w:rPr>
                <w:sz w:val="20"/>
                <w:szCs w:val="20"/>
              </w:rPr>
            </w:pPr>
            <w:r>
              <w:rPr>
                <w:sz w:val="20"/>
                <w:szCs w:val="20"/>
              </w:rPr>
              <w:t>3.10, 3.11, 3.12</w:t>
            </w:r>
          </w:p>
        </w:tc>
        <w:tc>
          <w:tcPr>
            <w:tcW w:w="1860" w:type="dxa"/>
            <w:tcBorders>
              <w:top w:val="single" w:sz="18" w:space="0" w:color="000000"/>
            </w:tcBorders>
            <w:shd w:val="clear" w:color="auto" w:fill="auto"/>
            <w:tcMar>
              <w:top w:w="100" w:type="dxa"/>
              <w:left w:w="100" w:type="dxa"/>
              <w:bottom w:w="100" w:type="dxa"/>
              <w:right w:w="100" w:type="dxa"/>
            </w:tcMar>
          </w:tcPr>
          <w:p w:rsidR="005D6431" w14:paraId="52991B5E" w14:textId="77777777">
            <w:pPr>
              <w:widowControl w:val="0"/>
              <w:spacing w:line="240" w:lineRule="auto"/>
              <w:rPr>
                <w:sz w:val="20"/>
                <w:szCs w:val="20"/>
              </w:rPr>
            </w:pPr>
            <w:r>
              <w:rPr>
                <w:sz w:val="20"/>
                <w:szCs w:val="20"/>
              </w:rPr>
              <w:t>.csv, .</w:t>
            </w:r>
            <w:r>
              <w:rPr>
                <w:sz w:val="20"/>
                <w:szCs w:val="20"/>
              </w:rPr>
              <w:t>xls</w:t>
            </w:r>
          </w:p>
        </w:tc>
        <w:tc>
          <w:tcPr>
            <w:tcW w:w="1860" w:type="dxa"/>
            <w:tcBorders>
              <w:top w:val="single" w:sz="18" w:space="0" w:color="000000"/>
            </w:tcBorders>
            <w:shd w:val="clear" w:color="auto" w:fill="auto"/>
            <w:tcMar>
              <w:top w:w="100" w:type="dxa"/>
              <w:left w:w="100" w:type="dxa"/>
              <w:bottom w:w="100" w:type="dxa"/>
              <w:right w:w="100" w:type="dxa"/>
            </w:tcMar>
          </w:tcPr>
          <w:p w:rsidR="005D6431" w14:paraId="56BBCFEC" w14:textId="77777777">
            <w:pPr>
              <w:widowControl w:val="0"/>
              <w:spacing w:line="240" w:lineRule="auto"/>
              <w:rPr>
                <w:sz w:val="20"/>
                <w:szCs w:val="20"/>
              </w:rPr>
            </w:pPr>
            <w:r>
              <w:rPr>
                <w:sz w:val="20"/>
                <w:szCs w:val="20"/>
              </w:rPr>
              <w:t>10 GB</w:t>
            </w:r>
          </w:p>
        </w:tc>
        <w:tc>
          <w:tcPr>
            <w:tcW w:w="2970" w:type="dxa"/>
            <w:tcBorders>
              <w:top w:val="single" w:sz="18" w:space="0" w:color="000000"/>
            </w:tcBorders>
            <w:shd w:val="clear" w:color="auto" w:fill="auto"/>
            <w:tcMar>
              <w:top w:w="100" w:type="dxa"/>
              <w:left w:w="100" w:type="dxa"/>
              <w:bottom w:w="100" w:type="dxa"/>
              <w:right w:w="100" w:type="dxa"/>
            </w:tcMar>
          </w:tcPr>
          <w:p w:rsidR="005D6431" w14:paraId="7E24645A" w14:textId="77777777">
            <w:pPr>
              <w:widowControl w:val="0"/>
              <w:spacing w:line="240" w:lineRule="auto"/>
              <w:rPr>
                <w:sz w:val="20"/>
                <w:szCs w:val="20"/>
              </w:rPr>
            </w:pPr>
            <w:r>
              <w:rPr>
                <w:sz w:val="20"/>
                <w:szCs w:val="20"/>
              </w:rPr>
              <w:t>NCBI and NCEI</w:t>
            </w:r>
          </w:p>
        </w:tc>
      </w:tr>
      <w:tr w14:paraId="36A17AC1" w14:textId="77777777">
        <w:tblPrEx>
          <w:tblW w:w="11040" w:type="dxa"/>
          <w:tblInd w:w="-630" w:type="dxa"/>
          <w:tblLayout w:type="fixed"/>
          <w:tblLook w:val="0600"/>
        </w:tblPrEx>
        <w:tc>
          <w:tcPr>
            <w:tcW w:w="2490" w:type="dxa"/>
            <w:shd w:val="clear" w:color="auto" w:fill="auto"/>
            <w:tcMar>
              <w:top w:w="100" w:type="dxa"/>
              <w:left w:w="100" w:type="dxa"/>
              <w:bottom w:w="100" w:type="dxa"/>
              <w:right w:w="100" w:type="dxa"/>
            </w:tcMar>
          </w:tcPr>
          <w:p w:rsidR="005D6431" w14:paraId="64F36C71" w14:textId="77777777">
            <w:pPr>
              <w:widowControl w:val="0"/>
              <w:spacing w:line="240" w:lineRule="auto"/>
              <w:rPr>
                <w:sz w:val="20"/>
                <w:szCs w:val="20"/>
              </w:rPr>
            </w:pPr>
            <w:r>
              <w:rPr>
                <w:sz w:val="20"/>
                <w:szCs w:val="20"/>
              </w:rPr>
              <w:t>Acoustics (n= 3 datasets)</w:t>
            </w:r>
          </w:p>
        </w:tc>
        <w:tc>
          <w:tcPr>
            <w:tcW w:w="1860" w:type="dxa"/>
            <w:shd w:val="clear" w:color="auto" w:fill="auto"/>
            <w:tcMar>
              <w:top w:w="100" w:type="dxa"/>
              <w:left w:w="100" w:type="dxa"/>
              <w:bottom w:w="100" w:type="dxa"/>
              <w:right w:w="100" w:type="dxa"/>
            </w:tcMar>
          </w:tcPr>
          <w:p w:rsidR="005D6431" w14:paraId="69940783" w14:textId="77777777">
            <w:pPr>
              <w:widowControl w:val="0"/>
              <w:spacing w:line="240" w:lineRule="auto"/>
              <w:rPr>
                <w:sz w:val="20"/>
                <w:szCs w:val="20"/>
              </w:rPr>
            </w:pPr>
            <w:r>
              <w:rPr>
                <w:sz w:val="20"/>
                <w:szCs w:val="20"/>
              </w:rPr>
              <w:t>1.3, 1.6, 1.9</w:t>
            </w:r>
          </w:p>
        </w:tc>
        <w:tc>
          <w:tcPr>
            <w:tcW w:w="1860" w:type="dxa"/>
            <w:shd w:val="clear" w:color="auto" w:fill="auto"/>
            <w:tcMar>
              <w:top w:w="100" w:type="dxa"/>
              <w:left w:w="100" w:type="dxa"/>
              <w:bottom w:w="100" w:type="dxa"/>
              <w:right w:w="100" w:type="dxa"/>
            </w:tcMar>
          </w:tcPr>
          <w:p w:rsidR="005D6431" w14:paraId="6EF10BF9" w14:textId="77777777">
            <w:pPr>
              <w:widowControl w:val="0"/>
              <w:spacing w:line="240" w:lineRule="auto"/>
              <w:rPr>
                <w:sz w:val="20"/>
                <w:szCs w:val="20"/>
              </w:rPr>
            </w:pPr>
            <w:r>
              <w:rPr>
                <w:sz w:val="20"/>
                <w:szCs w:val="20"/>
              </w:rPr>
              <w:t>.csv and raw data formats</w:t>
            </w:r>
          </w:p>
        </w:tc>
        <w:tc>
          <w:tcPr>
            <w:tcW w:w="1860" w:type="dxa"/>
            <w:shd w:val="clear" w:color="auto" w:fill="auto"/>
            <w:tcMar>
              <w:top w:w="100" w:type="dxa"/>
              <w:left w:w="100" w:type="dxa"/>
              <w:bottom w:w="100" w:type="dxa"/>
              <w:right w:w="100" w:type="dxa"/>
            </w:tcMar>
          </w:tcPr>
          <w:p w:rsidR="005D6431" w14:paraId="30653210" w14:textId="77777777">
            <w:pPr>
              <w:widowControl w:val="0"/>
              <w:spacing w:line="240" w:lineRule="auto"/>
              <w:rPr>
                <w:sz w:val="20"/>
                <w:szCs w:val="20"/>
              </w:rPr>
            </w:pPr>
            <w:r>
              <w:rPr>
                <w:sz w:val="20"/>
                <w:szCs w:val="20"/>
              </w:rPr>
              <w:t>1 TB</w:t>
            </w:r>
          </w:p>
        </w:tc>
        <w:tc>
          <w:tcPr>
            <w:tcW w:w="2970" w:type="dxa"/>
            <w:shd w:val="clear" w:color="auto" w:fill="auto"/>
            <w:tcMar>
              <w:top w:w="100" w:type="dxa"/>
              <w:left w:w="100" w:type="dxa"/>
              <w:bottom w:w="100" w:type="dxa"/>
              <w:right w:w="100" w:type="dxa"/>
            </w:tcMar>
          </w:tcPr>
          <w:p w:rsidR="005D6431" w14:paraId="353E6B27" w14:textId="77777777">
            <w:pPr>
              <w:widowControl w:val="0"/>
              <w:spacing w:line="240" w:lineRule="auto"/>
              <w:rPr>
                <w:sz w:val="20"/>
                <w:szCs w:val="20"/>
              </w:rPr>
            </w:pPr>
            <w:r>
              <w:rPr>
                <w:sz w:val="20"/>
                <w:szCs w:val="20"/>
              </w:rPr>
              <w:t>NCEI</w:t>
            </w:r>
          </w:p>
        </w:tc>
      </w:tr>
      <w:tr w14:paraId="7FEC0CB9" w14:textId="77777777">
        <w:tblPrEx>
          <w:tblW w:w="11040" w:type="dxa"/>
          <w:tblInd w:w="-630" w:type="dxa"/>
          <w:tblLayout w:type="fixed"/>
          <w:tblLook w:val="0600"/>
        </w:tblPrEx>
        <w:tc>
          <w:tcPr>
            <w:tcW w:w="2490" w:type="dxa"/>
            <w:shd w:val="clear" w:color="auto" w:fill="auto"/>
            <w:tcMar>
              <w:top w:w="100" w:type="dxa"/>
              <w:left w:w="100" w:type="dxa"/>
              <w:bottom w:w="100" w:type="dxa"/>
              <w:right w:w="100" w:type="dxa"/>
            </w:tcMar>
          </w:tcPr>
          <w:p w:rsidR="005D6431" w14:paraId="6BEF11CE" w14:textId="77777777">
            <w:pPr>
              <w:widowControl w:val="0"/>
              <w:spacing w:line="240" w:lineRule="auto"/>
              <w:rPr>
                <w:sz w:val="20"/>
                <w:szCs w:val="20"/>
              </w:rPr>
            </w:pPr>
            <w:r>
              <w:rPr>
                <w:sz w:val="20"/>
                <w:szCs w:val="20"/>
              </w:rPr>
              <w:t>Fish Taxonomy/ Community</w:t>
            </w:r>
          </w:p>
          <w:p w:rsidR="005D6431" w14:paraId="4D8B07EB" w14:textId="77777777">
            <w:pPr>
              <w:widowControl w:val="0"/>
              <w:spacing w:line="240" w:lineRule="auto"/>
              <w:rPr>
                <w:sz w:val="20"/>
                <w:szCs w:val="20"/>
              </w:rPr>
            </w:pPr>
            <w:r>
              <w:rPr>
                <w:sz w:val="20"/>
                <w:szCs w:val="20"/>
              </w:rPr>
              <w:t>Ecology</w:t>
            </w:r>
          </w:p>
          <w:p w:rsidR="005D6431" w14:paraId="69BB946A" w14:textId="77777777">
            <w:pPr>
              <w:widowControl w:val="0"/>
              <w:spacing w:line="240" w:lineRule="auto"/>
              <w:rPr>
                <w:sz w:val="20"/>
                <w:szCs w:val="20"/>
              </w:rPr>
            </w:pPr>
            <w:r>
              <w:rPr>
                <w:sz w:val="20"/>
                <w:szCs w:val="20"/>
              </w:rPr>
              <w:t xml:space="preserve"> (n= 9 datasets)</w:t>
            </w:r>
          </w:p>
        </w:tc>
        <w:tc>
          <w:tcPr>
            <w:tcW w:w="1860" w:type="dxa"/>
            <w:shd w:val="clear" w:color="auto" w:fill="auto"/>
            <w:tcMar>
              <w:top w:w="100" w:type="dxa"/>
              <w:left w:w="100" w:type="dxa"/>
              <w:bottom w:w="100" w:type="dxa"/>
              <w:right w:w="100" w:type="dxa"/>
            </w:tcMar>
          </w:tcPr>
          <w:p w:rsidR="005D6431" w14:paraId="5C39A2BD" w14:textId="77777777">
            <w:pPr>
              <w:widowControl w:val="0"/>
              <w:spacing w:line="240" w:lineRule="auto"/>
              <w:rPr>
                <w:sz w:val="20"/>
                <w:szCs w:val="20"/>
              </w:rPr>
            </w:pPr>
            <w:r>
              <w:rPr>
                <w:sz w:val="20"/>
                <w:szCs w:val="20"/>
              </w:rPr>
              <w:t>3.3, 3.4, 3.5, 3.6</w:t>
            </w:r>
          </w:p>
        </w:tc>
        <w:tc>
          <w:tcPr>
            <w:tcW w:w="1860" w:type="dxa"/>
            <w:shd w:val="clear" w:color="auto" w:fill="auto"/>
            <w:tcMar>
              <w:top w:w="100" w:type="dxa"/>
              <w:left w:w="100" w:type="dxa"/>
              <w:bottom w:w="100" w:type="dxa"/>
              <w:right w:w="100" w:type="dxa"/>
            </w:tcMar>
          </w:tcPr>
          <w:p w:rsidR="005D6431" w14:paraId="2A250CA5" w14:textId="77777777">
            <w:pPr>
              <w:widowControl w:val="0"/>
              <w:spacing w:line="240" w:lineRule="auto"/>
              <w:rPr>
                <w:sz w:val="20"/>
                <w:szCs w:val="20"/>
              </w:rPr>
            </w:pPr>
            <w:r>
              <w:rPr>
                <w:sz w:val="20"/>
                <w:szCs w:val="20"/>
              </w:rPr>
              <w:t>.xls,.mdb, misc.</w:t>
            </w:r>
          </w:p>
        </w:tc>
        <w:tc>
          <w:tcPr>
            <w:tcW w:w="1860" w:type="dxa"/>
            <w:shd w:val="clear" w:color="auto" w:fill="auto"/>
            <w:tcMar>
              <w:top w:w="100" w:type="dxa"/>
              <w:left w:w="100" w:type="dxa"/>
              <w:bottom w:w="100" w:type="dxa"/>
              <w:right w:w="100" w:type="dxa"/>
            </w:tcMar>
          </w:tcPr>
          <w:p w:rsidR="005D6431" w14:paraId="6A62E391" w14:textId="77777777">
            <w:pPr>
              <w:widowControl w:val="0"/>
              <w:spacing w:line="240" w:lineRule="auto"/>
              <w:rPr>
                <w:sz w:val="20"/>
                <w:szCs w:val="20"/>
              </w:rPr>
            </w:pPr>
            <w:r>
              <w:rPr>
                <w:sz w:val="20"/>
                <w:szCs w:val="20"/>
              </w:rPr>
              <w:t>30 GB</w:t>
            </w:r>
          </w:p>
        </w:tc>
        <w:tc>
          <w:tcPr>
            <w:tcW w:w="2970" w:type="dxa"/>
            <w:shd w:val="clear" w:color="auto" w:fill="auto"/>
            <w:tcMar>
              <w:top w:w="100" w:type="dxa"/>
              <w:left w:w="100" w:type="dxa"/>
              <w:bottom w:w="100" w:type="dxa"/>
              <w:right w:w="100" w:type="dxa"/>
            </w:tcMar>
          </w:tcPr>
          <w:p w:rsidR="005D6431" w14:paraId="6EC11268" w14:textId="77777777">
            <w:pPr>
              <w:widowControl w:val="0"/>
              <w:spacing w:line="240" w:lineRule="auto"/>
              <w:rPr>
                <w:sz w:val="20"/>
                <w:szCs w:val="20"/>
              </w:rPr>
            </w:pPr>
            <w:r>
              <w:rPr>
                <w:sz w:val="20"/>
                <w:szCs w:val="20"/>
              </w:rPr>
              <w:t>NCEI</w:t>
            </w:r>
          </w:p>
        </w:tc>
      </w:tr>
      <w:tr w14:paraId="7400BB0D" w14:textId="77777777">
        <w:tblPrEx>
          <w:tblW w:w="11040" w:type="dxa"/>
          <w:tblInd w:w="-630" w:type="dxa"/>
          <w:tblLayout w:type="fixed"/>
          <w:tblLook w:val="0600"/>
        </w:tblPrEx>
        <w:tc>
          <w:tcPr>
            <w:tcW w:w="2490" w:type="dxa"/>
            <w:shd w:val="clear" w:color="auto" w:fill="auto"/>
            <w:tcMar>
              <w:top w:w="100" w:type="dxa"/>
              <w:left w:w="100" w:type="dxa"/>
              <w:bottom w:w="100" w:type="dxa"/>
              <w:right w:w="100" w:type="dxa"/>
            </w:tcMar>
          </w:tcPr>
          <w:p w:rsidR="005D6431" w14:paraId="1DB1199C" w14:textId="77777777">
            <w:pPr>
              <w:widowControl w:val="0"/>
              <w:spacing w:line="240" w:lineRule="auto"/>
              <w:rPr>
                <w:sz w:val="20"/>
                <w:szCs w:val="20"/>
              </w:rPr>
            </w:pPr>
            <w:r>
              <w:rPr>
                <w:sz w:val="20"/>
                <w:szCs w:val="20"/>
              </w:rPr>
              <w:t>Contaminant Studies</w:t>
            </w:r>
          </w:p>
          <w:p w:rsidR="005D6431" w14:paraId="2E3027A7" w14:textId="77777777">
            <w:pPr>
              <w:widowControl w:val="0"/>
              <w:spacing w:line="240" w:lineRule="auto"/>
              <w:rPr>
                <w:sz w:val="20"/>
                <w:szCs w:val="20"/>
              </w:rPr>
            </w:pPr>
            <w:r>
              <w:rPr>
                <w:sz w:val="20"/>
                <w:szCs w:val="20"/>
              </w:rPr>
              <w:t xml:space="preserve"> (n= 3 datasets)</w:t>
            </w:r>
          </w:p>
        </w:tc>
        <w:tc>
          <w:tcPr>
            <w:tcW w:w="1860" w:type="dxa"/>
            <w:shd w:val="clear" w:color="auto" w:fill="auto"/>
            <w:tcMar>
              <w:top w:w="100" w:type="dxa"/>
              <w:left w:w="100" w:type="dxa"/>
              <w:bottom w:w="100" w:type="dxa"/>
              <w:right w:w="100" w:type="dxa"/>
            </w:tcMar>
          </w:tcPr>
          <w:p w:rsidR="005D6431" w14:paraId="086DEB11" w14:textId="77777777">
            <w:pPr>
              <w:widowControl w:val="0"/>
              <w:spacing w:line="240" w:lineRule="auto"/>
              <w:rPr>
                <w:sz w:val="20"/>
                <w:szCs w:val="20"/>
              </w:rPr>
            </w:pPr>
            <w:r>
              <w:rPr>
                <w:sz w:val="20"/>
                <w:szCs w:val="20"/>
              </w:rPr>
              <w:t>4.3</w:t>
            </w:r>
          </w:p>
        </w:tc>
        <w:tc>
          <w:tcPr>
            <w:tcW w:w="1860" w:type="dxa"/>
            <w:shd w:val="clear" w:color="auto" w:fill="auto"/>
            <w:tcMar>
              <w:top w:w="100" w:type="dxa"/>
              <w:left w:w="100" w:type="dxa"/>
              <w:bottom w:w="100" w:type="dxa"/>
              <w:right w:w="100" w:type="dxa"/>
            </w:tcMar>
          </w:tcPr>
          <w:p w:rsidR="005D6431" w14:paraId="7BDFA3E5" w14:textId="77777777">
            <w:pPr>
              <w:widowControl w:val="0"/>
              <w:spacing w:line="240" w:lineRule="auto"/>
              <w:rPr>
                <w:sz w:val="20"/>
                <w:szCs w:val="20"/>
              </w:rPr>
            </w:pPr>
            <w:r>
              <w:rPr>
                <w:sz w:val="20"/>
                <w:szCs w:val="20"/>
              </w:rPr>
              <w:t>.xlsx</w:t>
            </w:r>
          </w:p>
        </w:tc>
        <w:tc>
          <w:tcPr>
            <w:tcW w:w="1860" w:type="dxa"/>
            <w:shd w:val="clear" w:color="auto" w:fill="auto"/>
            <w:tcMar>
              <w:top w:w="100" w:type="dxa"/>
              <w:left w:w="100" w:type="dxa"/>
              <w:bottom w:w="100" w:type="dxa"/>
              <w:right w:w="100" w:type="dxa"/>
            </w:tcMar>
          </w:tcPr>
          <w:p w:rsidR="005D6431" w14:paraId="4D9F7549" w14:textId="77777777">
            <w:pPr>
              <w:widowControl w:val="0"/>
              <w:spacing w:line="240" w:lineRule="auto"/>
              <w:rPr>
                <w:sz w:val="20"/>
                <w:szCs w:val="20"/>
              </w:rPr>
            </w:pPr>
            <w:r>
              <w:rPr>
                <w:sz w:val="20"/>
                <w:szCs w:val="20"/>
              </w:rPr>
              <w:t>1 GB</w:t>
            </w:r>
          </w:p>
        </w:tc>
        <w:tc>
          <w:tcPr>
            <w:tcW w:w="2970" w:type="dxa"/>
            <w:shd w:val="clear" w:color="auto" w:fill="auto"/>
            <w:tcMar>
              <w:top w:w="100" w:type="dxa"/>
              <w:left w:w="100" w:type="dxa"/>
              <w:bottom w:w="100" w:type="dxa"/>
              <w:right w:w="100" w:type="dxa"/>
            </w:tcMar>
          </w:tcPr>
          <w:p w:rsidR="005D6431" w14:paraId="79635D57" w14:textId="77777777">
            <w:pPr>
              <w:widowControl w:val="0"/>
              <w:spacing w:line="240" w:lineRule="auto"/>
              <w:rPr>
                <w:sz w:val="20"/>
                <w:szCs w:val="20"/>
              </w:rPr>
            </w:pPr>
            <w:r>
              <w:rPr>
                <w:sz w:val="20"/>
                <w:szCs w:val="20"/>
              </w:rPr>
              <w:t>NCEI</w:t>
            </w:r>
          </w:p>
        </w:tc>
      </w:tr>
    </w:tbl>
    <w:p w:rsidR="005D6431" w14:paraId="5B14EA04" w14:textId="77777777">
      <w:pPr>
        <w:rPr>
          <w:sz w:val="20"/>
          <w:szCs w:val="20"/>
          <w:highlight w:val="yellow"/>
        </w:rPr>
      </w:pPr>
    </w:p>
    <w:p w:rsidR="005D6431" w14:paraId="4C6284E0" w14:textId="77777777">
      <w:pPr>
        <w:rPr>
          <w:b/>
          <w:sz w:val="20"/>
          <w:szCs w:val="20"/>
        </w:rPr>
      </w:pPr>
      <w:r>
        <w:rPr>
          <w:sz w:val="20"/>
          <w:szCs w:val="20"/>
        </w:rPr>
        <w:t xml:space="preserve">2.2.1 </w:t>
      </w:r>
      <w:r>
        <w:rPr>
          <w:b/>
          <w:sz w:val="20"/>
          <w:szCs w:val="20"/>
        </w:rPr>
        <w:t>If any elements of the table above need further descriptions, please provide additional information below:</w:t>
      </w:r>
    </w:p>
    <w:p w:rsidR="005D6431" w14:paraId="7A907504" w14:textId="77777777">
      <w:pPr>
        <w:rPr>
          <w:sz w:val="20"/>
          <w:szCs w:val="20"/>
        </w:rPr>
      </w:pPr>
      <w:r>
        <w:rPr>
          <w:sz w:val="20"/>
          <w:szCs w:val="20"/>
        </w:rPr>
        <w:t>Example: Data collection will take place over three cruises over the course of 2025-2029</w:t>
      </w:r>
    </w:p>
    <w:p w:rsidR="005D6431" w14:paraId="12E60D06" w14:textId="77777777">
      <w:pPr>
        <w:pStyle w:val="Heading4"/>
        <w:ind w:left="-720"/>
        <w:rPr>
          <w:sz w:val="22"/>
          <w:szCs w:val="22"/>
        </w:rPr>
      </w:pPr>
      <w:bookmarkStart w:id="10" w:name="_3cjyzvzbcret" w:colFirst="0" w:colLast="0"/>
      <w:bookmarkEnd w:id="10"/>
      <w:r>
        <w:rPr>
          <w:sz w:val="22"/>
          <w:szCs w:val="22"/>
        </w:rPr>
        <w:t>Section 3: Data Availability to the Public and Restrictions</w:t>
      </w:r>
    </w:p>
    <w:p w:rsidR="005D6431" w14:paraId="1E8E4851" w14:textId="77777777">
      <w:pPr>
        <w:rPr>
          <w:b/>
          <w:strike/>
          <w:sz w:val="20"/>
          <w:szCs w:val="20"/>
        </w:rPr>
      </w:pPr>
      <w:r>
        <w:rPr>
          <w:sz w:val="20"/>
          <w:szCs w:val="20"/>
        </w:rPr>
        <w:t xml:space="preserve">3.1 </w:t>
      </w:r>
      <w:r>
        <w:rPr>
          <w:b/>
          <w:sz w:val="20"/>
          <w:szCs w:val="20"/>
        </w:rPr>
        <w:t>When and how frequently will the data be made available?</w:t>
      </w:r>
    </w:p>
    <w:p w:rsidR="005D6431" w14:paraId="53791A8D" w14:textId="77777777">
      <w:pPr>
        <w:rPr>
          <w:sz w:val="20"/>
          <w:szCs w:val="20"/>
        </w:rPr>
      </w:pPr>
      <w:r>
        <w:rPr>
          <w:i/>
          <w:sz w:val="20"/>
          <w:szCs w:val="20"/>
        </w:rPr>
        <w:t xml:space="preserve"> (Briefly describe when the data will be initially available and if there is any frequency for future data updates or releases. Ensure each anticipated datatype is accounted for in this answer) </w:t>
      </w:r>
      <w:r>
        <w:rPr>
          <w:i/>
          <w:sz w:val="20"/>
          <w:szCs w:val="20"/>
        </w:rPr>
        <w:br/>
      </w:r>
      <w:r>
        <w:rPr>
          <w:sz w:val="20"/>
          <w:szCs w:val="20"/>
        </w:rPr>
        <w:t xml:space="preserve">Example: Cruise based environmental data will be archived within 6 months post each cruise. Video files with annotated benthic habitats will be archived one year following each collection cruise. Summary GIS products will be archived within one year of project completion. </w:t>
      </w:r>
    </w:p>
    <w:p w:rsidR="005D6431" w14:paraId="67FC65DE" w14:textId="77777777">
      <w:pPr>
        <w:rPr>
          <w:sz w:val="20"/>
          <w:szCs w:val="20"/>
        </w:rPr>
      </w:pPr>
    </w:p>
    <w:p w:rsidR="005D6431" w14:paraId="58DCDCE6" w14:textId="77777777">
      <w:pPr>
        <w:rPr>
          <w:b/>
          <w:sz w:val="20"/>
          <w:szCs w:val="20"/>
        </w:rPr>
      </w:pPr>
      <w:r>
        <w:rPr>
          <w:sz w:val="20"/>
          <w:szCs w:val="20"/>
        </w:rPr>
        <w:t xml:space="preserve">3.2 </w:t>
      </w:r>
      <w:r>
        <w:rPr>
          <w:b/>
          <w:sz w:val="20"/>
          <w:szCs w:val="20"/>
        </w:rPr>
        <w:t xml:space="preserve">Will any personally identifiable information, restricted, or other sensitive data be collected? </w:t>
      </w:r>
    </w:p>
    <w:p w:rsidR="005D6431" w14:paraId="2C1348EF" w14:textId="5C9DF781">
      <w:pPr>
        <w:rPr>
          <w:sz w:val="20"/>
          <w:szCs w:val="20"/>
        </w:rPr>
      </w:pPr>
      <w:r>
        <w:rPr>
          <w:sz w:val="20"/>
          <w:szCs w:val="20"/>
        </w:rPr>
        <w:t xml:space="preserve"> </w:t>
      </w:r>
      <w:r>
        <w:rPr>
          <w:i/>
          <w:sz w:val="20"/>
          <w:szCs w:val="20"/>
        </w:rPr>
        <w:t>(</w:t>
      </w:r>
      <w:r w:rsidR="00BF7E23">
        <w:rPr>
          <w:i/>
          <w:sz w:val="20"/>
          <w:szCs w:val="20"/>
        </w:rPr>
        <w:t>D</w:t>
      </w:r>
      <w:r>
        <w:rPr>
          <w:i/>
          <w:sz w:val="20"/>
          <w:szCs w:val="20"/>
        </w:rPr>
        <w:t>escribe any sensitive data that is being collected or generated that may be restricted by law or national security)</w:t>
      </w:r>
      <w:r>
        <w:rPr>
          <w:sz w:val="20"/>
          <w:szCs w:val="20"/>
        </w:rPr>
        <w:br/>
        <w:t xml:space="preserve">Example: Yes, surveys will collect social science data from respondents. Survey data will be summarized and anonymized before used in project analysis. </w:t>
      </w:r>
    </w:p>
    <w:p w:rsidR="005D6431" w14:paraId="7AE1C972" w14:textId="77777777">
      <w:pPr>
        <w:rPr>
          <w:sz w:val="20"/>
          <w:szCs w:val="20"/>
        </w:rPr>
      </w:pPr>
    </w:p>
    <w:p w:rsidR="005D6431" w14:paraId="42FA0556" w14:textId="77777777">
      <w:pPr>
        <w:rPr>
          <w:b/>
          <w:sz w:val="20"/>
          <w:szCs w:val="20"/>
        </w:rPr>
      </w:pPr>
      <w:r>
        <w:rPr>
          <w:sz w:val="20"/>
          <w:szCs w:val="20"/>
        </w:rPr>
        <w:t xml:space="preserve">3.3 </w:t>
      </w:r>
      <w:r>
        <w:rPr>
          <w:b/>
          <w:sz w:val="20"/>
          <w:szCs w:val="20"/>
        </w:rPr>
        <w:t xml:space="preserve">Will there be any restrictions or stipulations on public access to the project data? (select all that apply) </w:t>
      </w:r>
    </w:p>
    <w:p w:rsidR="005D6431" w14:paraId="0CAB95E1" w14:textId="60670986">
      <w:pPr>
        <w:rPr>
          <w:sz w:val="20"/>
          <w:szCs w:val="20"/>
        </w:rPr>
      </w:pPr>
      <w:r>
        <w:rPr>
          <w:i/>
          <w:sz w:val="20"/>
          <w:szCs w:val="20"/>
        </w:rPr>
        <w:t>(</w:t>
      </w:r>
      <w:r w:rsidR="00BF7E23">
        <w:rPr>
          <w:i/>
          <w:sz w:val="20"/>
          <w:szCs w:val="20"/>
        </w:rPr>
        <w:t>B</w:t>
      </w:r>
      <w:r>
        <w:rPr>
          <w:i/>
          <w:sz w:val="20"/>
          <w:szCs w:val="20"/>
        </w:rPr>
        <w:t xml:space="preserve">riefly explain why and under what circumstances or authority the data may be restricted for public use. Enter NO if no restrictions are present. Also describe any data access conditions and/or restrictions, non-disclosure statements requirements) </w:t>
      </w:r>
      <w:r>
        <w:rPr>
          <w:sz w:val="20"/>
          <w:szCs w:val="20"/>
        </w:rPr>
        <w:br/>
        <w:t xml:space="preserve">Example: Yes, data are being collected over military operational areas OR Bathymetry may contain unidentified shipwrecks that are culturally significant. </w:t>
      </w:r>
    </w:p>
    <w:p w:rsidR="005D6431" w14:paraId="2DA17FDA" w14:textId="77777777">
      <w:pPr>
        <w:pStyle w:val="Heading4"/>
        <w:ind w:left="-630"/>
        <w:rPr>
          <w:sz w:val="22"/>
          <w:szCs w:val="22"/>
        </w:rPr>
      </w:pPr>
      <w:bookmarkStart w:id="11" w:name="_43631ezi2zxt" w:colFirst="0" w:colLast="0"/>
      <w:bookmarkEnd w:id="11"/>
      <w:r>
        <w:rPr>
          <w:sz w:val="22"/>
          <w:szCs w:val="22"/>
        </w:rPr>
        <w:t>Section 4: Metadata and Documentation</w:t>
      </w:r>
    </w:p>
    <w:p w:rsidR="005D6431" w14:paraId="27B2A0FE" w14:textId="57611E85">
      <w:pPr>
        <w:rPr>
          <w:sz w:val="20"/>
          <w:szCs w:val="20"/>
        </w:rPr>
      </w:pPr>
      <w:r>
        <w:rPr>
          <w:i/>
          <w:sz w:val="20"/>
          <w:szCs w:val="20"/>
        </w:rPr>
        <w:t>(</w:t>
      </w:r>
      <w:r w:rsidR="00BF7E23">
        <w:rPr>
          <w:i/>
          <w:sz w:val="20"/>
          <w:szCs w:val="20"/>
        </w:rPr>
        <w:t>List</w:t>
      </w:r>
      <w:r>
        <w:rPr>
          <w:i/>
          <w:sz w:val="20"/>
          <w:szCs w:val="20"/>
        </w:rPr>
        <w:t xml:space="preserve"> known metadata standards used for the project, learn more about the importance of metadata at the NOAA NCEI Metadata webpage) </w:t>
      </w:r>
      <w:r>
        <w:rPr>
          <w:sz w:val="20"/>
          <w:szCs w:val="20"/>
        </w:rPr>
        <w:br/>
        <w:t xml:space="preserve">Example:  Data will be archived at NCEI.  Upon archival, XML metadata will be generated in ISO 19115-2 format which will meet metadata requirements. Additionally, a data dictionary and human readable ReadMe document will also be produced to document datasets. </w:t>
      </w:r>
    </w:p>
    <w:p w:rsidR="005D6431" w14:paraId="0AD6FF1A" w14:textId="77777777">
      <w:pPr>
        <w:pStyle w:val="Heading4"/>
        <w:ind w:left="-720"/>
        <w:rPr>
          <w:sz w:val="22"/>
          <w:szCs w:val="22"/>
        </w:rPr>
      </w:pPr>
      <w:bookmarkStart w:id="12" w:name="_tvzz8sh2pvem" w:colFirst="0" w:colLast="0"/>
      <w:bookmarkEnd w:id="12"/>
      <w:r>
        <w:rPr>
          <w:sz w:val="22"/>
          <w:szCs w:val="22"/>
        </w:rPr>
        <w:t xml:space="preserve">Section 5: Data Quality Assurance/Quality Control Procedures </w:t>
      </w:r>
    </w:p>
    <w:p w:rsidR="005D6431" w14:paraId="75053F37" w14:textId="07032453">
      <w:pPr>
        <w:rPr>
          <w:i/>
          <w:sz w:val="20"/>
          <w:szCs w:val="20"/>
        </w:rPr>
      </w:pPr>
      <w:r>
        <w:rPr>
          <w:i/>
          <w:sz w:val="20"/>
          <w:szCs w:val="20"/>
        </w:rPr>
        <w:t>(</w:t>
      </w:r>
      <w:r w:rsidR="00BF7E23">
        <w:rPr>
          <w:i/>
          <w:sz w:val="20"/>
          <w:szCs w:val="20"/>
        </w:rPr>
        <w:t>Brief</w:t>
      </w:r>
      <w:r>
        <w:rPr>
          <w:i/>
          <w:sz w:val="20"/>
          <w:szCs w:val="20"/>
        </w:rPr>
        <w:t xml:space="preserve"> summary of which quality assurance/ quality control procedures or references will be employed) </w:t>
      </w:r>
      <w:r>
        <w:rPr>
          <w:i/>
          <w:sz w:val="20"/>
          <w:szCs w:val="20"/>
        </w:rPr>
        <w:br/>
      </w:r>
      <w:r>
        <w:rPr>
          <w:sz w:val="20"/>
          <w:szCs w:val="20"/>
        </w:rPr>
        <w:t>Example: Data entered into the database will be validated against field collection sheets for accuracy.</w:t>
      </w:r>
    </w:p>
    <w:p w:rsidR="005D6431" w14:paraId="655718B7" w14:textId="77777777">
      <w:pPr>
        <w:rPr>
          <w:sz w:val="20"/>
          <w:szCs w:val="20"/>
        </w:rPr>
      </w:pPr>
    </w:p>
    <w:p w:rsidR="005D6431" w14:paraId="595C0882" w14:textId="77777777">
      <w:pPr>
        <w:pStyle w:val="Heading4"/>
        <w:ind w:left="-720"/>
        <w:rPr>
          <w:sz w:val="22"/>
          <w:szCs w:val="22"/>
        </w:rPr>
      </w:pPr>
      <w:bookmarkStart w:id="13" w:name="_3r2njiegp4yt" w:colFirst="0" w:colLast="0"/>
      <w:bookmarkEnd w:id="13"/>
      <w:r>
        <w:rPr>
          <w:sz w:val="22"/>
          <w:szCs w:val="22"/>
        </w:rPr>
        <w:t>Section 6: Data Backup and Protection Measures</w:t>
      </w:r>
    </w:p>
    <w:p w:rsidR="005D6431" w14:paraId="3ABF4FE0" w14:textId="77777777">
      <w:pPr>
        <w:rPr>
          <w:b/>
          <w:sz w:val="20"/>
          <w:szCs w:val="20"/>
        </w:rPr>
      </w:pPr>
      <w:r>
        <w:rPr>
          <w:sz w:val="20"/>
          <w:szCs w:val="20"/>
        </w:rPr>
        <w:t xml:space="preserve">6.1 </w:t>
      </w:r>
      <w:r>
        <w:rPr>
          <w:b/>
          <w:sz w:val="20"/>
          <w:szCs w:val="20"/>
        </w:rPr>
        <w:t>How will the project data be protected from unauthorized access and accidental or malicious modification or deletion?</w:t>
      </w:r>
    </w:p>
    <w:p w:rsidR="005D6431" w14:paraId="58680663" w14:textId="52D3C88A">
      <w:pPr>
        <w:rPr>
          <w:sz w:val="20"/>
          <w:szCs w:val="20"/>
        </w:rPr>
      </w:pPr>
      <w:r>
        <w:rPr>
          <w:i/>
          <w:sz w:val="20"/>
          <w:szCs w:val="20"/>
        </w:rPr>
        <w:t>(</w:t>
      </w:r>
      <w:r w:rsidR="00BF7E23">
        <w:rPr>
          <w:i/>
          <w:sz w:val="20"/>
          <w:szCs w:val="20"/>
        </w:rPr>
        <w:t>Briefly</w:t>
      </w:r>
      <w:r>
        <w:rPr>
          <w:i/>
          <w:sz w:val="20"/>
          <w:szCs w:val="20"/>
        </w:rPr>
        <w:t xml:space="preserve"> describe how the data will be protected from accidental or malicious activities) </w:t>
      </w:r>
      <w:r>
        <w:rPr>
          <w:i/>
          <w:sz w:val="20"/>
          <w:szCs w:val="20"/>
        </w:rPr>
        <w:br/>
      </w:r>
      <w:r>
        <w:rPr>
          <w:sz w:val="20"/>
          <w:szCs w:val="20"/>
        </w:rPr>
        <w:t>Example: Data are stored in password protected encryption services and requires dual verification.</w:t>
      </w:r>
    </w:p>
    <w:p w:rsidR="005D6431" w14:paraId="29C9DEC8" w14:textId="77777777">
      <w:pPr>
        <w:rPr>
          <w:sz w:val="20"/>
          <w:szCs w:val="20"/>
        </w:rPr>
      </w:pPr>
    </w:p>
    <w:p w:rsidR="005D6431" w14:paraId="407457D4" w14:textId="77777777">
      <w:pPr>
        <w:rPr>
          <w:sz w:val="20"/>
          <w:szCs w:val="20"/>
        </w:rPr>
      </w:pPr>
    </w:p>
    <w:p w:rsidR="005D6431" w14:paraId="4A5A2A32" w14:textId="0CF82282">
      <w:pPr>
        <w:rPr>
          <w:b/>
          <w:sz w:val="20"/>
          <w:szCs w:val="20"/>
        </w:rPr>
      </w:pPr>
      <w:r>
        <w:rPr>
          <w:sz w:val="20"/>
          <w:szCs w:val="20"/>
        </w:rPr>
        <w:t xml:space="preserve">6.2 </w:t>
      </w:r>
      <w:r>
        <w:rPr>
          <w:b/>
          <w:sz w:val="20"/>
          <w:szCs w:val="20"/>
        </w:rPr>
        <w:t>What is the back-up, disaster recovery or contingency planning used to protect the project data? (</w:t>
      </w:r>
      <w:r w:rsidR="00BF7E23">
        <w:rPr>
          <w:b/>
          <w:sz w:val="20"/>
          <w:szCs w:val="20"/>
        </w:rPr>
        <w:t>Select</w:t>
      </w:r>
      <w:r>
        <w:rPr>
          <w:b/>
          <w:sz w:val="20"/>
          <w:szCs w:val="20"/>
        </w:rPr>
        <w:t xml:space="preserve"> all that apply and add system name/description) Data are backed up on:</w:t>
      </w:r>
    </w:p>
    <w:p w:rsidR="005D6431" w14:paraId="00119344" w14:textId="77777777">
      <w:pPr>
        <w:rPr>
          <w:sz w:val="20"/>
          <w:szCs w:val="20"/>
        </w:rPr>
      </w:pPr>
      <w:r>
        <w:rPr>
          <w:sz w:val="20"/>
          <w:szCs w:val="20"/>
        </w:rPr>
        <w:t xml:space="preserve">Example: Data will be stored on the University server which is backed up on an offsite server. </w:t>
      </w:r>
    </w:p>
    <w:p w:rsidR="005D6431" w14:paraId="3D4B35AD" w14:textId="77777777">
      <w:pPr>
        <w:pStyle w:val="Heading4"/>
        <w:ind w:left="-720"/>
        <w:rPr>
          <w:sz w:val="22"/>
          <w:szCs w:val="22"/>
        </w:rPr>
      </w:pPr>
      <w:bookmarkStart w:id="14" w:name="_g3mfbyf9nh9b" w:colFirst="0" w:colLast="0"/>
      <w:bookmarkEnd w:id="14"/>
      <w:r>
        <w:rPr>
          <w:sz w:val="22"/>
          <w:szCs w:val="22"/>
        </w:rPr>
        <w:br/>
      </w:r>
      <w:r>
        <w:rPr>
          <w:sz w:val="22"/>
          <w:szCs w:val="22"/>
        </w:rPr>
        <w:br/>
        <w:t>Section 7: General</w:t>
      </w:r>
    </w:p>
    <w:p w:rsidR="005D6431" w14:paraId="0956FA81" w14:textId="77777777">
      <w:pPr>
        <w:rPr>
          <w:sz w:val="20"/>
          <w:szCs w:val="20"/>
        </w:rPr>
      </w:pPr>
      <w:r>
        <w:rPr>
          <w:sz w:val="20"/>
          <w:szCs w:val="20"/>
        </w:rPr>
        <w:t xml:space="preserve">7.1 </w:t>
      </w:r>
      <w:r>
        <w:rPr>
          <w:b/>
          <w:sz w:val="20"/>
          <w:szCs w:val="20"/>
        </w:rPr>
        <w:t>Briefly describe how data management is accounted for in your project budget. This can include project team member time for metadata/data preparations, data hardware such as hard drives or server space, and any fees associated with data archival.</w:t>
      </w:r>
      <w:r>
        <w:rPr>
          <w:b/>
          <w:sz w:val="20"/>
          <w:szCs w:val="20"/>
        </w:rPr>
        <w:br/>
      </w:r>
      <w:r>
        <w:rPr>
          <w:sz w:val="20"/>
          <w:szCs w:val="20"/>
        </w:rPr>
        <w:t xml:space="preserve">Example: Select project team members have a set percentage of time dedicated to data management and archival preparations as indicated in the budget. Additionally, we have contacted NCEI and no archival fees will be required to archive this project’s datasets. </w:t>
      </w:r>
    </w:p>
    <w:p w:rsidR="005D6431" w14:paraId="68D4E101" w14:textId="77777777">
      <w:pPr>
        <w:rPr>
          <w:sz w:val="20"/>
          <w:szCs w:val="20"/>
        </w:rPr>
      </w:pPr>
    </w:p>
    <w:p w:rsidR="005D6431" w14:paraId="49C8E1C4" w14:textId="77777777">
      <w:pPr>
        <w:rPr>
          <w:b/>
          <w:sz w:val="20"/>
          <w:szCs w:val="20"/>
        </w:rPr>
      </w:pPr>
      <w:r>
        <w:rPr>
          <w:sz w:val="20"/>
          <w:szCs w:val="20"/>
        </w:rPr>
        <w:t xml:space="preserve">7.2 </w:t>
      </w:r>
      <w:r>
        <w:rPr>
          <w:b/>
          <w:sz w:val="20"/>
          <w:szCs w:val="20"/>
        </w:rPr>
        <w:t xml:space="preserve">All sub-awardees have as a condition of their contract the acceptance of this data sharing plan. This includes open data licenses for the data and metadata generated and budgeted time for data management and archival preparations. </w:t>
      </w:r>
    </w:p>
    <w:p w:rsidR="005D6431" w14:paraId="3A8A0674" w14:textId="7D95D0A9">
      <w:pPr>
        <w:rPr>
          <w:sz w:val="20"/>
          <w:szCs w:val="20"/>
        </w:rPr>
      </w:pPr>
      <w:r>
        <w:rPr>
          <w:sz w:val="20"/>
          <w:szCs w:val="20"/>
        </w:rPr>
        <w:t>(</w:t>
      </w:r>
      <w:r w:rsidR="00BF7E23">
        <w:rPr>
          <w:sz w:val="20"/>
          <w:szCs w:val="20"/>
        </w:rPr>
        <w:t>Describe</w:t>
      </w:r>
      <w:r>
        <w:rPr>
          <w:sz w:val="20"/>
          <w:szCs w:val="20"/>
        </w:rPr>
        <w:t xml:space="preserve"> any if limitations to sub-award contracts accepting this data management plan exist)</w:t>
      </w:r>
    </w:p>
    <w:p w:rsidR="005D6431" w14:paraId="5C265958" w14:textId="77777777">
      <w:pPr>
        <w:rPr>
          <w:sz w:val="20"/>
          <w:szCs w:val="20"/>
        </w:rPr>
      </w:pPr>
    </w:p>
    <w:p w:rsidR="005D6431" w14:paraId="463E7091" w14:textId="77777777">
      <w:pPr>
        <w:widowControl w:val="0"/>
        <w:spacing w:line="240" w:lineRule="auto"/>
        <w:rPr>
          <w:b/>
          <w:sz w:val="20"/>
          <w:szCs w:val="20"/>
        </w:rPr>
      </w:pPr>
      <w:r>
        <w:rPr>
          <w:sz w:val="20"/>
          <w:szCs w:val="20"/>
        </w:rPr>
        <w:t xml:space="preserve">7.3 </w:t>
      </w:r>
      <w:r>
        <w:rPr>
          <w:b/>
          <w:sz w:val="20"/>
          <w:szCs w:val="20"/>
        </w:rPr>
        <w:t>Describe any prior experience in making data accessible:</w:t>
      </w:r>
    </w:p>
    <w:p w:rsidR="005D6431" w14:paraId="64713E38" w14:textId="77777777">
      <w:pPr>
        <w:widowControl w:val="0"/>
        <w:spacing w:line="240" w:lineRule="auto"/>
        <w:rPr>
          <w:sz w:val="20"/>
          <w:szCs w:val="20"/>
        </w:rPr>
      </w:pPr>
      <w:r>
        <w:rPr>
          <w:sz w:val="20"/>
          <w:szCs w:val="20"/>
        </w:rPr>
        <w:t xml:space="preserve">Example: The PIs for this project are committed to making the data publicly available as demonstrated in past awarded proposals. Please see citations to previous archived datasets listed in project team member’s CVs. </w:t>
      </w:r>
    </w:p>
    <w:p w:rsidR="005D6431" w14:paraId="676CD87C" w14:textId="77777777">
      <w:pPr>
        <w:widowControl w:val="0"/>
        <w:spacing w:line="240" w:lineRule="auto"/>
        <w:rPr>
          <w:sz w:val="20"/>
          <w:szCs w:val="20"/>
        </w:rPr>
      </w:pPr>
    </w:p>
    <w:p w:rsidR="005D6431" w14:paraId="55BA0DB3" w14:textId="77777777">
      <w:pPr>
        <w:rPr>
          <w:sz w:val="20"/>
          <w:szCs w:val="20"/>
        </w:rPr>
      </w:pPr>
    </w:p>
    <w:p w:rsidR="005D6431" w14:paraId="5DAC6125" w14:textId="77777777">
      <w:pPr>
        <w:rPr>
          <w:sz w:val="20"/>
          <w:szCs w:val="20"/>
        </w:rPr>
      </w:pPr>
      <w:r>
        <w:rPr>
          <w:sz w:val="20"/>
          <w:szCs w:val="20"/>
        </w:rPr>
        <w:t xml:space="preserve">7.4 </w:t>
      </w:r>
      <w:r>
        <w:rPr>
          <w:b/>
          <w:sz w:val="20"/>
          <w:szCs w:val="20"/>
        </w:rPr>
        <w:t>Will any technical publications or journal articles be published as part of this project? If YES, please explain.</w:t>
      </w:r>
      <w:r>
        <w:rPr>
          <w:sz w:val="20"/>
          <w:szCs w:val="20"/>
        </w:rPr>
        <w:br/>
        <w:t xml:space="preserve"> (list any technical publications or journal articles that will be published)</w:t>
      </w:r>
      <w:r>
        <w:rPr>
          <w:sz w:val="20"/>
          <w:szCs w:val="20"/>
        </w:rPr>
        <w:br/>
        <w:t xml:space="preserve">Example: Yes, journal articles are intended to be produced to summarize the ecosystem diversity data collected as part of this project. </w:t>
      </w:r>
    </w:p>
    <w:p w:rsidR="005D6431" w14:paraId="3917AF78" w14:textId="77777777">
      <w:pPr>
        <w:rPr>
          <w:sz w:val="20"/>
          <w:szCs w:val="20"/>
        </w:rPr>
      </w:pPr>
    </w:p>
    <w:p w:rsidR="005D6431" w14:paraId="5CB35F11" w14:textId="77777777">
      <w:pPr>
        <w:rPr>
          <w:sz w:val="20"/>
          <w:szCs w:val="20"/>
        </w:rPr>
      </w:pPr>
    </w:p>
    <w:p w:rsidR="000C763E" w:rsidRPr="000C763E" w:rsidP="000C763E" w14:paraId="2DB61061" w14:textId="77777777">
      <w:pPr>
        <w:pStyle w:val="BodyText"/>
        <w:ind w:left="0" w:right="198" w:firstLine="0"/>
        <w:jc w:val="both"/>
        <w:rPr>
          <w:rFonts w:asciiTheme="majorHAnsi" w:hAnsiTheme="majorHAnsi" w:cstheme="majorHAnsi"/>
          <w:sz w:val="18"/>
          <w:szCs w:val="18"/>
        </w:rPr>
      </w:pPr>
      <w:bookmarkStart w:id="15" w:name="_e3ife6pg27v2" w:colFirst="0" w:colLast="0"/>
      <w:bookmarkStart w:id="16" w:name="_7imjeyan0a18" w:colFirst="0" w:colLast="0"/>
      <w:bookmarkStart w:id="17" w:name="_uew7gbczsqaj" w:colFirst="0" w:colLast="0"/>
      <w:bookmarkEnd w:id="15"/>
      <w:bookmarkEnd w:id="16"/>
      <w:bookmarkEnd w:id="17"/>
      <w:r w:rsidRPr="000C763E">
        <w:rPr>
          <w:rFonts w:asciiTheme="majorHAnsi" w:hAnsiTheme="majorHAnsi" w:cstheme="majorHAnsi"/>
          <w:spacing w:val="-1"/>
          <w:sz w:val="18"/>
          <w:szCs w:val="18"/>
        </w:rPr>
        <w:t>Public</w:t>
      </w:r>
      <w:r w:rsidRPr="000C763E">
        <w:rPr>
          <w:rFonts w:asciiTheme="majorHAnsi" w:hAnsiTheme="majorHAnsi" w:cstheme="majorHAnsi"/>
          <w:spacing w:val="9"/>
          <w:sz w:val="18"/>
          <w:szCs w:val="18"/>
        </w:rPr>
        <w:t xml:space="preserve"> </w:t>
      </w:r>
      <w:r w:rsidRPr="000C763E">
        <w:rPr>
          <w:rFonts w:asciiTheme="majorHAnsi" w:hAnsiTheme="majorHAnsi" w:cstheme="majorHAnsi"/>
          <w:spacing w:val="-2"/>
          <w:sz w:val="18"/>
          <w:szCs w:val="18"/>
        </w:rPr>
        <w:t>reporting</w:t>
      </w:r>
      <w:r w:rsidRPr="000C763E">
        <w:rPr>
          <w:rFonts w:asciiTheme="majorHAnsi" w:hAnsiTheme="majorHAnsi" w:cstheme="majorHAnsi"/>
          <w:spacing w:val="9"/>
          <w:sz w:val="18"/>
          <w:szCs w:val="18"/>
        </w:rPr>
        <w:t xml:space="preserve"> </w:t>
      </w:r>
      <w:r w:rsidRPr="000C763E">
        <w:rPr>
          <w:rFonts w:asciiTheme="majorHAnsi" w:hAnsiTheme="majorHAnsi" w:cstheme="majorHAnsi"/>
          <w:spacing w:val="-2"/>
          <w:sz w:val="18"/>
          <w:szCs w:val="18"/>
        </w:rPr>
        <w:t>burden</w:t>
      </w:r>
      <w:r w:rsidRPr="000C763E">
        <w:rPr>
          <w:rFonts w:asciiTheme="majorHAnsi" w:hAnsiTheme="majorHAnsi" w:cstheme="majorHAnsi"/>
          <w:spacing w:val="10"/>
          <w:sz w:val="18"/>
          <w:szCs w:val="18"/>
        </w:rPr>
        <w:t xml:space="preserve"> </w:t>
      </w:r>
      <w:r w:rsidRPr="000C763E">
        <w:rPr>
          <w:rFonts w:asciiTheme="majorHAnsi" w:hAnsiTheme="majorHAnsi" w:cstheme="majorHAnsi"/>
          <w:spacing w:val="-1"/>
          <w:sz w:val="18"/>
          <w:szCs w:val="18"/>
        </w:rPr>
        <w:t>for</w:t>
      </w:r>
      <w:r w:rsidRPr="000C763E">
        <w:rPr>
          <w:rFonts w:asciiTheme="majorHAnsi" w:hAnsiTheme="majorHAnsi" w:cstheme="majorHAnsi"/>
          <w:spacing w:val="11"/>
          <w:sz w:val="18"/>
          <w:szCs w:val="18"/>
        </w:rPr>
        <w:t xml:space="preserve"> </w:t>
      </w:r>
      <w:r w:rsidRPr="000C763E">
        <w:rPr>
          <w:rFonts w:asciiTheme="majorHAnsi" w:hAnsiTheme="majorHAnsi" w:cstheme="majorHAnsi"/>
          <w:spacing w:val="-2"/>
          <w:sz w:val="18"/>
          <w:szCs w:val="18"/>
        </w:rPr>
        <w:t>this</w:t>
      </w:r>
      <w:r w:rsidRPr="000C763E">
        <w:rPr>
          <w:rFonts w:asciiTheme="majorHAnsi" w:hAnsiTheme="majorHAnsi" w:cstheme="majorHAnsi"/>
          <w:spacing w:val="11"/>
          <w:sz w:val="18"/>
          <w:szCs w:val="18"/>
        </w:rPr>
        <w:t xml:space="preserve"> </w:t>
      </w:r>
      <w:r w:rsidRPr="000C763E">
        <w:rPr>
          <w:rFonts w:asciiTheme="majorHAnsi" w:hAnsiTheme="majorHAnsi" w:cstheme="majorHAnsi"/>
          <w:spacing w:val="-2"/>
          <w:sz w:val="18"/>
          <w:szCs w:val="18"/>
        </w:rPr>
        <w:t>collection</w:t>
      </w:r>
      <w:r w:rsidRPr="000C763E">
        <w:rPr>
          <w:rFonts w:asciiTheme="majorHAnsi" w:hAnsiTheme="majorHAnsi" w:cstheme="majorHAnsi"/>
          <w:spacing w:val="12"/>
          <w:sz w:val="18"/>
          <w:szCs w:val="18"/>
        </w:rPr>
        <w:t xml:space="preserve"> </w:t>
      </w:r>
      <w:r w:rsidRPr="000C763E">
        <w:rPr>
          <w:rFonts w:asciiTheme="majorHAnsi" w:hAnsiTheme="majorHAnsi" w:cstheme="majorHAnsi"/>
          <w:sz w:val="18"/>
          <w:szCs w:val="18"/>
        </w:rPr>
        <w:t>of</w:t>
      </w:r>
      <w:r w:rsidRPr="000C763E">
        <w:rPr>
          <w:rFonts w:asciiTheme="majorHAnsi" w:hAnsiTheme="majorHAnsi" w:cstheme="majorHAnsi"/>
          <w:spacing w:val="11"/>
          <w:sz w:val="18"/>
          <w:szCs w:val="18"/>
        </w:rPr>
        <w:t xml:space="preserve"> </w:t>
      </w:r>
      <w:r w:rsidRPr="000C763E">
        <w:rPr>
          <w:rFonts w:asciiTheme="majorHAnsi" w:hAnsiTheme="majorHAnsi" w:cstheme="majorHAnsi"/>
          <w:spacing w:val="-3"/>
          <w:sz w:val="18"/>
          <w:szCs w:val="18"/>
        </w:rPr>
        <w:t>information</w:t>
      </w:r>
      <w:r w:rsidRPr="000C763E">
        <w:rPr>
          <w:rFonts w:asciiTheme="majorHAnsi" w:hAnsiTheme="majorHAnsi" w:cstheme="majorHAnsi"/>
          <w:spacing w:val="14"/>
          <w:sz w:val="18"/>
          <w:szCs w:val="18"/>
        </w:rPr>
        <w:t xml:space="preserve"> </w:t>
      </w:r>
      <w:r w:rsidRPr="000C763E">
        <w:rPr>
          <w:rFonts w:asciiTheme="majorHAnsi" w:hAnsiTheme="majorHAnsi" w:cstheme="majorHAnsi"/>
          <w:spacing w:val="-1"/>
          <w:sz w:val="18"/>
          <w:szCs w:val="18"/>
        </w:rPr>
        <w:t>is</w:t>
      </w:r>
      <w:r w:rsidRPr="000C763E">
        <w:rPr>
          <w:rFonts w:asciiTheme="majorHAnsi" w:hAnsiTheme="majorHAnsi" w:cstheme="majorHAnsi"/>
          <w:spacing w:val="11"/>
          <w:sz w:val="18"/>
          <w:szCs w:val="18"/>
        </w:rPr>
        <w:t xml:space="preserve"> </w:t>
      </w:r>
      <w:r w:rsidRPr="000C763E">
        <w:rPr>
          <w:rFonts w:asciiTheme="majorHAnsi" w:hAnsiTheme="majorHAnsi" w:cstheme="majorHAnsi"/>
          <w:spacing w:val="-3"/>
          <w:sz w:val="18"/>
          <w:szCs w:val="18"/>
        </w:rPr>
        <w:t>estimated</w:t>
      </w:r>
      <w:r w:rsidRPr="000C763E">
        <w:rPr>
          <w:rFonts w:asciiTheme="majorHAnsi" w:hAnsiTheme="majorHAnsi" w:cstheme="majorHAnsi"/>
          <w:spacing w:val="12"/>
          <w:sz w:val="18"/>
          <w:szCs w:val="18"/>
        </w:rPr>
        <w:t xml:space="preserve"> </w:t>
      </w:r>
      <w:r w:rsidRPr="000C763E">
        <w:rPr>
          <w:rFonts w:asciiTheme="majorHAnsi" w:hAnsiTheme="majorHAnsi" w:cstheme="majorHAnsi"/>
          <w:spacing w:val="-1"/>
          <w:sz w:val="18"/>
          <w:szCs w:val="18"/>
        </w:rPr>
        <w:t>to</w:t>
      </w:r>
      <w:r w:rsidRPr="000C763E">
        <w:rPr>
          <w:rFonts w:asciiTheme="majorHAnsi" w:hAnsiTheme="majorHAnsi" w:cstheme="majorHAnsi"/>
          <w:spacing w:val="12"/>
          <w:sz w:val="18"/>
          <w:szCs w:val="18"/>
        </w:rPr>
        <w:t xml:space="preserve"> </w:t>
      </w:r>
      <w:r w:rsidRPr="000C763E">
        <w:rPr>
          <w:rFonts w:asciiTheme="majorHAnsi" w:hAnsiTheme="majorHAnsi" w:cstheme="majorHAnsi"/>
          <w:spacing w:val="-2"/>
          <w:sz w:val="18"/>
          <w:szCs w:val="18"/>
        </w:rPr>
        <w:t>average</w:t>
      </w:r>
      <w:r w:rsidRPr="000C763E">
        <w:rPr>
          <w:rFonts w:asciiTheme="majorHAnsi" w:hAnsiTheme="majorHAnsi" w:cstheme="majorHAnsi"/>
          <w:spacing w:val="9"/>
          <w:sz w:val="18"/>
          <w:szCs w:val="18"/>
        </w:rPr>
        <w:t xml:space="preserve"> </w:t>
      </w:r>
      <w:r w:rsidRPr="000C763E">
        <w:rPr>
          <w:rFonts w:asciiTheme="majorHAnsi" w:hAnsiTheme="majorHAnsi" w:cstheme="majorHAnsi"/>
          <w:sz w:val="18"/>
          <w:szCs w:val="18"/>
        </w:rPr>
        <w:t>30</w:t>
      </w:r>
      <w:r w:rsidRPr="000C763E">
        <w:rPr>
          <w:rFonts w:asciiTheme="majorHAnsi" w:hAnsiTheme="majorHAnsi" w:cstheme="majorHAnsi"/>
          <w:spacing w:val="9"/>
          <w:sz w:val="18"/>
          <w:szCs w:val="18"/>
        </w:rPr>
        <w:t xml:space="preserve"> </w:t>
      </w:r>
      <w:r w:rsidRPr="000C763E">
        <w:rPr>
          <w:rFonts w:asciiTheme="majorHAnsi" w:hAnsiTheme="majorHAnsi" w:cstheme="majorHAnsi"/>
          <w:spacing w:val="-2"/>
          <w:sz w:val="18"/>
          <w:szCs w:val="18"/>
        </w:rPr>
        <w:t>minutes</w:t>
      </w:r>
      <w:r w:rsidRPr="000C763E">
        <w:rPr>
          <w:rFonts w:asciiTheme="majorHAnsi" w:hAnsiTheme="majorHAnsi" w:cstheme="majorHAnsi"/>
          <w:spacing w:val="87"/>
          <w:sz w:val="18"/>
          <w:szCs w:val="18"/>
        </w:rPr>
        <w:t xml:space="preserve"> </w:t>
      </w:r>
      <w:r w:rsidRPr="000C763E">
        <w:rPr>
          <w:rFonts w:asciiTheme="majorHAnsi" w:hAnsiTheme="majorHAnsi" w:cstheme="majorHAnsi"/>
          <w:spacing w:val="-1"/>
          <w:sz w:val="18"/>
          <w:szCs w:val="18"/>
        </w:rPr>
        <w:t>per</w:t>
      </w:r>
      <w:r w:rsidRPr="000C763E">
        <w:rPr>
          <w:rFonts w:asciiTheme="majorHAnsi" w:hAnsiTheme="majorHAnsi" w:cstheme="majorHAnsi"/>
          <w:spacing w:val="4"/>
          <w:sz w:val="18"/>
          <w:szCs w:val="18"/>
        </w:rPr>
        <w:t xml:space="preserve"> </w:t>
      </w:r>
      <w:r w:rsidRPr="000C763E">
        <w:rPr>
          <w:rFonts w:asciiTheme="majorHAnsi" w:hAnsiTheme="majorHAnsi" w:cstheme="majorHAnsi"/>
          <w:spacing w:val="-1"/>
          <w:sz w:val="18"/>
          <w:szCs w:val="18"/>
        </w:rPr>
        <w:t>response,</w:t>
      </w:r>
      <w:r w:rsidRPr="000C763E">
        <w:rPr>
          <w:rFonts w:asciiTheme="majorHAnsi" w:hAnsiTheme="majorHAnsi" w:cstheme="majorHAnsi"/>
          <w:spacing w:val="2"/>
          <w:sz w:val="18"/>
          <w:szCs w:val="18"/>
        </w:rPr>
        <w:t xml:space="preserve"> </w:t>
      </w:r>
      <w:r w:rsidRPr="000C763E">
        <w:rPr>
          <w:rFonts w:asciiTheme="majorHAnsi" w:hAnsiTheme="majorHAnsi" w:cstheme="majorHAnsi"/>
          <w:spacing w:val="-2"/>
          <w:sz w:val="18"/>
          <w:szCs w:val="18"/>
        </w:rPr>
        <w:t>including</w:t>
      </w:r>
      <w:r w:rsidRPr="000C763E">
        <w:rPr>
          <w:rFonts w:asciiTheme="majorHAnsi" w:hAnsiTheme="majorHAnsi" w:cstheme="majorHAnsi"/>
          <w:spacing w:val="2"/>
          <w:sz w:val="18"/>
          <w:szCs w:val="18"/>
        </w:rPr>
        <w:t xml:space="preserve"> </w:t>
      </w:r>
      <w:r w:rsidRPr="000C763E">
        <w:rPr>
          <w:rFonts w:asciiTheme="majorHAnsi" w:hAnsiTheme="majorHAnsi" w:cstheme="majorHAnsi"/>
          <w:spacing w:val="-4"/>
          <w:sz w:val="18"/>
          <w:szCs w:val="18"/>
        </w:rPr>
        <w:t>time</w:t>
      </w:r>
      <w:r w:rsidRPr="000C763E">
        <w:rPr>
          <w:rFonts w:asciiTheme="majorHAnsi" w:hAnsiTheme="majorHAnsi" w:cstheme="majorHAnsi"/>
          <w:spacing w:val="7"/>
          <w:sz w:val="18"/>
          <w:szCs w:val="18"/>
        </w:rPr>
        <w:t xml:space="preserve"> </w:t>
      </w:r>
      <w:r w:rsidRPr="000C763E">
        <w:rPr>
          <w:rFonts w:asciiTheme="majorHAnsi" w:hAnsiTheme="majorHAnsi" w:cstheme="majorHAnsi"/>
          <w:spacing w:val="-1"/>
          <w:sz w:val="18"/>
          <w:szCs w:val="18"/>
        </w:rPr>
        <w:t>for</w:t>
      </w:r>
      <w:r w:rsidRPr="000C763E">
        <w:rPr>
          <w:rFonts w:asciiTheme="majorHAnsi" w:hAnsiTheme="majorHAnsi" w:cstheme="majorHAnsi"/>
          <w:spacing w:val="4"/>
          <w:sz w:val="18"/>
          <w:szCs w:val="18"/>
        </w:rPr>
        <w:t xml:space="preserve"> </w:t>
      </w:r>
      <w:r w:rsidRPr="000C763E">
        <w:rPr>
          <w:rFonts w:asciiTheme="majorHAnsi" w:hAnsiTheme="majorHAnsi" w:cstheme="majorHAnsi"/>
          <w:spacing w:val="-2"/>
          <w:sz w:val="18"/>
          <w:szCs w:val="18"/>
        </w:rPr>
        <w:t>reviewing</w:t>
      </w:r>
      <w:r w:rsidRPr="000C763E">
        <w:rPr>
          <w:rFonts w:asciiTheme="majorHAnsi" w:hAnsiTheme="majorHAnsi" w:cstheme="majorHAnsi"/>
          <w:spacing w:val="2"/>
          <w:sz w:val="18"/>
          <w:szCs w:val="18"/>
        </w:rPr>
        <w:t xml:space="preserve"> </w:t>
      </w:r>
      <w:r w:rsidRPr="000C763E">
        <w:rPr>
          <w:rFonts w:asciiTheme="majorHAnsi" w:hAnsiTheme="majorHAnsi" w:cstheme="majorHAnsi"/>
          <w:spacing w:val="-2"/>
          <w:sz w:val="18"/>
          <w:szCs w:val="18"/>
        </w:rPr>
        <w:t>instructions,</w:t>
      </w:r>
      <w:r w:rsidRPr="000C763E">
        <w:rPr>
          <w:rFonts w:asciiTheme="majorHAnsi" w:hAnsiTheme="majorHAnsi" w:cstheme="majorHAnsi"/>
          <w:spacing w:val="4"/>
          <w:sz w:val="18"/>
          <w:szCs w:val="18"/>
        </w:rPr>
        <w:t xml:space="preserve"> </w:t>
      </w:r>
      <w:r w:rsidRPr="000C763E">
        <w:rPr>
          <w:rFonts w:asciiTheme="majorHAnsi" w:hAnsiTheme="majorHAnsi" w:cstheme="majorHAnsi"/>
          <w:spacing w:val="-1"/>
          <w:sz w:val="18"/>
          <w:szCs w:val="18"/>
        </w:rPr>
        <w:t>searching</w:t>
      </w:r>
      <w:r w:rsidRPr="000C763E">
        <w:rPr>
          <w:rFonts w:asciiTheme="majorHAnsi" w:hAnsiTheme="majorHAnsi" w:cstheme="majorHAnsi"/>
          <w:spacing w:val="2"/>
          <w:sz w:val="18"/>
          <w:szCs w:val="18"/>
        </w:rPr>
        <w:t xml:space="preserve"> </w:t>
      </w:r>
      <w:r w:rsidRPr="000C763E">
        <w:rPr>
          <w:rFonts w:asciiTheme="majorHAnsi" w:hAnsiTheme="majorHAnsi" w:cstheme="majorHAnsi"/>
          <w:spacing w:val="-2"/>
          <w:sz w:val="18"/>
          <w:szCs w:val="18"/>
        </w:rPr>
        <w:t>existing</w:t>
      </w:r>
      <w:r w:rsidRPr="000C763E">
        <w:rPr>
          <w:rFonts w:asciiTheme="majorHAnsi" w:hAnsiTheme="majorHAnsi" w:cstheme="majorHAnsi"/>
          <w:spacing w:val="5"/>
          <w:sz w:val="18"/>
          <w:szCs w:val="18"/>
        </w:rPr>
        <w:t xml:space="preserve"> </w:t>
      </w:r>
      <w:r w:rsidRPr="000C763E">
        <w:rPr>
          <w:rFonts w:asciiTheme="majorHAnsi" w:hAnsiTheme="majorHAnsi" w:cstheme="majorHAnsi"/>
          <w:spacing w:val="-2"/>
          <w:sz w:val="18"/>
          <w:szCs w:val="18"/>
        </w:rPr>
        <w:t>data</w:t>
      </w:r>
      <w:r w:rsidRPr="000C763E">
        <w:rPr>
          <w:rFonts w:asciiTheme="majorHAnsi" w:hAnsiTheme="majorHAnsi" w:cstheme="majorHAnsi"/>
          <w:spacing w:val="4"/>
          <w:sz w:val="18"/>
          <w:szCs w:val="18"/>
        </w:rPr>
        <w:t xml:space="preserve"> </w:t>
      </w:r>
      <w:r w:rsidRPr="000C763E">
        <w:rPr>
          <w:rFonts w:asciiTheme="majorHAnsi" w:hAnsiTheme="majorHAnsi" w:cstheme="majorHAnsi"/>
          <w:spacing w:val="-2"/>
          <w:sz w:val="18"/>
          <w:szCs w:val="18"/>
        </w:rPr>
        <w:t>sources,</w:t>
      </w:r>
      <w:r w:rsidRPr="000C763E">
        <w:rPr>
          <w:rFonts w:asciiTheme="majorHAnsi" w:hAnsiTheme="majorHAnsi" w:cstheme="majorHAnsi"/>
          <w:spacing w:val="5"/>
          <w:sz w:val="18"/>
          <w:szCs w:val="18"/>
        </w:rPr>
        <w:t xml:space="preserve"> </w:t>
      </w:r>
      <w:r w:rsidRPr="000C763E">
        <w:rPr>
          <w:rFonts w:asciiTheme="majorHAnsi" w:hAnsiTheme="majorHAnsi" w:cstheme="majorHAnsi"/>
          <w:spacing w:val="-2"/>
          <w:sz w:val="18"/>
          <w:szCs w:val="18"/>
        </w:rPr>
        <w:t>gathering</w:t>
      </w:r>
      <w:r w:rsidRPr="000C763E">
        <w:rPr>
          <w:rFonts w:asciiTheme="majorHAnsi" w:hAnsiTheme="majorHAnsi" w:cstheme="majorHAnsi"/>
          <w:spacing w:val="2"/>
          <w:sz w:val="18"/>
          <w:szCs w:val="18"/>
        </w:rPr>
        <w:t xml:space="preserve"> </w:t>
      </w:r>
      <w:r w:rsidRPr="000C763E">
        <w:rPr>
          <w:rFonts w:asciiTheme="majorHAnsi" w:hAnsiTheme="majorHAnsi" w:cstheme="majorHAnsi"/>
          <w:spacing w:val="-3"/>
          <w:sz w:val="18"/>
          <w:szCs w:val="18"/>
        </w:rPr>
        <w:t>and</w:t>
      </w:r>
      <w:r w:rsidRPr="000C763E">
        <w:rPr>
          <w:rFonts w:asciiTheme="majorHAnsi" w:hAnsiTheme="majorHAnsi" w:cstheme="majorHAnsi"/>
          <w:spacing w:val="91"/>
          <w:sz w:val="18"/>
          <w:szCs w:val="18"/>
        </w:rPr>
        <w:t xml:space="preserve"> </w:t>
      </w:r>
      <w:r w:rsidRPr="000C763E">
        <w:rPr>
          <w:rFonts w:asciiTheme="majorHAnsi" w:hAnsiTheme="majorHAnsi" w:cstheme="majorHAnsi"/>
          <w:spacing w:val="-2"/>
          <w:sz w:val="18"/>
          <w:szCs w:val="18"/>
        </w:rPr>
        <w:t>maintaining</w:t>
      </w:r>
      <w:r w:rsidRPr="000C763E">
        <w:rPr>
          <w:rFonts w:asciiTheme="majorHAnsi" w:hAnsiTheme="majorHAnsi" w:cstheme="majorHAnsi"/>
          <w:sz w:val="18"/>
          <w:szCs w:val="18"/>
        </w:rPr>
        <w:t xml:space="preserve"> </w:t>
      </w:r>
      <w:r w:rsidRPr="000C763E">
        <w:rPr>
          <w:rFonts w:asciiTheme="majorHAnsi" w:hAnsiTheme="majorHAnsi" w:cstheme="majorHAnsi"/>
          <w:spacing w:val="-1"/>
          <w:sz w:val="18"/>
          <w:szCs w:val="18"/>
        </w:rPr>
        <w:t>the</w:t>
      </w:r>
      <w:r w:rsidRPr="000C763E">
        <w:rPr>
          <w:rFonts w:asciiTheme="majorHAnsi" w:hAnsiTheme="majorHAnsi" w:cstheme="majorHAnsi"/>
          <w:sz w:val="18"/>
          <w:szCs w:val="18"/>
        </w:rPr>
        <w:t xml:space="preserve"> </w:t>
      </w:r>
      <w:r w:rsidRPr="000C763E">
        <w:rPr>
          <w:rFonts w:asciiTheme="majorHAnsi" w:hAnsiTheme="majorHAnsi" w:cstheme="majorHAnsi"/>
          <w:spacing w:val="-2"/>
          <w:sz w:val="18"/>
          <w:szCs w:val="18"/>
        </w:rPr>
        <w:t>data</w:t>
      </w:r>
      <w:r w:rsidRPr="000C763E">
        <w:rPr>
          <w:rFonts w:asciiTheme="majorHAnsi" w:hAnsiTheme="majorHAnsi" w:cstheme="majorHAnsi"/>
          <w:sz w:val="18"/>
          <w:szCs w:val="18"/>
        </w:rPr>
        <w:t xml:space="preserve"> </w:t>
      </w:r>
      <w:r w:rsidRPr="000C763E">
        <w:rPr>
          <w:rFonts w:asciiTheme="majorHAnsi" w:hAnsiTheme="majorHAnsi" w:cstheme="majorHAnsi"/>
          <w:spacing w:val="-2"/>
          <w:sz w:val="18"/>
          <w:szCs w:val="18"/>
        </w:rPr>
        <w:t>needed</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1"/>
          <w:sz w:val="18"/>
          <w:szCs w:val="18"/>
        </w:rPr>
        <w:t>and</w:t>
      </w:r>
      <w:r w:rsidRPr="000C763E">
        <w:rPr>
          <w:rFonts w:asciiTheme="majorHAnsi" w:hAnsiTheme="majorHAnsi" w:cstheme="majorHAnsi"/>
          <w:sz w:val="18"/>
          <w:szCs w:val="18"/>
        </w:rPr>
        <w:t xml:space="preserve"> </w:t>
      </w:r>
      <w:r w:rsidRPr="000C763E">
        <w:rPr>
          <w:rFonts w:asciiTheme="majorHAnsi" w:hAnsiTheme="majorHAnsi" w:cstheme="majorHAnsi"/>
          <w:spacing w:val="-2"/>
          <w:sz w:val="18"/>
          <w:szCs w:val="18"/>
        </w:rPr>
        <w:t>completing</w:t>
      </w:r>
      <w:r w:rsidRPr="000C763E">
        <w:rPr>
          <w:rFonts w:asciiTheme="majorHAnsi" w:hAnsiTheme="majorHAnsi" w:cstheme="majorHAnsi"/>
          <w:sz w:val="18"/>
          <w:szCs w:val="18"/>
        </w:rPr>
        <w:t xml:space="preserve"> </w:t>
      </w:r>
      <w:r w:rsidRPr="000C763E">
        <w:rPr>
          <w:rFonts w:asciiTheme="majorHAnsi" w:hAnsiTheme="majorHAnsi" w:cstheme="majorHAnsi"/>
          <w:spacing w:val="-1"/>
          <w:sz w:val="18"/>
          <w:szCs w:val="18"/>
        </w:rPr>
        <w:t>and</w:t>
      </w:r>
      <w:r w:rsidRPr="000C763E">
        <w:rPr>
          <w:rFonts w:asciiTheme="majorHAnsi" w:hAnsiTheme="majorHAnsi" w:cstheme="majorHAnsi"/>
          <w:sz w:val="18"/>
          <w:szCs w:val="18"/>
        </w:rPr>
        <w:t xml:space="preserve"> </w:t>
      </w:r>
      <w:r w:rsidRPr="000C763E">
        <w:rPr>
          <w:rFonts w:asciiTheme="majorHAnsi" w:hAnsiTheme="majorHAnsi" w:cstheme="majorHAnsi"/>
          <w:spacing w:val="-2"/>
          <w:sz w:val="18"/>
          <w:szCs w:val="18"/>
        </w:rPr>
        <w:t>reviewing</w:t>
      </w:r>
      <w:r w:rsidRPr="000C763E">
        <w:rPr>
          <w:rFonts w:asciiTheme="majorHAnsi" w:hAnsiTheme="majorHAnsi" w:cstheme="majorHAnsi"/>
          <w:sz w:val="18"/>
          <w:szCs w:val="18"/>
        </w:rPr>
        <w:t xml:space="preserve"> </w:t>
      </w:r>
      <w:r w:rsidRPr="000C763E">
        <w:rPr>
          <w:rFonts w:asciiTheme="majorHAnsi" w:hAnsiTheme="majorHAnsi" w:cstheme="majorHAnsi"/>
          <w:spacing w:val="-1"/>
          <w:sz w:val="18"/>
          <w:szCs w:val="18"/>
        </w:rPr>
        <w:t>the</w:t>
      </w:r>
      <w:r w:rsidRPr="000C763E">
        <w:rPr>
          <w:rFonts w:asciiTheme="majorHAnsi" w:hAnsiTheme="majorHAnsi" w:cstheme="majorHAnsi"/>
          <w:sz w:val="18"/>
          <w:szCs w:val="18"/>
        </w:rPr>
        <w:t xml:space="preserve"> </w:t>
      </w:r>
      <w:r w:rsidRPr="000C763E">
        <w:rPr>
          <w:rFonts w:asciiTheme="majorHAnsi" w:hAnsiTheme="majorHAnsi" w:cstheme="majorHAnsi"/>
          <w:spacing w:val="-2"/>
          <w:sz w:val="18"/>
          <w:szCs w:val="18"/>
        </w:rPr>
        <w:t>collection</w:t>
      </w:r>
      <w:r w:rsidRPr="000C763E">
        <w:rPr>
          <w:rFonts w:asciiTheme="majorHAnsi" w:hAnsiTheme="majorHAnsi" w:cstheme="majorHAnsi"/>
          <w:sz w:val="18"/>
          <w:szCs w:val="18"/>
        </w:rPr>
        <w:t xml:space="preserve"> of</w:t>
      </w:r>
      <w:r w:rsidRPr="000C763E">
        <w:rPr>
          <w:rFonts w:asciiTheme="majorHAnsi" w:hAnsiTheme="majorHAnsi" w:cstheme="majorHAnsi"/>
          <w:spacing w:val="-1"/>
          <w:sz w:val="18"/>
          <w:szCs w:val="18"/>
        </w:rPr>
        <w:t xml:space="preserve"> </w:t>
      </w:r>
      <w:r w:rsidRPr="000C763E">
        <w:rPr>
          <w:rFonts w:asciiTheme="majorHAnsi" w:hAnsiTheme="majorHAnsi" w:cstheme="majorHAnsi"/>
          <w:spacing w:val="-2"/>
          <w:sz w:val="18"/>
          <w:szCs w:val="18"/>
        </w:rPr>
        <w:t>information.</w:t>
      </w:r>
    </w:p>
    <w:p w:rsidR="000C763E" w:rsidRPr="000C763E" w:rsidP="000C763E" w14:paraId="3C9F1508" w14:textId="77777777">
      <w:pPr>
        <w:spacing w:line="240" w:lineRule="auto"/>
        <w:rPr>
          <w:rFonts w:eastAsia="Times New Roman" w:asciiTheme="majorHAnsi" w:hAnsiTheme="majorHAnsi" w:cstheme="majorHAnsi"/>
          <w:sz w:val="18"/>
          <w:szCs w:val="18"/>
        </w:rPr>
      </w:pPr>
    </w:p>
    <w:p w:rsidR="000C763E" w:rsidRPr="000C763E" w:rsidP="000C763E" w14:paraId="3DF6B74D" w14:textId="77777777">
      <w:pPr>
        <w:pStyle w:val="BodyText"/>
        <w:ind w:left="0" w:right="370" w:firstLine="0"/>
        <w:rPr>
          <w:rFonts w:asciiTheme="majorHAnsi" w:hAnsiTheme="majorHAnsi" w:cstheme="majorHAnsi"/>
          <w:sz w:val="18"/>
          <w:szCs w:val="18"/>
        </w:rPr>
      </w:pPr>
      <w:r w:rsidRPr="000C763E">
        <w:rPr>
          <w:rFonts w:asciiTheme="majorHAnsi" w:hAnsiTheme="majorHAnsi" w:cstheme="majorHAnsi"/>
          <w:spacing w:val="-1"/>
          <w:sz w:val="18"/>
          <w:szCs w:val="18"/>
        </w:rPr>
        <w:t>Send</w:t>
      </w:r>
      <w:r w:rsidRPr="000C763E">
        <w:rPr>
          <w:rFonts w:asciiTheme="majorHAnsi" w:hAnsiTheme="majorHAnsi" w:cstheme="majorHAnsi"/>
          <w:spacing w:val="-3"/>
          <w:sz w:val="18"/>
          <w:szCs w:val="18"/>
        </w:rPr>
        <w:t xml:space="preserve"> comments</w:t>
      </w:r>
      <w:r w:rsidRPr="000C763E">
        <w:rPr>
          <w:rFonts w:asciiTheme="majorHAnsi" w:hAnsiTheme="majorHAnsi" w:cstheme="majorHAnsi"/>
          <w:spacing w:val="-1"/>
          <w:sz w:val="18"/>
          <w:szCs w:val="18"/>
        </w:rPr>
        <w:t xml:space="preserve"> regarding</w:t>
      </w:r>
      <w:r w:rsidRPr="000C763E">
        <w:rPr>
          <w:rFonts w:asciiTheme="majorHAnsi" w:hAnsiTheme="majorHAnsi" w:cstheme="majorHAnsi"/>
          <w:sz w:val="18"/>
          <w:szCs w:val="18"/>
        </w:rPr>
        <w:t xml:space="preserve"> </w:t>
      </w:r>
      <w:r w:rsidRPr="000C763E">
        <w:rPr>
          <w:rFonts w:asciiTheme="majorHAnsi" w:hAnsiTheme="majorHAnsi" w:cstheme="majorHAnsi"/>
          <w:spacing w:val="-2"/>
          <w:sz w:val="18"/>
          <w:szCs w:val="18"/>
        </w:rPr>
        <w:t>this</w:t>
      </w:r>
      <w:r w:rsidRPr="000C763E">
        <w:rPr>
          <w:rFonts w:asciiTheme="majorHAnsi" w:hAnsiTheme="majorHAnsi" w:cstheme="majorHAnsi"/>
          <w:spacing w:val="-1"/>
          <w:sz w:val="18"/>
          <w:szCs w:val="18"/>
        </w:rPr>
        <w:t xml:space="preserve"> burden</w:t>
      </w:r>
      <w:r w:rsidRPr="000C763E">
        <w:rPr>
          <w:rFonts w:asciiTheme="majorHAnsi" w:hAnsiTheme="majorHAnsi" w:cstheme="majorHAnsi"/>
          <w:spacing w:val="-3"/>
          <w:sz w:val="18"/>
          <w:szCs w:val="18"/>
        </w:rPr>
        <w:t xml:space="preserve"> estimate</w:t>
      </w:r>
      <w:r w:rsidRPr="000C763E">
        <w:rPr>
          <w:rFonts w:asciiTheme="majorHAnsi" w:hAnsiTheme="majorHAnsi" w:cstheme="majorHAnsi"/>
          <w:sz w:val="18"/>
          <w:szCs w:val="18"/>
        </w:rPr>
        <w:t xml:space="preserve"> or</w:t>
      </w:r>
      <w:r w:rsidRPr="000C763E">
        <w:rPr>
          <w:rFonts w:asciiTheme="majorHAnsi" w:hAnsiTheme="majorHAnsi" w:cstheme="majorHAnsi"/>
          <w:spacing w:val="-1"/>
          <w:sz w:val="18"/>
          <w:szCs w:val="18"/>
        </w:rPr>
        <w:t xml:space="preserve"> any</w:t>
      </w:r>
      <w:r w:rsidRPr="000C763E">
        <w:rPr>
          <w:rFonts w:asciiTheme="majorHAnsi" w:hAnsiTheme="majorHAnsi" w:cstheme="majorHAnsi"/>
          <w:spacing w:val="-10"/>
          <w:sz w:val="18"/>
          <w:szCs w:val="18"/>
        </w:rPr>
        <w:t xml:space="preserve"> </w:t>
      </w:r>
      <w:r w:rsidRPr="000C763E">
        <w:rPr>
          <w:rFonts w:asciiTheme="majorHAnsi" w:hAnsiTheme="majorHAnsi" w:cstheme="majorHAnsi"/>
          <w:spacing w:val="-1"/>
          <w:sz w:val="18"/>
          <w:szCs w:val="18"/>
        </w:rPr>
        <w:t xml:space="preserve">other </w:t>
      </w:r>
      <w:r w:rsidRPr="000C763E">
        <w:rPr>
          <w:rFonts w:asciiTheme="majorHAnsi" w:hAnsiTheme="majorHAnsi" w:cstheme="majorHAnsi"/>
          <w:spacing w:val="-2"/>
          <w:sz w:val="18"/>
          <w:szCs w:val="18"/>
        </w:rPr>
        <w:t>aspects</w:t>
      </w:r>
      <w:r w:rsidRPr="000C763E">
        <w:rPr>
          <w:rFonts w:asciiTheme="majorHAnsi" w:hAnsiTheme="majorHAnsi" w:cstheme="majorHAnsi"/>
          <w:spacing w:val="-1"/>
          <w:sz w:val="18"/>
          <w:szCs w:val="18"/>
        </w:rPr>
        <w:t xml:space="preserve"> </w:t>
      </w:r>
      <w:r w:rsidRPr="000C763E">
        <w:rPr>
          <w:rFonts w:asciiTheme="majorHAnsi" w:hAnsiTheme="majorHAnsi" w:cstheme="majorHAnsi"/>
          <w:sz w:val="18"/>
          <w:szCs w:val="18"/>
        </w:rPr>
        <w:t>of</w:t>
      </w:r>
      <w:r w:rsidRPr="000C763E">
        <w:rPr>
          <w:rFonts w:asciiTheme="majorHAnsi" w:hAnsiTheme="majorHAnsi" w:cstheme="majorHAnsi"/>
          <w:spacing w:val="-1"/>
          <w:sz w:val="18"/>
          <w:szCs w:val="18"/>
        </w:rPr>
        <w:t xml:space="preserve"> </w:t>
      </w:r>
      <w:r w:rsidRPr="000C763E">
        <w:rPr>
          <w:rFonts w:asciiTheme="majorHAnsi" w:hAnsiTheme="majorHAnsi" w:cstheme="majorHAnsi"/>
          <w:spacing w:val="-2"/>
          <w:sz w:val="18"/>
          <w:szCs w:val="18"/>
        </w:rPr>
        <w:t>the</w:t>
      </w:r>
      <w:r w:rsidRPr="000C763E">
        <w:rPr>
          <w:rFonts w:asciiTheme="majorHAnsi" w:hAnsiTheme="majorHAnsi" w:cstheme="majorHAnsi"/>
          <w:sz w:val="18"/>
          <w:szCs w:val="18"/>
        </w:rPr>
        <w:t xml:space="preserve"> </w:t>
      </w:r>
      <w:r w:rsidRPr="000C763E">
        <w:rPr>
          <w:rFonts w:asciiTheme="majorHAnsi" w:hAnsiTheme="majorHAnsi" w:cstheme="majorHAnsi"/>
          <w:spacing w:val="-2"/>
          <w:sz w:val="18"/>
          <w:szCs w:val="18"/>
        </w:rPr>
        <w:t>collection</w:t>
      </w:r>
      <w:r w:rsidRPr="000C763E">
        <w:rPr>
          <w:rFonts w:asciiTheme="majorHAnsi" w:hAnsiTheme="majorHAnsi" w:cstheme="majorHAnsi"/>
          <w:sz w:val="18"/>
          <w:szCs w:val="18"/>
        </w:rPr>
        <w:t xml:space="preserve"> </w:t>
      </w:r>
      <w:r w:rsidRPr="000C763E">
        <w:rPr>
          <w:rFonts w:asciiTheme="majorHAnsi" w:hAnsiTheme="majorHAnsi" w:cstheme="majorHAnsi"/>
          <w:spacing w:val="-2"/>
          <w:sz w:val="18"/>
          <w:szCs w:val="18"/>
        </w:rPr>
        <w:t>of</w:t>
      </w:r>
      <w:r w:rsidRPr="000C763E">
        <w:rPr>
          <w:rFonts w:asciiTheme="majorHAnsi" w:hAnsiTheme="majorHAnsi" w:cstheme="majorHAnsi"/>
          <w:spacing w:val="77"/>
          <w:sz w:val="18"/>
          <w:szCs w:val="18"/>
        </w:rPr>
        <w:t xml:space="preserve"> </w:t>
      </w:r>
      <w:r w:rsidRPr="000C763E">
        <w:rPr>
          <w:rFonts w:asciiTheme="majorHAnsi" w:hAnsiTheme="majorHAnsi" w:cstheme="majorHAnsi"/>
          <w:spacing w:val="-2"/>
          <w:sz w:val="18"/>
          <w:szCs w:val="18"/>
        </w:rPr>
        <w:t>information,</w:t>
      </w:r>
      <w:r w:rsidRPr="000C763E">
        <w:rPr>
          <w:rFonts w:asciiTheme="majorHAnsi" w:hAnsiTheme="majorHAnsi" w:cstheme="majorHAnsi"/>
          <w:sz w:val="18"/>
          <w:szCs w:val="18"/>
        </w:rPr>
        <w:t xml:space="preserve"> </w:t>
      </w:r>
      <w:r w:rsidRPr="000C763E">
        <w:rPr>
          <w:rFonts w:asciiTheme="majorHAnsi" w:hAnsiTheme="majorHAnsi" w:cstheme="majorHAnsi"/>
          <w:spacing w:val="-2"/>
          <w:sz w:val="18"/>
          <w:szCs w:val="18"/>
        </w:rPr>
        <w:t>including</w:t>
      </w:r>
      <w:r w:rsidRPr="000C763E">
        <w:rPr>
          <w:rFonts w:asciiTheme="majorHAnsi" w:hAnsiTheme="majorHAnsi" w:cstheme="majorHAnsi"/>
          <w:sz w:val="18"/>
          <w:szCs w:val="18"/>
        </w:rPr>
        <w:t xml:space="preserve"> </w:t>
      </w:r>
      <w:r w:rsidRPr="000C763E">
        <w:rPr>
          <w:rFonts w:asciiTheme="majorHAnsi" w:hAnsiTheme="majorHAnsi" w:cstheme="majorHAnsi"/>
          <w:spacing w:val="-2"/>
          <w:sz w:val="18"/>
          <w:szCs w:val="18"/>
        </w:rPr>
        <w:t>suggestions</w:t>
      </w:r>
      <w:r w:rsidRPr="000C763E">
        <w:rPr>
          <w:rFonts w:asciiTheme="majorHAnsi" w:hAnsiTheme="majorHAnsi" w:cstheme="majorHAnsi"/>
          <w:spacing w:val="-1"/>
          <w:sz w:val="18"/>
          <w:szCs w:val="18"/>
        </w:rPr>
        <w:t xml:space="preserve"> for reducing</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1"/>
          <w:sz w:val="18"/>
          <w:szCs w:val="18"/>
        </w:rPr>
        <w:t xml:space="preserve">this </w:t>
      </w:r>
      <w:r w:rsidRPr="000C763E">
        <w:rPr>
          <w:rFonts w:asciiTheme="majorHAnsi" w:hAnsiTheme="majorHAnsi" w:cstheme="majorHAnsi"/>
          <w:spacing w:val="-2"/>
          <w:sz w:val="18"/>
          <w:szCs w:val="18"/>
        </w:rPr>
        <w:t>burden</w:t>
      </w:r>
      <w:r w:rsidRPr="000C763E">
        <w:rPr>
          <w:rFonts w:asciiTheme="majorHAnsi" w:hAnsiTheme="majorHAnsi" w:cstheme="majorHAnsi"/>
          <w:sz w:val="18"/>
          <w:szCs w:val="18"/>
        </w:rPr>
        <w:t xml:space="preserve"> </w:t>
      </w:r>
      <w:r w:rsidRPr="000C763E">
        <w:rPr>
          <w:rFonts w:asciiTheme="majorHAnsi" w:hAnsiTheme="majorHAnsi" w:cstheme="majorHAnsi"/>
          <w:spacing w:val="-1"/>
          <w:sz w:val="18"/>
          <w:szCs w:val="18"/>
        </w:rPr>
        <w:t>to</w:t>
      </w:r>
      <w:r w:rsidRPr="000C763E">
        <w:rPr>
          <w:rFonts w:asciiTheme="majorHAnsi" w:hAnsiTheme="majorHAnsi" w:cstheme="majorHAnsi"/>
          <w:sz w:val="18"/>
          <w:szCs w:val="18"/>
        </w:rPr>
        <w:t xml:space="preserve"> </w:t>
      </w:r>
      <w:r w:rsidRPr="000C763E">
        <w:rPr>
          <w:rFonts w:asciiTheme="majorHAnsi" w:hAnsiTheme="majorHAnsi" w:cstheme="majorHAnsi"/>
          <w:spacing w:val="-1"/>
          <w:sz w:val="18"/>
          <w:szCs w:val="18"/>
        </w:rPr>
        <w:t>the</w:t>
      </w:r>
      <w:r w:rsidRPr="000C763E">
        <w:rPr>
          <w:rFonts w:asciiTheme="majorHAnsi" w:hAnsiTheme="majorHAnsi" w:cstheme="majorHAnsi"/>
          <w:spacing w:val="-5"/>
          <w:sz w:val="18"/>
          <w:szCs w:val="18"/>
        </w:rPr>
        <w:t xml:space="preserve"> </w:t>
      </w:r>
      <w:r w:rsidRPr="000C763E">
        <w:rPr>
          <w:rFonts w:asciiTheme="majorHAnsi" w:hAnsiTheme="majorHAnsi" w:cstheme="majorHAnsi"/>
          <w:spacing w:val="-1"/>
          <w:sz w:val="18"/>
          <w:szCs w:val="18"/>
        </w:rPr>
        <w:t>National</w:t>
      </w:r>
      <w:r w:rsidRPr="000C763E">
        <w:rPr>
          <w:rFonts w:asciiTheme="majorHAnsi" w:hAnsiTheme="majorHAnsi" w:cstheme="majorHAnsi"/>
          <w:spacing w:val="-4"/>
          <w:sz w:val="18"/>
          <w:szCs w:val="18"/>
        </w:rPr>
        <w:t xml:space="preserve"> </w:t>
      </w:r>
      <w:r w:rsidRPr="000C763E">
        <w:rPr>
          <w:rFonts w:asciiTheme="majorHAnsi" w:hAnsiTheme="majorHAnsi" w:cstheme="majorHAnsi"/>
          <w:spacing w:val="-1"/>
          <w:sz w:val="18"/>
          <w:szCs w:val="18"/>
        </w:rPr>
        <w:t>Ocean</w:t>
      </w:r>
      <w:r w:rsidRPr="000C763E">
        <w:rPr>
          <w:rFonts w:asciiTheme="majorHAnsi" w:hAnsiTheme="majorHAnsi" w:cstheme="majorHAnsi"/>
          <w:spacing w:val="-5"/>
          <w:sz w:val="18"/>
          <w:szCs w:val="18"/>
        </w:rPr>
        <w:t xml:space="preserve"> </w:t>
      </w:r>
      <w:r w:rsidRPr="000C763E">
        <w:rPr>
          <w:rFonts w:asciiTheme="majorHAnsi" w:hAnsiTheme="majorHAnsi" w:cstheme="majorHAnsi"/>
          <w:spacing w:val="-2"/>
          <w:sz w:val="18"/>
          <w:szCs w:val="18"/>
        </w:rPr>
        <w:t>Service,</w:t>
      </w:r>
      <w:r w:rsidRPr="000C763E">
        <w:rPr>
          <w:rFonts w:asciiTheme="majorHAnsi" w:hAnsiTheme="majorHAnsi" w:cstheme="majorHAnsi"/>
          <w:spacing w:val="46"/>
          <w:sz w:val="18"/>
          <w:szCs w:val="18"/>
        </w:rPr>
        <w:t xml:space="preserve"> </w:t>
      </w:r>
      <w:r w:rsidRPr="000C763E">
        <w:rPr>
          <w:rFonts w:asciiTheme="majorHAnsi" w:hAnsiTheme="majorHAnsi" w:cstheme="majorHAnsi"/>
          <w:spacing w:val="-2"/>
          <w:sz w:val="18"/>
          <w:szCs w:val="18"/>
        </w:rPr>
        <w:t>CRP/COP</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1"/>
          <w:sz w:val="18"/>
          <w:szCs w:val="18"/>
        </w:rPr>
        <w:t>Office,</w:t>
      </w:r>
      <w:r w:rsidRPr="000C763E">
        <w:rPr>
          <w:rFonts w:asciiTheme="majorHAnsi" w:hAnsiTheme="majorHAnsi" w:cstheme="majorHAnsi"/>
          <w:sz w:val="18"/>
          <w:szCs w:val="18"/>
        </w:rPr>
        <w:t xml:space="preserve"> </w:t>
      </w:r>
      <w:r w:rsidRPr="000C763E">
        <w:rPr>
          <w:rFonts w:asciiTheme="majorHAnsi" w:hAnsiTheme="majorHAnsi" w:cstheme="majorHAnsi"/>
          <w:spacing w:val="-2"/>
          <w:sz w:val="18"/>
          <w:szCs w:val="18"/>
        </w:rPr>
        <w:t>1305</w:t>
      </w:r>
      <w:r w:rsidRPr="000C763E">
        <w:rPr>
          <w:rFonts w:asciiTheme="majorHAnsi" w:hAnsiTheme="majorHAnsi" w:cstheme="majorHAnsi"/>
          <w:spacing w:val="-5"/>
          <w:sz w:val="18"/>
          <w:szCs w:val="18"/>
        </w:rPr>
        <w:t xml:space="preserve"> </w:t>
      </w:r>
      <w:r w:rsidRPr="000C763E">
        <w:rPr>
          <w:rFonts w:asciiTheme="majorHAnsi" w:hAnsiTheme="majorHAnsi" w:cstheme="majorHAnsi"/>
          <w:spacing w:val="-2"/>
          <w:sz w:val="18"/>
          <w:szCs w:val="18"/>
        </w:rPr>
        <w:t>East-West</w:t>
      </w:r>
      <w:r w:rsidRPr="000C763E">
        <w:rPr>
          <w:rFonts w:asciiTheme="majorHAnsi" w:hAnsiTheme="majorHAnsi" w:cstheme="majorHAnsi"/>
          <w:spacing w:val="-1"/>
          <w:sz w:val="18"/>
          <w:szCs w:val="18"/>
        </w:rPr>
        <w:t xml:space="preserve"> </w:t>
      </w:r>
      <w:r w:rsidRPr="000C763E">
        <w:rPr>
          <w:rFonts w:asciiTheme="majorHAnsi" w:hAnsiTheme="majorHAnsi" w:cstheme="majorHAnsi"/>
          <w:spacing w:val="-2"/>
          <w:sz w:val="18"/>
          <w:szCs w:val="18"/>
        </w:rPr>
        <w:t>Highway,</w:t>
      </w:r>
      <w:r w:rsidRPr="000C763E">
        <w:rPr>
          <w:rFonts w:asciiTheme="majorHAnsi" w:hAnsiTheme="majorHAnsi" w:cstheme="majorHAnsi"/>
          <w:sz w:val="18"/>
          <w:szCs w:val="18"/>
        </w:rPr>
        <w:t xml:space="preserve"> </w:t>
      </w:r>
      <w:r w:rsidRPr="000C763E">
        <w:rPr>
          <w:rFonts w:asciiTheme="majorHAnsi" w:hAnsiTheme="majorHAnsi" w:cstheme="majorHAnsi"/>
          <w:spacing w:val="-2"/>
          <w:sz w:val="18"/>
          <w:szCs w:val="18"/>
        </w:rPr>
        <w:t>Silver</w:t>
      </w:r>
      <w:r w:rsidRPr="000C763E">
        <w:rPr>
          <w:rFonts w:asciiTheme="majorHAnsi" w:hAnsiTheme="majorHAnsi" w:cstheme="majorHAnsi"/>
          <w:spacing w:val="-1"/>
          <w:sz w:val="18"/>
          <w:szCs w:val="18"/>
        </w:rPr>
        <w:t xml:space="preserve"> Spring,</w:t>
      </w:r>
      <w:r w:rsidRPr="000C763E">
        <w:rPr>
          <w:rFonts w:asciiTheme="majorHAnsi" w:hAnsiTheme="majorHAnsi" w:cstheme="majorHAnsi"/>
          <w:sz w:val="18"/>
          <w:szCs w:val="18"/>
        </w:rPr>
        <w:t xml:space="preserve"> </w:t>
      </w:r>
      <w:r w:rsidRPr="000C763E">
        <w:rPr>
          <w:rFonts w:asciiTheme="majorHAnsi" w:hAnsiTheme="majorHAnsi" w:cstheme="majorHAnsi"/>
          <w:spacing w:val="-2"/>
          <w:sz w:val="18"/>
          <w:szCs w:val="18"/>
        </w:rPr>
        <w:t>MD</w:t>
      </w:r>
      <w:r w:rsidRPr="000C763E">
        <w:rPr>
          <w:rFonts w:asciiTheme="majorHAnsi" w:hAnsiTheme="majorHAnsi" w:cstheme="majorHAnsi"/>
          <w:sz w:val="18"/>
          <w:szCs w:val="18"/>
        </w:rPr>
        <w:t xml:space="preserve"> </w:t>
      </w:r>
      <w:r w:rsidRPr="000C763E">
        <w:rPr>
          <w:rFonts w:asciiTheme="majorHAnsi" w:hAnsiTheme="majorHAnsi" w:cstheme="majorHAnsi"/>
          <w:spacing w:val="-1"/>
          <w:sz w:val="18"/>
          <w:szCs w:val="18"/>
        </w:rPr>
        <w:t>20910.</w:t>
      </w:r>
      <w:r w:rsidRPr="000C763E">
        <w:rPr>
          <w:rFonts w:asciiTheme="majorHAnsi" w:hAnsiTheme="majorHAnsi" w:cstheme="majorHAnsi"/>
          <w:spacing w:val="-5"/>
          <w:sz w:val="18"/>
          <w:szCs w:val="18"/>
        </w:rPr>
        <w:t xml:space="preserve"> </w:t>
      </w:r>
      <w:r w:rsidRPr="000C763E">
        <w:rPr>
          <w:rFonts w:asciiTheme="majorHAnsi" w:hAnsiTheme="majorHAnsi" w:cstheme="majorHAnsi"/>
          <w:spacing w:val="-1"/>
          <w:sz w:val="18"/>
          <w:szCs w:val="18"/>
        </w:rPr>
        <w:t>Grant</w:t>
      </w:r>
      <w:r w:rsidRPr="000C763E">
        <w:rPr>
          <w:rFonts w:asciiTheme="majorHAnsi" w:hAnsiTheme="majorHAnsi" w:cstheme="majorHAnsi"/>
          <w:spacing w:val="-4"/>
          <w:sz w:val="18"/>
          <w:szCs w:val="18"/>
        </w:rPr>
        <w:t xml:space="preserve"> </w:t>
      </w:r>
      <w:r w:rsidRPr="000C763E">
        <w:rPr>
          <w:rFonts w:asciiTheme="majorHAnsi" w:hAnsiTheme="majorHAnsi" w:cstheme="majorHAnsi"/>
          <w:spacing w:val="-3"/>
          <w:sz w:val="18"/>
          <w:szCs w:val="18"/>
        </w:rPr>
        <w:t>files</w:t>
      </w:r>
      <w:r w:rsidRPr="000C763E">
        <w:rPr>
          <w:rFonts w:asciiTheme="majorHAnsi" w:hAnsiTheme="majorHAnsi" w:cstheme="majorHAnsi"/>
          <w:spacing w:val="-1"/>
          <w:sz w:val="18"/>
          <w:szCs w:val="18"/>
        </w:rPr>
        <w:t xml:space="preserve"> are</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1"/>
          <w:sz w:val="18"/>
          <w:szCs w:val="18"/>
        </w:rPr>
        <w:t>subject</w:t>
      </w:r>
      <w:r w:rsidRPr="000C763E">
        <w:rPr>
          <w:rFonts w:asciiTheme="majorHAnsi" w:hAnsiTheme="majorHAnsi" w:cstheme="majorHAnsi"/>
          <w:spacing w:val="-4"/>
          <w:sz w:val="18"/>
          <w:szCs w:val="18"/>
        </w:rPr>
        <w:t xml:space="preserve"> </w:t>
      </w:r>
      <w:r w:rsidRPr="000C763E">
        <w:rPr>
          <w:rFonts w:asciiTheme="majorHAnsi" w:hAnsiTheme="majorHAnsi" w:cstheme="majorHAnsi"/>
          <w:spacing w:val="-1"/>
          <w:sz w:val="18"/>
          <w:szCs w:val="18"/>
        </w:rPr>
        <w:t>to</w:t>
      </w:r>
      <w:r w:rsidRPr="000C763E">
        <w:rPr>
          <w:rFonts w:asciiTheme="majorHAnsi" w:hAnsiTheme="majorHAnsi" w:cstheme="majorHAnsi"/>
          <w:spacing w:val="43"/>
          <w:sz w:val="18"/>
          <w:szCs w:val="18"/>
        </w:rPr>
        <w:t xml:space="preserve"> </w:t>
      </w:r>
      <w:r w:rsidRPr="000C763E">
        <w:rPr>
          <w:rFonts w:asciiTheme="majorHAnsi" w:hAnsiTheme="majorHAnsi" w:cstheme="majorHAnsi"/>
          <w:spacing w:val="-1"/>
          <w:sz w:val="18"/>
          <w:szCs w:val="18"/>
        </w:rPr>
        <w:t>the</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2"/>
          <w:sz w:val="18"/>
          <w:szCs w:val="18"/>
        </w:rPr>
        <w:t>Freedom</w:t>
      </w:r>
      <w:r w:rsidRPr="000C763E">
        <w:rPr>
          <w:rFonts w:asciiTheme="majorHAnsi" w:hAnsiTheme="majorHAnsi" w:cstheme="majorHAnsi"/>
          <w:spacing w:val="-11"/>
          <w:sz w:val="18"/>
          <w:szCs w:val="18"/>
        </w:rPr>
        <w:t xml:space="preserve"> </w:t>
      </w:r>
      <w:r w:rsidRPr="000C763E">
        <w:rPr>
          <w:rFonts w:asciiTheme="majorHAnsi" w:hAnsiTheme="majorHAnsi" w:cstheme="majorHAnsi"/>
          <w:sz w:val="18"/>
          <w:szCs w:val="18"/>
        </w:rPr>
        <w:t>of</w:t>
      </w:r>
      <w:r w:rsidRPr="000C763E">
        <w:rPr>
          <w:rFonts w:asciiTheme="majorHAnsi" w:hAnsiTheme="majorHAnsi" w:cstheme="majorHAnsi"/>
          <w:spacing w:val="-1"/>
          <w:sz w:val="18"/>
          <w:szCs w:val="18"/>
        </w:rPr>
        <w:t xml:space="preserve"> </w:t>
      </w:r>
      <w:r w:rsidRPr="000C763E">
        <w:rPr>
          <w:rFonts w:asciiTheme="majorHAnsi" w:hAnsiTheme="majorHAnsi" w:cstheme="majorHAnsi"/>
          <w:spacing w:val="-2"/>
          <w:sz w:val="18"/>
          <w:szCs w:val="18"/>
        </w:rPr>
        <w:t>Information</w:t>
      </w:r>
      <w:r w:rsidRPr="000C763E">
        <w:rPr>
          <w:rFonts w:asciiTheme="majorHAnsi" w:hAnsiTheme="majorHAnsi" w:cstheme="majorHAnsi"/>
          <w:sz w:val="18"/>
          <w:szCs w:val="18"/>
        </w:rPr>
        <w:t xml:space="preserve"> Act</w:t>
      </w:r>
      <w:r w:rsidRPr="000C763E">
        <w:rPr>
          <w:rFonts w:asciiTheme="majorHAnsi" w:hAnsiTheme="majorHAnsi" w:cstheme="majorHAnsi"/>
          <w:spacing w:val="-4"/>
          <w:sz w:val="18"/>
          <w:szCs w:val="18"/>
        </w:rPr>
        <w:t xml:space="preserve"> </w:t>
      </w:r>
      <w:r w:rsidRPr="000C763E">
        <w:rPr>
          <w:rFonts w:asciiTheme="majorHAnsi" w:hAnsiTheme="majorHAnsi" w:cstheme="majorHAnsi"/>
          <w:spacing w:val="-3"/>
          <w:sz w:val="18"/>
          <w:szCs w:val="18"/>
        </w:rPr>
        <w:t>(FOIA).</w:t>
      </w:r>
      <w:r w:rsidRPr="000C763E">
        <w:rPr>
          <w:rFonts w:asciiTheme="majorHAnsi" w:hAnsiTheme="majorHAnsi" w:cstheme="majorHAnsi"/>
          <w:sz w:val="18"/>
          <w:szCs w:val="18"/>
        </w:rPr>
        <w:t xml:space="preserve">  </w:t>
      </w:r>
      <w:r w:rsidRPr="000C763E">
        <w:rPr>
          <w:rFonts w:asciiTheme="majorHAnsi" w:hAnsiTheme="majorHAnsi" w:cstheme="majorHAnsi"/>
          <w:spacing w:val="10"/>
          <w:sz w:val="18"/>
          <w:szCs w:val="18"/>
        </w:rPr>
        <w:t xml:space="preserve"> </w:t>
      </w:r>
      <w:r w:rsidRPr="000C763E">
        <w:rPr>
          <w:rFonts w:asciiTheme="majorHAnsi" w:hAnsiTheme="majorHAnsi" w:cstheme="majorHAnsi"/>
          <w:spacing w:val="-2"/>
          <w:sz w:val="18"/>
          <w:szCs w:val="18"/>
        </w:rPr>
        <w:t>Confidentiality</w:t>
      </w:r>
      <w:r w:rsidRPr="000C763E">
        <w:rPr>
          <w:rFonts w:asciiTheme="majorHAnsi" w:hAnsiTheme="majorHAnsi" w:cstheme="majorHAnsi"/>
          <w:spacing w:val="-7"/>
          <w:sz w:val="18"/>
          <w:szCs w:val="18"/>
        </w:rPr>
        <w:t xml:space="preserve"> </w:t>
      </w:r>
      <w:r w:rsidRPr="000C763E">
        <w:rPr>
          <w:rFonts w:asciiTheme="majorHAnsi" w:hAnsiTheme="majorHAnsi" w:cstheme="majorHAnsi"/>
          <w:spacing w:val="-1"/>
          <w:sz w:val="18"/>
          <w:szCs w:val="18"/>
        </w:rPr>
        <w:t>will</w:t>
      </w:r>
      <w:r w:rsidRPr="000C763E">
        <w:rPr>
          <w:rFonts w:asciiTheme="majorHAnsi" w:hAnsiTheme="majorHAnsi" w:cstheme="majorHAnsi"/>
          <w:spacing w:val="-4"/>
          <w:sz w:val="18"/>
          <w:szCs w:val="18"/>
        </w:rPr>
        <w:t xml:space="preserve"> </w:t>
      </w:r>
      <w:r w:rsidRPr="000C763E">
        <w:rPr>
          <w:rFonts w:asciiTheme="majorHAnsi" w:hAnsiTheme="majorHAnsi" w:cstheme="majorHAnsi"/>
          <w:sz w:val="18"/>
          <w:szCs w:val="18"/>
        </w:rPr>
        <w:t>not</w:t>
      </w:r>
      <w:r w:rsidRPr="000C763E">
        <w:rPr>
          <w:rFonts w:asciiTheme="majorHAnsi" w:hAnsiTheme="majorHAnsi" w:cstheme="majorHAnsi"/>
          <w:spacing w:val="-4"/>
          <w:sz w:val="18"/>
          <w:szCs w:val="18"/>
        </w:rPr>
        <w:t xml:space="preserve"> </w:t>
      </w:r>
      <w:r w:rsidRPr="000C763E">
        <w:rPr>
          <w:rFonts w:asciiTheme="majorHAnsi" w:hAnsiTheme="majorHAnsi" w:cstheme="majorHAnsi"/>
          <w:sz w:val="18"/>
          <w:szCs w:val="18"/>
        </w:rPr>
        <w:t>be</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2"/>
          <w:sz w:val="18"/>
          <w:szCs w:val="18"/>
        </w:rPr>
        <w:t>maintained-the</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2"/>
          <w:sz w:val="18"/>
          <w:szCs w:val="18"/>
        </w:rPr>
        <w:t>information</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2"/>
          <w:sz w:val="18"/>
          <w:szCs w:val="18"/>
        </w:rPr>
        <w:t>will</w:t>
      </w:r>
      <w:r w:rsidRPr="000C763E">
        <w:rPr>
          <w:rFonts w:asciiTheme="majorHAnsi" w:hAnsiTheme="majorHAnsi" w:cstheme="majorHAnsi"/>
          <w:spacing w:val="67"/>
          <w:sz w:val="18"/>
          <w:szCs w:val="18"/>
        </w:rPr>
        <w:t xml:space="preserve"> </w:t>
      </w:r>
      <w:r w:rsidRPr="000C763E">
        <w:rPr>
          <w:rFonts w:asciiTheme="majorHAnsi" w:hAnsiTheme="majorHAnsi" w:cstheme="majorHAnsi"/>
          <w:sz w:val="18"/>
          <w:szCs w:val="18"/>
        </w:rPr>
        <w:t>be</w:t>
      </w:r>
      <w:r w:rsidRPr="000C763E">
        <w:rPr>
          <w:rFonts w:asciiTheme="majorHAnsi" w:hAnsiTheme="majorHAnsi" w:cstheme="majorHAnsi"/>
          <w:spacing w:val="-3"/>
          <w:sz w:val="18"/>
          <w:szCs w:val="18"/>
        </w:rPr>
        <w:t xml:space="preserve"> made </w:t>
      </w:r>
      <w:r w:rsidRPr="000C763E">
        <w:rPr>
          <w:rFonts w:asciiTheme="majorHAnsi" w:hAnsiTheme="majorHAnsi" w:cstheme="majorHAnsi"/>
          <w:spacing w:val="-2"/>
          <w:sz w:val="18"/>
          <w:szCs w:val="18"/>
        </w:rPr>
        <w:t>available</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1"/>
          <w:sz w:val="18"/>
          <w:szCs w:val="18"/>
        </w:rPr>
        <w:t>to</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1"/>
          <w:sz w:val="18"/>
          <w:szCs w:val="18"/>
        </w:rPr>
        <w:t>the</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2"/>
          <w:sz w:val="18"/>
          <w:szCs w:val="18"/>
        </w:rPr>
        <w:t>public.</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2"/>
          <w:sz w:val="18"/>
          <w:szCs w:val="18"/>
        </w:rPr>
        <w:t>However,</w:t>
      </w:r>
      <w:r w:rsidRPr="000C763E">
        <w:rPr>
          <w:rFonts w:asciiTheme="majorHAnsi" w:hAnsiTheme="majorHAnsi" w:cstheme="majorHAnsi"/>
          <w:spacing w:val="-5"/>
          <w:sz w:val="18"/>
          <w:szCs w:val="18"/>
        </w:rPr>
        <w:t xml:space="preserve"> </w:t>
      </w:r>
      <w:r w:rsidRPr="000C763E">
        <w:rPr>
          <w:rFonts w:asciiTheme="majorHAnsi" w:hAnsiTheme="majorHAnsi" w:cstheme="majorHAnsi"/>
          <w:spacing w:val="-2"/>
          <w:sz w:val="18"/>
          <w:szCs w:val="18"/>
        </w:rPr>
        <w:t>unpublished</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2"/>
          <w:sz w:val="18"/>
          <w:szCs w:val="18"/>
        </w:rPr>
        <w:t>research</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2"/>
          <w:sz w:val="18"/>
          <w:szCs w:val="18"/>
        </w:rPr>
        <w:t>results</w:t>
      </w:r>
      <w:r w:rsidRPr="000C763E">
        <w:rPr>
          <w:rFonts w:asciiTheme="majorHAnsi" w:hAnsiTheme="majorHAnsi" w:cstheme="majorHAnsi"/>
          <w:spacing w:val="-6"/>
          <w:sz w:val="18"/>
          <w:szCs w:val="18"/>
        </w:rPr>
        <w:t xml:space="preserve"> </w:t>
      </w:r>
      <w:r w:rsidRPr="000C763E">
        <w:rPr>
          <w:rFonts w:asciiTheme="majorHAnsi" w:hAnsiTheme="majorHAnsi" w:cstheme="majorHAnsi"/>
          <w:spacing w:val="-1"/>
          <w:sz w:val="18"/>
          <w:szCs w:val="18"/>
        </w:rPr>
        <w:t>shall</w:t>
      </w:r>
      <w:r w:rsidRPr="000C763E">
        <w:rPr>
          <w:rFonts w:asciiTheme="majorHAnsi" w:hAnsiTheme="majorHAnsi" w:cstheme="majorHAnsi"/>
          <w:spacing w:val="-6"/>
          <w:sz w:val="18"/>
          <w:szCs w:val="18"/>
        </w:rPr>
        <w:t xml:space="preserve"> </w:t>
      </w:r>
      <w:r w:rsidRPr="000C763E">
        <w:rPr>
          <w:rFonts w:asciiTheme="majorHAnsi" w:hAnsiTheme="majorHAnsi" w:cstheme="majorHAnsi"/>
          <w:sz w:val="18"/>
          <w:szCs w:val="18"/>
        </w:rPr>
        <w:t>not</w:t>
      </w:r>
      <w:r w:rsidRPr="000C763E">
        <w:rPr>
          <w:rFonts w:asciiTheme="majorHAnsi" w:hAnsiTheme="majorHAnsi" w:cstheme="majorHAnsi"/>
          <w:spacing w:val="-4"/>
          <w:sz w:val="18"/>
          <w:szCs w:val="18"/>
        </w:rPr>
        <w:t xml:space="preserve"> </w:t>
      </w:r>
      <w:r w:rsidRPr="000C763E">
        <w:rPr>
          <w:rFonts w:asciiTheme="majorHAnsi" w:hAnsiTheme="majorHAnsi" w:cstheme="majorHAnsi"/>
          <w:sz w:val="18"/>
          <w:szCs w:val="18"/>
        </w:rPr>
        <w:t>be</w:t>
      </w:r>
      <w:r w:rsidRPr="000C763E">
        <w:rPr>
          <w:rFonts w:asciiTheme="majorHAnsi" w:hAnsiTheme="majorHAnsi" w:cstheme="majorHAnsi"/>
          <w:spacing w:val="-8"/>
          <w:sz w:val="18"/>
          <w:szCs w:val="18"/>
        </w:rPr>
        <w:t xml:space="preserve"> </w:t>
      </w:r>
      <w:r w:rsidRPr="000C763E">
        <w:rPr>
          <w:rFonts w:asciiTheme="majorHAnsi" w:hAnsiTheme="majorHAnsi" w:cstheme="majorHAnsi"/>
          <w:spacing w:val="-2"/>
          <w:sz w:val="18"/>
          <w:szCs w:val="18"/>
        </w:rPr>
        <w:t>published</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2"/>
          <w:sz w:val="18"/>
          <w:szCs w:val="18"/>
        </w:rPr>
        <w:t>without</w:t>
      </w:r>
      <w:r w:rsidRPr="000C763E">
        <w:rPr>
          <w:rFonts w:asciiTheme="majorHAnsi" w:hAnsiTheme="majorHAnsi" w:cstheme="majorHAnsi"/>
          <w:spacing w:val="93"/>
          <w:sz w:val="18"/>
          <w:szCs w:val="18"/>
        </w:rPr>
        <w:t xml:space="preserve"> </w:t>
      </w:r>
      <w:r w:rsidRPr="000C763E">
        <w:rPr>
          <w:rFonts w:asciiTheme="majorHAnsi" w:hAnsiTheme="majorHAnsi" w:cstheme="majorHAnsi"/>
          <w:spacing w:val="-1"/>
          <w:sz w:val="18"/>
          <w:szCs w:val="18"/>
        </w:rPr>
        <w:t xml:space="preserve">prior </w:t>
      </w:r>
      <w:r w:rsidRPr="000C763E">
        <w:rPr>
          <w:rFonts w:asciiTheme="majorHAnsi" w:hAnsiTheme="majorHAnsi" w:cstheme="majorHAnsi"/>
          <w:spacing w:val="-2"/>
          <w:sz w:val="18"/>
          <w:szCs w:val="18"/>
        </w:rPr>
        <w:t>permission</w:t>
      </w:r>
      <w:r w:rsidRPr="000C763E">
        <w:rPr>
          <w:rFonts w:asciiTheme="majorHAnsi" w:hAnsiTheme="majorHAnsi" w:cstheme="majorHAnsi"/>
          <w:sz w:val="18"/>
          <w:szCs w:val="18"/>
        </w:rPr>
        <w:t xml:space="preserve"> </w:t>
      </w:r>
      <w:r w:rsidRPr="000C763E">
        <w:rPr>
          <w:rFonts w:asciiTheme="majorHAnsi" w:hAnsiTheme="majorHAnsi" w:cstheme="majorHAnsi"/>
          <w:spacing w:val="-1"/>
          <w:sz w:val="18"/>
          <w:szCs w:val="18"/>
        </w:rPr>
        <w:t>from</w:t>
      </w:r>
      <w:r w:rsidRPr="000C763E">
        <w:rPr>
          <w:rFonts w:asciiTheme="majorHAnsi" w:hAnsiTheme="majorHAnsi" w:cstheme="majorHAnsi"/>
          <w:spacing w:val="-6"/>
          <w:sz w:val="18"/>
          <w:szCs w:val="18"/>
        </w:rPr>
        <w:t xml:space="preserve"> </w:t>
      </w:r>
      <w:r w:rsidRPr="000C763E">
        <w:rPr>
          <w:rFonts w:asciiTheme="majorHAnsi" w:hAnsiTheme="majorHAnsi" w:cstheme="majorHAnsi"/>
          <w:spacing w:val="-1"/>
          <w:sz w:val="18"/>
          <w:szCs w:val="18"/>
        </w:rPr>
        <w:t>the</w:t>
      </w:r>
      <w:r w:rsidRPr="000C763E">
        <w:rPr>
          <w:rFonts w:asciiTheme="majorHAnsi" w:hAnsiTheme="majorHAnsi" w:cstheme="majorHAnsi"/>
          <w:sz w:val="18"/>
          <w:szCs w:val="18"/>
        </w:rPr>
        <w:t xml:space="preserve"> </w:t>
      </w:r>
      <w:r w:rsidRPr="000C763E">
        <w:rPr>
          <w:rFonts w:asciiTheme="majorHAnsi" w:hAnsiTheme="majorHAnsi" w:cstheme="majorHAnsi"/>
          <w:spacing w:val="-1"/>
          <w:sz w:val="18"/>
          <w:szCs w:val="18"/>
        </w:rPr>
        <w:t>recipient.</w:t>
      </w:r>
    </w:p>
    <w:p w:rsidR="000C763E" w:rsidRPr="000C763E" w:rsidP="000C763E" w14:paraId="3CE2C99C" w14:textId="77777777">
      <w:pPr>
        <w:spacing w:line="240" w:lineRule="auto"/>
        <w:rPr>
          <w:rFonts w:eastAsia="Times New Roman" w:asciiTheme="majorHAnsi" w:hAnsiTheme="majorHAnsi" w:cstheme="majorHAnsi"/>
          <w:sz w:val="18"/>
          <w:szCs w:val="18"/>
        </w:rPr>
      </w:pPr>
    </w:p>
    <w:p w:rsidR="00BF7E23" w:rsidRPr="000C763E" w:rsidP="000C763E" w14:paraId="7963362E" w14:textId="635D27D5">
      <w:pPr>
        <w:pStyle w:val="Heading3"/>
        <w:spacing w:before="0" w:after="0" w:line="240" w:lineRule="auto"/>
        <w:rPr>
          <w:rFonts w:asciiTheme="majorHAnsi" w:hAnsiTheme="majorHAnsi" w:cstheme="majorHAnsi"/>
          <w:sz w:val="18"/>
          <w:szCs w:val="18"/>
        </w:rPr>
      </w:pPr>
      <w:r w:rsidRPr="000C763E">
        <w:rPr>
          <w:rFonts w:asciiTheme="majorHAnsi" w:hAnsiTheme="majorHAnsi" w:cstheme="majorHAnsi"/>
          <w:spacing w:val="-2"/>
          <w:sz w:val="18"/>
          <w:szCs w:val="18"/>
        </w:rPr>
        <w:t>Notwithstanding</w:t>
      </w:r>
      <w:r w:rsidRPr="000C763E">
        <w:rPr>
          <w:rFonts w:asciiTheme="majorHAnsi" w:hAnsiTheme="majorHAnsi" w:cstheme="majorHAnsi"/>
          <w:spacing w:val="5"/>
          <w:sz w:val="18"/>
          <w:szCs w:val="18"/>
        </w:rPr>
        <w:t xml:space="preserve"> </w:t>
      </w:r>
      <w:r w:rsidRPr="000C763E">
        <w:rPr>
          <w:rFonts w:asciiTheme="majorHAnsi" w:hAnsiTheme="majorHAnsi" w:cstheme="majorHAnsi"/>
          <w:spacing w:val="-1"/>
          <w:sz w:val="18"/>
          <w:szCs w:val="18"/>
        </w:rPr>
        <w:t>any</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1"/>
          <w:sz w:val="18"/>
          <w:szCs w:val="18"/>
        </w:rPr>
        <w:t>other</w:t>
      </w:r>
      <w:r w:rsidRPr="000C763E">
        <w:rPr>
          <w:rFonts w:asciiTheme="majorHAnsi" w:hAnsiTheme="majorHAnsi" w:cstheme="majorHAnsi"/>
          <w:spacing w:val="4"/>
          <w:sz w:val="18"/>
          <w:szCs w:val="18"/>
        </w:rPr>
        <w:t xml:space="preserve"> </w:t>
      </w:r>
      <w:r w:rsidRPr="000C763E">
        <w:rPr>
          <w:rFonts w:asciiTheme="majorHAnsi" w:hAnsiTheme="majorHAnsi" w:cstheme="majorHAnsi"/>
          <w:spacing w:val="-2"/>
          <w:sz w:val="18"/>
          <w:szCs w:val="18"/>
        </w:rPr>
        <w:t>provision</w:t>
      </w:r>
      <w:r w:rsidRPr="000C763E">
        <w:rPr>
          <w:rFonts w:asciiTheme="majorHAnsi" w:hAnsiTheme="majorHAnsi" w:cstheme="majorHAnsi"/>
          <w:spacing w:val="7"/>
          <w:sz w:val="18"/>
          <w:szCs w:val="18"/>
        </w:rPr>
        <w:t xml:space="preserve"> </w:t>
      </w:r>
      <w:r w:rsidRPr="000C763E">
        <w:rPr>
          <w:rFonts w:asciiTheme="majorHAnsi" w:hAnsiTheme="majorHAnsi" w:cstheme="majorHAnsi"/>
          <w:sz w:val="18"/>
          <w:szCs w:val="18"/>
        </w:rPr>
        <w:t>of</w:t>
      </w:r>
      <w:r w:rsidRPr="000C763E">
        <w:rPr>
          <w:rFonts w:asciiTheme="majorHAnsi" w:hAnsiTheme="majorHAnsi" w:cstheme="majorHAnsi"/>
          <w:spacing w:val="6"/>
          <w:sz w:val="18"/>
          <w:szCs w:val="18"/>
        </w:rPr>
        <w:t xml:space="preserve"> </w:t>
      </w:r>
      <w:r w:rsidRPr="000C763E">
        <w:rPr>
          <w:rFonts w:asciiTheme="majorHAnsi" w:hAnsiTheme="majorHAnsi" w:cstheme="majorHAnsi"/>
          <w:spacing w:val="-1"/>
          <w:sz w:val="18"/>
          <w:szCs w:val="18"/>
        </w:rPr>
        <w:t>the</w:t>
      </w:r>
      <w:r w:rsidRPr="000C763E">
        <w:rPr>
          <w:rFonts w:asciiTheme="majorHAnsi" w:hAnsiTheme="majorHAnsi" w:cstheme="majorHAnsi"/>
          <w:spacing w:val="7"/>
          <w:sz w:val="18"/>
          <w:szCs w:val="18"/>
        </w:rPr>
        <w:t xml:space="preserve"> </w:t>
      </w:r>
      <w:r w:rsidRPr="000C763E">
        <w:rPr>
          <w:rFonts w:asciiTheme="majorHAnsi" w:hAnsiTheme="majorHAnsi" w:cstheme="majorHAnsi"/>
          <w:spacing w:val="-2"/>
          <w:sz w:val="18"/>
          <w:szCs w:val="18"/>
        </w:rPr>
        <w:t>law,</w:t>
      </w:r>
      <w:r w:rsidRPr="000C763E">
        <w:rPr>
          <w:rFonts w:asciiTheme="majorHAnsi" w:hAnsiTheme="majorHAnsi" w:cstheme="majorHAnsi"/>
          <w:spacing w:val="5"/>
          <w:sz w:val="18"/>
          <w:szCs w:val="18"/>
        </w:rPr>
        <w:t xml:space="preserve"> </w:t>
      </w:r>
      <w:r w:rsidRPr="000C763E">
        <w:rPr>
          <w:rFonts w:asciiTheme="majorHAnsi" w:hAnsiTheme="majorHAnsi" w:cstheme="majorHAnsi"/>
          <w:sz w:val="18"/>
          <w:szCs w:val="18"/>
        </w:rPr>
        <w:t>no</w:t>
      </w:r>
      <w:r w:rsidRPr="000C763E">
        <w:rPr>
          <w:rFonts w:asciiTheme="majorHAnsi" w:hAnsiTheme="majorHAnsi" w:cstheme="majorHAnsi"/>
          <w:spacing w:val="7"/>
          <w:sz w:val="18"/>
          <w:szCs w:val="18"/>
        </w:rPr>
        <w:t xml:space="preserve"> </w:t>
      </w:r>
      <w:r w:rsidRPr="000C763E">
        <w:rPr>
          <w:rFonts w:asciiTheme="majorHAnsi" w:hAnsiTheme="majorHAnsi" w:cstheme="majorHAnsi"/>
          <w:spacing w:val="-2"/>
          <w:sz w:val="18"/>
          <w:szCs w:val="18"/>
        </w:rPr>
        <w:t>person</w:t>
      </w:r>
      <w:r w:rsidRPr="000C763E">
        <w:rPr>
          <w:rFonts w:asciiTheme="majorHAnsi" w:hAnsiTheme="majorHAnsi" w:cstheme="majorHAnsi"/>
          <w:spacing w:val="7"/>
          <w:sz w:val="18"/>
          <w:szCs w:val="18"/>
        </w:rPr>
        <w:t xml:space="preserve"> </w:t>
      </w:r>
      <w:r w:rsidRPr="000C763E">
        <w:rPr>
          <w:rFonts w:asciiTheme="majorHAnsi" w:hAnsiTheme="majorHAnsi" w:cstheme="majorHAnsi"/>
          <w:spacing w:val="-1"/>
          <w:sz w:val="18"/>
          <w:szCs w:val="18"/>
        </w:rPr>
        <w:t>is</w:t>
      </w:r>
      <w:r w:rsidRPr="000C763E">
        <w:rPr>
          <w:rFonts w:asciiTheme="majorHAnsi" w:hAnsiTheme="majorHAnsi" w:cstheme="majorHAnsi"/>
          <w:spacing w:val="6"/>
          <w:sz w:val="18"/>
          <w:szCs w:val="18"/>
        </w:rPr>
        <w:t xml:space="preserve"> </w:t>
      </w:r>
      <w:r w:rsidRPr="000C763E">
        <w:rPr>
          <w:rFonts w:asciiTheme="majorHAnsi" w:hAnsiTheme="majorHAnsi" w:cstheme="majorHAnsi"/>
          <w:spacing w:val="-2"/>
          <w:sz w:val="18"/>
          <w:szCs w:val="18"/>
        </w:rPr>
        <w:t>required</w:t>
      </w:r>
      <w:r w:rsidRPr="000C763E">
        <w:rPr>
          <w:rFonts w:asciiTheme="majorHAnsi" w:hAnsiTheme="majorHAnsi" w:cstheme="majorHAnsi"/>
          <w:spacing w:val="7"/>
          <w:sz w:val="18"/>
          <w:szCs w:val="18"/>
        </w:rPr>
        <w:t xml:space="preserve"> </w:t>
      </w:r>
      <w:r w:rsidRPr="000C763E">
        <w:rPr>
          <w:rFonts w:asciiTheme="majorHAnsi" w:hAnsiTheme="majorHAnsi" w:cstheme="majorHAnsi"/>
          <w:spacing w:val="-1"/>
          <w:sz w:val="18"/>
          <w:szCs w:val="18"/>
        </w:rPr>
        <w:t>to</w:t>
      </w:r>
      <w:r w:rsidRPr="000C763E">
        <w:rPr>
          <w:rFonts w:asciiTheme="majorHAnsi" w:hAnsiTheme="majorHAnsi" w:cstheme="majorHAnsi"/>
          <w:spacing w:val="5"/>
          <w:sz w:val="18"/>
          <w:szCs w:val="18"/>
        </w:rPr>
        <w:t xml:space="preserve"> </w:t>
      </w:r>
      <w:r w:rsidRPr="000C763E">
        <w:rPr>
          <w:rFonts w:asciiTheme="majorHAnsi" w:hAnsiTheme="majorHAnsi" w:cstheme="majorHAnsi"/>
          <w:spacing w:val="-2"/>
          <w:sz w:val="18"/>
          <w:szCs w:val="18"/>
        </w:rPr>
        <w:t>respond</w:t>
      </w:r>
      <w:r w:rsidRPr="000C763E">
        <w:rPr>
          <w:rFonts w:asciiTheme="majorHAnsi" w:hAnsiTheme="majorHAnsi" w:cstheme="majorHAnsi"/>
          <w:spacing w:val="5"/>
          <w:sz w:val="18"/>
          <w:szCs w:val="18"/>
        </w:rPr>
        <w:t xml:space="preserve"> </w:t>
      </w:r>
      <w:r w:rsidRPr="000C763E">
        <w:rPr>
          <w:rFonts w:asciiTheme="majorHAnsi" w:hAnsiTheme="majorHAnsi" w:cstheme="majorHAnsi"/>
          <w:spacing w:val="-1"/>
          <w:sz w:val="18"/>
          <w:szCs w:val="18"/>
        </w:rPr>
        <w:t>to,</w:t>
      </w:r>
      <w:r w:rsidRPr="000C763E">
        <w:rPr>
          <w:rFonts w:asciiTheme="majorHAnsi" w:hAnsiTheme="majorHAnsi" w:cstheme="majorHAnsi"/>
          <w:spacing w:val="5"/>
          <w:sz w:val="18"/>
          <w:szCs w:val="18"/>
        </w:rPr>
        <w:t xml:space="preserve"> </w:t>
      </w:r>
      <w:r w:rsidRPr="000C763E">
        <w:rPr>
          <w:rFonts w:asciiTheme="majorHAnsi" w:hAnsiTheme="majorHAnsi" w:cstheme="majorHAnsi"/>
          <w:spacing w:val="-2"/>
          <w:sz w:val="18"/>
          <w:szCs w:val="18"/>
        </w:rPr>
        <w:t>nor</w:t>
      </w:r>
      <w:r w:rsidRPr="000C763E">
        <w:rPr>
          <w:rFonts w:asciiTheme="majorHAnsi" w:hAnsiTheme="majorHAnsi" w:cstheme="majorHAnsi"/>
          <w:spacing w:val="6"/>
          <w:sz w:val="18"/>
          <w:szCs w:val="18"/>
        </w:rPr>
        <w:t xml:space="preserve"> </w:t>
      </w:r>
      <w:r w:rsidRPr="000C763E">
        <w:rPr>
          <w:rFonts w:asciiTheme="majorHAnsi" w:hAnsiTheme="majorHAnsi" w:cstheme="majorHAnsi"/>
          <w:spacing w:val="-2"/>
          <w:sz w:val="18"/>
          <w:szCs w:val="18"/>
        </w:rPr>
        <w:t>shall,</w:t>
      </w:r>
      <w:r w:rsidRPr="000C763E">
        <w:rPr>
          <w:rFonts w:asciiTheme="majorHAnsi" w:hAnsiTheme="majorHAnsi" w:cstheme="majorHAnsi"/>
          <w:spacing w:val="83"/>
          <w:sz w:val="18"/>
          <w:szCs w:val="18"/>
        </w:rPr>
        <w:t xml:space="preserve"> </w:t>
      </w:r>
      <w:r w:rsidRPr="000C763E">
        <w:rPr>
          <w:rFonts w:asciiTheme="majorHAnsi" w:hAnsiTheme="majorHAnsi" w:cstheme="majorHAnsi"/>
          <w:spacing w:val="-1"/>
          <w:sz w:val="18"/>
          <w:szCs w:val="18"/>
        </w:rPr>
        <w:t>any</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1"/>
          <w:sz w:val="18"/>
          <w:szCs w:val="18"/>
        </w:rPr>
        <w:t>person</w:t>
      </w:r>
      <w:r w:rsidRPr="000C763E">
        <w:rPr>
          <w:rFonts w:asciiTheme="majorHAnsi" w:hAnsiTheme="majorHAnsi" w:cstheme="majorHAnsi"/>
          <w:spacing w:val="7"/>
          <w:sz w:val="18"/>
          <w:szCs w:val="18"/>
        </w:rPr>
        <w:t xml:space="preserve"> </w:t>
      </w:r>
      <w:r w:rsidRPr="000C763E">
        <w:rPr>
          <w:rFonts w:asciiTheme="majorHAnsi" w:hAnsiTheme="majorHAnsi" w:cstheme="majorHAnsi"/>
          <w:sz w:val="18"/>
          <w:szCs w:val="18"/>
        </w:rPr>
        <w:t>be</w:t>
      </w:r>
      <w:r w:rsidRPr="000C763E">
        <w:rPr>
          <w:rFonts w:asciiTheme="majorHAnsi" w:hAnsiTheme="majorHAnsi" w:cstheme="majorHAnsi"/>
          <w:spacing w:val="7"/>
          <w:sz w:val="18"/>
          <w:szCs w:val="18"/>
        </w:rPr>
        <w:t xml:space="preserve"> </w:t>
      </w:r>
      <w:r w:rsidRPr="000C763E">
        <w:rPr>
          <w:rFonts w:asciiTheme="majorHAnsi" w:hAnsiTheme="majorHAnsi" w:cstheme="majorHAnsi"/>
          <w:spacing w:val="-2"/>
          <w:sz w:val="18"/>
          <w:szCs w:val="18"/>
        </w:rPr>
        <w:t>subject</w:t>
      </w:r>
      <w:r w:rsidRPr="000C763E">
        <w:rPr>
          <w:rFonts w:asciiTheme="majorHAnsi" w:hAnsiTheme="majorHAnsi" w:cstheme="majorHAnsi"/>
          <w:spacing w:val="4"/>
          <w:sz w:val="18"/>
          <w:szCs w:val="18"/>
        </w:rPr>
        <w:t xml:space="preserve"> </w:t>
      </w:r>
      <w:r w:rsidRPr="000C763E">
        <w:rPr>
          <w:rFonts w:asciiTheme="majorHAnsi" w:hAnsiTheme="majorHAnsi" w:cstheme="majorHAnsi"/>
          <w:spacing w:val="-1"/>
          <w:sz w:val="18"/>
          <w:szCs w:val="18"/>
        </w:rPr>
        <w:t>to</w:t>
      </w:r>
      <w:r w:rsidRPr="000C763E">
        <w:rPr>
          <w:rFonts w:asciiTheme="majorHAnsi" w:hAnsiTheme="majorHAnsi" w:cstheme="majorHAnsi"/>
          <w:spacing w:val="7"/>
          <w:sz w:val="18"/>
          <w:szCs w:val="18"/>
        </w:rPr>
        <w:t xml:space="preserve"> </w:t>
      </w:r>
      <w:r w:rsidRPr="000C763E">
        <w:rPr>
          <w:rFonts w:asciiTheme="majorHAnsi" w:hAnsiTheme="majorHAnsi" w:cstheme="majorHAnsi"/>
          <w:sz w:val="18"/>
          <w:szCs w:val="18"/>
        </w:rPr>
        <w:t>a</w:t>
      </w:r>
      <w:r w:rsidRPr="000C763E">
        <w:rPr>
          <w:rFonts w:asciiTheme="majorHAnsi" w:hAnsiTheme="majorHAnsi" w:cstheme="majorHAnsi"/>
          <w:spacing w:val="7"/>
          <w:sz w:val="18"/>
          <w:szCs w:val="18"/>
        </w:rPr>
        <w:t xml:space="preserve"> </w:t>
      </w:r>
      <w:r w:rsidRPr="000C763E">
        <w:rPr>
          <w:rFonts w:asciiTheme="majorHAnsi" w:hAnsiTheme="majorHAnsi" w:cstheme="majorHAnsi"/>
          <w:spacing w:val="-2"/>
          <w:sz w:val="18"/>
          <w:szCs w:val="18"/>
        </w:rPr>
        <w:t>penalty</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1"/>
          <w:sz w:val="18"/>
          <w:szCs w:val="18"/>
        </w:rPr>
        <w:t>for</w:t>
      </w:r>
      <w:r w:rsidRPr="000C763E">
        <w:rPr>
          <w:rFonts w:asciiTheme="majorHAnsi" w:hAnsiTheme="majorHAnsi" w:cstheme="majorHAnsi"/>
          <w:spacing w:val="6"/>
          <w:sz w:val="18"/>
          <w:szCs w:val="18"/>
        </w:rPr>
        <w:t xml:space="preserve"> </w:t>
      </w:r>
      <w:r w:rsidRPr="000C763E">
        <w:rPr>
          <w:rFonts w:asciiTheme="majorHAnsi" w:hAnsiTheme="majorHAnsi" w:cstheme="majorHAnsi"/>
          <w:spacing w:val="-1"/>
          <w:sz w:val="18"/>
          <w:szCs w:val="18"/>
        </w:rPr>
        <w:t>failure</w:t>
      </w:r>
      <w:r w:rsidRPr="000C763E">
        <w:rPr>
          <w:rFonts w:asciiTheme="majorHAnsi" w:hAnsiTheme="majorHAnsi" w:cstheme="majorHAnsi"/>
          <w:spacing w:val="4"/>
          <w:sz w:val="18"/>
          <w:szCs w:val="18"/>
        </w:rPr>
        <w:t xml:space="preserve"> </w:t>
      </w:r>
      <w:r w:rsidRPr="000C763E">
        <w:rPr>
          <w:rFonts w:asciiTheme="majorHAnsi" w:hAnsiTheme="majorHAnsi" w:cstheme="majorHAnsi"/>
          <w:spacing w:val="-1"/>
          <w:sz w:val="18"/>
          <w:szCs w:val="18"/>
        </w:rPr>
        <w:t>to</w:t>
      </w:r>
      <w:r w:rsidRPr="000C763E">
        <w:rPr>
          <w:rFonts w:asciiTheme="majorHAnsi" w:hAnsiTheme="majorHAnsi" w:cstheme="majorHAnsi"/>
          <w:spacing w:val="5"/>
          <w:sz w:val="18"/>
          <w:szCs w:val="18"/>
        </w:rPr>
        <w:t xml:space="preserve"> </w:t>
      </w:r>
      <w:r w:rsidRPr="000C763E">
        <w:rPr>
          <w:rFonts w:asciiTheme="majorHAnsi" w:hAnsiTheme="majorHAnsi" w:cstheme="majorHAnsi"/>
          <w:spacing w:val="-2"/>
          <w:sz w:val="18"/>
          <w:szCs w:val="18"/>
        </w:rPr>
        <w:t>comply</w:t>
      </w:r>
      <w:r w:rsidRPr="000C763E">
        <w:rPr>
          <w:rFonts w:asciiTheme="majorHAnsi" w:hAnsiTheme="majorHAnsi" w:cstheme="majorHAnsi"/>
          <w:sz w:val="18"/>
          <w:szCs w:val="18"/>
        </w:rPr>
        <w:t xml:space="preserve"> </w:t>
      </w:r>
      <w:r w:rsidRPr="000C763E">
        <w:rPr>
          <w:rFonts w:asciiTheme="majorHAnsi" w:hAnsiTheme="majorHAnsi" w:cstheme="majorHAnsi"/>
          <w:spacing w:val="-1"/>
          <w:sz w:val="18"/>
          <w:szCs w:val="18"/>
        </w:rPr>
        <w:t>with,</w:t>
      </w:r>
      <w:r w:rsidRPr="000C763E">
        <w:rPr>
          <w:rFonts w:asciiTheme="majorHAnsi" w:hAnsiTheme="majorHAnsi" w:cstheme="majorHAnsi"/>
          <w:spacing w:val="7"/>
          <w:sz w:val="18"/>
          <w:szCs w:val="18"/>
        </w:rPr>
        <w:t xml:space="preserve"> </w:t>
      </w:r>
      <w:r w:rsidRPr="000C763E">
        <w:rPr>
          <w:rFonts w:asciiTheme="majorHAnsi" w:hAnsiTheme="majorHAnsi" w:cstheme="majorHAnsi"/>
          <w:sz w:val="18"/>
          <w:szCs w:val="18"/>
        </w:rPr>
        <w:t>a</w:t>
      </w:r>
      <w:r w:rsidRPr="000C763E">
        <w:rPr>
          <w:rFonts w:asciiTheme="majorHAnsi" w:hAnsiTheme="majorHAnsi" w:cstheme="majorHAnsi"/>
          <w:spacing w:val="4"/>
          <w:sz w:val="18"/>
          <w:szCs w:val="18"/>
        </w:rPr>
        <w:t xml:space="preserve"> </w:t>
      </w:r>
      <w:r w:rsidRPr="000C763E">
        <w:rPr>
          <w:rFonts w:asciiTheme="majorHAnsi" w:hAnsiTheme="majorHAnsi" w:cstheme="majorHAnsi"/>
          <w:spacing w:val="-2"/>
          <w:sz w:val="18"/>
          <w:szCs w:val="18"/>
        </w:rPr>
        <w:t>collection</w:t>
      </w:r>
      <w:r w:rsidRPr="000C763E">
        <w:rPr>
          <w:rFonts w:asciiTheme="majorHAnsi" w:hAnsiTheme="majorHAnsi" w:cstheme="majorHAnsi"/>
          <w:spacing w:val="5"/>
          <w:sz w:val="18"/>
          <w:szCs w:val="18"/>
        </w:rPr>
        <w:t xml:space="preserve"> </w:t>
      </w:r>
      <w:r w:rsidRPr="000C763E">
        <w:rPr>
          <w:rFonts w:asciiTheme="majorHAnsi" w:hAnsiTheme="majorHAnsi" w:cstheme="majorHAnsi"/>
          <w:sz w:val="18"/>
          <w:szCs w:val="18"/>
        </w:rPr>
        <w:t>of</w:t>
      </w:r>
      <w:r w:rsidRPr="000C763E">
        <w:rPr>
          <w:rFonts w:asciiTheme="majorHAnsi" w:hAnsiTheme="majorHAnsi" w:cstheme="majorHAnsi"/>
          <w:spacing w:val="6"/>
          <w:sz w:val="18"/>
          <w:szCs w:val="18"/>
        </w:rPr>
        <w:t xml:space="preserve"> </w:t>
      </w:r>
      <w:r w:rsidRPr="000C763E">
        <w:rPr>
          <w:rFonts w:asciiTheme="majorHAnsi" w:hAnsiTheme="majorHAnsi" w:cstheme="majorHAnsi"/>
          <w:spacing w:val="-2"/>
          <w:sz w:val="18"/>
          <w:szCs w:val="18"/>
        </w:rPr>
        <w:t>information</w:t>
      </w:r>
      <w:r w:rsidRPr="000C763E">
        <w:rPr>
          <w:rFonts w:asciiTheme="majorHAnsi" w:hAnsiTheme="majorHAnsi" w:cstheme="majorHAnsi"/>
          <w:spacing w:val="7"/>
          <w:sz w:val="18"/>
          <w:szCs w:val="18"/>
        </w:rPr>
        <w:t xml:space="preserve"> </w:t>
      </w:r>
      <w:r w:rsidRPr="000C763E">
        <w:rPr>
          <w:rFonts w:asciiTheme="majorHAnsi" w:hAnsiTheme="majorHAnsi" w:cstheme="majorHAnsi"/>
          <w:spacing w:val="-1"/>
          <w:sz w:val="18"/>
          <w:szCs w:val="18"/>
        </w:rPr>
        <w:t>subject</w:t>
      </w:r>
      <w:r w:rsidRPr="000C763E">
        <w:rPr>
          <w:rFonts w:asciiTheme="majorHAnsi" w:hAnsiTheme="majorHAnsi" w:cstheme="majorHAnsi"/>
          <w:spacing w:val="4"/>
          <w:sz w:val="18"/>
          <w:szCs w:val="18"/>
        </w:rPr>
        <w:t xml:space="preserve"> </w:t>
      </w:r>
      <w:r w:rsidRPr="000C763E">
        <w:rPr>
          <w:rFonts w:asciiTheme="majorHAnsi" w:hAnsiTheme="majorHAnsi" w:cstheme="majorHAnsi"/>
          <w:spacing w:val="-1"/>
          <w:sz w:val="18"/>
          <w:szCs w:val="18"/>
        </w:rPr>
        <w:t>to</w:t>
      </w:r>
      <w:r w:rsidRPr="000C763E">
        <w:rPr>
          <w:rFonts w:asciiTheme="majorHAnsi" w:hAnsiTheme="majorHAnsi" w:cstheme="majorHAnsi"/>
          <w:spacing w:val="7"/>
          <w:sz w:val="18"/>
          <w:szCs w:val="18"/>
        </w:rPr>
        <w:t xml:space="preserve"> </w:t>
      </w:r>
      <w:r w:rsidRPr="000C763E">
        <w:rPr>
          <w:rFonts w:asciiTheme="majorHAnsi" w:hAnsiTheme="majorHAnsi" w:cstheme="majorHAnsi"/>
          <w:spacing w:val="-2"/>
          <w:sz w:val="18"/>
          <w:szCs w:val="18"/>
        </w:rPr>
        <w:t>the</w:t>
      </w:r>
      <w:r w:rsidRPr="000C763E">
        <w:rPr>
          <w:rFonts w:asciiTheme="majorHAnsi" w:hAnsiTheme="majorHAnsi" w:cstheme="majorHAnsi"/>
          <w:spacing w:val="67"/>
          <w:sz w:val="18"/>
          <w:szCs w:val="18"/>
        </w:rPr>
        <w:t xml:space="preserve"> </w:t>
      </w:r>
      <w:r w:rsidRPr="000C763E">
        <w:rPr>
          <w:rFonts w:asciiTheme="majorHAnsi" w:hAnsiTheme="majorHAnsi" w:cstheme="majorHAnsi"/>
          <w:spacing w:val="-2"/>
          <w:sz w:val="18"/>
          <w:szCs w:val="18"/>
        </w:rPr>
        <w:t>requirements</w:t>
      </w:r>
      <w:r w:rsidRPr="000C763E">
        <w:rPr>
          <w:rFonts w:asciiTheme="majorHAnsi" w:hAnsiTheme="majorHAnsi" w:cstheme="majorHAnsi"/>
          <w:spacing w:val="-1"/>
          <w:sz w:val="18"/>
          <w:szCs w:val="18"/>
        </w:rPr>
        <w:t xml:space="preserve"> </w:t>
      </w:r>
      <w:r w:rsidRPr="000C763E">
        <w:rPr>
          <w:rFonts w:asciiTheme="majorHAnsi" w:hAnsiTheme="majorHAnsi" w:cstheme="majorHAnsi"/>
          <w:sz w:val="18"/>
          <w:szCs w:val="18"/>
        </w:rPr>
        <w:t>of</w:t>
      </w:r>
      <w:r w:rsidRPr="000C763E">
        <w:rPr>
          <w:rFonts w:asciiTheme="majorHAnsi" w:hAnsiTheme="majorHAnsi" w:cstheme="majorHAnsi"/>
          <w:spacing w:val="-1"/>
          <w:sz w:val="18"/>
          <w:szCs w:val="18"/>
        </w:rPr>
        <w:t xml:space="preserve"> the</w:t>
      </w:r>
      <w:r w:rsidRPr="000C763E">
        <w:rPr>
          <w:rFonts w:asciiTheme="majorHAnsi" w:hAnsiTheme="majorHAnsi" w:cstheme="majorHAnsi"/>
          <w:sz w:val="18"/>
          <w:szCs w:val="18"/>
        </w:rPr>
        <w:t xml:space="preserve"> </w:t>
      </w:r>
      <w:r w:rsidRPr="000C763E">
        <w:rPr>
          <w:rFonts w:asciiTheme="majorHAnsi" w:hAnsiTheme="majorHAnsi" w:cstheme="majorHAnsi"/>
          <w:spacing w:val="-2"/>
          <w:sz w:val="18"/>
          <w:szCs w:val="18"/>
        </w:rPr>
        <w:t>paperwork</w:t>
      </w:r>
      <w:r w:rsidRPr="000C763E">
        <w:rPr>
          <w:rFonts w:asciiTheme="majorHAnsi" w:hAnsiTheme="majorHAnsi" w:cstheme="majorHAnsi"/>
          <w:sz w:val="18"/>
          <w:szCs w:val="18"/>
        </w:rPr>
        <w:t xml:space="preserve"> </w:t>
      </w:r>
      <w:r w:rsidRPr="000C763E">
        <w:rPr>
          <w:rFonts w:asciiTheme="majorHAnsi" w:hAnsiTheme="majorHAnsi" w:cstheme="majorHAnsi"/>
          <w:spacing w:val="-2"/>
          <w:sz w:val="18"/>
          <w:szCs w:val="18"/>
        </w:rPr>
        <w:t>Reduction</w:t>
      </w:r>
      <w:r w:rsidRPr="000C763E">
        <w:rPr>
          <w:rFonts w:asciiTheme="majorHAnsi" w:hAnsiTheme="majorHAnsi" w:cstheme="majorHAnsi"/>
          <w:spacing w:val="-3"/>
          <w:sz w:val="18"/>
          <w:szCs w:val="18"/>
        </w:rPr>
        <w:t xml:space="preserve"> </w:t>
      </w:r>
      <w:r w:rsidRPr="000C763E">
        <w:rPr>
          <w:rFonts w:asciiTheme="majorHAnsi" w:hAnsiTheme="majorHAnsi" w:cstheme="majorHAnsi"/>
          <w:spacing w:val="-1"/>
          <w:sz w:val="18"/>
          <w:szCs w:val="18"/>
        </w:rPr>
        <w:t>Act,</w:t>
      </w:r>
      <w:r w:rsidRPr="000C763E">
        <w:rPr>
          <w:rFonts w:asciiTheme="majorHAnsi" w:hAnsiTheme="majorHAnsi" w:cstheme="majorHAnsi"/>
          <w:sz w:val="18"/>
          <w:szCs w:val="18"/>
        </w:rPr>
        <w:t xml:space="preserve"> </w:t>
      </w:r>
      <w:r w:rsidRPr="000C763E">
        <w:rPr>
          <w:rFonts w:asciiTheme="majorHAnsi" w:hAnsiTheme="majorHAnsi" w:cstheme="majorHAnsi"/>
          <w:spacing w:val="-2"/>
          <w:sz w:val="18"/>
          <w:szCs w:val="18"/>
        </w:rPr>
        <w:t>unless</w:t>
      </w:r>
      <w:r w:rsidRPr="000C763E">
        <w:rPr>
          <w:rFonts w:asciiTheme="majorHAnsi" w:hAnsiTheme="majorHAnsi" w:cstheme="majorHAnsi"/>
          <w:spacing w:val="-1"/>
          <w:sz w:val="18"/>
          <w:szCs w:val="18"/>
        </w:rPr>
        <w:t xml:space="preserve"> </w:t>
      </w:r>
      <w:r w:rsidRPr="000C763E">
        <w:rPr>
          <w:rFonts w:asciiTheme="majorHAnsi" w:hAnsiTheme="majorHAnsi" w:cstheme="majorHAnsi"/>
          <w:spacing w:val="-2"/>
          <w:sz w:val="18"/>
          <w:szCs w:val="18"/>
        </w:rPr>
        <w:t>that</w:t>
      </w:r>
      <w:r w:rsidRPr="000C763E">
        <w:rPr>
          <w:rFonts w:asciiTheme="majorHAnsi" w:hAnsiTheme="majorHAnsi" w:cstheme="majorHAnsi"/>
          <w:spacing w:val="-1"/>
          <w:sz w:val="18"/>
          <w:szCs w:val="18"/>
        </w:rPr>
        <w:t xml:space="preserve"> </w:t>
      </w:r>
      <w:r w:rsidRPr="000C763E">
        <w:rPr>
          <w:rFonts w:asciiTheme="majorHAnsi" w:hAnsiTheme="majorHAnsi" w:cstheme="majorHAnsi"/>
          <w:spacing w:val="-2"/>
          <w:sz w:val="18"/>
          <w:szCs w:val="18"/>
        </w:rPr>
        <w:t>collection</w:t>
      </w:r>
      <w:r w:rsidRPr="000C763E">
        <w:rPr>
          <w:rFonts w:asciiTheme="majorHAnsi" w:hAnsiTheme="majorHAnsi" w:cstheme="majorHAnsi"/>
          <w:sz w:val="18"/>
          <w:szCs w:val="18"/>
        </w:rPr>
        <w:t xml:space="preserve"> of</w:t>
      </w:r>
      <w:r w:rsidRPr="000C763E">
        <w:rPr>
          <w:rFonts w:asciiTheme="majorHAnsi" w:hAnsiTheme="majorHAnsi" w:cstheme="majorHAnsi"/>
          <w:spacing w:val="-1"/>
          <w:sz w:val="18"/>
          <w:szCs w:val="18"/>
        </w:rPr>
        <w:t xml:space="preserve"> </w:t>
      </w:r>
      <w:r w:rsidRPr="000C763E">
        <w:rPr>
          <w:rFonts w:asciiTheme="majorHAnsi" w:hAnsiTheme="majorHAnsi" w:cstheme="majorHAnsi"/>
          <w:spacing w:val="-2"/>
          <w:sz w:val="18"/>
          <w:szCs w:val="18"/>
        </w:rPr>
        <w:t>information</w:t>
      </w:r>
      <w:r w:rsidRPr="000C763E">
        <w:rPr>
          <w:rFonts w:asciiTheme="majorHAnsi" w:hAnsiTheme="majorHAnsi" w:cstheme="majorHAnsi"/>
          <w:sz w:val="18"/>
          <w:szCs w:val="18"/>
        </w:rPr>
        <w:t xml:space="preserve"> </w:t>
      </w:r>
      <w:r w:rsidRPr="000C763E">
        <w:rPr>
          <w:rFonts w:asciiTheme="majorHAnsi" w:hAnsiTheme="majorHAnsi" w:cstheme="majorHAnsi"/>
          <w:spacing w:val="-2"/>
          <w:sz w:val="18"/>
          <w:szCs w:val="18"/>
        </w:rPr>
        <w:t>displays</w:t>
      </w:r>
      <w:r w:rsidRPr="000C763E">
        <w:rPr>
          <w:rFonts w:asciiTheme="majorHAnsi" w:hAnsiTheme="majorHAnsi" w:cstheme="majorHAnsi"/>
          <w:spacing w:val="-1"/>
          <w:sz w:val="18"/>
          <w:szCs w:val="18"/>
        </w:rPr>
        <w:t xml:space="preserve"> </w:t>
      </w:r>
      <w:r w:rsidRPr="000C763E">
        <w:rPr>
          <w:rFonts w:asciiTheme="majorHAnsi" w:hAnsiTheme="majorHAnsi" w:cstheme="majorHAnsi"/>
          <w:sz w:val="18"/>
          <w:szCs w:val="18"/>
        </w:rPr>
        <w:t xml:space="preserve">a </w:t>
      </w:r>
      <w:r w:rsidRPr="000C763E">
        <w:rPr>
          <w:rFonts w:asciiTheme="majorHAnsi" w:hAnsiTheme="majorHAnsi" w:cstheme="majorHAnsi"/>
          <w:spacing w:val="-1"/>
          <w:sz w:val="18"/>
          <w:szCs w:val="18"/>
        </w:rPr>
        <w:t>currently</w:t>
      </w:r>
      <w:r w:rsidRPr="000C763E">
        <w:rPr>
          <w:rFonts w:asciiTheme="majorHAnsi" w:hAnsiTheme="majorHAnsi" w:cstheme="majorHAnsi"/>
          <w:spacing w:val="77"/>
          <w:sz w:val="18"/>
          <w:szCs w:val="18"/>
        </w:rPr>
        <w:t xml:space="preserve"> </w:t>
      </w:r>
      <w:r w:rsidRPr="000C763E">
        <w:rPr>
          <w:rFonts w:asciiTheme="majorHAnsi" w:hAnsiTheme="majorHAnsi" w:cstheme="majorHAnsi"/>
          <w:spacing w:val="-2"/>
          <w:sz w:val="18"/>
          <w:szCs w:val="18"/>
        </w:rPr>
        <w:t>valid</w:t>
      </w:r>
      <w:r w:rsidRPr="000C763E">
        <w:rPr>
          <w:rFonts w:asciiTheme="majorHAnsi" w:hAnsiTheme="majorHAnsi" w:cstheme="majorHAnsi"/>
          <w:sz w:val="18"/>
          <w:szCs w:val="18"/>
        </w:rPr>
        <w:t xml:space="preserve"> OMB</w:t>
      </w:r>
      <w:r w:rsidRPr="000C763E">
        <w:rPr>
          <w:rFonts w:asciiTheme="majorHAnsi" w:hAnsiTheme="majorHAnsi" w:cstheme="majorHAnsi"/>
          <w:spacing w:val="-4"/>
          <w:sz w:val="18"/>
          <w:szCs w:val="18"/>
        </w:rPr>
        <w:t xml:space="preserve"> </w:t>
      </w:r>
      <w:r w:rsidRPr="000C763E">
        <w:rPr>
          <w:rFonts w:asciiTheme="majorHAnsi" w:hAnsiTheme="majorHAnsi" w:cstheme="majorHAnsi"/>
          <w:spacing w:val="-1"/>
          <w:sz w:val="18"/>
          <w:szCs w:val="18"/>
        </w:rPr>
        <w:t>Control</w:t>
      </w:r>
      <w:r w:rsidRPr="000C763E">
        <w:rPr>
          <w:rFonts w:asciiTheme="majorHAnsi" w:hAnsiTheme="majorHAnsi" w:cstheme="majorHAnsi"/>
          <w:spacing w:val="-4"/>
          <w:sz w:val="18"/>
          <w:szCs w:val="18"/>
        </w:rPr>
        <w:t xml:space="preserve"> </w:t>
      </w:r>
      <w:r w:rsidRPr="000C763E">
        <w:rPr>
          <w:rFonts w:asciiTheme="majorHAnsi" w:hAnsiTheme="majorHAnsi" w:cstheme="majorHAnsi"/>
          <w:spacing w:val="-2"/>
          <w:sz w:val="18"/>
          <w:szCs w:val="18"/>
        </w:rPr>
        <w:t>Number.</w:t>
      </w:r>
      <w:r w:rsidRPr="000C763E">
        <w:rPr>
          <w:rFonts w:asciiTheme="majorHAnsi" w:hAnsiTheme="majorHAnsi" w:cstheme="majorHAnsi"/>
          <w:sz w:val="18"/>
          <w:szCs w:val="18"/>
        </w:rPr>
        <w:br/>
      </w:r>
    </w:p>
    <w:p w:rsidR="00BF7E23" w14:paraId="39E600B5" w14:textId="77777777">
      <w:pPr>
        <w:rPr>
          <w:color w:val="434343"/>
          <w:sz w:val="28"/>
          <w:szCs w:val="28"/>
        </w:rPr>
      </w:pPr>
      <w:r>
        <w:br w:type="page"/>
      </w:r>
    </w:p>
    <w:p w:rsidR="005D6431" w14:paraId="7C9D64C6" w14:textId="788946F9">
      <w:pPr>
        <w:pStyle w:val="Heading3"/>
      </w:pPr>
      <w:r>
        <w:t>Appendix A - NCEI Archivable File Formats</w:t>
      </w:r>
    </w:p>
    <w:p w:rsidR="005D6431" w14:paraId="3D3006F3" w14:textId="77777777">
      <w:pPr>
        <w:rPr>
          <w:sz w:val="20"/>
          <w:szCs w:val="20"/>
        </w:rPr>
      </w:pPr>
      <w:r>
        <w:rPr>
          <w:sz w:val="20"/>
          <w:szCs w:val="20"/>
        </w:rPr>
        <w:t xml:space="preserve">Listing of NCEI </w:t>
      </w:r>
      <w:r>
        <w:rPr>
          <w:b/>
          <w:sz w:val="20"/>
          <w:szCs w:val="20"/>
        </w:rPr>
        <w:t>frequently used file formats</w:t>
      </w:r>
      <w:r>
        <w:rPr>
          <w:sz w:val="20"/>
          <w:szCs w:val="20"/>
        </w:rPr>
        <w:t xml:space="preserve">. Note: This is not a listing of all file formats NCEI accepts. Please contact </w:t>
      </w:r>
      <w:hyperlink r:id="rId7">
        <w:r>
          <w:rPr>
            <w:color w:val="1155CC"/>
            <w:sz w:val="20"/>
            <w:szCs w:val="20"/>
            <w:u w:val="single"/>
          </w:rPr>
          <w:t>ncccos.data@noaa.gov</w:t>
        </w:r>
      </w:hyperlink>
      <w:r>
        <w:rPr>
          <w:sz w:val="20"/>
          <w:szCs w:val="20"/>
        </w:rPr>
        <w:t xml:space="preserve"> if your anticipated file format is not on this listing. For additional formats and more information on archiving data at NCEI, please see </w:t>
      </w:r>
      <w:hyperlink r:id="rId8">
        <w:r>
          <w:rPr>
            <w:color w:val="1155CC"/>
            <w:sz w:val="20"/>
            <w:szCs w:val="20"/>
            <w:u w:val="single"/>
          </w:rPr>
          <w:t>https://www.ncei.noaa.gov/archive</w:t>
        </w:r>
      </w:hyperlink>
      <w:r>
        <w:rPr>
          <w:sz w:val="20"/>
          <w:szCs w:val="20"/>
        </w:rPr>
        <w:t xml:space="preserve"> ‘Frequently Asked Questions’ section.</w:t>
      </w:r>
    </w:p>
    <w:p w:rsidR="005D6431" w14:paraId="76877E67" w14:textId="77777777">
      <w:pPr>
        <w:rPr>
          <w:sz w:val="20"/>
          <w:szCs w:val="20"/>
        </w:rPr>
      </w:pPr>
    </w:p>
    <w:p w:rsidR="005D6431" w14:paraId="4709255C" w14:textId="77777777">
      <w:pPr>
        <w:rPr>
          <w:sz w:val="20"/>
          <w:szCs w:val="20"/>
        </w:rPr>
      </w:pPr>
      <w:r>
        <w:rPr>
          <w:sz w:val="20"/>
          <w:szCs w:val="20"/>
        </w:rPr>
        <w:t>Archivable file formats have the following characteristics:</w:t>
      </w:r>
    </w:p>
    <w:p w:rsidR="005D6431" w14:paraId="44EB22A6" w14:textId="77777777">
      <w:pPr>
        <w:rPr>
          <w:sz w:val="20"/>
          <w:szCs w:val="20"/>
        </w:rPr>
      </w:pPr>
    </w:p>
    <w:p w:rsidR="005D6431" w14:paraId="0B9D072F" w14:textId="77777777">
      <w:pPr>
        <w:numPr>
          <w:ilvl w:val="0"/>
          <w:numId w:val="2"/>
        </w:numPr>
        <w:rPr>
          <w:sz w:val="20"/>
          <w:szCs w:val="20"/>
        </w:rPr>
      </w:pPr>
      <w:r>
        <w:rPr>
          <w:sz w:val="20"/>
          <w:szCs w:val="20"/>
        </w:rPr>
        <w:t>Not software specific (i.e., can only be used by a single, specific program or application),</w:t>
      </w:r>
    </w:p>
    <w:p w:rsidR="005D6431" w14:paraId="2229577D" w14:textId="77777777">
      <w:pPr>
        <w:numPr>
          <w:ilvl w:val="0"/>
          <w:numId w:val="2"/>
        </w:numPr>
        <w:rPr>
          <w:sz w:val="20"/>
          <w:szCs w:val="20"/>
        </w:rPr>
      </w:pPr>
      <w:r>
        <w:rPr>
          <w:sz w:val="20"/>
          <w:szCs w:val="20"/>
        </w:rPr>
        <w:t xml:space="preserve">Based on well-documented national or international </w:t>
      </w:r>
      <w:r>
        <w:rPr>
          <w:sz w:val="20"/>
          <w:szCs w:val="20"/>
        </w:rPr>
        <w:t>standards based</w:t>
      </w:r>
      <w:r>
        <w:rPr>
          <w:sz w:val="20"/>
          <w:szCs w:val="20"/>
        </w:rPr>
        <w:t xml:space="preserve"> format specifications</w:t>
      </w:r>
    </w:p>
    <w:p w:rsidR="005D6431" w14:paraId="270E1FD7" w14:textId="77777777">
      <w:pPr>
        <w:numPr>
          <w:ilvl w:val="0"/>
          <w:numId w:val="2"/>
        </w:numPr>
        <w:rPr>
          <w:sz w:val="20"/>
          <w:szCs w:val="20"/>
        </w:rPr>
      </w:pPr>
      <w:r>
        <w:rPr>
          <w:sz w:val="20"/>
          <w:szCs w:val="20"/>
        </w:rPr>
        <w:t>Suitable for the type of data that are encoded in the format.</w:t>
      </w:r>
    </w:p>
    <w:p w:rsidR="005D6431" w14:paraId="63E8553E" w14:textId="77777777"/>
    <w:tbl>
      <w:tblPr>
        <w:tblStyle w:val="a1"/>
        <w:tblW w:w="10345"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30"/>
        <w:gridCol w:w="2790"/>
        <w:gridCol w:w="2620"/>
        <w:gridCol w:w="2505"/>
      </w:tblGrid>
      <w:tr w14:paraId="49E95CAB" w14:textId="77777777" w:rsidTr="00BF7E23">
        <w:tblPrEx>
          <w:tblW w:w="10345"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430" w:type="dxa"/>
            <w:shd w:val="clear" w:color="auto" w:fill="auto"/>
            <w:tcMar>
              <w:top w:w="100" w:type="dxa"/>
              <w:left w:w="100" w:type="dxa"/>
              <w:bottom w:w="100" w:type="dxa"/>
              <w:right w:w="100" w:type="dxa"/>
            </w:tcMar>
          </w:tcPr>
          <w:p w:rsidR="005D6431" w14:paraId="631B1911" w14:textId="77777777">
            <w:pPr>
              <w:widowControl w:val="0"/>
              <w:spacing w:line="240" w:lineRule="auto"/>
              <w:rPr>
                <w:b/>
                <w:sz w:val="20"/>
                <w:szCs w:val="20"/>
              </w:rPr>
            </w:pPr>
            <w:r>
              <w:rPr>
                <w:b/>
                <w:sz w:val="20"/>
                <w:szCs w:val="20"/>
              </w:rPr>
              <w:t>Generic Data Types</w:t>
            </w:r>
          </w:p>
        </w:tc>
        <w:tc>
          <w:tcPr>
            <w:tcW w:w="2790" w:type="dxa"/>
            <w:shd w:val="clear" w:color="auto" w:fill="auto"/>
            <w:tcMar>
              <w:top w:w="100" w:type="dxa"/>
              <w:left w:w="100" w:type="dxa"/>
              <w:bottom w:w="100" w:type="dxa"/>
              <w:right w:w="100" w:type="dxa"/>
            </w:tcMar>
          </w:tcPr>
          <w:p w:rsidR="005D6431" w14:paraId="219D9072" w14:textId="77777777">
            <w:pPr>
              <w:widowControl w:val="0"/>
              <w:spacing w:line="240" w:lineRule="auto"/>
              <w:rPr>
                <w:b/>
                <w:sz w:val="20"/>
                <w:szCs w:val="20"/>
              </w:rPr>
            </w:pPr>
            <w:r>
              <w:rPr>
                <w:b/>
                <w:sz w:val="20"/>
                <w:szCs w:val="20"/>
              </w:rPr>
              <w:t>Preferred Format(s)</w:t>
            </w:r>
          </w:p>
        </w:tc>
        <w:tc>
          <w:tcPr>
            <w:tcW w:w="2620" w:type="dxa"/>
            <w:shd w:val="clear" w:color="auto" w:fill="auto"/>
            <w:tcMar>
              <w:top w:w="100" w:type="dxa"/>
              <w:left w:w="100" w:type="dxa"/>
              <w:bottom w:w="100" w:type="dxa"/>
              <w:right w:w="100" w:type="dxa"/>
            </w:tcMar>
          </w:tcPr>
          <w:p w:rsidR="005D6431" w14:paraId="34BB3524" w14:textId="77777777">
            <w:pPr>
              <w:widowControl w:val="0"/>
              <w:spacing w:line="240" w:lineRule="auto"/>
              <w:rPr>
                <w:b/>
                <w:sz w:val="20"/>
                <w:szCs w:val="20"/>
              </w:rPr>
            </w:pPr>
            <w:r>
              <w:rPr>
                <w:b/>
                <w:sz w:val="20"/>
                <w:szCs w:val="20"/>
              </w:rPr>
              <w:t>Accepted Format(s)</w:t>
            </w:r>
          </w:p>
        </w:tc>
        <w:tc>
          <w:tcPr>
            <w:tcW w:w="2505" w:type="dxa"/>
            <w:shd w:val="clear" w:color="auto" w:fill="auto"/>
            <w:tcMar>
              <w:top w:w="100" w:type="dxa"/>
              <w:left w:w="100" w:type="dxa"/>
              <w:bottom w:w="100" w:type="dxa"/>
              <w:right w:w="100" w:type="dxa"/>
            </w:tcMar>
          </w:tcPr>
          <w:p w:rsidR="005D6431" w14:paraId="0CF263BF" w14:textId="77777777">
            <w:pPr>
              <w:widowControl w:val="0"/>
              <w:spacing w:line="240" w:lineRule="auto"/>
              <w:rPr>
                <w:b/>
                <w:sz w:val="20"/>
                <w:szCs w:val="20"/>
              </w:rPr>
            </w:pPr>
            <w:r>
              <w:rPr>
                <w:b/>
                <w:sz w:val="20"/>
                <w:szCs w:val="20"/>
              </w:rPr>
              <w:t>Comment(s)</w:t>
            </w:r>
          </w:p>
        </w:tc>
      </w:tr>
      <w:tr w14:paraId="6A0D3C1E" w14:textId="77777777" w:rsidTr="00BF7E23">
        <w:tblPrEx>
          <w:tblW w:w="10345" w:type="dxa"/>
          <w:tblInd w:w="-550" w:type="dxa"/>
          <w:tblLayout w:type="fixed"/>
          <w:tblLook w:val="0600"/>
        </w:tblPrEx>
        <w:tc>
          <w:tcPr>
            <w:tcW w:w="2430" w:type="dxa"/>
            <w:shd w:val="clear" w:color="auto" w:fill="auto"/>
            <w:tcMar>
              <w:top w:w="100" w:type="dxa"/>
              <w:left w:w="100" w:type="dxa"/>
              <w:bottom w:w="100" w:type="dxa"/>
              <w:right w:w="100" w:type="dxa"/>
            </w:tcMar>
          </w:tcPr>
          <w:p w:rsidR="005D6431" w14:paraId="1894F480" w14:textId="77777777">
            <w:pPr>
              <w:widowControl w:val="0"/>
              <w:spacing w:line="240" w:lineRule="auto"/>
              <w:rPr>
                <w:sz w:val="20"/>
                <w:szCs w:val="20"/>
              </w:rPr>
            </w:pPr>
            <w:r>
              <w:rPr>
                <w:sz w:val="20"/>
                <w:szCs w:val="20"/>
              </w:rPr>
              <w:t>Tabular Data</w:t>
            </w:r>
          </w:p>
        </w:tc>
        <w:tc>
          <w:tcPr>
            <w:tcW w:w="2790" w:type="dxa"/>
            <w:shd w:val="clear" w:color="auto" w:fill="auto"/>
            <w:tcMar>
              <w:top w:w="100" w:type="dxa"/>
              <w:left w:w="100" w:type="dxa"/>
              <w:bottom w:w="100" w:type="dxa"/>
              <w:right w:w="100" w:type="dxa"/>
            </w:tcMar>
          </w:tcPr>
          <w:p w:rsidR="005D6431" w14:paraId="257486F4" w14:textId="77777777">
            <w:pPr>
              <w:widowControl w:val="0"/>
              <w:spacing w:line="240" w:lineRule="auto"/>
              <w:rPr>
                <w:sz w:val="20"/>
                <w:szCs w:val="20"/>
              </w:rPr>
            </w:pPr>
            <w:r>
              <w:rPr>
                <w:sz w:val="20"/>
                <w:szCs w:val="20"/>
              </w:rPr>
              <w:t>Comma Separated Values (.csv), Tab Separated Values (.</w:t>
            </w:r>
            <w:r>
              <w:rPr>
                <w:sz w:val="20"/>
                <w:szCs w:val="20"/>
              </w:rPr>
              <w:t>tsv</w:t>
            </w:r>
            <w:r>
              <w:rPr>
                <w:sz w:val="20"/>
                <w:szCs w:val="20"/>
              </w:rPr>
              <w:t xml:space="preserve">), </w:t>
            </w:r>
            <w:r>
              <w:rPr>
                <w:sz w:val="20"/>
                <w:szCs w:val="20"/>
              </w:rPr>
              <w:t>netCDF</w:t>
            </w:r>
            <w:r>
              <w:rPr>
                <w:sz w:val="20"/>
                <w:szCs w:val="20"/>
              </w:rPr>
              <w:t xml:space="preserve"> (.</w:t>
            </w:r>
            <w:r>
              <w:rPr>
                <w:sz w:val="20"/>
                <w:szCs w:val="20"/>
              </w:rPr>
              <w:t>nc</w:t>
            </w:r>
            <w:r>
              <w:rPr>
                <w:sz w:val="20"/>
                <w:szCs w:val="20"/>
              </w:rPr>
              <w:t>), OpenOffice Calc (.</w:t>
            </w:r>
            <w:r>
              <w:rPr>
                <w:sz w:val="20"/>
                <w:szCs w:val="20"/>
              </w:rPr>
              <w:t>ods</w:t>
            </w:r>
            <w:r>
              <w:rPr>
                <w:sz w:val="20"/>
                <w:szCs w:val="20"/>
              </w:rPr>
              <w:t>)</w:t>
            </w:r>
          </w:p>
        </w:tc>
        <w:tc>
          <w:tcPr>
            <w:tcW w:w="2620" w:type="dxa"/>
            <w:shd w:val="clear" w:color="auto" w:fill="auto"/>
            <w:tcMar>
              <w:top w:w="100" w:type="dxa"/>
              <w:left w:w="100" w:type="dxa"/>
              <w:bottom w:w="100" w:type="dxa"/>
              <w:right w:w="100" w:type="dxa"/>
            </w:tcMar>
          </w:tcPr>
          <w:p w:rsidR="005D6431" w14:paraId="0269F7D1" w14:textId="77777777">
            <w:pPr>
              <w:widowControl w:val="0"/>
              <w:spacing w:line="240" w:lineRule="auto"/>
              <w:rPr>
                <w:sz w:val="20"/>
                <w:szCs w:val="20"/>
              </w:rPr>
            </w:pPr>
            <w:r>
              <w:rPr>
                <w:sz w:val="20"/>
                <w:szCs w:val="20"/>
              </w:rPr>
              <w:t>csv. (.</w:t>
            </w:r>
            <w:r>
              <w:rPr>
                <w:sz w:val="20"/>
                <w:szCs w:val="20"/>
              </w:rPr>
              <w:t>xls</w:t>
            </w:r>
            <w:r>
              <w:rPr>
                <w:sz w:val="20"/>
                <w:szCs w:val="20"/>
              </w:rPr>
              <w:t xml:space="preserve"> or .xlsx), JavaScript Object Notation (.json)</w:t>
            </w:r>
          </w:p>
        </w:tc>
        <w:tc>
          <w:tcPr>
            <w:tcW w:w="2505" w:type="dxa"/>
            <w:shd w:val="clear" w:color="auto" w:fill="auto"/>
            <w:tcMar>
              <w:top w:w="100" w:type="dxa"/>
              <w:left w:w="100" w:type="dxa"/>
              <w:bottom w:w="100" w:type="dxa"/>
              <w:right w:w="100" w:type="dxa"/>
            </w:tcMar>
          </w:tcPr>
          <w:p w:rsidR="005D6431" w14:paraId="3654B0BE" w14:textId="77777777">
            <w:pPr>
              <w:widowControl w:val="0"/>
              <w:spacing w:line="240" w:lineRule="auto"/>
              <w:rPr>
                <w:sz w:val="20"/>
                <w:szCs w:val="20"/>
              </w:rPr>
            </w:pPr>
            <w:r>
              <w:rPr>
                <w:sz w:val="20"/>
                <w:szCs w:val="20"/>
              </w:rPr>
              <w:t xml:space="preserve">ASCII or UTF/UTF8/UNICODE encoding; See additional </w:t>
            </w:r>
            <w:hyperlink r:id="rId9">
              <w:r>
                <w:rPr>
                  <w:color w:val="1155CC"/>
                  <w:sz w:val="20"/>
                  <w:szCs w:val="20"/>
                  <w:u w:val="single"/>
                </w:rPr>
                <w:t xml:space="preserve">guidance for using </w:t>
              </w:r>
              <w:r>
                <w:rPr>
                  <w:color w:val="1155CC"/>
                  <w:sz w:val="20"/>
                  <w:szCs w:val="20"/>
                  <w:u w:val="single"/>
                </w:rPr>
                <w:t>NetCDF</w:t>
              </w:r>
            </w:hyperlink>
            <w:r>
              <w:rPr>
                <w:sz w:val="20"/>
                <w:szCs w:val="20"/>
              </w:rPr>
              <w:t xml:space="preserve"> for many kinds of observation data (</w:t>
            </w:r>
            <w:r>
              <w:rPr>
                <w:sz w:val="20"/>
                <w:szCs w:val="20"/>
              </w:rPr>
              <w:t>i.e</w:t>
            </w:r>
            <w:r>
              <w:rPr>
                <w:sz w:val="20"/>
                <w:szCs w:val="20"/>
              </w:rPr>
              <w:t>, profiles, time series, trajectories, etc.).</w:t>
            </w:r>
          </w:p>
        </w:tc>
      </w:tr>
      <w:tr w14:paraId="56E1E84E" w14:textId="77777777" w:rsidTr="00BF7E23">
        <w:tblPrEx>
          <w:tblW w:w="10345" w:type="dxa"/>
          <w:tblInd w:w="-550" w:type="dxa"/>
          <w:tblLayout w:type="fixed"/>
          <w:tblLook w:val="0600"/>
        </w:tblPrEx>
        <w:tc>
          <w:tcPr>
            <w:tcW w:w="2430" w:type="dxa"/>
            <w:shd w:val="clear" w:color="auto" w:fill="auto"/>
            <w:tcMar>
              <w:top w:w="100" w:type="dxa"/>
              <w:left w:w="100" w:type="dxa"/>
              <w:bottom w:w="100" w:type="dxa"/>
              <w:right w:w="100" w:type="dxa"/>
            </w:tcMar>
          </w:tcPr>
          <w:p w:rsidR="005D6431" w14:paraId="18C84C9A" w14:textId="77777777">
            <w:pPr>
              <w:widowControl w:val="0"/>
              <w:spacing w:line="240" w:lineRule="auto"/>
              <w:rPr>
                <w:sz w:val="20"/>
                <w:szCs w:val="20"/>
              </w:rPr>
            </w:pPr>
            <w:r>
              <w:rPr>
                <w:sz w:val="20"/>
                <w:szCs w:val="20"/>
              </w:rPr>
              <w:t>Geospatial Information Systems (GIS)</w:t>
            </w:r>
          </w:p>
        </w:tc>
        <w:tc>
          <w:tcPr>
            <w:tcW w:w="2790" w:type="dxa"/>
            <w:shd w:val="clear" w:color="auto" w:fill="auto"/>
            <w:tcMar>
              <w:top w:w="100" w:type="dxa"/>
              <w:left w:w="100" w:type="dxa"/>
              <w:bottom w:w="100" w:type="dxa"/>
              <w:right w:w="100" w:type="dxa"/>
            </w:tcMar>
          </w:tcPr>
          <w:p w:rsidR="005D6431" w14:paraId="572F7388" w14:textId="77777777">
            <w:pPr>
              <w:widowControl w:val="0"/>
              <w:spacing w:line="240" w:lineRule="auto"/>
              <w:rPr>
                <w:sz w:val="20"/>
                <w:szCs w:val="20"/>
              </w:rPr>
            </w:pPr>
            <w:r>
              <w:rPr>
                <w:sz w:val="20"/>
                <w:szCs w:val="20"/>
              </w:rPr>
              <w:t>GeoTIFF</w:t>
            </w:r>
            <w:r>
              <w:rPr>
                <w:sz w:val="20"/>
                <w:szCs w:val="20"/>
              </w:rPr>
              <w:t xml:space="preserve">, </w:t>
            </w:r>
            <w:r>
              <w:rPr>
                <w:sz w:val="20"/>
                <w:szCs w:val="20"/>
              </w:rPr>
              <w:t>OpenGIS</w:t>
            </w:r>
            <w:r>
              <w:rPr>
                <w:sz w:val="20"/>
                <w:szCs w:val="20"/>
              </w:rPr>
              <w:t xml:space="preserve"> GML, HDF5, </w:t>
            </w:r>
            <w:r>
              <w:rPr>
                <w:sz w:val="20"/>
                <w:szCs w:val="20"/>
              </w:rPr>
              <w:t>NetCDF</w:t>
            </w:r>
          </w:p>
        </w:tc>
        <w:tc>
          <w:tcPr>
            <w:tcW w:w="2620" w:type="dxa"/>
            <w:shd w:val="clear" w:color="auto" w:fill="auto"/>
            <w:tcMar>
              <w:top w:w="100" w:type="dxa"/>
              <w:left w:w="100" w:type="dxa"/>
              <w:bottom w:w="100" w:type="dxa"/>
              <w:right w:w="100" w:type="dxa"/>
            </w:tcMar>
          </w:tcPr>
          <w:p w:rsidR="005D6431" w14:paraId="526FFC1A" w14:textId="77777777">
            <w:pPr>
              <w:widowControl w:val="0"/>
              <w:spacing w:line="240" w:lineRule="auto"/>
              <w:rPr>
                <w:sz w:val="20"/>
                <w:szCs w:val="20"/>
              </w:rPr>
            </w:pPr>
            <w:r>
              <w:rPr>
                <w:sz w:val="20"/>
                <w:szCs w:val="20"/>
              </w:rPr>
              <w:t>ESRI shapefiles (.</w:t>
            </w:r>
            <w:r>
              <w:rPr>
                <w:sz w:val="20"/>
                <w:szCs w:val="20"/>
              </w:rPr>
              <w:t>shp</w:t>
            </w:r>
            <w:r>
              <w:rPr>
                <w:sz w:val="20"/>
                <w:szCs w:val="20"/>
              </w:rPr>
              <w:t>, .</w:t>
            </w:r>
            <w:r>
              <w:rPr>
                <w:sz w:val="20"/>
                <w:szCs w:val="20"/>
              </w:rPr>
              <w:t>dbf</w:t>
            </w:r>
            <w:r>
              <w:rPr>
                <w:sz w:val="20"/>
                <w:szCs w:val="20"/>
              </w:rPr>
              <w:t>, .</w:t>
            </w:r>
            <w:r>
              <w:rPr>
                <w:sz w:val="20"/>
                <w:szCs w:val="20"/>
              </w:rPr>
              <w:t>shx</w:t>
            </w:r>
            <w:r>
              <w:rPr>
                <w:sz w:val="20"/>
                <w:szCs w:val="20"/>
              </w:rPr>
              <w:t>, .</w:t>
            </w:r>
            <w:r>
              <w:rPr>
                <w:sz w:val="20"/>
                <w:szCs w:val="20"/>
              </w:rPr>
              <w:t>cpg</w:t>
            </w:r>
            <w:r>
              <w:rPr>
                <w:sz w:val="20"/>
                <w:szCs w:val="20"/>
              </w:rPr>
              <w:t>, .</w:t>
            </w:r>
            <w:r>
              <w:rPr>
                <w:sz w:val="20"/>
                <w:szCs w:val="20"/>
              </w:rPr>
              <w:t>prj</w:t>
            </w:r>
            <w:r>
              <w:rPr>
                <w:sz w:val="20"/>
                <w:szCs w:val="20"/>
              </w:rPr>
              <w:t>, .</w:t>
            </w:r>
            <w:r>
              <w:rPr>
                <w:sz w:val="20"/>
                <w:szCs w:val="20"/>
              </w:rPr>
              <w:t>sbx</w:t>
            </w:r>
            <w:r>
              <w:rPr>
                <w:sz w:val="20"/>
                <w:szCs w:val="20"/>
              </w:rPr>
              <w:t xml:space="preserve">), ESRI </w:t>
            </w:r>
            <w:r>
              <w:rPr>
                <w:sz w:val="20"/>
                <w:szCs w:val="20"/>
              </w:rPr>
              <w:t>GridFloat</w:t>
            </w:r>
            <w:r>
              <w:rPr>
                <w:sz w:val="20"/>
                <w:szCs w:val="20"/>
              </w:rPr>
              <w:t xml:space="preserve"> Output</w:t>
            </w:r>
          </w:p>
        </w:tc>
        <w:tc>
          <w:tcPr>
            <w:tcW w:w="2505" w:type="dxa"/>
            <w:shd w:val="clear" w:color="auto" w:fill="auto"/>
            <w:tcMar>
              <w:top w:w="100" w:type="dxa"/>
              <w:left w:w="100" w:type="dxa"/>
              <w:bottom w:w="100" w:type="dxa"/>
              <w:right w:w="100" w:type="dxa"/>
            </w:tcMar>
          </w:tcPr>
          <w:p w:rsidR="005D6431" w14:paraId="2D27472A" w14:textId="77777777">
            <w:pPr>
              <w:widowControl w:val="0"/>
              <w:spacing w:line="240" w:lineRule="auto"/>
              <w:rPr>
                <w:sz w:val="20"/>
                <w:szCs w:val="20"/>
              </w:rPr>
            </w:pPr>
            <w:r>
              <w:rPr>
                <w:sz w:val="20"/>
                <w:szCs w:val="20"/>
              </w:rPr>
              <w:t>None</w:t>
            </w:r>
          </w:p>
        </w:tc>
      </w:tr>
      <w:tr w14:paraId="594C69E1" w14:textId="77777777" w:rsidTr="00BF7E23">
        <w:tblPrEx>
          <w:tblW w:w="10345" w:type="dxa"/>
          <w:tblInd w:w="-550" w:type="dxa"/>
          <w:tblLayout w:type="fixed"/>
          <w:tblLook w:val="0600"/>
        </w:tblPrEx>
        <w:tc>
          <w:tcPr>
            <w:tcW w:w="2430" w:type="dxa"/>
            <w:shd w:val="clear" w:color="auto" w:fill="auto"/>
            <w:tcMar>
              <w:top w:w="100" w:type="dxa"/>
              <w:left w:w="100" w:type="dxa"/>
              <w:bottom w:w="100" w:type="dxa"/>
              <w:right w:w="100" w:type="dxa"/>
            </w:tcMar>
          </w:tcPr>
          <w:p w:rsidR="005D6431" w14:paraId="3399CE34" w14:textId="77777777">
            <w:pPr>
              <w:widowControl w:val="0"/>
              <w:spacing w:line="240" w:lineRule="auto"/>
              <w:rPr>
                <w:sz w:val="20"/>
                <w:szCs w:val="20"/>
              </w:rPr>
            </w:pPr>
            <w:r>
              <w:rPr>
                <w:sz w:val="20"/>
                <w:szCs w:val="20"/>
              </w:rPr>
              <w:t>Text</w:t>
            </w:r>
          </w:p>
        </w:tc>
        <w:tc>
          <w:tcPr>
            <w:tcW w:w="2790" w:type="dxa"/>
            <w:shd w:val="clear" w:color="auto" w:fill="auto"/>
            <w:tcMar>
              <w:top w:w="100" w:type="dxa"/>
              <w:left w:w="100" w:type="dxa"/>
              <w:bottom w:w="100" w:type="dxa"/>
              <w:right w:w="100" w:type="dxa"/>
            </w:tcMar>
          </w:tcPr>
          <w:p w:rsidR="005D6431" w14:paraId="2E8880E0" w14:textId="77777777">
            <w:pPr>
              <w:widowControl w:val="0"/>
              <w:spacing w:line="240" w:lineRule="auto"/>
              <w:rPr>
                <w:sz w:val="20"/>
                <w:szCs w:val="20"/>
              </w:rPr>
            </w:pPr>
            <w:r>
              <w:rPr>
                <w:sz w:val="20"/>
                <w:szCs w:val="20"/>
              </w:rPr>
              <w:t>Portable Document Format/Archival (.pdf), OpenOffice Document (.</w:t>
            </w:r>
            <w:r>
              <w:rPr>
                <w:sz w:val="20"/>
                <w:szCs w:val="20"/>
              </w:rPr>
              <w:t>odt</w:t>
            </w:r>
            <w:r>
              <w:rPr>
                <w:sz w:val="20"/>
                <w:szCs w:val="20"/>
              </w:rPr>
              <w:t>), ASCII (.txt)</w:t>
            </w:r>
          </w:p>
        </w:tc>
        <w:tc>
          <w:tcPr>
            <w:tcW w:w="2620" w:type="dxa"/>
            <w:shd w:val="clear" w:color="auto" w:fill="auto"/>
            <w:tcMar>
              <w:top w:w="100" w:type="dxa"/>
              <w:left w:w="100" w:type="dxa"/>
              <w:bottom w:w="100" w:type="dxa"/>
              <w:right w:w="100" w:type="dxa"/>
            </w:tcMar>
          </w:tcPr>
          <w:p w:rsidR="005D6431" w14:paraId="45C4DF00" w14:textId="77777777">
            <w:pPr>
              <w:widowControl w:val="0"/>
              <w:spacing w:line="240" w:lineRule="auto"/>
              <w:rPr>
                <w:sz w:val="20"/>
                <w:szCs w:val="20"/>
              </w:rPr>
            </w:pPr>
            <w:r>
              <w:rPr>
                <w:sz w:val="20"/>
                <w:szCs w:val="20"/>
              </w:rPr>
              <w:t xml:space="preserve">Portable Document Format (.pdf), </w:t>
            </w:r>
            <w:r>
              <w:rPr>
                <w:sz w:val="20"/>
                <w:szCs w:val="20"/>
              </w:rPr>
              <w:t>MicroSoft</w:t>
            </w:r>
            <w:r>
              <w:rPr>
                <w:sz w:val="20"/>
                <w:szCs w:val="20"/>
              </w:rPr>
              <w:t xml:space="preserve"> Word (.doc, .docx)</w:t>
            </w:r>
          </w:p>
        </w:tc>
        <w:tc>
          <w:tcPr>
            <w:tcW w:w="2505" w:type="dxa"/>
            <w:shd w:val="clear" w:color="auto" w:fill="auto"/>
            <w:tcMar>
              <w:top w:w="100" w:type="dxa"/>
              <w:left w:w="100" w:type="dxa"/>
              <w:bottom w:w="100" w:type="dxa"/>
              <w:right w:w="100" w:type="dxa"/>
            </w:tcMar>
          </w:tcPr>
          <w:p w:rsidR="005D6431" w14:paraId="2CABE3BC" w14:textId="77777777">
            <w:pPr>
              <w:widowControl w:val="0"/>
              <w:spacing w:line="240" w:lineRule="auto"/>
              <w:rPr>
                <w:sz w:val="20"/>
                <w:szCs w:val="20"/>
              </w:rPr>
            </w:pPr>
            <w:r>
              <w:rPr>
                <w:sz w:val="20"/>
                <w:szCs w:val="20"/>
              </w:rPr>
              <w:t>Text documents must meet NOAA accessibility guidelines for compliance with Section 508</w:t>
            </w:r>
          </w:p>
        </w:tc>
      </w:tr>
      <w:tr w14:paraId="77325773" w14:textId="77777777" w:rsidTr="00BF7E23">
        <w:tblPrEx>
          <w:tblW w:w="10345" w:type="dxa"/>
          <w:tblInd w:w="-550" w:type="dxa"/>
          <w:tblLayout w:type="fixed"/>
          <w:tblLook w:val="0600"/>
        </w:tblPrEx>
        <w:tc>
          <w:tcPr>
            <w:tcW w:w="2430" w:type="dxa"/>
            <w:shd w:val="clear" w:color="auto" w:fill="auto"/>
            <w:tcMar>
              <w:top w:w="100" w:type="dxa"/>
              <w:left w:w="100" w:type="dxa"/>
              <w:bottom w:w="100" w:type="dxa"/>
              <w:right w:w="100" w:type="dxa"/>
            </w:tcMar>
          </w:tcPr>
          <w:p w:rsidR="005D6431" w14:paraId="6386BA9F" w14:textId="77777777">
            <w:pPr>
              <w:widowControl w:val="0"/>
              <w:spacing w:line="240" w:lineRule="auto"/>
              <w:rPr>
                <w:sz w:val="20"/>
                <w:szCs w:val="20"/>
              </w:rPr>
            </w:pPr>
            <w:r>
              <w:rPr>
                <w:sz w:val="20"/>
                <w:szCs w:val="20"/>
              </w:rPr>
              <w:t>Metadata</w:t>
            </w:r>
          </w:p>
        </w:tc>
        <w:tc>
          <w:tcPr>
            <w:tcW w:w="2790" w:type="dxa"/>
            <w:shd w:val="clear" w:color="auto" w:fill="auto"/>
            <w:tcMar>
              <w:top w:w="100" w:type="dxa"/>
              <w:left w:w="100" w:type="dxa"/>
              <w:bottom w:w="100" w:type="dxa"/>
              <w:right w:w="100" w:type="dxa"/>
            </w:tcMar>
          </w:tcPr>
          <w:p w:rsidR="005D6431" w14:paraId="42B25674" w14:textId="77777777">
            <w:pPr>
              <w:widowControl w:val="0"/>
              <w:spacing w:line="240" w:lineRule="auto"/>
              <w:rPr>
                <w:sz w:val="20"/>
                <w:szCs w:val="20"/>
              </w:rPr>
            </w:pPr>
            <w:r>
              <w:rPr>
                <w:sz w:val="20"/>
                <w:szCs w:val="20"/>
              </w:rPr>
              <w:t>ISO 19139 (.xml) Geospatial Metadata</w:t>
            </w:r>
          </w:p>
        </w:tc>
        <w:tc>
          <w:tcPr>
            <w:tcW w:w="2620" w:type="dxa"/>
            <w:shd w:val="clear" w:color="auto" w:fill="auto"/>
            <w:tcMar>
              <w:top w:w="100" w:type="dxa"/>
              <w:left w:w="100" w:type="dxa"/>
              <w:bottom w:w="100" w:type="dxa"/>
              <w:right w:w="100" w:type="dxa"/>
            </w:tcMar>
          </w:tcPr>
          <w:p w:rsidR="005D6431" w14:paraId="4EAB812C" w14:textId="77777777">
            <w:pPr>
              <w:widowControl w:val="0"/>
              <w:spacing w:line="240" w:lineRule="auto"/>
              <w:rPr>
                <w:sz w:val="20"/>
                <w:szCs w:val="20"/>
              </w:rPr>
            </w:pPr>
            <w:r>
              <w:rPr>
                <w:sz w:val="20"/>
                <w:szCs w:val="20"/>
              </w:rPr>
              <w:t>FGDC Content Standard for Digital Geospatial Metadata (CSDGM), NASA Directory Interchange Format (DIF)</w:t>
            </w:r>
          </w:p>
        </w:tc>
        <w:tc>
          <w:tcPr>
            <w:tcW w:w="2505" w:type="dxa"/>
            <w:shd w:val="clear" w:color="auto" w:fill="auto"/>
            <w:tcMar>
              <w:top w:w="100" w:type="dxa"/>
              <w:left w:w="100" w:type="dxa"/>
              <w:bottom w:w="100" w:type="dxa"/>
              <w:right w:w="100" w:type="dxa"/>
            </w:tcMar>
          </w:tcPr>
          <w:p w:rsidR="005D6431" w14:paraId="24875771" w14:textId="77777777">
            <w:pPr>
              <w:widowControl w:val="0"/>
              <w:spacing w:line="240" w:lineRule="auto"/>
              <w:rPr>
                <w:sz w:val="20"/>
                <w:szCs w:val="20"/>
              </w:rPr>
            </w:pPr>
            <w:r>
              <w:rPr>
                <w:sz w:val="20"/>
                <w:szCs w:val="20"/>
              </w:rPr>
              <w:t xml:space="preserve">The preferred representation of metadata in these standard formats is </w:t>
            </w:r>
            <w:r>
              <w:rPr>
                <w:sz w:val="20"/>
                <w:szCs w:val="20"/>
              </w:rPr>
              <w:t>eXtensible</w:t>
            </w:r>
            <w:r>
              <w:rPr>
                <w:sz w:val="20"/>
                <w:szCs w:val="20"/>
              </w:rPr>
              <w:t xml:space="preserve"> Markup Language (xml)</w:t>
            </w:r>
          </w:p>
        </w:tc>
      </w:tr>
      <w:tr w14:paraId="0F067C9E" w14:textId="77777777" w:rsidTr="00BF7E23">
        <w:tblPrEx>
          <w:tblW w:w="10345" w:type="dxa"/>
          <w:tblInd w:w="-550" w:type="dxa"/>
          <w:tblLayout w:type="fixed"/>
          <w:tblLook w:val="0600"/>
        </w:tblPrEx>
        <w:tc>
          <w:tcPr>
            <w:tcW w:w="2430" w:type="dxa"/>
            <w:shd w:val="clear" w:color="auto" w:fill="auto"/>
            <w:tcMar>
              <w:top w:w="100" w:type="dxa"/>
              <w:left w:w="100" w:type="dxa"/>
              <w:bottom w:w="100" w:type="dxa"/>
              <w:right w:w="100" w:type="dxa"/>
            </w:tcMar>
          </w:tcPr>
          <w:p w:rsidR="005D6431" w14:paraId="6151C8F7" w14:textId="77777777">
            <w:pPr>
              <w:widowControl w:val="0"/>
              <w:spacing w:line="240" w:lineRule="auto"/>
              <w:rPr>
                <w:sz w:val="20"/>
                <w:szCs w:val="20"/>
              </w:rPr>
            </w:pPr>
            <w:r>
              <w:rPr>
                <w:sz w:val="20"/>
                <w:szCs w:val="20"/>
              </w:rPr>
              <w:t>Moving Images</w:t>
            </w:r>
          </w:p>
        </w:tc>
        <w:tc>
          <w:tcPr>
            <w:tcW w:w="2790" w:type="dxa"/>
            <w:shd w:val="clear" w:color="auto" w:fill="auto"/>
            <w:tcMar>
              <w:top w:w="100" w:type="dxa"/>
              <w:left w:w="100" w:type="dxa"/>
              <w:bottom w:w="100" w:type="dxa"/>
              <w:right w:w="100" w:type="dxa"/>
            </w:tcMar>
          </w:tcPr>
          <w:p w:rsidR="005D6431" w14:paraId="1997A50B" w14:textId="77777777">
            <w:pPr>
              <w:widowControl w:val="0"/>
              <w:spacing w:line="240" w:lineRule="auto"/>
              <w:rPr>
                <w:sz w:val="20"/>
                <w:szCs w:val="20"/>
              </w:rPr>
            </w:pPr>
            <w:r>
              <w:rPr>
                <w:sz w:val="20"/>
                <w:szCs w:val="20"/>
              </w:rPr>
              <w:t>To be determined</w:t>
            </w:r>
          </w:p>
        </w:tc>
        <w:tc>
          <w:tcPr>
            <w:tcW w:w="2620" w:type="dxa"/>
            <w:shd w:val="clear" w:color="auto" w:fill="auto"/>
            <w:tcMar>
              <w:top w:w="100" w:type="dxa"/>
              <w:left w:w="100" w:type="dxa"/>
              <w:bottom w:w="100" w:type="dxa"/>
              <w:right w:w="100" w:type="dxa"/>
            </w:tcMar>
          </w:tcPr>
          <w:p w:rsidR="005D6431" w14:paraId="69A34D64" w14:textId="77777777">
            <w:pPr>
              <w:widowControl w:val="0"/>
              <w:spacing w:line="240" w:lineRule="auto"/>
              <w:rPr>
                <w:sz w:val="20"/>
                <w:szCs w:val="20"/>
              </w:rPr>
            </w:pPr>
            <w:r>
              <w:rPr>
                <w:sz w:val="20"/>
                <w:szCs w:val="20"/>
              </w:rPr>
              <w:t>MPEG-2, MPEG-4, MPEG-2000</w:t>
            </w:r>
          </w:p>
        </w:tc>
        <w:tc>
          <w:tcPr>
            <w:tcW w:w="2505" w:type="dxa"/>
            <w:shd w:val="clear" w:color="auto" w:fill="auto"/>
            <w:tcMar>
              <w:top w:w="100" w:type="dxa"/>
              <w:left w:w="100" w:type="dxa"/>
              <w:bottom w:w="100" w:type="dxa"/>
              <w:right w:w="100" w:type="dxa"/>
            </w:tcMar>
          </w:tcPr>
          <w:p w:rsidR="005D6431" w14:paraId="38DCF096" w14:textId="77777777">
            <w:pPr>
              <w:widowControl w:val="0"/>
              <w:spacing w:line="240" w:lineRule="auto"/>
              <w:rPr>
                <w:sz w:val="20"/>
                <w:szCs w:val="20"/>
              </w:rPr>
            </w:pPr>
            <w:r>
              <w:rPr>
                <w:sz w:val="20"/>
                <w:szCs w:val="20"/>
              </w:rPr>
              <w:t>None</w:t>
            </w:r>
          </w:p>
        </w:tc>
      </w:tr>
      <w:tr w14:paraId="7536D846" w14:textId="77777777" w:rsidTr="00BF7E23">
        <w:tblPrEx>
          <w:tblW w:w="10345" w:type="dxa"/>
          <w:tblInd w:w="-550" w:type="dxa"/>
          <w:tblLayout w:type="fixed"/>
          <w:tblLook w:val="0600"/>
        </w:tblPrEx>
        <w:tc>
          <w:tcPr>
            <w:tcW w:w="2430" w:type="dxa"/>
            <w:shd w:val="clear" w:color="auto" w:fill="auto"/>
            <w:tcMar>
              <w:top w:w="100" w:type="dxa"/>
              <w:left w:w="100" w:type="dxa"/>
              <w:bottom w:w="100" w:type="dxa"/>
              <w:right w:w="100" w:type="dxa"/>
            </w:tcMar>
          </w:tcPr>
          <w:p w:rsidR="005D6431" w14:paraId="06E76FE0" w14:textId="77777777">
            <w:pPr>
              <w:widowControl w:val="0"/>
              <w:spacing w:line="240" w:lineRule="auto"/>
              <w:rPr>
                <w:sz w:val="20"/>
                <w:szCs w:val="20"/>
              </w:rPr>
            </w:pPr>
            <w:r>
              <w:rPr>
                <w:sz w:val="20"/>
                <w:szCs w:val="20"/>
              </w:rPr>
              <w:t>Still Images</w:t>
            </w:r>
          </w:p>
        </w:tc>
        <w:tc>
          <w:tcPr>
            <w:tcW w:w="2790" w:type="dxa"/>
            <w:shd w:val="clear" w:color="auto" w:fill="auto"/>
            <w:tcMar>
              <w:top w:w="100" w:type="dxa"/>
              <w:left w:w="100" w:type="dxa"/>
              <w:bottom w:w="100" w:type="dxa"/>
              <w:right w:w="100" w:type="dxa"/>
            </w:tcMar>
          </w:tcPr>
          <w:p w:rsidR="005D6431" w14:paraId="77BB99DF" w14:textId="77777777">
            <w:pPr>
              <w:widowControl w:val="0"/>
              <w:spacing w:line="240" w:lineRule="auto"/>
              <w:rPr>
                <w:sz w:val="20"/>
                <w:szCs w:val="20"/>
              </w:rPr>
            </w:pPr>
            <w:r>
              <w:rPr>
                <w:sz w:val="20"/>
                <w:szCs w:val="20"/>
              </w:rPr>
              <w:t>TIFF</w:t>
            </w:r>
          </w:p>
        </w:tc>
        <w:tc>
          <w:tcPr>
            <w:tcW w:w="2620" w:type="dxa"/>
            <w:shd w:val="clear" w:color="auto" w:fill="auto"/>
            <w:tcMar>
              <w:top w:w="100" w:type="dxa"/>
              <w:left w:w="100" w:type="dxa"/>
              <w:bottom w:w="100" w:type="dxa"/>
              <w:right w:w="100" w:type="dxa"/>
            </w:tcMar>
          </w:tcPr>
          <w:p w:rsidR="005D6431" w14:paraId="730AF45F" w14:textId="77777777">
            <w:pPr>
              <w:widowControl w:val="0"/>
              <w:spacing w:line="240" w:lineRule="auto"/>
              <w:rPr>
                <w:sz w:val="20"/>
                <w:szCs w:val="20"/>
              </w:rPr>
            </w:pPr>
            <w:r>
              <w:rPr>
                <w:sz w:val="20"/>
                <w:szCs w:val="20"/>
              </w:rPr>
              <w:t xml:space="preserve">SVS, JPEG, BIL, HDF5, PNG </w:t>
            </w:r>
          </w:p>
        </w:tc>
        <w:tc>
          <w:tcPr>
            <w:tcW w:w="2505" w:type="dxa"/>
            <w:shd w:val="clear" w:color="auto" w:fill="auto"/>
            <w:tcMar>
              <w:top w:w="100" w:type="dxa"/>
              <w:left w:w="100" w:type="dxa"/>
              <w:bottom w:w="100" w:type="dxa"/>
              <w:right w:w="100" w:type="dxa"/>
            </w:tcMar>
          </w:tcPr>
          <w:p w:rsidR="005D6431" w14:paraId="064DE42A" w14:textId="77777777">
            <w:pPr>
              <w:widowControl w:val="0"/>
              <w:spacing w:line="240" w:lineRule="auto"/>
              <w:rPr>
                <w:sz w:val="20"/>
                <w:szCs w:val="20"/>
              </w:rPr>
            </w:pPr>
            <w:r>
              <w:rPr>
                <w:sz w:val="20"/>
                <w:szCs w:val="20"/>
              </w:rPr>
              <w:t>None</w:t>
            </w:r>
          </w:p>
        </w:tc>
      </w:tr>
      <w:tr w14:paraId="09367422" w14:textId="77777777" w:rsidTr="00BF7E23">
        <w:tblPrEx>
          <w:tblW w:w="10345" w:type="dxa"/>
          <w:tblInd w:w="-550" w:type="dxa"/>
          <w:tblLayout w:type="fixed"/>
          <w:tblLook w:val="0600"/>
        </w:tblPrEx>
        <w:tc>
          <w:tcPr>
            <w:tcW w:w="2430" w:type="dxa"/>
            <w:shd w:val="clear" w:color="auto" w:fill="auto"/>
            <w:tcMar>
              <w:top w:w="100" w:type="dxa"/>
              <w:left w:w="100" w:type="dxa"/>
              <w:bottom w:w="100" w:type="dxa"/>
              <w:right w:w="100" w:type="dxa"/>
            </w:tcMar>
          </w:tcPr>
          <w:p w:rsidR="005D6431" w14:paraId="5413FE66" w14:textId="77777777">
            <w:pPr>
              <w:widowControl w:val="0"/>
              <w:spacing w:line="240" w:lineRule="auto"/>
              <w:rPr>
                <w:sz w:val="20"/>
                <w:szCs w:val="20"/>
              </w:rPr>
            </w:pPr>
            <w:r>
              <w:rPr>
                <w:sz w:val="20"/>
                <w:szCs w:val="20"/>
              </w:rPr>
              <w:t>Others</w:t>
            </w:r>
          </w:p>
        </w:tc>
        <w:tc>
          <w:tcPr>
            <w:tcW w:w="2790" w:type="dxa"/>
            <w:shd w:val="clear" w:color="auto" w:fill="auto"/>
            <w:tcMar>
              <w:top w:w="100" w:type="dxa"/>
              <w:left w:w="100" w:type="dxa"/>
              <w:bottom w:w="100" w:type="dxa"/>
              <w:right w:w="100" w:type="dxa"/>
            </w:tcMar>
          </w:tcPr>
          <w:p w:rsidR="005D6431" w14:paraId="1E136A65" w14:textId="77777777">
            <w:pPr>
              <w:widowControl w:val="0"/>
              <w:spacing w:line="240" w:lineRule="auto"/>
              <w:rPr>
                <w:sz w:val="20"/>
                <w:szCs w:val="20"/>
              </w:rPr>
            </w:pPr>
            <w:r>
              <w:rPr>
                <w:sz w:val="20"/>
                <w:szCs w:val="20"/>
                <w:highlight w:val="white"/>
              </w:rPr>
              <w:t>GRIdded</w:t>
            </w:r>
            <w:r>
              <w:rPr>
                <w:sz w:val="20"/>
                <w:szCs w:val="20"/>
                <w:highlight w:val="white"/>
              </w:rPr>
              <w:t xml:space="preserve"> Binary or General Regularly-distributed Information in Binary (GRIB), Binary Universal Form for the Representation of meteorological data (BUFR)</w:t>
            </w:r>
          </w:p>
        </w:tc>
        <w:tc>
          <w:tcPr>
            <w:tcW w:w="2620" w:type="dxa"/>
            <w:shd w:val="clear" w:color="auto" w:fill="auto"/>
            <w:tcMar>
              <w:top w:w="100" w:type="dxa"/>
              <w:left w:w="100" w:type="dxa"/>
              <w:bottom w:w="100" w:type="dxa"/>
              <w:right w:w="100" w:type="dxa"/>
            </w:tcMar>
          </w:tcPr>
          <w:p w:rsidR="005D6431" w14:paraId="69E56846" w14:textId="77777777">
            <w:pPr>
              <w:widowControl w:val="0"/>
              <w:spacing w:line="240" w:lineRule="auto"/>
              <w:rPr>
                <w:sz w:val="20"/>
                <w:szCs w:val="20"/>
              </w:rPr>
            </w:pPr>
            <w:r>
              <w:rPr>
                <w:sz w:val="20"/>
                <w:szCs w:val="20"/>
              </w:rPr>
              <w:t>Polygon File Format (.ply) for 3-D data representations</w:t>
            </w:r>
          </w:p>
        </w:tc>
        <w:tc>
          <w:tcPr>
            <w:tcW w:w="2505" w:type="dxa"/>
            <w:shd w:val="clear" w:color="auto" w:fill="auto"/>
            <w:tcMar>
              <w:top w:w="100" w:type="dxa"/>
              <w:left w:w="100" w:type="dxa"/>
              <w:bottom w:w="100" w:type="dxa"/>
              <w:right w:w="100" w:type="dxa"/>
            </w:tcMar>
          </w:tcPr>
          <w:p w:rsidR="005D6431" w14:paraId="20DE3F7D" w14:textId="77777777">
            <w:pPr>
              <w:widowControl w:val="0"/>
              <w:spacing w:line="240" w:lineRule="auto"/>
              <w:rPr>
                <w:sz w:val="20"/>
                <w:szCs w:val="20"/>
              </w:rPr>
            </w:pPr>
            <w:r>
              <w:rPr>
                <w:sz w:val="20"/>
                <w:szCs w:val="20"/>
              </w:rPr>
              <w:t>None</w:t>
            </w:r>
          </w:p>
        </w:tc>
      </w:tr>
    </w:tbl>
    <w:p w:rsidR="005D6431" w:rsidP="00BF7E23" w14:paraId="0911E80A" w14:textId="77777777">
      <w:pPr>
        <w:pStyle w:val="Heading2"/>
      </w:pPr>
      <w:bookmarkStart w:id="18" w:name="_814ii9s2acr1" w:colFirst="0" w:colLast="0"/>
      <w:bookmarkEnd w:id="18"/>
    </w:p>
    <w:sectPr>
      <w:headerReference w:type="default" r:id="rId10"/>
      <w:headerReference w:type="first" r:id="rId11"/>
      <w:footerReference w:type="first" r:id="rId12"/>
      <w:pgSz w:w="12240" w:h="15840"/>
      <w:pgMar w:top="720" w:right="1440" w:bottom="720" w:left="1353"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6431" w14:paraId="69AABA8C" w14:textId="77777777">
    <w:pPr>
      <w:jc w:val="right"/>
      <w:rPr>
        <w:sz w:val="6"/>
        <w:szCs w:val="6"/>
      </w:rPr>
    </w:pPr>
    <w:r>
      <w:rPr>
        <w:sz w:val="16"/>
        <w:szCs w:val="16"/>
      </w:rPr>
      <w:t>Version 1.0 June 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6431" w14:paraId="12173DC1" w14:textId="77777777">
    <w:pPr>
      <w:pStyle w:val="Heading3"/>
    </w:pPr>
    <w:bookmarkStart w:id="19" w:name="_jvpmilhtrd19" w:colFirst="0" w:colLast="0"/>
    <w:bookmarkEnd w:id="1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6431" w14:paraId="06019C15" w14:textId="77777777">
    <w:pPr>
      <w:pStyle w:val="Heading3"/>
      <w:ind w:left="-450"/>
      <w:jc w:val="center"/>
      <w:rPr>
        <w:b/>
        <w:color w:val="0B5394"/>
      </w:rPr>
    </w:pPr>
    <w:bookmarkStart w:id="20" w:name="_bg9kjzjm4fin" w:colFirst="0" w:colLast="0"/>
    <w:bookmarkEnd w:id="20"/>
    <w:r>
      <w:rPr>
        <w:b/>
        <w:color w:val="0B5394"/>
      </w:rPr>
      <w:t>Data Management and Sharing Plan Form</w:t>
    </w:r>
  </w:p>
  <w:p w:rsidR="005D6431" w14:paraId="06CD8FC0" w14:textId="75B85FB8">
    <w:pPr>
      <w:pStyle w:val="Heading3"/>
      <w:ind w:left="-450"/>
      <w:jc w:val="center"/>
    </w:pPr>
    <w:bookmarkStart w:id="21" w:name="_b36dwttbm0" w:colFirst="0" w:colLast="0"/>
    <w:bookmarkEnd w:id="21"/>
    <w:r>
      <w:rPr>
        <w:b/>
        <w:color w:val="0B5394"/>
      </w:rPr>
      <w:t xml:space="preserve">NOAA </w:t>
    </w:r>
    <w:r w:rsidR="00700BFD">
      <w:rPr>
        <w:b/>
        <w:color w:val="0B5394"/>
      </w:rPr>
      <w:t>National Centers for Coastal Ocean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A7633"/>
    <w:multiLevelType w:val="multilevel"/>
    <w:tmpl w:val="A49A55B6"/>
    <w:lvl w:ilvl="0">
      <w:start w:val="1"/>
      <w:numFmt w:val="bullet"/>
      <w:lvlText w:val=""/>
      <w:lvlJc w:val="left"/>
      <w:pPr>
        <w:ind w:left="720" w:hanging="360"/>
      </w:pPr>
      <w:rPr>
        <w:rFonts w:ascii="Symbol" w:hAnsi="Symbol" w:hint="default"/>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1">
    <w:nsid w:val="21A74D15"/>
    <w:multiLevelType w:val="multilevel"/>
    <w:tmpl w:val="C540D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81158DC"/>
    <w:multiLevelType w:val="multilevel"/>
    <w:tmpl w:val="77DA7C5C"/>
    <w:lvl w:ilvl="0">
      <w:start w:val="1"/>
      <w:numFmt w:val="bullet"/>
      <w:lvlText w:val=""/>
      <w:lvlJc w:val="left"/>
      <w:pPr>
        <w:ind w:left="720" w:hanging="360"/>
      </w:pPr>
      <w:rPr>
        <w:rFonts w:ascii="Symbol" w:hAnsi="Symbol" w:hint="default"/>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3">
    <w:nsid w:val="2834142A"/>
    <w:multiLevelType w:val="hybridMultilevel"/>
    <w:tmpl w:val="6D3022C0"/>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FD513F1"/>
    <w:multiLevelType w:val="multilevel"/>
    <w:tmpl w:val="7DFCC7CA"/>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5">
    <w:nsid w:val="569720EE"/>
    <w:multiLevelType w:val="multilevel"/>
    <w:tmpl w:val="E7ECCD0A"/>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6">
    <w:nsid w:val="586B549B"/>
    <w:multiLevelType w:val="multilevel"/>
    <w:tmpl w:val="153CF99C"/>
    <w:lvl w:ilvl="0">
      <w:start w:val="1"/>
      <w:numFmt w:val="bullet"/>
      <w:lvlText w:val=""/>
      <w:lvlJc w:val="left"/>
      <w:pPr>
        <w:ind w:left="720" w:hanging="360"/>
      </w:pPr>
      <w:rPr>
        <w:rFonts w:ascii="Symbol" w:hAnsi="Symbol" w:hint="default"/>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7">
    <w:nsid w:val="5B55073C"/>
    <w:multiLevelType w:val="multilevel"/>
    <w:tmpl w:val="732E43E2"/>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8">
    <w:nsid w:val="6D3B3E42"/>
    <w:multiLevelType w:val="multilevel"/>
    <w:tmpl w:val="33163F06"/>
    <w:lvl w:ilvl="0">
      <w:start w:val="1"/>
      <w:numFmt w:val="bullet"/>
      <w:lvlText w:val=""/>
      <w:lvlJc w:val="left"/>
      <w:pPr>
        <w:ind w:left="720" w:hanging="360"/>
      </w:pPr>
      <w:rPr>
        <w:rFonts w:ascii="Symbol" w:hAnsi="Symbol" w:hint="default"/>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9">
    <w:nsid w:val="6F2E7AF5"/>
    <w:multiLevelType w:val="multilevel"/>
    <w:tmpl w:val="D512A734"/>
    <w:lvl w:ilvl="0">
      <w:start w:val="1"/>
      <w:numFmt w:val="bullet"/>
      <w:lvlText w:val=""/>
      <w:lvlJc w:val="left"/>
      <w:pPr>
        <w:ind w:left="720" w:hanging="360"/>
      </w:pPr>
      <w:rPr>
        <w:rFonts w:ascii="Symbol" w:hAnsi="Symbol" w:hint="default"/>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10">
    <w:nsid w:val="72171CED"/>
    <w:multiLevelType w:val="multilevel"/>
    <w:tmpl w:val="BB82EA68"/>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num w:numId="1">
    <w:abstractNumId w:val="10"/>
  </w:num>
  <w:num w:numId="2">
    <w:abstractNumId w:val="1"/>
  </w:num>
  <w:num w:numId="3">
    <w:abstractNumId w:val="9"/>
  </w:num>
  <w:num w:numId="4">
    <w:abstractNumId w:val="5"/>
  </w:num>
  <w:num w:numId="5">
    <w:abstractNumId w:val="7"/>
  </w:num>
  <w:num w:numId="6">
    <w:abstractNumId w:val="4"/>
  </w:num>
  <w:num w:numId="7">
    <w:abstractNumId w:val="3"/>
  </w:num>
  <w:num w:numId="8">
    <w:abstractNumId w:val="6"/>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431"/>
    <w:rsid w:val="000C763E"/>
    <w:rsid w:val="005D6431"/>
    <w:rsid w:val="00700BFD"/>
    <w:rsid w:val="00764847"/>
    <w:rsid w:val="00777687"/>
    <w:rsid w:val="00BF644C"/>
    <w:rsid w:val="00BF7E23"/>
    <w:rsid w:val="00F131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948DD1"/>
  <w15:docId w15:val="{E6E6F382-EABC-4C81-802D-60D26FF9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F7E23"/>
    <w:pPr>
      <w:ind w:left="720"/>
      <w:contextualSpacing/>
    </w:pPr>
  </w:style>
  <w:style w:type="paragraph" w:styleId="Header">
    <w:name w:val="header"/>
    <w:basedOn w:val="Normal"/>
    <w:link w:val="HeaderChar"/>
    <w:uiPriority w:val="99"/>
    <w:unhideWhenUsed/>
    <w:rsid w:val="00700BFD"/>
    <w:pPr>
      <w:tabs>
        <w:tab w:val="center" w:pos="4680"/>
        <w:tab w:val="right" w:pos="9360"/>
      </w:tabs>
      <w:spacing w:line="240" w:lineRule="auto"/>
    </w:pPr>
  </w:style>
  <w:style w:type="character" w:customStyle="1" w:styleId="HeaderChar">
    <w:name w:val="Header Char"/>
    <w:basedOn w:val="DefaultParagraphFont"/>
    <w:link w:val="Header"/>
    <w:uiPriority w:val="99"/>
    <w:rsid w:val="00700BFD"/>
  </w:style>
  <w:style w:type="paragraph" w:styleId="Footer">
    <w:name w:val="footer"/>
    <w:basedOn w:val="Normal"/>
    <w:link w:val="FooterChar"/>
    <w:uiPriority w:val="99"/>
    <w:unhideWhenUsed/>
    <w:rsid w:val="00700BFD"/>
    <w:pPr>
      <w:tabs>
        <w:tab w:val="center" w:pos="4680"/>
        <w:tab w:val="right" w:pos="9360"/>
      </w:tabs>
      <w:spacing w:line="240" w:lineRule="auto"/>
    </w:pPr>
  </w:style>
  <w:style w:type="character" w:customStyle="1" w:styleId="FooterChar">
    <w:name w:val="Footer Char"/>
    <w:basedOn w:val="DefaultParagraphFont"/>
    <w:link w:val="Footer"/>
    <w:uiPriority w:val="99"/>
    <w:rsid w:val="00700BFD"/>
  </w:style>
  <w:style w:type="paragraph" w:styleId="BodyText">
    <w:name w:val="Body Text"/>
    <w:basedOn w:val="Normal"/>
    <w:link w:val="BodyTextChar"/>
    <w:uiPriority w:val="1"/>
    <w:qFormat/>
    <w:rsid w:val="000C763E"/>
    <w:pPr>
      <w:widowControl w:val="0"/>
      <w:spacing w:line="240" w:lineRule="auto"/>
      <w:ind w:left="120" w:firstLine="719"/>
    </w:pPr>
    <w:rPr>
      <w:rFonts w:ascii="Times New Roman" w:eastAsia="Times New Roman" w:hAnsi="Times New Roman" w:cstheme="minorBidi"/>
      <w:sz w:val="21"/>
      <w:szCs w:val="21"/>
      <w:lang w:val="en-US"/>
    </w:rPr>
  </w:style>
  <w:style w:type="character" w:customStyle="1" w:styleId="BodyTextChar">
    <w:name w:val="Body Text Char"/>
    <w:basedOn w:val="DefaultParagraphFont"/>
    <w:link w:val="BodyText"/>
    <w:uiPriority w:val="1"/>
    <w:rsid w:val="000C763E"/>
    <w:rPr>
      <w:rFonts w:ascii="Times New Roman" w:eastAsia="Times New Roman" w:hAnsi="Times New Roman" w:cstheme="minorBidi"/>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oaa.gov/organization/administration/nao-212-15-Management-of-NOAA-Data-and-Information" TargetMode="External" /><Relationship Id="rId5" Type="http://schemas.openxmlformats.org/officeDocument/2006/relationships/hyperlink" Target="https://nosc.noaa.gov/EDMC/PD.DSP.php" TargetMode="External" /><Relationship Id="rId6" Type="http://schemas.openxmlformats.org/officeDocument/2006/relationships/hyperlink" Target="mailto:nccos.data@noaa.gov" TargetMode="External" /><Relationship Id="rId7" Type="http://schemas.openxmlformats.org/officeDocument/2006/relationships/hyperlink" Target="mailto:ncccos.data@noaa.gov" TargetMode="External" /><Relationship Id="rId8" Type="http://schemas.openxmlformats.org/officeDocument/2006/relationships/hyperlink" Target="https://www.ncei.noaa.gov/archive" TargetMode="External" /><Relationship Id="rId9" Type="http://schemas.openxmlformats.org/officeDocument/2006/relationships/hyperlink" Target="https://www.ncei.noaa.gov/netcdf-templ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Golden</dc:creator>
  <cp:lastModifiedBy>Adrienne.Thomas</cp:lastModifiedBy>
  <cp:revision>2</cp:revision>
  <dcterms:created xsi:type="dcterms:W3CDTF">2024-12-05T18:50:00Z</dcterms:created>
  <dcterms:modified xsi:type="dcterms:W3CDTF">2024-12-05T18:50:00Z</dcterms:modified>
</cp:coreProperties>
</file>