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5233" w:rsidRPr="006004C0" w:rsidP="006B20A3" w14:paraId="490341D8" w14:textId="69A93A3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b/>
          <w:bCs/>
          <w:sz w:val="24"/>
          <w:szCs w:val="24"/>
        </w:rPr>
        <w:t>JUSTIFICATION FOR NONMATERIAL/NONSUBSTANTIVE CHANGE</w:t>
      </w:r>
    </w:p>
    <w:p w:rsidR="006B20A3" w:rsidRPr="006004C0" w:rsidP="006B20A3" w14:paraId="1C2BFC12" w14:textId="6DAF3D7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Rules for Patent Maintenance Fees</w:t>
      </w:r>
    </w:p>
    <w:p w:rsidR="006B20A3" w:rsidRPr="006004C0" w:rsidP="006B20A3" w14:paraId="6BD4FFBD" w14:textId="1D1CD0E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b/>
          <w:bCs/>
          <w:sz w:val="24"/>
          <w:szCs w:val="24"/>
        </w:rPr>
        <w:t>0651-</w:t>
      </w:r>
      <w:r w:rsidR="005917A9">
        <w:rPr>
          <w:rFonts w:ascii="Arial" w:hAnsi="Arial" w:cs="Arial"/>
          <w:b/>
          <w:bCs/>
          <w:sz w:val="24"/>
          <w:szCs w:val="24"/>
        </w:rPr>
        <w:t>00016</w:t>
      </w:r>
    </w:p>
    <w:p w:rsidR="006B20A3" w:rsidRPr="006004C0" w:rsidP="00E16134" w14:paraId="35AC1629" w14:textId="160D744D">
      <w:pPr>
        <w:pStyle w:val="NoSpacing"/>
        <w:rPr>
          <w:rFonts w:ascii="Arial" w:hAnsi="Arial" w:cs="Arial"/>
          <w:sz w:val="24"/>
          <w:szCs w:val="24"/>
        </w:rPr>
      </w:pPr>
    </w:p>
    <w:p w:rsidR="006B20A3" w:rsidRPr="006004C0" w:rsidP="00E16134" w14:paraId="1D335B75" w14:textId="23980B3F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  <w:u w:val="single"/>
        </w:rPr>
        <w:t>Background</w:t>
      </w:r>
    </w:p>
    <w:p w:rsidR="006B20A3" w:rsidRPr="008C44CE" w:rsidP="008C44CE" w14:paraId="1AF42E01" w14:textId="2495A618">
      <w:pPr>
        <w:pStyle w:val="NoSpacing"/>
        <w:rPr>
          <w:rFonts w:ascii="Arial" w:hAnsi="Arial" w:cs="Arial"/>
          <w:sz w:val="24"/>
          <w:szCs w:val="24"/>
        </w:rPr>
      </w:pPr>
    </w:p>
    <w:p w:rsidR="008C44CE" w:rsidP="214C4074" w14:paraId="4A1DA6EE" w14:textId="205CD0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C44CE">
        <w:rPr>
          <w:rFonts w:ascii="Arial" w:hAnsi="Arial" w:cs="Arial"/>
          <w:sz w:val="24"/>
          <w:szCs w:val="24"/>
        </w:rPr>
        <w:t xml:space="preserve">Under 35 U.S.C. § 41 and 37 CFR 1.20(e)-(h), 1.362, 1.366, 1.377, and 1.378, the United </w:t>
      </w:r>
      <w:r w:rsidRPr="004C1ABE">
        <w:rPr>
          <w:rFonts w:ascii="Arial" w:hAnsi="Arial" w:cs="Arial"/>
          <w:sz w:val="24"/>
          <w:szCs w:val="24"/>
        </w:rPr>
        <w:t>States Patent and Trademark Office (USPTO) charges fees for maintaining in force all patents based on applications filed on or after December 12, 1980</w:t>
      </w:r>
      <w:r w:rsidRPr="004C1ABE" w:rsidR="6F77D003">
        <w:rPr>
          <w:rFonts w:ascii="Arial" w:hAnsi="Arial" w:cs="Arial"/>
          <w:sz w:val="24"/>
          <w:szCs w:val="24"/>
        </w:rPr>
        <w:t>, except for plant and design patents</w:t>
      </w:r>
      <w:r w:rsidRPr="004C1ABE">
        <w:rPr>
          <w:rFonts w:ascii="Arial" w:hAnsi="Arial" w:cs="Arial"/>
          <w:sz w:val="24"/>
          <w:szCs w:val="24"/>
        </w:rPr>
        <w:t xml:space="preserve">. </w:t>
      </w:r>
      <w:r w:rsidRPr="003B0FEE" w:rsidR="58D1AC64">
        <w:rPr>
          <w:rFonts w:ascii="Arial" w:eastAsia="Arial" w:hAnsi="Arial" w:cs="Arial"/>
          <w:sz w:val="24"/>
          <w:szCs w:val="24"/>
        </w:rPr>
        <w:t>Furthermore, maintenance fees are required for a reissue patent unless the patent being reissued did not require maintenance fees.</w:t>
      </w:r>
      <w:r w:rsidRPr="004C1ABE">
        <w:rPr>
          <w:rFonts w:ascii="Arial" w:hAnsi="Arial" w:cs="Arial"/>
          <w:sz w:val="24"/>
          <w:szCs w:val="24"/>
        </w:rPr>
        <w:t xml:space="preserve"> Payment of these maintenance fees is due at </w:t>
      </w:r>
      <w:bookmarkStart w:id="0" w:name="_Hlk164949425"/>
      <w:r w:rsidRPr="004C1ABE">
        <w:rPr>
          <w:rFonts w:ascii="Arial" w:hAnsi="Arial" w:cs="Arial"/>
          <w:sz w:val="24"/>
          <w:szCs w:val="24"/>
        </w:rPr>
        <w:t xml:space="preserve">3-1/2, 7-1/2, and 11-1/2 </w:t>
      </w:r>
      <w:bookmarkEnd w:id="0"/>
      <w:r w:rsidRPr="004C1ABE">
        <w:rPr>
          <w:rFonts w:ascii="Arial" w:hAnsi="Arial" w:cs="Arial"/>
          <w:sz w:val="24"/>
          <w:szCs w:val="24"/>
        </w:rPr>
        <w:t xml:space="preserve">years after the date the patent was granted. </w:t>
      </w:r>
      <w:r w:rsidRPr="003B0FEE" w:rsidR="139DB3A9">
        <w:rPr>
          <w:rFonts w:ascii="Arial" w:eastAsia="Arial" w:hAnsi="Arial" w:cs="Arial"/>
          <w:sz w:val="24"/>
          <w:szCs w:val="24"/>
        </w:rPr>
        <w:t>See section 2504 of the Manual of Patent Examining Procedure (MPEP) (9th Edition, Rev. 07.2022, February 2023) for more information.</w:t>
      </w:r>
    </w:p>
    <w:p w:rsidR="008C44CE" w:rsidP="214C4074" w14:paraId="43C6EFC4" w14:textId="4041451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C44CE" w:rsidRPr="008C44CE" w:rsidP="008C44CE" w14:paraId="5463211D" w14:textId="430A007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C44CE">
        <w:rPr>
          <w:rFonts w:ascii="Arial" w:hAnsi="Arial" w:cs="Arial"/>
          <w:sz w:val="24"/>
          <w:szCs w:val="24"/>
        </w:rPr>
        <w:t>If the USPTO does not receive payment of the appropriate maintenance fee and any applicable surcharge within a grace period of 6 months following each of the above due dates (at 4, 8, or 12 years after the date of grant), the patent will expire at that time.  After a patent expires, it is no longer enforceable.</w:t>
      </w:r>
    </w:p>
    <w:p w:rsidR="008C44CE" w:rsidRPr="006004C0" w:rsidP="006004C0" w14:paraId="3ACA876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E4EE4" w:rsidRPr="007D423D" w:rsidP="007E4EE4" w14:paraId="306B8068" w14:textId="292D5CCE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support of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RIN 0651-AD64 (Setting and Adjusting Patent Fees During Fiscal Year 2025</w:t>
      </w:r>
      <w:r>
        <w:rPr>
          <w:rFonts w:ascii="Arial" w:hAnsi="Arial" w:cs="Arial"/>
          <w:color w:val="000000" w:themeColor="text1"/>
          <w:sz w:val="24"/>
          <w:szCs w:val="24"/>
        </w:rPr>
        <w:t>; 89 FRN 91898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Style w:val="FootnoteReference"/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, the USPTO is changing </w:t>
      </w:r>
      <w:r w:rsidR="00015E71">
        <w:rPr>
          <w:rFonts w:ascii="Arial" w:hAnsi="Arial" w:cs="Arial"/>
          <w:color w:val="000000" w:themeColor="text1"/>
          <w:sz w:val="24"/>
          <w:szCs w:val="24"/>
        </w:rPr>
        <w:t>6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fees </w:t>
      </w:r>
      <w:r>
        <w:rPr>
          <w:rFonts w:ascii="Arial" w:hAnsi="Arial" w:cs="Arial"/>
          <w:color w:val="000000" w:themeColor="text1"/>
          <w:sz w:val="24"/>
          <w:szCs w:val="24"/>
        </w:rPr>
        <w:t>and adding three fees in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this information collection.</w:t>
      </w:r>
    </w:p>
    <w:p w:rsidR="006B20A3" w:rsidRPr="006004C0" w:rsidP="3F52E714" w14:paraId="5C1BF6F9" w14:textId="3238A155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B20A3" w:rsidRPr="006004C0" w:rsidP="3F52E714" w14:paraId="0342A9DF" w14:textId="236144F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3F52E714">
        <w:rPr>
          <w:rFonts w:ascii="Arial" w:hAnsi="Arial" w:cs="Arial"/>
          <w:color w:val="000000" w:themeColor="text1"/>
          <w:sz w:val="24"/>
          <w:szCs w:val="24"/>
        </w:rPr>
        <w:t xml:space="preserve">Additionally, one form, PTO/SB/66 (Petition to Accept Unintentionally Delayed Payment of Maintenance Fee in an Expired Patent (37 CFR 1.378(b)), is being revised </w:t>
      </w:r>
      <w:r w:rsidRPr="3F52E714" w:rsidR="1EDA1893">
        <w:rPr>
          <w:rFonts w:ascii="Arial" w:hAnsi="Arial" w:cs="Arial"/>
          <w:color w:val="000000" w:themeColor="text1"/>
          <w:sz w:val="24"/>
          <w:szCs w:val="24"/>
        </w:rPr>
        <w:t>to reflect changes made by the rulemaking.</w:t>
      </w:r>
    </w:p>
    <w:p w:rsidR="006B20A3" w:rsidRPr="006004C0" w:rsidP="3F52E714" w14:paraId="2FE9DFEA" w14:textId="32D54DDE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4618" w:rsidRPr="009E4618" w:rsidP="00E16134" w14:paraId="1927D415" w14:textId="4BC0938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004C0">
        <w:rPr>
          <w:rFonts w:ascii="Arial" w:hAnsi="Arial" w:cs="Arial"/>
          <w:b/>
          <w:bCs/>
          <w:sz w:val="20"/>
          <w:szCs w:val="20"/>
        </w:rPr>
        <w:t xml:space="preserve">Table 1: </w:t>
      </w:r>
      <w:r w:rsidR="007E2EBA">
        <w:rPr>
          <w:rFonts w:ascii="Arial" w:hAnsi="Arial" w:cs="Arial"/>
          <w:b/>
          <w:bCs/>
          <w:sz w:val="20"/>
          <w:szCs w:val="20"/>
        </w:rPr>
        <w:t>Changes</w:t>
      </w:r>
      <w:r w:rsidRPr="006004C0" w:rsidR="001E537C">
        <w:rPr>
          <w:rFonts w:ascii="Arial" w:hAnsi="Arial" w:cs="Arial"/>
          <w:b/>
          <w:bCs/>
          <w:sz w:val="20"/>
          <w:szCs w:val="20"/>
        </w:rPr>
        <w:t xml:space="preserve"> in Fee Amount</w:t>
      </w:r>
    </w:p>
    <w:tbl>
      <w:tblPr>
        <w:tblStyle w:val="TableGrid"/>
        <w:tblW w:w="5920" w:type="pct"/>
        <w:tblInd w:w="-635" w:type="dxa"/>
        <w:tblLook w:val="04A0"/>
      </w:tblPr>
      <w:tblGrid>
        <w:gridCol w:w="630"/>
        <w:gridCol w:w="716"/>
        <w:gridCol w:w="5096"/>
        <w:gridCol w:w="2017"/>
        <w:gridCol w:w="1260"/>
        <w:gridCol w:w="1351"/>
      </w:tblGrid>
      <w:tr w14:paraId="75471EFA" w14:textId="77777777" w:rsidTr="003B0FEE">
        <w:tblPrEx>
          <w:tblW w:w="5920" w:type="pct"/>
          <w:tblInd w:w="-635" w:type="dxa"/>
          <w:tblLook w:val="04A0"/>
        </w:tblPrEx>
        <w:tc>
          <w:tcPr>
            <w:tcW w:w="285" w:type="pct"/>
            <w:shd w:val="clear" w:color="auto" w:fill="B4C6E7" w:themeFill="accent1" w:themeFillTint="66"/>
            <w:vAlign w:val="center"/>
          </w:tcPr>
          <w:p w:rsidR="009E4618" w:rsidRPr="007D423D" w:rsidP="00FC0AB0" w14:paraId="535C3B5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4618" w:rsidRPr="007D423D" w:rsidP="00FC0AB0" w14:paraId="145D9E4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  <w:p w:rsidR="009E4618" w:rsidRPr="007D423D" w:rsidP="00FC0AB0" w14:paraId="668DAE3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4C6E7" w:themeFill="accent1" w:themeFillTint="66"/>
            <w:vAlign w:val="center"/>
          </w:tcPr>
          <w:p w:rsidR="009E4618" w:rsidRPr="007D423D" w:rsidP="00FC0AB0" w14:paraId="64610BB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2302" w:type="pct"/>
            <w:shd w:val="clear" w:color="auto" w:fill="B4C6E7" w:themeFill="accent1" w:themeFillTint="66"/>
            <w:vAlign w:val="center"/>
          </w:tcPr>
          <w:p w:rsidR="009E4618" w:rsidRPr="007D423D" w:rsidP="00FC0AB0" w14:paraId="7A0BF50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11" w:type="pct"/>
            <w:shd w:val="clear" w:color="auto" w:fill="B4C6E7" w:themeFill="accent1" w:themeFillTint="66"/>
            <w:vAlign w:val="center"/>
          </w:tcPr>
          <w:p w:rsidR="009E4618" w:rsidRPr="007D423D" w:rsidP="00FC0AB0" w14:paraId="37C3DD3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Current Fee</w:t>
            </w:r>
          </w:p>
        </w:tc>
        <w:tc>
          <w:tcPr>
            <w:tcW w:w="569" w:type="pct"/>
            <w:shd w:val="clear" w:color="auto" w:fill="B4C6E7" w:themeFill="accent1" w:themeFillTint="66"/>
            <w:vAlign w:val="center"/>
          </w:tcPr>
          <w:p w:rsidR="009E4618" w:rsidRPr="007D423D" w:rsidP="00FC0AB0" w14:paraId="70097DE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New Fee</w:t>
            </w:r>
          </w:p>
        </w:tc>
        <w:tc>
          <w:tcPr>
            <w:tcW w:w="610" w:type="pct"/>
            <w:shd w:val="clear" w:color="auto" w:fill="B4C6E7" w:themeFill="accent1" w:themeFillTint="66"/>
            <w:vAlign w:val="center"/>
          </w:tcPr>
          <w:p w:rsidR="009E4618" w:rsidRPr="007D423D" w:rsidP="00FC0AB0" w14:paraId="3731318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 xml:space="preserve">Changes in Fee Amount </w:t>
            </w:r>
          </w:p>
        </w:tc>
      </w:tr>
      <w:tr w14:paraId="1EE83BBD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9E4618" w:rsidRPr="007D423D" w:rsidP="009E4618" w14:paraId="447C4977" w14:textId="7B39FD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9E4618" w:rsidRPr="007D423D" w:rsidP="009E4618" w14:paraId="6F1B42C1" w14:textId="1E1E3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</w:t>
            </w:r>
          </w:p>
        </w:tc>
        <w:tc>
          <w:tcPr>
            <w:tcW w:w="2302" w:type="pct"/>
            <w:vAlign w:val="center"/>
          </w:tcPr>
          <w:p w:rsidR="009E4618" w:rsidRPr="007D423D" w:rsidP="009E4618" w14:paraId="03DCCEDE" w14:textId="7DBB67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(undiscounted entity)</w:t>
            </w:r>
          </w:p>
        </w:tc>
        <w:tc>
          <w:tcPr>
            <w:tcW w:w="911" w:type="pct"/>
            <w:vAlign w:val="center"/>
          </w:tcPr>
          <w:p w:rsidR="009E4618" w:rsidRPr="007D423D" w:rsidP="009E4618" w14:paraId="48F8CBBA" w14:textId="5261CEC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 w:rsidR="008C44CE">
              <w:rPr>
                <w:rFonts w:ascii="Arial" w:hAnsi="Arial" w:cs="Arial"/>
                <w:sz w:val="20"/>
                <w:szCs w:val="20"/>
              </w:rPr>
              <w:t>2,100</w:t>
            </w:r>
          </w:p>
        </w:tc>
        <w:tc>
          <w:tcPr>
            <w:tcW w:w="569" w:type="pct"/>
            <w:vAlign w:val="center"/>
          </w:tcPr>
          <w:p w:rsidR="009E4618" w:rsidRPr="007D423D" w:rsidP="009E4618" w14:paraId="0BAC7770" w14:textId="10897272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$2,260</w:t>
            </w:r>
          </w:p>
        </w:tc>
        <w:tc>
          <w:tcPr>
            <w:tcW w:w="610" w:type="pct"/>
            <w:vAlign w:val="center"/>
          </w:tcPr>
          <w:p w:rsidR="009E4618" w:rsidRPr="007D423D" w:rsidP="009E4618" w14:paraId="726EC77F" w14:textId="3DB16B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14:paraId="52EFF5A3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9E4618" w:rsidRPr="007D423D" w:rsidP="009E4618" w14:paraId="4E488B04" w14:textId="381445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9E4618" w:rsidRPr="007D423D" w:rsidP="009E4618" w14:paraId="5009EB9F" w14:textId="6ADB2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2302" w:type="pct"/>
            <w:vAlign w:val="center"/>
          </w:tcPr>
          <w:p w:rsidR="009E4618" w:rsidRPr="007D423D" w:rsidP="009E4618" w14:paraId="27A1246E" w14:textId="65DEFD15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(small entity)</w:t>
            </w:r>
          </w:p>
        </w:tc>
        <w:tc>
          <w:tcPr>
            <w:tcW w:w="911" w:type="pct"/>
            <w:vAlign w:val="center"/>
          </w:tcPr>
          <w:p w:rsidR="009E4618" w:rsidRPr="007D423D" w:rsidP="009E4618" w14:paraId="6BFF587D" w14:textId="679EDE2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 w:rsidR="008C44CE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569" w:type="pct"/>
            <w:vAlign w:val="center"/>
          </w:tcPr>
          <w:p w:rsidR="009E4618" w:rsidRPr="007D423D" w:rsidP="009E4618" w14:paraId="3DF2AD05" w14:textId="6BD2600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 w:rsidR="008C44CE"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610" w:type="pct"/>
            <w:vAlign w:val="center"/>
          </w:tcPr>
          <w:p w:rsidR="009E4618" w:rsidRPr="007D423D" w:rsidP="009E4618" w14:paraId="21E46B2A" w14:textId="6C8D3CD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 w:rsidR="008C44C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14:paraId="4A12AF28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8C44CE" w:rsidP="009E4618" w14:paraId="2CCD4610" w14:textId="7CC94F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8C44CE" w:rsidP="009E4618" w14:paraId="5A058EC8" w14:textId="67CD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2302" w:type="pct"/>
            <w:vAlign w:val="center"/>
          </w:tcPr>
          <w:p w:rsidR="008C44CE" w:rsidP="009E4618" w14:paraId="224366A0" w14:textId="323D2780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(micro entity)</w:t>
            </w:r>
          </w:p>
        </w:tc>
        <w:tc>
          <w:tcPr>
            <w:tcW w:w="911" w:type="pct"/>
            <w:vAlign w:val="center"/>
          </w:tcPr>
          <w:p w:rsidR="008C44CE" w:rsidRPr="006004C0" w:rsidP="009E4618" w14:paraId="0EC4C50C" w14:textId="1399B172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</w:t>
            </w:r>
          </w:p>
        </w:tc>
        <w:tc>
          <w:tcPr>
            <w:tcW w:w="569" w:type="pct"/>
            <w:vAlign w:val="center"/>
          </w:tcPr>
          <w:p w:rsidR="008C44CE" w:rsidRPr="006004C0" w:rsidP="009E4618" w14:paraId="2DC80453" w14:textId="1260BD0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$452</w:t>
            </w:r>
          </w:p>
        </w:tc>
        <w:tc>
          <w:tcPr>
            <w:tcW w:w="610" w:type="pct"/>
            <w:vAlign w:val="center"/>
          </w:tcPr>
          <w:p w:rsidR="008C44CE" w:rsidP="009E4618" w14:paraId="6D5AA902" w14:textId="717ADEF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+$32</w:t>
            </w:r>
          </w:p>
        </w:tc>
      </w:tr>
      <w:tr w14:paraId="55797767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3CA14830" w14:textId="4B1282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E46798" w:rsidP="00E46798" w14:paraId="125B378D" w14:textId="700B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155D</w:t>
            </w:r>
          </w:p>
        </w:tc>
        <w:tc>
          <w:tcPr>
            <w:tcW w:w="2302" w:type="pct"/>
            <w:vAlign w:val="center"/>
          </w:tcPr>
          <w:p w:rsidR="00E46798" w:rsidRPr="008C44CE" w:rsidP="00E46798" w14:paraId="506ED518" w14:textId="082DFDC9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(undiscounted entity)</w:t>
            </w:r>
          </w:p>
        </w:tc>
        <w:tc>
          <w:tcPr>
            <w:tcW w:w="911" w:type="pct"/>
            <w:vAlign w:val="center"/>
          </w:tcPr>
          <w:p w:rsidR="00E46798" w:rsidP="00E46798" w14:paraId="46F1CE63" w14:textId="68DC1CC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3F2DF0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r>
              <w:rPr>
                <w:rFonts w:ascii="Arial" w:hAnsi="Arial" w:cs="Arial"/>
                <w:sz w:val="20"/>
                <w:szCs w:val="20"/>
              </w:rPr>
              <w:t>included</w:t>
            </w:r>
            <w:r w:rsidR="00AC496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5C51FE">
              <w:rPr>
                <w:rFonts w:ascii="Arial" w:hAnsi="Arial" w:cs="Arial"/>
                <w:sz w:val="20"/>
                <w:szCs w:val="20"/>
              </w:rPr>
              <w:t>0651-0016</w:t>
            </w:r>
            <w:r>
              <w:rPr>
                <w:rStyle w:val="FootnoteReference"/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569" w:type="pct"/>
            <w:vAlign w:val="center"/>
          </w:tcPr>
          <w:p w:rsidR="00E46798" w:rsidP="00E46798" w14:paraId="45878F8B" w14:textId="71E26EE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</w:t>
            </w:r>
          </w:p>
        </w:tc>
        <w:tc>
          <w:tcPr>
            <w:tcW w:w="610" w:type="pct"/>
            <w:vAlign w:val="center"/>
          </w:tcPr>
          <w:p w:rsidR="00E46798" w:rsidP="00E46798" w14:paraId="7C9AB0B1" w14:textId="11FC92A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+$3,000</w:t>
            </w:r>
          </w:p>
        </w:tc>
      </w:tr>
      <w:tr w14:paraId="41C99038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2FE6830F" w14:textId="202B3C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E46798" w:rsidP="00E46798" w14:paraId="393EABB8" w14:textId="427DF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255D</w:t>
            </w:r>
          </w:p>
        </w:tc>
        <w:tc>
          <w:tcPr>
            <w:tcW w:w="2302" w:type="pct"/>
            <w:vAlign w:val="center"/>
          </w:tcPr>
          <w:p w:rsidR="00E46798" w:rsidRPr="008C44CE" w:rsidP="00E46798" w14:paraId="344E8072" w14:textId="5197EAE2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911" w:type="pct"/>
            <w:vAlign w:val="center"/>
          </w:tcPr>
          <w:p w:rsidR="00E46798" w:rsidP="00E46798" w14:paraId="42A25DA5" w14:textId="484B935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0651-0016</w:t>
            </w:r>
          </w:p>
        </w:tc>
        <w:tc>
          <w:tcPr>
            <w:tcW w:w="569" w:type="pct"/>
            <w:vAlign w:val="center"/>
          </w:tcPr>
          <w:p w:rsidR="00E46798" w:rsidP="00E46798" w14:paraId="69EF60AD" w14:textId="6F05485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$1,200</w:t>
            </w:r>
          </w:p>
        </w:tc>
        <w:tc>
          <w:tcPr>
            <w:tcW w:w="610" w:type="pct"/>
            <w:vAlign w:val="center"/>
          </w:tcPr>
          <w:p w:rsidR="00E46798" w:rsidP="00E46798" w14:paraId="1F5CAF9B" w14:textId="6A15E38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+$1,200</w:t>
            </w:r>
          </w:p>
        </w:tc>
      </w:tr>
      <w:tr w14:paraId="59090BB2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6CAE960C" w14:textId="35BAE4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:rsidR="00E46798" w:rsidP="00E46798" w14:paraId="00BF452C" w14:textId="4214C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355D</w:t>
            </w:r>
          </w:p>
        </w:tc>
        <w:tc>
          <w:tcPr>
            <w:tcW w:w="2302" w:type="pct"/>
            <w:vAlign w:val="center"/>
          </w:tcPr>
          <w:p w:rsidR="00E46798" w:rsidRPr="008C44CE" w:rsidP="00E46798" w14:paraId="44CD515F" w14:textId="2FF57746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911" w:type="pct"/>
            <w:vAlign w:val="center"/>
          </w:tcPr>
          <w:p w:rsidR="00E46798" w:rsidP="00E46798" w14:paraId="13B77FAF" w14:textId="6CA64C1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0651-0016</w:t>
            </w:r>
          </w:p>
        </w:tc>
        <w:tc>
          <w:tcPr>
            <w:tcW w:w="569" w:type="pct"/>
            <w:vAlign w:val="center"/>
          </w:tcPr>
          <w:p w:rsidR="00E46798" w:rsidP="00E46798" w14:paraId="01AA172C" w14:textId="23AAE39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$600</w:t>
            </w:r>
          </w:p>
        </w:tc>
        <w:tc>
          <w:tcPr>
            <w:tcW w:w="610" w:type="pct"/>
            <w:vAlign w:val="center"/>
          </w:tcPr>
          <w:p w:rsidR="00E46798" w:rsidP="00E46798" w14:paraId="7547A81B" w14:textId="64C78D6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2C420D52">
              <w:rPr>
                <w:rFonts w:ascii="Arial" w:hAnsi="Arial" w:cs="Arial"/>
                <w:sz w:val="20"/>
                <w:szCs w:val="20"/>
              </w:rPr>
              <w:t>+$600</w:t>
            </w:r>
          </w:p>
        </w:tc>
      </w:tr>
      <w:tr w14:paraId="6446BA15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49D66E11" w14:textId="51F269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center"/>
          </w:tcPr>
          <w:p w:rsidR="00E46798" w:rsidP="00E46798" w14:paraId="42496887" w14:textId="18F3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</w:t>
            </w:r>
          </w:p>
        </w:tc>
        <w:tc>
          <w:tcPr>
            <w:tcW w:w="2302" w:type="pct"/>
            <w:vAlign w:val="center"/>
          </w:tcPr>
          <w:p w:rsidR="00E46798" w:rsidP="00E46798" w14:paraId="153BE188" w14:textId="46414816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(undiscounted entity)</w:t>
            </w:r>
          </w:p>
        </w:tc>
        <w:tc>
          <w:tcPr>
            <w:tcW w:w="911" w:type="pct"/>
            <w:vAlign w:val="center"/>
          </w:tcPr>
          <w:p w:rsidR="00E46798" w:rsidRPr="006004C0" w:rsidP="00E46798" w14:paraId="3547D3C2" w14:textId="1C5E59B2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$220</w:t>
            </w:r>
          </w:p>
        </w:tc>
        <w:tc>
          <w:tcPr>
            <w:tcW w:w="569" w:type="pct"/>
            <w:vAlign w:val="center"/>
          </w:tcPr>
          <w:p w:rsidR="00E46798" w:rsidRPr="006004C0" w:rsidP="00E46798" w14:paraId="1F93798B" w14:textId="51A6904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</w:t>
            </w:r>
          </w:p>
        </w:tc>
        <w:tc>
          <w:tcPr>
            <w:tcW w:w="610" w:type="pct"/>
            <w:vAlign w:val="center"/>
          </w:tcPr>
          <w:p w:rsidR="00E46798" w:rsidP="00E46798" w14:paraId="77AA8895" w14:textId="27DB4B8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320F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14:paraId="521B8623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5E9A57D7" w14:textId="5BBC80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center"/>
          </w:tcPr>
          <w:p w:rsidR="00E46798" w:rsidP="00E46798" w14:paraId="6228ACDE" w14:textId="09F78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2302" w:type="pct"/>
            <w:vAlign w:val="center"/>
          </w:tcPr>
          <w:p w:rsidR="00E46798" w:rsidP="00E46798" w14:paraId="4D7CB1B7" w14:textId="3DCB8997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(small entity)</w:t>
            </w:r>
          </w:p>
        </w:tc>
        <w:tc>
          <w:tcPr>
            <w:tcW w:w="911" w:type="pct"/>
            <w:vAlign w:val="center"/>
          </w:tcPr>
          <w:p w:rsidR="00E46798" w:rsidRPr="006004C0" w:rsidP="00E46798" w14:paraId="43BA96FE" w14:textId="2259615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</w:t>
            </w:r>
          </w:p>
        </w:tc>
        <w:tc>
          <w:tcPr>
            <w:tcW w:w="569" w:type="pct"/>
            <w:vAlign w:val="center"/>
          </w:tcPr>
          <w:p w:rsidR="00E46798" w:rsidRPr="006004C0" w:rsidP="00E46798" w14:paraId="683F5C1F" w14:textId="3A65B67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</w:t>
            </w:r>
          </w:p>
        </w:tc>
        <w:tc>
          <w:tcPr>
            <w:tcW w:w="610" w:type="pct"/>
            <w:vAlign w:val="center"/>
          </w:tcPr>
          <w:p w:rsidR="00E46798" w:rsidP="00E46798" w14:paraId="61BE06E6" w14:textId="08CE5336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320F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14:paraId="558496C5" w14:textId="77777777" w:rsidTr="007C3860">
        <w:tblPrEx>
          <w:tblW w:w="5920" w:type="pct"/>
          <w:tblInd w:w="-635" w:type="dxa"/>
          <w:tblLook w:val="04A0"/>
        </w:tblPrEx>
        <w:tc>
          <w:tcPr>
            <w:tcW w:w="285" w:type="pct"/>
            <w:vAlign w:val="center"/>
          </w:tcPr>
          <w:p w:rsidR="00E46798" w:rsidP="00E46798" w14:paraId="04F5CBBA" w14:textId="69A666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center"/>
          </w:tcPr>
          <w:p w:rsidR="00E46798" w:rsidP="00E46798" w14:paraId="64955E55" w14:textId="471F5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2302" w:type="pct"/>
            <w:vAlign w:val="center"/>
          </w:tcPr>
          <w:p w:rsidR="00E46798" w:rsidP="00E46798" w14:paraId="5150D2D2" w14:textId="7CAA89FE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(micro entity)</w:t>
            </w:r>
          </w:p>
        </w:tc>
        <w:tc>
          <w:tcPr>
            <w:tcW w:w="911" w:type="pct"/>
            <w:vAlign w:val="center"/>
          </w:tcPr>
          <w:p w:rsidR="00E46798" w:rsidRPr="006004C0" w:rsidP="00E46798" w14:paraId="24B4AA5E" w14:textId="3B22ADAF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</w:t>
            </w:r>
          </w:p>
        </w:tc>
        <w:tc>
          <w:tcPr>
            <w:tcW w:w="569" w:type="pct"/>
            <w:vAlign w:val="center"/>
          </w:tcPr>
          <w:p w:rsidR="00E46798" w:rsidRPr="006004C0" w:rsidP="00E46798" w14:paraId="41F89717" w14:textId="0568FC4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</w:t>
            </w:r>
          </w:p>
        </w:tc>
        <w:tc>
          <w:tcPr>
            <w:tcW w:w="610" w:type="pct"/>
            <w:vAlign w:val="center"/>
          </w:tcPr>
          <w:p w:rsidR="00E46798" w:rsidP="00E46798" w14:paraId="78C91702" w14:textId="349896C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320F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9E4618" w:rsidP="00E16134" w14:paraId="21336B0F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1E537C" w:rsidRPr="007353A9" w:rsidP="00E16134" w14:paraId="023B5674" w14:textId="10C2D2D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004C0">
        <w:rPr>
          <w:rFonts w:ascii="Arial" w:hAnsi="Arial" w:cs="Arial"/>
          <w:b/>
          <w:bCs/>
          <w:sz w:val="20"/>
          <w:szCs w:val="20"/>
        </w:rPr>
        <w:t xml:space="preserve">Table 2: </w:t>
      </w:r>
      <w:r w:rsidRPr="006004C0">
        <w:rPr>
          <w:rFonts w:ascii="Arial" w:hAnsi="Arial" w:cs="Arial"/>
          <w:b/>
          <w:bCs/>
          <w:sz w:val="20"/>
          <w:szCs w:val="20"/>
        </w:rPr>
        <w:t>Proposed Burden</w:t>
      </w:r>
    </w:p>
    <w:tbl>
      <w:tblPr>
        <w:tblStyle w:val="TableGrid"/>
        <w:tblW w:w="5920" w:type="pct"/>
        <w:tblInd w:w="-635" w:type="dxa"/>
        <w:tblLook w:val="04A0"/>
      </w:tblPr>
      <w:tblGrid>
        <w:gridCol w:w="629"/>
        <w:gridCol w:w="722"/>
        <w:gridCol w:w="5130"/>
        <w:gridCol w:w="1979"/>
        <w:gridCol w:w="1171"/>
        <w:gridCol w:w="1439"/>
      </w:tblGrid>
      <w:tr w14:paraId="43A43BAF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shd w:val="clear" w:color="auto" w:fill="B4C6E7" w:themeFill="accent1" w:themeFillTint="66"/>
            <w:vAlign w:val="center"/>
          </w:tcPr>
          <w:p w:rsidR="007353A9" w:rsidRPr="007D423D" w:rsidP="00FC0AB0" w14:paraId="22D17DF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53A9" w:rsidRPr="007D423D" w:rsidP="00FC0AB0" w14:paraId="59DB6E6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  <w:p w:rsidR="007353A9" w:rsidRPr="007D423D" w:rsidP="00FC0AB0" w14:paraId="5226A22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B4C6E7" w:themeFill="accent1" w:themeFillTint="66"/>
            <w:vAlign w:val="center"/>
          </w:tcPr>
          <w:p w:rsidR="007353A9" w:rsidRPr="007D423D" w:rsidP="00FC0AB0" w14:paraId="2F26C7D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2317" w:type="pct"/>
            <w:shd w:val="clear" w:color="auto" w:fill="B4C6E7" w:themeFill="accent1" w:themeFillTint="66"/>
            <w:vAlign w:val="center"/>
          </w:tcPr>
          <w:p w:rsidR="007353A9" w:rsidRPr="007D423D" w:rsidP="00FC0AB0" w14:paraId="7DCD8CF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94" w:type="pct"/>
            <w:shd w:val="clear" w:color="auto" w:fill="B4C6E7" w:themeFill="accent1" w:themeFillTint="66"/>
            <w:vAlign w:val="center"/>
          </w:tcPr>
          <w:p w:rsidR="007353A9" w:rsidP="00FC0AB0" w14:paraId="67D911A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Reponses</w:t>
            </w:r>
          </w:p>
          <w:p w:rsidR="007353A9" w:rsidRPr="007D423D" w:rsidP="00FC0AB0" w14:paraId="51A60EB0" w14:textId="1FEC029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529" w:type="pct"/>
            <w:shd w:val="clear" w:color="auto" w:fill="B4C6E7" w:themeFill="accent1" w:themeFillTint="66"/>
            <w:vAlign w:val="center"/>
          </w:tcPr>
          <w:p w:rsidR="007353A9" w:rsidP="00FC0AB0" w14:paraId="7ECA601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New Fee</w:t>
            </w:r>
          </w:p>
          <w:p w:rsidR="007353A9" w:rsidRPr="007D423D" w:rsidP="00FC0AB0" w14:paraId="6A8E54DF" w14:textId="635D03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650" w:type="pct"/>
            <w:shd w:val="clear" w:color="auto" w:fill="B4C6E7" w:themeFill="accent1" w:themeFillTint="66"/>
            <w:vAlign w:val="center"/>
          </w:tcPr>
          <w:p w:rsidR="007353A9" w:rsidP="00FC0AB0" w14:paraId="1DB05D6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Non-hour Cost Burden</w:t>
            </w:r>
            <w:r w:rsidRPr="007D42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353A9" w:rsidRPr="007D423D" w:rsidP="00F323AE" w14:paraId="715ACE2B" w14:textId="41923ED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(a) x (b) = (c)</w:t>
            </w:r>
          </w:p>
        </w:tc>
      </w:tr>
      <w:tr w14:paraId="24CD34FB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8C44CE" w:rsidRPr="007D423D" w:rsidP="008C44CE" w14:paraId="0E92905A" w14:textId="40B0B9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8C44CE" w:rsidRPr="007D423D" w:rsidP="008C44CE" w14:paraId="27B89620" w14:textId="01236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</w:t>
            </w:r>
          </w:p>
        </w:tc>
        <w:tc>
          <w:tcPr>
            <w:tcW w:w="2317" w:type="pct"/>
            <w:vAlign w:val="center"/>
          </w:tcPr>
          <w:p w:rsidR="008C44CE" w:rsidRPr="007D423D" w:rsidP="008C44CE" w14:paraId="6F6423C3" w14:textId="3E74F4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(undiscounted entity)</w:t>
            </w:r>
          </w:p>
        </w:tc>
        <w:tc>
          <w:tcPr>
            <w:tcW w:w="894" w:type="pct"/>
            <w:vAlign w:val="center"/>
          </w:tcPr>
          <w:p w:rsidR="008C44CE" w:rsidRPr="007D423D" w:rsidP="008C44CE" w14:paraId="6FBCDD62" w14:textId="143C52D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29" w:type="pct"/>
            <w:vAlign w:val="center"/>
          </w:tcPr>
          <w:p w:rsidR="008C44CE" w:rsidRPr="007D423D" w:rsidP="008C44CE" w14:paraId="3B85E805" w14:textId="1C23E5C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$2,260</w:t>
            </w:r>
          </w:p>
        </w:tc>
        <w:tc>
          <w:tcPr>
            <w:tcW w:w="650" w:type="pct"/>
            <w:vAlign w:val="center"/>
          </w:tcPr>
          <w:p w:rsidR="008C44CE" w:rsidRPr="007D423D" w:rsidP="008C44CE" w14:paraId="1B22E58E" w14:textId="181501C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211DF8">
              <w:rPr>
                <w:rFonts w:ascii="Arial" w:hAnsi="Arial" w:cs="Arial"/>
                <w:color w:val="000000"/>
                <w:sz w:val="20"/>
                <w:szCs w:val="20"/>
              </w:rPr>
              <w:t>1,197,800</w:t>
            </w:r>
          </w:p>
        </w:tc>
      </w:tr>
      <w:tr w14:paraId="0833F05A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8C44CE" w:rsidRPr="007D423D" w:rsidP="008C44CE" w14:paraId="6F764418" w14:textId="2C2A8E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8C44CE" w:rsidRPr="007D423D" w:rsidP="008C44CE" w14:paraId="271F2E6D" w14:textId="6BCF8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2317" w:type="pct"/>
            <w:vAlign w:val="center"/>
          </w:tcPr>
          <w:p w:rsidR="008C44CE" w:rsidRPr="007D423D" w:rsidP="008C44CE" w14:paraId="7244E00A" w14:textId="487BE36E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(small entity)</w:t>
            </w:r>
          </w:p>
        </w:tc>
        <w:tc>
          <w:tcPr>
            <w:tcW w:w="894" w:type="pct"/>
            <w:vAlign w:val="center"/>
          </w:tcPr>
          <w:p w:rsidR="008C44CE" w:rsidRPr="007D423D" w:rsidP="008C44CE" w14:paraId="5753D4AB" w14:textId="5DCCC5D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1,515</w:t>
            </w:r>
          </w:p>
        </w:tc>
        <w:tc>
          <w:tcPr>
            <w:tcW w:w="529" w:type="pct"/>
            <w:vAlign w:val="center"/>
          </w:tcPr>
          <w:p w:rsidR="008C44CE" w:rsidRPr="007D423D" w:rsidP="008C44CE" w14:paraId="461299D5" w14:textId="2F324FA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650" w:type="pct"/>
            <w:vAlign w:val="center"/>
          </w:tcPr>
          <w:p w:rsidR="008C44CE" w:rsidRPr="007D423D" w:rsidP="008C44CE" w14:paraId="52A467EE" w14:textId="23A3607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211DF8">
              <w:rPr>
                <w:rFonts w:ascii="Arial" w:hAnsi="Arial" w:cs="Arial"/>
                <w:color w:val="000000"/>
                <w:sz w:val="20"/>
                <w:szCs w:val="20"/>
              </w:rPr>
              <w:t>1,369,560</w:t>
            </w:r>
          </w:p>
        </w:tc>
      </w:tr>
      <w:tr w14:paraId="47FC51C7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211DF8" w:rsidP="00211DF8" w14:paraId="2EBF1C9C" w14:textId="53D0C0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211DF8" w:rsidP="00211DF8" w14:paraId="74B96B14" w14:textId="0A7ED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2317" w:type="pct"/>
            <w:vAlign w:val="center"/>
          </w:tcPr>
          <w:p w:rsidR="00211DF8" w:rsidP="00211DF8" w14:paraId="084DD960" w14:textId="3FA31A6F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(micro entity)</w:t>
            </w:r>
          </w:p>
        </w:tc>
        <w:tc>
          <w:tcPr>
            <w:tcW w:w="894" w:type="pct"/>
            <w:vAlign w:val="center"/>
          </w:tcPr>
          <w:p w:rsidR="00211DF8" w:rsidP="00211DF8" w14:paraId="2D98FC23" w14:textId="1A976BF1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29" w:type="pct"/>
            <w:vAlign w:val="center"/>
          </w:tcPr>
          <w:p w:rsidR="00211DF8" w:rsidRPr="006004C0" w:rsidP="00211DF8" w14:paraId="610D9065" w14:textId="38269D1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$452</w:t>
            </w:r>
          </w:p>
        </w:tc>
        <w:tc>
          <w:tcPr>
            <w:tcW w:w="650" w:type="pct"/>
            <w:vAlign w:val="center"/>
          </w:tcPr>
          <w:p w:rsidR="00211DF8" w:rsidRPr="006004C0" w:rsidP="00211DF8" w14:paraId="6069700B" w14:textId="79A8EEDE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205,660</w:t>
            </w:r>
          </w:p>
        </w:tc>
      </w:tr>
      <w:tr w14:paraId="679342AF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43E312CD" w14:textId="438F9E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E46798" w:rsidP="00E46798" w14:paraId="795514AA" w14:textId="77C2E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155D</w:t>
            </w:r>
          </w:p>
        </w:tc>
        <w:tc>
          <w:tcPr>
            <w:tcW w:w="2317" w:type="pct"/>
            <w:vAlign w:val="center"/>
          </w:tcPr>
          <w:p w:rsidR="00E46798" w:rsidRPr="008C44CE" w:rsidP="00E46798" w14:paraId="5006C7ED" w14:textId="0A5436B2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(undiscounted entity)</w:t>
            </w:r>
          </w:p>
        </w:tc>
        <w:tc>
          <w:tcPr>
            <w:tcW w:w="894" w:type="pct"/>
            <w:vAlign w:val="center"/>
          </w:tcPr>
          <w:p w:rsidR="00E46798" w:rsidP="00E46798" w14:paraId="2F30A6D7" w14:textId="04359001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9" w:type="pct"/>
            <w:vAlign w:val="center"/>
          </w:tcPr>
          <w:p w:rsidR="00E46798" w:rsidP="00E46798" w14:paraId="787D547A" w14:textId="7271B2A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7B1ECC5F" w14:textId="072708D4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$75,000</w:t>
            </w:r>
          </w:p>
        </w:tc>
      </w:tr>
      <w:tr w14:paraId="42FDF60D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17721C40" w14:textId="5BC2F4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E46798" w:rsidP="00E46798" w14:paraId="0FB29394" w14:textId="613DC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255D</w:t>
            </w:r>
          </w:p>
        </w:tc>
        <w:tc>
          <w:tcPr>
            <w:tcW w:w="2317" w:type="pct"/>
            <w:vAlign w:val="center"/>
          </w:tcPr>
          <w:p w:rsidR="00E46798" w:rsidRPr="008C44CE" w:rsidP="00E46798" w14:paraId="50D43D73" w14:textId="1ADC347B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894" w:type="pct"/>
            <w:vAlign w:val="center"/>
          </w:tcPr>
          <w:p w:rsidR="00E46798" w:rsidP="00E46798" w14:paraId="794656D1" w14:textId="1F5DBAF0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29" w:type="pct"/>
            <w:vAlign w:val="center"/>
          </w:tcPr>
          <w:p w:rsidR="00E46798" w:rsidP="00E46798" w14:paraId="1A7D7B4D" w14:textId="0EE0243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$1,200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5AEFF7B0" w14:textId="752289DF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$92,400</w:t>
            </w:r>
          </w:p>
        </w:tc>
      </w:tr>
      <w:tr w14:paraId="75D9266B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23D525C5" w14:textId="0CD619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vAlign w:val="center"/>
          </w:tcPr>
          <w:p w:rsidR="00E46798" w:rsidP="00E46798" w14:paraId="4316B043" w14:textId="0C9FA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355D</w:t>
            </w:r>
          </w:p>
        </w:tc>
        <w:tc>
          <w:tcPr>
            <w:tcW w:w="2317" w:type="pct"/>
            <w:vAlign w:val="center"/>
          </w:tcPr>
          <w:p w:rsidR="00E46798" w:rsidRPr="008C44CE" w:rsidP="00E46798" w14:paraId="5874CEEF" w14:textId="633FC9BF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894" w:type="pct"/>
            <w:vAlign w:val="center"/>
          </w:tcPr>
          <w:p w:rsidR="00E46798" w:rsidP="00E46798" w14:paraId="14338370" w14:textId="4E7791BD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9" w:type="pct"/>
            <w:vAlign w:val="center"/>
          </w:tcPr>
          <w:p w:rsidR="00E46798" w:rsidP="00E46798" w14:paraId="174626A6" w14:textId="47D905C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$600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7945624D" w14:textId="68EF00B6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$10,200</w:t>
            </w:r>
          </w:p>
        </w:tc>
      </w:tr>
      <w:tr w14:paraId="1DF610FD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18202221" w14:textId="6F39F2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46798" w:rsidP="00E46798" w14:paraId="23CA0C6E" w14:textId="1D2A8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</w:t>
            </w:r>
          </w:p>
        </w:tc>
        <w:tc>
          <w:tcPr>
            <w:tcW w:w="2317" w:type="pct"/>
            <w:vAlign w:val="center"/>
          </w:tcPr>
          <w:p w:rsidR="00E46798" w:rsidP="00E46798" w14:paraId="194B9388" w14:textId="04160702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(undiscounted entity)</w:t>
            </w:r>
          </w:p>
        </w:tc>
        <w:tc>
          <w:tcPr>
            <w:tcW w:w="894" w:type="pct"/>
            <w:vAlign w:val="center"/>
          </w:tcPr>
          <w:p w:rsidR="00E46798" w:rsidP="00E46798" w14:paraId="03678B65" w14:textId="3E14AEE7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E46798" w:rsidRPr="006004C0" w:rsidP="00E46798" w14:paraId="365B6401" w14:textId="3C65A35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6B184AAF" w14:textId="7BD7E41F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</w:tr>
      <w:tr w14:paraId="467658F5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03F685AB" w14:textId="5C177F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46798" w:rsidP="00E46798" w14:paraId="237296BD" w14:textId="0C755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2317" w:type="pct"/>
            <w:vAlign w:val="center"/>
          </w:tcPr>
          <w:p w:rsidR="00E46798" w:rsidP="00E46798" w14:paraId="7E0D8B2D" w14:textId="0B99A44F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(small entity)</w:t>
            </w:r>
          </w:p>
        </w:tc>
        <w:tc>
          <w:tcPr>
            <w:tcW w:w="894" w:type="pct"/>
            <w:vAlign w:val="center"/>
          </w:tcPr>
          <w:p w:rsidR="00E46798" w:rsidP="00E46798" w14:paraId="68A1383A" w14:textId="3A86B028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E46798" w:rsidRPr="006004C0" w:rsidP="00E46798" w14:paraId="0BF70515" w14:textId="223849F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1E8A9B59" w14:textId="4C628A63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14:paraId="4BACB14F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P="00E46798" w14:paraId="453F8E9D" w14:textId="204122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46798" w:rsidP="00E46798" w14:paraId="324EEE2F" w14:textId="7DE76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2317" w:type="pct"/>
            <w:vAlign w:val="center"/>
          </w:tcPr>
          <w:p w:rsidR="00E46798" w:rsidP="00E46798" w14:paraId="1914500D" w14:textId="3269F036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(micro entity)</w:t>
            </w:r>
          </w:p>
        </w:tc>
        <w:tc>
          <w:tcPr>
            <w:tcW w:w="894" w:type="pct"/>
            <w:vAlign w:val="center"/>
          </w:tcPr>
          <w:p w:rsidR="00E46798" w:rsidP="00E46798" w14:paraId="3B4FC76F" w14:textId="5C20B902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E46798" w:rsidRPr="006004C0" w:rsidP="00E46798" w14:paraId="7EA2B673" w14:textId="6479C71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</w:t>
            </w:r>
          </w:p>
        </w:tc>
        <w:tc>
          <w:tcPr>
            <w:tcW w:w="650" w:type="pct"/>
            <w:vAlign w:val="center"/>
          </w:tcPr>
          <w:p w:rsidR="00E46798" w:rsidRPr="006004C0" w:rsidP="00E46798" w14:paraId="433E64C5" w14:textId="42AD9864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14:paraId="51F1EBD1" w14:textId="77777777" w:rsidTr="003B0FEE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E46798" w:rsidRPr="007D423D" w:rsidP="00E46798" w14:paraId="4276CD0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E46798" w:rsidP="00E46798" w14:paraId="62A413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pct"/>
            <w:vAlign w:val="center"/>
          </w:tcPr>
          <w:p w:rsidR="00E46798" w:rsidRPr="007A39B8" w:rsidP="00E46798" w14:paraId="4B9D668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B8">
              <w:rPr>
                <w:rFonts w:ascii="Arial" w:hAnsi="Arial" w:cs="Arial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894" w:type="pct"/>
            <w:vAlign w:val="center"/>
          </w:tcPr>
          <w:p w:rsidR="00E46798" w:rsidRPr="007A39B8" w:rsidP="00E46798" w14:paraId="707242EB" w14:textId="4F2D1BC0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2,622</w:t>
            </w:r>
          </w:p>
        </w:tc>
        <w:tc>
          <w:tcPr>
            <w:tcW w:w="529" w:type="pct"/>
            <w:vAlign w:val="center"/>
          </w:tcPr>
          <w:p w:rsidR="00E46798" w:rsidP="00E46798" w14:paraId="6A7E2C53" w14:textId="0FB6553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- - -</w:t>
            </w:r>
          </w:p>
        </w:tc>
        <w:tc>
          <w:tcPr>
            <w:tcW w:w="650" w:type="pct"/>
            <w:vAlign w:val="center"/>
          </w:tcPr>
          <w:p w:rsidR="00E46798" w:rsidRPr="007A39B8" w:rsidP="00E46798" w14:paraId="05776F35" w14:textId="3185506B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047CDE">
              <w:rPr>
                <w:rFonts w:ascii="Arial" w:hAnsi="Arial" w:cs="Arial"/>
                <w:b/>
                <w:sz w:val="20"/>
                <w:szCs w:val="20"/>
              </w:rPr>
              <w:t>2,950,996</w:t>
            </w:r>
          </w:p>
        </w:tc>
      </w:tr>
    </w:tbl>
    <w:p w:rsidR="007353A9" w:rsidRPr="006004C0" w:rsidP="00E16134" w14:paraId="7181FCF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1E537C" w:rsidRPr="006004C0" w:rsidP="00E16134" w14:paraId="0FC92B33" w14:textId="36BC71B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004C0">
        <w:rPr>
          <w:rFonts w:ascii="Arial" w:hAnsi="Arial" w:cs="Arial"/>
          <w:b/>
          <w:bCs/>
          <w:sz w:val="20"/>
          <w:szCs w:val="20"/>
        </w:rPr>
        <w:t xml:space="preserve">Table 3: </w:t>
      </w:r>
      <w:r w:rsidRPr="006004C0">
        <w:rPr>
          <w:rFonts w:ascii="Arial" w:hAnsi="Arial" w:cs="Arial"/>
          <w:b/>
          <w:bCs/>
          <w:sz w:val="20"/>
          <w:szCs w:val="20"/>
        </w:rPr>
        <w:t>Changes in Cost</w:t>
      </w:r>
    </w:p>
    <w:tbl>
      <w:tblPr>
        <w:tblStyle w:val="TableGrid"/>
        <w:tblW w:w="11070" w:type="dxa"/>
        <w:tblInd w:w="-635" w:type="dxa"/>
        <w:tblLook w:val="04A0"/>
      </w:tblPr>
      <w:tblGrid>
        <w:gridCol w:w="629"/>
        <w:gridCol w:w="721"/>
        <w:gridCol w:w="5039"/>
        <w:gridCol w:w="2048"/>
        <w:gridCol w:w="1217"/>
        <w:gridCol w:w="1416"/>
      </w:tblGrid>
      <w:tr w14:paraId="45272A2D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shd w:val="clear" w:color="auto" w:fill="B4C6E7" w:themeFill="accent1" w:themeFillTint="66"/>
            <w:vAlign w:val="center"/>
          </w:tcPr>
          <w:p w:rsidR="006004C0" w:rsidRPr="006004C0" w:rsidP="006004C0" w14:paraId="39AB7C2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04C0" w:rsidRPr="006004C0" w:rsidP="006004C0" w14:paraId="02C79A00" w14:textId="0380F467">
            <w:pPr>
              <w:pStyle w:val="NoSpacing"/>
              <w:ind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  <w:p w:rsidR="006004C0" w:rsidRPr="006004C0" w:rsidP="006004C0" w14:paraId="3E6BA8B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B4C6E7" w:themeFill="accent1" w:themeFillTint="66"/>
            <w:vAlign w:val="center"/>
          </w:tcPr>
          <w:p w:rsidR="006004C0" w:rsidRPr="006004C0" w:rsidP="006004C0" w14:paraId="7DC283BF" w14:textId="212473A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5130" w:type="dxa"/>
            <w:shd w:val="clear" w:color="auto" w:fill="B4C6E7" w:themeFill="accent1" w:themeFillTint="66"/>
            <w:vAlign w:val="center"/>
          </w:tcPr>
          <w:p w:rsidR="006004C0" w:rsidRPr="006004C0" w:rsidP="006004C0" w14:paraId="4333A56F" w14:textId="752DEBF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Items </w:t>
            </w:r>
          </w:p>
        </w:tc>
        <w:tc>
          <w:tcPr>
            <w:tcW w:w="2070" w:type="dxa"/>
            <w:shd w:val="clear" w:color="auto" w:fill="B4C6E7" w:themeFill="accent1" w:themeFillTint="66"/>
            <w:vAlign w:val="center"/>
          </w:tcPr>
          <w:p w:rsidR="006004C0" w:rsidP="006004C0" w14:paraId="30BC7A5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Current Cost</w:t>
            </w:r>
          </w:p>
          <w:p w:rsidR="00DF65AA" w:rsidRPr="006004C0" w:rsidP="006004C0" w14:paraId="2F5E6BF7" w14:textId="11CF66B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:rsidR="006004C0" w:rsidP="006004C0" w14:paraId="154F4E42" w14:textId="0A80E22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 Cost</w:t>
            </w:r>
          </w:p>
          <w:p w:rsidR="00DF65AA" w:rsidRPr="006004C0" w:rsidP="006004C0" w14:paraId="5460B7FF" w14:textId="5D08EC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422" w:type="dxa"/>
            <w:shd w:val="clear" w:color="auto" w:fill="B4C6E7" w:themeFill="accent1" w:themeFillTint="66"/>
            <w:vAlign w:val="center"/>
          </w:tcPr>
          <w:p w:rsidR="00F323AE" w:rsidP="00F323AE" w14:paraId="0E51209C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Non-hour Cost Burden</w:t>
            </w:r>
          </w:p>
          <w:p w:rsidR="00DF65AA" w:rsidRPr="006004C0" w:rsidP="006004C0" w14:paraId="1D7FA69A" w14:textId="3B67E16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 – (a) = (c)</w:t>
            </w:r>
          </w:p>
        </w:tc>
      </w:tr>
      <w:tr w14:paraId="70E85858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211DF8" w:rsidRPr="006004C0" w:rsidP="00211DF8" w14:paraId="0A89DE16" w14:textId="78B983A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211DF8" w:rsidRPr="006004C0" w:rsidP="00211DF8" w14:paraId="3E4BB995" w14:textId="4543DAE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</w:t>
            </w:r>
          </w:p>
        </w:tc>
        <w:tc>
          <w:tcPr>
            <w:tcW w:w="5130" w:type="dxa"/>
            <w:vAlign w:val="center"/>
          </w:tcPr>
          <w:p w:rsidR="00211DF8" w:rsidRPr="006004C0" w:rsidP="00211DF8" w14:paraId="6619AE62" w14:textId="2891FA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(undiscounted entity)</w:t>
            </w:r>
          </w:p>
        </w:tc>
        <w:tc>
          <w:tcPr>
            <w:tcW w:w="2070" w:type="dxa"/>
            <w:vAlign w:val="center"/>
          </w:tcPr>
          <w:p w:rsidR="00211DF8" w:rsidRPr="006004C0" w:rsidP="00211DF8" w14:paraId="7E644914" w14:textId="16F2515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1,113,000</w:t>
            </w:r>
          </w:p>
        </w:tc>
        <w:tc>
          <w:tcPr>
            <w:tcW w:w="1098" w:type="dxa"/>
            <w:vAlign w:val="center"/>
          </w:tcPr>
          <w:p w:rsidR="00211DF8" w:rsidRPr="006004C0" w:rsidP="00211DF8" w14:paraId="0C9BE195" w14:textId="11274562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1,197,800</w:t>
            </w:r>
          </w:p>
        </w:tc>
        <w:tc>
          <w:tcPr>
            <w:tcW w:w="1422" w:type="dxa"/>
            <w:vAlign w:val="center"/>
          </w:tcPr>
          <w:p w:rsidR="00211DF8" w:rsidRPr="006004C0" w:rsidP="00211DF8" w14:paraId="0733FFC8" w14:textId="27F7FE2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84,800</w:t>
            </w:r>
          </w:p>
        </w:tc>
      </w:tr>
      <w:tr w14:paraId="1CCAEB0C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211DF8" w:rsidRPr="006004C0" w:rsidP="00211DF8" w14:paraId="1C922D1E" w14:textId="51A6D38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211DF8" w:rsidRPr="006004C0" w:rsidP="00211DF8" w14:paraId="07F87289" w14:textId="70667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5130" w:type="dxa"/>
            <w:vAlign w:val="center"/>
          </w:tcPr>
          <w:p w:rsidR="00211DF8" w:rsidRPr="006004C0" w:rsidP="00211DF8" w14:paraId="2ED9A932" w14:textId="72D1F6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(small entity)</w:t>
            </w:r>
          </w:p>
        </w:tc>
        <w:tc>
          <w:tcPr>
            <w:tcW w:w="2070" w:type="dxa"/>
            <w:vAlign w:val="center"/>
          </w:tcPr>
          <w:p w:rsidR="00211DF8" w:rsidRPr="006004C0" w:rsidP="00211DF8" w14:paraId="08A17BBD" w14:textId="7AEB9824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1,272,</w:t>
            </w:r>
            <w:r w:rsidR="00BE4582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98" w:type="dxa"/>
            <w:vAlign w:val="center"/>
          </w:tcPr>
          <w:p w:rsidR="00211DF8" w:rsidRPr="006004C0" w:rsidP="00211DF8" w14:paraId="51146CCE" w14:textId="776C3E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1,369,560</w:t>
            </w:r>
          </w:p>
        </w:tc>
        <w:tc>
          <w:tcPr>
            <w:tcW w:w="1422" w:type="dxa"/>
            <w:vAlign w:val="center"/>
          </w:tcPr>
          <w:p w:rsidR="00211DF8" w:rsidRPr="006004C0" w:rsidP="00211DF8" w14:paraId="46BEB24C" w14:textId="55244FE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EC1296">
              <w:rPr>
                <w:rFonts w:ascii="Arial" w:hAnsi="Arial" w:cs="Arial"/>
                <w:color w:val="000000"/>
                <w:sz w:val="20"/>
                <w:szCs w:val="20"/>
              </w:rPr>
              <w:t>96,960</w:t>
            </w:r>
          </w:p>
        </w:tc>
      </w:tr>
      <w:tr w14:paraId="431630A2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211DF8" w:rsidP="00211DF8" w14:paraId="1DD4CB82" w14:textId="7BDC7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211DF8" w:rsidP="00211DF8" w14:paraId="07900CF3" w14:textId="544F9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5130" w:type="dxa"/>
            <w:vAlign w:val="center"/>
          </w:tcPr>
          <w:p w:rsidR="00211DF8" w:rsidP="00211DF8" w14:paraId="3C4D8E22" w14:textId="0B73509C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Accept Unintentionally Delayed Payment of Maintenance Fee in an Expired Patent (37 CFR 1.378(b)) - delay less than or equal to two years (micro entity)</w:t>
            </w:r>
          </w:p>
        </w:tc>
        <w:tc>
          <w:tcPr>
            <w:tcW w:w="2070" w:type="dxa"/>
            <w:vAlign w:val="center"/>
          </w:tcPr>
          <w:p w:rsidR="00211DF8" w:rsidRPr="006004C0" w:rsidP="00211DF8" w14:paraId="06528F9D" w14:textId="1B33A1F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191,100</w:t>
            </w:r>
          </w:p>
        </w:tc>
        <w:tc>
          <w:tcPr>
            <w:tcW w:w="1098" w:type="dxa"/>
            <w:vAlign w:val="center"/>
          </w:tcPr>
          <w:p w:rsidR="00211DF8" w:rsidRPr="006004C0" w:rsidP="00211DF8" w14:paraId="285C24AC" w14:textId="04FE533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205,660</w:t>
            </w:r>
          </w:p>
        </w:tc>
        <w:tc>
          <w:tcPr>
            <w:tcW w:w="1422" w:type="dxa"/>
            <w:vAlign w:val="center"/>
          </w:tcPr>
          <w:p w:rsidR="00211DF8" w:rsidP="00211DF8" w14:paraId="71F79B85" w14:textId="797687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14,560</w:t>
            </w:r>
          </w:p>
        </w:tc>
      </w:tr>
      <w:tr w14:paraId="55905BB9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512A8DD3" w14:textId="6AB68A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047CDE" w:rsidP="00047CDE" w14:paraId="688FC93E" w14:textId="77FBB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155D</w:t>
            </w:r>
          </w:p>
        </w:tc>
        <w:tc>
          <w:tcPr>
            <w:tcW w:w="5130" w:type="dxa"/>
            <w:vAlign w:val="center"/>
          </w:tcPr>
          <w:p w:rsidR="00047CDE" w:rsidRPr="008C44CE" w:rsidP="00047CDE" w14:paraId="6F283772" w14:textId="0E542A77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(undiscounted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74E40E24" w14:textId="42C222C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0651-0016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6BFF737C" w14:textId="47D06B2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$75,000</w:t>
            </w:r>
          </w:p>
        </w:tc>
        <w:tc>
          <w:tcPr>
            <w:tcW w:w="1422" w:type="dxa"/>
            <w:vAlign w:val="center"/>
          </w:tcPr>
          <w:p w:rsidR="00047CDE" w:rsidP="00047CDE" w14:paraId="41FE585A" w14:textId="4CB4EE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+$75,000</w:t>
            </w:r>
          </w:p>
        </w:tc>
      </w:tr>
      <w:tr w14:paraId="3749C830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1E1B98AF" w14:textId="4DEDD2C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047CDE" w:rsidP="00047CDE" w14:paraId="23BD2833" w14:textId="37BCC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255D</w:t>
            </w:r>
          </w:p>
        </w:tc>
        <w:tc>
          <w:tcPr>
            <w:tcW w:w="5130" w:type="dxa"/>
            <w:vAlign w:val="center"/>
          </w:tcPr>
          <w:p w:rsidR="00047CDE" w:rsidRPr="008C44CE" w:rsidP="00047CDE" w14:paraId="2ABBEFF7" w14:textId="5FF0022D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06F19C7E" w14:textId="2CBD72C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0651-0016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7E0D455E" w14:textId="21AB90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$92,400</w:t>
            </w:r>
          </w:p>
        </w:tc>
        <w:tc>
          <w:tcPr>
            <w:tcW w:w="1422" w:type="dxa"/>
            <w:vAlign w:val="center"/>
          </w:tcPr>
          <w:p w:rsidR="00047CDE" w:rsidP="00047CDE" w14:paraId="5E2B1ECF" w14:textId="543BE29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+$92,400</w:t>
            </w:r>
          </w:p>
        </w:tc>
      </w:tr>
      <w:tr w14:paraId="5AFFE90C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24919CE0" w14:textId="15906F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047CDE" w:rsidP="00047CDE" w14:paraId="013C0323" w14:textId="61007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355D</w:t>
            </w:r>
          </w:p>
        </w:tc>
        <w:tc>
          <w:tcPr>
            <w:tcW w:w="5130" w:type="dxa"/>
            <w:vAlign w:val="center"/>
          </w:tcPr>
          <w:p w:rsidR="00047CDE" w:rsidRPr="008C44CE" w:rsidP="00047CDE" w14:paraId="76510D4F" w14:textId="6A87C477">
            <w:pPr>
              <w:rPr>
                <w:rFonts w:ascii="Arial" w:hAnsi="Arial" w:cs="Arial"/>
                <w:sz w:val="20"/>
                <w:szCs w:val="20"/>
              </w:rPr>
            </w:pPr>
            <w:r w:rsidRPr="00E46798">
              <w:rPr>
                <w:rFonts w:ascii="Arial" w:hAnsi="Arial" w:cs="Arial"/>
                <w:sz w:val="20"/>
                <w:szCs w:val="20"/>
              </w:rPr>
              <w:t>Petition for the delayed payment of the fee for maintaining a patent in force, delay greater than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1E78875D" w14:textId="7AE91C7F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0651-0016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10EDBCF3" w14:textId="4DCFCC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$10,200</w:t>
            </w:r>
          </w:p>
        </w:tc>
        <w:tc>
          <w:tcPr>
            <w:tcW w:w="1422" w:type="dxa"/>
            <w:vAlign w:val="center"/>
          </w:tcPr>
          <w:p w:rsidR="00047CDE" w:rsidP="00047CDE" w14:paraId="0B7678AB" w14:textId="4215784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$10,200</w:t>
            </w:r>
          </w:p>
        </w:tc>
      </w:tr>
      <w:tr w14:paraId="53CBD5B2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45547F4F" w14:textId="61E82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vAlign w:val="center"/>
          </w:tcPr>
          <w:p w:rsidR="00047CDE" w:rsidP="00047CDE" w14:paraId="55A4C5FA" w14:textId="22AE2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</w:t>
            </w:r>
          </w:p>
        </w:tc>
        <w:tc>
          <w:tcPr>
            <w:tcW w:w="5130" w:type="dxa"/>
            <w:vAlign w:val="center"/>
          </w:tcPr>
          <w:p w:rsidR="00047CDE" w:rsidP="00047CDE" w14:paraId="2D4BDE37" w14:textId="0EF751A3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(undiscounted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5298A804" w14:textId="2E1C93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$220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45727898" w14:textId="359F26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22" w:type="dxa"/>
            <w:vAlign w:val="center"/>
          </w:tcPr>
          <w:p w:rsidR="00047CDE" w:rsidP="00047CDE" w14:paraId="53894293" w14:textId="275FC3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+$15</w:t>
            </w:r>
          </w:p>
        </w:tc>
      </w:tr>
      <w:tr w14:paraId="5BB242C1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00C11318" w14:textId="4103A1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vAlign w:val="center"/>
          </w:tcPr>
          <w:p w:rsidR="00047CDE" w:rsidP="00047CDE" w14:paraId="0A06367F" w14:textId="434AE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5130" w:type="dxa"/>
            <w:vAlign w:val="center"/>
          </w:tcPr>
          <w:p w:rsidR="00047CDE" w:rsidP="00047CDE" w14:paraId="2B655F85" w14:textId="2CCD056C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(small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6B0E4502" w14:textId="7E35686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1D7A59CF" w14:textId="7486697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22" w:type="dxa"/>
            <w:vAlign w:val="center"/>
          </w:tcPr>
          <w:p w:rsidR="00047CDE" w:rsidP="00047CDE" w14:paraId="79D42C3E" w14:textId="6DF866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+$6</w:t>
            </w:r>
          </w:p>
        </w:tc>
      </w:tr>
      <w:tr w14:paraId="764E2B0A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P="00047CDE" w14:paraId="60B7C63F" w14:textId="5055BC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vAlign w:val="center"/>
          </w:tcPr>
          <w:p w:rsidR="00047CDE" w:rsidP="00047CDE" w14:paraId="053D3A74" w14:textId="0437E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5130" w:type="dxa"/>
            <w:vAlign w:val="center"/>
          </w:tcPr>
          <w:p w:rsidR="00047CDE" w:rsidP="00047CDE" w14:paraId="18F82645" w14:textId="70DE118A">
            <w:pPr>
              <w:rPr>
                <w:rFonts w:ascii="Arial" w:hAnsi="Arial" w:cs="Arial"/>
                <w:sz w:val="20"/>
                <w:szCs w:val="20"/>
              </w:rPr>
            </w:pPr>
            <w:r w:rsidRPr="008C44CE">
              <w:rPr>
                <w:rFonts w:ascii="Arial" w:hAnsi="Arial" w:cs="Arial"/>
                <w:sz w:val="20"/>
                <w:szCs w:val="20"/>
              </w:rPr>
              <w:t>Petition to Review Refusal to Accept Payment of Maintenance Fee Prior to Expiration of Patent (37 CFR 1.377) (micro entity)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02E0EC67" w14:textId="643DB9E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09D9DBE6" w14:textId="2B7A91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4C0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2" w:type="dxa"/>
            <w:vAlign w:val="center"/>
          </w:tcPr>
          <w:p w:rsidR="00047CDE" w:rsidP="00047CDE" w14:paraId="05D5CE0B" w14:textId="5BB4AF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+$3</w:t>
            </w:r>
          </w:p>
        </w:tc>
      </w:tr>
      <w:tr w14:paraId="4E541A0A" w14:textId="77777777" w:rsidTr="003B0FEE">
        <w:tblPrEx>
          <w:tblW w:w="11070" w:type="dxa"/>
          <w:tblInd w:w="-635" w:type="dxa"/>
          <w:tblLook w:val="04A0"/>
        </w:tblPrEx>
        <w:tc>
          <w:tcPr>
            <w:tcW w:w="629" w:type="dxa"/>
            <w:vAlign w:val="center"/>
          </w:tcPr>
          <w:p w:rsidR="00047CDE" w:rsidRPr="006004C0" w:rsidP="00047CDE" w14:paraId="2FA7F23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047CDE" w:rsidRPr="006004C0" w:rsidP="00047CDE" w14:paraId="22E69F63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:rsidR="00047CDE" w:rsidRPr="006004C0" w:rsidP="00047CDE" w14:paraId="590507EB" w14:textId="614EB0E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2070" w:type="dxa"/>
            <w:vAlign w:val="center"/>
          </w:tcPr>
          <w:p w:rsidR="00047CDE" w:rsidRPr="006004C0" w:rsidP="00047CDE" w14:paraId="310DA295" w14:textId="3F1AE000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2,577,052</w:t>
            </w:r>
          </w:p>
        </w:tc>
        <w:tc>
          <w:tcPr>
            <w:tcW w:w="1098" w:type="dxa"/>
            <w:vAlign w:val="center"/>
          </w:tcPr>
          <w:p w:rsidR="00047CDE" w:rsidRPr="006004C0" w:rsidP="00047CDE" w14:paraId="7322EA4B" w14:textId="0ED33885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2,950,996</w:t>
            </w:r>
          </w:p>
        </w:tc>
        <w:tc>
          <w:tcPr>
            <w:tcW w:w="1422" w:type="dxa"/>
            <w:vAlign w:val="center"/>
          </w:tcPr>
          <w:p w:rsidR="00047CDE" w:rsidRPr="006004C0" w:rsidP="00047CDE" w14:paraId="1D8339FB" w14:textId="7AF4AF04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373,944</w:t>
            </w:r>
          </w:p>
        </w:tc>
      </w:tr>
    </w:tbl>
    <w:p w:rsidR="001E537C" w:rsidRPr="006004C0" w:rsidP="00E16134" w14:paraId="5D49DAB8" w14:textId="4A1F8629">
      <w:pPr>
        <w:pStyle w:val="NoSpacing"/>
        <w:rPr>
          <w:rFonts w:ascii="Arial" w:hAnsi="Arial" w:cs="Arial"/>
          <w:sz w:val="24"/>
          <w:szCs w:val="24"/>
        </w:rPr>
      </w:pPr>
    </w:p>
    <w:p w:rsidR="00A80E33" w:rsidRPr="006004C0" w:rsidP="00E16134" w14:paraId="366AAFCE" w14:textId="5D0A9450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  <w:u w:val="single"/>
        </w:rPr>
        <w:t>Summary of Changes</w:t>
      </w:r>
    </w:p>
    <w:p w:rsidR="00A80E33" w:rsidRPr="006004C0" w:rsidP="00E16134" w14:paraId="79E8BB7E" w14:textId="706DC955">
      <w:pPr>
        <w:pStyle w:val="NoSpacing"/>
        <w:rPr>
          <w:rFonts w:ascii="Arial" w:hAnsi="Arial" w:cs="Arial"/>
          <w:sz w:val="24"/>
          <w:szCs w:val="24"/>
        </w:rPr>
      </w:pPr>
    </w:p>
    <w:p w:rsidR="00A80E33" w:rsidRPr="006004C0" w:rsidP="007353A9" w14:paraId="3ED1A5C2" w14:textId="0BAAAA8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</w:rPr>
        <w:t>The aforementioned rulemaking</w:t>
      </w:r>
      <w:r w:rsidR="00BC53FA">
        <w:rPr>
          <w:rFonts w:ascii="Arial" w:hAnsi="Arial" w:cs="Arial"/>
          <w:sz w:val="24"/>
          <w:szCs w:val="24"/>
        </w:rPr>
        <w:t xml:space="preserve"> and agency actions</w:t>
      </w:r>
      <w:r w:rsidRPr="006004C0">
        <w:rPr>
          <w:rFonts w:ascii="Arial" w:hAnsi="Arial" w:cs="Arial"/>
          <w:sz w:val="24"/>
          <w:szCs w:val="24"/>
        </w:rPr>
        <w:t xml:space="preserve"> result in the revision of</w:t>
      </w:r>
      <w:r w:rsidR="00B62F0A">
        <w:rPr>
          <w:rFonts w:ascii="Arial" w:hAnsi="Arial" w:cs="Arial"/>
          <w:sz w:val="24"/>
          <w:szCs w:val="24"/>
        </w:rPr>
        <w:t xml:space="preserve"> </w:t>
      </w:r>
      <w:r w:rsidR="00FB1E7C">
        <w:rPr>
          <w:rFonts w:ascii="Arial" w:hAnsi="Arial" w:cs="Arial"/>
          <w:sz w:val="24"/>
          <w:szCs w:val="24"/>
        </w:rPr>
        <w:t>three</w:t>
      </w:r>
      <w:r w:rsidR="00B62F0A">
        <w:rPr>
          <w:rFonts w:ascii="Arial" w:hAnsi="Arial" w:cs="Arial"/>
          <w:sz w:val="24"/>
          <w:szCs w:val="24"/>
        </w:rPr>
        <w:t xml:space="preserve"> fees</w:t>
      </w:r>
      <w:r w:rsidR="00FB1E7C">
        <w:rPr>
          <w:rFonts w:ascii="Arial" w:hAnsi="Arial" w:cs="Arial"/>
          <w:sz w:val="24"/>
          <w:szCs w:val="24"/>
        </w:rPr>
        <w:t xml:space="preserve"> and the addition of three fees</w:t>
      </w:r>
      <w:r w:rsidR="00F323AE">
        <w:rPr>
          <w:rFonts w:ascii="Arial" w:hAnsi="Arial" w:cs="Arial"/>
          <w:sz w:val="24"/>
          <w:szCs w:val="24"/>
        </w:rPr>
        <w:t>, with</w:t>
      </w:r>
      <w:r w:rsidR="001D1C1F">
        <w:rPr>
          <w:rFonts w:ascii="Arial" w:hAnsi="Arial" w:cs="Arial"/>
          <w:sz w:val="24"/>
          <w:szCs w:val="24"/>
        </w:rPr>
        <w:t xml:space="preserve"> </w:t>
      </w:r>
      <w:r w:rsidR="00B62F0A">
        <w:rPr>
          <w:rFonts w:ascii="Arial" w:hAnsi="Arial" w:cs="Arial"/>
          <w:sz w:val="24"/>
          <w:szCs w:val="24"/>
        </w:rPr>
        <w:t xml:space="preserve">an increase of </w:t>
      </w:r>
      <w:r w:rsidR="00AC134C">
        <w:rPr>
          <w:rFonts w:ascii="Arial" w:hAnsi="Arial" w:cs="Arial"/>
          <w:sz w:val="24"/>
          <w:szCs w:val="24"/>
        </w:rPr>
        <w:t>$</w:t>
      </w:r>
      <w:r w:rsidRPr="00656FCC" w:rsidR="00656FCC">
        <w:rPr>
          <w:rFonts w:ascii="Arial" w:hAnsi="Arial" w:cs="Arial"/>
          <w:sz w:val="24"/>
          <w:szCs w:val="24"/>
        </w:rPr>
        <w:t>373,944</w:t>
      </w:r>
      <w:r w:rsidR="00656FCC">
        <w:rPr>
          <w:rFonts w:ascii="Arial" w:hAnsi="Arial" w:cs="Arial"/>
          <w:sz w:val="24"/>
          <w:szCs w:val="24"/>
        </w:rPr>
        <w:t xml:space="preserve"> </w:t>
      </w:r>
      <w:r w:rsidRPr="006004C0">
        <w:rPr>
          <w:rFonts w:ascii="Arial" w:hAnsi="Arial" w:cs="Arial"/>
          <w:sz w:val="24"/>
          <w:szCs w:val="24"/>
        </w:rPr>
        <w:t>in annual non-hourly costs to collection 0651-</w:t>
      </w:r>
      <w:r w:rsidR="00B62F0A">
        <w:rPr>
          <w:rFonts w:ascii="Arial" w:hAnsi="Arial" w:cs="Arial"/>
          <w:sz w:val="24"/>
          <w:szCs w:val="24"/>
        </w:rPr>
        <w:t>0016.</w:t>
      </w:r>
    </w:p>
    <w:p w:rsidR="00A80E33" w:rsidRPr="006004C0" w:rsidP="00E16134" w14:paraId="70331E9F" w14:textId="742AA249">
      <w:pPr>
        <w:pStyle w:val="NoSpacing"/>
        <w:rPr>
          <w:rFonts w:ascii="Arial" w:hAnsi="Arial" w:cs="Arial"/>
          <w:sz w:val="24"/>
          <w:szCs w:val="24"/>
        </w:rPr>
      </w:pPr>
    </w:p>
    <w:p w:rsidR="00A80E33" w:rsidRPr="006004C0" w:rsidP="00E16134" w14:paraId="22A0B359" w14:textId="172A3B8F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  <w:u w:val="single"/>
        </w:rPr>
        <w:t>Changes in Burden</w:t>
      </w:r>
    </w:p>
    <w:p w:rsidR="00A80E33" w:rsidRPr="006004C0" w:rsidP="00E16134" w14:paraId="4A3BA4CE" w14:textId="6D2E541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45"/>
        <w:gridCol w:w="2160"/>
        <w:gridCol w:w="1980"/>
        <w:gridCol w:w="2065"/>
      </w:tblGrid>
      <w:tr w14:paraId="5D76252A" w14:textId="77777777" w:rsidTr="00656FCC">
        <w:tblPrEx>
          <w:tblW w:w="0" w:type="auto"/>
          <w:tblLook w:val="04A0"/>
        </w:tblPrEx>
        <w:tc>
          <w:tcPr>
            <w:tcW w:w="3145" w:type="dxa"/>
            <w:shd w:val="clear" w:color="auto" w:fill="B4C6E7" w:themeFill="accent1" w:themeFillTint="66"/>
            <w:vAlign w:val="center"/>
          </w:tcPr>
          <w:p w:rsidR="00A80E33" w:rsidRPr="007353A9" w:rsidP="00DC4788" w14:paraId="07B4C37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2879217"/>
            <w:r w:rsidRPr="007353A9">
              <w:rPr>
                <w:rFonts w:ascii="Arial" w:hAnsi="Arial" w:cs="Arial"/>
                <w:b/>
                <w:sz w:val="20"/>
                <w:szCs w:val="20"/>
              </w:rPr>
              <w:t>Burden Type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:rsidR="00A80E33" w:rsidRPr="007353A9" w:rsidP="00DC4788" w14:paraId="3CBCA01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Currently Approved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:rsidR="00A80E33" w:rsidRPr="007353A9" w:rsidP="00DC4788" w14:paraId="2B56CB6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Proposed Change</w:t>
            </w:r>
          </w:p>
        </w:tc>
        <w:tc>
          <w:tcPr>
            <w:tcW w:w="2065" w:type="dxa"/>
            <w:shd w:val="clear" w:color="auto" w:fill="B4C6E7" w:themeFill="accent1" w:themeFillTint="66"/>
            <w:vAlign w:val="center"/>
          </w:tcPr>
          <w:p w:rsidR="00A80E33" w:rsidRPr="007353A9" w:rsidP="00DC4788" w14:paraId="3BC7077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New Estimate</w:t>
            </w:r>
          </w:p>
        </w:tc>
      </w:tr>
      <w:tr w14:paraId="5940E4A4" w14:textId="77777777" w:rsidTr="00656FCC">
        <w:tblPrEx>
          <w:tblW w:w="0" w:type="auto"/>
          <w:tblLook w:val="04A0"/>
        </w:tblPrEx>
        <w:tc>
          <w:tcPr>
            <w:tcW w:w="3145" w:type="dxa"/>
            <w:vAlign w:val="center"/>
          </w:tcPr>
          <w:p w:rsidR="00A80E33" w:rsidRPr="007353A9" w:rsidP="00DC4788" w14:paraId="187C9A4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Non-hourly Cost Burden</w:t>
            </w:r>
          </w:p>
        </w:tc>
        <w:tc>
          <w:tcPr>
            <w:tcW w:w="2160" w:type="dxa"/>
            <w:vAlign w:val="center"/>
          </w:tcPr>
          <w:p w:rsidR="00A80E33" w:rsidRPr="007353A9" w:rsidP="00DC4788" w14:paraId="7F380782" w14:textId="0529D23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 w:rsidR="00211DF8">
              <w:rPr>
                <w:rFonts w:ascii="Arial" w:hAnsi="Arial" w:cs="Arial"/>
                <w:sz w:val="20"/>
                <w:szCs w:val="20"/>
              </w:rPr>
              <w:t>2,577,316</w:t>
            </w:r>
          </w:p>
        </w:tc>
        <w:tc>
          <w:tcPr>
            <w:tcW w:w="1980" w:type="dxa"/>
            <w:vAlign w:val="center"/>
          </w:tcPr>
          <w:p w:rsidR="00A80E33" w:rsidRPr="007353A9" w:rsidP="00DC4788" w14:paraId="23850562" w14:textId="1F91FE3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 w:rsidR="00AC134C">
              <w:rPr>
                <w:rFonts w:ascii="Arial" w:hAnsi="Arial" w:cs="Arial"/>
                <w:sz w:val="20"/>
                <w:szCs w:val="20"/>
              </w:rPr>
              <w:t>373,944</w:t>
            </w:r>
          </w:p>
        </w:tc>
        <w:tc>
          <w:tcPr>
            <w:tcW w:w="2065" w:type="dxa"/>
            <w:vAlign w:val="center"/>
          </w:tcPr>
          <w:p w:rsidR="00A80E33" w:rsidRPr="007353A9" w:rsidP="00DC4788" w14:paraId="412C3D85" w14:textId="13D8761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 w:rsidR="00047CDE">
              <w:rPr>
                <w:rFonts w:ascii="Arial" w:hAnsi="Arial" w:cs="Arial"/>
                <w:sz w:val="20"/>
                <w:szCs w:val="20"/>
              </w:rPr>
              <w:t>2,951,260</w:t>
            </w:r>
          </w:p>
        </w:tc>
      </w:tr>
    </w:tbl>
    <w:p w:rsidR="00A80E33" w:rsidRPr="006004C0" w:rsidP="00E16134" w14:paraId="255CEDB8" w14:textId="34AE2D99">
      <w:pPr>
        <w:pStyle w:val="NoSpacing"/>
        <w:rPr>
          <w:rFonts w:ascii="Arial" w:hAnsi="Arial" w:cs="Arial"/>
          <w:sz w:val="24"/>
          <w:szCs w:val="24"/>
        </w:rPr>
      </w:pPr>
    </w:p>
    <w:p w:rsidR="00A80E33" w:rsidRPr="006004C0" w:rsidP="00E16134" w14:paraId="7F08C952" w14:textId="2EFCE63B">
      <w:pPr>
        <w:pStyle w:val="NoSpacing"/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</w:rPr>
        <w:t>0651-00</w:t>
      </w:r>
      <w:r w:rsidR="00211DF8">
        <w:rPr>
          <w:rFonts w:ascii="Arial" w:hAnsi="Arial" w:cs="Arial"/>
          <w:sz w:val="24"/>
          <w:szCs w:val="24"/>
        </w:rPr>
        <w:t>16</w:t>
      </w:r>
      <w:r w:rsidRPr="006004C0">
        <w:rPr>
          <w:rFonts w:ascii="Arial" w:hAnsi="Arial" w:cs="Arial"/>
          <w:sz w:val="24"/>
          <w:szCs w:val="24"/>
        </w:rPr>
        <w:t xml:space="preserve">’s revised burden is as </w:t>
      </w:r>
      <w:r w:rsidRPr="006004C0" w:rsidR="00F301F7">
        <w:rPr>
          <w:rFonts w:ascii="Arial" w:hAnsi="Arial" w:cs="Arial"/>
          <w:sz w:val="24"/>
          <w:szCs w:val="24"/>
        </w:rPr>
        <w:t>follows</w:t>
      </w:r>
      <w:r w:rsidRPr="006004C0">
        <w:rPr>
          <w:rFonts w:ascii="Arial" w:hAnsi="Arial" w:cs="Arial"/>
          <w:sz w:val="24"/>
          <w:szCs w:val="24"/>
        </w:rPr>
        <w:t>:</w:t>
      </w:r>
    </w:p>
    <w:p w:rsidR="00A80E33" w:rsidRPr="006004C0" w:rsidP="00E16134" w14:paraId="7C15F3DD" w14:textId="71394F4E">
      <w:pPr>
        <w:pStyle w:val="NoSpacing"/>
        <w:rPr>
          <w:rFonts w:ascii="Arial" w:hAnsi="Arial" w:cs="Arial"/>
          <w:sz w:val="24"/>
          <w:szCs w:val="24"/>
        </w:rPr>
      </w:pPr>
    </w:p>
    <w:p w:rsidR="00A80E33" w:rsidRPr="006004C0" w:rsidP="00A80E33" w14:paraId="3EA46470" w14:textId="6DC687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2,616</w:t>
      </w:r>
      <w:r w:rsidRPr="006004C0">
        <w:rPr>
          <w:rFonts w:ascii="Arial" w:hAnsi="Arial" w:cs="Arial"/>
          <w:sz w:val="24"/>
          <w:szCs w:val="24"/>
        </w:rPr>
        <w:t xml:space="preserve"> annual responses (unchanged)</w:t>
      </w:r>
    </w:p>
    <w:p w:rsidR="00A80E33" w:rsidRPr="006004C0" w:rsidP="00A80E33" w14:paraId="208C8548" w14:textId="082A367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3,424</w:t>
      </w:r>
      <w:r w:rsidRPr="006004C0">
        <w:rPr>
          <w:rFonts w:ascii="Arial" w:hAnsi="Arial" w:cs="Arial"/>
          <w:sz w:val="24"/>
          <w:szCs w:val="24"/>
        </w:rPr>
        <w:t xml:space="preserve"> annual hourly burden (unchanged)</w:t>
      </w:r>
    </w:p>
    <w:p w:rsidR="00A80E33" w:rsidRPr="006004C0" w:rsidP="00A80E33" w14:paraId="1494D0FC" w14:textId="6695EBF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4C0">
        <w:rPr>
          <w:rFonts w:ascii="Arial" w:hAnsi="Arial" w:cs="Arial"/>
          <w:sz w:val="24"/>
          <w:szCs w:val="24"/>
        </w:rPr>
        <w:t>$</w:t>
      </w:r>
      <w:r w:rsidR="00047CDE">
        <w:rPr>
          <w:rFonts w:ascii="Arial" w:hAnsi="Arial" w:cs="Arial"/>
          <w:sz w:val="24"/>
          <w:szCs w:val="24"/>
        </w:rPr>
        <w:t>2</w:t>
      </w:r>
      <w:r w:rsidR="00656FCC">
        <w:rPr>
          <w:rFonts w:ascii="Arial" w:hAnsi="Arial" w:cs="Arial"/>
          <w:sz w:val="24"/>
          <w:szCs w:val="24"/>
        </w:rPr>
        <w:t>,</w:t>
      </w:r>
      <w:r w:rsidR="00047CDE">
        <w:rPr>
          <w:rFonts w:ascii="Arial" w:hAnsi="Arial" w:cs="Arial"/>
          <w:sz w:val="24"/>
          <w:szCs w:val="24"/>
        </w:rPr>
        <w:t>591,260</w:t>
      </w:r>
      <w:r w:rsidR="009804AD">
        <w:rPr>
          <w:rFonts w:ascii="Arial" w:hAnsi="Arial" w:cs="Arial"/>
          <w:sz w:val="24"/>
          <w:szCs w:val="24"/>
        </w:rPr>
        <w:t xml:space="preserve"> </w:t>
      </w:r>
      <w:r w:rsidRPr="006004C0">
        <w:rPr>
          <w:rFonts w:ascii="Arial" w:hAnsi="Arial" w:cs="Arial"/>
          <w:sz w:val="24"/>
          <w:szCs w:val="24"/>
        </w:rPr>
        <w:t xml:space="preserve">in annual non-hourly </w:t>
      </w:r>
      <w:r w:rsidRPr="006004C0" w:rsidR="00BF2100">
        <w:rPr>
          <w:rFonts w:ascii="Arial" w:hAnsi="Arial" w:cs="Arial"/>
          <w:sz w:val="24"/>
          <w:szCs w:val="24"/>
        </w:rPr>
        <w:t>burden costs</w:t>
      </w:r>
      <w:r w:rsidRPr="006004C0">
        <w:rPr>
          <w:rFonts w:ascii="Arial" w:hAnsi="Arial" w:cs="Arial"/>
          <w:sz w:val="24"/>
          <w:szCs w:val="24"/>
        </w:rPr>
        <w:t xml:space="preserve"> </w:t>
      </w:r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D6958" w:rsidP="00E16134" w14:paraId="20B51DAC" w14:textId="77777777">
      <w:pPr>
        <w:spacing w:after="0" w:line="240" w:lineRule="auto"/>
      </w:pPr>
      <w:r>
        <w:separator/>
      </w:r>
    </w:p>
  </w:footnote>
  <w:footnote w:type="continuationSeparator" w:id="1">
    <w:p w:rsidR="00AD6958" w:rsidP="00E16134" w14:paraId="396A5EC0" w14:textId="77777777">
      <w:pPr>
        <w:spacing w:after="0" w:line="240" w:lineRule="auto"/>
      </w:pPr>
      <w:r>
        <w:continuationSeparator/>
      </w:r>
    </w:p>
  </w:footnote>
  <w:footnote w:type="continuationNotice" w:id="2">
    <w:p w:rsidR="00AD6958" w14:paraId="63F9ECB5" w14:textId="77777777">
      <w:pPr>
        <w:spacing w:after="0" w:line="240" w:lineRule="auto"/>
      </w:pPr>
    </w:p>
  </w:footnote>
  <w:footnote w:id="3">
    <w:p w:rsidR="007E4EE4" w:rsidP="007E4EE4" w14:paraId="2729D2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1215C">
          <w:rPr>
            <w:rStyle w:val="Hyperlink"/>
          </w:rPr>
          <w:t>https://www.govinfo.gov/content/pkg/FR-2024-11-20/pdf/2024-26821.pdf</w:t>
        </w:r>
      </w:hyperlink>
      <w:r>
        <w:t xml:space="preserve"> </w:t>
      </w:r>
    </w:p>
  </w:footnote>
  <w:footnote w:id="4">
    <w:p w:rsidR="009749A7" w:rsidRPr="003B0FEE" w14:paraId="5F47D421" w14:textId="1A8608F8">
      <w:pPr>
        <w:pStyle w:val="FootnoteText"/>
        <w:rPr>
          <w:vertAlign w:val="superscript"/>
        </w:rPr>
      </w:pPr>
      <w:r w:rsidRPr="003B0FEE">
        <w:rPr>
          <w:rStyle w:val="FootnoteReference"/>
          <w:vertAlign w:val="superscript"/>
        </w:rPr>
        <w:footnoteRef/>
      </w:r>
      <w:r w:rsidRPr="003B0FEE">
        <w:rPr>
          <w:vertAlign w:val="superscrip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AD03A9"/>
    <w:multiLevelType w:val="hybridMultilevel"/>
    <w:tmpl w:val="2B7CC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34"/>
    <w:rsid w:val="00015E71"/>
    <w:rsid w:val="00047CDE"/>
    <w:rsid w:val="00073D6B"/>
    <w:rsid w:val="0009409C"/>
    <w:rsid w:val="000E08E8"/>
    <w:rsid w:val="0012349B"/>
    <w:rsid w:val="001D1C1F"/>
    <w:rsid w:val="001D240D"/>
    <w:rsid w:val="001E537C"/>
    <w:rsid w:val="00211DF8"/>
    <w:rsid w:val="0024200D"/>
    <w:rsid w:val="00270A63"/>
    <w:rsid w:val="00320FEE"/>
    <w:rsid w:val="00373C41"/>
    <w:rsid w:val="003A6616"/>
    <w:rsid w:val="003B0FEE"/>
    <w:rsid w:val="003C3335"/>
    <w:rsid w:val="003F2DF0"/>
    <w:rsid w:val="00493249"/>
    <w:rsid w:val="00494962"/>
    <w:rsid w:val="004A1E5A"/>
    <w:rsid w:val="004C1ABE"/>
    <w:rsid w:val="004F3F68"/>
    <w:rsid w:val="00551884"/>
    <w:rsid w:val="0055393B"/>
    <w:rsid w:val="00554A4E"/>
    <w:rsid w:val="0058461B"/>
    <w:rsid w:val="005917A9"/>
    <w:rsid w:val="005A191F"/>
    <w:rsid w:val="005C04A1"/>
    <w:rsid w:val="005C51FE"/>
    <w:rsid w:val="005E4C10"/>
    <w:rsid w:val="00600278"/>
    <w:rsid w:val="006004C0"/>
    <w:rsid w:val="006129E9"/>
    <w:rsid w:val="00656FCC"/>
    <w:rsid w:val="006B20A3"/>
    <w:rsid w:val="006C0894"/>
    <w:rsid w:val="00710675"/>
    <w:rsid w:val="007353A9"/>
    <w:rsid w:val="0075434A"/>
    <w:rsid w:val="00774167"/>
    <w:rsid w:val="007A39B8"/>
    <w:rsid w:val="007A7752"/>
    <w:rsid w:val="007C3860"/>
    <w:rsid w:val="007D423D"/>
    <w:rsid w:val="007E2EBA"/>
    <w:rsid w:val="007E4835"/>
    <w:rsid w:val="007E4EE4"/>
    <w:rsid w:val="00845893"/>
    <w:rsid w:val="00850704"/>
    <w:rsid w:val="008723D7"/>
    <w:rsid w:val="00872EAA"/>
    <w:rsid w:val="00886750"/>
    <w:rsid w:val="008C32AB"/>
    <w:rsid w:val="008C44CE"/>
    <w:rsid w:val="00923FDD"/>
    <w:rsid w:val="009749A7"/>
    <w:rsid w:val="009804AD"/>
    <w:rsid w:val="00997A5D"/>
    <w:rsid w:val="009E4618"/>
    <w:rsid w:val="00A1215C"/>
    <w:rsid w:val="00A45856"/>
    <w:rsid w:val="00A50515"/>
    <w:rsid w:val="00A80E33"/>
    <w:rsid w:val="00AC134C"/>
    <w:rsid w:val="00AC496C"/>
    <w:rsid w:val="00AD6958"/>
    <w:rsid w:val="00AE5233"/>
    <w:rsid w:val="00B2590C"/>
    <w:rsid w:val="00B62F0A"/>
    <w:rsid w:val="00BB3A0A"/>
    <w:rsid w:val="00BC0D22"/>
    <w:rsid w:val="00BC53FA"/>
    <w:rsid w:val="00BE4582"/>
    <w:rsid w:val="00BF2100"/>
    <w:rsid w:val="00BF709D"/>
    <w:rsid w:val="00C65842"/>
    <w:rsid w:val="00CA5B44"/>
    <w:rsid w:val="00D1090B"/>
    <w:rsid w:val="00D33579"/>
    <w:rsid w:val="00D56B95"/>
    <w:rsid w:val="00D612AD"/>
    <w:rsid w:val="00D71B50"/>
    <w:rsid w:val="00D9133E"/>
    <w:rsid w:val="00DC4788"/>
    <w:rsid w:val="00DF65AA"/>
    <w:rsid w:val="00E16134"/>
    <w:rsid w:val="00E46798"/>
    <w:rsid w:val="00E91FF3"/>
    <w:rsid w:val="00E94A76"/>
    <w:rsid w:val="00EA2651"/>
    <w:rsid w:val="00EA2988"/>
    <w:rsid w:val="00EB3B4D"/>
    <w:rsid w:val="00EC1296"/>
    <w:rsid w:val="00F0222C"/>
    <w:rsid w:val="00F04DB7"/>
    <w:rsid w:val="00F301F7"/>
    <w:rsid w:val="00F323AE"/>
    <w:rsid w:val="00F34B37"/>
    <w:rsid w:val="00F74F8D"/>
    <w:rsid w:val="00F92656"/>
    <w:rsid w:val="00FB1E7C"/>
    <w:rsid w:val="00FB489A"/>
    <w:rsid w:val="00FC0AB0"/>
    <w:rsid w:val="00FE56E8"/>
    <w:rsid w:val="02A475DC"/>
    <w:rsid w:val="139DB3A9"/>
    <w:rsid w:val="15D1DAF5"/>
    <w:rsid w:val="1EDA1893"/>
    <w:rsid w:val="1F183450"/>
    <w:rsid w:val="214C4074"/>
    <w:rsid w:val="2AB00017"/>
    <w:rsid w:val="2C420D52"/>
    <w:rsid w:val="2FBCBE54"/>
    <w:rsid w:val="321316A6"/>
    <w:rsid w:val="3F52E714"/>
    <w:rsid w:val="4265EF69"/>
    <w:rsid w:val="448C8493"/>
    <w:rsid w:val="509A6257"/>
    <w:rsid w:val="58D1AC64"/>
    <w:rsid w:val="6B075508"/>
    <w:rsid w:val="6F77D003"/>
    <w:rsid w:val="70AB55B2"/>
    <w:rsid w:val="74510ACC"/>
    <w:rsid w:val="7608DA5C"/>
    <w:rsid w:val="7B01DF53"/>
    <w:rsid w:val="7FE52C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8F5C78"/>
  <w15:chartTrackingRefBased/>
  <w15:docId w15:val="{9C4D7ED8-C6AC-487D-97C9-4FAF875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134"/>
    <w:pPr>
      <w:spacing w:after="0" w:line="240" w:lineRule="auto"/>
    </w:pPr>
  </w:style>
  <w:style w:type="table" w:styleId="TableGrid">
    <w:name w:val="Table Grid"/>
    <w:basedOn w:val="TableNormal"/>
    <w:uiPriority w:val="39"/>
    <w:rsid w:val="00A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00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27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rsid w:val="00FB489A"/>
  </w:style>
  <w:style w:type="paragraph" w:styleId="BodyText">
    <w:name w:val="Body Text"/>
    <w:basedOn w:val="Normal"/>
    <w:link w:val="BodyTextChar"/>
    <w:rsid w:val="00FB4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B489A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FB489A"/>
    <w:pPr>
      <w:tabs>
        <w:tab w:val="left" w:pos="-1176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B489A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FB489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89A"/>
    <w:pPr>
      <w:spacing w:after="0" w:line="240" w:lineRule="auto"/>
    </w:pPr>
    <w:rPr>
      <w:rFonts w:ascii="Arial" w:eastAsia="Times New Roman" w:hAnsi="Arial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89A"/>
    <w:rPr>
      <w:rFonts w:ascii="Arial" w:eastAsia="Times New Roman" w:hAnsi="Arial" w:cs="Arial"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94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A76"/>
  </w:style>
  <w:style w:type="paragraph" w:styleId="Footer">
    <w:name w:val="footer"/>
    <w:basedOn w:val="Normal"/>
    <w:link w:val="FooterChar"/>
    <w:uiPriority w:val="99"/>
    <w:semiHidden/>
    <w:unhideWhenUsed/>
    <w:rsid w:val="00E94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4-11-20/pdf/2024-2682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F176B9C2D0B489525CF344D663D72" ma:contentTypeVersion="7" ma:contentTypeDescription="Create a new document." ma:contentTypeScope="" ma:versionID="00cac77975326260da4a69ee3c039fc1">
  <xsd:schema xmlns:xsd="http://www.w3.org/2001/XMLSchema" xmlns:xs="http://www.w3.org/2001/XMLSchema" xmlns:p="http://schemas.microsoft.com/office/2006/metadata/properties" xmlns:ns2="0f5e2127-2ba4-41f5-b528-d0f9d9208b73" xmlns:ns3="ebb8c3bc-3ea9-4050-8e17-eb45cd7e46fa" targetNamespace="http://schemas.microsoft.com/office/2006/metadata/properties" ma:root="true" ma:fieldsID="42cbe54a0dfb62a1a01f6043e9a4e223" ns2:_="" ns3:_="">
    <xsd:import namespace="0f5e2127-2ba4-41f5-b528-d0f9d9208b73"/>
    <xsd:import namespace="ebb8c3bc-3ea9-4050-8e17-eb45cd7e46fa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2127-2ba4-41f5-b528-d0f9d9208b73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c3bc-3ea9-4050-8e17-eb45cd7e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f5e2127-2ba4-41f5-b528-d0f9d9208b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13E5A-2A53-477C-AA45-D9944F006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2127-2ba4-41f5-b528-d0f9d9208b73"/>
    <ds:schemaRef ds:uri="ebb8c3bc-3ea9-4050-8e17-eb45cd7e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6769D-C1AF-4A0D-8A83-792279AAA9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F1797-816F-4E1C-90FE-FFE6458EABBE}">
  <ds:schemaRefs>
    <ds:schemaRef ds:uri="http://purl.org/dc/terms/"/>
    <ds:schemaRef ds:uri="http://schemas.openxmlformats.org/package/2006/metadata/core-properties"/>
    <ds:schemaRef ds:uri="0f5e2127-2ba4-41f5-b528-d0f9d9208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b8c3bc-3ea9-4050-8e17-eb45cd7e46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E870E7-56E1-4BFE-A125-2E44C6B91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</dc:creator>
  <cp:lastModifiedBy>Isaac, Justin</cp:lastModifiedBy>
  <cp:revision>2</cp:revision>
  <dcterms:created xsi:type="dcterms:W3CDTF">2024-11-20T19:14:00Z</dcterms:created>
  <dcterms:modified xsi:type="dcterms:W3CDTF">2024-11-20T19:14:00Z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0x010100B0FF176B9C2D0B489525CF344D663D72</vt:lpwstr>
  </property>
</Properties>
</file>