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779F" w:rsidRPr="00D01149" w:rsidP="00E67A99" w14:paraId="2CED564B" w14:textId="54E9A8DB">
      <w:pPr>
        <w:jc w:val="center"/>
        <w:rPr>
          <w:rFonts w:asciiTheme="majorHAnsi" w:hAnsiTheme="majorHAnsi"/>
          <w:sz w:val="28"/>
          <w:u w:val="single"/>
        </w:rPr>
      </w:pPr>
      <w:r w:rsidRPr="00D01149">
        <w:rPr>
          <w:rFonts w:asciiTheme="majorHAnsi" w:hAnsiTheme="majorHAnsi"/>
          <w:sz w:val="28"/>
          <w:u w:val="single"/>
        </w:rPr>
        <w:t>SUPPORTING STATEMENT - PART A</w:t>
      </w:r>
    </w:p>
    <w:p w:rsidR="003744D8" w:rsidRPr="00D01149" w:rsidP="00E67A99" w14:paraId="577A3E98" w14:textId="78DF9B68">
      <w:pPr>
        <w:jc w:val="center"/>
        <w:rPr>
          <w:rFonts w:asciiTheme="majorHAnsi" w:hAnsiTheme="majorHAnsi"/>
        </w:rPr>
      </w:pPr>
    </w:p>
    <w:p w:rsidR="00FF3952" w:rsidRPr="00D01149" w:rsidP="00FF3952" w14:paraId="2814499F" w14:textId="7196A3EE">
      <w:pPr>
        <w:pStyle w:val="NoSpacing"/>
        <w:jc w:val="center"/>
        <w:rPr>
          <w:rFonts w:asciiTheme="majorHAnsi" w:hAnsiTheme="majorHAnsi"/>
          <w:sz w:val="24"/>
        </w:rPr>
      </w:pPr>
      <w:r w:rsidRPr="003A519E">
        <w:rPr>
          <w:rFonts w:asciiTheme="majorHAnsi" w:hAnsiTheme="majorHAnsi"/>
          <w:sz w:val="24"/>
        </w:rPr>
        <w:t>Automated Biometric Identification System (ABIS)</w:t>
      </w:r>
    </w:p>
    <w:p w:rsidR="003744D8" w:rsidRPr="00D01149" w:rsidP="00FF3952" w14:paraId="5DB82EAE" w14:textId="77777777">
      <w:pPr>
        <w:pStyle w:val="NoSpacing"/>
        <w:jc w:val="center"/>
        <w:rPr>
          <w:rFonts w:asciiTheme="majorHAnsi" w:hAnsiTheme="majorHAnsi"/>
          <w:sz w:val="24"/>
        </w:rPr>
      </w:pPr>
    </w:p>
    <w:p w:rsidR="003744D8" w:rsidRPr="00D01149" w:rsidP="003744D8" w14:paraId="45785548" w14:textId="1702B97D">
      <w:pPr>
        <w:pStyle w:val="NoSpacing"/>
        <w:jc w:val="center"/>
        <w:rPr>
          <w:rFonts w:asciiTheme="majorHAnsi" w:hAnsiTheme="majorHAnsi"/>
          <w:sz w:val="24"/>
        </w:rPr>
      </w:pPr>
      <w:r w:rsidRPr="00D01149">
        <w:rPr>
          <w:rFonts w:asciiTheme="majorHAnsi" w:hAnsiTheme="majorHAnsi"/>
          <w:sz w:val="24"/>
        </w:rPr>
        <w:t>OMB Control Number:</w:t>
      </w:r>
      <w:r w:rsidRPr="00D01149" w:rsidR="0040513D">
        <w:rPr>
          <w:rFonts w:asciiTheme="majorHAnsi" w:hAnsiTheme="majorHAnsi"/>
          <w:sz w:val="24"/>
        </w:rPr>
        <w:t xml:space="preserve"> </w:t>
      </w:r>
      <w:r w:rsidRPr="00D01149">
        <w:rPr>
          <w:rFonts w:asciiTheme="majorHAnsi" w:hAnsiTheme="majorHAnsi"/>
          <w:sz w:val="24"/>
        </w:rPr>
        <w:t>0702-0127</w:t>
      </w:r>
    </w:p>
    <w:p w:rsidR="00FF3952" w:rsidRPr="00D01149" w:rsidP="00FF3952" w14:paraId="31922602" w14:textId="77777777">
      <w:pPr>
        <w:pStyle w:val="NoSpacing"/>
        <w:jc w:val="center"/>
        <w:rPr>
          <w:rFonts w:asciiTheme="majorHAnsi" w:hAnsiTheme="majorHAnsi"/>
          <w:i/>
          <w:sz w:val="24"/>
        </w:rPr>
      </w:pPr>
    </w:p>
    <w:tbl>
      <w:tblPr>
        <w:tblStyle w:val="TableGrid"/>
        <w:tblW w:w="9515" w:type="dxa"/>
        <w:tblInd w:w="-5" w:type="dxa"/>
        <w:tblLook w:val="04A0"/>
      </w:tblPr>
      <w:tblGrid>
        <w:gridCol w:w="9515"/>
      </w:tblGrid>
      <w:tr w14:paraId="35BC9564" w14:textId="77777777" w:rsidTr="00117919">
        <w:tblPrEx>
          <w:tblW w:w="9515" w:type="dxa"/>
          <w:tblInd w:w="-5" w:type="dxa"/>
          <w:tblLook w:val="04A0"/>
        </w:tblPrEx>
        <w:trPr>
          <w:trHeight w:val="595"/>
        </w:trPr>
        <w:tc>
          <w:tcPr>
            <w:tcW w:w="9515" w:type="dxa"/>
          </w:tcPr>
          <w:p w:rsidR="002735CD" w:rsidRPr="00D01149" w:rsidP="00117919" w14:paraId="612AE853" w14:textId="7031A51E">
            <w:pPr>
              <w:rPr>
                <w:rFonts w:asciiTheme="majorHAnsi" w:hAnsiTheme="majorHAnsi"/>
                <w:i/>
              </w:rPr>
            </w:pPr>
            <w:r w:rsidRPr="00D01149">
              <w:rPr>
                <w:rFonts w:asciiTheme="majorHAnsi" w:hAnsiTheme="majorHAnsi"/>
              </w:rPr>
              <w:t xml:space="preserve">Summary of Changes from Previously Approved Collection </w:t>
            </w:r>
          </w:p>
          <w:p w:rsidR="00D361F6" w:rsidRPr="00D01149" w:rsidP="00995A21" w14:paraId="21A0ED4E" w14:textId="32C7AB74">
            <w:pPr>
              <w:pStyle w:val="ListParagraph"/>
              <w:numPr>
                <w:ilvl w:val="0"/>
                <w:numId w:val="19"/>
              </w:numPr>
              <w:rPr>
                <w:rFonts w:asciiTheme="majorHAnsi" w:hAnsiTheme="majorHAnsi"/>
                <w:sz w:val="24"/>
              </w:rPr>
            </w:pPr>
            <w:r w:rsidRPr="000A5004">
              <w:rPr>
                <w:rFonts w:asciiTheme="majorHAnsi" w:hAnsiTheme="majorHAnsi" w:cs="Times New Roman"/>
                <w:sz w:val="24"/>
                <w:szCs w:val="24"/>
              </w:rPr>
              <w:t>Slight increase in burden</w:t>
            </w:r>
            <w:r w:rsidR="00995A21">
              <w:rPr>
                <w:rFonts w:asciiTheme="majorHAnsi" w:hAnsiTheme="majorHAnsi" w:cs="Times New Roman"/>
                <w:sz w:val="24"/>
                <w:szCs w:val="24"/>
              </w:rPr>
              <w:t xml:space="preserve"> as the result of a small increase in number of responses</w:t>
            </w:r>
            <w:r w:rsidRPr="000A5004" w:rsidR="009A32F3">
              <w:rPr>
                <w:rFonts w:asciiTheme="majorHAnsi" w:hAnsiTheme="majorHAnsi" w:cs="Times New Roman"/>
                <w:sz w:val="24"/>
                <w:szCs w:val="24"/>
              </w:rPr>
              <w:t xml:space="preserve">. </w:t>
            </w:r>
          </w:p>
        </w:tc>
      </w:tr>
    </w:tbl>
    <w:p w:rsidR="00E45038" w:rsidRPr="00D01149" w:rsidP="00FF3952" w14:paraId="173FAF9B" w14:textId="09C7C01B">
      <w:pPr>
        <w:pStyle w:val="NoSpacing"/>
        <w:rPr>
          <w:rFonts w:asciiTheme="majorHAnsi" w:hAnsiTheme="majorHAnsi"/>
          <w:sz w:val="24"/>
        </w:rPr>
      </w:pPr>
    </w:p>
    <w:p w:rsidR="002735CD" w:rsidRPr="00D01149" w:rsidP="00FF3952" w14:paraId="4F218581" w14:textId="77777777">
      <w:pPr>
        <w:pStyle w:val="NoSpacing"/>
        <w:rPr>
          <w:rFonts w:asciiTheme="majorHAnsi" w:hAnsiTheme="majorHAnsi"/>
          <w:sz w:val="24"/>
        </w:rPr>
      </w:pPr>
    </w:p>
    <w:p w:rsidR="00E643E5" w:rsidRPr="00D01149" w:rsidP="00F565A3" w14:paraId="47F85FC3" w14:textId="280E194A">
      <w:pPr>
        <w:pStyle w:val="ListParagraph"/>
        <w:numPr>
          <w:ilvl w:val="0"/>
          <w:numId w:val="14"/>
        </w:numPr>
        <w:spacing w:after="0" w:line="240" w:lineRule="auto"/>
        <w:ind w:hanging="720"/>
        <w:rPr>
          <w:rFonts w:asciiTheme="majorHAnsi" w:hAnsiTheme="majorHAnsi"/>
          <w:b/>
          <w:sz w:val="24"/>
          <w:u w:val="single"/>
        </w:rPr>
      </w:pPr>
      <w:r w:rsidRPr="00D01149">
        <w:rPr>
          <w:rFonts w:asciiTheme="majorHAnsi" w:hAnsiTheme="majorHAnsi"/>
          <w:b/>
          <w:sz w:val="24"/>
          <w:u w:val="single"/>
        </w:rPr>
        <w:t>Need for</w:t>
      </w:r>
      <w:r w:rsidRPr="00D01149" w:rsidR="00AE38E5">
        <w:rPr>
          <w:rFonts w:asciiTheme="majorHAnsi" w:hAnsiTheme="majorHAnsi"/>
          <w:b/>
          <w:sz w:val="24"/>
          <w:u w:val="single"/>
        </w:rPr>
        <w:t xml:space="preserve"> the</w:t>
      </w:r>
      <w:r w:rsidRPr="00D01149">
        <w:rPr>
          <w:rFonts w:asciiTheme="majorHAnsi" w:hAnsiTheme="majorHAnsi"/>
          <w:b/>
          <w:sz w:val="24"/>
          <w:u w:val="single"/>
        </w:rPr>
        <w:t xml:space="preserve"> Information Collection</w:t>
      </w:r>
    </w:p>
    <w:p w:rsidR="00F565A3" w:rsidRPr="00D01149" w:rsidP="00F565A3" w14:paraId="05BDA117" w14:textId="77777777">
      <w:pPr>
        <w:pStyle w:val="NoSpacing"/>
        <w:rPr>
          <w:rFonts w:asciiTheme="majorHAnsi" w:hAnsiTheme="majorHAnsi"/>
          <w:sz w:val="24"/>
        </w:rPr>
      </w:pPr>
    </w:p>
    <w:p w:rsidR="00E45038" w:rsidRPr="00D01149" w:rsidP="008B0D4B" w14:paraId="438D374A" w14:textId="0B6E16BF">
      <w:pPr>
        <w:pStyle w:val="NoSpacing"/>
        <w:rPr>
          <w:rFonts w:asciiTheme="majorHAnsi" w:hAnsiTheme="majorHAnsi"/>
          <w:sz w:val="24"/>
        </w:rPr>
      </w:pPr>
      <w:r w:rsidRPr="00D01149">
        <w:rPr>
          <w:rFonts w:asciiTheme="majorHAnsi" w:hAnsiTheme="majorHAnsi"/>
          <w:sz w:val="24"/>
        </w:rPr>
        <w:t xml:space="preserve">In a </w:t>
      </w:r>
      <w:r w:rsidRPr="00D01149" w:rsidR="0081148A">
        <w:rPr>
          <w:rFonts w:asciiTheme="majorHAnsi" w:hAnsiTheme="majorHAnsi"/>
          <w:sz w:val="24"/>
        </w:rPr>
        <w:t>13 January 2012</w:t>
      </w:r>
      <w:r w:rsidRPr="00D01149">
        <w:rPr>
          <w:rFonts w:asciiTheme="majorHAnsi" w:hAnsiTheme="majorHAnsi"/>
          <w:sz w:val="24"/>
        </w:rPr>
        <w:t xml:space="preserve"> </w:t>
      </w:r>
      <w:r w:rsidRPr="00D01149" w:rsidR="00D361F6">
        <w:rPr>
          <w:rFonts w:asciiTheme="majorHAnsi" w:hAnsiTheme="majorHAnsi"/>
          <w:sz w:val="24"/>
        </w:rPr>
        <w:t>DoD</w:t>
      </w:r>
      <w:r w:rsidRPr="00D01149">
        <w:rPr>
          <w:rFonts w:asciiTheme="majorHAnsi" w:hAnsiTheme="majorHAnsi"/>
          <w:sz w:val="24"/>
        </w:rPr>
        <w:t xml:space="preserve"> Memorandum [OSD 14940-11], the </w:t>
      </w:r>
      <w:r w:rsidRPr="00D01149" w:rsidR="0081148A">
        <w:rPr>
          <w:rFonts w:asciiTheme="majorHAnsi" w:hAnsiTheme="majorHAnsi"/>
          <w:sz w:val="24"/>
        </w:rPr>
        <w:t>Deputy Secretary of Defense (DSD)</w:t>
      </w:r>
      <w:r w:rsidRPr="00D01149">
        <w:rPr>
          <w:rFonts w:asciiTheme="majorHAnsi" w:hAnsiTheme="majorHAnsi"/>
          <w:sz w:val="24"/>
        </w:rPr>
        <w:t xml:space="preserve"> </w:t>
      </w:r>
      <w:r w:rsidRPr="00D01149" w:rsidR="0081148A">
        <w:rPr>
          <w:rFonts w:asciiTheme="majorHAnsi" w:hAnsiTheme="majorHAnsi"/>
          <w:sz w:val="24"/>
        </w:rPr>
        <w:t xml:space="preserve">authorized all Combatant Commanders and Military </w:t>
      </w:r>
      <w:r w:rsidRPr="00D01149">
        <w:rPr>
          <w:rFonts w:asciiTheme="majorHAnsi" w:hAnsiTheme="majorHAnsi"/>
          <w:sz w:val="24"/>
        </w:rPr>
        <w:t xml:space="preserve">Components </w:t>
      </w:r>
      <w:r w:rsidRPr="00D01149" w:rsidR="0081148A">
        <w:rPr>
          <w:rFonts w:asciiTheme="majorHAnsi" w:hAnsiTheme="majorHAnsi"/>
          <w:sz w:val="24"/>
        </w:rPr>
        <w:t xml:space="preserve">to employ DoD biometric capabilities across the full range of military operations unless otherwise prohibited by law or agreement. </w:t>
      </w:r>
      <w:r w:rsidRPr="00D01149" w:rsidR="00AF4FA4">
        <w:rPr>
          <w:rFonts w:asciiTheme="majorHAnsi" w:hAnsiTheme="majorHAnsi"/>
          <w:sz w:val="24"/>
        </w:rPr>
        <w:t xml:space="preserve"> </w:t>
      </w:r>
      <w:r w:rsidRPr="00D01149" w:rsidR="0081148A">
        <w:rPr>
          <w:rFonts w:asciiTheme="majorHAnsi" w:hAnsiTheme="majorHAnsi"/>
          <w:sz w:val="24"/>
        </w:rPr>
        <w:t>The</w:t>
      </w:r>
      <w:r w:rsidR="003D00E0">
        <w:rPr>
          <w:rFonts w:asciiTheme="majorHAnsi" w:hAnsiTheme="majorHAnsi"/>
          <w:sz w:val="24"/>
        </w:rPr>
        <w:t xml:space="preserve"> </w:t>
      </w:r>
      <w:bookmarkStart w:id="0" w:name="OLE_LINK2"/>
      <w:bookmarkStart w:id="1" w:name="OLE_LINK3"/>
      <w:r w:rsidR="00151CD9">
        <w:rPr>
          <w:rFonts w:asciiTheme="majorHAnsi" w:hAnsiTheme="majorHAnsi"/>
          <w:sz w:val="24"/>
        </w:rPr>
        <w:t>Department of Defense</w:t>
      </w:r>
      <w:r w:rsidRPr="00D01149" w:rsidR="00980307">
        <w:rPr>
          <w:rFonts w:asciiTheme="majorHAnsi" w:hAnsiTheme="majorHAnsi"/>
          <w:sz w:val="24"/>
        </w:rPr>
        <w:t xml:space="preserve"> </w:t>
      </w:r>
      <w:r w:rsidRPr="00D01149" w:rsidR="0081148A">
        <w:rPr>
          <w:rFonts w:asciiTheme="majorHAnsi" w:hAnsiTheme="majorHAnsi"/>
          <w:sz w:val="24"/>
        </w:rPr>
        <w:t>Automated Biometric Identification System (</w:t>
      </w:r>
      <w:r w:rsidRPr="00D01149" w:rsidR="000F37FC">
        <w:rPr>
          <w:rFonts w:asciiTheme="majorHAnsi" w:hAnsiTheme="majorHAnsi"/>
          <w:sz w:val="24"/>
        </w:rPr>
        <w:t xml:space="preserve">DoD </w:t>
      </w:r>
      <w:r w:rsidRPr="00D01149" w:rsidR="0081148A">
        <w:rPr>
          <w:rFonts w:asciiTheme="majorHAnsi" w:hAnsiTheme="majorHAnsi"/>
          <w:sz w:val="24"/>
        </w:rPr>
        <w:t>ABIS)</w:t>
      </w:r>
      <w:bookmarkEnd w:id="0"/>
      <w:bookmarkEnd w:id="1"/>
      <w:r w:rsidR="00F91023">
        <w:rPr>
          <w:rFonts w:asciiTheme="majorHAnsi" w:hAnsiTheme="majorHAnsi"/>
          <w:sz w:val="24"/>
        </w:rPr>
        <w:t>)</w:t>
      </w:r>
      <w:r w:rsidRPr="00D01149" w:rsidR="0081148A">
        <w:rPr>
          <w:rFonts w:asciiTheme="majorHAnsi" w:hAnsiTheme="majorHAnsi"/>
          <w:sz w:val="24"/>
        </w:rPr>
        <w:t xml:space="preserve"> </w:t>
      </w:r>
      <w:r w:rsidRPr="00D01149" w:rsidR="0044561D">
        <w:rPr>
          <w:rFonts w:asciiTheme="majorHAnsi" w:hAnsiTheme="majorHAnsi"/>
          <w:sz w:val="24"/>
        </w:rPr>
        <w:t xml:space="preserve">is an authoritative biometrics </w:t>
      </w:r>
      <w:r w:rsidRPr="00D01149" w:rsidR="00AF4FA4">
        <w:rPr>
          <w:rFonts w:asciiTheme="majorHAnsi" w:hAnsiTheme="majorHAnsi"/>
          <w:sz w:val="24"/>
        </w:rPr>
        <w:t xml:space="preserve">data </w:t>
      </w:r>
      <w:r w:rsidRPr="00D01149" w:rsidR="0044561D">
        <w:rPr>
          <w:rFonts w:asciiTheme="majorHAnsi" w:hAnsiTheme="majorHAnsi"/>
          <w:sz w:val="24"/>
        </w:rPr>
        <w:t xml:space="preserve">repository that processes, </w:t>
      </w:r>
      <w:r w:rsidRPr="00D01149" w:rsidR="0081148A">
        <w:rPr>
          <w:rFonts w:asciiTheme="majorHAnsi" w:hAnsiTheme="majorHAnsi"/>
          <w:sz w:val="24"/>
        </w:rPr>
        <w:t>matches</w:t>
      </w:r>
      <w:r w:rsidRPr="00D01149" w:rsidR="0044561D">
        <w:rPr>
          <w:rFonts w:asciiTheme="majorHAnsi" w:hAnsiTheme="majorHAnsi"/>
          <w:sz w:val="24"/>
        </w:rPr>
        <w:t>,</w:t>
      </w:r>
      <w:r w:rsidRPr="00D01149" w:rsidR="0081148A">
        <w:rPr>
          <w:rFonts w:asciiTheme="majorHAnsi" w:hAnsiTheme="majorHAnsi"/>
          <w:sz w:val="24"/>
        </w:rPr>
        <w:t xml:space="preserve"> and stores biometric </w:t>
      </w:r>
      <w:r w:rsidRPr="00D01149">
        <w:rPr>
          <w:rFonts w:asciiTheme="majorHAnsi" w:hAnsiTheme="majorHAnsi"/>
          <w:sz w:val="24"/>
        </w:rPr>
        <w:t xml:space="preserve">identity information </w:t>
      </w:r>
      <w:r w:rsidRPr="00D01149" w:rsidR="0081148A">
        <w:rPr>
          <w:rFonts w:asciiTheme="majorHAnsi" w:hAnsiTheme="majorHAnsi"/>
          <w:sz w:val="24"/>
        </w:rPr>
        <w:t>data</w:t>
      </w:r>
      <w:r w:rsidRPr="00D01149" w:rsidR="0044561D">
        <w:rPr>
          <w:rFonts w:asciiTheme="majorHAnsi" w:hAnsiTheme="majorHAnsi"/>
          <w:sz w:val="24"/>
        </w:rPr>
        <w:t>,</w:t>
      </w:r>
      <w:r w:rsidRPr="00D01149" w:rsidR="0081148A">
        <w:rPr>
          <w:rFonts w:asciiTheme="majorHAnsi" w:hAnsiTheme="majorHAnsi"/>
          <w:sz w:val="24"/>
        </w:rPr>
        <w:t xml:space="preserve"> collected by global U.S. forces </w:t>
      </w:r>
      <w:r w:rsidRPr="00D01149" w:rsidR="0081148A">
        <w:rPr>
          <w:rFonts w:asciiTheme="majorHAnsi" w:hAnsiTheme="majorHAnsi"/>
          <w:sz w:val="24"/>
        </w:rPr>
        <w:t>during the course of</w:t>
      </w:r>
      <w:r w:rsidRPr="00D01149" w:rsidR="0081148A">
        <w:rPr>
          <w:rFonts w:asciiTheme="majorHAnsi" w:hAnsiTheme="majorHAnsi"/>
          <w:sz w:val="24"/>
        </w:rPr>
        <w:t xml:space="preserve"> military operations. </w:t>
      </w:r>
      <w:r w:rsidRPr="00D01149" w:rsidR="00AF4FA4">
        <w:rPr>
          <w:rFonts w:asciiTheme="majorHAnsi" w:hAnsiTheme="majorHAnsi"/>
          <w:sz w:val="24"/>
        </w:rPr>
        <w:t xml:space="preserve"> </w:t>
      </w:r>
      <w:r w:rsidRPr="00D01149" w:rsidR="0044561D">
        <w:rPr>
          <w:rFonts w:asciiTheme="majorHAnsi" w:hAnsiTheme="majorHAnsi"/>
          <w:sz w:val="24"/>
        </w:rPr>
        <w:t>Biometric</w:t>
      </w:r>
      <w:r w:rsidRPr="00D01149">
        <w:rPr>
          <w:rFonts w:asciiTheme="majorHAnsi" w:hAnsiTheme="majorHAnsi"/>
          <w:sz w:val="24"/>
        </w:rPr>
        <w:t xml:space="preserve"> d</w:t>
      </w:r>
      <w:r w:rsidRPr="00D01149" w:rsidR="0081148A">
        <w:rPr>
          <w:rFonts w:asciiTheme="majorHAnsi" w:hAnsiTheme="majorHAnsi"/>
          <w:sz w:val="24"/>
        </w:rPr>
        <w:t>ata may also be collected for use in field identification and recovery of persons, or their physical remains, who have been captured, detained, missing, prisoners of war (POW), or personnel recovered from hostile control.</w:t>
      </w:r>
      <w:r w:rsidRPr="00D01149" w:rsidR="00673FFF">
        <w:rPr>
          <w:rFonts w:asciiTheme="majorHAnsi" w:hAnsiTheme="majorHAnsi"/>
          <w:sz w:val="24"/>
        </w:rPr>
        <w:t xml:space="preserve"> </w:t>
      </w:r>
      <w:r w:rsidRPr="00D01149" w:rsidR="00AF4FA4">
        <w:rPr>
          <w:rFonts w:asciiTheme="majorHAnsi" w:hAnsiTheme="majorHAnsi"/>
          <w:sz w:val="24"/>
        </w:rPr>
        <w:t xml:space="preserve"> </w:t>
      </w:r>
      <w:r w:rsidRPr="00D01149" w:rsidR="00673FFF">
        <w:rPr>
          <w:rFonts w:asciiTheme="majorHAnsi" w:hAnsiTheme="majorHAnsi"/>
          <w:sz w:val="24"/>
        </w:rPr>
        <w:t xml:space="preserve">The </w:t>
      </w:r>
      <w:r w:rsidRPr="00D01149" w:rsidR="0044561D">
        <w:rPr>
          <w:rFonts w:asciiTheme="majorHAnsi" w:hAnsiTheme="majorHAnsi"/>
          <w:sz w:val="24"/>
        </w:rPr>
        <w:t xml:space="preserve">biometric </w:t>
      </w:r>
      <w:r w:rsidRPr="00D01149" w:rsidR="00673FFF">
        <w:rPr>
          <w:rFonts w:asciiTheme="majorHAnsi" w:hAnsiTheme="majorHAnsi"/>
          <w:sz w:val="24"/>
        </w:rPr>
        <w:t>data collected in accordanc</w:t>
      </w:r>
      <w:r w:rsidRPr="00D01149" w:rsidR="00CA4A9A">
        <w:rPr>
          <w:rFonts w:asciiTheme="majorHAnsi" w:hAnsiTheme="majorHAnsi"/>
          <w:sz w:val="24"/>
        </w:rPr>
        <w:t>e with these policies, stored as approved by the</w:t>
      </w:r>
      <w:r w:rsidRPr="00D01149" w:rsidR="00AF4FA4">
        <w:rPr>
          <w:rFonts w:asciiTheme="majorHAnsi" w:hAnsiTheme="majorHAnsi"/>
          <w:sz w:val="24"/>
        </w:rPr>
        <w:t xml:space="preserve"> </w:t>
      </w:r>
      <w:r w:rsidRPr="00D01149" w:rsidR="00CA4A9A">
        <w:rPr>
          <w:rFonts w:asciiTheme="majorHAnsi" w:hAnsiTheme="majorHAnsi"/>
          <w:sz w:val="24"/>
        </w:rPr>
        <w:t xml:space="preserve">Records Retention Schedule, </w:t>
      </w:r>
      <w:r w:rsidRPr="00D01149" w:rsidR="00673FFF">
        <w:rPr>
          <w:rFonts w:asciiTheme="majorHAnsi" w:hAnsiTheme="majorHAnsi"/>
          <w:sz w:val="24"/>
        </w:rPr>
        <w:t>support</w:t>
      </w:r>
      <w:r w:rsidRPr="00D01149" w:rsidR="00CA4A9A">
        <w:rPr>
          <w:rFonts w:asciiTheme="majorHAnsi" w:hAnsiTheme="majorHAnsi"/>
          <w:sz w:val="24"/>
        </w:rPr>
        <w:t>s</w:t>
      </w:r>
      <w:r w:rsidRPr="00D01149" w:rsidR="00673FFF">
        <w:rPr>
          <w:rFonts w:asciiTheme="majorHAnsi" w:hAnsiTheme="majorHAnsi"/>
          <w:sz w:val="24"/>
        </w:rPr>
        <w:t xml:space="preserve"> military operations including, but not limited to, counterterrorism and installation </w:t>
      </w:r>
      <w:r w:rsidRPr="00D01149" w:rsidR="00AF4FA4">
        <w:rPr>
          <w:rFonts w:asciiTheme="majorHAnsi" w:hAnsiTheme="majorHAnsi"/>
          <w:sz w:val="24"/>
        </w:rPr>
        <w:t xml:space="preserve">base </w:t>
      </w:r>
      <w:r w:rsidRPr="00D01149" w:rsidR="00673FFF">
        <w:rPr>
          <w:rFonts w:asciiTheme="majorHAnsi" w:hAnsiTheme="majorHAnsi"/>
          <w:sz w:val="24"/>
        </w:rPr>
        <w:t>access.</w:t>
      </w:r>
      <w:r w:rsidRPr="00D01149" w:rsidR="00E3628F">
        <w:rPr>
          <w:rFonts w:asciiTheme="majorHAnsi" w:hAnsiTheme="majorHAnsi"/>
          <w:sz w:val="24"/>
        </w:rPr>
        <w:t xml:space="preserve"> </w:t>
      </w:r>
    </w:p>
    <w:p w:rsidR="00F565A3" w:rsidRPr="00D01149" w:rsidP="008B0D4B" w14:paraId="1D96FDDD" w14:textId="77777777">
      <w:pPr>
        <w:pStyle w:val="NoSpacing"/>
        <w:rPr>
          <w:rFonts w:asciiTheme="majorHAnsi" w:hAnsiTheme="majorHAnsi"/>
          <w:sz w:val="24"/>
        </w:rPr>
      </w:pPr>
    </w:p>
    <w:p w:rsidR="003C5B8C" w:rsidP="008B0D4B" w14:paraId="0030BEA0" w14:textId="499C61C5">
      <w:pPr>
        <w:pStyle w:val="NoSpacing"/>
        <w:rPr>
          <w:rFonts w:asciiTheme="majorHAnsi" w:hAnsiTheme="majorHAnsi"/>
          <w:sz w:val="24"/>
        </w:rPr>
      </w:pPr>
      <w:r w:rsidRPr="00D01149">
        <w:rPr>
          <w:rFonts w:asciiTheme="majorHAnsi" w:hAnsiTheme="majorHAnsi"/>
          <w:sz w:val="24"/>
        </w:rPr>
        <w:t xml:space="preserve">Additional authorities to operate and maintain </w:t>
      </w:r>
      <w:r w:rsidRPr="00D01149" w:rsidR="00B03D14">
        <w:rPr>
          <w:rFonts w:asciiTheme="majorHAnsi" w:hAnsiTheme="majorHAnsi"/>
          <w:sz w:val="24"/>
        </w:rPr>
        <w:t xml:space="preserve">DoD </w:t>
      </w:r>
      <w:r w:rsidRPr="00D01149" w:rsidR="002D3308">
        <w:rPr>
          <w:rFonts w:asciiTheme="majorHAnsi" w:hAnsiTheme="majorHAnsi"/>
          <w:sz w:val="24"/>
        </w:rPr>
        <w:t xml:space="preserve">ABIS </w:t>
      </w:r>
      <w:r w:rsidRPr="00D01149">
        <w:rPr>
          <w:rFonts w:asciiTheme="majorHAnsi" w:hAnsiTheme="majorHAnsi"/>
          <w:sz w:val="24"/>
        </w:rPr>
        <w:t xml:space="preserve">are </w:t>
      </w:r>
      <w:r w:rsidRPr="00D01149" w:rsidR="002D3308">
        <w:rPr>
          <w:rFonts w:asciiTheme="majorHAnsi" w:hAnsiTheme="majorHAnsi"/>
          <w:sz w:val="24"/>
        </w:rPr>
        <w:t xml:space="preserve">derived from: </w:t>
      </w:r>
      <w:bookmarkStart w:id="2" w:name="OLE_LINK4"/>
    </w:p>
    <w:p w:rsidR="003C5B8C" w:rsidP="003C5B8C" w14:paraId="74CE7519" w14:textId="77777777">
      <w:pPr>
        <w:pStyle w:val="NoSpacing"/>
        <w:numPr>
          <w:ilvl w:val="0"/>
          <w:numId w:val="19"/>
        </w:numPr>
        <w:rPr>
          <w:rFonts w:asciiTheme="majorHAnsi" w:hAnsiTheme="majorHAnsi"/>
          <w:sz w:val="24"/>
        </w:rPr>
      </w:pPr>
      <w:r w:rsidRPr="00D01149">
        <w:rPr>
          <w:rFonts w:asciiTheme="majorHAnsi" w:hAnsiTheme="majorHAnsi"/>
          <w:sz w:val="24"/>
        </w:rPr>
        <w:t xml:space="preserve">Section 112 of Public Law </w:t>
      </w:r>
      <w:r w:rsidR="000A5004">
        <w:rPr>
          <w:rFonts w:asciiTheme="majorHAnsi" w:hAnsiTheme="majorHAnsi" w:cs="Times New Roman"/>
          <w:sz w:val="24"/>
          <w:szCs w:val="24"/>
        </w:rPr>
        <w:t xml:space="preserve">(Pub. L.) </w:t>
      </w:r>
      <w:r w:rsidRPr="00D01149">
        <w:rPr>
          <w:rFonts w:asciiTheme="majorHAnsi" w:hAnsiTheme="majorHAnsi"/>
          <w:sz w:val="24"/>
        </w:rPr>
        <w:t>106-246, Emergency Supplemental Act of 2000</w:t>
      </w:r>
    </w:p>
    <w:p w:rsidR="00B459AA" w:rsidRPr="0094427F" w:rsidP="0094427F" w14:paraId="6F45D39D" w14:textId="378B2ECD">
      <w:pPr>
        <w:pStyle w:val="NoSpacing"/>
        <w:numPr>
          <w:ilvl w:val="0"/>
          <w:numId w:val="19"/>
        </w:numPr>
        <w:rPr>
          <w:rFonts w:asciiTheme="majorHAnsi" w:hAnsiTheme="majorHAnsi"/>
          <w:sz w:val="24"/>
        </w:rPr>
      </w:pPr>
      <w:r w:rsidRPr="00D70263">
        <w:rPr>
          <w:rFonts w:asciiTheme="majorHAnsi" w:hAnsiTheme="majorHAnsi"/>
          <w:sz w:val="24"/>
        </w:rPr>
        <w:t>Title 5, United States Code</w:t>
      </w:r>
      <w:r>
        <w:rPr>
          <w:rFonts w:asciiTheme="majorHAnsi" w:hAnsiTheme="majorHAnsi"/>
          <w:sz w:val="24"/>
        </w:rPr>
        <w:t xml:space="preserve"> (U.S.C.)</w:t>
      </w:r>
      <w:r w:rsidRPr="00D70263">
        <w:rPr>
          <w:rFonts w:asciiTheme="majorHAnsi" w:hAnsiTheme="majorHAnsi"/>
          <w:sz w:val="24"/>
        </w:rPr>
        <w:t xml:space="preserve">, section 552a (Privacy Act of 1974), as </w:t>
      </w:r>
      <w:r w:rsidRPr="00D70263">
        <w:rPr>
          <w:rFonts w:asciiTheme="majorHAnsi" w:hAnsiTheme="majorHAnsi"/>
          <w:sz w:val="24"/>
        </w:rPr>
        <w:t>amended</w:t>
      </w:r>
    </w:p>
    <w:p w:rsidR="00B459AA" w:rsidP="003C5B8C" w14:paraId="73A8F351" w14:textId="1BC22E1D">
      <w:pPr>
        <w:pStyle w:val="NoSpacing"/>
        <w:numPr>
          <w:ilvl w:val="0"/>
          <w:numId w:val="19"/>
        </w:numPr>
        <w:rPr>
          <w:rFonts w:asciiTheme="majorHAnsi" w:hAnsiTheme="majorHAnsi"/>
          <w:sz w:val="24"/>
        </w:rPr>
      </w:pPr>
      <w:r w:rsidRPr="00D01149">
        <w:rPr>
          <w:rFonts w:asciiTheme="majorHAnsi" w:hAnsiTheme="majorHAnsi"/>
          <w:sz w:val="24"/>
        </w:rPr>
        <w:t xml:space="preserve">National Security Presidential Directive (NSPD)-59/HSPD-24, Biometrics for Identification and Screening to Enhance National Security </w:t>
      </w:r>
    </w:p>
    <w:p w:rsidR="00B459AA" w:rsidRPr="0094427F" w:rsidP="0094427F" w14:paraId="79BDF8E3" w14:textId="250780B5">
      <w:pPr>
        <w:pStyle w:val="NoSpacing"/>
        <w:numPr>
          <w:ilvl w:val="0"/>
          <w:numId w:val="19"/>
        </w:numPr>
        <w:rPr>
          <w:rFonts w:asciiTheme="majorHAnsi" w:hAnsiTheme="majorHAnsi"/>
          <w:sz w:val="24"/>
        </w:rPr>
      </w:pPr>
      <w:r w:rsidRPr="00D01149">
        <w:rPr>
          <w:rFonts w:asciiTheme="majorHAnsi" w:hAnsiTheme="majorHAnsi"/>
          <w:sz w:val="24"/>
        </w:rPr>
        <w:t>National Security Presidential Memorandum (NSPM) 7, Integration, Sharing, and Use of National Security Threat Actor Information to Protect Americans</w:t>
      </w:r>
    </w:p>
    <w:p w:rsidR="008809C2" w:rsidP="003C5B8C" w14:paraId="17E60144" w14:textId="4057B4C6">
      <w:pPr>
        <w:pStyle w:val="NoSpacing"/>
        <w:numPr>
          <w:ilvl w:val="0"/>
          <w:numId w:val="19"/>
        </w:numPr>
        <w:rPr>
          <w:rFonts w:asciiTheme="majorHAnsi" w:hAnsiTheme="majorHAnsi"/>
          <w:sz w:val="24"/>
        </w:rPr>
      </w:pPr>
      <w:r w:rsidRPr="008809C2">
        <w:rPr>
          <w:rFonts w:asciiTheme="majorHAnsi" w:hAnsiTheme="majorHAnsi"/>
          <w:sz w:val="24"/>
        </w:rPr>
        <w:t xml:space="preserve">DoD Directive </w:t>
      </w:r>
      <w:r>
        <w:rPr>
          <w:rFonts w:asciiTheme="majorHAnsi" w:hAnsiTheme="majorHAnsi"/>
          <w:sz w:val="24"/>
        </w:rPr>
        <w:t xml:space="preserve">(DoDD) </w:t>
      </w:r>
      <w:r w:rsidRPr="008809C2">
        <w:rPr>
          <w:rFonts w:asciiTheme="majorHAnsi" w:hAnsiTheme="majorHAnsi"/>
          <w:sz w:val="24"/>
        </w:rPr>
        <w:t>5200.27</w:t>
      </w:r>
      <w:r>
        <w:rPr>
          <w:rFonts w:asciiTheme="majorHAnsi" w:hAnsiTheme="majorHAnsi"/>
          <w:sz w:val="24"/>
        </w:rPr>
        <w:t xml:space="preserve"> (</w:t>
      </w:r>
      <w:r w:rsidRPr="008809C2">
        <w:rPr>
          <w:rFonts w:asciiTheme="majorHAnsi" w:hAnsiTheme="majorHAnsi"/>
          <w:sz w:val="24"/>
        </w:rPr>
        <w:t xml:space="preserve">Acquisition of Information Concerning Persons and Organizations </w:t>
      </w:r>
      <w:r w:rsidR="00AD4985">
        <w:rPr>
          <w:rFonts w:asciiTheme="majorHAnsi" w:hAnsiTheme="majorHAnsi"/>
          <w:sz w:val="24"/>
        </w:rPr>
        <w:t>n</w:t>
      </w:r>
      <w:r w:rsidRPr="008809C2" w:rsidR="00AD4985">
        <w:rPr>
          <w:rFonts w:asciiTheme="majorHAnsi" w:hAnsiTheme="majorHAnsi"/>
          <w:sz w:val="24"/>
        </w:rPr>
        <w:t xml:space="preserve">ot </w:t>
      </w:r>
      <w:r w:rsidRPr="008809C2">
        <w:rPr>
          <w:rFonts w:asciiTheme="majorHAnsi" w:hAnsiTheme="majorHAnsi"/>
          <w:sz w:val="24"/>
        </w:rPr>
        <w:t xml:space="preserve">Affiliated </w:t>
      </w:r>
      <w:r w:rsidR="00AD4985">
        <w:rPr>
          <w:rFonts w:asciiTheme="majorHAnsi" w:hAnsiTheme="majorHAnsi"/>
          <w:sz w:val="24"/>
        </w:rPr>
        <w:t>w</w:t>
      </w:r>
      <w:r w:rsidRPr="008809C2">
        <w:rPr>
          <w:rFonts w:asciiTheme="majorHAnsi" w:hAnsiTheme="majorHAnsi"/>
          <w:sz w:val="24"/>
        </w:rPr>
        <w:t>ith the Department of Defense), 7 January 1980</w:t>
      </w:r>
    </w:p>
    <w:p w:rsidR="00D8641D" w:rsidP="003C5B8C" w14:paraId="6DF6E63C" w14:textId="5E93065C">
      <w:pPr>
        <w:pStyle w:val="NoSpacing"/>
        <w:numPr>
          <w:ilvl w:val="0"/>
          <w:numId w:val="19"/>
        </w:numPr>
        <w:rPr>
          <w:rFonts w:asciiTheme="majorHAnsi" w:hAnsiTheme="majorHAnsi"/>
          <w:sz w:val="24"/>
        </w:rPr>
      </w:pPr>
      <w:r w:rsidRPr="00D3640B">
        <w:rPr>
          <w:rFonts w:asciiTheme="majorHAnsi" w:hAnsiTheme="majorHAnsi"/>
          <w:sz w:val="24"/>
        </w:rPr>
        <w:t>DoD</w:t>
      </w:r>
      <w:r>
        <w:rPr>
          <w:rFonts w:asciiTheme="majorHAnsi" w:hAnsiTheme="majorHAnsi"/>
          <w:sz w:val="24"/>
        </w:rPr>
        <w:t>D</w:t>
      </w:r>
      <w:r w:rsidRPr="00D3640B">
        <w:rPr>
          <w:rFonts w:asciiTheme="majorHAnsi" w:hAnsiTheme="majorHAnsi"/>
          <w:sz w:val="24"/>
        </w:rPr>
        <w:t xml:space="preserve"> 8521.01E (DoD Biometrics), incorporating </w:t>
      </w:r>
      <w:r w:rsidR="00AD4985">
        <w:rPr>
          <w:rFonts w:asciiTheme="majorHAnsi" w:hAnsiTheme="majorHAnsi"/>
          <w:sz w:val="24"/>
        </w:rPr>
        <w:t>c</w:t>
      </w:r>
      <w:r w:rsidRPr="00D3640B">
        <w:rPr>
          <w:rFonts w:asciiTheme="majorHAnsi" w:hAnsiTheme="majorHAnsi"/>
          <w:sz w:val="24"/>
        </w:rPr>
        <w:t>hange 2, 15 October 2018</w:t>
      </w:r>
    </w:p>
    <w:p w:rsidR="00B459AA" w:rsidP="003C5B8C" w14:paraId="7F4B658B" w14:textId="26DA7D1A">
      <w:pPr>
        <w:pStyle w:val="NoSpacing"/>
        <w:numPr>
          <w:ilvl w:val="0"/>
          <w:numId w:val="19"/>
        </w:numPr>
        <w:rPr>
          <w:rFonts w:asciiTheme="majorHAnsi" w:hAnsiTheme="majorHAnsi"/>
          <w:sz w:val="24"/>
        </w:rPr>
      </w:pPr>
      <w:r w:rsidRPr="00D8641D">
        <w:rPr>
          <w:rFonts w:asciiTheme="majorHAnsi" w:hAnsiTheme="majorHAnsi"/>
          <w:sz w:val="24"/>
        </w:rPr>
        <w:t>DoD Instruction</w:t>
      </w:r>
      <w:r w:rsidR="00CE03BA">
        <w:rPr>
          <w:rFonts w:asciiTheme="majorHAnsi" w:hAnsiTheme="majorHAnsi"/>
          <w:sz w:val="24"/>
        </w:rPr>
        <w:t xml:space="preserve"> (DoDI)</w:t>
      </w:r>
      <w:r w:rsidRPr="00D8641D">
        <w:rPr>
          <w:rFonts w:asciiTheme="majorHAnsi" w:hAnsiTheme="majorHAnsi"/>
          <w:sz w:val="24"/>
        </w:rPr>
        <w:t xml:space="preserve"> 5400.11 (DoD Privacy </w:t>
      </w:r>
      <w:r w:rsidR="00AD4985">
        <w:rPr>
          <w:rFonts w:asciiTheme="majorHAnsi" w:hAnsiTheme="majorHAnsi"/>
          <w:sz w:val="24"/>
        </w:rPr>
        <w:t xml:space="preserve">and Civil Liberties </w:t>
      </w:r>
      <w:r w:rsidRPr="00D8641D">
        <w:rPr>
          <w:rFonts w:asciiTheme="majorHAnsi" w:hAnsiTheme="majorHAnsi"/>
          <w:sz w:val="24"/>
        </w:rPr>
        <w:t xml:space="preserve">Program), </w:t>
      </w:r>
      <w:r w:rsidR="001E1FBA">
        <w:rPr>
          <w:rFonts w:asciiTheme="majorHAnsi" w:hAnsiTheme="majorHAnsi"/>
          <w:sz w:val="24"/>
        </w:rPr>
        <w:t xml:space="preserve">incorporating change 1, </w:t>
      </w:r>
      <w:r w:rsidR="00AD4985">
        <w:rPr>
          <w:rFonts w:asciiTheme="majorHAnsi" w:hAnsiTheme="majorHAnsi"/>
          <w:sz w:val="24"/>
        </w:rPr>
        <w:t>8 December 2020</w:t>
      </w:r>
    </w:p>
    <w:p w:rsidR="00B459AA" w:rsidRPr="002D3E45" w:rsidP="002D3E45" w14:paraId="26AD7579" w14:textId="56ACFB1C">
      <w:pPr>
        <w:pStyle w:val="NoSpacing"/>
        <w:numPr>
          <w:ilvl w:val="0"/>
          <w:numId w:val="19"/>
        </w:numPr>
        <w:rPr>
          <w:rFonts w:asciiTheme="majorHAnsi" w:hAnsiTheme="majorHAnsi"/>
          <w:sz w:val="24"/>
        </w:rPr>
      </w:pPr>
      <w:r w:rsidRPr="00D01149">
        <w:rPr>
          <w:rFonts w:asciiTheme="majorHAnsi" w:hAnsiTheme="majorHAnsi"/>
          <w:sz w:val="24"/>
        </w:rPr>
        <w:t>DoDD 5205.15E</w:t>
      </w:r>
      <w:r w:rsidR="007819A0">
        <w:rPr>
          <w:rFonts w:asciiTheme="majorHAnsi" w:hAnsiTheme="majorHAnsi"/>
          <w:sz w:val="24"/>
        </w:rPr>
        <w:t xml:space="preserve"> (</w:t>
      </w:r>
      <w:r w:rsidRPr="00D01149" w:rsidR="001E1FBA">
        <w:rPr>
          <w:rFonts w:asciiTheme="majorHAnsi" w:hAnsiTheme="majorHAnsi"/>
          <w:sz w:val="24"/>
        </w:rPr>
        <w:t>D</w:t>
      </w:r>
      <w:r w:rsidR="001E1FBA">
        <w:rPr>
          <w:rFonts w:asciiTheme="majorHAnsi" w:hAnsiTheme="majorHAnsi"/>
          <w:sz w:val="24"/>
        </w:rPr>
        <w:t>oD</w:t>
      </w:r>
      <w:r w:rsidRPr="00D01149" w:rsidR="001E1FBA">
        <w:rPr>
          <w:rFonts w:asciiTheme="majorHAnsi" w:hAnsiTheme="majorHAnsi"/>
          <w:sz w:val="24"/>
        </w:rPr>
        <w:t xml:space="preserve"> </w:t>
      </w:r>
      <w:r w:rsidRPr="00D01149">
        <w:rPr>
          <w:rFonts w:asciiTheme="majorHAnsi" w:hAnsiTheme="majorHAnsi"/>
          <w:sz w:val="24"/>
        </w:rPr>
        <w:t>Forensics Enterprise (DFE)</w:t>
      </w:r>
      <w:r w:rsidR="007819A0">
        <w:rPr>
          <w:rFonts w:asciiTheme="majorHAnsi" w:hAnsiTheme="majorHAnsi"/>
          <w:sz w:val="24"/>
        </w:rPr>
        <w:t>)</w:t>
      </w:r>
      <w:r w:rsidR="002D3E45">
        <w:rPr>
          <w:rFonts w:asciiTheme="majorHAnsi" w:hAnsiTheme="majorHAnsi"/>
          <w:sz w:val="24"/>
        </w:rPr>
        <w:t xml:space="preserve">, </w:t>
      </w:r>
      <w:r w:rsidR="005860C6">
        <w:rPr>
          <w:rFonts w:asciiTheme="majorHAnsi" w:hAnsiTheme="majorHAnsi"/>
          <w:sz w:val="24"/>
        </w:rPr>
        <w:t>i</w:t>
      </w:r>
      <w:r w:rsidRPr="002D3E45" w:rsidR="002D3E45">
        <w:rPr>
          <w:rFonts w:asciiTheme="majorHAnsi" w:hAnsiTheme="majorHAnsi"/>
          <w:sz w:val="24"/>
        </w:rPr>
        <w:t xml:space="preserve">ncorporating </w:t>
      </w:r>
      <w:r w:rsidR="005860C6">
        <w:rPr>
          <w:rFonts w:asciiTheme="majorHAnsi" w:hAnsiTheme="majorHAnsi"/>
          <w:sz w:val="24"/>
        </w:rPr>
        <w:t>c</w:t>
      </w:r>
      <w:r w:rsidRPr="002D3E45" w:rsidR="002D3E45">
        <w:rPr>
          <w:rFonts w:asciiTheme="majorHAnsi" w:hAnsiTheme="majorHAnsi"/>
          <w:sz w:val="24"/>
        </w:rPr>
        <w:t>hange 2, 15</w:t>
      </w:r>
      <w:r w:rsidRPr="00CE03BA" w:rsidR="00CE03BA">
        <w:rPr>
          <w:rFonts w:asciiTheme="majorHAnsi" w:hAnsiTheme="majorHAnsi"/>
          <w:sz w:val="24"/>
        </w:rPr>
        <w:t xml:space="preserve"> </w:t>
      </w:r>
      <w:r w:rsidRPr="002D3E45" w:rsidR="00CE03BA">
        <w:rPr>
          <w:rFonts w:asciiTheme="majorHAnsi" w:hAnsiTheme="majorHAnsi"/>
          <w:sz w:val="24"/>
        </w:rPr>
        <w:t>October</w:t>
      </w:r>
      <w:r w:rsidRPr="002D3E45" w:rsidR="002D3E45">
        <w:rPr>
          <w:rFonts w:asciiTheme="majorHAnsi" w:hAnsiTheme="majorHAnsi"/>
          <w:sz w:val="24"/>
        </w:rPr>
        <w:t xml:space="preserve"> 2018</w:t>
      </w:r>
      <w:r w:rsidRPr="002D3E45">
        <w:rPr>
          <w:rFonts w:asciiTheme="majorHAnsi" w:hAnsiTheme="majorHAnsi"/>
          <w:sz w:val="24"/>
        </w:rPr>
        <w:t xml:space="preserve"> </w:t>
      </w:r>
    </w:p>
    <w:p w:rsidR="007775A6" w:rsidP="003C5B8C" w14:paraId="557AFB1D" w14:textId="281B0469">
      <w:pPr>
        <w:pStyle w:val="NoSpacing"/>
        <w:numPr>
          <w:ilvl w:val="0"/>
          <w:numId w:val="19"/>
        </w:numPr>
        <w:rPr>
          <w:rFonts w:asciiTheme="majorHAnsi" w:hAnsiTheme="majorHAnsi"/>
          <w:sz w:val="24"/>
        </w:rPr>
      </w:pPr>
      <w:r w:rsidRPr="007775A6">
        <w:rPr>
          <w:rFonts w:asciiTheme="majorHAnsi" w:hAnsiTheme="majorHAnsi"/>
          <w:sz w:val="24"/>
        </w:rPr>
        <w:t xml:space="preserve">DoDI 8320.02 (Sharing Data, Information, and Information Technology (IT) Services in the Department of Defense), incorporating </w:t>
      </w:r>
      <w:r>
        <w:rPr>
          <w:rFonts w:asciiTheme="majorHAnsi" w:hAnsiTheme="majorHAnsi"/>
          <w:sz w:val="24"/>
        </w:rPr>
        <w:t>c</w:t>
      </w:r>
      <w:r w:rsidRPr="007775A6">
        <w:rPr>
          <w:rFonts w:asciiTheme="majorHAnsi" w:hAnsiTheme="majorHAnsi"/>
          <w:sz w:val="24"/>
        </w:rPr>
        <w:t>hange 1, effective 24 June 2020</w:t>
      </w:r>
    </w:p>
    <w:p w:rsidR="00B459AA" w:rsidP="003C5B8C" w14:paraId="46B56E8D" w14:textId="60ED08B7">
      <w:pPr>
        <w:pStyle w:val="NoSpacing"/>
        <w:numPr>
          <w:ilvl w:val="0"/>
          <w:numId w:val="19"/>
        </w:numPr>
        <w:rPr>
          <w:rFonts w:asciiTheme="majorHAnsi" w:hAnsiTheme="majorHAnsi"/>
          <w:sz w:val="24"/>
        </w:rPr>
      </w:pPr>
      <w:r w:rsidRPr="00772DAF">
        <w:rPr>
          <w:rFonts w:asciiTheme="majorHAnsi" w:hAnsiTheme="majorHAnsi"/>
          <w:sz w:val="24"/>
        </w:rPr>
        <w:t>Army Regulation (AR) 10–90 (Department of Defense Executive Agent Responsibilities of the Secretary of the Army), 9 February 2018</w:t>
      </w:r>
      <w:r w:rsidRPr="00D01149" w:rsidR="00F666BF">
        <w:rPr>
          <w:rFonts w:asciiTheme="majorHAnsi" w:hAnsiTheme="majorHAnsi"/>
          <w:sz w:val="24"/>
        </w:rPr>
        <w:t xml:space="preserve"> </w:t>
      </w:r>
    </w:p>
    <w:p w:rsidR="001E77F5" w:rsidP="003C5B8C" w14:paraId="1652BC9D" w14:textId="64FEDE72">
      <w:pPr>
        <w:pStyle w:val="NoSpacing"/>
        <w:numPr>
          <w:ilvl w:val="0"/>
          <w:numId w:val="19"/>
        </w:numPr>
        <w:rPr>
          <w:rFonts w:asciiTheme="majorHAnsi" w:hAnsiTheme="majorHAnsi"/>
          <w:sz w:val="24"/>
        </w:rPr>
      </w:pPr>
      <w:r w:rsidRPr="001E77F5">
        <w:rPr>
          <w:rFonts w:asciiTheme="majorHAnsi" w:hAnsiTheme="majorHAnsi"/>
          <w:sz w:val="24"/>
        </w:rPr>
        <w:t>AR 25–22 (The Army Privacy Program), 22 December 2016</w:t>
      </w:r>
    </w:p>
    <w:bookmarkEnd w:id="2"/>
    <w:p w:rsidR="001258B3" w:rsidRPr="00D01149" w:rsidP="008B0D4B" w14:paraId="687CAA83" w14:textId="77777777">
      <w:pPr>
        <w:pStyle w:val="NoSpacing"/>
        <w:rPr>
          <w:rFonts w:asciiTheme="majorHAnsi" w:hAnsiTheme="majorHAnsi"/>
          <w:sz w:val="24"/>
        </w:rPr>
      </w:pPr>
    </w:p>
    <w:p w:rsidR="00E643E5" w:rsidRPr="00D01149" w:rsidP="00563F7A" w14:paraId="744D67DB" w14:textId="2CFC76A5">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 xml:space="preserve">Use of </w:t>
      </w:r>
      <w:r w:rsidRPr="00D01149" w:rsidR="00AE38E5">
        <w:rPr>
          <w:rFonts w:asciiTheme="majorHAnsi" w:hAnsiTheme="majorHAnsi"/>
          <w:b/>
          <w:sz w:val="24"/>
          <w:u w:val="single"/>
        </w:rPr>
        <w:t xml:space="preserve">the </w:t>
      </w:r>
      <w:r w:rsidRPr="00D01149">
        <w:rPr>
          <w:rFonts w:asciiTheme="majorHAnsi" w:hAnsiTheme="majorHAnsi"/>
          <w:b/>
          <w:sz w:val="24"/>
          <w:u w:val="single"/>
        </w:rPr>
        <w:t>Information</w:t>
      </w:r>
    </w:p>
    <w:p w:rsidR="0047435D" w:rsidRPr="00D01149" w:rsidP="008B0D4B" w14:paraId="589638DD" w14:textId="77777777">
      <w:pPr>
        <w:autoSpaceDE w:val="0"/>
        <w:autoSpaceDN w:val="0"/>
        <w:adjustRightInd w:val="0"/>
        <w:rPr>
          <w:rFonts w:asciiTheme="majorHAnsi" w:hAnsiTheme="majorHAnsi"/>
        </w:rPr>
      </w:pPr>
    </w:p>
    <w:p w:rsidR="005C1E64" w:rsidRPr="00D01149" w:rsidP="001B2626" w14:paraId="30586B81" w14:textId="77101149">
      <w:pPr>
        <w:pStyle w:val="PlainText"/>
        <w:rPr>
          <w:rFonts w:asciiTheme="majorHAnsi" w:hAnsiTheme="majorHAnsi"/>
          <w:sz w:val="24"/>
        </w:rPr>
      </w:pPr>
      <w:r w:rsidRPr="00D01149">
        <w:rPr>
          <w:rFonts w:asciiTheme="majorHAnsi" w:hAnsiTheme="majorHAnsi"/>
          <w:sz w:val="24"/>
        </w:rPr>
        <w:t xml:space="preserve">The information processed by DoD ABIS is collected by </w:t>
      </w:r>
      <w:r w:rsidRPr="00D01149" w:rsidR="0004301C">
        <w:rPr>
          <w:rFonts w:asciiTheme="majorHAnsi" w:hAnsiTheme="majorHAnsi"/>
          <w:sz w:val="24"/>
        </w:rPr>
        <w:t xml:space="preserve">DoD </w:t>
      </w:r>
      <w:r w:rsidRPr="00D01149">
        <w:rPr>
          <w:rFonts w:asciiTheme="majorHAnsi" w:hAnsiTheme="majorHAnsi"/>
          <w:sz w:val="24"/>
        </w:rPr>
        <w:t xml:space="preserve">military personnel </w:t>
      </w:r>
      <w:r w:rsidRPr="00D01149" w:rsidR="0004301C">
        <w:rPr>
          <w:rFonts w:asciiTheme="majorHAnsi" w:hAnsiTheme="majorHAnsi"/>
          <w:sz w:val="24"/>
        </w:rPr>
        <w:t xml:space="preserve">worldwide </w:t>
      </w:r>
      <w:r w:rsidRPr="00D01149">
        <w:rPr>
          <w:rFonts w:asciiTheme="majorHAnsi" w:hAnsiTheme="majorHAnsi"/>
          <w:sz w:val="24"/>
        </w:rPr>
        <w:t>across the full range of military operations for DoD warfighting, intelligence, law enforcement, security, force protection, base access, homeland defense, counterterrorism, business</w:t>
      </w:r>
      <w:r w:rsidRPr="00D01149" w:rsidR="00A21F9D">
        <w:rPr>
          <w:rFonts w:asciiTheme="majorHAnsi" w:hAnsiTheme="majorHAnsi"/>
          <w:sz w:val="24"/>
        </w:rPr>
        <w:t xml:space="preserve"> enterprise purposes</w:t>
      </w:r>
      <w:r w:rsidRPr="00D01149">
        <w:rPr>
          <w:rFonts w:asciiTheme="majorHAnsi" w:hAnsiTheme="majorHAnsi"/>
          <w:sz w:val="24"/>
        </w:rPr>
        <w:t>, and</w:t>
      </w:r>
      <w:r w:rsidRPr="00D01149" w:rsidR="00A21F9D">
        <w:rPr>
          <w:rFonts w:asciiTheme="majorHAnsi" w:hAnsiTheme="majorHAnsi"/>
          <w:sz w:val="24"/>
        </w:rPr>
        <w:t xml:space="preserve"> in </w:t>
      </w:r>
      <w:r w:rsidRPr="00D01149">
        <w:rPr>
          <w:rFonts w:asciiTheme="majorHAnsi" w:hAnsiTheme="majorHAnsi"/>
          <w:sz w:val="24"/>
        </w:rPr>
        <w:t xml:space="preserve">information environment mission areas.  </w:t>
      </w:r>
      <w:r w:rsidRPr="00D52D98" w:rsidR="00D52D98">
        <w:rPr>
          <w:rFonts w:asciiTheme="majorHAnsi" w:hAnsiTheme="majorHAnsi"/>
          <w:sz w:val="24"/>
        </w:rPr>
        <w:t>Records</w:t>
      </w:r>
      <w:r w:rsidR="00D52D98">
        <w:rPr>
          <w:rFonts w:asciiTheme="majorHAnsi" w:hAnsiTheme="majorHAnsi"/>
          <w:sz w:val="24"/>
        </w:rPr>
        <w:t xml:space="preserve"> collected by DoD military personnel </w:t>
      </w:r>
      <w:r w:rsidR="005E4868">
        <w:rPr>
          <w:rFonts w:asciiTheme="majorHAnsi" w:hAnsiTheme="majorHAnsi"/>
          <w:sz w:val="24"/>
        </w:rPr>
        <w:t>using hand-held biometric collection devices</w:t>
      </w:r>
      <w:r w:rsidRPr="00D52D98" w:rsidR="00D52D98">
        <w:rPr>
          <w:rFonts w:asciiTheme="majorHAnsi" w:hAnsiTheme="majorHAnsi"/>
          <w:sz w:val="24"/>
        </w:rPr>
        <w:t xml:space="preserve"> include biometric information, such as images, photos</w:t>
      </w:r>
      <w:r w:rsidR="00AD4985">
        <w:rPr>
          <w:rFonts w:asciiTheme="majorHAnsi" w:hAnsiTheme="majorHAnsi"/>
          <w:sz w:val="24"/>
        </w:rPr>
        <w:t>,</w:t>
      </w:r>
      <w:r w:rsidRPr="00D52D98" w:rsidR="00D52D98">
        <w:rPr>
          <w:rFonts w:asciiTheme="majorHAnsi" w:hAnsiTheme="majorHAnsi"/>
          <w:sz w:val="24"/>
        </w:rPr>
        <w:t xml:space="preserve"> and templates of biological (anatomical and physiological) and/or behavioral characteristics that can be used for automated recognition, including, fingerprints, palm prints, facial images, iris images, DNA, and voice samples.</w:t>
      </w:r>
      <w:r w:rsidR="005E4868">
        <w:rPr>
          <w:rFonts w:asciiTheme="majorHAnsi" w:hAnsiTheme="majorHAnsi"/>
          <w:sz w:val="24"/>
        </w:rPr>
        <w:t xml:space="preserve"> </w:t>
      </w:r>
      <w:r w:rsidRPr="001B2626" w:rsidR="001B2626">
        <w:rPr>
          <w:rFonts w:asciiTheme="majorHAnsi" w:hAnsiTheme="majorHAnsi"/>
          <w:sz w:val="24"/>
        </w:rPr>
        <w:t xml:space="preserve">Biographic information </w:t>
      </w:r>
      <w:r w:rsidR="001B2626">
        <w:rPr>
          <w:rFonts w:asciiTheme="majorHAnsi" w:hAnsiTheme="majorHAnsi"/>
          <w:sz w:val="24"/>
        </w:rPr>
        <w:t xml:space="preserve">(such as </w:t>
      </w:r>
      <w:r w:rsidRPr="001B2626" w:rsidR="001B2626">
        <w:rPr>
          <w:rFonts w:asciiTheme="majorHAnsi" w:hAnsiTheme="majorHAnsi"/>
          <w:sz w:val="24"/>
        </w:rPr>
        <w:t xml:space="preserve">name, date of birth, place of birth, height, weight, eye color, hair color, race, </w:t>
      </w:r>
      <w:r w:rsidR="001B2626">
        <w:rPr>
          <w:rFonts w:asciiTheme="majorHAnsi" w:hAnsiTheme="majorHAnsi"/>
          <w:sz w:val="24"/>
        </w:rPr>
        <w:t>etc</w:t>
      </w:r>
      <w:r w:rsidR="00CE03BA">
        <w:rPr>
          <w:rFonts w:asciiTheme="majorHAnsi" w:hAnsiTheme="majorHAnsi"/>
          <w:sz w:val="24"/>
        </w:rPr>
        <w:t>.</w:t>
      </w:r>
      <w:r w:rsidR="001B2626">
        <w:rPr>
          <w:rFonts w:asciiTheme="majorHAnsi" w:hAnsiTheme="majorHAnsi"/>
          <w:sz w:val="24"/>
        </w:rPr>
        <w:t>) and contextual information (i</w:t>
      </w:r>
      <w:r w:rsidR="00CE03BA">
        <w:rPr>
          <w:rFonts w:asciiTheme="majorHAnsi" w:hAnsiTheme="majorHAnsi"/>
          <w:sz w:val="24"/>
        </w:rPr>
        <w:t>.</w:t>
      </w:r>
      <w:r w:rsidR="001B2626">
        <w:rPr>
          <w:rFonts w:asciiTheme="majorHAnsi" w:hAnsiTheme="majorHAnsi"/>
          <w:sz w:val="24"/>
        </w:rPr>
        <w:t>e</w:t>
      </w:r>
      <w:r w:rsidR="00CE03BA">
        <w:rPr>
          <w:rFonts w:asciiTheme="majorHAnsi" w:hAnsiTheme="majorHAnsi"/>
          <w:sz w:val="24"/>
        </w:rPr>
        <w:t>.</w:t>
      </w:r>
      <w:r w:rsidR="001B2626">
        <w:rPr>
          <w:rFonts w:asciiTheme="majorHAnsi" w:hAnsiTheme="majorHAnsi"/>
          <w:sz w:val="24"/>
        </w:rPr>
        <w:t xml:space="preserve"> organization, telephone number, office symbol, security clearance, etc</w:t>
      </w:r>
      <w:r w:rsidR="00CE03BA">
        <w:rPr>
          <w:rFonts w:asciiTheme="majorHAnsi" w:hAnsiTheme="majorHAnsi"/>
          <w:sz w:val="24"/>
        </w:rPr>
        <w:t>.</w:t>
      </w:r>
      <w:r w:rsidR="001B2626">
        <w:rPr>
          <w:rFonts w:asciiTheme="majorHAnsi" w:hAnsiTheme="majorHAnsi"/>
          <w:sz w:val="24"/>
        </w:rPr>
        <w:t>)</w:t>
      </w:r>
      <w:r w:rsidR="00E5360F">
        <w:rPr>
          <w:rFonts w:asciiTheme="majorHAnsi" w:hAnsiTheme="majorHAnsi"/>
          <w:sz w:val="24"/>
        </w:rPr>
        <w:t xml:space="preserve"> is also collected by the DoD military personnel</w:t>
      </w:r>
      <w:r w:rsidR="004B719D">
        <w:rPr>
          <w:rFonts w:asciiTheme="majorHAnsi" w:hAnsiTheme="majorHAnsi"/>
          <w:sz w:val="24"/>
        </w:rPr>
        <w:t xml:space="preserve"> </w:t>
      </w:r>
      <w:r w:rsidR="0049700E">
        <w:rPr>
          <w:rFonts w:asciiTheme="majorHAnsi" w:hAnsiTheme="majorHAnsi"/>
          <w:sz w:val="24"/>
        </w:rPr>
        <w:t>during the enrollment process.</w:t>
      </w:r>
      <w:r w:rsidR="001B2626">
        <w:rPr>
          <w:rFonts w:asciiTheme="majorHAnsi" w:hAnsiTheme="majorHAnsi"/>
          <w:sz w:val="24"/>
        </w:rPr>
        <w:t xml:space="preserve"> </w:t>
      </w:r>
      <w:r w:rsidR="00046070">
        <w:rPr>
          <w:rFonts w:asciiTheme="majorHAnsi" w:hAnsiTheme="majorHAnsi"/>
          <w:sz w:val="24"/>
        </w:rPr>
        <w:t xml:space="preserve">This information </w:t>
      </w:r>
      <w:r w:rsidR="006C0CC6">
        <w:rPr>
          <w:rFonts w:asciiTheme="majorHAnsi" w:hAnsiTheme="majorHAnsi"/>
          <w:sz w:val="24"/>
        </w:rPr>
        <w:t xml:space="preserve">can be </w:t>
      </w:r>
      <w:r w:rsidR="00046070">
        <w:rPr>
          <w:rFonts w:asciiTheme="majorHAnsi" w:hAnsiTheme="majorHAnsi"/>
          <w:sz w:val="24"/>
        </w:rPr>
        <w:t>collected through questioning by DoD military personnel</w:t>
      </w:r>
      <w:r w:rsidR="00DA5F17">
        <w:rPr>
          <w:rFonts w:asciiTheme="majorHAnsi" w:hAnsiTheme="majorHAnsi"/>
          <w:sz w:val="24"/>
        </w:rPr>
        <w:t xml:space="preserve"> or</w:t>
      </w:r>
      <w:r w:rsidR="00F87354">
        <w:rPr>
          <w:rFonts w:asciiTheme="majorHAnsi" w:hAnsiTheme="majorHAnsi"/>
          <w:sz w:val="24"/>
        </w:rPr>
        <w:t xml:space="preserve"> by viewing </w:t>
      </w:r>
      <w:r w:rsidR="00691F5F">
        <w:rPr>
          <w:rFonts w:asciiTheme="majorHAnsi" w:hAnsiTheme="majorHAnsi"/>
          <w:sz w:val="24"/>
        </w:rPr>
        <w:t xml:space="preserve">the information </w:t>
      </w:r>
      <w:r w:rsidR="00F87354">
        <w:rPr>
          <w:rFonts w:asciiTheme="majorHAnsi" w:hAnsiTheme="majorHAnsi"/>
          <w:sz w:val="24"/>
        </w:rPr>
        <w:t xml:space="preserve">from </w:t>
      </w:r>
      <w:r w:rsidR="00B6713D">
        <w:rPr>
          <w:rFonts w:asciiTheme="majorHAnsi" w:hAnsiTheme="majorHAnsi"/>
          <w:sz w:val="24"/>
        </w:rPr>
        <w:t xml:space="preserve">a document bearing </w:t>
      </w:r>
      <w:r w:rsidR="009468A3">
        <w:rPr>
          <w:rFonts w:asciiTheme="majorHAnsi" w:hAnsiTheme="majorHAnsi"/>
          <w:sz w:val="24"/>
        </w:rPr>
        <w:t>the identifying information</w:t>
      </w:r>
      <w:r w:rsidR="00691F5F">
        <w:rPr>
          <w:rFonts w:asciiTheme="majorHAnsi" w:hAnsiTheme="majorHAnsi"/>
          <w:sz w:val="24"/>
        </w:rPr>
        <w:t xml:space="preserve"> (such as an ID</w:t>
      </w:r>
      <w:r w:rsidR="005B5B55">
        <w:rPr>
          <w:rFonts w:asciiTheme="majorHAnsi" w:hAnsiTheme="majorHAnsi"/>
          <w:sz w:val="24"/>
        </w:rPr>
        <w:t xml:space="preserve"> card</w:t>
      </w:r>
      <w:r w:rsidR="00691F5F">
        <w:rPr>
          <w:rFonts w:asciiTheme="majorHAnsi" w:hAnsiTheme="majorHAnsi"/>
          <w:sz w:val="24"/>
        </w:rPr>
        <w:t>)</w:t>
      </w:r>
      <w:r w:rsidR="009468A3">
        <w:rPr>
          <w:rFonts w:asciiTheme="majorHAnsi" w:hAnsiTheme="majorHAnsi"/>
          <w:sz w:val="24"/>
        </w:rPr>
        <w:t>.</w:t>
      </w:r>
      <w:r w:rsidR="00F87354">
        <w:rPr>
          <w:rFonts w:asciiTheme="majorHAnsi" w:hAnsiTheme="majorHAnsi"/>
          <w:sz w:val="24"/>
        </w:rPr>
        <w:t xml:space="preserve"> </w:t>
      </w:r>
      <w:r w:rsidR="00E5360F">
        <w:rPr>
          <w:rFonts w:asciiTheme="majorHAnsi" w:hAnsiTheme="majorHAnsi"/>
          <w:sz w:val="24"/>
        </w:rPr>
        <w:t>DoD ABIS</w:t>
      </w:r>
      <w:r w:rsidRPr="00D01149">
        <w:rPr>
          <w:rFonts w:asciiTheme="majorHAnsi" w:hAnsiTheme="majorHAnsi"/>
          <w:sz w:val="24"/>
        </w:rPr>
        <w:t xml:space="preserve"> also includes </w:t>
      </w:r>
      <w:r w:rsidR="00D323FB">
        <w:rPr>
          <w:rFonts w:asciiTheme="majorHAnsi" w:hAnsiTheme="majorHAnsi"/>
          <w:sz w:val="24"/>
        </w:rPr>
        <w:t>identity-related information and data (</w:t>
      </w:r>
      <w:r w:rsidRPr="00D01149">
        <w:rPr>
          <w:rFonts w:asciiTheme="majorHAnsi" w:hAnsiTheme="majorHAnsi"/>
          <w:sz w:val="24"/>
        </w:rPr>
        <w:t>biometric</w:t>
      </w:r>
      <w:r w:rsidR="00D323FB">
        <w:rPr>
          <w:rFonts w:asciiTheme="majorHAnsi" w:hAnsiTheme="majorHAnsi"/>
          <w:sz w:val="24"/>
        </w:rPr>
        <w:t>, biographic</w:t>
      </w:r>
      <w:r w:rsidR="00C95DE7">
        <w:rPr>
          <w:rFonts w:asciiTheme="majorHAnsi" w:hAnsiTheme="majorHAnsi"/>
          <w:sz w:val="24"/>
        </w:rPr>
        <w:t>, behavioral, and contextual data)</w:t>
      </w:r>
      <w:r w:rsidRPr="00D01149">
        <w:rPr>
          <w:rFonts w:asciiTheme="majorHAnsi" w:hAnsiTheme="majorHAnsi"/>
          <w:sz w:val="24"/>
        </w:rPr>
        <w:t xml:space="preserve"> from individuals collected</w:t>
      </w:r>
      <w:r w:rsidR="00C95DE7">
        <w:rPr>
          <w:rFonts w:asciiTheme="majorHAnsi" w:hAnsiTheme="majorHAnsi"/>
          <w:sz w:val="24"/>
        </w:rPr>
        <w:t xml:space="preserve"> and shared</w:t>
      </w:r>
      <w:r w:rsidRPr="00D01149">
        <w:rPr>
          <w:rFonts w:asciiTheme="majorHAnsi" w:hAnsiTheme="majorHAnsi"/>
          <w:sz w:val="24"/>
        </w:rPr>
        <w:t xml:space="preserve"> from interagency </w:t>
      </w:r>
      <w:r w:rsidR="00C95DE7">
        <w:rPr>
          <w:rFonts w:asciiTheme="majorHAnsi" w:hAnsiTheme="majorHAnsi"/>
          <w:sz w:val="24"/>
        </w:rPr>
        <w:t>and</w:t>
      </w:r>
      <w:r w:rsidRPr="00D01149" w:rsidR="00C95DE7">
        <w:rPr>
          <w:rFonts w:asciiTheme="majorHAnsi" w:hAnsiTheme="majorHAnsi"/>
          <w:sz w:val="24"/>
        </w:rPr>
        <w:t xml:space="preserve"> </w:t>
      </w:r>
      <w:r w:rsidRPr="00D01149">
        <w:rPr>
          <w:rFonts w:asciiTheme="majorHAnsi" w:hAnsiTheme="majorHAnsi"/>
          <w:sz w:val="24"/>
        </w:rPr>
        <w:t>foreign partner</w:t>
      </w:r>
      <w:r w:rsidRPr="00D01149" w:rsidR="00A21F9D">
        <w:rPr>
          <w:rFonts w:asciiTheme="majorHAnsi" w:hAnsiTheme="majorHAnsi"/>
          <w:sz w:val="24"/>
        </w:rPr>
        <w:t>s’</w:t>
      </w:r>
      <w:r w:rsidRPr="00D01149">
        <w:rPr>
          <w:rFonts w:asciiTheme="majorHAnsi" w:hAnsiTheme="majorHAnsi"/>
          <w:sz w:val="24"/>
        </w:rPr>
        <w:t xml:space="preserve"> </w:t>
      </w:r>
      <w:r w:rsidRPr="00D01149" w:rsidR="00A21F9D">
        <w:rPr>
          <w:rFonts w:asciiTheme="majorHAnsi" w:hAnsiTheme="majorHAnsi"/>
          <w:sz w:val="24"/>
        </w:rPr>
        <w:t xml:space="preserve">data </w:t>
      </w:r>
      <w:r w:rsidRPr="00D01149">
        <w:rPr>
          <w:rFonts w:asciiTheme="majorHAnsi" w:hAnsiTheme="majorHAnsi"/>
          <w:sz w:val="24"/>
        </w:rPr>
        <w:t xml:space="preserve">repositories. </w:t>
      </w:r>
    </w:p>
    <w:p w:rsidR="00563F7A" w:rsidRPr="00D01149" w:rsidP="008B0D4B" w14:paraId="03890253" w14:textId="77777777">
      <w:pPr>
        <w:rPr>
          <w:rFonts w:asciiTheme="majorHAnsi" w:hAnsiTheme="majorHAnsi"/>
        </w:rPr>
      </w:pPr>
    </w:p>
    <w:p w:rsidR="00F565A3" w:rsidRPr="00D01149" w:rsidP="008B0D4B" w14:paraId="51C5FCCA" w14:textId="33E3341E">
      <w:pPr>
        <w:rPr>
          <w:rFonts w:asciiTheme="majorHAnsi" w:hAnsiTheme="majorHAnsi"/>
        </w:rPr>
      </w:pPr>
      <w:r w:rsidRPr="00D01149">
        <w:rPr>
          <w:rFonts w:asciiTheme="majorHAnsi" w:hAnsiTheme="majorHAnsi"/>
        </w:rPr>
        <w:t xml:space="preserve">The information collected and processed by DoD ABIS is </w:t>
      </w:r>
      <w:r w:rsidRPr="00D01149" w:rsidR="00D361F6">
        <w:rPr>
          <w:rFonts w:asciiTheme="majorHAnsi" w:hAnsiTheme="majorHAnsi"/>
        </w:rPr>
        <w:t xml:space="preserve">shared, </w:t>
      </w:r>
      <w:r w:rsidRPr="00D01149" w:rsidR="00A21F9D">
        <w:rPr>
          <w:rFonts w:asciiTheme="majorHAnsi" w:hAnsiTheme="majorHAnsi"/>
        </w:rPr>
        <w:t>accesse</w:t>
      </w:r>
      <w:r w:rsidRPr="00D01149" w:rsidR="00D361F6">
        <w:rPr>
          <w:rFonts w:asciiTheme="majorHAnsi" w:hAnsiTheme="majorHAnsi"/>
        </w:rPr>
        <w:t xml:space="preserve">d, and </w:t>
      </w:r>
      <w:r w:rsidRPr="00D01149" w:rsidR="00A21F9D">
        <w:rPr>
          <w:rFonts w:asciiTheme="majorHAnsi" w:hAnsiTheme="majorHAnsi"/>
        </w:rPr>
        <w:t>leveraged</w:t>
      </w:r>
      <w:r w:rsidRPr="00D01149">
        <w:rPr>
          <w:rFonts w:asciiTheme="majorHAnsi" w:hAnsiTheme="majorHAnsi"/>
        </w:rPr>
        <w:t xml:space="preserve"> by DoD</w:t>
      </w:r>
      <w:r w:rsidRPr="00D01149" w:rsidR="00D361F6">
        <w:rPr>
          <w:rFonts w:asciiTheme="majorHAnsi" w:hAnsiTheme="majorHAnsi"/>
        </w:rPr>
        <w:t xml:space="preserve"> partners</w:t>
      </w:r>
      <w:r w:rsidRPr="00D01149">
        <w:rPr>
          <w:rFonts w:asciiTheme="majorHAnsi" w:hAnsiTheme="majorHAnsi"/>
        </w:rPr>
        <w:t>,</w:t>
      </w:r>
      <w:r w:rsidRPr="00D01149" w:rsidR="00D361F6">
        <w:rPr>
          <w:rFonts w:asciiTheme="majorHAnsi" w:hAnsiTheme="majorHAnsi"/>
        </w:rPr>
        <w:t xml:space="preserve"> U.S. Government inter-agen</w:t>
      </w:r>
      <w:r w:rsidR="009363AF">
        <w:rPr>
          <w:rFonts w:asciiTheme="majorHAnsi" w:hAnsiTheme="majorHAnsi"/>
        </w:rPr>
        <w:t>cies</w:t>
      </w:r>
      <w:r w:rsidR="00B95606">
        <w:rPr>
          <w:rFonts w:asciiTheme="majorHAnsi" w:hAnsiTheme="majorHAnsi"/>
        </w:rPr>
        <w:t xml:space="preserve"> </w:t>
      </w:r>
      <w:r w:rsidRPr="00D01149" w:rsidR="00D361F6">
        <w:rPr>
          <w:rFonts w:asciiTheme="majorHAnsi" w:hAnsiTheme="majorHAnsi"/>
        </w:rPr>
        <w:t>and departmental stakeholders</w:t>
      </w:r>
      <w:r w:rsidR="002430E2">
        <w:rPr>
          <w:rFonts w:asciiTheme="majorHAnsi" w:hAnsiTheme="majorHAnsi"/>
        </w:rPr>
        <w:t xml:space="preserve"> (</w:t>
      </w:r>
      <w:r w:rsidRPr="00D01149" w:rsidR="002430E2">
        <w:rPr>
          <w:rFonts w:asciiTheme="majorHAnsi" w:hAnsiTheme="majorHAnsi"/>
        </w:rPr>
        <w:t>such as the Federal Bureau of Investigation (FBI), Department of Homeland Security (DHS), and Office of the Director of National Intelligence (ODNI)</w:t>
      </w:r>
      <w:r w:rsidR="002430E2">
        <w:rPr>
          <w:rFonts w:asciiTheme="majorHAnsi" w:hAnsiTheme="majorHAnsi"/>
        </w:rPr>
        <w:t>)</w:t>
      </w:r>
      <w:r w:rsidRPr="00D01149" w:rsidR="00D361F6">
        <w:rPr>
          <w:rFonts w:asciiTheme="majorHAnsi" w:hAnsiTheme="majorHAnsi"/>
        </w:rPr>
        <w:t>, and approved multi-national partners</w:t>
      </w:r>
      <w:r w:rsidR="002430E2">
        <w:rPr>
          <w:rFonts w:asciiTheme="majorHAnsi" w:hAnsiTheme="majorHAnsi"/>
        </w:rPr>
        <w:t xml:space="preserve"> </w:t>
      </w:r>
      <w:r w:rsidRPr="00D01149">
        <w:rPr>
          <w:rFonts w:asciiTheme="majorHAnsi" w:hAnsiTheme="majorHAnsi"/>
        </w:rPr>
        <w:t xml:space="preserve">for intelligence, </w:t>
      </w:r>
      <w:r w:rsidRPr="00D01149" w:rsidR="00D361F6">
        <w:rPr>
          <w:rFonts w:asciiTheme="majorHAnsi" w:hAnsiTheme="majorHAnsi"/>
        </w:rPr>
        <w:t xml:space="preserve">counterterrorism, </w:t>
      </w:r>
      <w:r w:rsidRPr="00D01149" w:rsidR="00B35E10">
        <w:rPr>
          <w:rFonts w:asciiTheme="majorHAnsi" w:hAnsiTheme="majorHAnsi"/>
        </w:rPr>
        <w:t xml:space="preserve">military </w:t>
      </w:r>
      <w:r w:rsidRPr="00D01149">
        <w:rPr>
          <w:rFonts w:asciiTheme="majorHAnsi" w:hAnsiTheme="majorHAnsi"/>
        </w:rPr>
        <w:t xml:space="preserve">force protection, national security, and law enforcement purposes. </w:t>
      </w:r>
      <w:r w:rsidRPr="00D01149" w:rsidR="00AF4FA4">
        <w:rPr>
          <w:rFonts w:asciiTheme="majorHAnsi" w:hAnsiTheme="majorHAnsi"/>
        </w:rPr>
        <w:t xml:space="preserve"> </w:t>
      </w:r>
      <w:r w:rsidRPr="00D01149">
        <w:rPr>
          <w:rFonts w:asciiTheme="majorHAnsi" w:hAnsiTheme="majorHAnsi"/>
        </w:rPr>
        <w:t xml:space="preserve">DoD </w:t>
      </w:r>
      <w:r w:rsidRPr="00D01149" w:rsidR="00CA4A9A">
        <w:rPr>
          <w:rFonts w:asciiTheme="majorHAnsi" w:hAnsiTheme="majorHAnsi"/>
        </w:rPr>
        <w:t xml:space="preserve">provides collected and processed </w:t>
      </w:r>
      <w:r w:rsidRPr="00D01149">
        <w:rPr>
          <w:rFonts w:asciiTheme="majorHAnsi" w:hAnsiTheme="majorHAnsi"/>
        </w:rPr>
        <w:t xml:space="preserve">information to the </w:t>
      </w:r>
      <w:r w:rsidRPr="00D01149" w:rsidR="00A21F9D">
        <w:rPr>
          <w:rFonts w:asciiTheme="majorHAnsi" w:hAnsiTheme="majorHAnsi"/>
        </w:rPr>
        <w:t>FBI/</w:t>
      </w:r>
      <w:r w:rsidRPr="00D01149">
        <w:rPr>
          <w:rFonts w:asciiTheme="majorHAnsi" w:hAnsiTheme="majorHAnsi"/>
        </w:rPr>
        <w:t xml:space="preserve">Terrorist Screening Center </w:t>
      </w:r>
      <w:r w:rsidRPr="00D01149" w:rsidR="00E45038">
        <w:rPr>
          <w:rFonts w:asciiTheme="majorHAnsi" w:hAnsiTheme="majorHAnsi"/>
        </w:rPr>
        <w:t xml:space="preserve">(TSC) </w:t>
      </w:r>
      <w:r w:rsidRPr="00D01149">
        <w:rPr>
          <w:rFonts w:asciiTheme="majorHAnsi" w:hAnsiTheme="majorHAnsi"/>
        </w:rPr>
        <w:t>to place individuals on National Watchlists.</w:t>
      </w:r>
      <w:r w:rsidRPr="00D01149" w:rsidR="00E861E9">
        <w:rPr>
          <w:rFonts w:asciiTheme="majorHAnsi" w:hAnsiTheme="majorHAnsi"/>
        </w:rPr>
        <w:t xml:space="preserve"> </w:t>
      </w:r>
      <w:r w:rsidRPr="00D01149" w:rsidR="00A21F9D">
        <w:rPr>
          <w:rFonts w:asciiTheme="majorHAnsi" w:hAnsiTheme="majorHAnsi"/>
        </w:rPr>
        <w:t xml:space="preserve"> </w:t>
      </w:r>
      <w:r w:rsidRPr="00D01149" w:rsidR="00E861E9">
        <w:rPr>
          <w:rFonts w:asciiTheme="majorHAnsi" w:hAnsiTheme="majorHAnsi"/>
        </w:rPr>
        <w:t xml:space="preserve">Required </w:t>
      </w:r>
      <w:r w:rsidRPr="00D01149" w:rsidR="00A21F9D">
        <w:rPr>
          <w:rFonts w:asciiTheme="majorHAnsi" w:hAnsiTheme="majorHAnsi"/>
        </w:rPr>
        <w:t xml:space="preserve">biometric </w:t>
      </w:r>
      <w:r w:rsidRPr="00D01149" w:rsidR="00E861E9">
        <w:rPr>
          <w:rFonts w:asciiTheme="majorHAnsi" w:hAnsiTheme="majorHAnsi"/>
        </w:rPr>
        <w:t xml:space="preserve">fields for every record include </w:t>
      </w:r>
      <w:r w:rsidR="00CE03BA">
        <w:rPr>
          <w:rFonts w:asciiTheme="majorHAnsi" w:hAnsiTheme="majorHAnsi"/>
        </w:rPr>
        <w:t>n</w:t>
      </w:r>
      <w:r w:rsidRPr="00D01149" w:rsidR="00E861E9">
        <w:rPr>
          <w:rFonts w:asciiTheme="majorHAnsi" w:hAnsiTheme="majorHAnsi"/>
        </w:rPr>
        <w:t xml:space="preserve">ame, </w:t>
      </w:r>
      <w:r w:rsidRPr="00D01149" w:rsidR="00A21F9D">
        <w:rPr>
          <w:rFonts w:asciiTheme="majorHAnsi" w:hAnsiTheme="majorHAnsi"/>
        </w:rPr>
        <w:t>ten (</w:t>
      </w:r>
      <w:r w:rsidRPr="00D01149" w:rsidR="00E861E9">
        <w:rPr>
          <w:rFonts w:asciiTheme="majorHAnsi" w:hAnsiTheme="majorHAnsi"/>
        </w:rPr>
        <w:t>10</w:t>
      </w:r>
      <w:r w:rsidRPr="00D01149" w:rsidR="00A21F9D">
        <w:rPr>
          <w:rFonts w:asciiTheme="majorHAnsi" w:hAnsiTheme="majorHAnsi"/>
        </w:rPr>
        <w:t>)</w:t>
      </w:r>
      <w:r w:rsidRPr="00D01149" w:rsidR="00E861E9">
        <w:rPr>
          <w:rFonts w:asciiTheme="majorHAnsi" w:hAnsiTheme="majorHAnsi"/>
        </w:rPr>
        <w:t xml:space="preserve"> fingerprints, and </w:t>
      </w:r>
      <w:r w:rsidRPr="00D01149" w:rsidR="00A21F9D">
        <w:rPr>
          <w:rFonts w:asciiTheme="majorHAnsi" w:hAnsiTheme="majorHAnsi"/>
        </w:rPr>
        <w:t>two (</w:t>
      </w:r>
      <w:r w:rsidRPr="00D01149" w:rsidR="00E861E9">
        <w:rPr>
          <w:rFonts w:asciiTheme="majorHAnsi" w:hAnsiTheme="majorHAnsi"/>
        </w:rPr>
        <w:t>2</w:t>
      </w:r>
      <w:r w:rsidRPr="00D01149" w:rsidR="00A21F9D">
        <w:rPr>
          <w:rFonts w:asciiTheme="majorHAnsi" w:hAnsiTheme="majorHAnsi"/>
        </w:rPr>
        <w:t>)</w:t>
      </w:r>
      <w:r w:rsidRPr="00D01149" w:rsidR="00E861E9">
        <w:rPr>
          <w:rFonts w:asciiTheme="majorHAnsi" w:hAnsiTheme="majorHAnsi"/>
        </w:rPr>
        <w:t xml:space="preserve"> iris scans. All other data fields</w:t>
      </w:r>
      <w:r w:rsidRPr="00D01149" w:rsidR="00B67F8E">
        <w:rPr>
          <w:rFonts w:asciiTheme="majorHAnsi" w:hAnsiTheme="majorHAnsi"/>
        </w:rPr>
        <w:t xml:space="preserve"> in DoD ABIS, such as Social Security Number (SSN), </w:t>
      </w:r>
      <w:r w:rsidRPr="00D01149" w:rsidR="00E861E9">
        <w:rPr>
          <w:rFonts w:asciiTheme="majorHAnsi" w:hAnsiTheme="majorHAnsi"/>
        </w:rPr>
        <w:t>are optional and vary based on each record and situation.</w:t>
      </w:r>
      <w:r w:rsidRPr="00D01149" w:rsidR="00B67F8E">
        <w:rPr>
          <w:rFonts w:asciiTheme="majorHAnsi" w:hAnsiTheme="majorHAnsi"/>
        </w:rPr>
        <w:t xml:space="preserve">  </w:t>
      </w:r>
    </w:p>
    <w:p w:rsidR="004D51CD" w:rsidRPr="00D01149" w:rsidP="00D01149" w14:paraId="3F8B376A" w14:textId="77777777">
      <w:pPr>
        <w:pStyle w:val="PlainText"/>
        <w:rPr>
          <w:rFonts w:asciiTheme="majorHAnsi" w:hAnsiTheme="majorHAnsi"/>
          <w:sz w:val="24"/>
        </w:rPr>
      </w:pPr>
    </w:p>
    <w:p w:rsidR="004D51CD" w:rsidRPr="00D01149" w:rsidP="004D51CD" w14:paraId="2D985125" w14:textId="2792A330">
      <w:pPr>
        <w:pStyle w:val="PlainText"/>
        <w:rPr>
          <w:rFonts w:asciiTheme="majorHAnsi" w:hAnsiTheme="majorHAnsi"/>
          <w:sz w:val="24"/>
        </w:rPr>
      </w:pPr>
      <w:r w:rsidRPr="00D01149">
        <w:rPr>
          <w:rFonts w:asciiTheme="majorHAnsi" w:hAnsiTheme="majorHAnsi"/>
          <w:sz w:val="24"/>
        </w:rPr>
        <w:t>For possible biometric data fields collected from respondent(s), reference the mandated version of the “DoD Electronic Biometric Transmission Specification (EBTS)” (Version 4.1, April 2019) in the DoD IT Standards Registry (DISR).  In most cases, numerous biometric data fields are not completed due to limited information at the time and/or the expediency of operational collection activity.  Different types of data enrollments result in various data field entries.  In sum, record types, modalities, and other contextual and biographical information are binned and divided into specific record type categories and are defined in more detail in accordance with American National Standards Institute/National Institute of Standards and Technology Information Technology Laboratory (ANSI/NIST-ITL) standards.</w:t>
      </w:r>
    </w:p>
    <w:p w:rsidR="00563F7A" w:rsidRPr="00D01149" w:rsidP="00D01149" w14:paraId="6657B7CD" w14:textId="5F43C7D6">
      <w:pPr>
        <w:rPr>
          <w:rFonts w:asciiTheme="majorHAnsi" w:hAnsiTheme="majorHAnsi"/>
        </w:rPr>
      </w:pPr>
    </w:p>
    <w:p w:rsidR="00E643E5" w:rsidRPr="00D01149" w:rsidP="00563F7A" w14:paraId="5676A9C4" w14:textId="35BE4D75">
      <w:pPr>
        <w:pStyle w:val="ListParagraph"/>
        <w:numPr>
          <w:ilvl w:val="0"/>
          <w:numId w:val="14"/>
        </w:numPr>
        <w:spacing w:after="0" w:line="240" w:lineRule="auto"/>
        <w:ind w:hanging="720"/>
        <w:rPr>
          <w:rFonts w:asciiTheme="majorHAnsi" w:hAnsiTheme="majorHAnsi"/>
          <w:b/>
          <w:sz w:val="24"/>
          <w:u w:val="single"/>
        </w:rPr>
      </w:pPr>
      <w:r w:rsidRPr="00D01149">
        <w:rPr>
          <w:rFonts w:asciiTheme="majorHAnsi" w:hAnsiTheme="majorHAnsi"/>
          <w:b/>
          <w:sz w:val="24"/>
          <w:u w:val="single"/>
        </w:rPr>
        <w:t>Use of Information Technology</w:t>
      </w:r>
    </w:p>
    <w:p w:rsidR="00F565A3" w:rsidRPr="00D01149" w:rsidP="008B0D4B" w14:paraId="0E403363" w14:textId="77777777">
      <w:pPr>
        <w:pStyle w:val="NoSpacing"/>
        <w:rPr>
          <w:rFonts w:asciiTheme="majorHAnsi" w:hAnsiTheme="majorHAnsi"/>
          <w:sz w:val="24"/>
        </w:rPr>
      </w:pPr>
    </w:p>
    <w:p w:rsidR="00B554D1" w:rsidRPr="00D01149" w:rsidP="008B0D4B" w14:paraId="2BAF0AF3" w14:textId="53DC2514">
      <w:pPr>
        <w:pStyle w:val="NoSpacing"/>
        <w:rPr>
          <w:rFonts w:asciiTheme="majorHAnsi" w:hAnsiTheme="majorHAnsi"/>
          <w:sz w:val="24"/>
        </w:rPr>
      </w:pPr>
      <w:r w:rsidRPr="00D01149">
        <w:rPr>
          <w:rFonts w:asciiTheme="majorHAnsi" w:hAnsiTheme="majorHAnsi"/>
          <w:sz w:val="24"/>
        </w:rPr>
        <w:t>D</w:t>
      </w:r>
      <w:r w:rsidRPr="00D01149" w:rsidR="00556A76">
        <w:rPr>
          <w:rFonts w:asciiTheme="majorHAnsi" w:hAnsiTheme="majorHAnsi"/>
          <w:sz w:val="24"/>
        </w:rPr>
        <w:t>o</w:t>
      </w:r>
      <w:r w:rsidRPr="00D01149">
        <w:rPr>
          <w:rFonts w:asciiTheme="majorHAnsi" w:hAnsiTheme="majorHAnsi"/>
          <w:sz w:val="24"/>
        </w:rPr>
        <w:t xml:space="preserve">D ABIS is an authoritative </w:t>
      </w:r>
      <w:r w:rsidRPr="00D01149" w:rsidR="0044561D">
        <w:rPr>
          <w:rFonts w:asciiTheme="majorHAnsi" w:hAnsiTheme="majorHAnsi"/>
          <w:sz w:val="24"/>
        </w:rPr>
        <w:t xml:space="preserve">biometrics </w:t>
      </w:r>
      <w:r w:rsidRPr="00D01149" w:rsidR="00193F29">
        <w:rPr>
          <w:rFonts w:asciiTheme="majorHAnsi" w:hAnsiTheme="majorHAnsi"/>
          <w:sz w:val="24"/>
        </w:rPr>
        <w:t xml:space="preserve">data </w:t>
      </w:r>
      <w:r w:rsidRPr="00D01149" w:rsidR="0044561D">
        <w:rPr>
          <w:rFonts w:asciiTheme="majorHAnsi" w:hAnsiTheme="majorHAnsi"/>
          <w:sz w:val="24"/>
        </w:rPr>
        <w:t>repository</w:t>
      </w:r>
      <w:r w:rsidRPr="00D01149">
        <w:rPr>
          <w:rFonts w:asciiTheme="majorHAnsi" w:hAnsiTheme="majorHAnsi"/>
          <w:sz w:val="24"/>
        </w:rPr>
        <w:t xml:space="preserve"> that uses software applications to: process, match, and store biometrics modalities (i.e., fingerprints, palm prints, iris scans, </w:t>
      </w:r>
      <w:r w:rsidRPr="00D01149">
        <w:rPr>
          <w:rFonts w:asciiTheme="majorHAnsi" w:hAnsiTheme="majorHAnsi"/>
          <w:sz w:val="24"/>
        </w:rPr>
        <w:t>and facial recognition data) from collection assets across the globe; update the biometric database repository with new biometrics data; produce biometrics match results (against stored data); share responses among approved DOD, interagency, and multi-national partners, in accordance with applicable law and policy; and provide tools to monitor the health and status of the system.</w:t>
      </w:r>
    </w:p>
    <w:p w:rsidR="00563F7A" w:rsidRPr="00D01149" w:rsidP="008B0D4B" w14:paraId="52CCD74C" w14:textId="77777777">
      <w:pPr>
        <w:pStyle w:val="NoSpacing"/>
        <w:rPr>
          <w:rFonts w:asciiTheme="majorHAnsi" w:hAnsiTheme="majorHAnsi"/>
          <w:sz w:val="24"/>
        </w:rPr>
      </w:pPr>
    </w:p>
    <w:p w:rsidR="00713C43" w:rsidRPr="00D01149" w:rsidP="008B0D4B" w14:paraId="18CA9854" w14:textId="7F7F8F82">
      <w:pPr>
        <w:pStyle w:val="NoSpacing"/>
        <w:rPr>
          <w:rFonts w:asciiTheme="majorHAnsi" w:hAnsiTheme="majorHAnsi"/>
          <w:sz w:val="24"/>
        </w:rPr>
      </w:pPr>
      <w:r w:rsidRPr="00D01149">
        <w:rPr>
          <w:rFonts w:asciiTheme="majorHAnsi" w:hAnsiTheme="majorHAnsi"/>
          <w:sz w:val="24"/>
        </w:rPr>
        <w:t xml:space="preserve">DoD ABIS </w:t>
      </w:r>
      <w:r w:rsidRPr="00D01149" w:rsidR="00B35E10">
        <w:rPr>
          <w:rFonts w:asciiTheme="majorHAnsi" w:hAnsiTheme="majorHAnsi"/>
          <w:sz w:val="24"/>
        </w:rPr>
        <w:t xml:space="preserve">biometric data </w:t>
      </w:r>
      <w:r w:rsidRPr="00D01149">
        <w:rPr>
          <w:rFonts w:asciiTheme="majorHAnsi" w:hAnsiTheme="majorHAnsi"/>
          <w:sz w:val="24"/>
        </w:rPr>
        <w:t xml:space="preserve">submissions and responses are nearly 100% (&gt;99%) electronic and automated. </w:t>
      </w:r>
      <w:r w:rsidRPr="00D01149" w:rsidR="00A21F9D">
        <w:rPr>
          <w:rFonts w:asciiTheme="majorHAnsi" w:hAnsiTheme="majorHAnsi"/>
          <w:sz w:val="24"/>
        </w:rPr>
        <w:t xml:space="preserve"> </w:t>
      </w:r>
      <w:r w:rsidRPr="00D01149" w:rsidR="00CA4A9A">
        <w:rPr>
          <w:rFonts w:asciiTheme="majorHAnsi" w:hAnsiTheme="majorHAnsi"/>
          <w:sz w:val="24"/>
        </w:rPr>
        <w:t xml:space="preserve">There are </w:t>
      </w:r>
      <w:r w:rsidRPr="00D01149">
        <w:rPr>
          <w:rFonts w:asciiTheme="majorHAnsi" w:hAnsiTheme="majorHAnsi"/>
          <w:sz w:val="24"/>
        </w:rPr>
        <w:t xml:space="preserve">a small number of exceptions for </w:t>
      </w:r>
      <w:r w:rsidRPr="00D01149" w:rsidR="00B35E10">
        <w:rPr>
          <w:rFonts w:asciiTheme="majorHAnsi" w:hAnsiTheme="majorHAnsi"/>
          <w:sz w:val="24"/>
        </w:rPr>
        <w:t xml:space="preserve">respondents </w:t>
      </w:r>
      <w:r w:rsidRPr="00D01149">
        <w:rPr>
          <w:rFonts w:asciiTheme="majorHAnsi" w:hAnsiTheme="majorHAnsi"/>
          <w:sz w:val="24"/>
        </w:rPr>
        <w:t>who cannot provide electronic records or records that require manual</w:t>
      </w:r>
      <w:r w:rsidRPr="00D01149" w:rsidR="00CA4A9A">
        <w:rPr>
          <w:rFonts w:asciiTheme="majorHAnsi" w:hAnsiTheme="majorHAnsi"/>
          <w:sz w:val="24"/>
        </w:rPr>
        <w:t xml:space="preserve"> input</w:t>
      </w:r>
      <w:r w:rsidRPr="00D01149">
        <w:rPr>
          <w:rFonts w:asciiTheme="majorHAnsi" w:hAnsiTheme="majorHAnsi"/>
          <w:sz w:val="24"/>
        </w:rPr>
        <w:t xml:space="preserve">. </w:t>
      </w:r>
      <w:r w:rsidRPr="00D01149" w:rsidR="00A21F9D">
        <w:rPr>
          <w:rFonts w:asciiTheme="majorHAnsi" w:hAnsiTheme="majorHAnsi"/>
          <w:sz w:val="24"/>
        </w:rPr>
        <w:t xml:space="preserve"> </w:t>
      </w:r>
      <w:r w:rsidRPr="00D01149" w:rsidR="00640CC7">
        <w:rPr>
          <w:rFonts w:asciiTheme="majorHAnsi" w:hAnsiTheme="majorHAnsi"/>
          <w:sz w:val="24"/>
        </w:rPr>
        <w:t>M</w:t>
      </w:r>
      <w:r w:rsidRPr="00D01149">
        <w:rPr>
          <w:rFonts w:asciiTheme="majorHAnsi" w:hAnsiTheme="majorHAnsi"/>
          <w:sz w:val="24"/>
        </w:rPr>
        <w:t xml:space="preserve">anual processes </w:t>
      </w:r>
      <w:r w:rsidRPr="00D01149" w:rsidR="00640CC7">
        <w:rPr>
          <w:rFonts w:asciiTheme="majorHAnsi" w:hAnsiTheme="majorHAnsi"/>
          <w:sz w:val="24"/>
        </w:rPr>
        <w:t xml:space="preserve">are constantly reviewed </w:t>
      </w:r>
      <w:r w:rsidRPr="00D01149">
        <w:rPr>
          <w:rFonts w:asciiTheme="majorHAnsi" w:hAnsiTheme="majorHAnsi"/>
          <w:sz w:val="24"/>
        </w:rPr>
        <w:t>to determine if they can be automated.</w:t>
      </w:r>
      <w:r w:rsidRPr="00D01149" w:rsidR="00B554D1">
        <w:rPr>
          <w:rFonts w:asciiTheme="majorHAnsi" w:hAnsiTheme="majorHAnsi"/>
          <w:sz w:val="24"/>
        </w:rPr>
        <w:t xml:space="preserve">  For biometric data submissions that are unable to produce a match using automated processes, biometric examiners (</w:t>
      </w:r>
      <w:r w:rsidRPr="00D01149" w:rsidR="00A21F9D">
        <w:rPr>
          <w:rFonts w:asciiTheme="majorHAnsi" w:hAnsiTheme="majorHAnsi"/>
          <w:sz w:val="24"/>
        </w:rPr>
        <w:t xml:space="preserve">i.e., </w:t>
      </w:r>
      <w:r w:rsidRPr="00D01149" w:rsidR="00B554D1">
        <w:rPr>
          <w:rFonts w:asciiTheme="majorHAnsi" w:hAnsiTheme="majorHAnsi"/>
          <w:sz w:val="24"/>
        </w:rPr>
        <w:t xml:space="preserve">subject matter experts) use DoD ABIS workstations with specialized software to attempt to manually match </w:t>
      </w:r>
      <w:r w:rsidRPr="00D01149" w:rsidR="00A21F9D">
        <w:rPr>
          <w:rFonts w:asciiTheme="majorHAnsi" w:hAnsiTheme="majorHAnsi"/>
          <w:sz w:val="24"/>
        </w:rPr>
        <w:t xml:space="preserve">the respective </w:t>
      </w:r>
      <w:r w:rsidRPr="00D01149" w:rsidR="00B554D1">
        <w:rPr>
          <w:rFonts w:asciiTheme="majorHAnsi" w:hAnsiTheme="majorHAnsi"/>
          <w:sz w:val="24"/>
        </w:rPr>
        <w:t>submissions</w:t>
      </w:r>
      <w:r w:rsidRPr="00D01149" w:rsidR="00F0361D">
        <w:rPr>
          <w:rFonts w:asciiTheme="majorHAnsi" w:hAnsiTheme="majorHAnsi"/>
          <w:sz w:val="24"/>
        </w:rPr>
        <w:t>.</w:t>
      </w:r>
    </w:p>
    <w:p w:rsidR="001562A3" w:rsidRPr="00D01149" w:rsidP="00D01149" w14:paraId="6467209C" w14:textId="77777777">
      <w:pPr>
        <w:pStyle w:val="PlainText"/>
        <w:rPr>
          <w:rFonts w:asciiTheme="majorHAnsi" w:hAnsiTheme="majorHAnsi"/>
          <w:sz w:val="24"/>
        </w:rPr>
      </w:pPr>
    </w:p>
    <w:p w:rsidR="00E643E5" w:rsidRPr="00D01149" w:rsidP="00563F7A" w14:paraId="4869C006" w14:textId="26F0A705">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Non-Duplication</w:t>
      </w:r>
    </w:p>
    <w:p w:rsidR="0047435D" w:rsidRPr="00D01149" w:rsidP="008B0D4B" w14:paraId="1BF87B60" w14:textId="77777777">
      <w:pPr>
        <w:pStyle w:val="NoSpacing"/>
        <w:ind w:firstLine="720"/>
        <w:rPr>
          <w:rFonts w:asciiTheme="majorHAnsi" w:hAnsiTheme="majorHAnsi"/>
          <w:sz w:val="24"/>
        </w:rPr>
      </w:pPr>
    </w:p>
    <w:p w:rsidR="0002457C" w:rsidRPr="00D01149" w:rsidP="008B0D4B" w14:paraId="2A221C95" w14:textId="01F40E02">
      <w:pPr>
        <w:pStyle w:val="NoSpacing"/>
        <w:rPr>
          <w:rFonts w:asciiTheme="majorHAnsi" w:hAnsiTheme="majorHAnsi"/>
          <w:sz w:val="24"/>
        </w:rPr>
      </w:pPr>
      <w:r w:rsidRPr="00D01149">
        <w:rPr>
          <w:rFonts w:asciiTheme="majorHAnsi" w:hAnsiTheme="majorHAnsi"/>
          <w:sz w:val="24"/>
        </w:rPr>
        <w:t>The information obtained through this collection is unique and is not already available for use or adaptation from another cleared source.</w:t>
      </w:r>
      <w:r w:rsidRPr="00D01149" w:rsidR="008B230D">
        <w:rPr>
          <w:rFonts w:asciiTheme="majorHAnsi" w:hAnsiTheme="majorHAnsi"/>
          <w:sz w:val="24"/>
        </w:rPr>
        <w:t xml:space="preserve"> </w:t>
      </w:r>
      <w:r w:rsidRPr="00D01149" w:rsidR="00882BB1">
        <w:rPr>
          <w:rFonts w:asciiTheme="majorHAnsi" w:hAnsiTheme="majorHAnsi"/>
          <w:sz w:val="24"/>
        </w:rPr>
        <w:t xml:space="preserve"> </w:t>
      </w:r>
      <w:r w:rsidRPr="00D01149" w:rsidR="008B230D">
        <w:rPr>
          <w:rFonts w:asciiTheme="majorHAnsi" w:hAnsiTheme="majorHAnsi"/>
          <w:sz w:val="24"/>
        </w:rPr>
        <w:t xml:space="preserve">As a biometric search system, one of the primary functions </w:t>
      </w:r>
      <w:r w:rsidRPr="00D01149" w:rsidR="00882BB1">
        <w:rPr>
          <w:rFonts w:asciiTheme="majorHAnsi" w:hAnsiTheme="majorHAnsi"/>
          <w:sz w:val="24"/>
        </w:rPr>
        <w:t xml:space="preserve">of </w:t>
      </w:r>
      <w:r w:rsidRPr="00D01149" w:rsidR="008B230D">
        <w:rPr>
          <w:rFonts w:asciiTheme="majorHAnsi" w:hAnsiTheme="majorHAnsi"/>
          <w:sz w:val="24"/>
        </w:rPr>
        <w:t>DoD ABIS is to de-duplicate records.</w:t>
      </w:r>
      <w:r w:rsidRPr="00D01149" w:rsidR="00882BB1">
        <w:rPr>
          <w:rFonts w:asciiTheme="majorHAnsi" w:hAnsiTheme="majorHAnsi"/>
          <w:sz w:val="24"/>
        </w:rPr>
        <w:t xml:space="preserve">  </w:t>
      </w:r>
      <w:r w:rsidRPr="00D01149" w:rsidR="008B230D">
        <w:rPr>
          <w:rFonts w:asciiTheme="majorHAnsi" w:hAnsiTheme="majorHAnsi"/>
          <w:sz w:val="24"/>
        </w:rPr>
        <w:t xml:space="preserve">All biometric submissions are searched </w:t>
      </w:r>
      <w:r w:rsidRPr="00D01149" w:rsidR="00882BB1">
        <w:rPr>
          <w:rFonts w:asciiTheme="majorHAnsi" w:hAnsiTheme="majorHAnsi"/>
          <w:sz w:val="24"/>
        </w:rPr>
        <w:t xml:space="preserve">and queried </w:t>
      </w:r>
      <w:r w:rsidRPr="00D01149" w:rsidR="008B230D">
        <w:rPr>
          <w:rFonts w:asciiTheme="majorHAnsi" w:hAnsiTheme="majorHAnsi"/>
          <w:sz w:val="24"/>
        </w:rPr>
        <w:t xml:space="preserve">against previous biometric submissions with any </w:t>
      </w:r>
      <w:r w:rsidRPr="00D01149" w:rsidR="00882BB1">
        <w:rPr>
          <w:rFonts w:asciiTheme="majorHAnsi" w:hAnsiTheme="majorHAnsi"/>
          <w:sz w:val="24"/>
        </w:rPr>
        <w:t xml:space="preserve">positive </w:t>
      </w:r>
      <w:r w:rsidRPr="00D01149" w:rsidR="008B230D">
        <w:rPr>
          <w:rFonts w:asciiTheme="majorHAnsi" w:hAnsiTheme="majorHAnsi"/>
          <w:sz w:val="24"/>
        </w:rPr>
        <w:t>matches</w:t>
      </w:r>
      <w:r w:rsidRPr="00D01149" w:rsidR="00882BB1">
        <w:rPr>
          <w:rFonts w:asciiTheme="majorHAnsi" w:hAnsiTheme="majorHAnsi"/>
          <w:sz w:val="24"/>
        </w:rPr>
        <w:t>,</w:t>
      </w:r>
      <w:r w:rsidRPr="00D01149" w:rsidR="008B230D">
        <w:rPr>
          <w:rFonts w:asciiTheme="majorHAnsi" w:hAnsiTheme="majorHAnsi"/>
          <w:sz w:val="24"/>
        </w:rPr>
        <w:t xml:space="preserve"> consolidated into one record</w:t>
      </w:r>
      <w:r w:rsidRPr="00D01149" w:rsidR="00882BB1">
        <w:rPr>
          <w:rFonts w:asciiTheme="majorHAnsi" w:hAnsiTheme="majorHAnsi"/>
          <w:sz w:val="24"/>
        </w:rPr>
        <w:t>,</w:t>
      </w:r>
      <w:r w:rsidRPr="00D01149" w:rsidR="008B230D">
        <w:rPr>
          <w:rFonts w:asciiTheme="majorHAnsi" w:hAnsiTheme="majorHAnsi"/>
          <w:sz w:val="24"/>
        </w:rPr>
        <w:t xml:space="preserve"> with appropriate markers denoting each record in the set.</w:t>
      </w:r>
    </w:p>
    <w:p w:rsidR="00900AC4" w:rsidRPr="00D01149" w:rsidP="008B0D4B" w14:paraId="09DAAAFF" w14:textId="77777777">
      <w:pPr>
        <w:pStyle w:val="NoSpacing"/>
        <w:rPr>
          <w:rFonts w:asciiTheme="majorHAnsi" w:hAnsiTheme="majorHAnsi"/>
          <w:sz w:val="24"/>
        </w:rPr>
      </w:pPr>
    </w:p>
    <w:p w:rsidR="00E643E5" w:rsidRPr="00D01149" w:rsidP="00563F7A" w14:paraId="79AF3720" w14:textId="6DFACA6F">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Burden on Small Business</w:t>
      </w:r>
    </w:p>
    <w:p w:rsidR="00620381" w:rsidRPr="00D01149" w:rsidP="008B0D4B" w14:paraId="000FF183" w14:textId="486FA5AF">
      <w:pPr>
        <w:autoSpaceDE w:val="0"/>
        <w:autoSpaceDN w:val="0"/>
        <w:adjustRightInd w:val="0"/>
        <w:rPr>
          <w:rFonts w:asciiTheme="majorHAnsi" w:hAnsiTheme="majorHAnsi"/>
        </w:rPr>
      </w:pPr>
    </w:p>
    <w:p w:rsidR="0002457C" w:rsidRPr="00D01149" w:rsidP="008B0D4B" w14:paraId="7EB0EF06" w14:textId="5741644D">
      <w:pPr>
        <w:pStyle w:val="NoSpacing"/>
        <w:rPr>
          <w:rFonts w:asciiTheme="majorHAnsi" w:hAnsiTheme="majorHAnsi"/>
          <w:sz w:val="24"/>
        </w:rPr>
      </w:pPr>
      <w:r w:rsidRPr="00D01149">
        <w:rPr>
          <w:rFonts w:asciiTheme="majorHAnsi" w:hAnsiTheme="majorHAnsi"/>
          <w:sz w:val="24"/>
        </w:rPr>
        <w:t>This information collection does not impose a significant economic impact on a substantial number of small businesses or entities.</w:t>
      </w:r>
    </w:p>
    <w:p w:rsidR="0002457C" w:rsidRPr="00D01149" w:rsidP="008B0D4B" w14:paraId="64CEC179" w14:textId="77777777">
      <w:pPr>
        <w:pStyle w:val="NoSpacing"/>
        <w:rPr>
          <w:rFonts w:asciiTheme="majorHAnsi" w:hAnsiTheme="majorHAnsi"/>
          <w:sz w:val="24"/>
        </w:rPr>
      </w:pPr>
    </w:p>
    <w:p w:rsidR="00E643E5" w:rsidRPr="00D01149" w:rsidP="00563F7A" w14:paraId="6AE13604" w14:textId="09006FF5">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Less Frequent Collection</w:t>
      </w:r>
    </w:p>
    <w:p w:rsidR="0047435D" w:rsidRPr="00D01149" w:rsidP="008B0D4B" w14:paraId="5CE22958" w14:textId="77777777">
      <w:pPr>
        <w:autoSpaceDE w:val="0"/>
        <w:autoSpaceDN w:val="0"/>
        <w:adjustRightInd w:val="0"/>
        <w:ind w:firstLine="720"/>
        <w:rPr>
          <w:rFonts w:asciiTheme="majorHAnsi" w:hAnsiTheme="majorHAnsi"/>
        </w:rPr>
      </w:pPr>
      <w:bookmarkStart w:id="3" w:name="OLE_LINK1"/>
    </w:p>
    <w:p w:rsidR="00F565A3" w:rsidRPr="00D01149" w:rsidP="008B0D4B" w14:paraId="650E546D" w14:textId="32084EAC">
      <w:pPr>
        <w:autoSpaceDE w:val="0"/>
        <w:autoSpaceDN w:val="0"/>
        <w:adjustRightInd w:val="0"/>
        <w:rPr>
          <w:rFonts w:asciiTheme="majorHAnsi" w:hAnsiTheme="majorHAnsi"/>
        </w:rPr>
      </w:pPr>
      <w:r w:rsidRPr="00D01149">
        <w:rPr>
          <w:rFonts w:asciiTheme="majorHAnsi" w:hAnsiTheme="majorHAnsi"/>
        </w:rPr>
        <w:t>Without this collection, matching, and sharing of biometric and associate</w:t>
      </w:r>
      <w:r w:rsidRPr="00D01149" w:rsidR="00CA4A9A">
        <w:rPr>
          <w:rFonts w:asciiTheme="majorHAnsi" w:hAnsiTheme="majorHAnsi"/>
        </w:rPr>
        <w:t>d</w:t>
      </w:r>
      <w:r w:rsidRPr="00D01149">
        <w:rPr>
          <w:rFonts w:asciiTheme="majorHAnsi" w:hAnsiTheme="majorHAnsi"/>
        </w:rPr>
        <w:t xml:space="preserve"> contextual </w:t>
      </w:r>
      <w:r w:rsidRPr="00D01149" w:rsidR="00CA4A9A">
        <w:rPr>
          <w:rFonts w:asciiTheme="majorHAnsi" w:hAnsiTheme="majorHAnsi"/>
        </w:rPr>
        <w:t>data</w:t>
      </w:r>
      <w:r w:rsidRPr="00D01149">
        <w:rPr>
          <w:rFonts w:asciiTheme="majorHAnsi" w:hAnsiTheme="majorHAnsi"/>
        </w:rPr>
        <w:t xml:space="preserve"> there would be </w:t>
      </w:r>
      <w:r w:rsidRPr="00D01149" w:rsidR="00CA4A9A">
        <w:rPr>
          <w:rFonts w:asciiTheme="majorHAnsi" w:hAnsiTheme="majorHAnsi"/>
        </w:rPr>
        <w:t>significant</w:t>
      </w:r>
      <w:r w:rsidRPr="00D01149">
        <w:rPr>
          <w:rFonts w:asciiTheme="majorHAnsi" w:hAnsiTheme="majorHAnsi"/>
        </w:rPr>
        <w:t xml:space="preserve"> implications to </w:t>
      </w:r>
      <w:r w:rsidRPr="00D01149" w:rsidR="000C3B29">
        <w:rPr>
          <w:rFonts w:asciiTheme="majorHAnsi" w:hAnsiTheme="majorHAnsi"/>
        </w:rPr>
        <w:t>n</w:t>
      </w:r>
      <w:r w:rsidRPr="00D01149">
        <w:rPr>
          <w:rFonts w:asciiTheme="majorHAnsi" w:hAnsiTheme="majorHAnsi"/>
        </w:rPr>
        <w:t xml:space="preserve">ational </w:t>
      </w:r>
      <w:r w:rsidRPr="00D01149" w:rsidR="000C3B29">
        <w:rPr>
          <w:rFonts w:asciiTheme="majorHAnsi" w:hAnsiTheme="majorHAnsi"/>
        </w:rPr>
        <w:t>s</w:t>
      </w:r>
      <w:r w:rsidRPr="00D01149">
        <w:rPr>
          <w:rFonts w:asciiTheme="majorHAnsi" w:hAnsiTheme="majorHAnsi"/>
        </w:rPr>
        <w:t xml:space="preserve">ecurity and </w:t>
      </w:r>
      <w:r w:rsidRPr="00D01149" w:rsidR="000C3B29">
        <w:rPr>
          <w:rFonts w:asciiTheme="majorHAnsi" w:hAnsiTheme="majorHAnsi"/>
        </w:rPr>
        <w:t xml:space="preserve">the force protection </w:t>
      </w:r>
      <w:r w:rsidRPr="00D01149">
        <w:rPr>
          <w:rFonts w:asciiTheme="majorHAnsi" w:hAnsiTheme="majorHAnsi"/>
        </w:rPr>
        <w:t xml:space="preserve">of our </w:t>
      </w:r>
      <w:r w:rsidRPr="00D01149" w:rsidR="000C3B29">
        <w:rPr>
          <w:rFonts w:asciiTheme="majorHAnsi" w:hAnsiTheme="majorHAnsi"/>
        </w:rPr>
        <w:t xml:space="preserve">military </w:t>
      </w:r>
      <w:r w:rsidRPr="00D01149">
        <w:rPr>
          <w:rFonts w:asciiTheme="majorHAnsi" w:hAnsiTheme="majorHAnsi"/>
        </w:rPr>
        <w:t xml:space="preserve">forces deployed abroad.  </w:t>
      </w:r>
    </w:p>
    <w:bookmarkEnd w:id="3"/>
    <w:p w:rsidR="00620381" w:rsidRPr="00D01149" w:rsidP="008B0D4B" w14:paraId="4E5846AA" w14:textId="77777777">
      <w:pPr>
        <w:rPr>
          <w:rFonts w:asciiTheme="majorHAnsi" w:hAnsiTheme="majorHAnsi"/>
        </w:rPr>
      </w:pPr>
    </w:p>
    <w:p w:rsidR="00E643E5" w:rsidRPr="00D01149" w:rsidP="00563F7A" w14:paraId="2B9BBB4E" w14:textId="61B7798C">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Paperwork Reduction Act</w:t>
      </w:r>
      <w:r w:rsidR="00A82F4A">
        <w:rPr>
          <w:rFonts w:asciiTheme="majorHAnsi" w:hAnsiTheme="majorHAnsi"/>
          <w:b/>
          <w:sz w:val="24"/>
          <w:u w:val="single"/>
        </w:rPr>
        <w:t xml:space="preserve"> and Other</w:t>
      </w:r>
      <w:r w:rsidRPr="00D01149">
        <w:rPr>
          <w:rFonts w:asciiTheme="majorHAnsi" w:hAnsiTheme="majorHAnsi"/>
          <w:b/>
          <w:sz w:val="24"/>
          <w:u w:val="single"/>
        </w:rPr>
        <w:t xml:space="preserve"> Guidelines</w:t>
      </w:r>
    </w:p>
    <w:p w:rsidR="0047435D" w:rsidRPr="00D01149" w:rsidP="008B0D4B" w14:paraId="106D671F" w14:textId="77777777">
      <w:pPr>
        <w:pStyle w:val="NoSpacing"/>
        <w:rPr>
          <w:rFonts w:asciiTheme="majorHAnsi" w:hAnsiTheme="majorHAnsi"/>
          <w:sz w:val="24"/>
        </w:rPr>
      </w:pPr>
    </w:p>
    <w:p w:rsidR="0002457C" w:rsidRPr="00D01149" w:rsidP="008B0D4B" w14:paraId="5019C430" w14:textId="56E1827F">
      <w:pPr>
        <w:pStyle w:val="NoSpacing"/>
        <w:rPr>
          <w:rFonts w:asciiTheme="majorHAnsi" w:hAnsiTheme="majorHAnsi"/>
          <w:sz w:val="24"/>
        </w:rPr>
      </w:pPr>
      <w:r w:rsidRPr="00D01149">
        <w:rPr>
          <w:rFonts w:asciiTheme="majorHAnsi" w:hAnsiTheme="majorHAnsi"/>
          <w:sz w:val="24"/>
        </w:rPr>
        <w:t>This collection of information does not require collection to be conducted in a manner inconsistent with the guidelines delineated in 5 CFR 1320.5(d)(2).</w:t>
      </w:r>
    </w:p>
    <w:p w:rsidR="00A82F4A" w:rsidP="00A82F4A" w14:paraId="291C839D" w14:textId="77777777">
      <w:pPr>
        <w:pStyle w:val="NoSpacing"/>
        <w:rPr>
          <w:rFonts w:asciiTheme="majorHAnsi" w:hAnsiTheme="majorHAnsi"/>
          <w:sz w:val="24"/>
        </w:rPr>
      </w:pPr>
    </w:p>
    <w:p w:rsidR="00A82F4A" w:rsidP="00A82F4A" w14:paraId="07133DEC" w14:textId="59A1A3FA">
      <w:pPr>
        <w:pStyle w:val="NoSpacing"/>
        <w:rPr>
          <w:rFonts w:asciiTheme="majorHAnsi" w:hAnsiTheme="majorHAnsi"/>
          <w:sz w:val="24"/>
        </w:rPr>
      </w:pPr>
      <w:r w:rsidRPr="00857814">
        <w:rPr>
          <w:rFonts w:asciiTheme="majorHAnsi" w:hAnsiTheme="majorHAnsi"/>
          <w:sz w:val="24"/>
        </w:rPr>
        <w:t>Race and ethnicity data exists in over 13 million files within DoD ABIS and is still collected as part of non-sensitive personally identifiable information to align with federal standards.</w:t>
      </w:r>
      <w:r w:rsidRPr="00960597">
        <w:t xml:space="preserve"> </w:t>
      </w:r>
      <w:r w:rsidRPr="00960597">
        <w:rPr>
          <w:rFonts w:asciiTheme="majorHAnsi" w:hAnsiTheme="majorHAnsi"/>
          <w:sz w:val="24"/>
        </w:rPr>
        <w:t>Race</w:t>
      </w:r>
      <w:r>
        <w:rPr>
          <w:rFonts w:asciiTheme="majorHAnsi" w:hAnsiTheme="majorHAnsi"/>
          <w:sz w:val="24"/>
        </w:rPr>
        <w:t>/</w:t>
      </w:r>
      <w:r w:rsidRPr="00960597">
        <w:rPr>
          <w:rFonts w:asciiTheme="majorHAnsi" w:hAnsiTheme="majorHAnsi"/>
          <w:sz w:val="24"/>
        </w:rPr>
        <w:t xml:space="preserve">Ethnicity </w:t>
      </w:r>
      <w:r>
        <w:rPr>
          <w:rFonts w:asciiTheme="majorHAnsi" w:hAnsiTheme="majorHAnsi"/>
          <w:sz w:val="24"/>
        </w:rPr>
        <w:t>is</w:t>
      </w:r>
      <w:r w:rsidRPr="00960597">
        <w:rPr>
          <w:rFonts w:asciiTheme="majorHAnsi" w:hAnsiTheme="majorHAnsi"/>
          <w:sz w:val="24"/>
        </w:rPr>
        <w:t xml:space="preserve"> potential field that </w:t>
      </w:r>
      <w:r>
        <w:rPr>
          <w:rFonts w:asciiTheme="majorHAnsi" w:hAnsiTheme="majorHAnsi"/>
          <w:sz w:val="24"/>
        </w:rPr>
        <w:t>may be</w:t>
      </w:r>
      <w:r w:rsidRPr="00960597">
        <w:rPr>
          <w:rFonts w:asciiTheme="majorHAnsi" w:hAnsiTheme="majorHAnsi"/>
          <w:sz w:val="24"/>
        </w:rPr>
        <w:t xml:space="preserve"> collected at the point of an encounter with an individual (for example: an encounter on the battlefield or an individual requesting access at a US base point of entry). These fields can either be answered directly from the individual or</w:t>
      </w:r>
      <w:r>
        <w:rPr>
          <w:rFonts w:asciiTheme="majorHAnsi" w:hAnsiTheme="majorHAnsi"/>
          <w:sz w:val="24"/>
        </w:rPr>
        <w:t>,</w:t>
      </w:r>
      <w:r w:rsidRPr="00960597">
        <w:rPr>
          <w:rFonts w:asciiTheme="majorHAnsi" w:hAnsiTheme="majorHAnsi"/>
          <w:sz w:val="24"/>
        </w:rPr>
        <w:t xml:space="preserve"> if no answer is given, </w:t>
      </w:r>
      <w:r>
        <w:rPr>
          <w:rFonts w:asciiTheme="majorHAnsi" w:hAnsiTheme="majorHAnsi"/>
          <w:sz w:val="24"/>
        </w:rPr>
        <w:t>may</w:t>
      </w:r>
      <w:r w:rsidRPr="00960597">
        <w:rPr>
          <w:rFonts w:asciiTheme="majorHAnsi" w:hAnsiTheme="majorHAnsi"/>
          <w:sz w:val="24"/>
        </w:rPr>
        <w:t xml:space="preserve"> be determined by the US military member</w:t>
      </w:r>
      <w:r>
        <w:rPr>
          <w:rFonts w:asciiTheme="majorHAnsi" w:hAnsiTheme="majorHAnsi"/>
          <w:sz w:val="24"/>
        </w:rPr>
        <w:t xml:space="preserve"> by observation</w:t>
      </w:r>
      <w:r w:rsidRPr="00960597">
        <w:rPr>
          <w:rFonts w:asciiTheme="majorHAnsi" w:hAnsiTheme="majorHAnsi"/>
          <w:sz w:val="24"/>
        </w:rPr>
        <w:t xml:space="preserve">. </w:t>
      </w:r>
      <w:r>
        <w:rPr>
          <w:rFonts w:asciiTheme="majorHAnsi" w:hAnsiTheme="majorHAnsi"/>
          <w:sz w:val="24"/>
        </w:rPr>
        <w:t>Frequently,</w:t>
      </w:r>
      <w:r w:rsidRPr="00960597">
        <w:rPr>
          <w:rFonts w:asciiTheme="majorHAnsi" w:hAnsiTheme="majorHAnsi"/>
          <w:sz w:val="24"/>
        </w:rPr>
        <w:t xml:space="preserve"> this field is answered as “U” (un</w:t>
      </w:r>
      <w:r>
        <w:rPr>
          <w:rFonts w:asciiTheme="majorHAnsi" w:hAnsiTheme="majorHAnsi"/>
          <w:sz w:val="24"/>
        </w:rPr>
        <w:t>known</w:t>
      </w:r>
      <w:r w:rsidRPr="00960597">
        <w:rPr>
          <w:rFonts w:asciiTheme="majorHAnsi" w:hAnsiTheme="majorHAnsi"/>
          <w:sz w:val="24"/>
        </w:rPr>
        <w:t xml:space="preserve"> race). </w:t>
      </w:r>
      <w:r w:rsidRPr="00857814">
        <w:rPr>
          <w:rFonts w:asciiTheme="majorHAnsi" w:hAnsiTheme="majorHAnsi"/>
          <w:sz w:val="24"/>
        </w:rPr>
        <w:t xml:space="preserve">Race and ethnicity information in DoD ABIS has </w:t>
      </w:r>
      <w:r>
        <w:rPr>
          <w:rFonts w:asciiTheme="majorHAnsi" w:hAnsiTheme="majorHAnsi"/>
          <w:sz w:val="24"/>
        </w:rPr>
        <w:t>historic</w:t>
      </w:r>
      <w:r w:rsidRPr="00857814">
        <w:rPr>
          <w:rFonts w:asciiTheme="majorHAnsi" w:hAnsiTheme="majorHAnsi"/>
          <w:sz w:val="24"/>
        </w:rPr>
        <w:t xml:space="preserve">ally been a single character field under the EBTS 2.025 </w:t>
      </w:r>
      <w:r w:rsidRPr="00857814">
        <w:rPr>
          <w:rFonts w:asciiTheme="majorHAnsi" w:hAnsiTheme="majorHAnsi"/>
          <w:sz w:val="24"/>
        </w:rPr>
        <w:t>standards</w:t>
      </w:r>
      <w:r>
        <w:rPr>
          <w:rFonts w:asciiTheme="majorHAnsi" w:hAnsiTheme="majorHAnsi"/>
          <w:sz w:val="24"/>
        </w:rPr>
        <w:t xml:space="preserve">. </w:t>
      </w:r>
      <w:r w:rsidRPr="00857814">
        <w:rPr>
          <w:rFonts w:asciiTheme="majorHAnsi" w:hAnsiTheme="majorHAnsi"/>
          <w:sz w:val="24"/>
        </w:rPr>
        <w:t>With the update to EBTS 4.1</w:t>
      </w:r>
      <w:r>
        <w:rPr>
          <w:rFonts w:asciiTheme="majorHAnsi" w:hAnsiTheme="majorHAnsi"/>
          <w:sz w:val="24"/>
        </w:rPr>
        <w:t xml:space="preserve"> in 2019</w:t>
      </w:r>
      <w:r w:rsidRPr="00857814">
        <w:rPr>
          <w:rFonts w:asciiTheme="majorHAnsi" w:hAnsiTheme="majorHAnsi"/>
          <w:sz w:val="24"/>
        </w:rPr>
        <w:t xml:space="preserve">, </w:t>
      </w:r>
      <w:r>
        <w:rPr>
          <w:rFonts w:asciiTheme="majorHAnsi" w:hAnsiTheme="majorHAnsi"/>
          <w:sz w:val="24"/>
        </w:rPr>
        <w:t>the 2.025 standard was</w:t>
      </w:r>
      <w:r w:rsidRPr="00857814">
        <w:rPr>
          <w:rFonts w:asciiTheme="majorHAnsi" w:hAnsiTheme="majorHAnsi"/>
          <w:sz w:val="24"/>
        </w:rPr>
        <w:t xml:space="preserve"> reclassified as a legacy data field</w:t>
      </w:r>
      <w:r>
        <w:rPr>
          <w:rFonts w:asciiTheme="majorHAnsi" w:hAnsiTheme="majorHAnsi"/>
          <w:sz w:val="24"/>
        </w:rPr>
        <w:t>, and a new data field with new options was created (see below)</w:t>
      </w:r>
      <w:r w:rsidRPr="00857814">
        <w:rPr>
          <w:rFonts w:asciiTheme="majorHAnsi" w:hAnsiTheme="majorHAnsi"/>
          <w:sz w:val="24"/>
        </w:rPr>
        <w:t xml:space="preserve">. </w:t>
      </w:r>
      <w:r w:rsidRPr="00960597">
        <w:rPr>
          <w:rFonts w:asciiTheme="majorHAnsi" w:hAnsiTheme="majorHAnsi"/>
          <w:sz w:val="24"/>
        </w:rPr>
        <w:t>DoD EBTS modified the existing ethnic</w:t>
      </w:r>
      <w:r>
        <w:rPr>
          <w:rFonts w:asciiTheme="majorHAnsi" w:hAnsiTheme="majorHAnsi"/>
          <w:sz w:val="24"/>
        </w:rPr>
        <w:t>/</w:t>
      </w:r>
      <w:r w:rsidRPr="00960597">
        <w:rPr>
          <w:rFonts w:asciiTheme="majorHAnsi" w:hAnsiTheme="majorHAnsi"/>
          <w:sz w:val="24"/>
        </w:rPr>
        <w:t>racial data enumerations to</w:t>
      </w:r>
      <w:r>
        <w:rPr>
          <w:rFonts w:asciiTheme="majorHAnsi" w:hAnsiTheme="majorHAnsi"/>
          <w:sz w:val="24"/>
        </w:rPr>
        <w:t xml:space="preserve"> </w:t>
      </w:r>
      <w:r w:rsidRPr="00960597">
        <w:rPr>
          <w:rFonts w:asciiTheme="majorHAnsi" w:hAnsiTheme="majorHAnsi"/>
          <w:sz w:val="24"/>
        </w:rPr>
        <w:t>better recognize and differentiate the different ethnic</w:t>
      </w:r>
      <w:r>
        <w:rPr>
          <w:rFonts w:asciiTheme="majorHAnsi" w:hAnsiTheme="majorHAnsi"/>
          <w:sz w:val="24"/>
        </w:rPr>
        <w:t>/</w:t>
      </w:r>
      <w:r w:rsidRPr="00960597">
        <w:rPr>
          <w:rFonts w:asciiTheme="majorHAnsi" w:hAnsiTheme="majorHAnsi"/>
          <w:sz w:val="24"/>
        </w:rPr>
        <w:t>racial groups. This arose from the</w:t>
      </w:r>
      <w:r>
        <w:rPr>
          <w:rFonts w:asciiTheme="majorHAnsi" w:hAnsiTheme="majorHAnsi"/>
          <w:sz w:val="24"/>
        </w:rPr>
        <w:t xml:space="preserve"> </w:t>
      </w:r>
      <w:r w:rsidRPr="00960597">
        <w:rPr>
          <w:rFonts w:asciiTheme="majorHAnsi" w:hAnsiTheme="majorHAnsi"/>
          <w:sz w:val="24"/>
        </w:rPr>
        <w:t>community determining that the current ethnic racial classifications as flawed. Ethnic</w:t>
      </w:r>
      <w:r>
        <w:rPr>
          <w:rFonts w:asciiTheme="majorHAnsi" w:hAnsiTheme="majorHAnsi"/>
          <w:sz w:val="24"/>
        </w:rPr>
        <w:t>/r</w:t>
      </w:r>
      <w:r w:rsidRPr="00960597">
        <w:rPr>
          <w:rFonts w:asciiTheme="majorHAnsi" w:hAnsiTheme="majorHAnsi"/>
          <w:sz w:val="24"/>
        </w:rPr>
        <w:t>acial data</w:t>
      </w:r>
      <w:r>
        <w:rPr>
          <w:rFonts w:asciiTheme="majorHAnsi" w:hAnsiTheme="majorHAnsi"/>
          <w:sz w:val="24"/>
        </w:rPr>
        <w:t xml:space="preserve"> </w:t>
      </w:r>
      <w:r w:rsidRPr="00960597">
        <w:rPr>
          <w:rFonts w:asciiTheme="majorHAnsi" w:hAnsiTheme="majorHAnsi"/>
          <w:sz w:val="24"/>
        </w:rPr>
        <w:t>will continue to be scrutinized for improvements and will be the subject of future DoD EBTS</w:t>
      </w:r>
      <w:r>
        <w:rPr>
          <w:rFonts w:asciiTheme="majorHAnsi" w:hAnsiTheme="majorHAnsi"/>
          <w:sz w:val="24"/>
        </w:rPr>
        <w:t xml:space="preserve"> </w:t>
      </w:r>
      <w:r w:rsidRPr="00960597">
        <w:rPr>
          <w:rFonts w:asciiTheme="majorHAnsi" w:hAnsiTheme="majorHAnsi"/>
          <w:sz w:val="24"/>
        </w:rPr>
        <w:t>update</w:t>
      </w:r>
      <w:r>
        <w:rPr>
          <w:rFonts w:asciiTheme="majorHAnsi" w:hAnsiTheme="majorHAnsi"/>
          <w:sz w:val="24"/>
        </w:rPr>
        <w:t xml:space="preserve">s, particularly </w:t>
      </w:r>
      <w:r>
        <w:rPr>
          <w:rFonts w:asciiTheme="majorHAnsi" w:hAnsiTheme="majorHAnsi"/>
          <w:sz w:val="24"/>
        </w:rPr>
        <w:t>in light of</w:t>
      </w:r>
      <w:r>
        <w:rPr>
          <w:rFonts w:asciiTheme="majorHAnsi" w:hAnsiTheme="majorHAnsi"/>
          <w:sz w:val="24"/>
        </w:rPr>
        <w:t xml:space="preserve"> the new guidelines in</w:t>
      </w:r>
      <w:r w:rsidRPr="00A82F4A">
        <w:rPr>
          <w:rFonts w:asciiTheme="majorHAnsi" w:hAnsiTheme="majorHAnsi"/>
          <w:sz w:val="24"/>
        </w:rPr>
        <w:t xml:space="preserve"> OMB's </w:t>
      </w:r>
      <w:r>
        <w:rPr>
          <w:rFonts w:asciiTheme="majorHAnsi" w:hAnsiTheme="majorHAnsi"/>
          <w:sz w:val="24"/>
        </w:rPr>
        <w:t xml:space="preserve">revised </w:t>
      </w:r>
      <w:r w:rsidRPr="00A82F4A">
        <w:rPr>
          <w:rFonts w:asciiTheme="majorHAnsi" w:hAnsiTheme="majorHAnsi"/>
          <w:sz w:val="24"/>
        </w:rPr>
        <w:t>Statistical Policy Directive No. 15</w:t>
      </w:r>
      <w:r>
        <w:rPr>
          <w:rFonts w:asciiTheme="majorHAnsi" w:hAnsiTheme="majorHAnsi"/>
          <w:sz w:val="24"/>
        </w:rPr>
        <w:t>.</w:t>
      </w:r>
    </w:p>
    <w:p w:rsidR="00A82F4A" w:rsidP="00A82F4A" w14:paraId="083B2D2D" w14:textId="77777777">
      <w:pPr>
        <w:pStyle w:val="NoSpacing"/>
        <w:rPr>
          <w:rFonts w:asciiTheme="majorHAnsi" w:hAnsiTheme="majorHAnsi"/>
          <w:sz w:val="24"/>
        </w:rPr>
      </w:pPr>
    </w:p>
    <w:p w:rsidR="00A82F4A" w:rsidRPr="00D01149" w:rsidP="00A82F4A" w14:paraId="6140D1CA" w14:textId="77777777">
      <w:pPr>
        <w:pStyle w:val="NoSpacing"/>
        <w:rPr>
          <w:rFonts w:asciiTheme="majorHAnsi" w:hAnsiTheme="majorHAnsi"/>
          <w:sz w:val="24"/>
        </w:rPr>
      </w:pPr>
      <w:r w:rsidRPr="00960597">
        <w:rPr>
          <w:rFonts w:asciiTheme="majorHAnsi" w:hAnsiTheme="majorHAnsi"/>
          <w:noProof/>
          <w:sz w:val="24"/>
        </w:rPr>
        <w:drawing>
          <wp:inline distT="0" distB="0" distL="0" distR="0">
            <wp:extent cx="5943600" cy="4256405"/>
            <wp:effectExtent l="0" t="0" r="0" b="0"/>
            <wp:docPr id="1998714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14832" name=""/>
                    <pic:cNvPicPr/>
                  </pic:nvPicPr>
                  <pic:blipFill>
                    <a:blip xmlns:r="http://schemas.openxmlformats.org/officeDocument/2006/relationships" r:embed="rId6"/>
                    <a:stretch>
                      <a:fillRect/>
                    </a:stretch>
                  </pic:blipFill>
                  <pic:spPr>
                    <a:xfrm>
                      <a:off x="0" y="0"/>
                      <a:ext cx="5943600" cy="4256405"/>
                    </a:xfrm>
                    <a:prstGeom prst="rect">
                      <a:avLst/>
                    </a:prstGeom>
                  </pic:spPr>
                </pic:pic>
              </a:graphicData>
            </a:graphic>
          </wp:inline>
        </w:drawing>
      </w:r>
    </w:p>
    <w:p w:rsidR="00563F7A" w:rsidRPr="00D01149" w:rsidP="008B0D4B" w14:paraId="4C559342" w14:textId="77777777">
      <w:pPr>
        <w:pStyle w:val="NoSpacing"/>
        <w:rPr>
          <w:rFonts w:asciiTheme="majorHAnsi" w:hAnsiTheme="majorHAnsi"/>
          <w:sz w:val="24"/>
        </w:rPr>
      </w:pPr>
    </w:p>
    <w:p w:rsidR="0047435D" w:rsidRPr="00D01149" w:rsidP="00982820" w14:paraId="4C2A9782" w14:textId="761A9455">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Consultation and Public Comments</w:t>
      </w:r>
    </w:p>
    <w:p w:rsidR="008B230D" w:rsidRPr="00D01149" w:rsidP="008B230D" w14:paraId="3326C8E7" w14:textId="77777777">
      <w:pPr>
        <w:pStyle w:val="NormalWeb"/>
        <w:spacing w:line="288" w:lineRule="atLeast"/>
        <w:rPr>
          <w:rFonts w:asciiTheme="majorHAnsi" w:eastAsiaTheme="minorHAnsi" w:hAnsiTheme="majorHAnsi"/>
        </w:rPr>
      </w:pPr>
      <w:r w:rsidRPr="00D01149">
        <w:rPr>
          <w:rFonts w:asciiTheme="majorHAnsi" w:eastAsiaTheme="minorHAnsi" w:hAnsiTheme="majorHAnsi"/>
        </w:rPr>
        <w:t>Part A: PUBLIC NOTICE</w:t>
      </w:r>
    </w:p>
    <w:p w:rsidR="008B230D" w:rsidP="008B230D" w14:paraId="71F61FE8" w14:textId="580F503A">
      <w:pPr>
        <w:pStyle w:val="NormalWeb"/>
        <w:spacing w:line="288" w:lineRule="atLeast"/>
        <w:rPr>
          <w:rFonts w:eastAsia="Calibri" w:asciiTheme="majorHAnsi" w:hAnsiTheme="majorHAnsi"/>
        </w:rPr>
      </w:pPr>
      <w:r w:rsidRPr="00D01149">
        <w:rPr>
          <w:rFonts w:asciiTheme="majorHAnsi" w:eastAsiaTheme="minorHAnsi" w:hAnsiTheme="majorHAnsi"/>
        </w:rPr>
        <w:t>A 60-Day Federal Register Notice (FRN) for the collection published on</w:t>
      </w:r>
      <w:r w:rsidRPr="00D01149" w:rsidR="00EA5E51">
        <w:rPr>
          <w:rFonts w:asciiTheme="majorHAnsi" w:eastAsiaTheme="minorHAnsi" w:hAnsiTheme="majorHAnsi"/>
        </w:rPr>
        <w:t xml:space="preserve"> </w:t>
      </w:r>
      <w:r w:rsidR="00CE03BA">
        <w:rPr>
          <w:rFonts w:eastAsia="Calibri" w:asciiTheme="majorHAnsi" w:hAnsiTheme="majorHAnsi"/>
        </w:rPr>
        <w:t>Monday, July 15, 2024</w:t>
      </w:r>
      <w:r w:rsidRPr="00D01149" w:rsidR="00986CB7">
        <w:rPr>
          <w:rFonts w:eastAsia="Calibri" w:asciiTheme="majorHAnsi" w:hAnsiTheme="majorHAnsi"/>
        </w:rPr>
        <w:t>.</w:t>
      </w:r>
      <w:r w:rsidR="00CE03BA">
        <w:rPr>
          <w:rFonts w:eastAsia="Calibri" w:asciiTheme="majorHAnsi" w:hAnsiTheme="majorHAnsi"/>
        </w:rPr>
        <w:t xml:space="preserve"> </w:t>
      </w:r>
      <w:r w:rsidRPr="00D01149">
        <w:rPr>
          <w:rFonts w:asciiTheme="majorHAnsi" w:eastAsiaTheme="minorHAnsi" w:hAnsiTheme="majorHAnsi"/>
        </w:rPr>
        <w:t>The 60-Day FRN citation is</w:t>
      </w:r>
      <w:r w:rsidRPr="00D01149" w:rsidR="00E85ED1">
        <w:rPr>
          <w:rFonts w:asciiTheme="majorHAnsi" w:eastAsiaTheme="minorHAnsi" w:hAnsiTheme="majorHAnsi"/>
        </w:rPr>
        <w:t xml:space="preserve"> </w:t>
      </w:r>
      <w:r w:rsidRPr="00CE03BA" w:rsidR="00CE03BA">
        <w:rPr>
          <w:rFonts w:asciiTheme="majorHAnsi" w:eastAsiaTheme="minorHAnsi" w:hAnsiTheme="majorHAnsi"/>
        </w:rPr>
        <w:t>89 FR 57395</w:t>
      </w:r>
      <w:r w:rsidRPr="00D01149" w:rsidR="008812B1">
        <w:rPr>
          <w:rFonts w:eastAsia="Calibri" w:asciiTheme="majorHAnsi" w:hAnsiTheme="majorHAnsi"/>
        </w:rPr>
        <w:t>.</w:t>
      </w:r>
    </w:p>
    <w:p w:rsidR="00CE03BA" w:rsidRPr="00D01149" w:rsidP="008B230D" w14:paraId="75E59D2A" w14:textId="72C16A57">
      <w:pPr>
        <w:pStyle w:val="NormalWeb"/>
        <w:spacing w:line="288" w:lineRule="atLeast"/>
        <w:rPr>
          <w:rFonts w:eastAsia="Calibri" w:asciiTheme="majorHAnsi" w:hAnsiTheme="majorHAnsi"/>
        </w:rPr>
      </w:pPr>
      <w:r>
        <w:rPr>
          <w:rFonts w:eastAsia="Calibri" w:asciiTheme="majorHAnsi" w:hAnsiTheme="majorHAnsi"/>
        </w:rPr>
        <w:t>4 comments were received at Regulations.gov. However, none of the comments were determined to be relevant to the information collection.</w:t>
      </w:r>
    </w:p>
    <w:p w:rsidR="008B230D" w:rsidRPr="00D01149" w:rsidP="008B230D" w14:paraId="0A32F265" w14:textId="01C0E82C">
      <w:pPr>
        <w:pStyle w:val="NormalWeb"/>
        <w:spacing w:line="288" w:lineRule="atLeast"/>
        <w:rPr>
          <w:rFonts w:eastAsia="Calibri" w:asciiTheme="majorHAnsi" w:hAnsiTheme="majorHAnsi"/>
        </w:rPr>
      </w:pPr>
      <w:r w:rsidRPr="00D01149">
        <w:rPr>
          <w:rFonts w:eastAsia="Calibri" w:asciiTheme="majorHAnsi" w:hAnsiTheme="majorHAnsi"/>
        </w:rPr>
        <w:t xml:space="preserve">A 30-Day Federal Register Notice for the collection published on </w:t>
      </w:r>
      <w:r w:rsidR="00BC537B">
        <w:rPr>
          <w:rFonts w:eastAsia="Calibri" w:asciiTheme="majorHAnsi" w:hAnsiTheme="majorHAnsi"/>
        </w:rPr>
        <w:t xml:space="preserve">Friday, November </w:t>
      </w:r>
      <w:r w:rsidR="00C44FAD">
        <w:rPr>
          <w:rFonts w:eastAsia="Calibri" w:asciiTheme="majorHAnsi" w:hAnsiTheme="majorHAnsi"/>
        </w:rPr>
        <w:t>22</w:t>
      </w:r>
      <w:r w:rsidR="00BC537B">
        <w:rPr>
          <w:rFonts w:eastAsia="Calibri" w:asciiTheme="majorHAnsi" w:hAnsiTheme="majorHAnsi"/>
        </w:rPr>
        <w:t>, 2024</w:t>
      </w:r>
      <w:r w:rsidRPr="00D01149">
        <w:rPr>
          <w:rFonts w:eastAsia="Calibri" w:asciiTheme="majorHAnsi" w:hAnsiTheme="majorHAnsi"/>
        </w:rPr>
        <w:t xml:space="preserve">.  The 30-Day FRN citation is </w:t>
      </w:r>
      <w:r w:rsidRPr="00C44FAD" w:rsidR="00C44FAD">
        <w:rPr>
          <w:rFonts w:eastAsia="Calibri" w:asciiTheme="majorHAnsi" w:hAnsiTheme="majorHAnsi"/>
        </w:rPr>
        <w:t>89 FR 92665</w:t>
      </w:r>
      <w:r w:rsidRPr="00D01149">
        <w:rPr>
          <w:rFonts w:eastAsia="Calibri" w:asciiTheme="majorHAnsi" w:hAnsiTheme="majorHAnsi"/>
        </w:rPr>
        <w:t>.</w:t>
      </w:r>
    </w:p>
    <w:p w:rsidR="008B230D" w:rsidRPr="00D01149" w:rsidP="002735CD" w14:paraId="7759E022" w14:textId="77777777">
      <w:pPr>
        <w:pStyle w:val="NoSpacing"/>
        <w:spacing w:after="200" w:line="320" w:lineRule="exact"/>
        <w:rPr>
          <w:rFonts w:asciiTheme="majorHAnsi" w:hAnsiTheme="majorHAnsi"/>
          <w:sz w:val="24"/>
        </w:rPr>
      </w:pPr>
      <w:r w:rsidRPr="00D01149">
        <w:rPr>
          <w:rFonts w:asciiTheme="majorHAnsi" w:hAnsiTheme="majorHAnsi"/>
          <w:sz w:val="24"/>
        </w:rPr>
        <w:t xml:space="preserve">Part B: CONSULTATION </w:t>
      </w:r>
    </w:p>
    <w:p w:rsidR="00563F7A" w:rsidRPr="00D01149" w:rsidP="008B0D4B" w14:paraId="0B624298" w14:textId="01D79C7C">
      <w:pPr>
        <w:pStyle w:val="NoSpacing"/>
        <w:spacing w:line="320" w:lineRule="exact"/>
        <w:rPr>
          <w:rFonts w:asciiTheme="majorHAnsi" w:hAnsiTheme="majorHAnsi"/>
          <w:sz w:val="24"/>
        </w:rPr>
      </w:pPr>
      <w:r w:rsidRPr="00D01149">
        <w:rPr>
          <w:rFonts w:asciiTheme="majorHAnsi" w:hAnsiTheme="majorHAnsi"/>
          <w:sz w:val="24"/>
        </w:rPr>
        <w:t>No additional consultation apart from soliciting public comments through the Federal Register was conducted for this submission</w:t>
      </w:r>
      <w:r w:rsidRPr="00D01149">
        <w:rPr>
          <w:rFonts w:asciiTheme="majorHAnsi" w:hAnsiTheme="majorHAnsi"/>
          <w:sz w:val="24"/>
        </w:rPr>
        <w:t>.</w:t>
      </w:r>
    </w:p>
    <w:p w:rsidR="001258B3" w:rsidRPr="00D01149" w:rsidP="008B0D4B" w14:paraId="7793E227" w14:textId="77777777">
      <w:pPr>
        <w:pStyle w:val="NoSpacing"/>
        <w:spacing w:line="320" w:lineRule="exact"/>
        <w:rPr>
          <w:rFonts w:asciiTheme="majorHAnsi" w:hAnsiTheme="majorHAnsi"/>
          <w:sz w:val="24"/>
        </w:rPr>
      </w:pPr>
    </w:p>
    <w:p w:rsidR="00E643E5" w:rsidRPr="00D01149" w:rsidP="00563F7A" w14:paraId="1D0E36A2" w14:textId="5EE3BFB8">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Gifts or Payment</w:t>
      </w:r>
    </w:p>
    <w:p w:rsidR="0047435D" w:rsidRPr="00D01149" w:rsidP="008B0D4B" w14:paraId="45529C73" w14:textId="77777777">
      <w:pPr>
        <w:pStyle w:val="NoSpacing"/>
        <w:ind w:firstLine="720"/>
        <w:rPr>
          <w:rFonts w:asciiTheme="majorHAnsi" w:hAnsiTheme="majorHAnsi"/>
          <w:sz w:val="24"/>
        </w:rPr>
      </w:pPr>
    </w:p>
    <w:p w:rsidR="0002457C" w:rsidRPr="00D01149" w:rsidP="008B0D4B" w14:paraId="0D48B914" w14:textId="1C685681">
      <w:pPr>
        <w:pStyle w:val="NoSpacing"/>
        <w:rPr>
          <w:rFonts w:asciiTheme="majorHAnsi" w:hAnsiTheme="majorHAnsi"/>
          <w:sz w:val="24"/>
        </w:rPr>
      </w:pPr>
      <w:r w:rsidRPr="00D01149">
        <w:rPr>
          <w:rFonts w:asciiTheme="majorHAnsi" w:hAnsiTheme="majorHAnsi"/>
          <w:sz w:val="24"/>
        </w:rPr>
        <w:t>No payments or gifts are being offered to respondents as an incentive to participate in the collection.</w:t>
      </w:r>
    </w:p>
    <w:p w:rsidR="0002457C" w:rsidRPr="00D01149" w:rsidP="008B0D4B" w14:paraId="39F0EAD0" w14:textId="77777777">
      <w:pPr>
        <w:pStyle w:val="NoSpacing"/>
        <w:ind w:firstLine="720"/>
        <w:rPr>
          <w:rFonts w:asciiTheme="majorHAnsi" w:hAnsiTheme="majorHAnsi"/>
          <w:sz w:val="24"/>
        </w:rPr>
      </w:pPr>
    </w:p>
    <w:p w:rsidR="00E643E5" w:rsidRPr="00D01149" w:rsidP="00563F7A" w14:paraId="6A6D1064" w14:textId="0FE8CC43">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Confidentiality</w:t>
      </w:r>
    </w:p>
    <w:p w:rsidR="00882BB1" w:rsidRPr="00D01149" w:rsidP="00765534" w14:paraId="76075DE5" w14:textId="77777777">
      <w:pPr>
        <w:pStyle w:val="NoSpacing"/>
        <w:rPr>
          <w:rFonts w:asciiTheme="majorHAnsi" w:hAnsiTheme="majorHAnsi"/>
          <w:sz w:val="24"/>
        </w:rPr>
      </w:pPr>
    </w:p>
    <w:p w:rsidR="00193F29" w:rsidRPr="00D01149" w:rsidP="008B0D4B" w14:paraId="08802B1D" w14:textId="7C81F08B">
      <w:pPr>
        <w:pStyle w:val="NoSpacing"/>
        <w:rPr>
          <w:rFonts w:asciiTheme="majorHAnsi" w:hAnsiTheme="majorHAnsi"/>
          <w:sz w:val="24"/>
        </w:rPr>
      </w:pPr>
      <w:r w:rsidRPr="00D01149">
        <w:rPr>
          <w:rFonts w:asciiTheme="majorHAnsi" w:hAnsiTheme="majorHAnsi"/>
          <w:sz w:val="24"/>
        </w:rPr>
        <w:t>Pursuant with The Privacy Act, data will be protected</w:t>
      </w:r>
      <w:r w:rsidR="00CE03BA">
        <w:rPr>
          <w:rFonts w:asciiTheme="majorHAnsi" w:hAnsiTheme="majorHAnsi"/>
          <w:sz w:val="24"/>
        </w:rPr>
        <w:t>,</w:t>
      </w:r>
      <w:r w:rsidRPr="00D01149">
        <w:rPr>
          <w:rFonts w:asciiTheme="majorHAnsi" w:hAnsiTheme="majorHAnsi"/>
          <w:sz w:val="24"/>
        </w:rPr>
        <w:t xml:space="preserve"> and respondents will be notified to the extent permitted by law, regulation, policies, directives, and all other applicable DoD authorities.  A</w:t>
      </w:r>
      <w:r w:rsidRPr="00D01149" w:rsidR="00931519">
        <w:rPr>
          <w:rFonts w:asciiTheme="majorHAnsi" w:hAnsiTheme="majorHAnsi"/>
          <w:sz w:val="24"/>
        </w:rPr>
        <w:t xml:space="preserve"> Privacy</w:t>
      </w:r>
      <w:r w:rsidRPr="00D01149" w:rsidR="004F651C">
        <w:rPr>
          <w:rFonts w:asciiTheme="majorHAnsi" w:hAnsiTheme="majorHAnsi"/>
          <w:sz w:val="24"/>
        </w:rPr>
        <w:t xml:space="preserve"> Act Statement is included in </w:t>
      </w:r>
      <w:r w:rsidRPr="00D01149" w:rsidR="00E503DE">
        <w:rPr>
          <w:rFonts w:asciiTheme="majorHAnsi" w:hAnsiTheme="majorHAnsi"/>
          <w:sz w:val="24"/>
        </w:rPr>
        <w:t>the ICR package</w:t>
      </w:r>
      <w:r w:rsidRPr="00D01149">
        <w:rPr>
          <w:rFonts w:asciiTheme="majorHAnsi" w:hAnsiTheme="majorHAnsi"/>
          <w:sz w:val="24"/>
        </w:rPr>
        <w:t xml:space="preserve"> for OMB’s review</w:t>
      </w:r>
      <w:r w:rsidRPr="00D01149" w:rsidR="004F651C">
        <w:rPr>
          <w:rFonts w:asciiTheme="majorHAnsi" w:hAnsiTheme="majorHAnsi"/>
          <w:sz w:val="24"/>
        </w:rPr>
        <w:t>.</w:t>
      </w:r>
      <w:r w:rsidRPr="00D01149" w:rsidR="00932C15">
        <w:rPr>
          <w:rFonts w:asciiTheme="majorHAnsi" w:hAnsiTheme="majorHAnsi"/>
          <w:sz w:val="24"/>
        </w:rPr>
        <w:t xml:space="preserve"> Respondents </w:t>
      </w:r>
      <w:r w:rsidRPr="00D01149" w:rsidR="00A07335">
        <w:rPr>
          <w:rFonts w:asciiTheme="majorHAnsi" w:hAnsiTheme="majorHAnsi"/>
          <w:sz w:val="24"/>
        </w:rPr>
        <w:t xml:space="preserve">that have voluntarily </w:t>
      </w:r>
      <w:r w:rsidRPr="00D01149" w:rsidR="00D87370">
        <w:rPr>
          <w:rFonts w:asciiTheme="majorHAnsi" w:hAnsiTheme="majorHAnsi"/>
          <w:sz w:val="24"/>
        </w:rPr>
        <w:t xml:space="preserve">given biometrics </w:t>
      </w:r>
      <w:r w:rsidRPr="00D01149" w:rsidR="00932C15">
        <w:rPr>
          <w:rFonts w:asciiTheme="majorHAnsi" w:hAnsiTheme="majorHAnsi"/>
          <w:sz w:val="24"/>
        </w:rPr>
        <w:t xml:space="preserve">are notified of the Privacy Act Statement </w:t>
      </w:r>
      <w:r w:rsidRPr="00D01149" w:rsidR="00D87370">
        <w:rPr>
          <w:rFonts w:asciiTheme="majorHAnsi" w:hAnsiTheme="majorHAnsi"/>
          <w:sz w:val="24"/>
        </w:rPr>
        <w:t>at that time.</w:t>
      </w:r>
    </w:p>
    <w:p w:rsidR="00563F7A" w:rsidRPr="00D01149" w:rsidP="008B0D4B" w14:paraId="619A0981" w14:textId="77777777">
      <w:pPr>
        <w:pStyle w:val="NoSpacing"/>
        <w:rPr>
          <w:rFonts w:asciiTheme="majorHAnsi" w:hAnsiTheme="majorHAnsi"/>
          <w:sz w:val="24"/>
        </w:rPr>
      </w:pPr>
    </w:p>
    <w:p w:rsidR="00840BD1" w:rsidRPr="00D01149" w:rsidP="008B0D4B" w14:paraId="11C17106" w14:textId="5353A98A">
      <w:pPr>
        <w:pStyle w:val="NoSpacing"/>
        <w:rPr>
          <w:rFonts w:asciiTheme="majorHAnsi" w:hAnsiTheme="majorHAnsi"/>
          <w:sz w:val="24"/>
        </w:rPr>
      </w:pPr>
      <w:r w:rsidRPr="00D01149">
        <w:rPr>
          <w:rFonts w:asciiTheme="majorHAnsi" w:hAnsiTheme="majorHAnsi"/>
          <w:sz w:val="24"/>
        </w:rPr>
        <w:t>The applicable SORN</w:t>
      </w:r>
      <w:r w:rsidRPr="00D01149" w:rsidR="00CD2736">
        <w:rPr>
          <w:rFonts w:asciiTheme="majorHAnsi" w:hAnsiTheme="majorHAnsi"/>
          <w:sz w:val="24"/>
        </w:rPr>
        <w:t xml:space="preserve"> (A0025-2 PMG (DFBA), Defense Biometric Identification Records System) </w:t>
      </w:r>
      <w:r w:rsidRPr="00D01149" w:rsidR="008036EA">
        <w:rPr>
          <w:rFonts w:asciiTheme="majorHAnsi" w:hAnsiTheme="majorHAnsi"/>
          <w:sz w:val="24"/>
        </w:rPr>
        <w:t xml:space="preserve">can be accessed at: </w:t>
      </w:r>
      <w:hyperlink r:id="rId7" w:history="1">
        <w:r w:rsidRPr="00D01149" w:rsidR="008036EA">
          <w:rPr>
            <w:rStyle w:val="Hyperlink"/>
            <w:rFonts w:asciiTheme="majorHAnsi" w:hAnsiTheme="majorHAnsi"/>
            <w:sz w:val="24"/>
          </w:rPr>
          <w:t>https://dpcld.defense.gov/Privacy/SORNsIndex/DOD-wide-SORN-Article-View/Article/581425/a0025-2-pmg-dfba-dod/</w:t>
        </w:r>
      </w:hyperlink>
      <w:r w:rsidRPr="00D01149" w:rsidR="008036EA">
        <w:rPr>
          <w:rFonts w:asciiTheme="majorHAnsi" w:hAnsiTheme="majorHAnsi"/>
          <w:sz w:val="24"/>
        </w:rPr>
        <w:t xml:space="preserve"> </w:t>
      </w:r>
    </w:p>
    <w:p w:rsidR="00563F7A" w:rsidRPr="00D01149" w:rsidP="008B0D4B" w14:paraId="0941496B" w14:textId="77777777">
      <w:pPr>
        <w:pStyle w:val="NoSpacing"/>
        <w:rPr>
          <w:rFonts w:asciiTheme="majorHAnsi" w:hAnsiTheme="majorHAnsi"/>
          <w:b/>
          <w:sz w:val="24"/>
        </w:rPr>
      </w:pPr>
    </w:p>
    <w:p w:rsidR="00563F7A" w:rsidRPr="00D01149" w:rsidP="008B0D4B" w14:paraId="6606A370" w14:textId="56060FD6">
      <w:pPr>
        <w:pStyle w:val="NoSpacing"/>
        <w:rPr>
          <w:rFonts w:asciiTheme="majorHAnsi" w:hAnsiTheme="majorHAnsi"/>
          <w:sz w:val="24"/>
        </w:rPr>
      </w:pPr>
      <w:r>
        <w:rPr>
          <w:rFonts w:asciiTheme="majorHAnsi" w:hAnsiTheme="majorHAnsi"/>
          <w:sz w:val="24"/>
        </w:rPr>
        <w:t>Per OMB Memo M-03-22, a</w:t>
      </w:r>
      <w:r w:rsidR="00D5001B">
        <w:rPr>
          <w:rFonts w:asciiTheme="majorHAnsi" w:hAnsiTheme="majorHAnsi"/>
          <w:sz w:val="24"/>
        </w:rPr>
        <w:t xml:space="preserve"> </w:t>
      </w:r>
      <w:r w:rsidRPr="00D01149" w:rsidR="00DE5B25">
        <w:rPr>
          <w:rFonts w:asciiTheme="majorHAnsi" w:hAnsiTheme="majorHAnsi"/>
          <w:sz w:val="24"/>
        </w:rPr>
        <w:t>Privacy Impact Assessment (PIA)</w:t>
      </w:r>
      <w:r w:rsidR="00D5001B">
        <w:rPr>
          <w:rFonts w:asciiTheme="majorHAnsi" w:hAnsiTheme="majorHAnsi"/>
          <w:sz w:val="24"/>
        </w:rPr>
        <w:t xml:space="preserve"> is not </w:t>
      </w:r>
      <w:r w:rsidR="00932353">
        <w:rPr>
          <w:rFonts w:asciiTheme="majorHAnsi" w:hAnsiTheme="majorHAnsi"/>
          <w:sz w:val="24"/>
        </w:rPr>
        <w:t>required because DoD ABIS is a</w:t>
      </w:r>
      <w:r w:rsidRPr="00932353" w:rsidR="00932353">
        <w:rPr>
          <w:rFonts w:asciiTheme="majorHAnsi" w:hAnsiTheme="majorHAnsi"/>
          <w:sz w:val="24"/>
        </w:rPr>
        <w:t xml:space="preserve"> national security system</w:t>
      </w:r>
      <w:r w:rsidR="00932353">
        <w:rPr>
          <w:rFonts w:asciiTheme="majorHAnsi" w:hAnsiTheme="majorHAnsi"/>
          <w:sz w:val="24"/>
        </w:rPr>
        <w:t xml:space="preserve"> as</w:t>
      </w:r>
      <w:r w:rsidRPr="00932353" w:rsidR="00932353">
        <w:rPr>
          <w:rFonts w:asciiTheme="majorHAnsi" w:hAnsiTheme="majorHAnsi"/>
          <w:sz w:val="24"/>
        </w:rPr>
        <w:t xml:space="preserve"> defined at 40 U.S.C. 11103 </w:t>
      </w:r>
      <w:r w:rsidR="00691B93">
        <w:rPr>
          <w:rFonts w:asciiTheme="majorHAnsi" w:hAnsiTheme="majorHAnsi"/>
          <w:sz w:val="24"/>
        </w:rPr>
        <w:t>and</w:t>
      </w:r>
      <w:r w:rsidRPr="00932353" w:rsidR="00932353">
        <w:rPr>
          <w:rFonts w:asciiTheme="majorHAnsi" w:hAnsiTheme="majorHAnsi"/>
          <w:sz w:val="24"/>
        </w:rPr>
        <w:t xml:space="preserve"> exempt from the definition of information technology (see section 202(i) of the E-Government Act)</w:t>
      </w:r>
      <w:r w:rsidR="00005B32">
        <w:rPr>
          <w:rFonts w:asciiTheme="majorHAnsi" w:hAnsiTheme="majorHAnsi"/>
          <w:sz w:val="24"/>
        </w:rPr>
        <w:t>.</w:t>
      </w:r>
    </w:p>
    <w:p w:rsidR="00E22379" w:rsidRPr="00D01149" w:rsidP="008B0D4B" w14:paraId="1A9C65DA" w14:textId="65401230">
      <w:pPr>
        <w:pStyle w:val="NoSpacing"/>
        <w:rPr>
          <w:rFonts w:asciiTheme="majorHAnsi" w:hAnsiTheme="majorHAnsi"/>
          <w:sz w:val="24"/>
        </w:rPr>
      </w:pPr>
      <w:r w:rsidRPr="00D01149">
        <w:rPr>
          <w:rFonts w:asciiTheme="majorHAnsi" w:hAnsiTheme="majorHAnsi"/>
          <w:sz w:val="24"/>
        </w:rPr>
        <w:t xml:space="preserve">  </w:t>
      </w:r>
    </w:p>
    <w:p w:rsidR="00E22379" w:rsidRPr="00D01149" w:rsidP="008B0D4B" w14:paraId="7CFC2B77" w14:textId="2AF81989">
      <w:pPr>
        <w:autoSpaceDE w:val="0"/>
        <w:autoSpaceDN w:val="0"/>
        <w:adjustRightInd w:val="0"/>
        <w:rPr>
          <w:rFonts w:asciiTheme="majorHAnsi" w:hAnsiTheme="majorHAnsi"/>
        </w:rPr>
      </w:pPr>
      <w:r w:rsidRPr="00D01149">
        <w:rPr>
          <w:rFonts w:asciiTheme="majorHAnsi" w:hAnsiTheme="majorHAnsi"/>
        </w:rPr>
        <w:t xml:space="preserve">In accordance with the Federal Records Act, the Records Retention Schedule: DoD ABIS </w:t>
      </w:r>
      <w:r w:rsidRPr="00D01149" w:rsidR="00DC3EC7">
        <w:rPr>
          <w:rFonts w:asciiTheme="majorHAnsi" w:hAnsiTheme="majorHAnsi"/>
        </w:rPr>
        <w:t xml:space="preserve">has received approval for its disposition schedule: </w:t>
      </w:r>
      <w:r w:rsidRPr="00D01149" w:rsidR="00DB70F6">
        <w:rPr>
          <w:rFonts w:asciiTheme="majorHAnsi" w:hAnsiTheme="majorHAnsi"/>
        </w:rPr>
        <w:t>d</w:t>
      </w:r>
      <w:r w:rsidRPr="00D01149" w:rsidR="00DC3EC7">
        <w:rPr>
          <w:rFonts w:asciiTheme="majorHAnsi" w:hAnsiTheme="majorHAnsi"/>
        </w:rPr>
        <w:t xml:space="preserve">estroy </w:t>
      </w:r>
      <w:r w:rsidRPr="00D01149" w:rsidR="00D6425E">
        <w:rPr>
          <w:rFonts w:asciiTheme="majorHAnsi" w:hAnsiTheme="majorHAnsi"/>
        </w:rPr>
        <w:t>one hundred and ten</w:t>
      </w:r>
      <w:r w:rsidRPr="00D01149" w:rsidR="00DB70F6">
        <w:rPr>
          <w:rFonts w:asciiTheme="majorHAnsi" w:hAnsiTheme="majorHAnsi"/>
        </w:rPr>
        <w:t xml:space="preserve"> (</w:t>
      </w:r>
      <w:r w:rsidRPr="00D01149" w:rsidR="00D6425E">
        <w:rPr>
          <w:rFonts w:asciiTheme="majorHAnsi" w:hAnsiTheme="majorHAnsi"/>
        </w:rPr>
        <w:t>110</w:t>
      </w:r>
      <w:r w:rsidRPr="00D01149" w:rsidR="00DB70F6">
        <w:rPr>
          <w:rFonts w:asciiTheme="majorHAnsi" w:hAnsiTheme="majorHAnsi"/>
        </w:rPr>
        <w:t>)</w:t>
      </w:r>
      <w:r w:rsidRPr="00D01149" w:rsidR="00DC3EC7">
        <w:rPr>
          <w:rFonts w:asciiTheme="majorHAnsi" w:hAnsiTheme="majorHAnsi"/>
        </w:rPr>
        <w:t xml:space="preserve"> year(s) after the cutoff or when no longer needed for military operations or DoD business functions occurs, whichever is later.</w:t>
      </w:r>
    </w:p>
    <w:p w:rsidR="00CB6C8C" w:rsidRPr="00D01149" w:rsidP="008B0D4B" w14:paraId="711C7B2C" w14:textId="77777777">
      <w:pPr>
        <w:pStyle w:val="NoSpacing"/>
        <w:ind w:firstLine="720"/>
        <w:rPr>
          <w:rFonts w:asciiTheme="majorHAnsi" w:hAnsiTheme="majorHAnsi"/>
          <w:sz w:val="24"/>
        </w:rPr>
      </w:pPr>
    </w:p>
    <w:p w:rsidR="00E643E5" w:rsidRPr="00D01149" w:rsidP="00563F7A" w14:paraId="6CAE4C6E" w14:textId="4B807C55">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Sensitive Questions</w:t>
      </w:r>
    </w:p>
    <w:p w:rsidR="00AD4985" w:rsidP="008B0D4B" w14:paraId="1540F55F" w14:textId="77777777">
      <w:pPr>
        <w:pStyle w:val="NoSpacing"/>
        <w:rPr>
          <w:rFonts w:asciiTheme="majorHAnsi" w:hAnsiTheme="majorHAnsi"/>
          <w:sz w:val="24"/>
        </w:rPr>
      </w:pPr>
    </w:p>
    <w:p w:rsidR="00982820" w:rsidRPr="00D01149" w:rsidP="008B0D4B" w14:paraId="221061C6" w14:textId="715339C1">
      <w:pPr>
        <w:pStyle w:val="NoSpacing"/>
        <w:rPr>
          <w:rFonts w:asciiTheme="majorHAnsi" w:hAnsiTheme="majorHAnsi"/>
          <w:b/>
          <w:sz w:val="24"/>
        </w:rPr>
      </w:pPr>
      <w:r w:rsidRPr="00D01149">
        <w:rPr>
          <w:rFonts w:asciiTheme="majorHAnsi" w:hAnsiTheme="majorHAnsi"/>
          <w:sz w:val="24"/>
        </w:rPr>
        <w:t xml:space="preserve">Social Security Number (SSN) is a potential data field in DoD ABIS but is optional and varied based on each record and situation. </w:t>
      </w:r>
      <w:r w:rsidRPr="00D01149" w:rsidR="00D93AA8">
        <w:rPr>
          <w:rFonts w:asciiTheme="majorHAnsi" w:hAnsiTheme="majorHAnsi"/>
          <w:sz w:val="24"/>
        </w:rPr>
        <w:t xml:space="preserve">Pursuant to DoDI 1000.30, </w:t>
      </w:r>
      <w:r w:rsidRPr="00D01149" w:rsidR="00B138D2">
        <w:rPr>
          <w:rFonts w:asciiTheme="majorHAnsi" w:hAnsiTheme="majorHAnsi"/>
          <w:sz w:val="24"/>
        </w:rPr>
        <w:t xml:space="preserve">The Social Security Number Justification Memo </w:t>
      </w:r>
      <w:r w:rsidR="00857814">
        <w:rPr>
          <w:rFonts w:asciiTheme="majorHAnsi" w:hAnsiTheme="majorHAnsi"/>
          <w:sz w:val="24"/>
        </w:rPr>
        <w:t xml:space="preserve">is currently being updated with Army and DoD Privacy offices and the draft document </w:t>
      </w:r>
      <w:r w:rsidRPr="00D01149" w:rsidR="00EE4CF7">
        <w:rPr>
          <w:rFonts w:asciiTheme="majorHAnsi" w:hAnsiTheme="majorHAnsi"/>
          <w:sz w:val="24"/>
        </w:rPr>
        <w:t xml:space="preserve">is </w:t>
      </w:r>
      <w:r w:rsidRPr="00D01149" w:rsidR="00E503DE">
        <w:rPr>
          <w:rFonts w:asciiTheme="majorHAnsi" w:hAnsiTheme="majorHAnsi"/>
          <w:sz w:val="24"/>
        </w:rPr>
        <w:t>included in the package</w:t>
      </w:r>
      <w:r w:rsidRPr="00D01149">
        <w:rPr>
          <w:rFonts w:asciiTheme="majorHAnsi" w:hAnsiTheme="majorHAnsi"/>
          <w:sz w:val="24"/>
        </w:rPr>
        <w:t>.</w:t>
      </w:r>
    </w:p>
    <w:p w:rsidR="00820520" w:rsidRPr="00D01149" w:rsidP="008B0D4B" w14:paraId="28DF97F6" w14:textId="77777777">
      <w:pPr>
        <w:pStyle w:val="NoSpacing"/>
        <w:rPr>
          <w:rFonts w:asciiTheme="majorHAnsi" w:hAnsiTheme="majorHAnsi"/>
          <w:color w:val="FF0000"/>
          <w:sz w:val="24"/>
        </w:rPr>
      </w:pPr>
    </w:p>
    <w:p w:rsidR="00982820" w:rsidRPr="00D01149" w:rsidP="001562A3" w14:paraId="0D75E0D1" w14:textId="77777777">
      <w:pPr>
        <w:pStyle w:val="NoSpacing"/>
        <w:spacing w:line="120" w:lineRule="exact"/>
        <w:ind w:firstLine="720"/>
        <w:rPr>
          <w:rFonts w:asciiTheme="majorHAnsi" w:hAnsiTheme="majorHAnsi"/>
          <w:sz w:val="24"/>
        </w:rPr>
      </w:pPr>
    </w:p>
    <w:p w:rsidR="001562A3" w:rsidRPr="00D01149" w:rsidP="008B0D4B" w14:paraId="56B4261B" w14:textId="12668E07">
      <w:pPr>
        <w:pStyle w:val="ListParagraph"/>
        <w:numPr>
          <w:ilvl w:val="0"/>
          <w:numId w:val="14"/>
        </w:numPr>
        <w:spacing w:after="0" w:line="240" w:lineRule="auto"/>
        <w:ind w:hanging="720"/>
        <w:rPr>
          <w:rFonts w:asciiTheme="majorHAnsi" w:hAnsiTheme="majorHAnsi"/>
          <w:b/>
          <w:sz w:val="24"/>
          <w:u w:val="single"/>
        </w:rPr>
      </w:pPr>
      <w:r w:rsidRPr="00D01149">
        <w:rPr>
          <w:rFonts w:asciiTheme="majorHAnsi" w:hAnsiTheme="majorHAnsi"/>
          <w:b/>
          <w:sz w:val="24"/>
          <w:u w:val="single"/>
        </w:rPr>
        <w:t xml:space="preserve">Respondent Burden and </w:t>
      </w:r>
      <w:r w:rsidRPr="00D01149" w:rsidR="005532DA">
        <w:rPr>
          <w:rFonts w:asciiTheme="majorHAnsi" w:hAnsiTheme="majorHAnsi"/>
          <w:b/>
          <w:sz w:val="24"/>
          <w:u w:val="single"/>
        </w:rPr>
        <w:t xml:space="preserve">its </w:t>
      </w:r>
      <w:r w:rsidRPr="00D01149">
        <w:rPr>
          <w:rFonts w:asciiTheme="majorHAnsi" w:hAnsiTheme="majorHAnsi"/>
          <w:b/>
          <w:sz w:val="24"/>
          <w:u w:val="single"/>
        </w:rPr>
        <w:t>Labor Costs</w:t>
      </w:r>
    </w:p>
    <w:p w:rsidR="007612D2" w:rsidRPr="00D01149" w:rsidP="008B0D4B" w14:paraId="145202C1" w14:textId="25B4B876">
      <w:pPr>
        <w:pStyle w:val="NormalWeb"/>
        <w:spacing w:after="0" w:afterAutospacing="0" w:line="240" w:lineRule="atLeast"/>
        <w:rPr>
          <w:rFonts w:asciiTheme="majorHAnsi" w:eastAsiaTheme="minorEastAsia" w:hAnsiTheme="majorHAnsi"/>
          <w:color w:val="FF0000"/>
        </w:rPr>
      </w:pPr>
      <w:r w:rsidRPr="00D01149">
        <w:rPr>
          <w:rFonts w:asciiTheme="majorHAnsi" w:eastAsiaTheme="minorEastAsia" w:hAnsiTheme="majorHAnsi"/>
        </w:rPr>
        <w:t>Part A: ESTIMATION OF RESPONDENT BURDEN</w:t>
      </w:r>
      <w:r w:rsidRPr="00D01149" w:rsidR="00005ED8">
        <w:rPr>
          <w:rFonts w:asciiTheme="majorHAnsi" w:eastAsiaTheme="minorEastAsia" w:hAnsiTheme="majorHAnsi"/>
        </w:rPr>
        <w:t xml:space="preserve"> </w:t>
      </w:r>
    </w:p>
    <w:p w:rsidR="00005ED8" w:rsidRPr="00D01149" w:rsidP="00005ED8" w14:paraId="5AFA2779" w14:textId="77777777">
      <w:pPr>
        <w:pStyle w:val="NoSpacing"/>
        <w:ind w:left="720"/>
        <w:rPr>
          <w:rFonts w:asciiTheme="majorHAnsi" w:hAnsiTheme="majorHAnsi"/>
          <w:sz w:val="24"/>
        </w:rPr>
      </w:pPr>
    </w:p>
    <w:p w:rsidR="001C7ED6" w:rsidRPr="00D01149" w:rsidP="008B0D4B" w14:paraId="1E3F45C4" w14:textId="2A83671E">
      <w:pPr>
        <w:pStyle w:val="NoSpacing"/>
        <w:numPr>
          <w:ilvl w:val="0"/>
          <w:numId w:val="24"/>
        </w:numPr>
        <w:spacing w:line="320" w:lineRule="exact"/>
        <w:rPr>
          <w:rFonts w:asciiTheme="majorHAnsi" w:hAnsiTheme="majorHAnsi"/>
          <w:sz w:val="24"/>
        </w:rPr>
      </w:pPr>
      <w:r w:rsidRPr="00D01149">
        <w:rPr>
          <w:rFonts w:asciiTheme="majorHAnsi" w:hAnsiTheme="majorHAnsi"/>
          <w:sz w:val="24"/>
        </w:rPr>
        <w:t>Collection Instrument(s)</w:t>
      </w:r>
    </w:p>
    <w:p w:rsidR="001C7ED6" w:rsidRPr="00D01149" w:rsidP="001C7ED6" w14:paraId="7C6435E2" w14:textId="29BDE0EE">
      <w:pPr>
        <w:ind w:left="720"/>
        <w:contextualSpacing/>
        <w:rPr>
          <w:rFonts w:eastAsia="Calibri" w:asciiTheme="majorHAnsi" w:hAnsiTheme="majorHAnsi"/>
        </w:rPr>
      </w:pPr>
      <w:r w:rsidRPr="00D01149">
        <w:rPr>
          <w:rFonts w:eastAsia="Calibri" w:asciiTheme="majorHAnsi" w:hAnsiTheme="majorHAnsi"/>
        </w:rPr>
        <w:t>DoD ABIS</w:t>
      </w:r>
      <w:r w:rsidRPr="00D01149">
        <w:rPr>
          <w:rFonts w:eastAsia="Calibri" w:asciiTheme="majorHAnsi" w:hAnsiTheme="majorHAnsi"/>
        </w:rPr>
        <w:t xml:space="preserve"> </w:t>
      </w:r>
    </w:p>
    <w:p w:rsidR="001C7ED6" w:rsidRPr="00D01149" w:rsidP="001C7ED6" w14:paraId="2B741C75" w14:textId="4F25D3B1">
      <w:pPr>
        <w:numPr>
          <w:ilvl w:val="0"/>
          <w:numId w:val="18"/>
        </w:numPr>
        <w:contextualSpacing/>
        <w:rPr>
          <w:rFonts w:eastAsia="Calibri" w:asciiTheme="majorHAnsi" w:hAnsiTheme="majorHAnsi"/>
        </w:rPr>
      </w:pPr>
      <w:r w:rsidRPr="00D01149">
        <w:rPr>
          <w:rFonts w:eastAsia="Calibri" w:asciiTheme="majorHAnsi" w:hAnsiTheme="majorHAnsi"/>
        </w:rPr>
        <w:t xml:space="preserve">Number of Respondents: </w:t>
      </w:r>
      <w:bookmarkStart w:id="4" w:name="_Hlk179979144"/>
      <w:r w:rsidRPr="00D01149" w:rsidR="001122A8">
        <w:rPr>
          <w:rFonts w:eastAsia="Calibri" w:asciiTheme="majorHAnsi" w:hAnsiTheme="majorHAnsi"/>
        </w:rPr>
        <w:t>1,430,000</w:t>
      </w:r>
      <w:bookmarkEnd w:id="4"/>
    </w:p>
    <w:p w:rsidR="001C7ED6" w:rsidRPr="00D01149" w:rsidP="001C7ED6" w14:paraId="20748A00" w14:textId="71FDC348">
      <w:pPr>
        <w:numPr>
          <w:ilvl w:val="0"/>
          <w:numId w:val="18"/>
        </w:numPr>
        <w:contextualSpacing/>
        <w:rPr>
          <w:rFonts w:eastAsia="Calibri" w:asciiTheme="majorHAnsi" w:hAnsiTheme="majorHAnsi"/>
        </w:rPr>
      </w:pPr>
      <w:r w:rsidRPr="00D01149">
        <w:rPr>
          <w:rFonts w:eastAsia="Calibri" w:asciiTheme="majorHAnsi" w:hAnsiTheme="majorHAnsi"/>
        </w:rPr>
        <w:t>Number of Responses Per Respondent: 1</w:t>
      </w:r>
    </w:p>
    <w:p w:rsidR="001C7ED6" w:rsidRPr="00D01149" w:rsidP="001C7ED6" w14:paraId="31DEDF25" w14:textId="793706D6">
      <w:pPr>
        <w:numPr>
          <w:ilvl w:val="0"/>
          <w:numId w:val="18"/>
        </w:numPr>
        <w:contextualSpacing/>
        <w:rPr>
          <w:rFonts w:eastAsia="Calibri" w:asciiTheme="majorHAnsi" w:hAnsiTheme="majorHAnsi"/>
        </w:rPr>
      </w:pPr>
      <w:r w:rsidRPr="00D01149">
        <w:rPr>
          <w:rFonts w:eastAsia="Calibri" w:asciiTheme="majorHAnsi" w:hAnsiTheme="majorHAnsi"/>
        </w:rPr>
        <w:t xml:space="preserve">Number of Total Annual Responses: </w:t>
      </w:r>
      <w:r w:rsidRPr="00D01149" w:rsidR="00F252A0">
        <w:rPr>
          <w:rFonts w:eastAsia="Calibri" w:asciiTheme="majorHAnsi" w:hAnsiTheme="majorHAnsi"/>
        </w:rPr>
        <w:t>1,4</w:t>
      </w:r>
      <w:r w:rsidRPr="00D01149" w:rsidR="00E87D70">
        <w:rPr>
          <w:rFonts w:eastAsia="Calibri" w:asciiTheme="majorHAnsi" w:hAnsiTheme="majorHAnsi"/>
        </w:rPr>
        <w:t>3</w:t>
      </w:r>
      <w:r w:rsidRPr="00D01149" w:rsidR="00F252A0">
        <w:rPr>
          <w:rFonts w:eastAsia="Calibri" w:asciiTheme="majorHAnsi" w:hAnsiTheme="majorHAnsi"/>
        </w:rPr>
        <w:t xml:space="preserve">0,000 </w:t>
      </w:r>
    </w:p>
    <w:p w:rsidR="001C7ED6" w:rsidRPr="00D01149" w:rsidP="001C7ED6" w14:paraId="4E234A4F" w14:textId="357B81ED">
      <w:pPr>
        <w:numPr>
          <w:ilvl w:val="0"/>
          <w:numId w:val="18"/>
        </w:numPr>
        <w:contextualSpacing/>
        <w:rPr>
          <w:rFonts w:eastAsia="Calibri" w:asciiTheme="majorHAnsi" w:hAnsiTheme="majorHAnsi"/>
        </w:rPr>
      </w:pPr>
      <w:r w:rsidRPr="00D01149">
        <w:rPr>
          <w:rFonts w:eastAsia="Calibri" w:asciiTheme="majorHAnsi" w:hAnsiTheme="majorHAnsi"/>
        </w:rPr>
        <w:t xml:space="preserve">Response Time: </w:t>
      </w:r>
      <w:r w:rsidRPr="00D01149" w:rsidR="00C17655">
        <w:rPr>
          <w:rFonts w:eastAsia="Calibri" w:asciiTheme="majorHAnsi" w:hAnsiTheme="majorHAnsi"/>
        </w:rPr>
        <w:t>7</w:t>
      </w:r>
      <w:r w:rsidRPr="00D01149">
        <w:rPr>
          <w:rFonts w:eastAsia="Calibri" w:asciiTheme="majorHAnsi" w:hAnsiTheme="majorHAnsi"/>
        </w:rPr>
        <w:t xml:space="preserve"> minutes</w:t>
      </w:r>
      <w:r w:rsidRPr="00D01149" w:rsidR="00F53FE1">
        <w:rPr>
          <w:rFonts w:eastAsia="Calibri" w:asciiTheme="majorHAnsi" w:hAnsiTheme="majorHAnsi"/>
        </w:rPr>
        <w:t xml:space="preserve"> </w:t>
      </w:r>
      <w:r w:rsidRPr="00D01149" w:rsidR="00E87D70">
        <w:rPr>
          <w:rFonts w:eastAsia="Calibri" w:asciiTheme="majorHAnsi" w:hAnsiTheme="majorHAnsi"/>
        </w:rPr>
        <w:t>(.117 hours)</w:t>
      </w:r>
    </w:p>
    <w:p w:rsidR="001C7ED6" w:rsidRPr="00D01149" w:rsidP="001C7ED6" w14:paraId="3AE6978F" w14:textId="3754FE3C">
      <w:pPr>
        <w:numPr>
          <w:ilvl w:val="0"/>
          <w:numId w:val="18"/>
        </w:numPr>
        <w:contextualSpacing/>
        <w:rPr>
          <w:rFonts w:eastAsia="Calibri" w:asciiTheme="majorHAnsi" w:hAnsiTheme="majorHAnsi"/>
        </w:rPr>
      </w:pPr>
      <w:r w:rsidRPr="00D01149">
        <w:rPr>
          <w:rFonts w:eastAsia="Calibri" w:asciiTheme="majorHAnsi" w:hAnsiTheme="majorHAnsi"/>
        </w:rPr>
        <w:t xml:space="preserve">Respondent Burden Hours: </w:t>
      </w:r>
      <w:r w:rsidRPr="00D01149" w:rsidR="00123A6E">
        <w:rPr>
          <w:rFonts w:eastAsia="Calibri" w:asciiTheme="majorHAnsi" w:hAnsiTheme="majorHAnsi"/>
        </w:rPr>
        <w:t>166</w:t>
      </w:r>
      <w:r w:rsidRPr="00D01149" w:rsidR="00B35021">
        <w:rPr>
          <w:rFonts w:eastAsia="Calibri" w:asciiTheme="majorHAnsi" w:hAnsiTheme="majorHAnsi"/>
        </w:rPr>
        <w:t>,833.33 hours</w:t>
      </w:r>
    </w:p>
    <w:p w:rsidR="001C7ED6" w:rsidRPr="00D01149" w:rsidP="001C7ED6" w14:paraId="3B512124" w14:textId="77777777">
      <w:pPr>
        <w:ind w:left="1440"/>
        <w:contextualSpacing/>
        <w:rPr>
          <w:rFonts w:eastAsia="Calibri" w:asciiTheme="majorHAnsi" w:hAnsiTheme="majorHAnsi"/>
        </w:rPr>
      </w:pPr>
    </w:p>
    <w:p w:rsidR="001C7ED6" w:rsidRPr="00D01149" w:rsidP="008B0D4B" w14:paraId="327133E7" w14:textId="2D5EA81D">
      <w:pPr>
        <w:numPr>
          <w:ilvl w:val="0"/>
          <w:numId w:val="24"/>
        </w:numPr>
        <w:contextualSpacing/>
        <w:rPr>
          <w:rFonts w:eastAsia="Calibri" w:asciiTheme="majorHAnsi" w:hAnsiTheme="majorHAnsi"/>
        </w:rPr>
      </w:pPr>
      <w:r w:rsidRPr="00D01149">
        <w:rPr>
          <w:rFonts w:eastAsia="Calibri" w:asciiTheme="majorHAnsi" w:hAnsiTheme="majorHAnsi"/>
        </w:rPr>
        <w:t xml:space="preserve">Total Submission Burden </w:t>
      </w:r>
    </w:p>
    <w:p w:rsidR="001C7ED6" w:rsidRPr="00D01149" w:rsidP="001C7ED6" w14:paraId="3BE0E5E2" w14:textId="620955DA">
      <w:pPr>
        <w:numPr>
          <w:ilvl w:val="1"/>
          <w:numId w:val="17"/>
        </w:numPr>
        <w:contextualSpacing/>
        <w:rPr>
          <w:rFonts w:eastAsia="Calibri" w:asciiTheme="majorHAnsi" w:hAnsiTheme="majorHAnsi"/>
        </w:rPr>
      </w:pPr>
      <w:r w:rsidRPr="00D01149">
        <w:rPr>
          <w:rFonts w:eastAsia="Calibri" w:asciiTheme="majorHAnsi" w:hAnsiTheme="majorHAnsi"/>
        </w:rPr>
        <w:t xml:space="preserve">Total Number of Respondents: </w:t>
      </w:r>
      <w:r w:rsidRPr="00D01149" w:rsidR="00190982">
        <w:rPr>
          <w:rFonts w:eastAsia="Calibri" w:asciiTheme="majorHAnsi" w:hAnsiTheme="majorHAnsi"/>
        </w:rPr>
        <w:t>1,430,000</w:t>
      </w:r>
    </w:p>
    <w:p w:rsidR="001C7ED6" w:rsidRPr="00D01149" w:rsidP="001C7ED6" w14:paraId="3DDFD516" w14:textId="07CE51E4">
      <w:pPr>
        <w:numPr>
          <w:ilvl w:val="1"/>
          <w:numId w:val="17"/>
        </w:numPr>
        <w:contextualSpacing/>
        <w:rPr>
          <w:rFonts w:eastAsia="Calibri" w:asciiTheme="majorHAnsi" w:hAnsiTheme="majorHAnsi"/>
        </w:rPr>
      </w:pPr>
      <w:r w:rsidRPr="00D01149">
        <w:rPr>
          <w:rFonts w:eastAsia="Calibri" w:asciiTheme="majorHAnsi" w:hAnsiTheme="majorHAnsi"/>
        </w:rPr>
        <w:t xml:space="preserve">Total Number of Annual Responses: </w:t>
      </w:r>
      <w:r w:rsidRPr="00D01149" w:rsidR="00190982">
        <w:rPr>
          <w:rFonts w:eastAsia="Calibri" w:asciiTheme="majorHAnsi" w:hAnsiTheme="majorHAnsi"/>
        </w:rPr>
        <w:t>1,430,000</w:t>
      </w:r>
    </w:p>
    <w:p w:rsidR="00563F7A" w:rsidRPr="00D01149" w:rsidP="003263DB" w14:paraId="6D077383" w14:textId="648126A7">
      <w:pPr>
        <w:numPr>
          <w:ilvl w:val="1"/>
          <w:numId w:val="17"/>
        </w:numPr>
        <w:contextualSpacing/>
        <w:rPr>
          <w:rFonts w:eastAsia="Calibri" w:asciiTheme="majorHAnsi" w:hAnsiTheme="majorHAnsi"/>
        </w:rPr>
      </w:pPr>
      <w:r w:rsidRPr="00D01149">
        <w:rPr>
          <w:rFonts w:eastAsia="Calibri" w:asciiTheme="majorHAnsi" w:hAnsiTheme="majorHAnsi"/>
        </w:rPr>
        <w:t xml:space="preserve">Total Respondent Burden Hours: </w:t>
      </w:r>
      <w:r w:rsidRPr="00D01149" w:rsidR="00190982">
        <w:rPr>
          <w:rFonts w:eastAsia="Calibri" w:asciiTheme="majorHAnsi" w:hAnsiTheme="majorHAnsi"/>
        </w:rPr>
        <w:t>166,833 hours</w:t>
      </w:r>
    </w:p>
    <w:p w:rsidR="00997661" w:rsidRPr="00D01149" w:rsidP="00563F7A" w14:paraId="4DEC58F5" w14:textId="77777777">
      <w:pPr>
        <w:ind w:left="1440"/>
        <w:contextualSpacing/>
        <w:rPr>
          <w:rFonts w:eastAsia="Calibri" w:asciiTheme="majorHAnsi" w:hAnsiTheme="majorHAnsi"/>
        </w:rPr>
      </w:pPr>
    </w:p>
    <w:p w:rsidR="00005ED8" w:rsidRPr="00D01149" w:rsidP="008B0D4B" w14:paraId="02A43A58" w14:textId="39C34A87">
      <w:pPr>
        <w:pStyle w:val="NormalWeb"/>
        <w:spacing w:before="0" w:beforeAutospacing="0" w:after="0" w:afterAutospacing="0" w:line="288" w:lineRule="atLeast"/>
        <w:rPr>
          <w:rFonts w:asciiTheme="majorHAnsi" w:eastAsiaTheme="minorEastAsia" w:hAnsiTheme="majorHAnsi"/>
        </w:rPr>
      </w:pPr>
      <w:r w:rsidRPr="00D01149">
        <w:rPr>
          <w:rFonts w:asciiTheme="majorHAnsi" w:eastAsiaTheme="minorEastAsia" w:hAnsiTheme="majorHAnsi"/>
        </w:rPr>
        <w:t>Part B: LABOR COST OF RESPONDENT BURDEN</w:t>
      </w:r>
    </w:p>
    <w:p w:rsidR="0059720E" w:rsidRPr="00D01149" w:rsidP="0059720E" w14:paraId="36F56226" w14:textId="77777777">
      <w:pPr>
        <w:pStyle w:val="NoSpacing"/>
        <w:rPr>
          <w:rFonts w:asciiTheme="majorHAnsi" w:hAnsiTheme="majorHAnsi"/>
          <w:sz w:val="24"/>
        </w:rPr>
      </w:pPr>
    </w:p>
    <w:p w:rsidR="00997661" w:rsidRPr="00D01149" w:rsidP="00997661" w14:paraId="69D02C37" w14:textId="77777777">
      <w:pPr>
        <w:pStyle w:val="ListParagraph"/>
        <w:numPr>
          <w:ilvl w:val="0"/>
          <w:numId w:val="12"/>
        </w:numPr>
        <w:spacing w:after="0" w:line="240" w:lineRule="auto"/>
        <w:rPr>
          <w:rFonts w:asciiTheme="majorHAnsi" w:hAnsiTheme="majorHAnsi"/>
          <w:sz w:val="24"/>
        </w:rPr>
      </w:pPr>
      <w:r w:rsidRPr="00D01149">
        <w:rPr>
          <w:rFonts w:asciiTheme="majorHAnsi" w:hAnsiTheme="majorHAnsi"/>
          <w:sz w:val="24"/>
        </w:rPr>
        <w:t>Collection Instrument(s)</w:t>
      </w:r>
    </w:p>
    <w:p w:rsidR="00997661" w:rsidRPr="00D01149" w:rsidP="00997661" w14:paraId="723D28F2" w14:textId="04269725">
      <w:pPr>
        <w:pStyle w:val="ListParagraph"/>
        <w:spacing w:after="0" w:line="240" w:lineRule="auto"/>
        <w:rPr>
          <w:rFonts w:asciiTheme="majorHAnsi" w:hAnsiTheme="majorHAnsi"/>
          <w:sz w:val="24"/>
        </w:rPr>
      </w:pPr>
      <w:r w:rsidRPr="00D01149">
        <w:rPr>
          <w:rFonts w:asciiTheme="majorHAnsi" w:hAnsiTheme="majorHAnsi"/>
          <w:sz w:val="24"/>
        </w:rPr>
        <w:t>DoD ABIS</w:t>
      </w:r>
    </w:p>
    <w:p w:rsidR="00997661" w:rsidRPr="00D01149" w:rsidP="00997661" w14:paraId="2F58CC7E" w14:textId="4F42DF03">
      <w:pPr>
        <w:pStyle w:val="ListParagraph"/>
        <w:numPr>
          <w:ilvl w:val="0"/>
          <w:numId w:val="13"/>
        </w:numPr>
        <w:spacing w:after="0" w:line="240" w:lineRule="auto"/>
        <w:rPr>
          <w:rFonts w:asciiTheme="majorHAnsi" w:hAnsiTheme="majorHAnsi"/>
          <w:sz w:val="24"/>
        </w:rPr>
      </w:pPr>
      <w:r w:rsidRPr="00D01149">
        <w:rPr>
          <w:rFonts w:asciiTheme="majorHAnsi" w:hAnsiTheme="majorHAnsi"/>
          <w:sz w:val="24"/>
        </w:rPr>
        <w:t xml:space="preserve">Number of Total Annual Responses: </w:t>
      </w:r>
      <w:r w:rsidRPr="00D01149" w:rsidR="00F551FA">
        <w:rPr>
          <w:rFonts w:asciiTheme="majorHAnsi" w:hAnsiTheme="majorHAnsi"/>
          <w:sz w:val="24"/>
        </w:rPr>
        <w:t>1,430,000</w:t>
      </w:r>
    </w:p>
    <w:p w:rsidR="00997661" w:rsidRPr="00D01149" w:rsidP="00997661" w14:paraId="7CA9CBEC" w14:textId="77C28C9F">
      <w:pPr>
        <w:pStyle w:val="ListParagraph"/>
        <w:numPr>
          <w:ilvl w:val="0"/>
          <w:numId w:val="13"/>
        </w:numPr>
        <w:spacing w:after="0" w:line="240" w:lineRule="auto"/>
        <w:rPr>
          <w:rFonts w:asciiTheme="majorHAnsi" w:hAnsiTheme="majorHAnsi"/>
          <w:sz w:val="24"/>
        </w:rPr>
      </w:pPr>
      <w:r w:rsidRPr="00D01149">
        <w:rPr>
          <w:rFonts w:asciiTheme="majorHAnsi" w:hAnsiTheme="majorHAnsi"/>
          <w:sz w:val="24"/>
        </w:rPr>
        <w:t xml:space="preserve">Response Time: </w:t>
      </w:r>
      <w:r w:rsidRPr="00D01149" w:rsidR="00716479">
        <w:rPr>
          <w:rFonts w:asciiTheme="majorHAnsi" w:hAnsiTheme="majorHAnsi"/>
          <w:sz w:val="24"/>
        </w:rPr>
        <w:t>7 minutes</w:t>
      </w:r>
    </w:p>
    <w:p w:rsidR="00997661" w:rsidRPr="00D01149" w:rsidP="00997661" w14:paraId="190107E2" w14:textId="1EC15656">
      <w:pPr>
        <w:pStyle w:val="ListParagraph"/>
        <w:numPr>
          <w:ilvl w:val="0"/>
          <w:numId w:val="13"/>
        </w:numPr>
        <w:spacing w:after="0" w:line="240" w:lineRule="auto"/>
        <w:rPr>
          <w:rFonts w:asciiTheme="majorHAnsi" w:hAnsiTheme="majorHAnsi"/>
          <w:sz w:val="24"/>
        </w:rPr>
      </w:pPr>
      <w:r w:rsidRPr="00D01149">
        <w:rPr>
          <w:rFonts w:asciiTheme="majorHAnsi" w:hAnsiTheme="majorHAnsi"/>
          <w:sz w:val="24"/>
        </w:rPr>
        <w:t>Respondent Hourly Wage: $</w:t>
      </w:r>
      <w:r w:rsidRPr="00D01149" w:rsidR="00716479">
        <w:rPr>
          <w:rFonts w:asciiTheme="majorHAnsi" w:hAnsiTheme="majorHAnsi"/>
          <w:sz w:val="24"/>
        </w:rPr>
        <w:t>7.25</w:t>
      </w:r>
    </w:p>
    <w:p w:rsidR="00997661" w:rsidRPr="00D01149" w:rsidP="00997661" w14:paraId="57983959" w14:textId="26AB21CD">
      <w:pPr>
        <w:pStyle w:val="ListParagraph"/>
        <w:numPr>
          <w:ilvl w:val="0"/>
          <w:numId w:val="13"/>
        </w:numPr>
        <w:spacing w:after="0" w:line="240" w:lineRule="auto"/>
        <w:rPr>
          <w:rFonts w:asciiTheme="majorHAnsi" w:hAnsiTheme="majorHAnsi"/>
          <w:sz w:val="24"/>
        </w:rPr>
      </w:pPr>
      <w:r w:rsidRPr="00D01149">
        <w:rPr>
          <w:rFonts w:asciiTheme="majorHAnsi" w:hAnsiTheme="majorHAnsi"/>
          <w:sz w:val="24"/>
        </w:rPr>
        <w:t xml:space="preserve">Labor Burden per Response: </w:t>
      </w:r>
      <w:r w:rsidRPr="00D01149" w:rsidR="004D0AE3">
        <w:rPr>
          <w:rFonts w:asciiTheme="majorHAnsi" w:hAnsiTheme="majorHAnsi"/>
          <w:sz w:val="24"/>
        </w:rPr>
        <w:t>$</w:t>
      </w:r>
      <w:r w:rsidRPr="00D01149" w:rsidR="00483F14">
        <w:rPr>
          <w:rFonts w:asciiTheme="majorHAnsi" w:hAnsiTheme="majorHAnsi"/>
          <w:sz w:val="24"/>
        </w:rPr>
        <w:t>0.85</w:t>
      </w:r>
    </w:p>
    <w:p w:rsidR="00997661" w:rsidRPr="00D01149" w:rsidP="00997661" w14:paraId="05DCF9C8" w14:textId="7D99968F">
      <w:pPr>
        <w:pStyle w:val="ListParagraph"/>
        <w:numPr>
          <w:ilvl w:val="0"/>
          <w:numId w:val="13"/>
        </w:numPr>
        <w:spacing w:after="0" w:line="240" w:lineRule="auto"/>
        <w:rPr>
          <w:rFonts w:asciiTheme="majorHAnsi" w:hAnsiTheme="majorHAnsi"/>
          <w:sz w:val="24"/>
        </w:rPr>
      </w:pPr>
      <w:r w:rsidRPr="00D01149">
        <w:rPr>
          <w:rFonts w:asciiTheme="majorHAnsi" w:hAnsiTheme="majorHAnsi"/>
          <w:sz w:val="24"/>
        </w:rPr>
        <w:t xml:space="preserve">Total Labor Burden: </w:t>
      </w:r>
      <w:r w:rsidRPr="00D01149" w:rsidR="00772B55">
        <w:rPr>
          <w:rFonts w:asciiTheme="majorHAnsi" w:hAnsiTheme="majorHAnsi"/>
          <w:sz w:val="24"/>
        </w:rPr>
        <w:t>$</w:t>
      </w:r>
      <w:r w:rsidRPr="00D01149" w:rsidR="004D51CD">
        <w:rPr>
          <w:rFonts w:asciiTheme="majorHAnsi" w:hAnsiTheme="majorHAnsi"/>
          <w:sz w:val="24"/>
        </w:rPr>
        <w:t>1,</w:t>
      </w:r>
      <w:r w:rsidRPr="004D51CD" w:rsidR="004D51CD">
        <w:rPr>
          <w:rFonts w:asciiTheme="majorHAnsi" w:hAnsiTheme="majorHAnsi" w:cs="Times New Roman"/>
          <w:sz w:val="24"/>
          <w:szCs w:val="24"/>
        </w:rPr>
        <w:t>209,541.6</w:t>
      </w:r>
      <w:r w:rsidR="004D51CD">
        <w:rPr>
          <w:rFonts w:asciiTheme="majorHAnsi" w:hAnsiTheme="majorHAnsi" w:cs="Times New Roman"/>
          <w:sz w:val="24"/>
          <w:szCs w:val="24"/>
        </w:rPr>
        <w:t>7</w:t>
      </w:r>
    </w:p>
    <w:p w:rsidR="00997661" w:rsidRPr="00D01149" w:rsidP="00997661" w14:paraId="09671718" w14:textId="77777777">
      <w:pPr>
        <w:pStyle w:val="ListParagraph"/>
        <w:spacing w:after="0" w:line="240" w:lineRule="auto"/>
        <w:ind w:left="1440"/>
        <w:rPr>
          <w:rFonts w:asciiTheme="majorHAnsi" w:hAnsiTheme="majorHAnsi"/>
          <w:sz w:val="24"/>
        </w:rPr>
      </w:pPr>
    </w:p>
    <w:p w:rsidR="00997661" w:rsidRPr="00D01149" w:rsidP="00997661" w14:paraId="52EDB85A" w14:textId="77777777">
      <w:pPr>
        <w:pStyle w:val="ListParagraph"/>
        <w:numPr>
          <w:ilvl w:val="0"/>
          <w:numId w:val="12"/>
        </w:numPr>
        <w:spacing w:after="0" w:line="240" w:lineRule="auto"/>
        <w:rPr>
          <w:rFonts w:asciiTheme="majorHAnsi" w:hAnsiTheme="majorHAnsi"/>
          <w:sz w:val="24"/>
        </w:rPr>
      </w:pPr>
      <w:r w:rsidRPr="00D01149">
        <w:rPr>
          <w:rFonts w:asciiTheme="majorHAnsi" w:hAnsiTheme="majorHAnsi"/>
          <w:sz w:val="24"/>
        </w:rPr>
        <w:t>Overall</w:t>
      </w:r>
      <w:r w:rsidRPr="00D01149">
        <w:rPr>
          <w:rFonts w:asciiTheme="majorHAnsi" w:hAnsiTheme="majorHAnsi"/>
          <w:sz w:val="24"/>
        </w:rPr>
        <w:t xml:space="preserve"> Labor Burden </w:t>
      </w:r>
    </w:p>
    <w:p w:rsidR="00997661" w:rsidRPr="00D01149" w:rsidP="00997661" w14:paraId="04C63D39" w14:textId="53724C7B">
      <w:pPr>
        <w:pStyle w:val="ListParagraph"/>
        <w:numPr>
          <w:ilvl w:val="1"/>
          <w:numId w:val="12"/>
        </w:numPr>
        <w:spacing w:after="0" w:line="240" w:lineRule="auto"/>
        <w:rPr>
          <w:rFonts w:asciiTheme="majorHAnsi" w:hAnsiTheme="majorHAnsi"/>
          <w:sz w:val="24"/>
        </w:rPr>
      </w:pPr>
      <w:r w:rsidRPr="00D01149">
        <w:rPr>
          <w:rFonts w:asciiTheme="majorHAnsi" w:hAnsiTheme="majorHAnsi"/>
          <w:sz w:val="24"/>
        </w:rPr>
        <w:t xml:space="preserve">Total Number of Annual Responses: </w:t>
      </w:r>
      <w:r w:rsidRPr="00D01149" w:rsidR="00772B55">
        <w:rPr>
          <w:rFonts w:asciiTheme="majorHAnsi" w:hAnsiTheme="majorHAnsi"/>
          <w:sz w:val="24"/>
        </w:rPr>
        <w:t>1,430,000</w:t>
      </w:r>
    </w:p>
    <w:p w:rsidR="00997661" w:rsidRPr="00D01149" w:rsidP="00997661" w14:paraId="44277618" w14:textId="0831F43F">
      <w:pPr>
        <w:pStyle w:val="ListParagraph"/>
        <w:numPr>
          <w:ilvl w:val="1"/>
          <w:numId w:val="12"/>
        </w:numPr>
        <w:spacing w:after="0" w:line="240" w:lineRule="auto"/>
        <w:rPr>
          <w:rFonts w:asciiTheme="majorHAnsi" w:hAnsiTheme="majorHAnsi"/>
          <w:sz w:val="24"/>
        </w:rPr>
      </w:pPr>
      <w:r w:rsidRPr="00D01149">
        <w:rPr>
          <w:rFonts w:asciiTheme="majorHAnsi" w:hAnsiTheme="majorHAnsi"/>
          <w:sz w:val="24"/>
        </w:rPr>
        <w:t xml:space="preserve">Total Labor Burden: </w:t>
      </w:r>
      <w:r w:rsidRPr="00D01149" w:rsidR="00FE432D">
        <w:rPr>
          <w:rFonts w:asciiTheme="majorHAnsi" w:hAnsiTheme="majorHAnsi"/>
          <w:sz w:val="24"/>
        </w:rPr>
        <w:t>$1,</w:t>
      </w:r>
      <w:r w:rsidRPr="000A5004" w:rsidR="00FE432D">
        <w:rPr>
          <w:rFonts w:asciiTheme="majorHAnsi" w:hAnsiTheme="majorHAnsi" w:cs="Times New Roman"/>
          <w:sz w:val="24"/>
          <w:szCs w:val="24"/>
        </w:rPr>
        <w:t>2</w:t>
      </w:r>
      <w:r w:rsidR="004D51CD">
        <w:rPr>
          <w:rFonts w:asciiTheme="majorHAnsi" w:hAnsiTheme="majorHAnsi" w:cs="Times New Roman"/>
          <w:sz w:val="24"/>
          <w:szCs w:val="24"/>
        </w:rPr>
        <w:t>09,542</w:t>
      </w:r>
    </w:p>
    <w:p w:rsidR="00997661" w:rsidRPr="00D01149" w:rsidP="00997661" w14:paraId="38EA4E03" w14:textId="77777777">
      <w:pPr>
        <w:rPr>
          <w:rFonts w:asciiTheme="majorHAnsi" w:hAnsiTheme="majorHAnsi"/>
        </w:rPr>
      </w:pPr>
    </w:p>
    <w:p w:rsidR="00005ED8" w:rsidRPr="00D01149" w:rsidP="008B0D4B" w14:paraId="27EEC271" w14:textId="3CBB1A3E">
      <w:pPr>
        <w:rPr>
          <w:rFonts w:asciiTheme="majorHAnsi" w:hAnsiTheme="majorHAnsi"/>
        </w:rPr>
      </w:pPr>
      <w:r w:rsidRPr="00D01149">
        <w:rPr>
          <w:rFonts w:asciiTheme="majorHAnsi" w:hAnsiTheme="majorHAnsi"/>
        </w:rPr>
        <w:t>All information</w:t>
      </w:r>
      <w:r w:rsidRPr="00D01149">
        <w:rPr>
          <w:rFonts w:asciiTheme="majorHAnsi" w:hAnsiTheme="majorHAnsi"/>
        </w:rPr>
        <w:t xml:space="preserve"> was derived </w:t>
      </w:r>
      <w:r w:rsidRPr="00D01149" w:rsidR="005D4640">
        <w:rPr>
          <w:rFonts w:asciiTheme="majorHAnsi" w:hAnsiTheme="majorHAnsi"/>
        </w:rPr>
        <w:t>using</w:t>
      </w:r>
      <w:r w:rsidRPr="00D01149">
        <w:rPr>
          <w:rFonts w:asciiTheme="majorHAnsi" w:hAnsiTheme="majorHAnsi"/>
        </w:rPr>
        <w:t xml:space="preserve"> the </w:t>
      </w:r>
      <w:r w:rsidRPr="00D01149" w:rsidR="00AF3373">
        <w:rPr>
          <w:rFonts w:asciiTheme="majorHAnsi" w:hAnsiTheme="majorHAnsi"/>
          <w:color w:val="000000"/>
        </w:rPr>
        <w:t>Federal minimum wage of $7.25 as the estimated hourly wage.</w:t>
      </w:r>
    </w:p>
    <w:p w:rsidR="00005ED8" w:rsidRPr="00D01149" w:rsidP="00005ED8" w14:paraId="0A046756" w14:textId="77777777">
      <w:pPr>
        <w:rPr>
          <w:rFonts w:asciiTheme="majorHAnsi" w:hAnsiTheme="majorHAnsi"/>
          <w:color w:val="FF0000"/>
        </w:rPr>
      </w:pPr>
    </w:p>
    <w:p w:rsidR="00982820" w:rsidRPr="00D01149" w:rsidP="000E5B31" w14:paraId="5A8F2BED" w14:textId="77777777">
      <w:pPr>
        <w:pStyle w:val="NoSpacing"/>
        <w:spacing w:line="120" w:lineRule="exact"/>
        <w:rPr>
          <w:rFonts w:asciiTheme="majorHAnsi" w:hAnsiTheme="majorHAnsi"/>
          <w:sz w:val="24"/>
        </w:rPr>
      </w:pPr>
    </w:p>
    <w:p w:rsidR="00E643E5" w:rsidRPr="00D01149" w:rsidP="00D93AA8" w14:paraId="5802D1B3" w14:textId="6407C007">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 xml:space="preserve">Respondent Costs Other </w:t>
      </w:r>
      <w:r w:rsidRPr="00D01149" w:rsidR="00AF7421">
        <w:rPr>
          <w:rFonts w:asciiTheme="majorHAnsi" w:hAnsiTheme="majorHAnsi"/>
          <w:b/>
          <w:sz w:val="24"/>
          <w:u w:val="single"/>
        </w:rPr>
        <w:t>T</w:t>
      </w:r>
      <w:r w:rsidRPr="00D01149" w:rsidR="00030B1E">
        <w:rPr>
          <w:rFonts w:asciiTheme="majorHAnsi" w:hAnsiTheme="majorHAnsi"/>
          <w:b/>
          <w:sz w:val="24"/>
          <w:u w:val="single"/>
        </w:rPr>
        <w:t>han</w:t>
      </w:r>
      <w:r w:rsidRPr="00D01149">
        <w:rPr>
          <w:rFonts w:asciiTheme="majorHAnsi" w:hAnsiTheme="majorHAnsi"/>
          <w:b/>
          <w:sz w:val="24"/>
          <w:u w:val="single"/>
        </w:rPr>
        <w:t xml:space="preserve"> Burden Hour Costs</w:t>
      </w:r>
    </w:p>
    <w:p w:rsidR="008926C4" w:rsidRPr="00D01149" w:rsidP="00E643E5" w14:paraId="7F33B31D" w14:textId="77777777">
      <w:pPr>
        <w:pStyle w:val="NoSpacing"/>
        <w:ind w:firstLine="720"/>
        <w:rPr>
          <w:rFonts w:asciiTheme="majorHAnsi" w:hAnsiTheme="majorHAnsi"/>
          <w:sz w:val="24"/>
        </w:rPr>
      </w:pPr>
    </w:p>
    <w:p w:rsidR="00563F7A" w:rsidRPr="00D01149" w:rsidP="008B0D4B" w14:paraId="5EDB9130" w14:textId="1A73D3E6">
      <w:pPr>
        <w:pStyle w:val="NoSpacing"/>
        <w:rPr>
          <w:rFonts w:asciiTheme="majorHAnsi" w:hAnsiTheme="majorHAnsi"/>
          <w:sz w:val="24"/>
        </w:rPr>
      </w:pPr>
      <w:r w:rsidRPr="00D01149">
        <w:rPr>
          <w:rFonts w:asciiTheme="majorHAnsi" w:hAnsiTheme="majorHAnsi"/>
          <w:sz w:val="24"/>
        </w:rPr>
        <w:t>There are no annualized costs to respondents other than the labor burden costs addressed in Section 12 of this document to complete this collection.</w:t>
      </w:r>
    </w:p>
    <w:p w:rsidR="00982820" w:rsidRPr="00D01149" w:rsidP="008B0D4B" w14:paraId="11B47653" w14:textId="77777777">
      <w:pPr>
        <w:pStyle w:val="NoSpacing"/>
        <w:rPr>
          <w:rFonts w:asciiTheme="majorHAnsi" w:hAnsiTheme="majorHAnsi"/>
          <w:sz w:val="24"/>
        </w:rPr>
      </w:pPr>
    </w:p>
    <w:p w:rsidR="00982820" w:rsidRPr="00D01149" w:rsidP="00982820" w14:paraId="5AF482F8" w14:textId="4F871005">
      <w:pPr>
        <w:pStyle w:val="ListParagraph"/>
        <w:numPr>
          <w:ilvl w:val="0"/>
          <w:numId w:val="14"/>
        </w:numPr>
        <w:spacing w:after="0" w:line="240" w:lineRule="auto"/>
        <w:ind w:hanging="720"/>
        <w:rPr>
          <w:rFonts w:asciiTheme="majorHAnsi" w:hAnsiTheme="majorHAnsi"/>
          <w:b/>
          <w:sz w:val="24"/>
          <w:u w:val="single"/>
        </w:rPr>
      </w:pPr>
      <w:r w:rsidRPr="00D01149">
        <w:rPr>
          <w:rFonts w:asciiTheme="majorHAnsi" w:hAnsiTheme="majorHAnsi"/>
          <w:b/>
          <w:sz w:val="24"/>
          <w:u w:val="single"/>
        </w:rPr>
        <w:t>Cost to the Federal Government</w:t>
      </w:r>
    </w:p>
    <w:p w:rsidR="0052293E" w:rsidRPr="00D01149" w:rsidP="008B0D4B" w14:paraId="0B7E732D" w14:textId="77777777">
      <w:pPr>
        <w:pStyle w:val="ListParagraph"/>
        <w:spacing w:after="0" w:line="240" w:lineRule="auto"/>
        <w:rPr>
          <w:rFonts w:asciiTheme="majorHAnsi" w:hAnsiTheme="majorHAnsi"/>
          <w:b/>
          <w:sz w:val="24"/>
          <w:u w:val="single"/>
        </w:rPr>
      </w:pPr>
    </w:p>
    <w:p w:rsidR="0052293E" w:rsidRPr="00D01149" w:rsidP="008B0D4B" w14:paraId="22F44106" w14:textId="3B97A63B">
      <w:pPr>
        <w:pStyle w:val="NormalWeb"/>
        <w:spacing w:before="0" w:beforeAutospacing="0" w:after="0" w:afterAutospacing="0"/>
        <w:rPr>
          <w:rFonts w:asciiTheme="majorHAnsi" w:eastAsiaTheme="minorEastAsia" w:hAnsiTheme="majorHAnsi"/>
        </w:rPr>
      </w:pPr>
      <w:r w:rsidRPr="00D01149">
        <w:rPr>
          <w:rFonts w:asciiTheme="majorHAnsi" w:eastAsiaTheme="minorEastAsia" w:hAnsiTheme="majorHAnsi"/>
        </w:rPr>
        <w:t>Part A:  LABOR COST OF THE FEDERAL GOVERNMENT</w:t>
      </w:r>
    </w:p>
    <w:p w:rsidR="00982820" w:rsidRPr="00D01149" w:rsidP="008B0D4B" w14:paraId="121B411F" w14:textId="2337B7D6">
      <w:pPr>
        <w:pStyle w:val="NormalWeb"/>
        <w:spacing w:before="0" w:beforeAutospacing="0" w:after="0" w:afterAutospacing="0"/>
        <w:rPr>
          <w:rFonts w:asciiTheme="majorHAnsi" w:hAnsiTheme="majorHAnsi"/>
        </w:rPr>
      </w:pPr>
      <w:r w:rsidRPr="00D01149">
        <w:rPr>
          <w:rFonts w:asciiTheme="majorHAnsi" w:hAnsiTheme="majorHAnsi"/>
        </w:rPr>
        <w:t xml:space="preserve"> </w:t>
      </w:r>
    </w:p>
    <w:p w:rsidR="0067430B" w:rsidRPr="00D01149" w:rsidP="0067430B" w14:paraId="508076C6" w14:textId="0B75E2CF">
      <w:pPr>
        <w:numPr>
          <w:ilvl w:val="0"/>
          <w:numId w:val="9"/>
        </w:numPr>
        <w:contextualSpacing/>
        <w:rPr>
          <w:rFonts w:eastAsia="Calibri" w:asciiTheme="majorHAnsi" w:hAnsiTheme="majorHAnsi"/>
        </w:rPr>
      </w:pPr>
      <w:r w:rsidRPr="00D01149">
        <w:rPr>
          <w:rFonts w:eastAsia="Calibri" w:asciiTheme="majorHAnsi" w:hAnsiTheme="majorHAnsi"/>
        </w:rPr>
        <w:t>Collection Instrument</w:t>
      </w:r>
    </w:p>
    <w:p w:rsidR="0067430B" w:rsidRPr="00D01149" w:rsidP="0067430B" w14:paraId="6B59584D" w14:textId="0CE3C82D">
      <w:pPr>
        <w:ind w:left="720"/>
        <w:contextualSpacing/>
        <w:rPr>
          <w:rFonts w:eastAsia="Calibri" w:asciiTheme="majorHAnsi" w:hAnsiTheme="majorHAnsi"/>
        </w:rPr>
      </w:pPr>
      <w:r w:rsidRPr="00D01149">
        <w:rPr>
          <w:rFonts w:eastAsia="Calibri" w:asciiTheme="majorHAnsi" w:hAnsiTheme="majorHAnsi"/>
        </w:rPr>
        <w:t>DoD ABIS</w:t>
      </w:r>
    </w:p>
    <w:p w:rsidR="0067430B" w:rsidRPr="00D01149" w:rsidP="0067430B" w14:paraId="5D9D8206" w14:textId="374E51EC">
      <w:pPr>
        <w:numPr>
          <w:ilvl w:val="0"/>
          <w:numId w:val="10"/>
        </w:numPr>
        <w:contextualSpacing/>
        <w:rPr>
          <w:rFonts w:eastAsia="Calibri" w:asciiTheme="majorHAnsi" w:hAnsiTheme="majorHAnsi"/>
        </w:rPr>
      </w:pPr>
      <w:r w:rsidRPr="00D01149">
        <w:rPr>
          <w:rFonts w:eastAsia="Calibri" w:asciiTheme="majorHAnsi" w:hAnsiTheme="majorHAnsi"/>
        </w:rPr>
        <w:t xml:space="preserve">Number of Total Annual Responses: </w:t>
      </w:r>
      <w:r w:rsidRPr="00D01149" w:rsidR="00334A6B">
        <w:rPr>
          <w:rFonts w:eastAsia="Calibri" w:asciiTheme="majorHAnsi" w:hAnsiTheme="majorHAnsi"/>
        </w:rPr>
        <w:t>1,430,000</w:t>
      </w:r>
    </w:p>
    <w:p w:rsidR="0067430B" w:rsidRPr="00D01149" w:rsidP="0067430B" w14:paraId="7E920A59" w14:textId="7F73D7F2">
      <w:pPr>
        <w:numPr>
          <w:ilvl w:val="0"/>
          <w:numId w:val="10"/>
        </w:numPr>
        <w:contextualSpacing/>
        <w:rPr>
          <w:rFonts w:eastAsia="Calibri" w:asciiTheme="majorHAnsi" w:hAnsiTheme="majorHAnsi"/>
        </w:rPr>
      </w:pPr>
      <w:r w:rsidRPr="00D01149">
        <w:rPr>
          <w:rFonts w:eastAsia="Calibri" w:asciiTheme="majorHAnsi" w:hAnsiTheme="majorHAnsi"/>
        </w:rPr>
        <w:t xml:space="preserve">Processing Time per Response: </w:t>
      </w:r>
      <w:r w:rsidRPr="00D01149" w:rsidR="002E4C88">
        <w:rPr>
          <w:rFonts w:eastAsia="Calibri" w:asciiTheme="majorHAnsi" w:hAnsiTheme="majorHAnsi"/>
        </w:rPr>
        <w:t>7 minutes</w:t>
      </w:r>
    </w:p>
    <w:p w:rsidR="0067430B" w:rsidRPr="00D01149" w:rsidP="0067430B" w14:paraId="43A4074C" w14:textId="45451763">
      <w:pPr>
        <w:numPr>
          <w:ilvl w:val="0"/>
          <w:numId w:val="10"/>
        </w:numPr>
        <w:contextualSpacing/>
        <w:rPr>
          <w:rFonts w:eastAsia="Calibri" w:asciiTheme="majorHAnsi" w:hAnsiTheme="majorHAnsi"/>
        </w:rPr>
      </w:pPr>
      <w:r w:rsidRPr="00D01149">
        <w:rPr>
          <w:rFonts w:eastAsia="Calibri" w:asciiTheme="majorHAnsi" w:hAnsiTheme="majorHAnsi"/>
        </w:rPr>
        <w:t xml:space="preserve">Hourly Wage of Worker(s) Processing Responses: </w:t>
      </w:r>
      <w:r w:rsidRPr="00D01149" w:rsidR="00AE6188">
        <w:rPr>
          <w:rFonts w:eastAsia="Calibri" w:asciiTheme="majorHAnsi" w:hAnsiTheme="majorHAnsi"/>
        </w:rPr>
        <w:t>$</w:t>
      </w:r>
      <w:r w:rsidRPr="00D01149" w:rsidR="00863A64">
        <w:rPr>
          <w:rFonts w:asciiTheme="majorHAnsi" w:hAnsiTheme="majorHAnsi"/>
        </w:rPr>
        <w:t>31.20</w:t>
      </w:r>
    </w:p>
    <w:p w:rsidR="0067430B" w:rsidRPr="00D01149" w:rsidP="0067430B" w14:paraId="06B8B7F8" w14:textId="1A304E8F">
      <w:pPr>
        <w:numPr>
          <w:ilvl w:val="0"/>
          <w:numId w:val="10"/>
        </w:numPr>
        <w:contextualSpacing/>
        <w:rPr>
          <w:rFonts w:eastAsia="Calibri" w:asciiTheme="majorHAnsi" w:hAnsiTheme="majorHAnsi"/>
        </w:rPr>
      </w:pPr>
      <w:r w:rsidRPr="00D01149">
        <w:rPr>
          <w:rFonts w:eastAsia="Calibri" w:asciiTheme="majorHAnsi" w:hAnsiTheme="majorHAnsi"/>
        </w:rPr>
        <w:t xml:space="preserve">Cost to Process Each Response: </w:t>
      </w:r>
      <w:r w:rsidRPr="00D01149" w:rsidR="003C1FC5">
        <w:rPr>
          <w:rFonts w:eastAsia="Calibri" w:asciiTheme="majorHAnsi" w:hAnsiTheme="majorHAnsi"/>
        </w:rPr>
        <w:t>$3.</w:t>
      </w:r>
      <w:r w:rsidRPr="000A5004" w:rsidR="003C1FC5">
        <w:rPr>
          <w:rFonts w:eastAsia="Calibri" w:asciiTheme="majorHAnsi" w:hAnsiTheme="majorHAnsi"/>
        </w:rPr>
        <w:t>6</w:t>
      </w:r>
      <w:r w:rsidR="00D762F3">
        <w:rPr>
          <w:rFonts w:eastAsia="Calibri" w:asciiTheme="majorHAnsi" w:hAnsiTheme="majorHAnsi"/>
        </w:rPr>
        <w:t>4</w:t>
      </w:r>
    </w:p>
    <w:p w:rsidR="0067430B" w:rsidRPr="00D01149" w:rsidP="0067430B" w14:paraId="777651E6" w14:textId="4A42904D">
      <w:pPr>
        <w:numPr>
          <w:ilvl w:val="0"/>
          <w:numId w:val="10"/>
        </w:numPr>
        <w:contextualSpacing/>
        <w:rPr>
          <w:rFonts w:eastAsia="Calibri" w:asciiTheme="majorHAnsi" w:hAnsiTheme="majorHAnsi"/>
        </w:rPr>
      </w:pPr>
      <w:r w:rsidRPr="00D01149">
        <w:rPr>
          <w:rFonts w:eastAsia="Calibri" w:asciiTheme="majorHAnsi" w:hAnsiTheme="majorHAnsi"/>
        </w:rPr>
        <w:t xml:space="preserve">Total Cost to Process Responses: </w:t>
      </w:r>
      <w:r w:rsidRPr="00D01149" w:rsidR="00945AAD">
        <w:rPr>
          <w:rFonts w:asciiTheme="majorHAnsi" w:hAnsiTheme="majorHAnsi"/>
        </w:rPr>
        <w:t>$5,</w:t>
      </w:r>
      <w:r w:rsidRPr="000A5004" w:rsidR="00945AAD">
        <w:rPr>
          <w:rFonts w:asciiTheme="majorHAnsi" w:hAnsiTheme="majorHAnsi"/>
        </w:rPr>
        <w:t>2</w:t>
      </w:r>
      <w:r w:rsidR="00D762F3">
        <w:rPr>
          <w:rFonts w:asciiTheme="majorHAnsi" w:hAnsiTheme="majorHAnsi"/>
        </w:rPr>
        <w:t>05,200</w:t>
      </w:r>
    </w:p>
    <w:p w:rsidR="0067430B" w:rsidRPr="00D01149" w:rsidP="0067430B" w14:paraId="1130D639" w14:textId="77777777">
      <w:pPr>
        <w:ind w:left="1440"/>
        <w:contextualSpacing/>
        <w:rPr>
          <w:rFonts w:eastAsia="Calibri" w:asciiTheme="majorHAnsi" w:hAnsiTheme="majorHAnsi"/>
        </w:rPr>
      </w:pPr>
    </w:p>
    <w:p w:rsidR="0067430B" w:rsidRPr="00D01149" w:rsidP="0067430B" w14:paraId="19971151" w14:textId="77777777">
      <w:pPr>
        <w:numPr>
          <w:ilvl w:val="0"/>
          <w:numId w:val="9"/>
        </w:numPr>
        <w:contextualSpacing/>
        <w:rPr>
          <w:rFonts w:eastAsia="Calibri" w:asciiTheme="majorHAnsi" w:hAnsiTheme="majorHAnsi"/>
        </w:rPr>
      </w:pPr>
      <w:r w:rsidRPr="00D01149">
        <w:rPr>
          <w:rFonts w:eastAsia="Calibri" w:asciiTheme="majorHAnsi" w:hAnsiTheme="majorHAnsi"/>
        </w:rPr>
        <w:t>Overall</w:t>
      </w:r>
      <w:r w:rsidRPr="00D01149">
        <w:rPr>
          <w:rFonts w:eastAsia="Calibri" w:asciiTheme="majorHAnsi" w:hAnsiTheme="majorHAnsi"/>
        </w:rPr>
        <w:t xml:space="preserve"> Labor Burden to the Federal Government</w:t>
      </w:r>
    </w:p>
    <w:p w:rsidR="0067430B" w:rsidRPr="00D01149" w:rsidP="002735CD" w14:paraId="564F225C" w14:textId="43D9AF62">
      <w:pPr>
        <w:numPr>
          <w:ilvl w:val="1"/>
          <w:numId w:val="9"/>
        </w:numPr>
        <w:contextualSpacing/>
        <w:rPr>
          <w:rFonts w:eastAsia="Calibri" w:asciiTheme="majorHAnsi" w:hAnsiTheme="majorHAnsi"/>
        </w:rPr>
      </w:pPr>
      <w:r w:rsidRPr="00D01149">
        <w:rPr>
          <w:rFonts w:eastAsia="Calibri" w:asciiTheme="majorHAnsi" w:hAnsiTheme="majorHAnsi"/>
        </w:rPr>
        <w:t xml:space="preserve">Total Number of Annual Responses: </w:t>
      </w:r>
      <w:r w:rsidRPr="00D01149" w:rsidR="00945AAD">
        <w:rPr>
          <w:rFonts w:eastAsia="Calibri" w:asciiTheme="majorHAnsi" w:hAnsiTheme="majorHAnsi"/>
        </w:rPr>
        <w:t>1,430,000</w:t>
      </w:r>
    </w:p>
    <w:p w:rsidR="0067430B" w:rsidRPr="00D01149" w:rsidP="002735CD" w14:paraId="18F3CAD4" w14:textId="76A6B755">
      <w:pPr>
        <w:numPr>
          <w:ilvl w:val="1"/>
          <w:numId w:val="9"/>
        </w:numPr>
        <w:contextualSpacing/>
        <w:rPr>
          <w:rFonts w:eastAsia="Calibri" w:asciiTheme="majorHAnsi" w:hAnsiTheme="majorHAnsi"/>
        </w:rPr>
      </w:pPr>
      <w:r w:rsidRPr="00D01149">
        <w:rPr>
          <w:rFonts w:eastAsia="Calibri" w:asciiTheme="majorHAnsi" w:hAnsiTheme="majorHAnsi"/>
        </w:rPr>
        <w:t>Total Labor Burden:</w:t>
      </w:r>
      <w:r w:rsidRPr="00D01149">
        <w:rPr>
          <w:rFonts w:eastAsia="Calibri" w:asciiTheme="majorHAnsi" w:hAnsiTheme="majorHAnsi"/>
          <w:i/>
        </w:rPr>
        <w:t xml:space="preserve"> </w:t>
      </w:r>
      <w:bookmarkStart w:id="5" w:name="_Hlk179979847"/>
      <w:r w:rsidRPr="00D01149" w:rsidR="00E77BBE">
        <w:rPr>
          <w:rFonts w:asciiTheme="majorHAnsi" w:hAnsiTheme="majorHAnsi"/>
        </w:rPr>
        <w:t>$5,</w:t>
      </w:r>
      <w:bookmarkEnd w:id="5"/>
      <w:r w:rsidR="00D762F3">
        <w:rPr>
          <w:rFonts w:asciiTheme="majorHAnsi" w:hAnsiTheme="majorHAnsi"/>
        </w:rPr>
        <w:t>205,200</w:t>
      </w:r>
    </w:p>
    <w:p w:rsidR="00A57E4A" w:rsidRPr="00D01149" w:rsidP="00A57E4A" w14:paraId="28977EC5" w14:textId="77777777">
      <w:pPr>
        <w:contextualSpacing/>
        <w:rPr>
          <w:rFonts w:eastAsia="Calibri" w:asciiTheme="majorHAnsi" w:hAnsiTheme="majorHAnsi"/>
        </w:rPr>
      </w:pPr>
    </w:p>
    <w:p w:rsidR="00A57E4A" w:rsidRPr="00D01149" w:rsidP="00A57E4A" w14:paraId="109E28B1" w14:textId="15D5D6DF">
      <w:pPr>
        <w:rPr>
          <w:rFonts w:eastAsia="Calibri" w:asciiTheme="majorHAnsi" w:hAnsiTheme="majorHAnsi"/>
        </w:rPr>
      </w:pPr>
      <w:r w:rsidRPr="00D01149">
        <w:rPr>
          <w:rFonts w:asciiTheme="majorHAnsi" w:hAnsiTheme="majorHAnsi"/>
        </w:rPr>
        <w:t xml:space="preserve">The Respondent hourly wage was </w:t>
      </w:r>
      <w:r w:rsidRPr="00D01149" w:rsidR="00711C0E">
        <w:rPr>
          <w:rFonts w:asciiTheme="majorHAnsi" w:hAnsiTheme="majorHAnsi"/>
        </w:rPr>
        <w:t>derived from the Bureau of Labor Statistics (BLS) for the mean hourly rates for a Forensic Science Technician</w:t>
      </w:r>
      <w:r w:rsidRPr="00D01149" w:rsidR="005C7C95">
        <w:rPr>
          <w:rFonts w:asciiTheme="majorHAnsi" w:hAnsiTheme="majorHAnsi"/>
        </w:rPr>
        <w:t xml:space="preserve"> ($31.20).</w:t>
      </w:r>
    </w:p>
    <w:p w:rsidR="0052293E" w:rsidRPr="00D01149" w:rsidP="005C7C95" w14:paraId="5B30B9DB" w14:textId="77777777">
      <w:pPr>
        <w:contextualSpacing/>
        <w:rPr>
          <w:rFonts w:eastAsia="Calibri" w:asciiTheme="majorHAnsi" w:hAnsiTheme="majorHAnsi"/>
        </w:rPr>
      </w:pPr>
    </w:p>
    <w:p w:rsidR="002B7709" w:rsidRPr="00D01149" w:rsidP="008B0D4B" w14:paraId="5C21A666" w14:textId="56A3D3C7">
      <w:pPr>
        <w:pStyle w:val="NormalWeb"/>
        <w:spacing w:before="0" w:beforeAutospacing="0" w:after="0" w:afterAutospacing="0"/>
        <w:rPr>
          <w:rFonts w:asciiTheme="majorHAnsi" w:hAnsiTheme="majorHAnsi"/>
          <w:color w:val="0D0D0D" w:themeColor="text1" w:themeTint="F2"/>
        </w:rPr>
      </w:pPr>
      <w:r w:rsidRPr="00D01149">
        <w:rPr>
          <w:rFonts w:asciiTheme="majorHAnsi" w:eastAsiaTheme="minorEastAsia" w:hAnsiTheme="majorHAnsi"/>
          <w:color w:val="0D0D0D" w:themeColor="text1" w:themeTint="F2"/>
        </w:rPr>
        <w:t xml:space="preserve">Part B:  </w:t>
      </w:r>
      <w:r w:rsidRPr="00D01149" w:rsidR="00982820">
        <w:rPr>
          <w:rFonts w:asciiTheme="majorHAnsi" w:eastAsiaTheme="minorEastAsia" w:hAnsiTheme="majorHAnsi"/>
          <w:color w:val="0D0D0D" w:themeColor="text1" w:themeTint="F2"/>
        </w:rPr>
        <w:t xml:space="preserve">OPERATIONAL AND MAINTENANCE COSTS </w:t>
      </w:r>
    </w:p>
    <w:p w:rsidR="0059720E" w:rsidRPr="00D01149" w:rsidP="0059720E" w14:paraId="611AEE2D" w14:textId="77777777">
      <w:pPr>
        <w:pStyle w:val="NoSpacing"/>
        <w:rPr>
          <w:rFonts w:asciiTheme="majorHAnsi" w:hAnsiTheme="majorHAnsi"/>
          <w:color w:val="0D0D0D" w:themeColor="text1" w:themeTint="F2"/>
          <w:sz w:val="24"/>
        </w:rPr>
      </w:pPr>
    </w:p>
    <w:p w:rsidR="00982820" w:rsidRPr="00D01149" w:rsidP="003263DB" w14:paraId="203CF3D9" w14:textId="39AE4E69">
      <w:pPr>
        <w:pStyle w:val="PlainText"/>
        <w:numPr>
          <w:ilvl w:val="0"/>
          <w:numId w:val="5"/>
        </w:numPr>
        <w:ind w:left="720"/>
        <w:rPr>
          <w:rFonts w:asciiTheme="majorHAnsi" w:hAnsiTheme="majorHAnsi"/>
          <w:sz w:val="24"/>
        </w:rPr>
      </w:pPr>
      <w:r w:rsidRPr="00D01149">
        <w:rPr>
          <w:rFonts w:asciiTheme="majorHAnsi" w:hAnsiTheme="majorHAnsi"/>
          <w:sz w:val="24"/>
        </w:rPr>
        <w:t>Cost Categories:</w:t>
      </w:r>
    </w:p>
    <w:p w:rsidR="0059720E" w:rsidRPr="00D01149" w:rsidP="003263DB" w14:paraId="247BC93E" w14:textId="7E1C4D97">
      <w:pPr>
        <w:pStyle w:val="ListParagraph"/>
        <w:numPr>
          <w:ilvl w:val="1"/>
          <w:numId w:val="5"/>
        </w:numPr>
        <w:spacing w:after="0" w:line="240" w:lineRule="auto"/>
        <w:ind w:left="1440"/>
        <w:rPr>
          <w:rFonts w:asciiTheme="majorHAnsi" w:hAnsiTheme="majorHAnsi"/>
          <w:sz w:val="24"/>
        </w:rPr>
      </w:pPr>
      <w:r w:rsidRPr="00D01149">
        <w:rPr>
          <w:rFonts w:asciiTheme="majorHAnsi" w:hAnsiTheme="majorHAnsi"/>
          <w:sz w:val="24"/>
        </w:rPr>
        <w:t>Equipment: $1,988,375</w:t>
      </w:r>
    </w:p>
    <w:p w:rsidR="0059720E" w:rsidRPr="00D01149" w:rsidP="003263DB" w14:paraId="38C940D7" w14:textId="4C58DC93">
      <w:pPr>
        <w:pStyle w:val="PlainText"/>
        <w:numPr>
          <w:ilvl w:val="1"/>
          <w:numId w:val="5"/>
        </w:numPr>
        <w:ind w:left="1440"/>
        <w:rPr>
          <w:rFonts w:asciiTheme="majorHAnsi" w:hAnsiTheme="majorHAnsi"/>
          <w:sz w:val="24"/>
        </w:rPr>
      </w:pPr>
      <w:r w:rsidRPr="00D01149">
        <w:rPr>
          <w:rFonts w:asciiTheme="majorHAnsi" w:hAnsiTheme="majorHAnsi"/>
          <w:sz w:val="24"/>
        </w:rPr>
        <w:t>Printing: $0</w:t>
      </w:r>
    </w:p>
    <w:p w:rsidR="0059720E" w:rsidRPr="00D01149" w:rsidP="003263DB" w14:paraId="14C9C90E" w14:textId="4550BA00">
      <w:pPr>
        <w:pStyle w:val="PlainText"/>
        <w:numPr>
          <w:ilvl w:val="1"/>
          <w:numId w:val="5"/>
        </w:numPr>
        <w:ind w:left="1440"/>
        <w:rPr>
          <w:rFonts w:asciiTheme="majorHAnsi" w:hAnsiTheme="majorHAnsi"/>
          <w:sz w:val="24"/>
        </w:rPr>
      </w:pPr>
      <w:r w:rsidRPr="00D01149">
        <w:rPr>
          <w:rFonts w:asciiTheme="majorHAnsi" w:hAnsiTheme="majorHAnsi"/>
          <w:sz w:val="24"/>
        </w:rPr>
        <w:t>Postage: $0</w:t>
      </w:r>
    </w:p>
    <w:p w:rsidR="0059720E" w:rsidRPr="00D01149" w:rsidP="003263DB" w14:paraId="66AF3B30" w14:textId="49B4D1F3">
      <w:pPr>
        <w:pStyle w:val="PlainText"/>
        <w:numPr>
          <w:ilvl w:val="1"/>
          <w:numId w:val="5"/>
        </w:numPr>
        <w:ind w:left="1440"/>
        <w:rPr>
          <w:rFonts w:asciiTheme="majorHAnsi" w:hAnsiTheme="majorHAnsi"/>
          <w:sz w:val="24"/>
        </w:rPr>
      </w:pPr>
      <w:r w:rsidRPr="00D01149">
        <w:rPr>
          <w:rFonts w:asciiTheme="majorHAnsi" w:hAnsiTheme="majorHAnsi"/>
          <w:sz w:val="24"/>
        </w:rPr>
        <w:t>Software Purchases: $0</w:t>
      </w:r>
    </w:p>
    <w:p w:rsidR="0059720E" w:rsidRPr="00D01149" w:rsidP="003263DB" w14:paraId="6F6D78B8" w14:textId="05A8AA26">
      <w:pPr>
        <w:pStyle w:val="PlainText"/>
        <w:numPr>
          <w:ilvl w:val="1"/>
          <w:numId w:val="5"/>
        </w:numPr>
        <w:ind w:left="1440"/>
        <w:rPr>
          <w:rFonts w:asciiTheme="majorHAnsi" w:hAnsiTheme="majorHAnsi"/>
          <w:sz w:val="24"/>
        </w:rPr>
      </w:pPr>
      <w:r w:rsidRPr="00D01149">
        <w:rPr>
          <w:rFonts w:asciiTheme="majorHAnsi" w:hAnsiTheme="majorHAnsi"/>
          <w:sz w:val="24"/>
        </w:rPr>
        <w:t>Licensing Costs: $3,745,257</w:t>
      </w:r>
    </w:p>
    <w:p w:rsidR="00982820" w:rsidRPr="00D01149" w:rsidP="003263DB" w14:paraId="253AF49C" w14:textId="36D737DF">
      <w:pPr>
        <w:pStyle w:val="PlainText"/>
        <w:numPr>
          <w:ilvl w:val="1"/>
          <w:numId w:val="5"/>
        </w:numPr>
        <w:ind w:left="1440"/>
        <w:rPr>
          <w:rFonts w:asciiTheme="majorHAnsi" w:hAnsiTheme="majorHAnsi"/>
          <w:sz w:val="24"/>
        </w:rPr>
      </w:pPr>
      <w:r w:rsidRPr="00D01149">
        <w:rPr>
          <w:rFonts w:asciiTheme="majorHAnsi" w:hAnsiTheme="majorHAnsi"/>
          <w:sz w:val="24"/>
        </w:rPr>
        <w:t>Other: $11,361,344</w:t>
      </w:r>
    </w:p>
    <w:p w:rsidR="002735CD" w:rsidRPr="00D01149" w:rsidP="003263DB" w14:paraId="79873E0D" w14:textId="77777777">
      <w:pPr>
        <w:pStyle w:val="PlainText"/>
        <w:ind w:left="1440"/>
        <w:rPr>
          <w:rFonts w:asciiTheme="majorHAnsi" w:hAnsiTheme="majorHAnsi"/>
          <w:sz w:val="24"/>
        </w:rPr>
      </w:pPr>
    </w:p>
    <w:p w:rsidR="00005ED8" w:rsidRPr="00D01149" w:rsidP="008B0D4B" w14:paraId="09F94B75" w14:textId="5C9A14BD">
      <w:pPr>
        <w:pStyle w:val="PlainText"/>
        <w:numPr>
          <w:ilvl w:val="0"/>
          <w:numId w:val="5"/>
        </w:numPr>
        <w:ind w:left="720"/>
        <w:rPr>
          <w:rFonts w:asciiTheme="majorHAnsi" w:hAnsiTheme="majorHAnsi"/>
          <w:sz w:val="24"/>
        </w:rPr>
      </w:pPr>
      <w:r w:rsidRPr="00D01149">
        <w:rPr>
          <w:rFonts w:asciiTheme="majorHAnsi" w:hAnsiTheme="majorHAnsi"/>
          <w:sz w:val="24"/>
        </w:rPr>
        <w:t>Total Operational and Maintenance Cost:</w:t>
      </w:r>
      <w:r w:rsidRPr="00D01149" w:rsidR="00982820">
        <w:rPr>
          <w:rFonts w:asciiTheme="majorHAnsi" w:hAnsiTheme="majorHAnsi"/>
          <w:sz w:val="24"/>
        </w:rPr>
        <w:t xml:space="preserve"> </w:t>
      </w:r>
      <w:r w:rsidRPr="00D01149">
        <w:rPr>
          <w:rFonts w:asciiTheme="majorHAnsi" w:hAnsiTheme="majorHAnsi"/>
          <w:sz w:val="24"/>
        </w:rPr>
        <w:t>$17,094,97</w:t>
      </w:r>
      <w:r w:rsidRPr="00D01149" w:rsidR="00EE7C7D">
        <w:rPr>
          <w:rFonts w:asciiTheme="majorHAnsi" w:hAnsiTheme="majorHAnsi"/>
          <w:sz w:val="24"/>
        </w:rPr>
        <w:t>6</w:t>
      </w:r>
    </w:p>
    <w:p w:rsidR="00563F7A" w:rsidRPr="00D01149" w:rsidP="008B0D4B" w14:paraId="1E1A7D17" w14:textId="77777777">
      <w:pPr>
        <w:pStyle w:val="PlainText"/>
        <w:ind w:left="720"/>
        <w:rPr>
          <w:rFonts w:asciiTheme="majorHAnsi" w:hAnsiTheme="majorHAnsi"/>
          <w:sz w:val="24"/>
        </w:rPr>
      </w:pPr>
    </w:p>
    <w:p w:rsidR="00563F7A" w:rsidRPr="00D01149" w:rsidP="008B0D4B" w14:paraId="6AB9E248" w14:textId="2D465223">
      <w:pPr>
        <w:pStyle w:val="PlainText"/>
        <w:rPr>
          <w:rFonts w:asciiTheme="majorHAnsi" w:hAnsiTheme="majorHAnsi"/>
          <w:sz w:val="24"/>
        </w:rPr>
      </w:pPr>
      <w:r w:rsidRPr="00D01149">
        <w:rPr>
          <w:rFonts w:asciiTheme="majorHAnsi" w:hAnsiTheme="majorHAnsi"/>
          <w:sz w:val="24"/>
        </w:rPr>
        <w:t>Section 14 Part B (O&amp;M) figures were</w:t>
      </w:r>
      <w:r w:rsidRPr="00D01149" w:rsidR="00005ED8">
        <w:rPr>
          <w:rFonts w:asciiTheme="majorHAnsi" w:hAnsiTheme="majorHAnsi"/>
          <w:sz w:val="24"/>
        </w:rPr>
        <w:t xml:space="preserve"> provided by Product Manager </w:t>
      </w:r>
      <w:r w:rsidRPr="00D01149">
        <w:rPr>
          <w:rFonts w:asciiTheme="majorHAnsi" w:hAnsiTheme="majorHAnsi"/>
          <w:sz w:val="24"/>
        </w:rPr>
        <w:t xml:space="preserve">Biometric Enabling Capability (PM Bio), Program Executive Officer (PEO) for Intelligence, Electronic Warfare and Sensors (IEW&amp;S) </w:t>
      </w:r>
      <w:r w:rsidRPr="00D01149" w:rsidR="00005ED8">
        <w:rPr>
          <w:rFonts w:asciiTheme="majorHAnsi" w:hAnsiTheme="majorHAnsi"/>
          <w:sz w:val="24"/>
        </w:rPr>
        <w:t xml:space="preserve">and was re-verified </w:t>
      </w:r>
      <w:r w:rsidRPr="00D01149">
        <w:rPr>
          <w:rFonts w:asciiTheme="majorHAnsi" w:hAnsiTheme="majorHAnsi"/>
          <w:sz w:val="24"/>
        </w:rPr>
        <w:t xml:space="preserve">by DFBA </w:t>
      </w:r>
      <w:r w:rsidRPr="00D01149" w:rsidR="00005ED8">
        <w:rPr>
          <w:rFonts w:asciiTheme="majorHAnsi" w:hAnsiTheme="majorHAnsi"/>
          <w:sz w:val="24"/>
        </w:rPr>
        <w:t>for accuracy</w:t>
      </w:r>
      <w:r w:rsidRPr="00D01149">
        <w:rPr>
          <w:rFonts w:asciiTheme="majorHAnsi" w:hAnsiTheme="majorHAnsi"/>
          <w:sz w:val="24"/>
        </w:rPr>
        <w:t xml:space="preserve"> purposes</w:t>
      </w:r>
      <w:r w:rsidRPr="00D01149" w:rsidR="00005ED8">
        <w:rPr>
          <w:rFonts w:asciiTheme="majorHAnsi" w:hAnsiTheme="majorHAnsi"/>
          <w:sz w:val="24"/>
        </w:rPr>
        <w:t>.</w:t>
      </w:r>
    </w:p>
    <w:p w:rsidR="00982820" w:rsidRPr="00D01149" w:rsidP="008B0D4B" w14:paraId="6A923D33" w14:textId="77777777">
      <w:pPr>
        <w:pStyle w:val="PlainText"/>
        <w:rPr>
          <w:rFonts w:asciiTheme="majorHAnsi" w:hAnsiTheme="majorHAnsi"/>
          <w:sz w:val="24"/>
        </w:rPr>
      </w:pPr>
    </w:p>
    <w:p w:rsidR="0059720E" w:rsidRPr="00D01149" w:rsidP="00563F7A" w14:paraId="5BF38AFD" w14:textId="77777777">
      <w:pPr>
        <w:pStyle w:val="PlainText"/>
        <w:rPr>
          <w:rFonts w:asciiTheme="majorHAnsi" w:hAnsiTheme="majorHAnsi"/>
          <w:b/>
          <w:sz w:val="24"/>
          <w:u w:val="single"/>
        </w:rPr>
      </w:pPr>
      <w:r w:rsidRPr="00D01149">
        <w:rPr>
          <w:rFonts w:asciiTheme="majorHAnsi" w:hAnsiTheme="majorHAnsi"/>
          <w:b/>
          <w:sz w:val="24"/>
          <w:u w:val="single"/>
        </w:rPr>
        <w:t>Part C:  TOTAL COST TO THE FEDERAL GOVERNMENT</w:t>
      </w:r>
    </w:p>
    <w:p w:rsidR="0059720E" w:rsidRPr="00D01149" w:rsidP="0059720E" w14:paraId="2927F6D6" w14:textId="77777777">
      <w:pPr>
        <w:pStyle w:val="PlainText"/>
        <w:rPr>
          <w:rFonts w:asciiTheme="majorHAnsi" w:hAnsiTheme="majorHAnsi"/>
          <w:sz w:val="24"/>
        </w:rPr>
      </w:pPr>
    </w:p>
    <w:p w:rsidR="00EE7C7D" w:rsidRPr="00D01149" w:rsidP="00563F7A" w14:paraId="1C759066" w14:textId="74D41E27">
      <w:pPr>
        <w:pStyle w:val="PlainText"/>
        <w:numPr>
          <w:ilvl w:val="0"/>
          <w:numId w:val="8"/>
        </w:numPr>
        <w:rPr>
          <w:rFonts w:asciiTheme="majorHAnsi" w:hAnsiTheme="majorHAnsi"/>
          <w:sz w:val="24"/>
        </w:rPr>
      </w:pPr>
      <w:r w:rsidRPr="00D01149">
        <w:rPr>
          <w:rFonts w:asciiTheme="majorHAnsi" w:hAnsiTheme="majorHAnsi"/>
          <w:sz w:val="24"/>
        </w:rPr>
        <w:t xml:space="preserve">Total Labor Cost to the Federal Government: </w:t>
      </w:r>
      <w:r w:rsidRPr="00D01149" w:rsidR="00881D22">
        <w:rPr>
          <w:rFonts w:asciiTheme="majorHAnsi" w:hAnsiTheme="majorHAnsi"/>
          <w:sz w:val="24"/>
        </w:rPr>
        <w:t>$5,</w:t>
      </w:r>
      <w:r w:rsidRPr="000A5004" w:rsidR="00881D22">
        <w:rPr>
          <w:rFonts w:asciiTheme="majorHAnsi" w:eastAsiaTheme="minorEastAsia" w:hAnsiTheme="majorHAnsi" w:cs="Times New Roman"/>
          <w:sz w:val="24"/>
          <w:szCs w:val="24"/>
        </w:rPr>
        <w:t>2</w:t>
      </w:r>
      <w:r w:rsidR="00D762F3">
        <w:rPr>
          <w:rFonts w:asciiTheme="majorHAnsi" w:eastAsiaTheme="minorEastAsia" w:hAnsiTheme="majorHAnsi" w:cs="Times New Roman"/>
          <w:sz w:val="24"/>
          <w:szCs w:val="24"/>
        </w:rPr>
        <w:t>05,200</w:t>
      </w:r>
    </w:p>
    <w:p w:rsidR="00563F7A" w:rsidRPr="00D01149" w:rsidP="008B0D4B" w14:paraId="29474A6A" w14:textId="77777777">
      <w:pPr>
        <w:pStyle w:val="PlainText"/>
        <w:ind w:left="720"/>
        <w:rPr>
          <w:rFonts w:asciiTheme="majorHAnsi" w:hAnsiTheme="majorHAnsi"/>
          <w:sz w:val="24"/>
        </w:rPr>
      </w:pPr>
    </w:p>
    <w:p w:rsidR="00982820" w:rsidRPr="00D01149" w:rsidP="008B0D4B" w14:paraId="6D4D32F4" w14:textId="5B51103E">
      <w:pPr>
        <w:pStyle w:val="PlainText"/>
        <w:numPr>
          <w:ilvl w:val="0"/>
          <w:numId w:val="8"/>
        </w:numPr>
        <w:rPr>
          <w:rFonts w:asciiTheme="majorHAnsi" w:hAnsiTheme="majorHAnsi"/>
          <w:sz w:val="24"/>
        </w:rPr>
      </w:pPr>
      <w:r w:rsidRPr="00D01149">
        <w:rPr>
          <w:rFonts w:asciiTheme="majorHAnsi" w:hAnsiTheme="majorHAnsi"/>
          <w:sz w:val="24"/>
        </w:rPr>
        <w:t>Total Operational and Maintenance Costs: $17,094,97</w:t>
      </w:r>
      <w:r w:rsidRPr="00D01149" w:rsidR="00EE7C7D">
        <w:rPr>
          <w:rFonts w:asciiTheme="majorHAnsi" w:hAnsiTheme="majorHAnsi"/>
          <w:sz w:val="24"/>
        </w:rPr>
        <w:t>6</w:t>
      </w:r>
    </w:p>
    <w:p w:rsidR="00563F7A" w:rsidRPr="00D01149" w:rsidP="008B0D4B" w14:paraId="4FE8F0E1" w14:textId="44DCAE72">
      <w:pPr>
        <w:pStyle w:val="PlainText"/>
        <w:rPr>
          <w:rFonts w:asciiTheme="majorHAnsi" w:hAnsiTheme="majorHAnsi"/>
          <w:sz w:val="24"/>
        </w:rPr>
      </w:pPr>
    </w:p>
    <w:p w:rsidR="00563F7A" w:rsidRPr="00D01149" w:rsidP="008B0D4B" w14:paraId="44C6E291" w14:textId="0895BC20">
      <w:pPr>
        <w:pStyle w:val="PlainText"/>
        <w:numPr>
          <w:ilvl w:val="0"/>
          <w:numId w:val="8"/>
        </w:numPr>
        <w:rPr>
          <w:rFonts w:asciiTheme="majorHAnsi" w:hAnsiTheme="majorHAnsi"/>
          <w:sz w:val="24"/>
        </w:rPr>
      </w:pPr>
      <w:r w:rsidRPr="00D01149">
        <w:rPr>
          <w:rFonts w:asciiTheme="majorHAnsi" w:hAnsiTheme="majorHAnsi"/>
          <w:sz w:val="24"/>
        </w:rPr>
        <w:t>Total Cost to the Federal Government</w:t>
      </w:r>
      <w:r w:rsidRPr="00D01149" w:rsidR="00982820">
        <w:rPr>
          <w:rFonts w:asciiTheme="majorHAnsi" w:hAnsiTheme="majorHAnsi"/>
          <w:sz w:val="24"/>
        </w:rPr>
        <w:t xml:space="preserve">: </w:t>
      </w:r>
      <w:r w:rsidRPr="00D01149" w:rsidR="0090171A">
        <w:rPr>
          <w:rFonts w:asciiTheme="majorHAnsi" w:hAnsiTheme="majorHAnsi"/>
          <w:sz w:val="24"/>
        </w:rPr>
        <w:t>$22,</w:t>
      </w:r>
      <w:r w:rsidRPr="000A5004" w:rsidR="0090171A">
        <w:rPr>
          <w:rFonts w:asciiTheme="majorHAnsi" w:eastAsiaTheme="minorEastAsia" w:hAnsiTheme="majorHAnsi" w:cs="Times New Roman"/>
          <w:sz w:val="24"/>
          <w:szCs w:val="24"/>
        </w:rPr>
        <w:t>3</w:t>
      </w:r>
      <w:r w:rsidR="00D762F3">
        <w:rPr>
          <w:rFonts w:asciiTheme="majorHAnsi" w:eastAsiaTheme="minorEastAsia" w:hAnsiTheme="majorHAnsi" w:cs="Times New Roman"/>
          <w:sz w:val="24"/>
          <w:szCs w:val="24"/>
        </w:rPr>
        <w:t>00</w:t>
      </w:r>
      <w:r w:rsidRPr="000A5004" w:rsidR="0090171A">
        <w:rPr>
          <w:rFonts w:asciiTheme="majorHAnsi" w:eastAsiaTheme="minorEastAsia" w:hAnsiTheme="majorHAnsi" w:cs="Times New Roman"/>
          <w:sz w:val="24"/>
          <w:szCs w:val="24"/>
        </w:rPr>
        <w:t>,</w:t>
      </w:r>
      <w:r w:rsidR="00D762F3">
        <w:rPr>
          <w:rFonts w:asciiTheme="majorHAnsi" w:eastAsiaTheme="minorEastAsia" w:hAnsiTheme="majorHAnsi" w:cs="Times New Roman"/>
          <w:sz w:val="24"/>
          <w:szCs w:val="24"/>
        </w:rPr>
        <w:t>1</w:t>
      </w:r>
      <w:r w:rsidRPr="000A5004" w:rsidR="0090171A">
        <w:rPr>
          <w:rFonts w:asciiTheme="majorHAnsi" w:eastAsiaTheme="minorEastAsia" w:hAnsiTheme="majorHAnsi" w:cs="Times New Roman"/>
          <w:sz w:val="24"/>
          <w:szCs w:val="24"/>
        </w:rPr>
        <w:t>76</w:t>
      </w:r>
    </w:p>
    <w:p w:rsidR="000E5B31" w:rsidRPr="00D01149" w:rsidP="008B0D4B" w14:paraId="3CB31575" w14:textId="77777777">
      <w:pPr>
        <w:pStyle w:val="PlainText"/>
        <w:rPr>
          <w:rFonts w:asciiTheme="majorHAnsi" w:hAnsiTheme="majorHAnsi"/>
          <w:sz w:val="24"/>
        </w:rPr>
      </w:pPr>
    </w:p>
    <w:p w:rsidR="00E643E5" w:rsidRPr="00D01149" w:rsidP="00563F7A" w14:paraId="46B11D47" w14:textId="52C95460">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 xml:space="preserve">Reason for </w:t>
      </w:r>
      <w:r w:rsidRPr="00D01149">
        <w:rPr>
          <w:rFonts w:asciiTheme="majorHAnsi" w:hAnsiTheme="majorHAnsi"/>
          <w:b/>
          <w:sz w:val="24"/>
          <w:u w:val="single"/>
        </w:rPr>
        <w:t>Change in Burden</w:t>
      </w:r>
    </w:p>
    <w:p w:rsidR="00A66AEF" w:rsidRPr="00D01149" w:rsidP="008B0D4B" w14:paraId="13BCF866" w14:textId="77777777">
      <w:pPr>
        <w:autoSpaceDE w:val="0"/>
        <w:autoSpaceDN w:val="0"/>
        <w:adjustRightInd w:val="0"/>
        <w:rPr>
          <w:rFonts w:asciiTheme="majorHAnsi" w:hAnsiTheme="majorHAnsi"/>
        </w:rPr>
      </w:pPr>
    </w:p>
    <w:p w:rsidR="000E5B31" w:rsidRPr="00D01149" w:rsidP="008B0D4B" w14:paraId="253EFD7B" w14:textId="0610845A">
      <w:pPr>
        <w:autoSpaceDE w:val="0"/>
        <w:autoSpaceDN w:val="0"/>
        <w:adjustRightInd w:val="0"/>
        <w:rPr>
          <w:rFonts w:asciiTheme="majorHAnsi" w:hAnsiTheme="majorHAnsi"/>
        </w:rPr>
      </w:pPr>
      <w:r>
        <w:rPr>
          <w:rFonts w:asciiTheme="majorHAnsi" w:hAnsiTheme="majorHAnsi"/>
        </w:rPr>
        <w:t xml:space="preserve">The small increase </w:t>
      </w:r>
      <w:r w:rsidRPr="00D01149" w:rsidR="00E3587C">
        <w:rPr>
          <w:rFonts w:asciiTheme="majorHAnsi" w:hAnsiTheme="majorHAnsi"/>
        </w:rPr>
        <w:t xml:space="preserve">in </w:t>
      </w:r>
      <w:r w:rsidRPr="00D01149" w:rsidR="003B0341">
        <w:rPr>
          <w:rFonts w:asciiTheme="majorHAnsi" w:hAnsiTheme="majorHAnsi"/>
        </w:rPr>
        <w:t xml:space="preserve">respondent burden </w:t>
      </w:r>
      <w:r>
        <w:rPr>
          <w:rFonts w:asciiTheme="majorHAnsi" w:hAnsiTheme="majorHAnsi"/>
        </w:rPr>
        <w:t>is</w:t>
      </w:r>
      <w:r w:rsidRPr="00D01149" w:rsidR="003B0341">
        <w:rPr>
          <w:rFonts w:asciiTheme="majorHAnsi" w:hAnsiTheme="majorHAnsi"/>
        </w:rPr>
        <w:t xml:space="preserve"> the result of revised </w:t>
      </w:r>
      <w:r>
        <w:rPr>
          <w:rFonts w:asciiTheme="majorHAnsi" w:hAnsiTheme="majorHAnsi"/>
        </w:rPr>
        <w:t xml:space="preserve">response </w:t>
      </w:r>
      <w:r w:rsidRPr="00D01149" w:rsidR="003B0341">
        <w:rPr>
          <w:rFonts w:asciiTheme="majorHAnsi" w:hAnsiTheme="majorHAnsi"/>
        </w:rPr>
        <w:t>estimates since the 20</w:t>
      </w:r>
      <w:r w:rsidRPr="00D01149" w:rsidR="00A95DB2">
        <w:rPr>
          <w:rFonts w:asciiTheme="majorHAnsi" w:hAnsiTheme="majorHAnsi"/>
        </w:rPr>
        <w:t>21</w:t>
      </w:r>
      <w:r w:rsidRPr="00D01149" w:rsidR="003B0341">
        <w:rPr>
          <w:rFonts w:asciiTheme="majorHAnsi" w:hAnsiTheme="majorHAnsi"/>
        </w:rPr>
        <w:t xml:space="preserve"> submittal. </w:t>
      </w:r>
    </w:p>
    <w:p w:rsidR="00EF3474" w:rsidRPr="00D01149" w:rsidP="008B0D4B" w14:paraId="2D445A1F" w14:textId="77777777">
      <w:pPr>
        <w:autoSpaceDE w:val="0"/>
        <w:autoSpaceDN w:val="0"/>
        <w:adjustRightInd w:val="0"/>
        <w:rPr>
          <w:rFonts w:asciiTheme="majorHAnsi" w:hAnsiTheme="majorHAnsi"/>
        </w:rPr>
      </w:pPr>
    </w:p>
    <w:p w:rsidR="00E643E5" w:rsidRPr="00D01149" w:rsidP="00563F7A" w14:paraId="02EF663E" w14:textId="28E9C1BA">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Publication of Results</w:t>
      </w:r>
    </w:p>
    <w:p w:rsidR="0047435D" w:rsidRPr="00D01149" w:rsidP="008B0D4B" w14:paraId="35320ED9" w14:textId="77777777">
      <w:pPr>
        <w:pStyle w:val="NoSpacing"/>
        <w:ind w:firstLine="720"/>
        <w:rPr>
          <w:rFonts w:asciiTheme="majorHAnsi" w:hAnsiTheme="majorHAnsi"/>
          <w:sz w:val="24"/>
        </w:rPr>
      </w:pPr>
    </w:p>
    <w:p w:rsidR="00982820" w:rsidRPr="00D01149" w:rsidP="008B0D4B" w14:paraId="27E0E03A" w14:textId="54DFB4EA">
      <w:pPr>
        <w:pStyle w:val="NoSpacing"/>
        <w:rPr>
          <w:rFonts w:asciiTheme="majorHAnsi" w:hAnsiTheme="majorHAnsi"/>
          <w:sz w:val="24"/>
        </w:rPr>
      </w:pPr>
      <w:r w:rsidRPr="00D01149">
        <w:rPr>
          <w:rFonts w:asciiTheme="majorHAnsi" w:hAnsiTheme="majorHAnsi"/>
          <w:sz w:val="24"/>
        </w:rPr>
        <w:t>The results of this information collection will not be published.</w:t>
      </w:r>
    </w:p>
    <w:p w:rsidR="00563F7A" w:rsidRPr="00D01149" w:rsidP="008B0D4B" w14:paraId="252C4868" w14:textId="77777777">
      <w:pPr>
        <w:pStyle w:val="NoSpacing"/>
        <w:rPr>
          <w:rFonts w:asciiTheme="majorHAnsi" w:hAnsiTheme="majorHAnsi"/>
          <w:sz w:val="24"/>
        </w:rPr>
      </w:pPr>
    </w:p>
    <w:p w:rsidR="00E643E5" w:rsidRPr="00D01149" w:rsidP="00563F7A" w14:paraId="5E4DD79A" w14:textId="3BE86E4D">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Non-Display of OMB Expiration Date</w:t>
      </w:r>
    </w:p>
    <w:p w:rsidR="00563F7A" w:rsidRPr="00D01149" w:rsidP="008B0D4B" w14:paraId="2038B5D8" w14:textId="77777777">
      <w:pPr>
        <w:pStyle w:val="NoSpacing"/>
        <w:rPr>
          <w:rFonts w:asciiTheme="majorHAnsi" w:hAnsiTheme="majorHAnsi"/>
          <w:sz w:val="24"/>
        </w:rPr>
      </w:pPr>
    </w:p>
    <w:p w:rsidR="00C83659" w:rsidRPr="00D01149" w:rsidP="008B0D4B" w14:paraId="7B6D0078" w14:textId="520E6EC0">
      <w:pPr>
        <w:pStyle w:val="NoSpacing"/>
        <w:rPr>
          <w:rFonts w:asciiTheme="majorHAnsi" w:hAnsiTheme="majorHAnsi"/>
          <w:sz w:val="24"/>
        </w:rPr>
      </w:pPr>
      <w:r w:rsidRPr="00D01149">
        <w:rPr>
          <w:rFonts w:asciiTheme="majorHAnsi" w:hAnsiTheme="majorHAnsi"/>
          <w:sz w:val="24"/>
        </w:rPr>
        <w:t>We are not seeking approval to omit the display of the expiration date of the OMB approval on the collection instrument.</w:t>
      </w:r>
    </w:p>
    <w:p w:rsidR="00982820" w:rsidRPr="00D01149" w:rsidP="008B0D4B" w14:paraId="14C01440" w14:textId="77777777">
      <w:pPr>
        <w:pStyle w:val="NoSpacing"/>
        <w:rPr>
          <w:rFonts w:asciiTheme="majorHAnsi" w:hAnsiTheme="majorHAnsi"/>
          <w:sz w:val="24"/>
        </w:rPr>
      </w:pPr>
    </w:p>
    <w:p w:rsidR="00E643E5" w:rsidRPr="00D01149" w:rsidP="00563F7A" w14:paraId="1FB7F0A2" w14:textId="68BC550F">
      <w:pPr>
        <w:pStyle w:val="ListParagraph"/>
        <w:numPr>
          <w:ilvl w:val="0"/>
          <w:numId w:val="14"/>
        </w:numPr>
        <w:spacing w:after="0" w:line="240" w:lineRule="auto"/>
        <w:ind w:hanging="720"/>
        <w:rPr>
          <w:rFonts w:asciiTheme="majorHAnsi" w:hAnsiTheme="majorHAnsi"/>
          <w:b/>
          <w:sz w:val="24"/>
        </w:rPr>
      </w:pPr>
      <w:r w:rsidRPr="00D01149">
        <w:rPr>
          <w:rFonts w:asciiTheme="majorHAnsi" w:hAnsiTheme="majorHAnsi"/>
          <w:b/>
          <w:sz w:val="24"/>
          <w:u w:val="single"/>
        </w:rPr>
        <w:t>Exceptions to “Certification for Paperwork Reduction Submissions”</w:t>
      </w:r>
    </w:p>
    <w:p w:rsidR="0047435D" w:rsidRPr="00D01149" w:rsidP="008B0D4B" w14:paraId="6E974633" w14:textId="77777777">
      <w:pPr>
        <w:pStyle w:val="NoSpacing"/>
        <w:rPr>
          <w:rFonts w:asciiTheme="majorHAnsi" w:hAnsiTheme="majorHAnsi"/>
          <w:sz w:val="24"/>
        </w:rPr>
      </w:pPr>
    </w:p>
    <w:p w:rsidR="0002457C" w:rsidRPr="00D01149" w:rsidP="008B0D4B" w14:paraId="3BC2AC4E" w14:textId="56DC4835">
      <w:pPr>
        <w:pStyle w:val="NoSpacing"/>
        <w:rPr>
          <w:rFonts w:asciiTheme="majorHAnsi" w:hAnsiTheme="majorHAnsi"/>
          <w:sz w:val="24"/>
        </w:rPr>
      </w:pPr>
      <w:r w:rsidRPr="00D01149">
        <w:rPr>
          <w:rFonts w:asciiTheme="majorHAnsi" w:hAnsiTheme="majorHAnsi"/>
          <w:sz w:val="24"/>
        </w:rPr>
        <w:t>We are not requesting any exemptions to the provisions stated in 5 CFR 1320.9.</w:t>
      </w:r>
    </w:p>
    <w:p w:rsidR="007612D2" w:rsidRPr="00D01149" w:rsidP="00563F7A" w14:paraId="5BCB0CB8" w14:textId="17B3C52A">
      <w:pPr>
        <w:pStyle w:val="NoSpacing"/>
        <w:ind w:firstLine="720"/>
        <w:rPr>
          <w:rFonts w:asciiTheme="majorHAnsi" w:hAnsiTheme="majorHAnsi"/>
          <w:sz w:val="24"/>
        </w:rPr>
      </w:pPr>
    </w:p>
    <w:p w:rsidR="007612D2" w:rsidRPr="00D01149" w:rsidP="008B0D4B" w14:paraId="59AC76FE" w14:textId="77777777">
      <w:pPr>
        <w:rPr>
          <w:rFonts w:asciiTheme="majorHAnsi" w:hAnsiTheme="majorHAnsi"/>
        </w:rPr>
      </w:pPr>
    </w:p>
    <w:sectPr w:rsidSect="0019779F">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341819835"/>
      <w:docPartObj>
        <w:docPartGallery w:val="Page Numbers (Bottom of Page)"/>
        <w:docPartUnique/>
      </w:docPartObj>
    </w:sdtPr>
    <w:sdtContent>
      <w:p w:rsidR="00982820" w:rsidP="00940365" w14:paraId="6ED1C6F3" w14:textId="6CBA038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982820" w14:paraId="226A9B3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Fonts w:ascii="Times New Roman" w:hAnsi="Times New Roman" w:cs="Times New Roman"/>
      </w:rPr>
      <w:id w:val="-1967267523"/>
      <w:docPartObj>
        <w:docPartGallery w:val="Page Numbers (Bottom of Page)"/>
        <w:docPartUnique/>
      </w:docPartObj>
    </w:sdtPr>
    <w:sdtContent>
      <w:p w:rsidR="00982820" w:rsidRPr="00982820" w:rsidP="00940365" w14:paraId="2F096B76" w14:textId="78689349">
        <w:pPr>
          <w:pStyle w:val="Footer"/>
          <w:framePr w:wrap="none" w:vAnchor="text" w:hAnchor="margin" w:xAlign="center" w:y="1"/>
          <w:rPr>
            <w:rStyle w:val="PageNumber"/>
            <w:rFonts w:ascii="Times New Roman" w:hAnsi="Times New Roman" w:cs="Times New Roman"/>
          </w:rPr>
        </w:pPr>
        <w:r w:rsidRPr="00982820">
          <w:rPr>
            <w:rStyle w:val="PageNumber"/>
            <w:rFonts w:ascii="Times New Roman" w:hAnsi="Times New Roman" w:cs="Times New Roman"/>
          </w:rPr>
          <w:fldChar w:fldCharType="begin"/>
        </w:r>
        <w:r w:rsidRPr="00982820">
          <w:rPr>
            <w:rStyle w:val="PageNumber"/>
            <w:rFonts w:ascii="Times New Roman" w:hAnsi="Times New Roman" w:cs="Times New Roman"/>
          </w:rPr>
          <w:instrText xml:space="preserve"> PAGE </w:instrText>
        </w:r>
        <w:r w:rsidRPr="00982820">
          <w:rPr>
            <w:rStyle w:val="PageNumber"/>
            <w:rFonts w:ascii="Times New Roman" w:hAnsi="Times New Roman" w:cs="Times New Roman"/>
          </w:rPr>
          <w:fldChar w:fldCharType="separate"/>
        </w:r>
        <w:r w:rsidR="008C4F0D">
          <w:rPr>
            <w:rStyle w:val="PageNumber"/>
            <w:rFonts w:ascii="Times New Roman" w:hAnsi="Times New Roman" w:cs="Times New Roman"/>
            <w:noProof/>
          </w:rPr>
          <w:t>7</w:t>
        </w:r>
        <w:r w:rsidRPr="00982820">
          <w:rPr>
            <w:rStyle w:val="PageNumber"/>
            <w:rFonts w:ascii="Times New Roman" w:hAnsi="Times New Roman" w:cs="Times New Roman"/>
          </w:rPr>
          <w:fldChar w:fldCharType="end"/>
        </w:r>
      </w:p>
    </w:sdtContent>
  </w:sdt>
  <w:p w:rsidR="00982820" w14:paraId="1ADD18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5004" w14:paraId="66387DB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D46E2"/>
    <w:multiLevelType w:val="hybridMultilevel"/>
    <w:tmpl w:val="19EA72A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647029"/>
    <w:multiLevelType w:val="hybridMultilevel"/>
    <w:tmpl w:val="29AAEC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7635B65"/>
    <w:multiLevelType w:val="hybridMultilevel"/>
    <w:tmpl w:val="14AEA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DB3388"/>
    <w:multiLevelType w:val="hybridMultilevel"/>
    <w:tmpl w:val="3160A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80663"/>
    <w:multiLevelType w:val="hybridMultilevel"/>
    <w:tmpl w:val="F96E86FE"/>
    <w:lvl w:ilvl="0">
      <w:start w:val="1"/>
      <w:numFmt w:val="decimal"/>
      <w:lvlText w:val="%1)"/>
      <w:lvlJc w:val="left"/>
      <w:pPr>
        <w:ind w:left="-90" w:hanging="360"/>
      </w:pPr>
    </w:lvl>
    <w:lvl w:ilvl="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5">
    <w:nsid w:val="1EF83C86"/>
    <w:multiLevelType w:val="hybridMultilevel"/>
    <w:tmpl w:val="73CE193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0213D3B"/>
    <w:multiLevelType w:val="hybridMultilevel"/>
    <w:tmpl w:val="FD16C414"/>
    <w:lvl w:ilvl="0">
      <w:start w:val="0"/>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3302B31"/>
    <w:multiLevelType w:val="hybridMultilevel"/>
    <w:tmpl w:val="8E3E6180"/>
    <w:lvl w:ilvl="0">
      <w:start w:val="83"/>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BC23F1C"/>
    <w:multiLevelType w:val="hybridMultilevel"/>
    <w:tmpl w:val="F96E86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FEC0185"/>
    <w:multiLevelType w:val="hybridMultilevel"/>
    <w:tmpl w:val="13BEE4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1A47D05"/>
    <w:multiLevelType w:val="hybridMultilevel"/>
    <w:tmpl w:val="F96E86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27C32CE"/>
    <w:multiLevelType w:val="hybridMultilevel"/>
    <w:tmpl w:val="4A66A7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CA25E5B"/>
    <w:multiLevelType w:val="hybridMultilevel"/>
    <w:tmpl w:val="43928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47205DD"/>
    <w:multiLevelType w:val="hybridMultilevel"/>
    <w:tmpl w:val="73CE193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7665433A"/>
    <w:multiLevelType w:val="hybridMultilevel"/>
    <w:tmpl w:val="C95415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3945FD"/>
    <w:multiLevelType w:val="hybridMultilevel"/>
    <w:tmpl w:val="73CE193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2">
    <w:nsid w:val="7CAF19AD"/>
    <w:multiLevelType w:val="hybridMultilevel"/>
    <w:tmpl w:val="73CE193C"/>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30095804">
    <w:abstractNumId w:val="5"/>
  </w:num>
  <w:num w:numId="2" w16cid:durableId="1593539499">
    <w:abstractNumId w:val="20"/>
  </w:num>
  <w:num w:numId="3" w16cid:durableId="716007989">
    <w:abstractNumId w:val="6"/>
  </w:num>
  <w:num w:numId="4" w16cid:durableId="1495218149">
    <w:abstractNumId w:val="7"/>
  </w:num>
  <w:num w:numId="5" w16cid:durableId="1137068113">
    <w:abstractNumId w:val="4"/>
  </w:num>
  <w:num w:numId="6" w16cid:durableId="1152211407">
    <w:abstractNumId w:val="12"/>
  </w:num>
  <w:num w:numId="7" w16cid:durableId="798768139">
    <w:abstractNumId w:val="17"/>
  </w:num>
  <w:num w:numId="8" w16cid:durableId="1376350264">
    <w:abstractNumId w:val="14"/>
  </w:num>
  <w:num w:numId="9" w16cid:durableId="1810513295">
    <w:abstractNumId w:val="9"/>
  </w:num>
  <w:num w:numId="10" w16cid:durableId="1510218125">
    <w:abstractNumId w:val="8"/>
  </w:num>
  <w:num w:numId="11" w16cid:durableId="1828354304">
    <w:abstractNumId w:val="22"/>
  </w:num>
  <w:num w:numId="12" w16cid:durableId="1696075410">
    <w:abstractNumId w:val="10"/>
  </w:num>
  <w:num w:numId="13" w16cid:durableId="847451410">
    <w:abstractNumId w:val="15"/>
  </w:num>
  <w:num w:numId="14" w16cid:durableId="517813797">
    <w:abstractNumId w:val="13"/>
  </w:num>
  <w:num w:numId="15" w16cid:durableId="1686442835">
    <w:abstractNumId w:val="19"/>
  </w:num>
  <w:num w:numId="16" w16cid:durableId="905454278">
    <w:abstractNumId w:val="21"/>
  </w:num>
  <w:num w:numId="17" w16cid:durableId="621569463">
    <w:abstractNumId w:val="23"/>
  </w:num>
  <w:num w:numId="18" w16cid:durableId="2144497516">
    <w:abstractNumId w:val="11"/>
  </w:num>
  <w:num w:numId="19" w16cid:durableId="565842326">
    <w:abstractNumId w:val="2"/>
  </w:num>
  <w:num w:numId="20" w16cid:durableId="1281451704">
    <w:abstractNumId w:val="1"/>
  </w:num>
  <w:num w:numId="21" w16cid:durableId="1673531950">
    <w:abstractNumId w:val="18"/>
  </w:num>
  <w:num w:numId="22" w16cid:durableId="68381766">
    <w:abstractNumId w:val="3"/>
  </w:num>
  <w:num w:numId="23" w16cid:durableId="2086293376">
    <w:abstractNumId w:val="0"/>
  </w:num>
  <w:num w:numId="24" w16cid:durableId="19398293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7C"/>
    <w:rsid w:val="00005B32"/>
    <w:rsid w:val="00005ED8"/>
    <w:rsid w:val="000242AE"/>
    <w:rsid w:val="0002457C"/>
    <w:rsid w:val="00030B1E"/>
    <w:rsid w:val="00035C48"/>
    <w:rsid w:val="0004301C"/>
    <w:rsid w:val="00046070"/>
    <w:rsid w:val="0005080D"/>
    <w:rsid w:val="000575E1"/>
    <w:rsid w:val="00062CD1"/>
    <w:rsid w:val="00063990"/>
    <w:rsid w:val="00083748"/>
    <w:rsid w:val="000903DF"/>
    <w:rsid w:val="00096E12"/>
    <w:rsid w:val="000A1449"/>
    <w:rsid w:val="000A34A1"/>
    <w:rsid w:val="000A5004"/>
    <w:rsid w:val="000B18A4"/>
    <w:rsid w:val="000B58A5"/>
    <w:rsid w:val="000C3B29"/>
    <w:rsid w:val="000E5B31"/>
    <w:rsid w:val="000F37FC"/>
    <w:rsid w:val="001110C1"/>
    <w:rsid w:val="001122A8"/>
    <w:rsid w:val="00117919"/>
    <w:rsid w:val="00122E19"/>
    <w:rsid w:val="00123A6E"/>
    <w:rsid w:val="0012468D"/>
    <w:rsid w:val="001258B3"/>
    <w:rsid w:val="001267DF"/>
    <w:rsid w:val="00131B7E"/>
    <w:rsid w:val="0013516C"/>
    <w:rsid w:val="001405DB"/>
    <w:rsid w:val="00151CD9"/>
    <w:rsid w:val="00153790"/>
    <w:rsid w:val="00154197"/>
    <w:rsid w:val="001562A3"/>
    <w:rsid w:val="00167E6A"/>
    <w:rsid w:val="00171A2B"/>
    <w:rsid w:val="00171EF9"/>
    <w:rsid w:val="001731FC"/>
    <w:rsid w:val="00173779"/>
    <w:rsid w:val="0017461C"/>
    <w:rsid w:val="001877BF"/>
    <w:rsid w:val="00190982"/>
    <w:rsid w:val="00193F29"/>
    <w:rsid w:val="0019779F"/>
    <w:rsid w:val="001A0997"/>
    <w:rsid w:val="001A2884"/>
    <w:rsid w:val="001A31FE"/>
    <w:rsid w:val="001A3C76"/>
    <w:rsid w:val="001A5554"/>
    <w:rsid w:val="001B2626"/>
    <w:rsid w:val="001B2A89"/>
    <w:rsid w:val="001C37AA"/>
    <w:rsid w:val="001C524B"/>
    <w:rsid w:val="001C7AAB"/>
    <w:rsid w:val="001C7ED6"/>
    <w:rsid w:val="001D07EF"/>
    <w:rsid w:val="001D7741"/>
    <w:rsid w:val="001E1FBA"/>
    <w:rsid w:val="001E77F5"/>
    <w:rsid w:val="001F095E"/>
    <w:rsid w:val="001F21A7"/>
    <w:rsid w:val="001F25D5"/>
    <w:rsid w:val="00201AD6"/>
    <w:rsid w:val="002043E4"/>
    <w:rsid w:val="00206C80"/>
    <w:rsid w:val="00225007"/>
    <w:rsid w:val="002323DB"/>
    <w:rsid w:val="00237808"/>
    <w:rsid w:val="002423DF"/>
    <w:rsid w:val="002430E2"/>
    <w:rsid w:val="002463B2"/>
    <w:rsid w:val="00247C3B"/>
    <w:rsid w:val="00251491"/>
    <w:rsid w:val="00253EA7"/>
    <w:rsid w:val="00262687"/>
    <w:rsid w:val="00272B5C"/>
    <w:rsid w:val="002735CD"/>
    <w:rsid w:val="00275BDF"/>
    <w:rsid w:val="00277E53"/>
    <w:rsid w:val="00281024"/>
    <w:rsid w:val="00297AFC"/>
    <w:rsid w:val="002A1EB7"/>
    <w:rsid w:val="002B7709"/>
    <w:rsid w:val="002C6481"/>
    <w:rsid w:val="002C72DB"/>
    <w:rsid w:val="002D1606"/>
    <w:rsid w:val="002D3308"/>
    <w:rsid w:val="002D3E45"/>
    <w:rsid w:val="002E0CC9"/>
    <w:rsid w:val="002E3111"/>
    <w:rsid w:val="002E4C88"/>
    <w:rsid w:val="002F087B"/>
    <w:rsid w:val="003020F7"/>
    <w:rsid w:val="0030515D"/>
    <w:rsid w:val="00306F2C"/>
    <w:rsid w:val="00307BFF"/>
    <w:rsid w:val="00310000"/>
    <w:rsid w:val="003108B0"/>
    <w:rsid w:val="00312532"/>
    <w:rsid w:val="00317113"/>
    <w:rsid w:val="003208F9"/>
    <w:rsid w:val="00320E82"/>
    <w:rsid w:val="003263DB"/>
    <w:rsid w:val="00334A6B"/>
    <w:rsid w:val="003416E3"/>
    <w:rsid w:val="003463DC"/>
    <w:rsid w:val="00355B7D"/>
    <w:rsid w:val="00372B61"/>
    <w:rsid w:val="00373841"/>
    <w:rsid w:val="003744D8"/>
    <w:rsid w:val="00387BB0"/>
    <w:rsid w:val="003903AA"/>
    <w:rsid w:val="003916A6"/>
    <w:rsid w:val="00395CB9"/>
    <w:rsid w:val="003A0832"/>
    <w:rsid w:val="003A3AF3"/>
    <w:rsid w:val="003A519E"/>
    <w:rsid w:val="003A6BA8"/>
    <w:rsid w:val="003B0341"/>
    <w:rsid w:val="003B27FD"/>
    <w:rsid w:val="003B51A5"/>
    <w:rsid w:val="003B7032"/>
    <w:rsid w:val="003C09AE"/>
    <w:rsid w:val="003C1573"/>
    <w:rsid w:val="003C1FC5"/>
    <w:rsid w:val="003C367B"/>
    <w:rsid w:val="003C5B8C"/>
    <w:rsid w:val="003D00E0"/>
    <w:rsid w:val="003F4B31"/>
    <w:rsid w:val="0040513D"/>
    <w:rsid w:val="004152DD"/>
    <w:rsid w:val="00415F24"/>
    <w:rsid w:val="00417D35"/>
    <w:rsid w:val="004319BF"/>
    <w:rsid w:val="00431BDB"/>
    <w:rsid w:val="00431E54"/>
    <w:rsid w:val="004349A4"/>
    <w:rsid w:val="0044561D"/>
    <w:rsid w:val="004477D4"/>
    <w:rsid w:val="00457349"/>
    <w:rsid w:val="00465C24"/>
    <w:rsid w:val="004714BF"/>
    <w:rsid w:val="00472D7B"/>
    <w:rsid w:val="004736C5"/>
    <w:rsid w:val="0047435D"/>
    <w:rsid w:val="004761BE"/>
    <w:rsid w:val="00480AC8"/>
    <w:rsid w:val="00480D72"/>
    <w:rsid w:val="00482940"/>
    <w:rsid w:val="00483F14"/>
    <w:rsid w:val="0049700E"/>
    <w:rsid w:val="004A24DC"/>
    <w:rsid w:val="004B719D"/>
    <w:rsid w:val="004C30DF"/>
    <w:rsid w:val="004C3841"/>
    <w:rsid w:val="004D0AE3"/>
    <w:rsid w:val="004D1E71"/>
    <w:rsid w:val="004D2523"/>
    <w:rsid w:val="004D51CD"/>
    <w:rsid w:val="004D747E"/>
    <w:rsid w:val="004D7F0F"/>
    <w:rsid w:val="004E6086"/>
    <w:rsid w:val="004F1CBE"/>
    <w:rsid w:val="004F651C"/>
    <w:rsid w:val="00500891"/>
    <w:rsid w:val="005019A6"/>
    <w:rsid w:val="00504DA4"/>
    <w:rsid w:val="0052293E"/>
    <w:rsid w:val="00525196"/>
    <w:rsid w:val="00530270"/>
    <w:rsid w:val="00535288"/>
    <w:rsid w:val="00540D57"/>
    <w:rsid w:val="00551E85"/>
    <w:rsid w:val="005532DA"/>
    <w:rsid w:val="00556A76"/>
    <w:rsid w:val="00561326"/>
    <w:rsid w:val="00563F7A"/>
    <w:rsid w:val="00580785"/>
    <w:rsid w:val="005860C6"/>
    <w:rsid w:val="00592472"/>
    <w:rsid w:val="0059720E"/>
    <w:rsid w:val="005A698D"/>
    <w:rsid w:val="005A73A3"/>
    <w:rsid w:val="005B5744"/>
    <w:rsid w:val="005B5B55"/>
    <w:rsid w:val="005C1E64"/>
    <w:rsid w:val="005C2F62"/>
    <w:rsid w:val="005C3158"/>
    <w:rsid w:val="005C5E4A"/>
    <w:rsid w:val="005C7C95"/>
    <w:rsid w:val="005D4640"/>
    <w:rsid w:val="005E4868"/>
    <w:rsid w:val="00601DC3"/>
    <w:rsid w:val="0060222B"/>
    <w:rsid w:val="00604C53"/>
    <w:rsid w:val="006104B8"/>
    <w:rsid w:val="00620381"/>
    <w:rsid w:val="00640CC7"/>
    <w:rsid w:val="00644F29"/>
    <w:rsid w:val="00654241"/>
    <w:rsid w:val="00673FFF"/>
    <w:rsid w:val="0067430B"/>
    <w:rsid w:val="006812D6"/>
    <w:rsid w:val="00681A8D"/>
    <w:rsid w:val="00690FDA"/>
    <w:rsid w:val="00691B93"/>
    <w:rsid w:val="00691F5F"/>
    <w:rsid w:val="0069691D"/>
    <w:rsid w:val="006A0E69"/>
    <w:rsid w:val="006A5481"/>
    <w:rsid w:val="006B571D"/>
    <w:rsid w:val="006B63A1"/>
    <w:rsid w:val="006C02A4"/>
    <w:rsid w:val="006C0CC6"/>
    <w:rsid w:val="006C0DB7"/>
    <w:rsid w:val="006C56B2"/>
    <w:rsid w:val="006C6933"/>
    <w:rsid w:val="006C70ED"/>
    <w:rsid w:val="006D1A06"/>
    <w:rsid w:val="006E2236"/>
    <w:rsid w:val="006E33B4"/>
    <w:rsid w:val="006E7F3C"/>
    <w:rsid w:val="00701368"/>
    <w:rsid w:val="007060FC"/>
    <w:rsid w:val="007114DB"/>
    <w:rsid w:val="00711C0E"/>
    <w:rsid w:val="0071232E"/>
    <w:rsid w:val="00712F19"/>
    <w:rsid w:val="00713881"/>
    <w:rsid w:val="00713C43"/>
    <w:rsid w:val="00716479"/>
    <w:rsid w:val="00730DDF"/>
    <w:rsid w:val="007368B1"/>
    <w:rsid w:val="007612D2"/>
    <w:rsid w:val="00765534"/>
    <w:rsid w:val="007662BB"/>
    <w:rsid w:val="00772B55"/>
    <w:rsid w:val="00772DAF"/>
    <w:rsid w:val="007775A6"/>
    <w:rsid w:val="007819A0"/>
    <w:rsid w:val="00781AB6"/>
    <w:rsid w:val="00782163"/>
    <w:rsid w:val="007847A2"/>
    <w:rsid w:val="00793249"/>
    <w:rsid w:val="007A16B1"/>
    <w:rsid w:val="007B25DF"/>
    <w:rsid w:val="007B7482"/>
    <w:rsid w:val="007D4132"/>
    <w:rsid w:val="007D693D"/>
    <w:rsid w:val="007E07BB"/>
    <w:rsid w:val="007E473F"/>
    <w:rsid w:val="007E60E9"/>
    <w:rsid w:val="007F022E"/>
    <w:rsid w:val="008036EA"/>
    <w:rsid w:val="008046CE"/>
    <w:rsid w:val="008063B4"/>
    <w:rsid w:val="00810B6B"/>
    <w:rsid w:val="0081148A"/>
    <w:rsid w:val="00820520"/>
    <w:rsid w:val="00831BF8"/>
    <w:rsid w:val="00832083"/>
    <w:rsid w:val="00835CD9"/>
    <w:rsid w:val="00840B89"/>
    <w:rsid w:val="00840BD1"/>
    <w:rsid w:val="00840FD5"/>
    <w:rsid w:val="00842BFF"/>
    <w:rsid w:val="00844558"/>
    <w:rsid w:val="0084729A"/>
    <w:rsid w:val="00857814"/>
    <w:rsid w:val="008637E3"/>
    <w:rsid w:val="00863A64"/>
    <w:rsid w:val="008719E0"/>
    <w:rsid w:val="008809C2"/>
    <w:rsid w:val="008812B1"/>
    <w:rsid w:val="00881D22"/>
    <w:rsid w:val="00882BB1"/>
    <w:rsid w:val="008852C9"/>
    <w:rsid w:val="008926C4"/>
    <w:rsid w:val="008927CF"/>
    <w:rsid w:val="008936A5"/>
    <w:rsid w:val="0089641C"/>
    <w:rsid w:val="008B0D4B"/>
    <w:rsid w:val="008B230D"/>
    <w:rsid w:val="008C4F0D"/>
    <w:rsid w:val="008C70B1"/>
    <w:rsid w:val="008D0588"/>
    <w:rsid w:val="008E4075"/>
    <w:rsid w:val="008E4FD4"/>
    <w:rsid w:val="00900AC4"/>
    <w:rsid w:val="00900B82"/>
    <w:rsid w:val="00901463"/>
    <w:rsid w:val="0090171A"/>
    <w:rsid w:val="009075B8"/>
    <w:rsid w:val="009128EC"/>
    <w:rsid w:val="00914F9D"/>
    <w:rsid w:val="0092425A"/>
    <w:rsid w:val="009276B1"/>
    <w:rsid w:val="00931519"/>
    <w:rsid w:val="00932353"/>
    <w:rsid w:val="00932C15"/>
    <w:rsid w:val="009363AF"/>
    <w:rsid w:val="00940365"/>
    <w:rsid w:val="00940C4E"/>
    <w:rsid w:val="0094427F"/>
    <w:rsid w:val="00945808"/>
    <w:rsid w:val="00945AAD"/>
    <w:rsid w:val="009468A3"/>
    <w:rsid w:val="00947CF1"/>
    <w:rsid w:val="009506DE"/>
    <w:rsid w:val="00952D7B"/>
    <w:rsid w:val="00956696"/>
    <w:rsid w:val="00960597"/>
    <w:rsid w:val="00980307"/>
    <w:rsid w:val="00981302"/>
    <w:rsid w:val="00982820"/>
    <w:rsid w:val="00985DCF"/>
    <w:rsid w:val="00986CB7"/>
    <w:rsid w:val="00991D74"/>
    <w:rsid w:val="00992445"/>
    <w:rsid w:val="00995A21"/>
    <w:rsid w:val="00997661"/>
    <w:rsid w:val="009A2648"/>
    <w:rsid w:val="009A32F3"/>
    <w:rsid w:val="009B02DF"/>
    <w:rsid w:val="009C5836"/>
    <w:rsid w:val="009C76C6"/>
    <w:rsid w:val="009D1698"/>
    <w:rsid w:val="009D2BB1"/>
    <w:rsid w:val="009D2D21"/>
    <w:rsid w:val="009E3638"/>
    <w:rsid w:val="00A07335"/>
    <w:rsid w:val="00A12C3C"/>
    <w:rsid w:val="00A21626"/>
    <w:rsid w:val="00A21F9D"/>
    <w:rsid w:val="00A22F96"/>
    <w:rsid w:val="00A2545B"/>
    <w:rsid w:val="00A33F9A"/>
    <w:rsid w:val="00A34263"/>
    <w:rsid w:val="00A40AEF"/>
    <w:rsid w:val="00A42C88"/>
    <w:rsid w:val="00A43188"/>
    <w:rsid w:val="00A455F1"/>
    <w:rsid w:val="00A50551"/>
    <w:rsid w:val="00A55067"/>
    <w:rsid w:val="00A57E4A"/>
    <w:rsid w:val="00A66AEF"/>
    <w:rsid w:val="00A736C3"/>
    <w:rsid w:val="00A82F4A"/>
    <w:rsid w:val="00A912D6"/>
    <w:rsid w:val="00A95DB2"/>
    <w:rsid w:val="00AA24F8"/>
    <w:rsid w:val="00AC2039"/>
    <w:rsid w:val="00AC35AA"/>
    <w:rsid w:val="00AD050D"/>
    <w:rsid w:val="00AD23F7"/>
    <w:rsid w:val="00AD3123"/>
    <w:rsid w:val="00AD4985"/>
    <w:rsid w:val="00AD70F6"/>
    <w:rsid w:val="00AD7C38"/>
    <w:rsid w:val="00AE0147"/>
    <w:rsid w:val="00AE1E02"/>
    <w:rsid w:val="00AE38E5"/>
    <w:rsid w:val="00AE6188"/>
    <w:rsid w:val="00AF332A"/>
    <w:rsid w:val="00AF3373"/>
    <w:rsid w:val="00AF4FA4"/>
    <w:rsid w:val="00AF7421"/>
    <w:rsid w:val="00AF748E"/>
    <w:rsid w:val="00AF7FE0"/>
    <w:rsid w:val="00B02F2D"/>
    <w:rsid w:val="00B03D14"/>
    <w:rsid w:val="00B05583"/>
    <w:rsid w:val="00B06FDE"/>
    <w:rsid w:val="00B138D2"/>
    <w:rsid w:val="00B1419E"/>
    <w:rsid w:val="00B152FA"/>
    <w:rsid w:val="00B16879"/>
    <w:rsid w:val="00B35021"/>
    <w:rsid w:val="00B35E10"/>
    <w:rsid w:val="00B3623E"/>
    <w:rsid w:val="00B42A70"/>
    <w:rsid w:val="00B459AA"/>
    <w:rsid w:val="00B554D1"/>
    <w:rsid w:val="00B572DD"/>
    <w:rsid w:val="00B575F2"/>
    <w:rsid w:val="00B633F3"/>
    <w:rsid w:val="00B637EC"/>
    <w:rsid w:val="00B653EB"/>
    <w:rsid w:val="00B6713D"/>
    <w:rsid w:val="00B67F8E"/>
    <w:rsid w:val="00B82A86"/>
    <w:rsid w:val="00B9119E"/>
    <w:rsid w:val="00B95606"/>
    <w:rsid w:val="00B97C69"/>
    <w:rsid w:val="00BA6F70"/>
    <w:rsid w:val="00BB3BE0"/>
    <w:rsid w:val="00BC537B"/>
    <w:rsid w:val="00BD3834"/>
    <w:rsid w:val="00BD6246"/>
    <w:rsid w:val="00BD64F6"/>
    <w:rsid w:val="00BE2F9E"/>
    <w:rsid w:val="00BE77B4"/>
    <w:rsid w:val="00BF1E60"/>
    <w:rsid w:val="00BF2091"/>
    <w:rsid w:val="00BF70E7"/>
    <w:rsid w:val="00C02F01"/>
    <w:rsid w:val="00C1020B"/>
    <w:rsid w:val="00C12C71"/>
    <w:rsid w:val="00C1472E"/>
    <w:rsid w:val="00C17655"/>
    <w:rsid w:val="00C2415B"/>
    <w:rsid w:val="00C30E16"/>
    <w:rsid w:val="00C4185B"/>
    <w:rsid w:val="00C44A9F"/>
    <w:rsid w:val="00C44DB9"/>
    <w:rsid w:val="00C44FAD"/>
    <w:rsid w:val="00C4785A"/>
    <w:rsid w:val="00C65CFE"/>
    <w:rsid w:val="00C67A49"/>
    <w:rsid w:val="00C738B0"/>
    <w:rsid w:val="00C81367"/>
    <w:rsid w:val="00C83659"/>
    <w:rsid w:val="00C871FF"/>
    <w:rsid w:val="00C95DE7"/>
    <w:rsid w:val="00C96AE0"/>
    <w:rsid w:val="00CA1526"/>
    <w:rsid w:val="00CA4A9A"/>
    <w:rsid w:val="00CB6C8C"/>
    <w:rsid w:val="00CC10CE"/>
    <w:rsid w:val="00CD2736"/>
    <w:rsid w:val="00CD3227"/>
    <w:rsid w:val="00CD44FC"/>
    <w:rsid w:val="00CE03BA"/>
    <w:rsid w:val="00CF1CA5"/>
    <w:rsid w:val="00D01149"/>
    <w:rsid w:val="00D20FEA"/>
    <w:rsid w:val="00D22055"/>
    <w:rsid w:val="00D224A7"/>
    <w:rsid w:val="00D26659"/>
    <w:rsid w:val="00D323FB"/>
    <w:rsid w:val="00D32F23"/>
    <w:rsid w:val="00D34937"/>
    <w:rsid w:val="00D361F6"/>
    <w:rsid w:val="00D3640B"/>
    <w:rsid w:val="00D437B1"/>
    <w:rsid w:val="00D5001B"/>
    <w:rsid w:val="00D515F1"/>
    <w:rsid w:val="00D516E6"/>
    <w:rsid w:val="00D52D98"/>
    <w:rsid w:val="00D5604A"/>
    <w:rsid w:val="00D60BA3"/>
    <w:rsid w:val="00D6425E"/>
    <w:rsid w:val="00D70263"/>
    <w:rsid w:val="00D7207C"/>
    <w:rsid w:val="00D762F3"/>
    <w:rsid w:val="00D8641D"/>
    <w:rsid w:val="00D87370"/>
    <w:rsid w:val="00D9048F"/>
    <w:rsid w:val="00D93AA8"/>
    <w:rsid w:val="00DA22EC"/>
    <w:rsid w:val="00DA5F17"/>
    <w:rsid w:val="00DB01B8"/>
    <w:rsid w:val="00DB0906"/>
    <w:rsid w:val="00DB22F2"/>
    <w:rsid w:val="00DB70F6"/>
    <w:rsid w:val="00DC3EC7"/>
    <w:rsid w:val="00DD1598"/>
    <w:rsid w:val="00DD250F"/>
    <w:rsid w:val="00DD3C8D"/>
    <w:rsid w:val="00DD6DBA"/>
    <w:rsid w:val="00DD7F29"/>
    <w:rsid w:val="00DE06AE"/>
    <w:rsid w:val="00DE5773"/>
    <w:rsid w:val="00DE5B25"/>
    <w:rsid w:val="00DF2CB5"/>
    <w:rsid w:val="00DF38AA"/>
    <w:rsid w:val="00DF52B0"/>
    <w:rsid w:val="00DF68CC"/>
    <w:rsid w:val="00DF7FFB"/>
    <w:rsid w:val="00E02F49"/>
    <w:rsid w:val="00E06A07"/>
    <w:rsid w:val="00E12A73"/>
    <w:rsid w:val="00E22379"/>
    <w:rsid w:val="00E31014"/>
    <w:rsid w:val="00E3587C"/>
    <w:rsid w:val="00E3628F"/>
    <w:rsid w:val="00E41F26"/>
    <w:rsid w:val="00E45038"/>
    <w:rsid w:val="00E503DE"/>
    <w:rsid w:val="00E50DED"/>
    <w:rsid w:val="00E5360F"/>
    <w:rsid w:val="00E557B0"/>
    <w:rsid w:val="00E60EAB"/>
    <w:rsid w:val="00E643E5"/>
    <w:rsid w:val="00E67A99"/>
    <w:rsid w:val="00E77193"/>
    <w:rsid w:val="00E77939"/>
    <w:rsid w:val="00E77BBE"/>
    <w:rsid w:val="00E8383A"/>
    <w:rsid w:val="00E8514F"/>
    <w:rsid w:val="00E8587C"/>
    <w:rsid w:val="00E85ED1"/>
    <w:rsid w:val="00E861E9"/>
    <w:rsid w:val="00E87D70"/>
    <w:rsid w:val="00E900F5"/>
    <w:rsid w:val="00EA41C8"/>
    <w:rsid w:val="00EA5E51"/>
    <w:rsid w:val="00EB346D"/>
    <w:rsid w:val="00EB4F88"/>
    <w:rsid w:val="00EB5AD6"/>
    <w:rsid w:val="00ED7E18"/>
    <w:rsid w:val="00EE1862"/>
    <w:rsid w:val="00EE4CF7"/>
    <w:rsid w:val="00EE7C7D"/>
    <w:rsid w:val="00EF1425"/>
    <w:rsid w:val="00EF3474"/>
    <w:rsid w:val="00EF5683"/>
    <w:rsid w:val="00EF5C90"/>
    <w:rsid w:val="00F0361D"/>
    <w:rsid w:val="00F111CF"/>
    <w:rsid w:val="00F14BBF"/>
    <w:rsid w:val="00F17B6A"/>
    <w:rsid w:val="00F20AB6"/>
    <w:rsid w:val="00F252A0"/>
    <w:rsid w:val="00F30EF1"/>
    <w:rsid w:val="00F33C66"/>
    <w:rsid w:val="00F34143"/>
    <w:rsid w:val="00F408A9"/>
    <w:rsid w:val="00F53FE1"/>
    <w:rsid w:val="00F551FA"/>
    <w:rsid w:val="00F565A3"/>
    <w:rsid w:val="00F652C4"/>
    <w:rsid w:val="00F666BF"/>
    <w:rsid w:val="00F72E3A"/>
    <w:rsid w:val="00F738BC"/>
    <w:rsid w:val="00F73A05"/>
    <w:rsid w:val="00F87354"/>
    <w:rsid w:val="00F87417"/>
    <w:rsid w:val="00F91023"/>
    <w:rsid w:val="00F96EE7"/>
    <w:rsid w:val="00FB5F67"/>
    <w:rsid w:val="00FB60CA"/>
    <w:rsid w:val="00FC2F75"/>
    <w:rsid w:val="00FD165E"/>
    <w:rsid w:val="00FE432D"/>
    <w:rsid w:val="00FF3952"/>
    <w:rsid w:val="00FF3B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E9B077"/>
  <w15:docId w15:val="{C4EFEC56-29EC-4CC8-81FA-FCF36154B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374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7BFF"/>
    <w:pPr>
      <w:spacing w:after="0" w:line="240" w:lineRule="auto"/>
    </w:pPr>
  </w:style>
  <w:style w:type="paragraph" w:styleId="ListParagraph">
    <w:name w:val="List Paragraph"/>
    <w:basedOn w:val="Normal"/>
    <w:uiPriority w:val="34"/>
    <w:qFormat/>
    <w:rsid w:val="00840BD1"/>
    <w:pPr>
      <w:spacing w:after="200" w:line="276" w:lineRule="auto"/>
      <w:ind w:left="720"/>
      <w:contextualSpacing/>
    </w:pPr>
    <w:rPr>
      <w:rFonts w:asciiTheme="minorHAnsi" w:eastAsiaTheme="minorEastAsia" w:hAnsiTheme="minorHAnsi" w:cstheme="minorBidi"/>
      <w:sz w:val="22"/>
      <w:szCs w:val="22"/>
    </w:rPr>
  </w:style>
  <w:style w:type="paragraph" w:styleId="NormalWeb">
    <w:name w:val="Normal (Web)"/>
    <w:basedOn w:val="Normal"/>
    <w:unhideWhenUsed/>
    <w:rsid w:val="00F87417"/>
    <w:pPr>
      <w:spacing w:before="100" w:beforeAutospacing="1" w:after="100" w:afterAutospacing="1"/>
    </w:pPr>
  </w:style>
  <w:style w:type="character" w:styleId="CommentReference">
    <w:name w:val="annotation reference"/>
    <w:basedOn w:val="DefaultParagraphFont"/>
    <w:uiPriority w:val="99"/>
    <w:semiHidden/>
    <w:unhideWhenUsed/>
    <w:rsid w:val="00832083"/>
    <w:rPr>
      <w:sz w:val="16"/>
      <w:szCs w:val="16"/>
    </w:rPr>
  </w:style>
  <w:style w:type="paragraph" w:styleId="CommentText">
    <w:name w:val="annotation text"/>
    <w:basedOn w:val="Normal"/>
    <w:link w:val="CommentTextChar"/>
    <w:uiPriority w:val="99"/>
    <w:unhideWhenUsed/>
    <w:rsid w:val="000A5004"/>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832083"/>
    <w:rPr>
      <w:sz w:val="20"/>
      <w:szCs w:val="20"/>
    </w:rPr>
  </w:style>
  <w:style w:type="paragraph" w:styleId="CommentSubject">
    <w:name w:val="annotation subject"/>
    <w:basedOn w:val="CommentText"/>
    <w:next w:val="CommentText"/>
    <w:link w:val="CommentSubjectChar"/>
    <w:uiPriority w:val="99"/>
    <w:semiHidden/>
    <w:unhideWhenUsed/>
    <w:rsid w:val="00832083"/>
    <w:rPr>
      <w:b/>
      <w:bCs/>
    </w:rPr>
  </w:style>
  <w:style w:type="character" w:customStyle="1" w:styleId="CommentSubjectChar">
    <w:name w:val="Comment Subject Char"/>
    <w:basedOn w:val="CommentTextChar"/>
    <w:link w:val="CommentSubject"/>
    <w:uiPriority w:val="99"/>
    <w:semiHidden/>
    <w:rsid w:val="00832083"/>
    <w:rPr>
      <w:b/>
      <w:bCs/>
      <w:sz w:val="20"/>
      <w:szCs w:val="20"/>
    </w:rPr>
  </w:style>
  <w:style w:type="paragraph" w:styleId="BalloonText">
    <w:name w:val="Balloon Text"/>
    <w:basedOn w:val="Normal"/>
    <w:link w:val="BalloonTextChar"/>
    <w:uiPriority w:val="99"/>
    <w:semiHidden/>
    <w:unhideWhenUsed/>
    <w:rsid w:val="00832083"/>
    <w:rPr>
      <w:rFonts w:ascii="Tahoma" w:hAnsi="Tahoma" w:eastAsiaTheme="minorEastAsia" w:cs="Tahoma"/>
      <w:sz w:val="16"/>
      <w:szCs w:val="16"/>
    </w:rPr>
  </w:style>
  <w:style w:type="character" w:customStyle="1" w:styleId="BalloonTextChar">
    <w:name w:val="Balloon Text Char"/>
    <w:basedOn w:val="DefaultParagraphFont"/>
    <w:link w:val="BalloonText"/>
    <w:uiPriority w:val="99"/>
    <w:semiHidden/>
    <w:rsid w:val="00832083"/>
    <w:rPr>
      <w:rFonts w:ascii="Tahoma" w:hAnsi="Tahoma" w:cs="Tahoma"/>
      <w:sz w:val="16"/>
      <w:szCs w:val="16"/>
    </w:rPr>
  </w:style>
  <w:style w:type="paragraph" w:styleId="PlainText">
    <w:name w:val="Plain Text"/>
    <w:basedOn w:val="Normal"/>
    <w:link w:val="PlainTextChar"/>
    <w:uiPriority w:val="99"/>
    <w:unhideWhenUsed/>
    <w:rsid w:val="00E861E9"/>
    <w:rPr>
      <w:rFonts w:ascii="Calibri" w:hAnsi="Calibri" w:eastAsiaTheme="minorHAnsi" w:cstheme="minorBidi"/>
      <w:sz w:val="22"/>
      <w:szCs w:val="21"/>
    </w:rPr>
  </w:style>
  <w:style w:type="character" w:customStyle="1" w:styleId="PlainTextChar">
    <w:name w:val="Plain Text Char"/>
    <w:basedOn w:val="DefaultParagraphFont"/>
    <w:link w:val="PlainText"/>
    <w:uiPriority w:val="99"/>
    <w:rsid w:val="00E861E9"/>
    <w:rPr>
      <w:rFonts w:ascii="Calibri" w:hAnsi="Calibri" w:eastAsiaTheme="minorHAnsi"/>
      <w:szCs w:val="21"/>
    </w:rPr>
  </w:style>
  <w:style w:type="paragraph" w:styleId="FootnoteText">
    <w:name w:val="footnote text"/>
    <w:basedOn w:val="Normal"/>
    <w:link w:val="FootnoteTextChar"/>
    <w:rsid w:val="00E45038"/>
    <w:rPr>
      <w:sz w:val="20"/>
      <w:szCs w:val="20"/>
    </w:rPr>
  </w:style>
  <w:style w:type="character" w:customStyle="1" w:styleId="FootnoteTextChar">
    <w:name w:val="Footnote Text Char"/>
    <w:basedOn w:val="DefaultParagraphFont"/>
    <w:link w:val="FootnoteText"/>
    <w:rsid w:val="00E45038"/>
    <w:rPr>
      <w:rFonts w:ascii="Times New Roman" w:eastAsia="Times New Roman" w:hAnsi="Times New Roman" w:cs="Times New Roman"/>
      <w:sz w:val="20"/>
      <w:szCs w:val="20"/>
    </w:rPr>
  </w:style>
  <w:style w:type="character" w:styleId="FootnoteReference">
    <w:name w:val="footnote reference"/>
    <w:rsid w:val="00E45038"/>
    <w:rPr>
      <w:vertAlign w:val="superscript"/>
    </w:rPr>
  </w:style>
  <w:style w:type="paragraph" w:styleId="Header">
    <w:name w:val="header"/>
    <w:basedOn w:val="Normal"/>
    <w:link w:val="HeaderChar"/>
    <w:uiPriority w:val="99"/>
    <w:unhideWhenUsed/>
    <w:rsid w:val="006C56B2"/>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6C56B2"/>
  </w:style>
  <w:style w:type="paragraph" w:styleId="Footer">
    <w:name w:val="footer"/>
    <w:basedOn w:val="Normal"/>
    <w:link w:val="FooterChar"/>
    <w:uiPriority w:val="99"/>
    <w:unhideWhenUsed/>
    <w:rsid w:val="006C56B2"/>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6C56B2"/>
  </w:style>
  <w:style w:type="character" w:styleId="PageNumber">
    <w:name w:val="page number"/>
    <w:basedOn w:val="DefaultParagraphFont"/>
    <w:uiPriority w:val="99"/>
    <w:semiHidden/>
    <w:unhideWhenUsed/>
    <w:rsid w:val="00982820"/>
  </w:style>
  <w:style w:type="character" w:styleId="Hyperlink">
    <w:name w:val="Hyperlink"/>
    <w:basedOn w:val="DefaultParagraphFont"/>
    <w:uiPriority w:val="99"/>
    <w:unhideWhenUsed/>
    <w:rsid w:val="00997661"/>
    <w:rPr>
      <w:color w:val="0000FF" w:themeColor="hyperlink"/>
      <w:u w:val="single"/>
    </w:rPr>
  </w:style>
  <w:style w:type="paragraph" w:styleId="Title">
    <w:name w:val="Title"/>
    <w:basedOn w:val="Normal"/>
    <w:next w:val="Normal"/>
    <w:link w:val="TitleChar"/>
    <w:uiPriority w:val="10"/>
    <w:qFormat/>
    <w:rsid w:val="006743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430B"/>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2735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361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yperlink" Target="https://dpcld.defense.gov/Privacy/SORNsIndex/DOD-wide-SORN-Article-View/Article/581425/a0025-2-pmg-dfba-dod/"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a245b62a-6f91-4ebc-b1ec-648856d05bfb</TitusGUID>
  <TitusMetadata xmlns="">eyJucyI6Imh0dHA6XC9cL3d3dy50aXR1cy5jb21cL25zXC9Kb2ludCBTZXJ2aWNlIFByb3ZpZGVyIiwicHJvcHMiOlt7Im4iOiJDbGFzc2lmaWNhdGlvbiIsInZhbHMiOlt7InZhbHVlIjoiVW5jbGFzc2lmaWVkIn1dfSx7Im4iOiJEaXNzZW1pbmF0aW9uIiwidmFscyI6W119XX0=</TitusMetadata>
</titu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3E2D6-287F-4120-B970-5082F1CA319F}">
  <ds:schemaRefs>
    <ds:schemaRef ds:uri="http://schemas.titus.com/TitusProperties/"/>
    <ds:schemaRef ds:uri=""/>
  </ds:schemaRefs>
</ds:datastoreItem>
</file>

<file path=customXml/itemProps2.xml><?xml version="1.0" encoding="utf-8"?>
<ds:datastoreItem xmlns:ds="http://schemas.openxmlformats.org/officeDocument/2006/customXml" ds:itemID="{A21363F1-2A87-480E-A54C-D8BB6B31D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2178</Words>
  <Characters>12417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Zavada, Alexa M CTR HQDA PMG</dc:creator>
  <cp:lastModifiedBy>Schuff, Nicholas A CTR WHS ESD (USA)</cp:lastModifiedBy>
  <cp:revision>8</cp:revision>
  <cp:lastPrinted>2014-04-30T13:33:00Z</cp:lastPrinted>
  <dcterms:created xsi:type="dcterms:W3CDTF">2024-11-25T15:33:00Z</dcterms:created>
  <dcterms:modified xsi:type="dcterms:W3CDTF">2024-11-25T16:29:00Z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Dissemination">
    <vt:lpwstr/>
  </property>
  <property fmtid="{D5CDD505-2E9C-101B-9397-08002B2CF9AE}" pid="4" name="TitusGUID">
    <vt:lpwstr>a245b62a-6f91-4ebc-b1ec-648856d05bfb</vt:lpwstr>
  </property>
</Properties>
</file>