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F171B7" w14:paraId="045D744B" w14:textId="192D48D7">
      <w:pPr>
        <w:jc w:val="center"/>
        <w:rPr>
          <w:rFonts w:eastAsia="Calibri"/>
        </w:rPr>
      </w:pPr>
      <w:r>
        <w:rPr>
          <w:rFonts w:eastAsia="Calibri"/>
        </w:rPr>
        <w:t>UNITED STATES FOOD &amp; DRUG ADMINISTRATION</w:t>
      </w:r>
    </w:p>
    <w:p w:rsidR="00357C8A" w:rsidP="00F171B7" w14:paraId="1043043E" w14:textId="77777777">
      <w:pPr>
        <w:jc w:val="center"/>
        <w:rPr>
          <w:rFonts w:eastAsia="Calibri"/>
        </w:rPr>
      </w:pPr>
    </w:p>
    <w:p w:rsidR="00D820E2" w:rsidRPr="00D820E2" w:rsidP="00F171B7" w14:paraId="7A579ACF" w14:textId="77777777">
      <w:pPr>
        <w:jc w:val="center"/>
        <w:rPr>
          <w:rFonts w:eastAsia="Calibri"/>
        </w:rPr>
      </w:pPr>
      <w:r w:rsidRPr="00D820E2">
        <w:rPr>
          <w:rFonts w:eastAsia="Calibri"/>
        </w:rPr>
        <w:t xml:space="preserve">Establishing and Maintaining Lists of U.S. Establishments with Interest in Exporting </w:t>
      </w:r>
    </w:p>
    <w:p w:rsidR="00AE3E9A" w:rsidP="00F171B7" w14:paraId="6AF01224" w14:textId="0EF475B8">
      <w:pPr>
        <w:jc w:val="center"/>
        <w:rPr>
          <w:rFonts w:eastAsia="Calibri"/>
        </w:rPr>
      </w:pPr>
      <w:r>
        <w:rPr>
          <w:rFonts w:eastAsia="Calibri"/>
        </w:rPr>
        <w:t>HFP</w:t>
      </w:r>
      <w:r w:rsidR="00C41203">
        <w:rPr>
          <w:rFonts w:eastAsia="Calibri"/>
        </w:rPr>
        <w:t>-Regulated</w:t>
      </w:r>
      <w:r w:rsidRPr="00D820E2">
        <w:rPr>
          <w:rFonts w:eastAsia="Calibri"/>
        </w:rPr>
        <w:t xml:space="preserve"> </w:t>
      </w:r>
      <w:r w:rsidRPr="00D820E2" w:rsidR="00D820E2">
        <w:rPr>
          <w:rFonts w:eastAsia="Calibri"/>
        </w:rPr>
        <w:t>Products</w:t>
      </w:r>
    </w:p>
    <w:p w:rsidR="00357C8A" w:rsidP="00F171B7" w14:paraId="6F50672E" w14:textId="40CF4753">
      <w:pPr>
        <w:jc w:val="center"/>
        <w:rPr>
          <w:rFonts w:eastAsia="Calibri"/>
        </w:rPr>
      </w:pPr>
      <w:r w:rsidRPr="00D820E2">
        <w:rPr>
          <w:rFonts w:eastAsia="Calibri"/>
        </w:rPr>
        <w:t xml:space="preserve"> </w:t>
      </w:r>
    </w:p>
    <w:p w:rsidR="00357C8A" w:rsidRPr="00F171B7" w:rsidP="00F171B7" w14:paraId="7A933EAD" w14:textId="20A64BE8">
      <w:pPr>
        <w:jc w:val="center"/>
        <w:rPr>
          <w:rFonts w:eastAsia="Calibri"/>
          <w:u w:val="single"/>
        </w:rPr>
      </w:pPr>
      <w:r w:rsidRPr="00F171B7">
        <w:rPr>
          <w:rFonts w:eastAsia="Calibri"/>
          <w:u w:val="single"/>
        </w:rPr>
        <w:t>OMB Control No. 0910-</w:t>
      </w:r>
      <w:r w:rsidRPr="00F171B7" w:rsidR="00D820E2">
        <w:rPr>
          <w:rFonts w:eastAsia="Calibri"/>
          <w:u w:val="single"/>
        </w:rPr>
        <w:t>0509</w:t>
      </w:r>
      <w:r w:rsidRPr="00F171B7" w:rsidR="00F171B7">
        <w:rPr>
          <w:rFonts w:eastAsia="Calibri"/>
          <w:u w:val="single"/>
        </w:rPr>
        <w:t xml:space="preserve"> - Extension</w:t>
      </w:r>
    </w:p>
    <w:p w:rsidR="00357C8A" w:rsidP="00F171B7" w14:paraId="7DD8737F" w14:textId="77777777">
      <w:pPr>
        <w:jc w:val="center"/>
        <w:rPr>
          <w:rFonts w:eastAsia="Calibri"/>
        </w:rPr>
      </w:pPr>
    </w:p>
    <w:p w:rsidR="00357C8A" w:rsidP="00F171B7" w14:paraId="73D3CAB1" w14:textId="77777777">
      <w:pPr>
        <w:jc w:val="center"/>
        <w:rPr>
          <w:rFonts w:eastAsia="Calibri"/>
        </w:rPr>
      </w:pPr>
      <w:r w:rsidRPr="00357C8A">
        <w:rPr>
          <w:rFonts w:eastAsia="Calibri"/>
        </w:rPr>
        <w:t>SUPPORTING STATEMENT</w:t>
      </w:r>
    </w:p>
    <w:p w:rsidR="009B4DF2" w:rsidP="00F171B7" w14:paraId="1F13D65F" w14:textId="77777777">
      <w:pPr>
        <w:jc w:val="center"/>
        <w:rPr>
          <w:rFonts w:eastAsia="Calibri"/>
        </w:rPr>
      </w:pPr>
    </w:p>
    <w:p w:rsidR="00357C8A" w:rsidP="00F171B7" w14:paraId="7DAB26F0" w14:textId="77777777">
      <w:pPr>
        <w:rPr>
          <w:rFonts w:eastAsia="Calibri"/>
        </w:rPr>
      </w:pPr>
      <w:r w:rsidRPr="00357C8A">
        <w:rPr>
          <w:rFonts w:eastAsia="Calibri"/>
          <w:b/>
        </w:rPr>
        <w:t>Part A:  Justification</w:t>
      </w:r>
      <w:r w:rsidRPr="00357C8A">
        <w:rPr>
          <w:rFonts w:eastAsia="Calibri"/>
        </w:rPr>
        <w:t>:</w:t>
      </w:r>
    </w:p>
    <w:p w:rsidR="000D79CC" w:rsidRPr="00357C8A" w:rsidP="00F171B7" w14:paraId="2A01BFEC" w14:textId="77777777">
      <w:pPr>
        <w:rPr>
          <w:rFonts w:eastAsia="Calibri"/>
        </w:rPr>
      </w:pPr>
    </w:p>
    <w:p w:rsidR="00357C8A" w:rsidRPr="00357C8A" w:rsidP="00F171B7" w14:paraId="202C8898" w14:textId="77777777">
      <w:pPr>
        <w:numPr>
          <w:ilvl w:val="0"/>
          <w:numId w:val="6"/>
        </w:numPr>
        <w:spacing w:line="276" w:lineRule="auto"/>
        <w:ind w:left="0"/>
        <w:rPr>
          <w:rFonts w:eastAsia="Calibri"/>
        </w:rPr>
      </w:pPr>
      <w:r w:rsidRPr="00357C8A">
        <w:rPr>
          <w:rFonts w:eastAsia="Calibri"/>
          <w:u w:val="single"/>
        </w:rPr>
        <w:t>Circumstances Making the Collection of Information Necessary</w:t>
      </w:r>
    </w:p>
    <w:p w:rsidR="00F171B7" w:rsidP="00F171B7" w14:paraId="1D49F777" w14:textId="77777777">
      <w:pPr>
        <w:rPr>
          <w:rFonts w:eastAsia="Calibri"/>
        </w:rPr>
      </w:pPr>
    </w:p>
    <w:p w:rsidR="002E4638" w:rsidP="00F171B7" w14:paraId="717F2D82" w14:textId="77777777">
      <w:pPr>
        <w:rPr>
          <w:rFonts w:eastAsia="Calibri"/>
        </w:rPr>
      </w:pPr>
      <w:r w:rsidRPr="005B4CF3">
        <w:rPr>
          <w:rFonts w:eastAsia="Calibri"/>
        </w:rPr>
        <w:t xml:space="preserve">This information collection </w:t>
      </w:r>
      <w:r w:rsidR="00B73C3E">
        <w:rPr>
          <w:rFonts w:eastAsia="Calibri"/>
        </w:rPr>
        <w:t xml:space="preserve">helps </w:t>
      </w:r>
      <w:r w:rsidRPr="005B4CF3">
        <w:rPr>
          <w:rFonts w:eastAsia="Calibri"/>
        </w:rPr>
        <w:t>support</w:t>
      </w:r>
      <w:r w:rsidR="00B73C3E">
        <w:rPr>
          <w:rFonts w:eastAsia="Calibri"/>
        </w:rPr>
        <w:t xml:space="preserve"> FDA’s </w:t>
      </w:r>
      <w:r w:rsidRPr="005B4CF3">
        <w:rPr>
          <w:rFonts w:eastAsia="Calibri"/>
        </w:rPr>
        <w:t xml:space="preserve">export program. </w:t>
      </w:r>
      <w:r>
        <w:rPr>
          <w:rFonts w:eastAsia="Calibri"/>
        </w:rPr>
        <w:t xml:space="preserve"> </w:t>
      </w:r>
      <w:r w:rsidRPr="005B4CF3">
        <w:rPr>
          <w:rFonts w:eastAsia="Calibri"/>
        </w:rPr>
        <w:t>The United States (U.S.) exports a</w:t>
      </w:r>
      <w:r>
        <w:rPr>
          <w:rFonts w:eastAsia="Calibri"/>
        </w:rPr>
        <w:t xml:space="preserve"> </w:t>
      </w:r>
      <w:r w:rsidRPr="005B4CF3">
        <w:rPr>
          <w:rFonts w:eastAsia="Calibri"/>
        </w:rPr>
        <w:t xml:space="preserve">large volume and variety of foods in international trade. </w:t>
      </w:r>
      <w:r>
        <w:rPr>
          <w:rFonts w:eastAsia="Calibri"/>
        </w:rPr>
        <w:t xml:space="preserve"> </w:t>
      </w:r>
      <w:r w:rsidRPr="005B4CF3">
        <w:rPr>
          <w:rFonts w:eastAsia="Calibri"/>
        </w:rPr>
        <w:t>Foreign</w:t>
      </w:r>
      <w:r>
        <w:rPr>
          <w:rFonts w:eastAsia="Calibri"/>
        </w:rPr>
        <w:t xml:space="preserve"> </w:t>
      </w:r>
      <w:r w:rsidRPr="005B4CF3">
        <w:rPr>
          <w:rFonts w:eastAsia="Calibri"/>
        </w:rPr>
        <w:t xml:space="preserve">governments </w:t>
      </w:r>
      <w:r>
        <w:rPr>
          <w:rFonts w:eastAsia="Calibri"/>
        </w:rPr>
        <w:t>often</w:t>
      </w:r>
      <w:r w:rsidRPr="005B4CF3">
        <w:rPr>
          <w:rFonts w:eastAsia="Calibri"/>
        </w:rPr>
        <w:t xml:space="preserve"> require </w:t>
      </w:r>
      <w:r>
        <w:rPr>
          <w:rFonts w:eastAsia="Calibri"/>
        </w:rPr>
        <w:t xml:space="preserve">official certification </w:t>
      </w:r>
      <w:r w:rsidRPr="005B4CF3">
        <w:rPr>
          <w:rFonts w:eastAsia="Calibri"/>
        </w:rPr>
        <w:t xml:space="preserve">from the responsible authority of the country of origin </w:t>
      </w:r>
      <w:r>
        <w:rPr>
          <w:rFonts w:eastAsia="Calibri"/>
        </w:rPr>
        <w:t xml:space="preserve">about </w:t>
      </w:r>
      <w:r w:rsidRPr="005B4CF3">
        <w:rPr>
          <w:rFonts w:eastAsia="Calibri"/>
        </w:rPr>
        <w:t>imported food</w:t>
      </w:r>
      <w:r>
        <w:rPr>
          <w:rFonts w:eastAsia="Calibri"/>
        </w:rPr>
        <w:t>s and establishments involved in their production, storage, or distribution</w:t>
      </w:r>
      <w:r w:rsidRPr="005B4CF3">
        <w:rPr>
          <w:rFonts w:eastAsia="Calibri"/>
        </w:rPr>
        <w:t xml:space="preserve">. </w:t>
      </w:r>
      <w:r>
        <w:rPr>
          <w:rFonts w:eastAsia="Calibri"/>
        </w:rPr>
        <w:t xml:space="preserve"> </w:t>
      </w:r>
      <w:r w:rsidRPr="005B4CF3">
        <w:rPr>
          <w:rFonts w:eastAsia="Calibri"/>
        </w:rPr>
        <w:t>Some foreign governments establish additional requirements with</w:t>
      </w:r>
      <w:r>
        <w:rPr>
          <w:rFonts w:eastAsia="Calibri"/>
        </w:rPr>
        <w:t xml:space="preserve"> </w:t>
      </w:r>
      <w:r w:rsidRPr="005B4CF3">
        <w:rPr>
          <w:rFonts w:eastAsia="Calibri"/>
        </w:rPr>
        <w:t>which exporters are required to comply and ask for additional assurances from the responsible</w:t>
      </w:r>
      <w:r>
        <w:rPr>
          <w:rFonts w:eastAsia="Calibri"/>
        </w:rPr>
        <w:t xml:space="preserve"> </w:t>
      </w:r>
      <w:r w:rsidRPr="005B4CF3">
        <w:rPr>
          <w:rFonts w:eastAsia="Calibri"/>
        </w:rPr>
        <w:t xml:space="preserve">authority. </w:t>
      </w:r>
      <w:r>
        <w:rPr>
          <w:rFonts w:eastAsia="Calibri"/>
        </w:rPr>
        <w:t xml:space="preserve"> Importing countries may require, and FDA </w:t>
      </w:r>
      <w:r w:rsidRPr="005B4CF3">
        <w:rPr>
          <w:rFonts w:eastAsia="Calibri"/>
        </w:rPr>
        <w:t>may provide</w:t>
      </w:r>
      <w:r>
        <w:rPr>
          <w:rFonts w:eastAsia="Calibri"/>
        </w:rPr>
        <w:t>,</w:t>
      </w:r>
      <w:r w:rsidRPr="005B4CF3">
        <w:rPr>
          <w:rFonts w:eastAsia="Calibri"/>
        </w:rPr>
        <w:t xml:space="preserve"> </w:t>
      </w:r>
      <w:r>
        <w:rPr>
          <w:rFonts w:eastAsia="Calibri"/>
        </w:rPr>
        <w:t>official certification or assurances for food products in different forms, including certificates that accompany specific products or lists of establishments and products that comply with certain requirements.</w:t>
      </w:r>
      <w:r>
        <w:rPr>
          <w:rFonts w:eastAsia="Calibri"/>
        </w:rPr>
        <w:t xml:space="preserve">  </w:t>
      </w:r>
      <w:r w:rsidRPr="006F70DE">
        <w:rPr>
          <w:rFonts w:eastAsia="Calibri"/>
        </w:rPr>
        <w:t>To facilitate exports of food subject to</w:t>
      </w:r>
      <w:r>
        <w:rPr>
          <w:rFonts w:eastAsia="Calibri"/>
        </w:rPr>
        <w:t xml:space="preserve"> </w:t>
      </w:r>
      <w:r w:rsidRPr="006F70DE">
        <w:rPr>
          <w:rFonts w:eastAsia="Calibri"/>
        </w:rPr>
        <w:t>importing country listing requirements,</w:t>
      </w:r>
      <w:r>
        <w:rPr>
          <w:rFonts w:eastAsia="Calibri"/>
        </w:rPr>
        <w:t xml:space="preserve"> </w:t>
      </w:r>
      <w:r w:rsidRPr="006F70DE">
        <w:rPr>
          <w:rFonts w:eastAsia="Calibri"/>
        </w:rPr>
        <w:t>FDA has historically provided official</w:t>
      </w:r>
      <w:r>
        <w:rPr>
          <w:rFonts w:eastAsia="Calibri"/>
        </w:rPr>
        <w:t xml:space="preserve"> </w:t>
      </w:r>
      <w:r w:rsidRPr="006F70DE">
        <w:rPr>
          <w:rFonts w:eastAsia="Calibri"/>
        </w:rPr>
        <w:t>certification in the form of country- and</w:t>
      </w:r>
      <w:r>
        <w:rPr>
          <w:rFonts w:eastAsia="Calibri"/>
        </w:rPr>
        <w:t xml:space="preserve"> </w:t>
      </w:r>
      <w:r w:rsidRPr="006F70DE">
        <w:rPr>
          <w:rFonts w:eastAsia="Calibri"/>
        </w:rPr>
        <w:t>product-specific export lists that</w:t>
      </w:r>
      <w:r>
        <w:rPr>
          <w:rFonts w:eastAsia="Calibri"/>
        </w:rPr>
        <w:t xml:space="preserve"> </w:t>
      </w:r>
      <w:r w:rsidRPr="006F70DE">
        <w:rPr>
          <w:rFonts w:eastAsia="Calibri"/>
        </w:rPr>
        <w:t>include establishments and their</w:t>
      </w:r>
      <w:r>
        <w:rPr>
          <w:rFonts w:eastAsia="Calibri"/>
        </w:rPr>
        <w:t xml:space="preserve"> </w:t>
      </w:r>
      <w:r w:rsidRPr="006F70DE">
        <w:rPr>
          <w:rFonts w:eastAsia="Calibri"/>
        </w:rPr>
        <w:t>products when: (1) The establishment</w:t>
      </w:r>
      <w:r>
        <w:rPr>
          <w:rFonts w:eastAsia="Calibri"/>
        </w:rPr>
        <w:t xml:space="preserve"> </w:t>
      </w:r>
      <w:r w:rsidRPr="006F70DE">
        <w:rPr>
          <w:rFonts w:eastAsia="Calibri"/>
        </w:rPr>
        <w:t>has expressed interest in exporting their</w:t>
      </w:r>
      <w:r>
        <w:rPr>
          <w:rFonts w:eastAsia="Calibri"/>
        </w:rPr>
        <w:t xml:space="preserve"> </w:t>
      </w:r>
      <w:r w:rsidRPr="006F70DE">
        <w:rPr>
          <w:rFonts w:eastAsia="Calibri"/>
        </w:rPr>
        <w:t>products to these countries; (2) the</w:t>
      </w:r>
      <w:r>
        <w:rPr>
          <w:rFonts w:eastAsia="Calibri"/>
        </w:rPr>
        <w:t xml:space="preserve"> </w:t>
      </w:r>
      <w:r w:rsidRPr="006F70DE">
        <w:rPr>
          <w:rFonts w:eastAsia="Calibri"/>
        </w:rPr>
        <w:t>establishment and the products are</w:t>
      </w:r>
      <w:r>
        <w:rPr>
          <w:rFonts w:eastAsia="Calibri"/>
        </w:rPr>
        <w:t xml:space="preserve"> </w:t>
      </w:r>
      <w:r w:rsidRPr="006F70DE">
        <w:rPr>
          <w:rFonts w:eastAsia="Calibri"/>
        </w:rPr>
        <w:t>subject to FDA’s jurisdiction; and (3) the</w:t>
      </w:r>
      <w:r>
        <w:rPr>
          <w:rFonts w:eastAsia="Calibri"/>
        </w:rPr>
        <w:t xml:space="preserve"> </w:t>
      </w:r>
      <w:r w:rsidRPr="006F70DE">
        <w:rPr>
          <w:rFonts w:eastAsia="Calibri"/>
        </w:rPr>
        <w:t>establishment can demonstrate that it is</w:t>
      </w:r>
      <w:r>
        <w:rPr>
          <w:rFonts w:eastAsia="Calibri"/>
        </w:rPr>
        <w:t xml:space="preserve"> </w:t>
      </w:r>
      <w:r w:rsidRPr="006F70DE">
        <w:rPr>
          <w:rFonts w:eastAsia="Calibri"/>
        </w:rPr>
        <w:t>in good regulatory standing for the</w:t>
      </w:r>
      <w:r>
        <w:rPr>
          <w:rFonts w:eastAsia="Calibri"/>
        </w:rPr>
        <w:t xml:space="preserve"> </w:t>
      </w:r>
      <w:r w:rsidRPr="006F70DE">
        <w:rPr>
          <w:rFonts w:eastAsia="Calibri"/>
        </w:rPr>
        <w:t>products it intends to export, and the</w:t>
      </w:r>
      <w:r>
        <w:rPr>
          <w:rFonts w:eastAsia="Calibri"/>
        </w:rPr>
        <w:t xml:space="preserve"> </w:t>
      </w:r>
      <w:r w:rsidRPr="006F70DE">
        <w:rPr>
          <w:rFonts w:eastAsia="Calibri"/>
        </w:rPr>
        <w:t>products are expected to comply with</w:t>
      </w:r>
      <w:r>
        <w:rPr>
          <w:rFonts w:eastAsia="Calibri"/>
        </w:rPr>
        <w:t xml:space="preserve"> </w:t>
      </w:r>
      <w:r w:rsidRPr="006F70DE">
        <w:rPr>
          <w:rFonts w:eastAsia="Calibri"/>
        </w:rPr>
        <w:t>applicable FDA requirements.</w:t>
      </w:r>
    </w:p>
    <w:p w:rsidR="002E4638" w:rsidP="00F171B7" w14:paraId="5CBDCC04" w14:textId="77777777">
      <w:pPr>
        <w:rPr>
          <w:rFonts w:eastAsia="Calibri"/>
        </w:rPr>
      </w:pPr>
    </w:p>
    <w:p w:rsidR="007466C8" w:rsidP="00F171B7" w14:paraId="7D865DA2" w14:textId="4A98F710">
      <w:pPr>
        <w:rPr>
          <w:rFonts w:eastAsia="Calibri"/>
        </w:rPr>
      </w:pPr>
      <w:r>
        <w:rPr>
          <w:rFonts w:eastAsia="Calibri"/>
        </w:rPr>
        <w:t xml:space="preserve">The information collection utilizes agency guidance which provides for public comment at any time under out Good Guidance Practice regulation at 21 CFR 10.115.  </w:t>
      </w:r>
      <w:r>
        <w:rPr>
          <w:rFonts w:eastAsia="Calibri"/>
        </w:rPr>
        <w:t>A</w:t>
      </w:r>
      <w:r w:rsidRPr="006F70DE">
        <w:rPr>
          <w:rFonts w:eastAsia="Calibri"/>
        </w:rPr>
        <w:t>s we</w:t>
      </w:r>
      <w:r>
        <w:rPr>
          <w:rFonts w:eastAsia="Calibri"/>
        </w:rPr>
        <w:t xml:space="preserve"> </w:t>
      </w:r>
      <w:r w:rsidRPr="006F70DE">
        <w:rPr>
          <w:rFonts w:eastAsia="Calibri"/>
        </w:rPr>
        <w:t>advise in the guidance document</w:t>
      </w:r>
      <w:r>
        <w:rPr>
          <w:rFonts w:eastAsia="Calibri"/>
        </w:rPr>
        <w:t xml:space="preserve"> “</w:t>
      </w:r>
      <w:r w:rsidRPr="004B0EDB">
        <w:rPr>
          <w:rFonts w:eastAsia="Calibri"/>
          <w:i/>
          <w:iCs/>
        </w:rPr>
        <w:t>Establishing and Maintaining a List of U.S. Milk and Milk Product, Seafood,</w:t>
      </w:r>
      <w:r w:rsidRPr="004B0EDB">
        <w:rPr>
          <w:i/>
          <w:iCs/>
        </w:rPr>
        <w:t xml:space="preserve"> </w:t>
      </w:r>
      <w:r w:rsidRPr="004B0EDB">
        <w:rPr>
          <w:rFonts w:eastAsia="Calibri"/>
          <w:i/>
          <w:iCs/>
        </w:rPr>
        <w:t>Infant Formula, and Formula for Young Children Manufacturers/Processors with Interest in Exporting to China</w:t>
      </w:r>
      <w:r>
        <w:rPr>
          <w:rFonts w:eastAsia="Calibri"/>
        </w:rPr>
        <w:t xml:space="preserve">” </w:t>
      </w:r>
      <w:r w:rsidR="00CD521C">
        <w:rPr>
          <w:rFonts w:eastAsia="Calibri"/>
        </w:rPr>
        <w:t>(</w:t>
      </w:r>
      <w:r w:rsidR="00CC66FB">
        <w:rPr>
          <w:rFonts w:eastAsia="Calibri"/>
        </w:rPr>
        <w:t>November 2018)</w:t>
      </w:r>
      <w:r w:rsidR="000600F3">
        <w:rPr>
          <w:rFonts w:eastAsia="Calibri"/>
        </w:rPr>
        <w:t>,</w:t>
      </w:r>
      <w:r>
        <w:rPr>
          <w:rFonts w:eastAsia="Calibri"/>
        </w:rPr>
        <w:t xml:space="preserve"> FDA </w:t>
      </w:r>
      <w:r w:rsidRPr="006F70DE">
        <w:rPr>
          <w:rFonts w:eastAsia="Calibri"/>
        </w:rPr>
        <w:t xml:space="preserve">considers </w:t>
      </w:r>
      <w:r>
        <w:rPr>
          <w:rFonts w:eastAsia="Calibri"/>
        </w:rPr>
        <w:t>“</w:t>
      </w:r>
      <w:r w:rsidRPr="006F70DE">
        <w:rPr>
          <w:rFonts w:eastAsia="Calibri"/>
        </w:rPr>
        <w:t>good regulatory standing</w:t>
      </w:r>
      <w:r>
        <w:rPr>
          <w:rFonts w:eastAsia="Calibri"/>
        </w:rPr>
        <w:t>”</w:t>
      </w:r>
      <w:r w:rsidRPr="006F70DE">
        <w:rPr>
          <w:rFonts w:eastAsia="Calibri"/>
        </w:rPr>
        <w:t xml:space="preserve"> as</w:t>
      </w:r>
      <w:r>
        <w:rPr>
          <w:rFonts w:eastAsia="Calibri"/>
        </w:rPr>
        <w:t xml:space="preserve"> </w:t>
      </w:r>
      <w:r w:rsidRPr="006F70DE">
        <w:rPr>
          <w:rFonts w:eastAsia="Calibri"/>
        </w:rPr>
        <w:t>meaning that an establishment is in</w:t>
      </w:r>
      <w:r>
        <w:rPr>
          <w:rFonts w:eastAsia="Calibri"/>
        </w:rPr>
        <w:t xml:space="preserve"> </w:t>
      </w:r>
      <w:r w:rsidRPr="006F70DE">
        <w:rPr>
          <w:rFonts w:eastAsia="Calibri"/>
        </w:rPr>
        <w:t>substantial compliance with applicable</w:t>
      </w:r>
      <w:r>
        <w:rPr>
          <w:rFonts w:eastAsia="Calibri"/>
        </w:rPr>
        <w:t xml:space="preserve"> </w:t>
      </w:r>
      <w:r w:rsidRPr="006F70DE">
        <w:rPr>
          <w:rFonts w:eastAsia="Calibri"/>
        </w:rPr>
        <w:t>FDA requirements and is not the subject</w:t>
      </w:r>
      <w:r>
        <w:rPr>
          <w:rFonts w:eastAsia="Calibri"/>
        </w:rPr>
        <w:t xml:space="preserve"> </w:t>
      </w:r>
      <w:r w:rsidRPr="006F70DE">
        <w:rPr>
          <w:rFonts w:eastAsia="Calibri"/>
        </w:rPr>
        <w:t>of a pending enforcement action (e.g., an</w:t>
      </w:r>
      <w:r>
        <w:rPr>
          <w:rFonts w:eastAsia="Calibri"/>
        </w:rPr>
        <w:t xml:space="preserve"> </w:t>
      </w:r>
      <w:r w:rsidRPr="006F70DE">
        <w:rPr>
          <w:rFonts w:eastAsia="Calibri"/>
        </w:rPr>
        <w:t>injunction or seizure) or pending</w:t>
      </w:r>
      <w:r>
        <w:rPr>
          <w:rFonts w:eastAsia="Calibri"/>
        </w:rPr>
        <w:t xml:space="preserve"> </w:t>
      </w:r>
      <w:r w:rsidRPr="006F70DE">
        <w:rPr>
          <w:rFonts w:eastAsia="Calibri"/>
        </w:rPr>
        <w:t>administrative action (e.g., a warning</w:t>
      </w:r>
      <w:r>
        <w:rPr>
          <w:rFonts w:eastAsia="Calibri"/>
        </w:rPr>
        <w:t xml:space="preserve"> </w:t>
      </w:r>
      <w:r w:rsidRPr="006F70DE">
        <w:rPr>
          <w:rFonts w:eastAsia="Calibri"/>
        </w:rPr>
        <w:t>letter).</w:t>
      </w:r>
    </w:p>
    <w:p w:rsidR="007466C8" w:rsidP="00F171B7" w14:paraId="26C2FDD9" w14:textId="77777777">
      <w:pPr>
        <w:rPr>
          <w:rFonts w:eastAsia="Calibri"/>
        </w:rPr>
      </w:pPr>
    </w:p>
    <w:p w:rsidR="00202F54" w:rsidP="00F171B7" w14:paraId="28F5A78A" w14:textId="77777777">
      <w:pPr>
        <w:rPr>
          <w:rFonts w:eastAsia="Calibri"/>
        </w:rPr>
      </w:pPr>
      <w:r w:rsidRPr="006F70DE">
        <w:rPr>
          <w:rFonts w:eastAsia="Calibri"/>
        </w:rPr>
        <w:t>FDA has generally published</w:t>
      </w:r>
      <w:r>
        <w:rPr>
          <w:rFonts w:eastAsia="Calibri"/>
        </w:rPr>
        <w:t xml:space="preserve"> </w:t>
      </w:r>
      <w:r w:rsidRPr="006F70DE">
        <w:rPr>
          <w:rFonts w:eastAsia="Calibri"/>
        </w:rPr>
        <w:t>guidance documents for these country</w:t>
      </w:r>
      <w:r>
        <w:rPr>
          <w:rFonts w:eastAsia="Calibri"/>
        </w:rPr>
        <w:t xml:space="preserve"> </w:t>
      </w:r>
      <w:r w:rsidRPr="006F70DE">
        <w:rPr>
          <w:rFonts w:eastAsia="Calibri"/>
        </w:rPr>
        <w:t>and</w:t>
      </w:r>
      <w:r>
        <w:rPr>
          <w:rFonts w:eastAsia="Calibri"/>
        </w:rPr>
        <w:t xml:space="preserve"> </w:t>
      </w:r>
      <w:r w:rsidRPr="006F70DE">
        <w:rPr>
          <w:rFonts w:eastAsia="Calibri"/>
        </w:rPr>
        <w:t>product-specific lists under the</w:t>
      </w:r>
      <w:r>
        <w:rPr>
          <w:rFonts w:eastAsia="Calibri"/>
        </w:rPr>
        <w:t xml:space="preserve"> </w:t>
      </w:r>
      <w:r w:rsidRPr="006F70DE">
        <w:rPr>
          <w:rFonts w:eastAsia="Calibri"/>
        </w:rPr>
        <w:t>authority of section 701(h) of the</w:t>
      </w:r>
      <w:r>
        <w:rPr>
          <w:rFonts w:eastAsia="Calibri"/>
        </w:rPr>
        <w:t xml:space="preserve"> </w:t>
      </w:r>
      <w:r w:rsidRPr="006F70DE">
        <w:rPr>
          <w:rFonts w:eastAsia="Calibri"/>
        </w:rPr>
        <w:t>Federal Food, Drug, and Cosmetic Act</w:t>
      </w:r>
      <w:r>
        <w:rPr>
          <w:rFonts w:eastAsia="Calibri"/>
        </w:rPr>
        <w:t xml:space="preserve"> </w:t>
      </w:r>
      <w:r w:rsidRPr="006F70DE">
        <w:rPr>
          <w:rFonts w:eastAsia="Calibri"/>
        </w:rPr>
        <w:t>(FD&amp;C Act) (21 U.S.C. 371(h)), which</w:t>
      </w:r>
      <w:r>
        <w:rPr>
          <w:rFonts w:eastAsia="Calibri"/>
        </w:rPr>
        <w:t xml:space="preserve"> </w:t>
      </w:r>
      <w:r w:rsidRPr="006F70DE">
        <w:rPr>
          <w:rFonts w:eastAsia="Calibri"/>
        </w:rPr>
        <w:t>authorizes the Secretary of Health and</w:t>
      </w:r>
      <w:r>
        <w:rPr>
          <w:rFonts w:eastAsia="Calibri"/>
        </w:rPr>
        <w:t xml:space="preserve"> </w:t>
      </w:r>
      <w:r w:rsidRPr="006F70DE">
        <w:rPr>
          <w:rFonts w:eastAsia="Calibri"/>
        </w:rPr>
        <w:t>Human Services (the Secretary) to</w:t>
      </w:r>
      <w:r>
        <w:rPr>
          <w:rFonts w:eastAsia="Calibri"/>
        </w:rPr>
        <w:t xml:space="preserve"> </w:t>
      </w:r>
      <w:r w:rsidRPr="006F70DE">
        <w:rPr>
          <w:rFonts w:eastAsia="Calibri"/>
        </w:rPr>
        <w:t>develop guidance documents with</w:t>
      </w:r>
      <w:r>
        <w:rPr>
          <w:rFonts w:eastAsia="Calibri"/>
        </w:rPr>
        <w:t xml:space="preserve"> </w:t>
      </w:r>
      <w:r w:rsidRPr="006F70DE">
        <w:rPr>
          <w:rFonts w:eastAsia="Calibri"/>
        </w:rPr>
        <w:t>public participation presenting the</w:t>
      </w:r>
      <w:r>
        <w:rPr>
          <w:rFonts w:eastAsia="Calibri"/>
        </w:rPr>
        <w:t xml:space="preserve"> </w:t>
      </w:r>
      <w:r w:rsidRPr="006F70DE">
        <w:rPr>
          <w:rFonts w:eastAsia="Calibri"/>
        </w:rPr>
        <w:t>views of the Secretary on matters under</w:t>
      </w:r>
      <w:r>
        <w:rPr>
          <w:rFonts w:eastAsia="Calibri"/>
        </w:rPr>
        <w:t xml:space="preserve"> </w:t>
      </w:r>
      <w:r w:rsidRPr="006F70DE">
        <w:rPr>
          <w:rFonts w:eastAsia="Calibri"/>
        </w:rPr>
        <w:t>the jurisdiction of FDA.</w:t>
      </w:r>
      <w:r>
        <w:rPr>
          <w:rFonts w:eastAsia="Calibri"/>
        </w:rPr>
        <w:t xml:space="preserve"> </w:t>
      </w:r>
      <w:r w:rsidRPr="006F70DE">
        <w:rPr>
          <w:rFonts w:eastAsia="Calibri"/>
        </w:rPr>
        <w:t xml:space="preserve"> The guidance</w:t>
      </w:r>
      <w:r>
        <w:rPr>
          <w:rFonts w:eastAsia="Calibri"/>
        </w:rPr>
        <w:t xml:space="preserve"> </w:t>
      </w:r>
      <w:r w:rsidRPr="006F70DE">
        <w:rPr>
          <w:rFonts w:eastAsia="Calibri"/>
        </w:rPr>
        <w:t>documents generally explain what</w:t>
      </w:r>
      <w:r>
        <w:rPr>
          <w:rFonts w:eastAsia="Calibri"/>
        </w:rPr>
        <w:t xml:space="preserve"> </w:t>
      </w:r>
      <w:r w:rsidRPr="006F70DE">
        <w:rPr>
          <w:rFonts w:eastAsia="Calibri"/>
        </w:rPr>
        <w:t>information establishments should</w:t>
      </w:r>
      <w:r>
        <w:rPr>
          <w:rFonts w:eastAsia="Calibri"/>
        </w:rPr>
        <w:t xml:space="preserve"> </w:t>
      </w:r>
      <w:r w:rsidRPr="006F70DE">
        <w:rPr>
          <w:rFonts w:eastAsia="Calibri"/>
        </w:rPr>
        <w:t>submit to FDA to be considered for</w:t>
      </w:r>
      <w:r>
        <w:rPr>
          <w:rFonts w:eastAsia="Calibri"/>
        </w:rPr>
        <w:t xml:space="preserve"> </w:t>
      </w:r>
      <w:r w:rsidRPr="006F70DE">
        <w:rPr>
          <w:rFonts w:eastAsia="Calibri"/>
        </w:rPr>
        <w:t>inclusion on the lists and what criteria</w:t>
      </w:r>
      <w:r>
        <w:rPr>
          <w:rFonts w:eastAsia="Calibri"/>
        </w:rPr>
        <w:t xml:space="preserve"> </w:t>
      </w:r>
      <w:r w:rsidRPr="006F70DE">
        <w:rPr>
          <w:rFonts w:eastAsia="Calibri"/>
        </w:rPr>
        <w:t>FDA intends to use to determine</w:t>
      </w:r>
      <w:r>
        <w:rPr>
          <w:rFonts w:eastAsia="Calibri"/>
        </w:rPr>
        <w:t xml:space="preserve"> </w:t>
      </w:r>
      <w:r w:rsidRPr="006F70DE">
        <w:rPr>
          <w:rFonts w:eastAsia="Calibri"/>
        </w:rPr>
        <w:t>eligibility for placement on the lists.</w:t>
      </w:r>
      <w:r>
        <w:rPr>
          <w:rFonts w:eastAsia="Calibri"/>
        </w:rPr>
        <w:t xml:space="preserve">  </w:t>
      </w:r>
      <w:r w:rsidRPr="006F70DE">
        <w:rPr>
          <w:rFonts w:eastAsia="Calibri"/>
        </w:rPr>
        <w:t>The guidance documents also explain</w:t>
      </w:r>
      <w:r>
        <w:rPr>
          <w:rFonts w:eastAsia="Calibri"/>
        </w:rPr>
        <w:t xml:space="preserve"> </w:t>
      </w:r>
      <w:r w:rsidRPr="006F70DE">
        <w:rPr>
          <w:rFonts w:eastAsia="Calibri"/>
        </w:rPr>
        <w:t>how FDA intends to update the lists and</w:t>
      </w:r>
      <w:r>
        <w:rPr>
          <w:rFonts w:eastAsia="Calibri"/>
        </w:rPr>
        <w:t xml:space="preserve"> </w:t>
      </w:r>
      <w:r w:rsidRPr="006F70DE">
        <w:rPr>
          <w:rFonts w:eastAsia="Calibri"/>
        </w:rPr>
        <w:t>communicate any new information to</w:t>
      </w:r>
      <w:r>
        <w:rPr>
          <w:rFonts w:eastAsia="Calibri"/>
        </w:rPr>
        <w:t xml:space="preserve"> </w:t>
      </w:r>
      <w:r w:rsidRPr="006F70DE">
        <w:rPr>
          <w:rFonts w:eastAsia="Calibri"/>
        </w:rPr>
        <w:t>the governments that requested the lists.</w:t>
      </w:r>
      <w:r>
        <w:rPr>
          <w:rFonts w:eastAsia="Calibri"/>
        </w:rPr>
        <w:t xml:space="preserve">  </w:t>
      </w:r>
      <w:r w:rsidRPr="006F70DE">
        <w:rPr>
          <w:rFonts w:eastAsia="Calibri"/>
        </w:rPr>
        <w:t>Finally, the guidance documents note</w:t>
      </w:r>
      <w:r>
        <w:rPr>
          <w:rFonts w:eastAsia="Calibri"/>
        </w:rPr>
        <w:t xml:space="preserve"> </w:t>
      </w:r>
      <w:r w:rsidRPr="006F70DE">
        <w:rPr>
          <w:rFonts w:eastAsia="Calibri"/>
        </w:rPr>
        <w:t>that the information is provided</w:t>
      </w:r>
      <w:r>
        <w:rPr>
          <w:rFonts w:eastAsia="Calibri"/>
        </w:rPr>
        <w:t xml:space="preserve"> </w:t>
      </w:r>
      <w:r w:rsidRPr="006F70DE">
        <w:rPr>
          <w:rFonts w:eastAsia="Calibri"/>
        </w:rPr>
        <w:t>voluntarily by establishments with the</w:t>
      </w:r>
      <w:r>
        <w:rPr>
          <w:rFonts w:eastAsia="Calibri"/>
        </w:rPr>
        <w:t xml:space="preserve"> u</w:t>
      </w:r>
      <w:r w:rsidRPr="006F70DE">
        <w:rPr>
          <w:rFonts w:eastAsia="Calibri"/>
        </w:rPr>
        <w:t>nderstanding that it may be posted on</w:t>
      </w:r>
      <w:r>
        <w:rPr>
          <w:rFonts w:eastAsia="Calibri"/>
        </w:rPr>
        <w:t xml:space="preserve"> </w:t>
      </w:r>
      <w:r w:rsidRPr="006F70DE">
        <w:rPr>
          <w:rFonts w:eastAsia="Calibri"/>
        </w:rPr>
        <w:t>FDA’s external website and that it will</w:t>
      </w:r>
      <w:r>
        <w:rPr>
          <w:rFonts w:eastAsia="Calibri"/>
        </w:rPr>
        <w:t xml:space="preserve"> </w:t>
      </w:r>
      <w:r w:rsidRPr="006F70DE">
        <w:rPr>
          <w:rFonts w:eastAsia="Calibri"/>
        </w:rPr>
        <w:t>be communicated to, and possibly</w:t>
      </w:r>
      <w:r>
        <w:rPr>
          <w:rFonts w:eastAsia="Calibri"/>
        </w:rPr>
        <w:t xml:space="preserve"> </w:t>
      </w:r>
      <w:r w:rsidRPr="006F70DE">
        <w:rPr>
          <w:rFonts w:eastAsia="Calibri"/>
        </w:rPr>
        <w:t>further disseminated by, the government</w:t>
      </w:r>
      <w:r>
        <w:rPr>
          <w:rFonts w:eastAsia="Calibri"/>
        </w:rPr>
        <w:t xml:space="preserve"> </w:t>
      </w:r>
      <w:r w:rsidRPr="006F70DE">
        <w:rPr>
          <w:rFonts w:eastAsia="Calibri"/>
        </w:rPr>
        <w:t>that requested the list; thus, FDA</w:t>
      </w:r>
      <w:r>
        <w:rPr>
          <w:rFonts w:eastAsia="Calibri"/>
        </w:rPr>
        <w:t xml:space="preserve"> </w:t>
      </w:r>
      <w:r w:rsidRPr="006F70DE">
        <w:rPr>
          <w:rFonts w:eastAsia="Calibri"/>
        </w:rPr>
        <w:t>considers the information on the lists to</w:t>
      </w:r>
      <w:r>
        <w:rPr>
          <w:rFonts w:eastAsia="Calibri"/>
        </w:rPr>
        <w:t xml:space="preserve"> </w:t>
      </w:r>
      <w:r w:rsidRPr="006F70DE">
        <w:rPr>
          <w:rFonts w:eastAsia="Calibri"/>
        </w:rPr>
        <w:t>be information that is not protected</w:t>
      </w:r>
      <w:r>
        <w:rPr>
          <w:rFonts w:eastAsia="Calibri"/>
        </w:rPr>
        <w:t xml:space="preserve"> </w:t>
      </w:r>
      <w:r w:rsidRPr="006F70DE">
        <w:rPr>
          <w:rFonts w:eastAsia="Calibri"/>
        </w:rPr>
        <w:t>from disclosure under 5 U.S.C.</w:t>
      </w:r>
      <w:r>
        <w:rPr>
          <w:rFonts w:eastAsia="Calibri"/>
        </w:rPr>
        <w:t xml:space="preserve"> </w:t>
      </w:r>
      <w:r w:rsidRPr="006F70DE">
        <w:rPr>
          <w:rFonts w:eastAsia="Calibri"/>
        </w:rPr>
        <w:t>552(b)(4).</w:t>
      </w:r>
    </w:p>
    <w:p w:rsidR="00202F54" w:rsidP="00F171B7" w14:paraId="0ADAF712" w14:textId="77777777">
      <w:pPr>
        <w:rPr>
          <w:rFonts w:eastAsia="Calibri"/>
        </w:rPr>
      </w:pPr>
    </w:p>
    <w:p w:rsidR="00202F54" w:rsidP="00F171B7" w14:paraId="384C207B" w14:textId="77777777">
      <w:pPr>
        <w:rPr>
          <w:rFonts w:eastAsia="Calibri"/>
        </w:rPr>
      </w:pPr>
      <w:r>
        <w:rPr>
          <w:rFonts w:eastAsia="Calibri"/>
        </w:rPr>
        <w:t>Specifically, guidance documents included in this collection of information are:</w:t>
      </w:r>
    </w:p>
    <w:p w:rsidR="00202F54" w:rsidP="00F171B7" w14:paraId="5EC1AED0" w14:textId="77777777">
      <w:pPr>
        <w:rPr>
          <w:rFonts w:eastAsia="Calibri"/>
        </w:rPr>
      </w:pPr>
    </w:p>
    <w:p w:rsidR="00202F54" w:rsidRPr="00202F54" w:rsidP="00202F54" w14:paraId="091B045D" w14:textId="77777777">
      <w:pPr>
        <w:pStyle w:val="ListParagraph"/>
        <w:numPr>
          <w:ilvl w:val="0"/>
          <w:numId w:val="9"/>
        </w:numPr>
        <w:rPr>
          <w:rFonts w:eastAsia="Calibri"/>
        </w:rPr>
      </w:pPr>
      <w:r w:rsidRPr="00202F54">
        <w:rPr>
          <w:rFonts w:eastAsia="Calibri"/>
        </w:rPr>
        <w:t>“</w:t>
      </w:r>
      <w:r w:rsidRPr="00202F54">
        <w:rPr>
          <w:rFonts w:eastAsia="Calibri"/>
          <w:i/>
          <w:iCs/>
        </w:rPr>
        <w:t>Establishing and Maintaining a List of U.S. Dairy Product Manufacturers/Processors with Interest in Exporting to Chile</w:t>
      </w:r>
      <w:r w:rsidRPr="00202F54">
        <w:rPr>
          <w:rFonts w:eastAsia="Calibri"/>
        </w:rPr>
        <w:t xml:space="preserve">” </w:t>
      </w:r>
      <w:r w:rsidRPr="00202F54" w:rsidR="002179C2">
        <w:rPr>
          <w:rFonts w:eastAsia="Calibri"/>
        </w:rPr>
        <w:t xml:space="preserve">(November 2018) </w:t>
      </w:r>
      <w:r w:rsidRPr="00202F54">
        <w:rPr>
          <w:rFonts w:eastAsia="Calibri"/>
        </w:rPr>
        <w:t>and “</w:t>
      </w:r>
      <w:r w:rsidRPr="00202F54">
        <w:rPr>
          <w:rFonts w:eastAsia="Calibri"/>
          <w:i/>
          <w:iCs/>
        </w:rPr>
        <w:t>Establishing and Maintaining a List of U.S. Milk and Milk Product, Seafood, Infant Formula, and Formula for Young Children Manufacturers/Processors with Interest in Exporting to China</w:t>
      </w:r>
      <w:r w:rsidRPr="00202F54">
        <w:rPr>
          <w:rFonts w:eastAsia="Calibri"/>
        </w:rPr>
        <w:t xml:space="preserve">” </w:t>
      </w:r>
      <w:r w:rsidRPr="00202F54" w:rsidR="00CC66FB">
        <w:rPr>
          <w:rFonts w:eastAsia="Calibri"/>
        </w:rPr>
        <w:t xml:space="preserve">(November 2018) </w:t>
      </w:r>
      <w:r w:rsidRPr="00202F54">
        <w:rPr>
          <w:rFonts w:eastAsia="Calibri"/>
        </w:rPr>
        <w:t xml:space="preserve">available at </w:t>
      </w:r>
      <w:hyperlink r:id="rId4" w:history="1">
        <w:r w:rsidRPr="00202F54">
          <w:rPr>
            <w:rStyle w:val="Hyperlink"/>
            <w:rFonts w:eastAsia="Calibri"/>
          </w:rPr>
          <w:t>https://www.fda.gov/food/guidance-regulation-food-and-dietary-supplements/guidance-documents-regulatory-information-topic-food-and-dietary-supplements</w:t>
        </w:r>
      </w:hyperlink>
      <w:r w:rsidRPr="00202F54">
        <w:rPr>
          <w:rFonts w:eastAsia="Calibri"/>
        </w:rPr>
        <w:t xml:space="preserve">.  Additional information about FDA’s Food Export Lists program is available at </w:t>
      </w:r>
      <w:hyperlink r:id="rId5" w:history="1">
        <w:r w:rsidRPr="00202F54">
          <w:rPr>
            <w:rStyle w:val="Hyperlink"/>
            <w:rFonts w:eastAsia="Calibri"/>
          </w:rPr>
          <w:t>https://www.fda.gov/food/exporting-food-products-united-states/food-export-lists</w:t>
        </w:r>
      </w:hyperlink>
      <w:r w:rsidRPr="00202F54">
        <w:rPr>
          <w:rFonts w:eastAsia="Calibri"/>
        </w:rPr>
        <w:t xml:space="preserve">.  </w:t>
      </w:r>
    </w:p>
    <w:p w:rsidR="00202F54" w:rsidP="00F171B7" w14:paraId="7C625409" w14:textId="77777777">
      <w:pPr>
        <w:rPr>
          <w:rFonts w:eastAsia="Calibri"/>
        </w:rPr>
      </w:pPr>
    </w:p>
    <w:p w:rsidR="007466C8" w:rsidRPr="00202F54" w:rsidP="00202F54" w14:paraId="21913A30" w14:textId="6C8318FB">
      <w:pPr>
        <w:pStyle w:val="ListParagraph"/>
        <w:numPr>
          <w:ilvl w:val="0"/>
          <w:numId w:val="9"/>
        </w:numPr>
        <w:rPr>
          <w:rFonts w:eastAsia="Calibri"/>
        </w:rPr>
      </w:pPr>
      <w:r w:rsidRPr="00202F54">
        <w:rPr>
          <w:rFonts w:eastAsia="Calibri"/>
        </w:rPr>
        <w:t>FDA has also published guidance on export certification that contains useful information that applies to export lists: “</w:t>
      </w:r>
      <w:r w:rsidRPr="00202F54">
        <w:rPr>
          <w:rFonts w:eastAsia="Calibri"/>
          <w:i/>
          <w:iCs/>
        </w:rPr>
        <w:t>FDA Export Certification</w:t>
      </w:r>
      <w:r w:rsidRPr="00202F54">
        <w:rPr>
          <w:rFonts w:eastAsia="Calibri"/>
        </w:rPr>
        <w:t xml:space="preserve">” </w:t>
      </w:r>
      <w:r w:rsidRPr="00202F54" w:rsidR="00C965EB">
        <w:rPr>
          <w:rFonts w:eastAsia="Calibri"/>
        </w:rPr>
        <w:t xml:space="preserve">(August 2021) </w:t>
      </w:r>
      <w:r w:rsidRPr="00202F54">
        <w:rPr>
          <w:rFonts w:eastAsia="Calibri"/>
        </w:rPr>
        <w:t xml:space="preserve">available at </w:t>
      </w:r>
      <w:hyperlink r:id="rId6" w:history="1">
        <w:r w:rsidRPr="00202F54">
          <w:rPr>
            <w:rStyle w:val="Hyperlink"/>
            <w:rFonts w:eastAsia="Calibri"/>
          </w:rPr>
          <w:t>https://www.fda.gov/regulatory-information/search-fda-guidance-documents/fda-export-certification</w:t>
        </w:r>
      </w:hyperlink>
      <w:r w:rsidRPr="00202F54">
        <w:rPr>
          <w:rFonts w:eastAsia="Calibri"/>
        </w:rPr>
        <w:t>.</w:t>
      </w:r>
    </w:p>
    <w:p w:rsidR="007466C8" w:rsidRPr="006F70DE" w:rsidP="00F171B7" w14:paraId="5B71FA6F" w14:textId="77777777">
      <w:pPr>
        <w:rPr>
          <w:rFonts w:eastAsia="Calibri"/>
        </w:rPr>
      </w:pPr>
    </w:p>
    <w:p w:rsidR="009E56F6" w:rsidP="00202F54" w14:paraId="5562FDDE" w14:textId="77777777">
      <w:pPr>
        <w:rPr>
          <w:rFonts w:ascii="TimesNewRomanPSMT" w:hAnsi="TimesNewRomanPSMT" w:cs="TimesNewRomanPSMT"/>
          <w:color w:val="000000"/>
        </w:rPr>
      </w:pPr>
      <w:r w:rsidRPr="006F70DE">
        <w:rPr>
          <w:rFonts w:eastAsia="Calibri"/>
        </w:rPr>
        <w:t>Foreign governments are increasingly</w:t>
      </w:r>
      <w:r>
        <w:rPr>
          <w:rFonts w:eastAsia="Calibri"/>
        </w:rPr>
        <w:t xml:space="preserve"> </w:t>
      </w:r>
      <w:r w:rsidRPr="006F70DE">
        <w:rPr>
          <w:rFonts w:eastAsia="Calibri"/>
        </w:rPr>
        <w:t>relying on certification as a strategy for</w:t>
      </w:r>
      <w:r>
        <w:rPr>
          <w:rFonts w:eastAsia="Calibri"/>
        </w:rPr>
        <w:t xml:space="preserve"> </w:t>
      </w:r>
      <w:r w:rsidRPr="006F70DE">
        <w:rPr>
          <w:rFonts w:eastAsia="Calibri"/>
        </w:rPr>
        <w:t>ensuring the safety of imported food</w:t>
      </w:r>
      <w:r>
        <w:rPr>
          <w:rFonts w:eastAsia="Calibri"/>
        </w:rPr>
        <w:t xml:space="preserve"> </w:t>
      </w:r>
      <w:r w:rsidRPr="006F70DE">
        <w:rPr>
          <w:rFonts w:eastAsia="Calibri"/>
        </w:rPr>
        <w:t>products, and many countries have</w:t>
      </w:r>
      <w:r>
        <w:rPr>
          <w:rFonts w:eastAsia="Calibri"/>
        </w:rPr>
        <w:t xml:space="preserve"> </w:t>
      </w:r>
      <w:r w:rsidRPr="006F70DE">
        <w:rPr>
          <w:rFonts w:eastAsia="Calibri"/>
        </w:rPr>
        <w:t>announced new requirements for lists of</w:t>
      </w:r>
      <w:r>
        <w:rPr>
          <w:rFonts w:eastAsia="Calibri"/>
        </w:rPr>
        <w:t xml:space="preserve"> </w:t>
      </w:r>
      <w:r w:rsidRPr="006F70DE">
        <w:rPr>
          <w:rFonts w:eastAsia="Calibri"/>
        </w:rPr>
        <w:t>establishments and products certified to</w:t>
      </w:r>
      <w:r>
        <w:rPr>
          <w:rFonts w:eastAsia="Calibri"/>
        </w:rPr>
        <w:t xml:space="preserve"> </w:t>
      </w:r>
      <w:r w:rsidRPr="006F70DE">
        <w:rPr>
          <w:rFonts w:eastAsia="Calibri"/>
        </w:rPr>
        <w:t>comply with certain food safety</w:t>
      </w:r>
      <w:r>
        <w:rPr>
          <w:rFonts w:eastAsia="Calibri"/>
        </w:rPr>
        <w:t xml:space="preserve"> </w:t>
      </w:r>
      <w:r w:rsidRPr="006F70DE">
        <w:rPr>
          <w:rFonts w:eastAsia="Calibri"/>
        </w:rPr>
        <w:t xml:space="preserve">requirements. </w:t>
      </w:r>
      <w:r>
        <w:rPr>
          <w:rFonts w:eastAsia="Calibri"/>
        </w:rPr>
        <w:t xml:space="preserve"> </w:t>
      </w:r>
      <w:r w:rsidRPr="006F70DE">
        <w:rPr>
          <w:rFonts w:eastAsia="Calibri"/>
        </w:rPr>
        <w:t>FDA is committed to</w:t>
      </w:r>
      <w:r>
        <w:rPr>
          <w:rFonts w:eastAsia="Calibri"/>
        </w:rPr>
        <w:t xml:space="preserve"> </w:t>
      </w:r>
      <w:r w:rsidRPr="006F70DE">
        <w:rPr>
          <w:rFonts w:eastAsia="Calibri"/>
        </w:rPr>
        <w:t>facilitating compliance with new listing</w:t>
      </w:r>
      <w:r>
        <w:rPr>
          <w:rFonts w:eastAsia="Calibri"/>
        </w:rPr>
        <w:t xml:space="preserve"> </w:t>
      </w:r>
      <w:r w:rsidRPr="006F70DE">
        <w:rPr>
          <w:rFonts w:eastAsia="Calibri"/>
        </w:rPr>
        <w:t>requirements for U.S. establishments</w:t>
      </w:r>
      <w:r>
        <w:rPr>
          <w:rFonts w:eastAsia="Calibri"/>
        </w:rPr>
        <w:t xml:space="preserve"> </w:t>
      </w:r>
      <w:r w:rsidRPr="006F70DE">
        <w:rPr>
          <w:rFonts w:eastAsia="Calibri"/>
        </w:rPr>
        <w:t>that export FDA-regulated food</w:t>
      </w:r>
      <w:r>
        <w:rPr>
          <w:rFonts w:eastAsia="Calibri"/>
        </w:rPr>
        <w:t xml:space="preserve"> </w:t>
      </w:r>
      <w:r w:rsidRPr="006F70DE">
        <w:rPr>
          <w:rFonts w:eastAsia="Calibri"/>
        </w:rPr>
        <w:t>products</w:t>
      </w:r>
      <w:r w:rsidR="005515E3">
        <w:rPr>
          <w:rFonts w:eastAsia="Calibri"/>
        </w:rPr>
        <w:t xml:space="preserve"> by establishing and ma</w:t>
      </w:r>
      <w:r w:rsidR="0050069F">
        <w:rPr>
          <w:rFonts w:eastAsia="Calibri"/>
        </w:rPr>
        <w:t>intaining country</w:t>
      </w:r>
      <w:r w:rsidR="003C2ECE">
        <w:rPr>
          <w:rFonts w:eastAsia="Calibri"/>
        </w:rPr>
        <w:t>-</w:t>
      </w:r>
      <w:r w:rsidR="0050069F">
        <w:rPr>
          <w:rFonts w:eastAsia="Calibri"/>
        </w:rPr>
        <w:t xml:space="preserve"> and product-specific export lists.</w:t>
      </w:r>
      <w:r w:rsidR="00202F54">
        <w:rPr>
          <w:rFonts w:eastAsia="Calibri"/>
        </w:rPr>
        <w:t xml:space="preserve">  </w:t>
      </w:r>
      <w:r>
        <w:rPr>
          <w:rFonts w:ascii="TimesNewRomanPSMT" w:hAnsi="TimesNewRomanPSMT" w:cs="TimesNewRomanPSMT"/>
          <w:color w:val="000000"/>
        </w:rPr>
        <w:t xml:space="preserve">Application for inclusion on all export lists will continue to be voluntary.  However, some foreign governments may require inclusion on export lists as a precondition for market access or to satisfy other importing country registration or approval requirements.  </w:t>
      </w:r>
    </w:p>
    <w:p w:rsidR="009E56F6" w:rsidP="00202F54" w14:paraId="350A0144" w14:textId="77777777">
      <w:pPr>
        <w:rPr>
          <w:rFonts w:ascii="TimesNewRomanPSMT" w:hAnsi="TimesNewRomanPSMT" w:cs="TimesNewRomanPSMT"/>
          <w:color w:val="000000"/>
        </w:rPr>
      </w:pPr>
    </w:p>
    <w:p w:rsidR="007466C8" w:rsidRPr="00202F54" w:rsidP="00202F54" w14:paraId="3E2E97B3" w14:textId="629AB4D2">
      <w:pPr>
        <w:rPr>
          <w:rFonts w:eastAsia="Calibri"/>
        </w:rPr>
      </w:pPr>
      <w:r>
        <w:rPr>
          <w:rFonts w:ascii="TimesNewRomanPSMT" w:hAnsi="TimesNewRomanPSMT" w:cs="TimesNewRomanPSMT"/>
          <w:color w:val="000000"/>
        </w:rPr>
        <w:t>FDA uses the Export Listing Module (ELM), an electronic system</w:t>
      </w:r>
      <w:bookmarkStart w:id="0" w:name="_Hlk103776530"/>
      <w:r w:rsidR="009E56F6">
        <w:rPr>
          <w:rFonts w:ascii="TimesNewRomanPSMT" w:hAnsi="TimesNewRomanPSMT" w:cs="TimesNewRomanPSMT"/>
          <w:color w:val="000000"/>
        </w:rPr>
        <w:t xml:space="preserve">, </w:t>
      </w:r>
      <w:r w:rsidRPr="009E56F6" w:rsidR="009E56F6">
        <w:rPr>
          <w:rFonts w:ascii="TimesNewRomanPSMT" w:hAnsi="TimesNewRomanPSMT" w:cs="TimesNewRomanPSMT"/>
          <w:b/>
          <w:bCs/>
          <w:color w:val="000000"/>
        </w:rPr>
        <w:t>F</w:t>
      </w:r>
      <w:r w:rsidRPr="009E56F6">
        <w:rPr>
          <w:rFonts w:ascii="TimesNewRomanPSMT" w:hAnsi="TimesNewRomanPSMT" w:cs="TimesNewRomanPSMT"/>
          <w:b/>
          <w:bCs/>
          <w:color w:val="000000"/>
        </w:rPr>
        <w:t>orm FDA 3972</w:t>
      </w:r>
      <w:bookmarkEnd w:id="0"/>
      <w:r w:rsidR="00D87BB5">
        <w:rPr>
          <w:rFonts w:ascii="TimesNewRomanPSMT" w:hAnsi="TimesNewRomanPSMT" w:cs="TimesNewRomanPSMT"/>
          <w:color w:val="000000"/>
        </w:rPr>
        <w:t>,</w:t>
      </w:r>
      <w:r>
        <w:rPr>
          <w:rFonts w:ascii="TimesNewRomanPSMT" w:hAnsi="TimesNewRomanPSMT" w:cs="TimesNewRomanPSMT"/>
          <w:color w:val="000000"/>
        </w:rPr>
        <w:t xml:space="preserve"> to receive and process applications for inclusion on export lists for products </w:t>
      </w:r>
      <w:r w:rsidRPr="00E561EA">
        <w:rPr>
          <w:rFonts w:ascii="TimesNewRomanPSMT" w:hAnsi="TimesNewRomanPSMT" w:cs="TimesNewRomanPSMT"/>
          <w:color w:val="000000"/>
        </w:rPr>
        <w:t xml:space="preserve">regulated by the </w:t>
      </w:r>
      <w:r w:rsidR="009D2C63">
        <w:rPr>
          <w:rFonts w:ascii="TimesNewRomanPSMT" w:hAnsi="TimesNewRomanPSMT" w:cs="TimesNewRomanPSMT"/>
          <w:color w:val="000000"/>
        </w:rPr>
        <w:t xml:space="preserve">Human Foods </w:t>
      </w:r>
      <w:r w:rsidR="001878EB">
        <w:rPr>
          <w:rFonts w:ascii="TimesNewRomanPSMT" w:hAnsi="TimesNewRomanPSMT" w:cs="TimesNewRomanPSMT"/>
          <w:color w:val="000000"/>
        </w:rPr>
        <w:t>Program</w:t>
      </w:r>
      <w:r>
        <w:rPr>
          <w:rFonts w:ascii="TimesNewRomanPSMT" w:hAnsi="TimesNewRomanPSMT" w:cs="TimesNewRomanPSMT"/>
          <w:color w:val="000000"/>
        </w:rPr>
        <w:t xml:space="preserve"> </w:t>
      </w:r>
      <w:r w:rsidRPr="00E561EA">
        <w:rPr>
          <w:rFonts w:ascii="TimesNewRomanPSMT" w:hAnsi="TimesNewRomanPSMT" w:cs="TimesNewRomanPSMT"/>
          <w:color w:val="000000"/>
        </w:rPr>
        <w:t>(</w:t>
      </w:r>
      <w:r w:rsidR="001878EB">
        <w:rPr>
          <w:rFonts w:ascii="TimesNewRomanPSMT" w:hAnsi="TimesNewRomanPSMT" w:cs="TimesNewRomanPSMT"/>
          <w:color w:val="000000"/>
        </w:rPr>
        <w:t>HFP</w:t>
      </w:r>
      <w:r w:rsidRPr="00E561EA">
        <w:rPr>
          <w:rFonts w:ascii="TimesNewRomanPSMT" w:hAnsi="TimesNewRomanPSMT" w:cs="TimesNewRomanPSMT"/>
          <w:color w:val="000000"/>
        </w:rPr>
        <w:t>)</w:t>
      </w:r>
      <w:r>
        <w:rPr>
          <w:rFonts w:ascii="TimesNewRomanPSMT" w:hAnsi="TimesNewRomanPSMT" w:cs="TimesNewRomanPSMT"/>
          <w:color w:val="000000"/>
        </w:rPr>
        <w:t xml:space="preserve">.  The ELM allows applicants to provide information about the products intended for export, the establishment that produces those products, evidence of the establishment’s compliance with applicable requirements for the products intended for export, and any additional data or information (such as third-party certifications) that foreign governments may require.  We request that this information be updated every 2 years.  Additional information and screenshots of the ELM are available at </w:t>
      </w:r>
      <w:hyperlink r:id="rId5" w:history="1">
        <w:r w:rsidRPr="00B354F4">
          <w:rPr>
            <w:rStyle w:val="Hyperlink"/>
            <w:rFonts w:ascii="TimesNewRomanPSMT" w:hAnsi="TimesNewRomanPSMT" w:cs="TimesNewRomanPSMT"/>
          </w:rPr>
          <w:t>https://www.fda.gov/food/exporting-food-products-united-states/food-export-lists</w:t>
        </w:r>
      </w:hyperlink>
      <w:r>
        <w:rPr>
          <w:rFonts w:ascii="TimesNewRomanPSMT" w:hAnsi="TimesNewRomanPSMT" w:cs="TimesNewRomanPSMT"/>
          <w:color w:val="000000"/>
        </w:rPr>
        <w:t xml:space="preserve">.  </w:t>
      </w:r>
      <w:bookmarkStart w:id="1" w:name="_Hlk103339799"/>
      <w:r>
        <w:rPr>
          <w:rFonts w:ascii="TimesNewRomanPSMT" w:hAnsi="TimesNewRomanPSMT" w:cs="TimesNewRomanPSMT"/>
          <w:color w:val="000000"/>
        </w:rPr>
        <w:t xml:space="preserve">If an establishment is unable to submit an application via the ELM, it may contact </w:t>
      </w:r>
      <w:r w:rsidR="00387761">
        <w:rPr>
          <w:rFonts w:ascii="TimesNewRomanPSMT" w:hAnsi="TimesNewRomanPSMT" w:cs="TimesNewRomanPSMT"/>
          <w:color w:val="000000"/>
        </w:rPr>
        <w:t xml:space="preserve">HFP </w:t>
      </w:r>
      <w:r w:rsidR="00D5519A">
        <w:rPr>
          <w:rFonts w:ascii="TimesNewRomanPSMT" w:hAnsi="TimesNewRomanPSMT" w:cs="TimesNewRomanPSMT"/>
          <w:color w:val="000000"/>
        </w:rPr>
        <w:t>to</w:t>
      </w:r>
      <w:r>
        <w:rPr>
          <w:rFonts w:ascii="TimesNewRomanPSMT" w:hAnsi="TimesNewRomanPSMT" w:cs="TimesNewRomanPSMT"/>
          <w:color w:val="000000"/>
        </w:rPr>
        <w:t xml:space="preserve"> request assistance.</w:t>
      </w:r>
      <w:bookmarkEnd w:id="1"/>
    </w:p>
    <w:p w:rsidR="007466C8" w:rsidRPr="004B0EDB" w:rsidP="00F171B7" w14:paraId="1C7E9415" w14:textId="77777777">
      <w:pPr>
        <w:autoSpaceDE w:val="0"/>
        <w:autoSpaceDN w:val="0"/>
        <w:adjustRightInd w:val="0"/>
        <w:rPr>
          <w:rFonts w:ascii="TimesNewRomanPSMT" w:hAnsi="TimesNewRomanPSMT" w:cs="TimesNewRomanPSMT"/>
          <w:color w:val="000000"/>
        </w:rPr>
      </w:pPr>
    </w:p>
    <w:p w:rsidR="00896CB1" w:rsidP="00B121AB" w14:paraId="592B1CB3" w14:textId="15F4A5A4">
      <w:pPr>
        <w:autoSpaceDE w:val="0"/>
        <w:autoSpaceDN w:val="0"/>
        <w:adjustRightInd w:val="0"/>
        <w:rPr>
          <w:rFonts w:ascii="TimesNewRomanPSMT" w:hAnsi="TimesNewRomanPSMT" w:cs="TimesNewRomanPSMT"/>
          <w:color w:val="000000" w:themeColor="text1"/>
        </w:rPr>
      </w:pPr>
      <w:r w:rsidRPr="00DB0BF5">
        <w:rPr>
          <w:rFonts w:ascii="TimesNewRomanPSMT" w:hAnsi="TimesNewRomanPSMT" w:cs="TimesNewRomanPSMT"/>
          <w:color w:val="000000"/>
        </w:rPr>
        <w:t xml:space="preserve">We therefore request extension of </w:t>
      </w:r>
      <w:r>
        <w:rPr>
          <w:rFonts w:ascii="TimesNewRomanPSMT" w:hAnsi="TimesNewRomanPSMT" w:cs="TimesNewRomanPSMT"/>
          <w:color w:val="000000"/>
        </w:rPr>
        <w:t xml:space="preserve">OMB </w:t>
      </w:r>
      <w:r w:rsidRPr="00DB0BF5">
        <w:rPr>
          <w:rFonts w:ascii="TimesNewRomanPSMT" w:hAnsi="TimesNewRomanPSMT" w:cs="TimesNewRomanPSMT"/>
          <w:color w:val="000000"/>
        </w:rPr>
        <w:t xml:space="preserve">approval </w:t>
      </w:r>
      <w:r>
        <w:rPr>
          <w:rFonts w:ascii="TimesNewRomanPSMT" w:hAnsi="TimesNewRomanPSMT" w:cs="TimesNewRomanPSMT"/>
          <w:color w:val="000000"/>
        </w:rPr>
        <w:t>of</w:t>
      </w:r>
      <w:r w:rsidRPr="00DB0BF5">
        <w:rPr>
          <w:rFonts w:ascii="TimesNewRomanPSMT" w:hAnsi="TimesNewRomanPSMT" w:cs="TimesNewRomanPSMT"/>
          <w:color w:val="000000"/>
        </w:rPr>
        <w:t xml:space="preserve"> the information collection</w:t>
      </w:r>
      <w:r w:rsidR="008E6605">
        <w:rPr>
          <w:rFonts w:ascii="TimesNewRomanPSMT" w:hAnsi="TimesNewRomanPSMT" w:cs="TimesNewRomanPSMT"/>
          <w:color w:val="000000"/>
        </w:rPr>
        <w:t xml:space="preserve"> recommendations</w:t>
      </w:r>
      <w:r w:rsidRPr="00DB0BF5">
        <w:rPr>
          <w:rFonts w:ascii="TimesNewRomanPSMT" w:hAnsi="TimesNewRomanPSMT" w:cs="TimesNewRomanPSMT"/>
          <w:color w:val="000000"/>
        </w:rPr>
        <w:t xml:space="preserve"> pertaining to the</w:t>
      </w:r>
      <w:r>
        <w:rPr>
          <w:rFonts w:ascii="TimesNewRomanPSMT" w:hAnsi="TimesNewRomanPSMT" w:cs="TimesNewRomanPSMT"/>
          <w:color w:val="000000"/>
        </w:rPr>
        <w:t xml:space="preserve"> </w:t>
      </w:r>
      <w:r w:rsidR="001878EB">
        <w:rPr>
          <w:rFonts w:ascii="TimesNewRomanPSMT" w:hAnsi="TimesNewRomanPSMT" w:cs="TimesNewRomanPSMT"/>
          <w:color w:val="000000"/>
        </w:rPr>
        <w:t>HFP</w:t>
      </w:r>
      <w:r w:rsidRPr="00DB0BF5">
        <w:rPr>
          <w:rFonts w:ascii="TimesNewRomanPSMT" w:hAnsi="TimesNewRomanPSMT" w:cs="TimesNewRomanPSMT"/>
          <w:color w:val="000000"/>
        </w:rPr>
        <w:t>-</w:t>
      </w:r>
      <w:r>
        <w:rPr>
          <w:rFonts w:ascii="TimesNewRomanPSMT" w:hAnsi="TimesNewRomanPSMT" w:cs="TimesNewRomanPSMT"/>
          <w:color w:val="000000"/>
        </w:rPr>
        <w:t xml:space="preserve">regulated </w:t>
      </w:r>
      <w:r w:rsidRPr="00DB0BF5">
        <w:rPr>
          <w:rFonts w:ascii="TimesNewRomanPSMT" w:hAnsi="TimesNewRomanPSMT" w:cs="TimesNewRomanPSMT"/>
          <w:color w:val="000000"/>
        </w:rPr>
        <w:t>product export lists</w:t>
      </w:r>
      <w:r w:rsidR="008E6605">
        <w:rPr>
          <w:rFonts w:ascii="TimesNewRomanPSMT" w:hAnsi="TimesNewRomanPSMT" w:cs="TimesNewRomanPSMT"/>
          <w:color w:val="000000"/>
        </w:rPr>
        <w:t xml:space="preserve"> discussed in the referenced</w:t>
      </w:r>
      <w:r w:rsidRPr="00DB0BF5">
        <w:rPr>
          <w:rFonts w:ascii="TimesNewRomanPSMT" w:hAnsi="TimesNewRomanPSMT" w:cs="TimesNewRomanPSMT"/>
          <w:color w:val="000000"/>
        </w:rPr>
        <w:t xml:space="preserve"> guidance documents, as well as the ELM reporting</w:t>
      </w:r>
      <w:r>
        <w:rPr>
          <w:rFonts w:ascii="TimesNewRomanPSMT" w:hAnsi="TimesNewRomanPSMT" w:cs="TimesNewRomanPSMT"/>
          <w:color w:val="000000"/>
        </w:rPr>
        <w:t xml:space="preserve"> </w:t>
      </w:r>
      <w:r w:rsidRPr="00DB0BF5">
        <w:rPr>
          <w:rFonts w:ascii="TimesNewRomanPSMT" w:hAnsi="TimesNewRomanPSMT" w:cs="TimesNewRomanPSMT"/>
          <w:color w:val="000000"/>
        </w:rPr>
        <w:t>module</w:t>
      </w:r>
      <w:r>
        <w:rPr>
          <w:rFonts w:ascii="TimesNewRomanPSMT" w:hAnsi="TimesNewRomanPSMT" w:cs="TimesNewRomanPSMT"/>
          <w:color w:val="000000"/>
        </w:rPr>
        <w:t xml:space="preserve"> </w:t>
      </w:r>
      <w:r w:rsidRPr="00DB0BF5">
        <w:rPr>
          <w:rFonts w:ascii="TimesNewRomanPSMT" w:hAnsi="TimesNewRomanPSMT" w:cs="TimesNewRomanPSMT"/>
          <w:color w:val="000000"/>
        </w:rPr>
        <w:t>(Form FDA 3972)</w:t>
      </w:r>
      <w:r w:rsidRPr="00896CB1">
        <w:rPr>
          <w:rFonts w:ascii="TimesNewRomanPSMT" w:hAnsi="TimesNewRomanPSMT" w:cs="TimesNewRomanPSMT"/>
          <w:color w:val="000000" w:themeColor="text1"/>
        </w:rPr>
        <w:t>.</w:t>
      </w:r>
    </w:p>
    <w:p w:rsidR="00B121AB" w:rsidRPr="00B121AB" w:rsidP="00B121AB" w14:paraId="75C265FD" w14:textId="77777777">
      <w:pPr>
        <w:autoSpaceDE w:val="0"/>
        <w:autoSpaceDN w:val="0"/>
        <w:adjustRightInd w:val="0"/>
        <w:rPr>
          <w:rFonts w:ascii="TimesNewRomanPSMT" w:hAnsi="TimesNewRomanPSMT" w:cs="TimesNewRomanPSMT"/>
          <w:color w:val="000000" w:themeColor="text1"/>
        </w:rPr>
      </w:pPr>
    </w:p>
    <w:p w:rsidR="00357C8A" w:rsidRPr="00357C8A" w:rsidP="00F171B7" w14:paraId="1CB06B89" w14:textId="77777777">
      <w:pPr>
        <w:numPr>
          <w:ilvl w:val="0"/>
          <w:numId w:val="6"/>
        </w:numPr>
        <w:spacing w:line="276" w:lineRule="auto"/>
        <w:ind w:left="0"/>
        <w:rPr>
          <w:rFonts w:eastAsia="Calibri"/>
          <w:u w:val="single"/>
        </w:rPr>
      </w:pPr>
      <w:r w:rsidRPr="00357C8A">
        <w:rPr>
          <w:rFonts w:eastAsia="Calibri"/>
          <w:u w:val="single"/>
        </w:rPr>
        <w:t xml:space="preserve">Purpose and Use of the Information Collection </w:t>
      </w:r>
    </w:p>
    <w:p w:rsidR="009E56F6" w:rsidP="00F171B7" w14:paraId="06F3FADB" w14:textId="77777777">
      <w:pPr>
        <w:autoSpaceDE w:val="0"/>
        <w:autoSpaceDN w:val="0"/>
        <w:adjustRightInd w:val="0"/>
      </w:pPr>
    </w:p>
    <w:p w:rsidR="00B97F16" w:rsidP="00F171B7" w14:paraId="5D426655" w14:textId="57E1A7EC">
      <w:pPr>
        <w:autoSpaceDE w:val="0"/>
        <w:autoSpaceDN w:val="0"/>
        <w:adjustRightInd w:val="0"/>
      </w:pPr>
      <w:r w:rsidRPr="00D172AC">
        <w:t>We use the information submitted by</w:t>
      </w:r>
      <w:r>
        <w:t xml:space="preserve"> </w:t>
      </w:r>
      <w:r w:rsidRPr="00D172AC">
        <w:t>establishments to determine eligibility</w:t>
      </w:r>
      <w:r>
        <w:t xml:space="preserve"> </w:t>
      </w:r>
      <w:r w:rsidRPr="00D172AC">
        <w:t>for certification and inclusion on the</w:t>
      </w:r>
      <w:r>
        <w:t xml:space="preserve"> </w:t>
      </w:r>
      <w:r w:rsidRPr="00D172AC">
        <w:t>export lists, which may be published on</w:t>
      </w:r>
      <w:r>
        <w:t xml:space="preserve"> </w:t>
      </w:r>
      <w:r w:rsidRPr="00D172AC">
        <w:t>our website or the websites of foreign</w:t>
      </w:r>
      <w:r>
        <w:t xml:space="preserve"> </w:t>
      </w:r>
      <w:r w:rsidRPr="00D172AC">
        <w:t xml:space="preserve">governments. </w:t>
      </w:r>
      <w:r>
        <w:t xml:space="preserve"> </w:t>
      </w:r>
      <w:r w:rsidRPr="00D172AC">
        <w:t>The purpose of the lists is</w:t>
      </w:r>
      <w:r>
        <w:t xml:space="preserve"> </w:t>
      </w:r>
      <w:r w:rsidRPr="00D172AC">
        <w:t xml:space="preserve">to help </w:t>
      </w:r>
      <w:r w:rsidR="001878EB">
        <w:t>HFP</w:t>
      </w:r>
      <w:r w:rsidRPr="00D172AC">
        <w:t>-regulated industries</w:t>
      </w:r>
      <w:r>
        <w:t xml:space="preserve"> </w:t>
      </w:r>
      <w:r w:rsidRPr="00D172AC">
        <w:t>meet the import requirements of foreign</w:t>
      </w:r>
      <w:r>
        <w:t xml:space="preserve"> </w:t>
      </w:r>
      <w:r w:rsidRPr="00D172AC">
        <w:t xml:space="preserve">governments. </w:t>
      </w:r>
      <w:r>
        <w:t xml:space="preserve"> </w:t>
      </w:r>
      <w:r w:rsidRPr="00D172AC">
        <w:t>This collection of</w:t>
      </w:r>
      <w:r>
        <w:t xml:space="preserve"> </w:t>
      </w:r>
      <w:r w:rsidRPr="00D172AC">
        <w:t>information is intended to cover all of</w:t>
      </w:r>
      <w:r>
        <w:t xml:space="preserve"> </w:t>
      </w:r>
      <w:r w:rsidR="001878EB">
        <w:t>HFP’s</w:t>
      </w:r>
      <w:r w:rsidRPr="00D172AC" w:rsidR="001878EB">
        <w:t xml:space="preserve"> </w:t>
      </w:r>
      <w:r w:rsidRPr="00D172AC">
        <w:t>existing export lists, as well as</w:t>
      </w:r>
      <w:r>
        <w:t xml:space="preserve"> </w:t>
      </w:r>
      <w:r w:rsidRPr="00D172AC">
        <w:t>any additional export lists established</w:t>
      </w:r>
      <w:r>
        <w:t xml:space="preserve"> </w:t>
      </w:r>
      <w:r w:rsidRPr="00D172AC">
        <w:t xml:space="preserve">by the </w:t>
      </w:r>
      <w:r w:rsidR="00FE144E">
        <w:t>program</w:t>
      </w:r>
      <w:r w:rsidRPr="00D172AC">
        <w:t>.</w:t>
      </w:r>
      <w:r>
        <w:t xml:space="preserve">  </w:t>
      </w:r>
    </w:p>
    <w:p w:rsidR="00B97F16" w:rsidRPr="00D172AC" w:rsidP="00F171B7" w14:paraId="575CB474" w14:textId="77777777">
      <w:pPr>
        <w:autoSpaceDE w:val="0"/>
        <w:autoSpaceDN w:val="0"/>
        <w:adjustRightInd w:val="0"/>
      </w:pPr>
    </w:p>
    <w:p w:rsidR="00B97F16" w:rsidP="00F171B7" w14:paraId="1A839D5C" w14:textId="77777777">
      <w:pPr>
        <w:autoSpaceDE w:val="0"/>
        <w:autoSpaceDN w:val="0"/>
        <w:adjustRightInd w:val="0"/>
      </w:pPr>
      <w:bookmarkStart w:id="2" w:name="_Hlk104200147"/>
      <w:r w:rsidRPr="00D172AC">
        <w:t>FDA notes section 801 of the FD&amp;C</w:t>
      </w:r>
      <w:r>
        <w:t xml:space="preserve"> </w:t>
      </w:r>
      <w:r w:rsidRPr="00D172AC">
        <w:t>Act (21 U.S.C. 381) also provides that</w:t>
      </w:r>
      <w:r>
        <w:t xml:space="preserve"> </w:t>
      </w:r>
      <w:r w:rsidRPr="00D172AC">
        <w:t xml:space="preserve">FDA may </w:t>
      </w:r>
      <w:r>
        <w:t xml:space="preserve">assess </w:t>
      </w:r>
      <w:r w:rsidRPr="00D172AC">
        <w:t>a fee of up to $175 if</w:t>
      </w:r>
      <w:r>
        <w:t xml:space="preserve"> </w:t>
      </w:r>
      <w:r w:rsidRPr="00D172AC">
        <w:t xml:space="preserve">the </w:t>
      </w:r>
      <w:r>
        <w:t>a</w:t>
      </w:r>
      <w:r w:rsidRPr="00D172AC">
        <w:t>gency issues export certification</w:t>
      </w:r>
      <w:r>
        <w:t xml:space="preserve"> </w:t>
      </w:r>
      <w:r w:rsidRPr="00D172AC">
        <w:t>within 20 days of receipt of a complete</w:t>
      </w:r>
      <w:r>
        <w:t xml:space="preserve"> </w:t>
      </w:r>
      <w:r w:rsidRPr="00D172AC">
        <w:t>request for such certification.</w:t>
      </w:r>
      <w:bookmarkEnd w:id="2"/>
    </w:p>
    <w:p w:rsidR="00B97F16" w:rsidRPr="00D172AC" w:rsidP="00F171B7" w14:paraId="46389662" w14:textId="77777777">
      <w:pPr>
        <w:autoSpaceDE w:val="0"/>
        <w:autoSpaceDN w:val="0"/>
        <w:adjustRightInd w:val="0"/>
      </w:pPr>
    </w:p>
    <w:p w:rsidR="00357C8A" w:rsidP="00F171B7" w14:paraId="7F8A7343" w14:textId="1D0AB252">
      <w:pPr>
        <w:autoSpaceDE w:val="0"/>
        <w:autoSpaceDN w:val="0"/>
        <w:adjustRightInd w:val="0"/>
        <w:rPr>
          <w:rFonts w:ascii="TimesNewRomanPSMT" w:hAnsi="TimesNewRomanPSMT" w:cs="TimesNewRomanPSMT"/>
        </w:rPr>
      </w:pPr>
      <w:r>
        <w:rPr>
          <w:i/>
          <w:iCs/>
        </w:rPr>
        <w:t>Description of Respondents</w:t>
      </w:r>
      <w:r>
        <w:rPr>
          <w:rFonts w:ascii="TimesNewRomanPSMT" w:hAnsi="TimesNewRomanPSMT" w:cs="TimesNewRomanPSMT"/>
        </w:rPr>
        <w:t>:  Respondents to this information collection include U.S. establishments subject to FDA/</w:t>
      </w:r>
      <w:r w:rsidR="00FE144E">
        <w:rPr>
          <w:rFonts w:ascii="TimesNewRomanPSMT" w:hAnsi="TimesNewRomanPSMT" w:cs="TimesNewRomanPSMT"/>
        </w:rPr>
        <w:t xml:space="preserve">HFP </w:t>
      </w:r>
      <w:r>
        <w:rPr>
          <w:rFonts w:ascii="TimesNewRomanPSMT" w:hAnsi="TimesNewRomanPSMT" w:cs="TimesNewRomanPSMT"/>
        </w:rPr>
        <w:t>jurisdiction that wish to be included on export lists.  Respondents are from the private sector (for-profit businesses).</w:t>
      </w:r>
    </w:p>
    <w:p w:rsidR="00896CB1" w:rsidRPr="00896CB1" w:rsidP="00F171B7" w14:paraId="7182B814" w14:textId="77777777">
      <w:pPr>
        <w:autoSpaceDE w:val="0"/>
        <w:autoSpaceDN w:val="0"/>
        <w:adjustRightInd w:val="0"/>
        <w:rPr>
          <w:rFonts w:eastAsia="Calibri"/>
          <w:color w:val="000000" w:themeColor="text1"/>
        </w:rPr>
      </w:pPr>
    </w:p>
    <w:p w:rsidR="00357C8A" w:rsidRPr="00357C8A" w:rsidP="00F171B7" w14:paraId="7D74CE3E" w14:textId="77777777">
      <w:pPr>
        <w:numPr>
          <w:ilvl w:val="0"/>
          <w:numId w:val="6"/>
        </w:numPr>
        <w:spacing w:line="276" w:lineRule="auto"/>
        <w:ind w:left="0"/>
        <w:rPr>
          <w:rFonts w:eastAsia="Calibri"/>
          <w:u w:val="single"/>
        </w:rPr>
      </w:pPr>
      <w:r w:rsidRPr="00357C8A">
        <w:rPr>
          <w:rFonts w:eastAsia="Calibri"/>
          <w:u w:val="single"/>
        </w:rPr>
        <w:t>Use of Improved Information Technology and Burden Reduction</w:t>
      </w:r>
    </w:p>
    <w:p w:rsidR="00B121AB" w:rsidP="00F171B7" w14:paraId="5E9E6ECE" w14:textId="77777777">
      <w:pPr>
        <w:rPr>
          <w:rFonts w:ascii="TimesNewRomanPSMT" w:hAnsi="TimesNewRomanPSMT" w:cs="TimesNewRomanPSMT"/>
        </w:rPr>
      </w:pPr>
    </w:p>
    <w:p w:rsidR="00357C8A" w:rsidP="00F171B7" w14:paraId="2EDE5EC5" w14:textId="1C7B155A">
      <w:pPr>
        <w:rPr>
          <w:rFonts w:ascii="TimesNewRomanPSMT" w:hAnsi="TimesNewRomanPSMT" w:cs="TimesNewRomanPSMT"/>
          <w:color w:val="000000" w:themeColor="text1"/>
        </w:rPr>
      </w:pPr>
      <w:r>
        <w:rPr>
          <w:rFonts w:ascii="TimesNewRomanPSMT" w:hAnsi="TimesNewRomanPSMT" w:cs="TimesNewRomanPSMT"/>
        </w:rPr>
        <w:t xml:space="preserve">We continually seek ways to reduce the reporting burden.  Our efforts include directing respondents to use the ELM for quicker submittals.  </w:t>
      </w:r>
      <w:r w:rsidRPr="00E561EA">
        <w:rPr>
          <w:rFonts w:ascii="TimesNewRomanPSMT" w:hAnsi="TimesNewRomanPSMT" w:cs="TimesNewRomanPSMT"/>
        </w:rPr>
        <w:t xml:space="preserve">If an establishment is unable to submit an application via the ELM, it may contact </w:t>
      </w:r>
      <w:r w:rsidR="00387761">
        <w:rPr>
          <w:rFonts w:ascii="TimesNewRomanPSMT" w:hAnsi="TimesNewRomanPSMT" w:cs="TimesNewRomanPSMT"/>
        </w:rPr>
        <w:t>HFP</w:t>
      </w:r>
      <w:r w:rsidRPr="00E561EA" w:rsidR="00387761">
        <w:rPr>
          <w:rFonts w:ascii="TimesNewRomanPSMT" w:hAnsi="TimesNewRomanPSMT" w:cs="TimesNewRomanPSMT"/>
        </w:rPr>
        <w:t xml:space="preserve"> </w:t>
      </w:r>
      <w:r w:rsidR="00B13ABB">
        <w:rPr>
          <w:rFonts w:ascii="TimesNewRomanPSMT" w:hAnsi="TimesNewRomanPSMT" w:cs="TimesNewRomanPSMT"/>
        </w:rPr>
        <w:t>to</w:t>
      </w:r>
      <w:r w:rsidRPr="00E561EA">
        <w:rPr>
          <w:rFonts w:ascii="TimesNewRomanPSMT" w:hAnsi="TimesNewRomanPSMT" w:cs="TimesNewRomanPSMT"/>
        </w:rPr>
        <w:t xml:space="preserve"> request assistance</w:t>
      </w:r>
      <w:r>
        <w:rPr>
          <w:rFonts w:ascii="TimesNewRomanPSMT" w:hAnsi="TimesNewRomanPSMT" w:cs="TimesNewRomanPSMT"/>
        </w:rPr>
        <w:t xml:space="preserve">.  We estimate that </w:t>
      </w:r>
      <w:r w:rsidR="003A4118">
        <w:rPr>
          <w:rFonts w:ascii="TimesNewRomanPSMT" w:hAnsi="TimesNewRomanPSMT" w:cs="TimesNewRomanPSMT"/>
        </w:rPr>
        <w:t>one hundred percent</w:t>
      </w:r>
      <w:r>
        <w:rPr>
          <w:rFonts w:ascii="TimesNewRomanPSMT" w:hAnsi="TimesNewRomanPSMT" w:cs="TimesNewRomanPSMT"/>
        </w:rPr>
        <w:t xml:space="preserve"> (100%) of the respondents will use electronic means to submit information</w:t>
      </w:r>
      <w:r w:rsidRPr="00896CB1">
        <w:rPr>
          <w:rFonts w:ascii="TimesNewRomanPSMT" w:hAnsi="TimesNewRomanPSMT" w:cs="TimesNewRomanPSMT"/>
          <w:color w:val="000000" w:themeColor="text1"/>
        </w:rPr>
        <w:t>.</w:t>
      </w:r>
    </w:p>
    <w:p w:rsidR="00B121AB" w:rsidRPr="00896CB1" w:rsidP="00F171B7" w14:paraId="3C685BD4" w14:textId="77777777">
      <w:pPr>
        <w:rPr>
          <w:rFonts w:eastAsia="Calibri"/>
          <w:color w:val="000000" w:themeColor="text1"/>
        </w:rPr>
      </w:pPr>
    </w:p>
    <w:p w:rsidR="00357C8A" w:rsidRPr="00357C8A" w:rsidP="00F171B7" w14:paraId="23E66C28" w14:textId="77777777">
      <w:pPr>
        <w:numPr>
          <w:ilvl w:val="0"/>
          <w:numId w:val="6"/>
        </w:numPr>
        <w:spacing w:line="276" w:lineRule="auto"/>
        <w:ind w:left="0"/>
        <w:rPr>
          <w:rFonts w:eastAsia="Calibri"/>
        </w:rPr>
      </w:pPr>
      <w:r w:rsidRPr="00357C8A">
        <w:rPr>
          <w:rFonts w:eastAsia="Calibri"/>
          <w:u w:val="single"/>
        </w:rPr>
        <w:t xml:space="preserve">Efforts to Identify Duplication and Use of Similar Information </w:t>
      </w:r>
    </w:p>
    <w:p w:rsidR="00B121AB" w:rsidP="00F171B7" w14:paraId="4A88994E" w14:textId="77777777">
      <w:pPr>
        <w:rPr>
          <w:rFonts w:ascii="TimesNewRomanPSMT" w:hAnsi="TimesNewRomanPSMT" w:cs="TimesNewRomanPSMT"/>
        </w:rPr>
      </w:pPr>
    </w:p>
    <w:p w:rsidR="000C1260" w:rsidP="00F171B7" w14:paraId="1C37AE61" w14:textId="7F0DABE6">
      <w:pPr>
        <w:rPr>
          <w:rFonts w:ascii="TimesNewRomanPSMT" w:hAnsi="TimesNewRomanPSMT" w:cs="TimesNewRomanPSMT"/>
        </w:rPr>
      </w:pPr>
      <w:r>
        <w:rPr>
          <w:rFonts w:ascii="TimesNewRomanPSMT" w:hAnsi="TimesNewRomanPSMT" w:cs="TimesNewRomanPSMT"/>
        </w:rPr>
        <w:t>We are unaware of duplicative information collection.  Agency regulations at 21 CFR 1.101 provide for recordkeeping regarding the export of FDA-regulated products.  Although voluntarily undertaken, the recordkeeping often depends upon respective requirements determined by the destination to where the product is exported.</w:t>
      </w:r>
    </w:p>
    <w:p w:rsidR="00B121AB" w:rsidRPr="00896CB1" w:rsidP="00F171B7" w14:paraId="79992958" w14:textId="77777777">
      <w:pPr>
        <w:rPr>
          <w:rFonts w:eastAsia="Calibri"/>
          <w:color w:val="000000" w:themeColor="text1"/>
        </w:rPr>
      </w:pPr>
    </w:p>
    <w:p w:rsidR="00357C8A" w:rsidRPr="00357C8A" w:rsidP="00F171B7" w14:paraId="1F29824D" w14:textId="77777777">
      <w:pPr>
        <w:numPr>
          <w:ilvl w:val="0"/>
          <w:numId w:val="6"/>
        </w:numPr>
        <w:spacing w:line="276" w:lineRule="auto"/>
        <w:ind w:left="0"/>
        <w:rPr>
          <w:rFonts w:eastAsia="Calibri"/>
        </w:rPr>
      </w:pPr>
      <w:r w:rsidRPr="00357C8A">
        <w:rPr>
          <w:rFonts w:eastAsia="Calibri"/>
          <w:u w:val="single"/>
        </w:rPr>
        <w:t>Impact on Small Businesses or Other Small Entities</w:t>
      </w:r>
    </w:p>
    <w:p w:rsidR="00B121AB" w:rsidP="00F171B7" w14:paraId="7BFD768E" w14:textId="77777777">
      <w:pPr>
        <w:rPr>
          <w:rFonts w:ascii="TimesNewRomanPSMT" w:hAnsi="TimesNewRomanPSMT" w:cs="TimesNewRomanPSMT"/>
          <w:color w:val="000000"/>
        </w:rPr>
      </w:pPr>
    </w:p>
    <w:p w:rsidR="009F1C5E" w:rsidP="00F171B7" w14:paraId="46799AD1" w14:textId="77777777">
      <w:pPr>
        <w:rPr>
          <w:rFonts w:ascii="TimesNewRomanPSMT" w:hAnsi="TimesNewRomanPSMT" w:cs="TimesNewRomanPSMT"/>
          <w:color w:val="000000"/>
        </w:rPr>
      </w:pPr>
      <w:r>
        <w:rPr>
          <w:rFonts w:ascii="TimesNewRomanPSMT" w:hAnsi="TimesNewRomanPSMT" w:cs="TimesNewRomanPSMT"/>
          <w:color w:val="000000"/>
        </w:rPr>
        <w:t>We estimate ten percent (10%) of respondents are small businesses</w:t>
      </w:r>
      <w:r w:rsidR="00092818">
        <w:rPr>
          <w:rFonts w:ascii="TimesNewRomanPSMT" w:hAnsi="TimesNewRomanPSMT" w:cs="TimesNewRomanPSMT"/>
          <w:color w:val="000000"/>
        </w:rPr>
        <w:t>, but do not believe the information collection imposes undue burden</w:t>
      </w:r>
      <w:r>
        <w:rPr>
          <w:rFonts w:ascii="TimesNewRomanPSMT" w:hAnsi="TimesNewRomanPSMT" w:cs="TimesNewRomanPSMT"/>
          <w:color w:val="000000"/>
        </w:rPr>
        <w:t xml:space="preserve">.  </w:t>
      </w:r>
      <w:r w:rsidR="00092818">
        <w:rPr>
          <w:rFonts w:ascii="TimesNewRomanPSMT" w:hAnsi="TimesNewRomanPSMT" w:cs="TimesNewRomanPSMT"/>
          <w:color w:val="000000"/>
        </w:rPr>
        <w:t>Rather</w:t>
      </w:r>
      <w:r>
        <w:rPr>
          <w:rFonts w:ascii="TimesNewRomanPSMT" w:hAnsi="TimesNewRomanPSMT" w:cs="TimesNewRomanPSMT"/>
          <w:color w:val="000000"/>
        </w:rPr>
        <w:t xml:space="preserve">, </w:t>
      </w:r>
      <w:r w:rsidR="00092818">
        <w:rPr>
          <w:rFonts w:ascii="TimesNewRomanPSMT" w:hAnsi="TimesNewRomanPSMT" w:cs="TimesNewRomanPSMT"/>
          <w:color w:val="000000"/>
        </w:rPr>
        <w:t xml:space="preserve">we </w:t>
      </w:r>
      <w:r>
        <w:rPr>
          <w:rFonts w:ascii="TimesNewRomanPSMT" w:hAnsi="TimesNewRomanPSMT" w:cs="TimesNewRomanPSMT"/>
          <w:color w:val="000000"/>
        </w:rPr>
        <w:t>gather</w:t>
      </w:r>
      <w:r w:rsidR="00092818">
        <w:rPr>
          <w:rFonts w:ascii="TimesNewRomanPSMT" w:hAnsi="TimesNewRomanPSMT" w:cs="TimesNewRomanPSMT"/>
          <w:color w:val="000000"/>
        </w:rPr>
        <w:t xml:space="preserve"> </w:t>
      </w:r>
      <w:r>
        <w:rPr>
          <w:rFonts w:ascii="TimesNewRomanPSMT" w:hAnsi="TimesNewRomanPSMT" w:cs="TimesNewRomanPSMT"/>
          <w:color w:val="000000"/>
        </w:rPr>
        <w:t xml:space="preserve">the minimum information </w:t>
      </w:r>
      <w:r w:rsidR="00914E78">
        <w:rPr>
          <w:rFonts w:ascii="TimesNewRomanPSMT" w:hAnsi="TimesNewRomanPSMT" w:cs="TimesNewRomanPSMT"/>
          <w:color w:val="000000"/>
        </w:rPr>
        <w:t xml:space="preserve">needed to determine </w:t>
      </w:r>
      <w:r>
        <w:rPr>
          <w:rFonts w:ascii="TimesNewRomanPSMT" w:hAnsi="TimesNewRomanPSMT" w:cs="TimesNewRomanPSMT"/>
          <w:color w:val="000000"/>
        </w:rPr>
        <w:t xml:space="preserve">that </w:t>
      </w:r>
      <w:r>
        <w:rPr>
          <w:rFonts w:ascii="TimesNewRomanPSMT" w:hAnsi="TimesNewRomanPSMT" w:cs="TimesNewRomanPSMT"/>
          <w:color w:val="000000"/>
        </w:rPr>
        <w:t xml:space="preserve">a business </w:t>
      </w:r>
      <w:r>
        <w:rPr>
          <w:rFonts w:ascii="TimesNewRomanPSMT" w:hAnsi="TimesNewRomanPSMT" w:cs="TimesNewRomanPSMT"/>
          <w:color w:val="000000"/>
        </w:rPr>
        <w:t>may</w:t>
      </w:r>
      <w:r>
        <w:rPr>
          <w:rFonts w:ascii="TimesNewRomanPSMT" w:hAnsi="TimesNewRomanPSMT" w:cs="TimesNewRomanPSMT"/>
          <w:color w:val="000000"/>
        </w:rPr>
        <w:t xml:space="preserve"> qualify to be placed on the list</w:t>
      </w:r>
    </w:p>
    <w:p w:rsidR="00357C8A" w:rsidP="00F171B7" w14:paraId="29CFC2D1" w14:textId="1C7B6FB8">
      <w:pPr>
        <w:rPr>
          <w:rFonts w:ascii="TimesNewRomanPSMT" w:hAnsi="TimesNewRomanPSMT" w:cs="TimesNewRomanPSMT"/>
          <w:color w:val="000000"/>
        </w:rPr>
      </w:pPr>
      <w:r>
        <w:rPr>
          <w:rFonts w:ascii="TimesNewRomanPSMT" w:hAnsi="TimesNewRomanPSMT" w:cs="TimesNewRomanPSMT"/>
          <w:color w:val="000000"/>
        </w:rPr>
        <w:t xml:space="preserve">.  In addition, we aid small businesses through our Regional Small Business Representatives and through the scientific and administrative staffs within the agency.  </w:t>
      </w:r>
      <w:r w:rsidRPr="00DB0BF5">
        <w:rPr>
          <w:rFonts w:ascii="TimesNewRomanPSMT" w:hAnsi="TimesNewRomanPSMT" w:cs="TimesNewRomanPSMT"/>
          <w:color w:val="000000"/>
        </w:rPr>
        <w:t xml:space="preserve">Assistance is also available for small businesses via the agency’s website at </w:t>
      </w:r>
      <w:hyperlink r:id="rId7" w:history="1">
        <w:r w:rsidRPr="007A553D">
          <w:rPr>
            <w:rStyle w:val="Hyperlink"/>
            <w:rFonts w:ascii="TimesNewRomanPSMT" w:hAnsi="TimesNewRomanPSMT" w:cs="TimesNewRomanPSMT"/>
          </w:rPr>
          <w:t>https://www.fda.gov/industry/small-business-assistance</w:t>
        </w:r>
      </w:hyperlink>
      <w:r w:rsidRPr="00DB0BF5">
        <w:rPr>
          <w:rFonts w:ascii="TimesNewRomanPSMT" w:hAnsi="TimesNewRomanPSMT" w:cs="TimesNewRomanPSMT"/>
          <w:color w:val="000000"/>
        </w:rPr>
        <w:t>.</w:t>
      </w:r>
    </w:p>
    <w:p w:rsidR="00B121AB" w:rsidRPr="00357C8A" w:rsidP="00F171B7" w14:paraId="0DE74F23" w14:textId="77777777">
      <w:pPr>
        <w:rPr>
          <w:rFonts w:eastAsia="Calibri"/>
        </w:rPr>
      </w:pPr>
    </w:p>
    <w:p w:rsidR="00357C8A" w:rsidRPr="00357C8A" w:rsidP="00F171B7" w14:paraId="22719B5A" w14:textId="77777777">
      <w:pPr>
        <w:numPr>
          <w:ilvl w:val="0"/>
          <w:numId w:val="6"/>
        </w:numPr>
        <w:spacing w:line="276" w:lineRule="auto"/>
        <w:ind w:left="0"/>
        <w:rPr>
          <w:rFonts w:eastAsia="Calibri"/>
          <w:u w:val="single"/>
        </w:rPr>
      </w:pPr>
      <w:r w:rsidRPr="00357C8A">
        <w:rPr>
          <w:rFonts w:eastAsia="Calibri"/>
          <w:u w:val="single"/>
        </w:rPr>
        <w:t>Consequences of Collecting the Information Less Frequently</w:t>
      </w:r>
    </w:p>
    <w:p w:rsidR="00B121AB" w:rsidP="00F171B7" w14:paraId="39A64F4B" w14:textId="77777777">
      <w:pPr>
        <w:rPr>
          <w:rFonts w:ascii="TimesNewRomanPSMT" w:hAnsi="TimesNewRomanPSMT" w:cs="TimesNewRomanPSMT"/>
        </w:rPr>
      </w:pPr>
    </w:p>
    <w:p w:rsidR="00357C8A" w:rsidP="00F171B7" w14:paraId="6971E8F6" w14:textId="7DD39920">
      <w:pPr>
        <w:rPr>
          <w:rFonts w:ascii="TimesNewRomanPSMT" w:hAnsi="TimesNewRomanPSMT" w:cs="TimesNewRomanPSMT"/>
        </w:rPr>
      </w:pPr>
      <w:r>
        <w:rPr>
          <w:rFonts w:ascii="TimesNewRomanPSMT" w:hAnsi="TimesNewRomanPSMT" w:cs="TimesNewRomanPSMT"/>
        </w:rPr>
        <w:t xml:space="preserve">Data collection occurs occasionally.  The data in new requests to be placed on the list are submitted only once.  A business is requested to submit occasional updates if the previously submitted information changes.  In addition, we request that firms update their information biennially.  If the information collection is not conducted, </w:t>
      </w:r>
      <w:r w:rsidR="00387761">
        <w:rPr>
          <w:rFonts w:ascii="TimesNewRomanPSMT" w:hAnsi="TimesNewRomanPSMT" w:cs="TimesNewRomanPSMT"/>
        </w:rPr>
        <w:t>HFP</w:t>
      </w:r>
      <w:r>
        <w:rPr>
          <w:rFonts w:ascii="TimesNewRomanPSMT" w:hAnsi="TimesNewRomanPSMT" w:cs="TimesNewRomanPSMT"/>
        </w:rPr>
        <w:t>-regulated products from firms not on this list could be delayed or prevented by foreign government authorities such as those of Chile, China, or the European Union from entering commerce in their respective countries.</w:t>
      </w:r>
    </w:p>
    <w:p w:rsidR="003616AB" w:rsidRPr="00896CB1" w:rsidP="00F171B7" w14:paraId="4E3A0663" w14:textId="77777777">
      <w:pPr>
        <w:rPr>
          <w:rFonts w:eastAsia="Calibri"/>
          <w:color w:val="000000" w:themeColor="text1"/>
        </w:rPr>
      </w:pPr>
    </w:p>
    <w:p w:rsidR="00357C8A" w:rsidRPr="00357C8A" w:rsidP="00F171B7" w14:paraId="52030C65" w14:textId="77777777">
      <w:pPr>
        <w:numPr>
          <w:ilvl w:val="0"/>
          <w:numId w:val="6"/>
        </w:numPr>
        <w:spacing w:line="276" w:lineRule="auto"/>
        <w:ind w:left="0"/>
        <w:rPr>
          <w:rFonts w:eastAsia="Calibri"/>
        </w:rPr>
      </w:pPr>
      <w:r w:rsidRPr="00357C8A">
        <w:rPr>
          <w:rFonts w:eastAsia="Calibri"/>
          <w:u w:val="single"/>
        </w:rPr>
        <w:t>Special Circumstances Relating to the Guidelines of 5 CFR 1320.5</w:t>
      </w:r>
    </w:p>
    <w:p w:rsidR="003616AB" w:rsidP="00F171B7" w14:paraId="3450C318" w14:textId="77777777">
      <w:pPr>
        <w:rPr>
          <w:rFonts w:eastAsia="Calibri"/>
        </w:rPr>
      </w:pPr>
    </w:p>
    <w:p w:rsidR="00357C8A" w:rsidP="00F171B7" w14:paraId="59FF4F2A" w14:textId="48A31B07">
      <w:pPr>
        <w:rPr>
          <w:rFonts w:eastAsia="Calibri"/>
        </w:rPr>
      </w:pPr>
      <w:r w:rsidRPr="005B4CF3">
        <w:rPr>
          <w:rFonts w:eastAsia="Calibri"/>
        </w:rPr>
        <w:t>There are no special circumstances associated with this collection of information.</w:t>
      </w:r>
    </w:p>
    <w:p w:rsidR="003616AB" w:rsidRPr="00357C8A" w:rsidP="00F171B7" w14:paraId="196CC63C" w14:textId="77777777">
      <w:pPr>
        <w:rPr>
          <w:rFonts w:eastAsia="Calibri"/>
        </w:rPr>
      </w:pPr>
    </w:p>
    <w:p w:rsidR="00357C8A" w:rsidRPr="00357C8A" w:rsidP="00F171B7" w14:paraId="328CDB3F" w14:textId="77777777">
      <w:pPr>
        <w:numPr>
          <w:ilvl w:val="0"/>
          <w:numId w:val="6"/>
        </w:numPr>
        <w:spacing w:line="276" w:lineRule="auto"/>
        <w:ind w:left="0"/>
        <w:rPr>
          <w:rFonts w:eastAsia="Calibri"/>
        </w:rPr>
      </w:pPr>
      <w:r w:rsidRPr="00357C8A">
        <w:rPr>
          <w:rFonts w:eastAsia="Calibri"/>
          <w:u w:val="single"/>
        </w:rPr>
        <w:t>Comments in Response to the Federal Register Notice and Efforts to Consult Outside the Agency</w:t>
      </w:r>
    </w:p>
    <w:p w:rsidR="003616AB" w:rsidP="00F171B7" w14:paraId="119002D0" w14:textId="77777777">
      <w:pPr>
        <w:rPr>
          <w:rFonts w:eastAsia="Calibri"/>
        </w:rPr>
      </w:pPr>
    </w:p>
    <w:p w:rsidR="009973DA" w:rsidP="00F171B7" w14:paraId="666B8E1A" w14:textId="1D61E6A7">
      <w:pPr>
        <w:rPr>
          <w:rFonts w:eastAsia="Calibri"/>
        </w:rPr>
      </w:pPr>
      <w:r w:rsidRPr="001E38EB">
        <w:rPr>
          <w:rFonts w:eastAsia="Calibri"/>
        </w:rPr>
        <w:t xml:space="preserve">In </w:t>
      </w:r>
      <w:r w:rsidRPr="003C5ADE" w:rsidR="003C5ADE">
        <w:rPr>
          <w:rFonts w:eastAsia="Calibri"/>
        </w:rPr>
        <w:t>accordance with 5 CFR 1320.8(d)</w:t>
      </w:r>
      <w:r w:rsidRPr="001E38EB">
        <w:rPr>
          <w:rFonts w:eastAsia="Calibri"/>
        </w:rPr>
        <w:t>, we published a 60-day notice requesting public comment on the proposed collection of information</w:t>
      </w:r>
      <w:r w:rsidRPr="007F7CA4" w:rsidR="007F7CA4">
        <w:rPr>
          <w:rFonts w:eastAsia="Calibri"/>
        </w:rPr>
        <w:t xml:space="preserve"> </w:t>
      </w:r>
      <w:r w:rsidRPr="001E38EB" w:rsidR="007F7CA4">
        <w:rPr>
          <w:rFonts w:eastAsia="Calibri"/>
        </w:rPr>
        <w:t xml:space="preserve">the </w:t>
      </w:r>
      <w:r w:rsidRPr="00E536DA" w:rsidR="007F7CA4">
        <w:rPr>
          <w:rFonts w:eastAsia="Calibri"/>
          <w:i/>
          <w:iCs/>
        </w:rPr>
        <w:t>Federal Register</w:t>
      </w:r>
      <w:r w:rsidRPr="001E38EB" w:rsidR="007F7CA4">
        <w:rPr>
          <w:rFonts w:eastAsia="Calibri"/>
        </w:rPr>
        <w:t xml:space="preserve"> of </w:t>
      </w:r>
      <w:r w:rsidR="007F7CA4">
        <w:rPr>
          <w:rFonts w:eastAsia="Calibri"/>
        </w:rPr>
        <w:t>May</w:t>
      </w:r>
      <w:r w:rsidRPr="001E38EB" w:rsidR="007F7CA4">
        <w:rPr>
          <w:rFonts w:eastAsia="Calibri"/>
        </w:rPr>
        <w:t xml:space="preserve"> </w:t>
      </w:r>
      <w:r w:rsidR="007F7CA4">
        <w:rPr>
          <w:rFonts w:eastAsia="Calibri"/>
        </w:rPr>
        <w:t>1</w:t>
      </w:r>
      <w:r w:rsidRPr="001E38EB" w:rsidR="007F7CA4">
        <w:rPr>
          <w:rFonts w:eastAsia="Calibri"/>
        </w:rPr>
        <w:t>, 202</w:t>
      </w:r>
      <w:r w:rsidR="007F7CA4">
        <w:rPr>
          <w:rFonts w:eastAsia="Calibri"/>
        </w:rPr>
        <w:t>5</w:t>
      </w:r>
      <w:r w:rsidRPr="001E38EB" w:rsidR="007F7CA4">
        <w:rPr>
          <w:rFonts w:eastAsia="Calibri"/>
        </w:rPr>
        <w:t xml:space="preserve"> (</w:t>
      </w:r>
      <w:r w:rsidR="007F7CA4">
        <w:rPr>
          <w:rFonts w:eastAsia="Calibri"/>
        </w:rPr>
        <w:t>90</w:t>
      </w:r>
      <w:r w:rsidRPr="001E38EB" w:rsidR="007F7CA4">
        <w:rPr>
          <w:rFonts w:eastAsia="Calibri"/>
        </w:rPr>
        <w:t xml:space="preserve"> FR </w:t>
      </w:r>
      <w:r w:rsidR="007F7CA4">
        <w:rPr>
          <w:rFonts w:eastAsia="Calibri"/>
        </w:rPr>
        <w:t>18688</w:t>
      </w:r>
      <w:r w:rsidRPr="001E38EB" w:rsidR="007F7CA4">
        <w:rPr>
          <w:rFonts w:eastAsia="Calibri"/>
        </w:rPr>
        <w:t>)</w:t>
      </w:r>
      <w:r w:rsidRPr="001E38EB">
        <w:rPr>
          <w:rFonts w:eastAsia="Calibri"/>
        </w:rPr>
        <w:t xml:space="preserve">.  </w:t>
      </w:r>
      <w:r w:rsidR="00481D52">
        <w:rPr>
          <w:rFonts w:eastAsia="Calibri"/>
        </w:rPr>
        <w:t xml:space="preserve">We received </w:t>
      </w:r>
      <w:r w:rsidR="00E30430">
        <w:rPr>
          <w:rFonts w:eastAsia="Calibri"/>
        </w:rPr>
        <w:t>two responses</w:t>
      </w:r>
      <w:r w:rsidR="003616AB">
        <w:rPr>
          <w:rFonts w:eastAsia="Calibri"/>
        </w:rPr>
        <w:t>, discussed below, and summarized in our 30-day notice.</w:t>
      </w:r>
    </w:p>
    <w:p w:rsidR="003616AB" w:rsidP="00F171B7" w14:paraId="0405E581" w14:textId="77777777">
      <w:pPr>
        <w:rPr>
          <w:rFonts w:eastAsia="Calibri"/>
        </w:rPr>
      </w:pPr>
    </w:p>
    <w:p w:rsidR="00C84701" w:rsidP="00F171B7" w14:paraId="617C5418" w14:textId="77777777">
      <w:pPr>
        <w:rPr>
          <w:rFonts w:eastAsia="Calibri"/>
        </w:rPr>
      </w:pPr>
      <w:r>
        <w:rPr>
          <w:rFonts w:eastAsia="Calibri"/>
        </w:rPr>
        <w:t xml:space="preserve">One comment </w:t>
      </w:r>
      <w:r w:rsidR="00EB0215">
        <w:rPr>
          <w:rFonts w:eastAsia="Calibri"/>
        </w:rPr>
        <w:t>suggested changing</w:t>
      </w:r>
      <w:r w:rsidR="0047796A">
        <w:rPr>
          <w:rFonts w:eastAsia="Calibri"/>
        </w:rPr>
        <w:t xml:space="preserve"> or removing </w:t>
      </w:r>
      <w:r w:rsidR="00FD3DE5">
        <w:rPr>
          <w:rFonts w:eastAsia="Calibri"/>
        </w:rPr>
        <w:t xml:space="preserve">some of the fields </w:t>
      </w:r>
      <w:r w:rsidR="008B597D">
        <w:rPr>
          <w:rFonts w:eastAsia="Calibri"/>
        </w:rPr>
        <w:t xml:space="preserve">of the ELM </w:t>
      </w:r>
      <w:r w:rsidR="00FD3DE5">
        <w:rPr>
          <w:rFonts w:eastAsia="Calibri"/>
        </w:rPr>
        <w:t xml:space="preserve">to </w:t>
      </w:r>
      <w:r w:rsidR="00F2591F">
        <w:rPr>
          <w:rFonts w:eastAsia="Calibri"/>
        </w:rPr>
        <w:t xml:space="preserve">help enhance </w:t>
      </w:r>
      <w:r w:rsidR="0014606D">
        <w:rPr>
          <w:rFonts w:eastAsia="Calibri"/>
        </w:rPr>
        <w:t xml:space="preserve">clarity and </w:t>
      </w:r>
      <w:r w:rsidR="00FD3DE5">
        <w:rPr>
          <w:rFonts w:eastAsia="Calibri"/>
        </w:rPr>
        <w:t>reduce the burden on exporters</w:t>
      </w:r>
      <w:r w:rsidR="00230C52">
        <w:rPr>
          <w:rFonts w:eastAsia="Calibri"/>
        </w:rPr>
        <w:t xml:space="preserve"> and FDA staff.</w:t>
      </w:r>
      <w:r>
        <w:rPr>
          <w:rFonts w:eastAsia="Calibri"/>
        </w:rPr>
        <w:t xml:space="preserve"> </w:t>
      </w:r>
      <w:r w:rsidR="00A2594F">
        <w:rPr>
          <w:rFonts w:eastAsia="Calibri"/>
        </w:rPr>
        <w:t xml:space="preserve"> </w:t>
      </w:r>
      <w:r w:rsidRPr="00A2594F" w:rsidR="00A2594F">
        <w:rPr>
          <w:rFonts w:eastAsia="Calibri"/>
        </w:rPr>
        <w:t xml:space="preserve">FDA periodically reviews and updates the ELM as needed.  </w:t>
      </w:r>
      <w:r w:rsidR="003616AB">
        <w:rPr>
          <w:rFonts w:eastAsia="Calibri"/>
        </w:rPr>
        <w:t xml:space="preserve">Because </w:t>
      </w:r>
      <w:r w:rsidRPr="00A2594F" w:rsidR="00A2594F">
        <w:rPr>
          <w:rFonts w:eastAsia="Calibri"/>
        </w:rPr>
        <w:t xml:space="preserve">FDA developed the ELM to facilitate </w:t>
      </w:r>
      <w:r w:rsidR="00B20DA2">
        <w:rPr>
          <w:rFonts w:eastAsia="Calibri"/>
        </w:rPr>
        <w:t xml:space="preserve">the </w:t>
      </w:r>
      <w:r w:rsidRPr="00A2594F" w:rsidR="00A2594F">
        <w:rPr>
          <w:rFonts w:eastAsia="Calibri"/>
        </w:rPr>
        <w:t>export of food and avoid delay</w:t>
      </w:r>
      <w:r w:rsidR="002B6B9C">
        <w:rPr>
          <w:rFonts w:eastAsia="Calibri"/>
        </w:rPr>
        <w:t xml:space="preserve">, we </w:t>
      </w:r>
      <w:r>
        <w:rPr>
          <w:rFonts w:eastAsia="Calibri"/>
        </w:rPr>
        <w:t>appreciate this comment.  At the same time, we are only able to make updates to our systems as our limited resources allow.</w:t>
      </w:r>
    </w:p>
    <w:p w:rsidR="00C84701" w:rsidP="00F171B7" w14:paraId="1606A41C" w14:textId="77777777">
      <w:pPr>
        <w:rPr>
          <w:rFonts w:eastAsia="Calibri"/>
        </w:rPr>
      </w:pPr>
    </w:p>
    <w:p w:rsidR="00494025" w:rsidP="00F171B7" w14:paraId="73831EBE" w14:textId="77777777">
      <w:pPr>
        <w:rPr>
          <w:rFonts w:eastAsia="Calibri"/>
        </w:rPr>
      </w:pPr>
      <w:r>
        <w:rPr>
          <w:rFonts w:eastAsia="Calibri"/>
        </w:rPr>
        <w:t>While a</w:t>
      </w:r>
      <w:r w:rsidR="00633730">
        <w:rPr>
          <w:rFonts w:eastAsia="Calibri"/>
        </w:rPr>
        <w:t>nother comment suggested creating a single standardized list for all establishments</w:t>
      </w:r>
      <w:r>
        <w:rPr>
          <w:rFonts w:eastAsia="Calibri"/>
        </w:rPr>
        <w:t xml:space="preserve">; because </w:t>
      </w:r>
      <w:r w:rsidR="00D228D4">
        <w:rPr>
          <w:rFonts w:eastAsia="Calibri"/>
        </w:rPr>
        <w:t xml:space="preserve">FDA needs to maintain more than one list as </w:t>
      </w:r>
      <w:r w:rsidRPr="00335091" w:rsidR="00335091">
        <w:rPr>
          <w:rFonts w:eastAsia="Calibri"/>
        </w:rPr>
        <w:t xml:space="preserve">foreign governments </w:t>
      </w:r>
      <w:r w:rsidR="00335091">
        <w:rPr>
          <w:rFonts w:eastAsia="Calibri"/>
        </w:rPr>
        <w:t>have different requirements for imported food</w:t>
      </w:r>
      <w:r>
        <w:rPr>
          <w:rFonts w:eastAsia="Calibri"/>
        </w:rPr>
        <w:t xml:space="preserve">, we are unable to implement such a </w:t>
      </w:r>
      <w:r>
        <w:rPr>
          <w:rFonts w:eastAsia="Calibri"/>
        </w:rPr>
        <w:t>suggestion at this time</w:t>
      </w:r>
      <w:r w:rsidR="00335091">
        <w:rPr>
          <w:rFonts w:eastAsia="Calibri"/>
        </w:rPr>
        <w:t>.</w:t>
      </w:r>
    </w:p>
    <w:p w:rsidR="00494025" w:rsidP="00F171B7" w14:paraId="01FE6834" w14:textId="77777777">
      <w:pPr>
        <w:rPr>
          <w:rFonts w:eastAsia="Calibri"/>
        </w:rPr>
      </w:pPr>
    </w:p>
    <w:p w:rsidR="00D112D2" w:rsidP="00F171B7" w14:paraId="695C728B" w14:textId="5B46AFF7">
      <w:pPr>
        <w:rPr>
          <w:rFonts w:eastAsia="Calibri"/>
        </w:rPr>
      </w:pPr>
      <w:r>
        <w:rPr>
          <w:rFonts w:eastAsia="Calibri"/>
        </w:rPr>
        <w:t xml:space="preserve">Finally, </w:t>
      </w:r>
      <w:r w:rsidR="006E23C8">
        <w:rPr>
          <w:rFonts w:eastAsia="Calibri"/>
        </w:rPr>
        <w:t xml:space="preserve">another comment </w:t>
      </w:r>
      <w:r w:rsidR="000B51DE">
        <w:rPr>
          <w:rFonts w:eastAsia="Calibri"/>
        </w:rPr>
        <w:t xml:space="preserve">proffered scientific information pertaining to </w:t>
      </w:r>
      <w:r w:rsidR="006E23C8">
        <w:rPr>
          <w:rFonts w:eastAsia="Calibri"/>
        </w:rPr>
        <w:t xml:space="preserve">vaccines and FDA committee meetings, </w:t>
      </w:r>
      <w:r w:rsidR="000B51DE">
        <w:rPr>
          <w:rFonts w:eastAsia="Calibri"/>
        </w:rPr>
        <w:t xml:space="preserve">which </w:t>
      </w:r>
      <w:r w:rsidR="006E23C8">
        <w:rPr>
          <w:rFonts w:eastAsia="Calibri"/>
        </w:rPr>
        <w:t>we believe was erroneously posted to docket</w:t>
      </w:r>
      <w:r w:rsidR="000B51DE">
        <w:rPr>
          <w:rFonts w:eastAsia="Calibri"/>
        </w:rPr>
        <w:t xml:space="preserve"> FDA </w:t>
      </w:r>
      <w:r w:rsidR="006E23C8">
        <w:rPr>
          <w:rFonts w:eastAsia="Calibri"/>
        </w:rPr>
        <w:t>.  However, FDA’s Dockets Management Branch continues to hold the comment</w:t>
      </w:r>
      <w:r>
        <w:rPr>
          <w:rFonts w:eastAsia="Calibri"/>
        </w:rPr>
        <w:t xml:space="preserve"> for posting to an appropriate docket.</w:t>
      </w:r>
    </w:p>
    <w:p w:rsidR="0094601B" w:rsidP="00F171B7" w14:paraId="208C13E1" w14:textId="083F5DCE">
      <w:pPr>
        <w:rPr>
          <w:rFonts w:eastAsia="Calibri"/>
        </w:rPr>
      </w:pPr>
      <w:r>
        <w:rPr>
          <w:rFonts w:eastAsia="Calibri"/>
        </w:rPr>
        <w:t xml:space="preserve">  </w:t>
      </w:r>
    </w:p>
    <w:p w:rsidR="00357C8A" w:rsidRPr="00357C8A" w:rsidP="00F171B7" w14:paraId="33375A39" w14:textId="77777777">
      <w:pPr>
        <w:numPr>
          <w:ilvl w:val="0"/>
          <w:numId w:val="6"/>
        </w:numPr>
        <w:spacing w:line="276" w:lineRule="auto"/>
        <w:ind w:left="0"/>
        <w:rPr>
          <w:rFonts w:eastAsia="Calibri"/>
        </w:rPr>
      </w:pPr>
      <w:r w:rsidRPr="00357C8A">
        <w:rPr>
          <w:rFonts w:eastAsia="Calibri"/>
          <w:u w:val="single"/>
        </w:rPr>
        <w:t>Explanation of Any Payment or Gift to Respondents</w:t>
      </w:r>
    </w:p>
    <w:p w:rsidR="00D112D2" w:rsidP="00F171B7" w14:paraId="58C9E3D1" w14:textId="77777777">
      <w:pPr>
        <w:rPr>
          <w:rFonts w:eastAsia="Calibri"/>
        </w:rPr>
      </w:pPr>
    </w:p>
    <w:p w:rsidR="00357C8A" w:rsidP="00F171B7" w14:paraId="543FFD3A" w14:textId="65BB2D68">
      <w:pPr>
        <w:rPr>
          <w:rFonts w:eastAsia="Calibri"/>
        </w:rPr>
      </w:pPr>
      <w:r w:rsidRPr="002074FE">
        <w:rPr>
          <w:rFonts w:eastAsia="Calibri"/>
        </w:rPr>
        <w:t>There are no incentives, payments or gifts associated with this information collection.</w:t>
      </w:r>
    </w:p>
    <w:p w:rsidR="00D112D2" w:rsidRPr="00896CB1" w:rsidP="00F171B7" w14:paraId="2CD99B07" w14:textId="77777777">
      <w:pPr>
        <w:rPr>
          <w:rFonts w:eastAsia="Calibri"/>
          <w:color w:val="000000" w:themeColor="text1"/>
        </w:rPr>
      </w:pPr>
    </w:p>
    <w:p w:rsidR="00357C8A" w:rsidRPr="00357C8A" w:rsidP="00F171B7" w14:paraId="35E277CE" w14:textId="77777777">
      <w:pPr>
        <w:numPr>
          <w:ilvl w:val="0"/>
          <w:numId w:val="6"/>
        </w:numPr>
        <w:spacing w:line="276" w:lineRule="auto"/>
        <w:ind w:left="0"/>
        <w:rPr>
          <w:rFonts w:eastAsia="Calibri"/>
        </w:rPr>
      </w:pPr>
      <w:r w:rsidRPr="00357C8A">
        <w:rPr>
          <w:rFonts w:eastAsia="Calibri"/>
          <w:u w:val="single"/>
        </w:rPr>
        <w:t>Assurance of Confidentiality Provided to Respondents</w:t>
      </w:r>
    </w:p>
    <w:p w:rsidR="003F5E69" w:rsidP="00F171B7" w14:paraId="7199767E" w14:textId="77777777"/>
    <w:p w:rsidR="003F5E69" w:rsidRPr="003F5E69" w:rsidP="00F171B7" w14:paraId="4CCFAD72" w14:textId="77777777">
      <w:pPr>
        <w:rPr>
          <w:i/>
          <w:iCs/>
        </w:rPr>
      </w:pPr>
      <w:r w:rsidRPr="003F5E69">
        <w:rPr>
          <w:i/>
          <w:iCs/>
        </w:rPr>
        <w:t>The Privacy Act of 1974</w:t>
      </w:r>
    </w:p>
    <w:p w:rsidR="001016CE" w:rsidP="00F171B7" w14:paraId="5B61819D" w14:textId="77777777"/>
    <w:p w:rsidR="00A6753A" w:rsidP="00F171B7" w14:paraId="25412054" w14:textId="77777777">
      <w:pPr>
        <w:rPr>
          <w:color w:val="000000"/>
        </w:rPr>
      </w:pPr>
      <w:r w:rsidRPr="004C1756">
        <w:t xml:space="preserve">In preparing this </w:t>
      </w:r>
      <w:r>
        <w:t>s</w:t>
      </w:r>
      <w:r w:rsidRPr="004C1756">
        <w:t xml:space="preserve">upporting </w:t>
      </w:r>
      <w:r>
        <w:t>s</w:t>
      </w:r>
      <w:r w:rsidRPr="004C1756">
        <w:t>tatement, we consulted our Privacy Office to ensure appropriate identification and handling of information collected.</w:t>
      </w:r>
      <w:r w:rsidR="001016CE">
        <w:t xml:space="preserve">  Although the </w:t>
      </w:r>
      <w:r w:rsidRPr="004C1756">
        <w:t>ICR collects PII</w:t>
      </w:r>
      <w:r>
        <w:t xml:space="preserve"> </w:t>
      </w:r>
      <w:r w:rsidRPr="004C1756">
        <w:t xml:space="preserve">in the context of the subject </w:t>
      </w:r>
      <w:r w:rsidRPr="009D293E">
        <w:rPr>
          <w:color w:val="000000"/>
        </w:rPr>
        <w:t>individuals’ professional capacity and the FDA-related work perform</w:t>
      </w:r>
      <w:r>
        <w:rPr>
          <w:color w:val="000000"/>
        </w:rPr>
        <w:t>ed</w:t>
      </w:r>
      <w:r w:rsidRPr="009D293E">
        <w:rPr>
          <w:color w:val="000000"/>
        </w:rPr>
        <w:t xml:space="preserve"> for their employer (e.g., point of contact at a regulated entity).  </w:t>
      </w:r>
      <w:r w:rsidRPr="001016CE" w:rsidR="001016CE">
        <w:rPr>
          <w:color w:val="000000"/>
        </w:rPr>
        <w:t>Any personally identifiable information (PII) collected is used for communication purposes only.  PII will not be referenced in FDA policy documents or shared with any other agency or foreign governments.  FDA generally only uses PII such as names, addresses, and email addresses to communicate with stakeholders and answer queries/clarifications.  No assurance of confidentiality is provided.  As noted in the referenced guidance documents, FDA considers the information contained in the lists, which is given voluntarily with the understanding that it will be posted on FDA’s website and communicated to foreign governments</w:t>
      </w:r>
      <w:r>
        <w:rPr>
          <w:color w:val="000000"/>
        </w:rPr>
        <w:t>.</w:t>
      </w:r>
    </w:p>
    <w:p w:rsidR="00404559" w:rsidP="00F171B7" w14:paraId="67597C50" w14:textId="452B329A">
      <w:r w:rsidRPr="009D293E">
        <w:rPr>
          <w:color w:val="000000"/>
        </w:rPr>
        <w:t xml:space="preserve">The PII submitted via </w:t>
      </w:r>
      <w:r w:rsidRPr="00A6753A">
        <w:rPr>
          <w:b/>
          <w:bCs/>
          <w:color w:val="000000"/>
        </w:rPr>
        <w:t>Form FDA 3972</w:t>
      </w:r>
      <w:r w:rsidRPr="009D293E">
        <w:rPr>
          <w:color w:val="000000"/>
        </w:rPr>
        <w:t xml:space="preserve"> is name, email address, telephone number, fax number, username, and password.</w:t>
      </w:r>
      <w:r>
        <w:rPr>
          <w:color w:val="FF0000"/>
        </w:rPr>
        <w:t xml:space="preserve">  </w:t>
      </w:r>
      <w:r w:rsidR="0013755D">
        <w:t>FDA</w:t>
      </w:r>
      <w:r>
        <w:t xml:space="preserve"> </w:t>
      </w:r>
      <w:r w:rsidRPr="004C1756">
        <w:t>determined that although PII is collected</w:t>
      </w:r>
      <w:r>
        <w:t xml:space="preserve">, the collection </w:t>
      </w:r>
      <w:r w:rsidRPr="004C1756">
        <w:t>is not subject to the Privacy Act of 1974</w:t>
      </w:r>
      <w:r>
        <w:t>,</w:t>
      </w:r>
      <w:r w:rsidRPr="004C1756">
        <w:t xml:space="preserve"> and the particular notice and other requirements of the</w:t>
      </w:r>
      <w:r>
        <w:t xml:space="preserve"> Privacy</w:t>
      </w:r>
      <w:r w:rsidRPr="004C1756">
        <w:t xml:space="preserve"> Act do not apply. </w:t>
      </w:r>
      <w:r>
        <w:t xml:space="preserve"> </w:t>
      </w:r>
      <w:r w:rsidRPr="004C1756">
        <w:t>Specifically, FDA</w:t>
      </w:r>
      <w:r>
        <w:t xml:space="preserve"> does</w:t>
      </w:r>
      <w:r w:rsidRPr="004C1756">
        <w:t xml:space="preserve"> not use name or any other personal identifier to retrieve records from the information collected.</w:t>
      </w:r>
      <w:r>
        <w:t xml:space="preserve">  </w:t>
      </w:r>
      <w:r w:rsidRPr="004C1756">
        <w:t xml:space="preserve">Through appropriate </w:t>
      </w:r>
      <w:r w:rsidRPr="009D293E">
        <w:rPr>
          <w:color w:val="000000"/>
        </w:rPr>
        <w:t>form design, FDA</w:t>
      </w:r>
      <w:r>
        <w:rPr>
          <w:color w:val="000000"/>
        </w:rPr>
        <w:t xml:space="preserve"> </w:t>
      </w:r>
      <w:r w:rsidRPr="009D293E">
        <w:rPr>
          <w:color w:val="000000"/>
        </w:rPr>
        <w:t>limited submission fields and</w:t>
      </w:r>
      <w:r w:rsidRPr="004C1756">
        <w:t xml:space="preserve"> minimized the PII collected to protect the privacy of the individuals</w:t>
      </w:r>
      <w:r>
        <w:t>.</w:t>
      </w:r>
    </w:p>
    <w:p w:rsidR="00404559" w:rsidP="00F171B7" w14:paraId="6F02FB8D" w14:textId="77777777"/>
    <w:p w:rsidR="009D73A4" w:rsidRPr="00114C0B" w:rsidP="00F171B7" w14:paraId="6F1FDC86" w14:textId="47A754F8">
      <w:pPr>
        <w:rPr>
          <w:i/>
          <w:iCs/>
        </w:rPr>
      </w:pPr>
      <w:r w:rsidRPr="00114C0B">
        <w:rPr>
          <w:i/>
          <w:iCs/>
        </w:rPr>
        <w:t>Freedom of Information Act (FOIA)</w:t>
      </w:r>
    </w:p>
    <w:p w:rsidR="00CF38D2" w:rsidP="00F171B7" w14:paraId="19F28CED" w14:textId="77777777"/>
    <w:p w:rsidR="00357C8A" w:rsidRPr="00896CB1" w:rsidP="00F171B7" w14:paraId="6EB2D1B1" w14:textId="5A86D6BF">
      <w:pPr>
        <w:rPr>
          <w:rFonts w:eastAsia="Calibri"/>
          <w:color w:val="000000" w:themeColor="text1"/>
        </w:rPr>
      </w:pPr>
      <w:r w:rsidRPr="004C1756">
        <w:t xml:space="preserve">Under FOIA (5 U.S.C. 552), the public has broad access to government documents. </w:t>
      </w:r>
      <w:r>
        <w:t xml:space="preserve"> </w:t>
      </w:r>
      <w:r w:rsidRPr="004C1756">
        <w:t xml:space="preserve">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001075D3" w:rsidRPr="00896CB1" w:rsidP="00F171B7" w14:paraId="5D236E1B" w14:textId="77777777">
      <w:pPr>
        <w:rPr>
          <w:color w:val="000000" w:themeColor="text1"/>
        </w:rPr>
      </w:pPr>
    </w:p>
    <w:p w:rsidR="00357C8A" w:rsidRPr="00357C8A" w:rsidP="00F171B7" w14:paraId="3343F6EC" w14:textId="77777777">
      <w:pPr>
        <w:numPr>
          <w:ilvl w:val="0"/>
          <w:numId w:val="6"/>
        </w:numPr>
        <w:spacing w:line="276" w:lineRule="auto"/>
        <w:ind w:left="0"/>
        <w:rPr>
          <w:rFonts w:eastAsia="Calibri"/>
        </w:rPr>
      </w:pPr>
      <w:r w:rsidRPr="00357C8A">
        <w:rPr>
          <w:rFonts w:eastAsia="Calibri"/>
          <w:u w:val="single"/>
        </w:rPr>
        <w:t>Justification for Sensitive Questions</w:t>
      </w:r>
    </w:p>
    <w:p w:rsidR="00A6753A" w:rsidP="00F171B7" w14:paraId="4083FCD9" w14:textId="77777777">
      <w:pPr>
        <w:rPr>
          <w:rFonts w:eastAsia="Calibri"/>
        </w:rPr>
      </w:pPr>
    </w:p>
    <w:p w:rsidR="00357C8A" w:rsidP="00F171B7" w14:paraId="1A3E206A" w14:textId="71F15566">
      <w:pPr>
        <w:rPr>
          <w:rFonts w:eastAsia="Calibri"/>
          <w:color w:val="000000" w:themeColor="text1"/>
        </w:rPr>
      </w:pPr>
      <w:r w:rsidRPr="00162D0E">
        <w:rPr>
          <w:rFonts w:eastAsia="Calibri"/>
        </w:rPr>
        <w:t>This information collection does not involve questions that are of a personally sensitive nature</w:t>
      </w:r>
      <w:r w:rsidRPr="00896CB1">
        <w:rPr>
          <w:rFonts w:eastAsia="Calibri"/>
          <w:color w:val="000000" w:themeColor="text1"/>
        </w:rPr>
        <w:t>.</w:t>
      </w:r>
    </w:p>
    <w:p w:rsidR="00A6753A" w:rsidRPr="00896CB1" w:rsidP="00F171B7" w14:paraId="33A9A0B9" w14:textId="77777777">
      <w:pPr>
        <w:rPr>
          <w:rFonts w:eastAsia="Calibri"/>
          <w:color w:val="000000" w:themeColor="text1"/>
        </w:rPr>
      </w:pPr>
    </w:p>
    <w:p w:rsidR="00357C8A" w:rsidRPr="00357C8A" w:rsidP="00F171B7" w14:paraId="5C6E3FA6" w14:textId="77777777">
      <w:pPr>
        <w:numPr>
          <w:ilvl w:val="0"/>
          <w:numId w:val="6"/>
        </w:numPr>
        <w:spacing w:line="276" w:lineRule="auto"/>
        <w:ind w:left="0"/>
        <w:rPr>
          <w:rFonts w:eastAsia="Calibri"/>
          <w:u w:val="single"/>
        </w:rPr>
      </w:pPr>
      <w:r w:rsidRPr="00357C8A">
        <w:rPr>
          <w:rFonts w:eastAsia="Calibri"/>
          <w:u w:val="single"/>
        </w:rPr>
        <w:t>Estimates of Annualized Burden Hours and Cost</w:t>
      </w:r>
    </w:p>
    <w:p w:rsidR="00A6753A" w:rsidP="00F171B7" w14:paraId="529EC187" w14:textId="77777777">
      <w:pPr>
        <w:rPr>
          <w:rFonts w:eastAsia="Calibri"/>
        </w:rPr>
      </w:pPr>
    </w:p>
    <w:p w:rsidR="00357C8A" w:rsidRPr="00A6753A" w:rsidP="00E564DD" w14:paraId="0C8CA58A" w14:textId="2287E667">
      <w:pPr>
        <w:ind w:firstLine="720"/>
        <w:rPr>
          <w:rFonts w:eastAsia="Calibri"/>
          <w:i/>
          <w:iCs/>
        </w:rPr>
      </w:pPr>
      <w:r w:rsidRPr="00A6753A">
        <w:rPr>
          <w:rFonts w:eastAsia="Calibri"/>
          <w:i/>
          <w:iCs/>
        </w:rPr>
        <w:t>12a.  Annualized Hour Burden Estimate</w:t>
      </w:r>
    </w:p>
    <w:p w:rsidR="00E564DD" w:rsidP="00F171B7" w14:paraId="48E328A1" w14:textId="77777777">
      <w:pPr>
        <w:contextualSpacing/>
        <w:jc w:val="center"/>
        <w:rPr>
          <w:sz w:val="20"/>
          <w:szCs w:val="20"/>
        </w:rPr>
      </w:pPr>
      <w:bookmarkStart w:id="3" w:name="_Hlk96626138"/>
    </w:p>
    <w:p w:rsidR="00D168F1" w:rsidRPr="00162D0E" w:rsidP="00F171B7" w14:paraId="1C26F582" w14:textId="2FBB8B7E">
      <w:pPr>
        <w:contextualSpacing/>
        <w:jc w:val="center"/>
      </w:pPr>
      <w:r w:rsidRPr="00162D0E">
        <w:rPr>
          <w:sz w:val="20"/>
          <w:szCs w:val="20"/>
        </w:rPr>
        <w:t>Table 1.--Estimated Annual Reporting Burden</w:t>
      </w:r>
      <w:r w:rsidRPr="00162D0E">
        <w:rPr>
          <w:sz w:val="20"/>
          <w:szCs w:val="20"/>
          <w:vertAlign w:val="superscript"/>
        </w:rPr>
        <w:t>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3"/>
        <w:gridCol w:w="1530"/>
        <w:gridCol w:w="1440"/>
        <w:gridCol w:w="1350"/>
        <w:gridCol w:w="1620"/>
        <w:gridCol w:w="1237"/>
      </w:tblGrid>
      <w:tr w14:paraId="54B0FA25" w14:textId="77777777" w:rsidTr="00B35D14">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363" w:type="dxa"/>
            <w:shd w:val="clear" w:color="auto" w:fill="auto"/>
          </w:tcPr>
          <w:bookmarkEnd w:id="3"/>
          <w:p w:rsidR="00D168F1" w:rsidRPr="00162D0E" w:rsidP="00F171B7" w14:paraId="1DA52FEE" w14:textId="77777777">
            <w:pPr>
              <w:jc w:val="center"/>
              <w:rPr>
                <w:rFonts w:eastAsia="Arial Unicode MS"/>
                <w:sz w:val="20"/>
                <w:szCs w:val="20"/>
              </w:rPr>
            </w:pPr>
            <w:r w:rsidRPr="00162D0E">
              <w:rPr>
                <w:rFonts w:eastAsia="Arial Unicode MS"/>
                <w:sz w:val="20"/>
                <w:szCs w:val="20"/>
              </w:rPr>
              <w:t>Activity</w:t>
            </w:r>
          </w:p>
        </w:tc>
        <w:tc>
          <w:tcPr>
            <w:tcW w:w="1530" w:type="dxa"/>
            <w:shd w:val="clear" w:color="auto" w:fill="auto"/>
          </w:tcPr>
          <w:p w:rsidR="00D168F1" w:rsidRPr="00162D0E" w:rsidP="00F171B7" w14:paraId="652C7DAC" w14:textId="77777777">
            <w:pPr>
              <w:jc w:val="center"/>
              <w:rPr>
                <w:rFonts w:eastAsia="Arial Unicode MS"/>
                <w:sz w:val="20"/>
                <w:szCs w:val="20"/>
              </w:rPr>
            </w:pPr>
            <w:r w:rsidRPr="00162D0E">
              <w:rPr>
                <w:rFonts w:eastAsia="Arial Unicode MS"/>
                <w:sz w:val="20"/>
                <w:szCs w:val="20"/>
              </w:rPr>
              <w:t>No. of Respondents</w:t>
            </w:r>
          </w:p>
        </w:tc>
        <w:tc>
          <w:tcPr>
            <w:tcW w:w="1440" w:type="dxa"/>
            <w:shd w:val="clear" w:color="auto" w:fill="auto"/>
          </w:tcPr>
          <w:p w:rsidR="00D168F1" w:rsidRPr="00162D0E" w:rsidP="00F171B7" w14:paraId="76DE22DF" w14:textId="77777777">
            <w:pPr>
              <w:jc w:val="center"/>
              <w:rPr>
                <w:rFonts w:eastAsia="Arial Unicode MS"/>
                <w:sz w:val="20"/>
                <w:szCs w:val="20"/>
              </w:rPr>
            </w:pPr>
            <w:r w:rsidRPr="00162D0E">
              <w:rPr>
                <w:rFonts w:eastAsia="Arial Unicode MS"/>
                <w:sz w:val="20"/>
                <w:szCs w:val="20"/>
              </w:rPr>
              <w:t>No. of Responses per Respondent</w:t>
            </w:r>
          </w:p>
        </w:tc>
        <w:tc>
          <w:tcPr>
            <w:tcW w:w="1350" w:type="dxa"/>
            <w:shd w:val="clear" w:color="auto" w:fill="auto"/>
          </w:tcPr>
          <w:p w:rsidR="00D168F1" w:rsidRPr="00162D0E" w:rsidP="00F171B7" w14:paraId="42ECBAB9" w14:textId="77777777">
            <w:pPr>
              <w:jc w:val="center"/>
              <w:rPr>
                <w:rFonts w:eastAsia="Arial Unicode MS"/>
                <w:sz w:val="20"/>
                <w:szCs w:val="20"/>
              </w:rPr>
            </w:pPr>
            <w:r w:rsidRPr="00162D0E">
              <w:rPr>
                <w:rFonts w:eastAsia="Arial Unicode MS"/>
                <w:sz w:val="20"/>
                <w:szCs w:val="20"/>
              </w:rPr>
              <w:t>Total Annual Responses</w:t>
            </w:r>
          </w:p>
        </w:tc>
        <w:tc>
          <w:tcPr>
            <w:tcW w:w="1620" w:type="dxa"/>
            <w:shd w:val="clear" w:color="auto" w:fill="auto"/>
          </w:tcPr>
          <w:p w:rsidR="00D168F1" w:rsidP="00F171B7" w14:paraId="0EC432D6" w14:textId="77777777">
            <w:pPr>
              <w:jc w:val="center"/>
              <w:rPr>
                <w:rFonts w:eastAsia="Arial Unicode MS"/>
                <w:sz w:val="20"/>
                <w:szCs w:val="20"/>
              </w:rPr>
            </w:pPr>
            <w:r w:rsidRPr="00162D0E">
              <w:rPr>
                <w:rFonts w:eastAsia="Arial Unicode MS"/>
                <w:sz w:val="20"/>
                <w:szCs w:val="20"/>
              </w:rPr>
              <w:t>Average Burden per Response</w:t>
            </w:r>
          </w:p>
          <w:p w:rsidR="00D168F1" w:rsidRPr="00162D0E" w:rsidP="00F171B7" w14:paraId="17DEF73D" w14:textId="77777777">
            <w:pPr>
              <w:jc w:val="center"/>
              <w:rPr>
                <w:rFonts w:eastAsia="Arial Unicode MS"/>
                <w:sz w:val="20"/>
                <w:szCs w:val="20"/>
              </w:rPr>
            </w:pPr>
            <w:r>
              <w:rPr>
                <w:rFonts w:eastAsia="Arial Unicode MS"/>
                <w:sz w:val="20"/>
                <w:szCs w:val="20"/>
              </w:rPr>
              <w:t>(hours)</w:t>
            </w:r>
          </w:p>
        </w:tc>
        <w:tc>
          <w:tcPr>
            <w:tcW w:w="1237" w:type="dxa"/>
            <w:shd w:val="clear" w:color="auto" w:fill="auto"/>
          </w:tcPr>
          <w:p w:rsidR="00D168F1" w:rsidRPr="00162D0E" w:rsidP="00F171B7" w14:paraId="5FBF9B2D" w14:textId="77777777">
            <w:pPr>
              <w:jc w:val="center"/>
              <w:rPr>
                <w:rFonts w:eastAsia="Arial Unicode MS"/>
                <w:sz w:val="20"/>
                <w:szCs w:val="20"/>
              </w:rPr>
            </w:pPr>
            <w:r w:rsidRPr="00162D0E">
              <w:rPr>
                <w:rFonts w:eastAsia="Arial Unicode MS"/>
                <w:sz w:val="20"/>
                <w:szCs w:val="20"/>
              </w:rPr>
              <w:t>Total Hours</w:t>
            </w:r>
          </w:p>
        </w:tc>
      </w:tr>
      <w:tr w14:paraId="5A4BB9C2" w14:textId="77777777" w:rsidTr="00B35D14">
        <w:tblPrEx>
          <w:tblW w:w="0" w:type="auto"/>
          <w:tblInd w:w="-5" w:type="dxa"/>
          <w:tblLayout w:type="fixed"/>
          <w:tblLook w:val="0000"/>
        </w:tblPrEx>
        <w:tc>
          <w:tcPr>
            <w:tcW w:w="2363" w:type="dxa"/>
            <w:shd w:val="clear" w:color="auto" w:fill="auto"/>
          </w:tcPr>
          <w:p w:rsidR="00D168F1" w:rsidRPr="00162D0E" w:rsidP="00F171B7" w14:paraId="24792D64" w14:textId="77777777">
            <w:pPr>
              <w:rPr>
                <w:rFonts w:eastAsia="Arial Unicode MS"/>
                <w:sz w:val="20"/>
                <w:szCs w:val="20"/>
              </w:rPr>
            </w:pPr>
            <w:r w:rsidRPr="00162D0E">
              <w:rPr>
                <w:rFonts w:eastAsia="Arial Unicode MS"/>
                <w:sz w:val="20"/>
                <w:szCs w:val="20"/>
              </w:rPr>
              <w:t>New request</w:t>
            </w:r>
          </w:p>
        </w:tc>
        <w:tc>
          <w:tcPr>
            <w:tcW w:w="1530" w:type="dxa"/>
            <w:shd w:val="clear" w:color="auto" w:fill="auto"/>
          </w:tcPr>
          <w:p w:rsidR="00D168F1" w:rsidRPr="00162D0E" w:rsidP="00F171B7" w14:paraId="57CF27E6" w14:textId="77777777">
            <w:pPr>
              <w:jc w:val="right"/>
              <w:rPr>
                <w:rFonts w:eastAsia="Arial Unicode MS"/>
                <w:sz w:val="20"/>
                <w:szCs w:val="20"/>
              </w:rPr>
            </w:pPr>
            <w:r>
              <w:rPr>
                <w:rFonts w:eastAsia="Arial Unicode MS"/>
                <w:sz w:val="20"/>
                <w:szCs w:val="20"/>
              </w:rPr>
              <w:t>167</w:t>
            </w:r>
          </w:p>
        </w:tc>
        <w:tc>
          <w:tcPr>
            <w:tcW w:w="1440" w:type="dxa"/>
            <w:shd w:val="clear" w:color="auto" w:fill="auto"/>
          </w:tcPr>
          <w:p w:rsidR="00D168F1" w:rsidRPr="00162D0E" w:rsidP="00F171B7" w14:paraId="413A82D6" w14:textId="77777777">
            <w:pPr>
              <w:jc w:val="right"/>
              <w:rPr>
                <w:rFonts w:eastAsia="Arial Unicode MS"/>
                <w:sz w:val="20"/>
                <w:szCs w:val="20"/>
              </w:rPr>
            </w:pPr>
            <w:r>
              <w:rPr>
                <w:rFonts w:eastAsia="Arial Unicode MS"/>
                <w:sz w:val="20"/>
                <w:szCs w:val="20"/>
              </w:rPr>
              <w:tab/>
              <w:t>5</w:t>
            </w:r>
          </w:p>
        </w:tc>
        <w:tc>
          <w:tcPr>
            <w:tcW w:w="1350" w:type="dxa"/>
            <w:shd w:val="clear" w:color="auto" w:fill="auto"/>
          </w:tcPr>
          <w:p w:rsidR="00D168F1" w:rsidRPr="00162D0E" w:rsidP="00F171B7" w14:paraId="7CBA353D" w14:textId="77777777">
            <w:pPr>
              <w:jc w:val="right"/>
              <w:rPr>
                <w:rFonts w:eastAsia="Arial Unicode MS"/>
                <w:sz w:val="20"/>
                <w:szCs w:val="20"/>
              </w:rPr>
            </w:pPr>
            <w:r>
              <w:rPr>
                <w:rFonts w:eastAsia="Arial Unicode MS"/>
                <w:sz w:val="20"/>
                <w:szCs w:val="20"/>
              </w:rPr>
              <w:t>835</w:t>
            </w:r>
          </w:p>
        </w:tc>
        <w:tc>
          <w:tcPr>
            <w:tcW w:w="1620" w:type="dxa"/>
            <w:shd w:val="clear" w:color="auto" w:fill="auto"/>
          </w:tcPr>
          <w:p w:rsidR="00D168F1" w:rsidRPr="00162D0E" w:rsidP="00F171B7" w14:paraId="0E995BC6" w14:textId="77777777">
            <w:pPr>
              <w:jc w:val="right"/>
              <w:rPr>
                <w:rFonts w:eastAsia="Arial Unicode MS"/>
                <w:sz w:val="20"/>
                <w:szCs w:val="20"/>
              </w:rPr>
            </w:pPr>
            <w:r w:rsidRPr="00162D0E">
              <w:rPr>
                <w:rFonts w:eastAsia="Arial Unicode MS"/>
                <w:sz w:val="20"/>
                <w:szCs w:val="20"/>
              </w:rPr>
              <w:t>1</w:t>
            </w:r>
          </w:p>
        </w:tc>
        <w:tc>
          <w:tcPr>
            <w:tcW w:w="1237" w:type="dxa"/>
            <w:shd w:val="clear" w:color="auto" w:fill="auto"/>
          </w:tcPr>
          <w:p w:rsidR="00D168F1" w:rsidRPr="00162D0E" w:rsidP="00F171B7" w14:paraId="2C628316" w14:textId="77777777">
            <w:pPr>
              <w:jc w:val="right"/>
              <w:rPr>
                <w:rFonts w:eastAsia="Arial Unicode MS"/>
                <w:sz w:val="20"/>
                <w:szCs w:val="20"/>
              </w:rPr>
            </w:pPr>
            <w:r>
              <w:rPr>
                <w:rFonts w:eastAsia="Arial Unicode MS"/>
                <w:sz w:val="20"/>
                <w:szCs w:val="20"/>
              </w:rPr>
              <w:t>835</w:t>
            </w:r>
          </w:p>
        </w:tc>
      </w:tr>
      <w:tr w14:paraId="292C70AC" w14:textId="77777777" w:rsidTr="00B35D14">
        <w:tblPrEx>
          <w:tblW w:w="0" w:type="auto"/>
          <w:tblInd w:w="-5" w:type="dxa"/>
          <w:tblLayout w:type="fixed"/>
          <w:tblLook w:val="0000"/>
        </w:tblPrEx>
        <w:tc>
          <w:tcPr>
            <w:tcW w:w="2363" w:type="dxa"/>
            <w:shd w:val="clear" w:color="auto" w:fill="auto"/>
          </w:tcPr>
          <w:p w:rsidR="00D168F1" w:rsidP="00F171B7" w14:paraId="26222E5B" w14:textId="77777777">
            <w:pPr>
              <w:rPr>
                <w:rFonts w:eastAsia="Arial Unicode MS"/>
                <w:sz w:val="20"/>
                <w:szCs w:val="20"/>
              </w:rPr>
            </w:pPr>
            <w:r>
              <w:rPr>
                <w:rFonts w:eastAsia="Arial Unicode MS"/>
                <w:sz w:val="20"/>
                <w:szCs w:val="20"/>
              </w:rPr>
              <w:t xml:space="preserve">New request + </w:t>
            </w:r>
          </w:p>
          <w:p w:rsidR="00D168F1" w:rsidRPr="00162D0E" w:rsidP="00F171B7" w14:paraId="08591B99" w14:textId="77777777">
            <w:pPr>
              <w:rPr>
                <w:rFonts w:eastAsia="Arial Unicode MS"/>
                <w:sz w:val="20"/>
                <w:szCs w:val="20"/>
              </w:rPr>
            </w:pPr>
            <w:r>
              <w:rPr>
                <w:rFonts w:eastAsia="Arial Unicode MS"/>
                <w:sz w:val="20"/>
                <w:szCs w:val="20"/>
              </w:rPr>
              <w:t>t</w:t>
            </w:r>
            <w:r w:rsidRPr="00162D0E">
              <w:rPr>
                <w:rFonts w:eastAsia="Arial Unicode MS"/>
                <w:sz w:val="20"/>
                <w:szCs w:val="20"/>
              </w:rPr>
              <w:t>hird-party certification</w:t>
            </w:r>
          </w:p>
        </w:tc>
        <w:tc>
          <w:tcPr>
            <w:tcW w:w="1530" w:type="dxa"/>
            <w:shd w:val="clear" w:color="auto" w:fill="auto"/>
          </w:tcPr>
          <w:p w:rsidR="00D168F1" w:rsidRPr="00162D0E" w:rsidP="00F171B7" w14:paraId="5D847B72" w14:textId="77777777">
            <w:pPr>
              <w:jc w:val="right"/>
              <w:rPr>
                <w:rFonts w:eastAsia="Arial Unicode MS"/>
                <w:sz w:val="20"/>
                <w:szCs w:val="20"/>
              </w:rPr>
            </w:pPr>
            <w:r>
              <w:rPr>
                <w:rFonts w:eastAsia="Arial Unicode MS"/>
                <w:sz w:val="20"/>
                <w:szCs w:val="20"/>
              </w:rPr>
              <w:t>85</w:t>
            </w:r>
          </w:p>
        </w:tc>
        <w:tc>
          <w:tcPr>
            <w:tcW w:w="1440" w:type="dxa"/>
            <w:shd w:val="clear" w:color="auto" w:fill="auto"/>
          </w:tcPr>
          <w:p w:rsidR="00D168F1" w:rsidRPr="00162D0E" w:rsidP="00F171B7" w14:paraId="3E80AD77" w14:textId="77777777">
            <w:pPr>
              <w:jc w:val="right"/>
              <w:rPr>
                <w:rFonts w:eastAsia="Arial Unicode MS"/>
                <w:sz w:val="20"/>
                <w:szCs w:val="20"/>
              </w:rPr>
            </w:pPr>
            <w:r>
              <w:rPr>
                <w:rFonts w:eastAsia="Arial Unicode MS"/>
                <w:sz w:val="20"/>
                <w:szCs w:val="20"/>
              </w:rPr>
              <w:t>2</w:t>
            </w:r>
          </w:p>
        </w:tc>
        <w:tc>
          <w:tcPr>
            <w:tcW w:w="1350" w:type="dxa"/>
            <w:shd w:val="clear" w:color="auto" w:fill="auto"/>
          </w:tcPr>
          <w:p w:rsidR="00D168F1" w:rsidRPr="00162D0E" w:rsidP="00F171B7" w14:paraId="698B7B08" w14:textId="77777777">
            <w:pPr>
              <w:jc w:val="right"/>
              <w:rPr>
                <w:rFonts w:eastAsia="Arial Unicode MS"/>
                <w:sz w:val="20"/>
                <w:szCs w:val="20"/>
              </w:rPr>
            </w:pPr>
            <w:r>
              <w:rPr>
                <w:rFonts w:eastAsia="Arial Unicode MS"/>
                <w:sz w:val="20"/>
                <w:szCs w:val="20"/>
              </w:rPr>
              <w:t>170</w:t>
            </w:r>
          </w:p>
        </w:tc>
        <w:tc>
          <w:tcPr>
            <w:tcW w:w="1620" w:type="dxa"/>
            <w:shd w:val="clear" w:color="auto" w:fill="auto"/>
          </w:tcPr>
          <w:p w:rsidR="00D168F1" w:rsidRPr="00162D0E" w:rsidP="00F171B7" w14:paraId="26FBC2B7" w14:textId="77777777">
            <w:pPr>
              <w:jc w:val="right"/>
              <w:rPr>
                <w:rFonts w:eastAsia="Arial Unicode MS"/>
                <w:sz w:val="20"/>
                <w:szCs w:val="20"/>
              </w:rPr>
            </w:pPr>
            <w:r>
              <w:rPr>
                <w:rFonts w:eastAsia="Arial Unicode MS"/>
                <w:sz w:val="20"/>
                <w:szCs w:val="20"/>
              </w:rPr>
              <w:t>22</w:t>
            </w:r>
          </w:p>
        </w:tc>
        <w:tc>
          <w:tcPr>
            <w:tcW w:w="1237" w:type="dxa"/>
            <w:shd w:val="clear" w:color="auto" w:fill="auto"/>
          </w:tcPr>
          <w:p w:rsidR="00D168F1" w:rsidRPr="00162D0E" w:rsidP="00F171B7" w14:paraId="2369B409" w14:textId="77777777">
            <w:pPr>
              <w:jc w:val="right"/>
              <w:rPr>
                <w:rFonts w:eastAsia="Arial Unicode MS"/>
                <w:sz w:val="20"/>
                <w:szCs w:val="20"/>
              </w:rPr>
            </w:pPr>
            <w:r>
              <w:rPr>
                <w:rFonts w:eastAsia="Arial Unicode MS"/>
                <w:sz w:val="20"/>
                <w:szCs w:val="20"/>
              </w:rPr>
              <w:t>3,740</w:t>
            </w:r>
          </w:p>
        </w:tc>
      </w:tr>
      <w:tr w14:paraId="7B723881" w14:textId="77777777" w:rsidTr="00B35D14">
        <w:tblPrEx>
          <w:tblW w:w="0" w:type="auto"/>
          <w:tblInd w:w="-5" w:type="dxa"/>
          <w:tblLayout w:type="fixed"/>
          <w:tblLook w:val="0000"/>
        </w:tblPrEx>
        <w:tc>
          <w:tcPr>
            <w:tcW w:w="2363" w:type="dxa"/>
            <w:shd w:val="clear" w:color="auto" w:fill="auto"/>
          </w:tcPr>
          <w:p w:rsidR="00D168F1" w:rsidRPr="00162D0E" w:rsidP="00F171B7" w14:paraId="28EB4131" w14:textId="77777777">
            <w:pPr>
              <w:rPr>
                <w:rFonts w:eastAsia="Arial Unicode MS"/>
                <w:sz w:val="20"/>
                <w:szCs w:val="20"/>
              </w:rPr>
            </w:pPr>
            <w:r w:rsidRPr="00162D0E">
              <w:rPr>
                <w:rFonts w:eastAsia="Arial Unicode MS"/>
                <w:sz w:val="20"/>
                <w:szCs w:val="20"/>
              </w:rPr>
              <w:t>Biennial update</w:t>
            </w:r>
          </w:p>
        </w:tc>
        <w:tc>
          <w:tcPr>
            <w:tcW w:w="1530" w:type="dxa"/>
            <w:shd w:val="clear" w:color="auto" w:fill="auto"/>
          </w:tcPr>
          <w:p w:rsidR="00D168F1" w:rsidRPr="00162D0E" w:rsidP="00F171B7" w14:paraId="6430ABF2" w14:textId="77777777">
            <w:pPr>
              <w:jc w:val="right"/>
              <w:rPr>
                <w:rFonts w:eastAsia="Arial Unicode MS"/>
                <w:sz w:val="20"/>
                <w:szCs w:val="20"/>
              </w:rPr>
            </w:pPr>
            <w:r>
              <w:rPr>
                <w:rFonts w:eastAsia="Arial Unicode MS"/>
                <w:sz w:val="20"/>
                <w:szCs w:val="20"/>
              </w:rPr>
              <w:t>132</w:t>
            </w:r>
          </w:p>
        </w:tc>
        <w:tc>
          <w:tcPr>
            <w:tcW w:w="1440" w:type="dxa"/>
            <w:shd w:val="clear" w:color="auto" w:fill="auto"/>
          </w:tcPr>
          <w:p w:rsidR="00D168F1" w:rsidRPr="00162D0E" w:rsidP="00F171B7" w14:paraId="3A415721" w14:textId="77777777">
            <w:pPr>
              <w:jc w:val="right"/>
              <w:rPr>
                <w:rFonts w:eastAsia="Arial Unicode MS"/>
                <w:sz w:val="20"/>
                <w:szCs w:val="20"/>
              </w:rPr>
            </w:pPr>
            <w:r>
              <w:rPr>
                <w:rFonts w:eastAsia="Arial Unicode MS"/>
                <w:sz w:val="20"/>
                <w:szCs w:val="20"/>
              </w:rPr>
              <w:t>4</w:t>
            </w:r>
          </w:p>
        </w:tc>
        <w:tc>
          <w:tcPr>
            <w:tcW w:w="1350" w:type="dxa"/>
            <w:shd w:val="clear" w:color="auto" w:fill="auto"/>
          </w:tcPr>
          <w:p w:rsidR="00D168F1" w:rsidRPr="00162D0E" w:rsidP="00F171B7" w14:paraId="77B85C42" w14:textId="77777777">
            <w:pPr>
              <w:jc w:val="right"/>
              <w:rPr>
                <w:rFonts w:eastAsia="Arial Unicode MS"/>
                <w:sz w:val="20"/>
                <w:szCs w:val="20"/>
              </w:rPr>
            </w:pPr>
            <w:r>
              <w:rPr>
                <w:rFonts w:eastAsia="Arial Unicode MS"/>
                <w:sz w:val="20"/>
                <w:szCs w:val="20"/>
              </w:rPr>
              <w:t>528</w:t>
            </w:r>
          </w:p>
        </w:tc>
        <w:tc>
          <w:tcPr>
            <w:tcW w:w="1620" w:type="dxa"/>
            <w:shd w:val="clear" w:color="auto" w:fill="auto"/>
          </w:tcPr>
          <w:p w:rsidR="00D168F1" w:rsidRPr="00162D0E" w:rsidP="00F171B7" w14:paraId="76B856EB" w14:textId="77777777">
            <w:pPr>
              <w:jc w:val="right"/>
              <w:rPr>
                <w:rFonts w:eastAsia="Arial Unicode MS"/>
                <w:sz w:val="20"/>
                <w:szCs w:val="20"/>
              </w:rPr>
            </w:pPr>
            <w:r w:rsidRPr="00162D0E">
              <w:rPr>
                <w:rFonts w:eastAsia="Arial Unicode MS"/>
                <w:sz w:val="20"/>
                <w:szCs w:val="20"/>
              </w:rPr>
              <w:t>0.5</w:t>
            </w:r>
          </w:p>
          <w:p w:rsidR="00D168F1" w:rsidRPr="00162D0E" w:rsidP="00F171B7" w14:paraId="18EB7AD2" w14:textId="77777777">
            <w:pPr>
              <w:jc w:val="right"/>
              <w:rPr>
                <w:rFonts w:eastAsia="Arial Unicode MS"/>
                <w:sz w:val="20"/>
                <w:szCs w:val="20"/>
              </w:rPr>
            </w:pPr>
            <w:r w:rsidRPr="00162D0E">
              <w:rPr>
                <w:rFonts w:eastAsia="Arial Unicode MS"/>
                <w:sz w:val="20"/>
                <w:szCs w:val="20"/>
              </w:rPr>
              <w:t>(30 minutes)</w:t>
            </w:r>
          </w:p>
        </w:tc>
        <w:tc>
          <w:tcPr>
            <w:tcW w:w="1237" w:type="dxa"/>
            <w:shd w:val="clear" w:color="auto" w:fill="auto"/>
          </w:tcPr>
          <w:p w:rsidR="00D168F1" w:rsidRPr="00162D0E" w:rsidP="00F171B7" w14:paraId="1CD39119" w14:textId="77777777">
            <w:pPr>
              <w:jc w:val="right"/>
              <w:rPr>
                <w:rFonts w:eastAsia="Arial Unicode MS"/>
                <w:sz w:val="20"/>
                <w:szCs w:val="20"/>
              </w:rPr>
            </w:pPr>
            <w:r>
              <w:rPr>
                <w:rFonts w:eastAsia="Arial Unicode MS"/>
                <w:sz w:val="20"/>
                <w:szCs w:val="20"/>
              </w:rPr>
              <w:t>264</w:t>
            </w:r>
          </w:p>
        </w:tc>
      </w:tr>
      <w:tr w14:paraId="5486688F" w14:textId="77777777" w:rsidTr="00B35D14">
        <w:tblPrEx>
          <w:tblW w:w="0" w:type="auto"/>
          <w:tblInd w:w="-5" w:type="dxa"/>
          <w:tblLayout w:type="fixed"/>
          <w:tblLook w:val="0000"/>
        </w:tblPrEx>
        <w:tc>
          <w:tcPr>
            <w:tcW w:w="2363" w:type="dxa"/>
            <w:shd w:val="clear" w:color="auto" w:fill="auto"/>
          </w:tcPr>
          <w:p w:rsidR="00D168F1" w:rsidP="00F171B7" w14:paraId="67EEB78E" w14:textId="77777777">
            <w:pPr>
              <w:rPr>
                <w:rFonts w:eastAsia="Arial Unicode MS"/>
                <w:sz w:val="20"/>
                <w:szCs w:val="20"/>
              </w:rPr>
            </w:pPr>
            <w:r>
              <w:rPr>
                <w:rFonts w:eastAsia="Arial Unicode MS"/>
                <w:sz w:val="20"/>
                <w:szCs w:val="20"/>
              </w:rPr>
              <w:t xml:space="preserve">Biennial update + </w:t>
            </w:r>
          </w:p>
          <w:p w:rsidR="00D168F1" w:rsidRPr="00162D0E" w:rsidP="00F171B7" w14:paraId="4C04A4D1" w14:textId="77777777">
            <w:pPr>
              <w:rPr>
                <w:rFonts w:eastAsia="Arial Unicode MS"/>
                <w:sz w:val="20"/>
                <w:szCs w:val="20"/>
              </w:rPr>
            </w:pPr>
            <w:r>
              <w:rPr>
                <w:rFonts w:eastAsia="Arial Unicode MS"/>
                <w:sz w:val="20"/>
                <w:szCs w:val="20"/>
              </w:rPr>
              <w:t>t</w:t>
            </w:r>
            <w:r w:rsidRPr="00162D0E">
              <w:rPr>
                <w:rFonts w:eastAsia="Arial Unicode MS"/>
                <w:sz w:val="20"/>
                <w:szCs w:val="20"/>
              </w:rPr>
              <w:t>hird-party certification</w:t>
            </w:r>
          </w:p>
        </w:tc>
        <w:tc>
          <w:tcPr>
            <w:tcW w:w="1530" w:type="dxa"/>
            <w:shd w:val="clear" w:color="auto" w:fill="auto"/>
          </w:tcPr>
          <w:p w:rsidR="00D168F1" w:rsidRPr="00162D0E" w:rsidP="00F171B7" w14:paraId="6933C4C8" w14:textId="77777777">
            <w:pPr>
              <w:jc w:val="right"/>
              <w:rPr>
                <w:rFonts w:eastAsia="Arial Unicode MS"/>
                <w:sz w:val="20"/>
                <w:szCs w:val="20"/>
              </w:rPr>
            </w:pPr>
            <w:r>
              <w:rPr>
                <w:rFonts w:eastAsia="Arial Unicode MS"/>
                <w:sz w:val="20"/>
                <w:szCs w:val="20"/>
              </w:rPr>
              <w:t>58</w:t>
            </w:r>
          </w:p>
        </w:tc>
        <w:tc>
          <w:tcPr>
            <w:tcW w:w="1440" w:type="dxa"/>
            <w:shd w:val="clear" w:color="auto" w:fill="auto"/>
          </w:tcPr>
          <w:p w:rsidR="00D168F1" w:rsidRPr="00162D0E" w:rsidP="00F171B7" w14:paraId="02112B37" w14:textId="77777777">
            <w:pPr>
              <w:jc w:val="right"/>
              <w:rPr>
                <w:rFonts w:eastAsia="Arial Unicode MS"/>
                <w:sz w:val="20"/>
                <w:szCs w:val="20"/>
              </w:rPr>
            </w:pPr>
            <w:r>
              <w:rPr>
                <w:rFonts w:eastAsia="Arial Unicode MS"/>
                <w:sz w:val="20"/>
                <w:szCs w:val="20"/>
              </w:rPr>
              <w:t>2</w:t>
            </w:r>
          </w:p>
        </w:tc>
        <w:tc>
          <w:tcPr>
            <w:tcW w:w="1350" w:type="dxa"/>
            <w:shd w:val="clear" w:color="auto" w:fill="auto"/>
          </w:tcPr>
          <w:p w:rsidR="00D168F1" w:rsidRPr="00162D0E" w:rsidP="00F171B7" w14:paraId="67B38870" w14:textId="77777777">
            <w:pPr>
              <w:jc w:val="right"/>
              <w:rPr>
                <w:rFonts w:eastAsia="Arial Unicode MS"/>
                <w:sz w:val="20"/>
                <w:szCs w:val="20"/>
              </w:rPr>
            </w:pPr>
            <w:r>
              <w:rPr>
                <w:rFonts w:eastAsia="Arial Unicode MS"/>
                <w:sz w:val="20"/>
                <w:szCs w:val="20"/>
              </w:rPr>
              <w:t>116</w:t>
            </w:r>
          </w:p>
        </w:tc>
        <w:tc>
          <w:tcPr>
            <w:tcW w:w="1620" w:type="dxa"/>
            <w:shd w:val="clear" w:color="auto" w:fill="auto"/>
          </w:tcPr>
          <w:p w:rsidR="00D168F1" w:rsidRPr="00162D0E" w:rsidP="00F171B7" w14:paraId="6D861803" w14:textId="77777777">
            <w:pPr>
              <w:jc w:val="right"/>
              <w:rPr>
                <w:rFonts w:eastAsia="Arial Unicode MS"/>
                <w:sz w:val="20"/>
                <w:szCs w:val="20"/>
              </w:rPr>
            </w:pPr>
            <w:r>
              <w:rPr>
                <w:rFonts w:eastAsia="Arial Unicode MS"/>
                <w:sz w:val="20"/>
                <w:szCs w:val="20"/>
              </w:rPr>
              <w:t>22</w:t>
            </w:r>
          </w:p>
        </w:tc>
        <w:tc>
          <w:tcPr>
            <w:tcW w:w="1237" w:type="dxa"/>
            <w:shd w:val="clear" w:color="auto" w:fill="auto"/>
          </w:tcPr>
          <w:p w:rsidR="00D168F1" w:rsidRPr="00162D0E" w:rsidP="00F171B7" w14:paraId="4C542E70" w14:textId="77777777">
            <w:pPr>
              <w:jc w:val="right"/>
              <w:rPr>
                <w:rFonts w:eastAsia="Arial Unicode MS"/>
                <w:sz w:val="20"/>
                <w:szCs w:val="20"/>
              </w:rPr>
            </w:pPr>
            <w:r>
              <w:rPr>
                <w:rFonts w:eastAsia="Arial Unicode MS"/>
                <w:sz w:val="20"/>
                <w:szCs w:val="20"/>
              </w:rPr>
              <w:t>2,552</w:t>
            </w:r>
          </w:p>
        </w:tc>
      </w:tr>
      <w:tr w14:paraId="721DC243" w14:textId="77777777" w:rsidTr="00B35D14">
        <w:tblPrEx>
          <w:tblW w:w="0" w:type="auto"/>
          <w:tblInd w:w="-5" w:type="dxa"/>
          <w:tblLayout w:type="fixed"/>
          <w:tblLook w:val="0000"/>
        </w:tblPrEx>
        <w:tc>
          <w:tcPr>
            <w:tcW w:w="2363" w:type="dxa"/>
            <w:shd w:val="clear" w:color="auto" w:fill="auto"/>
          </w:tcPr>
          <w:p w:rsidR="00D168F1" w:rsidRPr="00162D0E" w:rsidP="00F171B7" w14:paraId="4366290A" w14:textId="77777777">
            <w:pPr>
              <w:rPr>
                <w:rFonts w:eastAsia="Arial Unicode MS"/>
                <w:sz w:val="20"/>
                <w:szCs w:val="20"/>
              </w:rPr>
            </w:pPr>
            <w:r w:rsidRPr="00162D0E">
              <w:rPr>
                <w:rFonts w:eastAsia="Arial Unicode MS"/>
                <w:sz w:val="20"/>
                <w:szCs w:val="20"/>
              </w:rPr>
              <w:t>Occasional updates</w:t>
            </w:r>
          </w:p>
        </w:tc>
        <w:tc>
          <w:tcPr>
            <w:tcW w:w="1530" w:type="dxa"/>
            <w:shd w:val="clear" w:color="auto" w:fill="auto"/>
          </w:tcPr>
          <w:p w:rsidR="00D168F1" w:rsidRPr="00162D0E" w:rsidP="00F171B7" w14:paraId="41413E79" w14:textId="77777777">
            <w:pPr>
              <w:jc w:val="right"/>
              <w:rPr>
                <w:rFonts w:eastAsia="Arial Unicode MS"/>
                <w:sz w:val="20"/>
                <w:szCs w:val="20"/>
              </w:rPr>
            </w:pPr>
            <w:r>
              <w:rPr>
                <w:rFonts w:eastAsia="Arial Unicode MS"/>
                <w:sz w:val="20"/>
                <w:szCs w:val="20"/>
              </w:rPr>
              <w:t>60</w:t>
            </w:r>
          </w:p>
        </w:tc>
        <w:tc>
          <w:tcPr>
            <w:tcW w:w="1440" w:type="dxa"/>
            <w:shd w:val="clear" w:color="auto" w:fill="auto"/>
          </w:tcPr>
          <w:p w:rsidR="00D168F1" w:rsidRPr="00162D0E" w:rsidP="00F171B7" w14:paraId="7F0679A0" w14:textId="77777777">
            <w:pPr>
              <w:jc w:val="right"/>
              <w:rPr>
                <w:rFonts w:eastAsia="Arial Unicode MS"/>
                <w:sz w:val="20"/>
                <w:szCs w:val="20"/>
              </w:rPr>
            </w:pPr>
            <w:r>
              <w:rPr>
                <w:rFonts w:eastAsia="Arial Unicode MS"/>
                <w:sz w:val="20"/>
                <w:szCs w:val="20"/>
              </w:rPr>
              <w:t>2</w:t>
            </w:r>
          </w:p>
        </w:tc>
        <w:tc>
          <w:tcPr>
            <w:tcW w:w="1350" w:type="dxa"/>
            <w:shd w:val="clear" w:color="auto" w:fill="auto"/>
          </w:tcPr>
          <w:p w:rsidR="00D168F1" w:rsidRPr="00162D0E" w:rsidP="00F171B7" w14:paraId="3674EEE1" w14:textId="77777777">
            <w:pPr>
              <w:jc w:val="right"/>
              <w:rPr>
                <w:rFonts w:eastAsia="Arial Unicode MS"/>
                <w:sz w:val="20"/>
                <w:szCs w:val="20"/>
              </w:rPr>
            </w:pPr>
            <w:r>
              <w:rPr>
                <w:rFonts w:eastAsia="Arial Unicode MS"/>
                <w:sz w:val="20"/>
                <w:szCs w:val="20"/>
              </w:rPr>
              <w:t>120</w:t>
            </w:r>
          </w:p>
        </w:tc>
        <w:tc>
          <w:tcPr>
            <w:tcW w:w="1620" w:type="dxa"/>
            <w:shd w:val="clear" w:color="auto" w:fill="auto"/>
          </w:tcPr>
          <w:p w:rsidR="00D168F1" w:rsidRPr="00162D0E" w:rsidP="00F171B7" w14:paraId="3EFCFC0A" w14:textId="77777777">
            <w:pPr>
              <w:jc w:val="right"/>
              <w:rPr>
                <w:rFonts w:eastAsia="Arial Unicode MS"/>
                <w:sz w:val="20"/>
                <w:szCs w:val="20"/>
              </w:rPr>
            </w:pPr>
            <w:r w:rsidRPr="00162D0E">
              <w:rPr>
                <w:rFonts w:eastAsia="Arial Unicode MS"/>
                <w:sz w:val="20"/>
                <w:szCs w:val="20"/>
              </w:rPr>
              <w:t>0.5</w:t>
            </w:r>
          </w:p>
          <w:p w:rsidR="00D168F1" w:rsidRPr="00162D0E" w:rsidP="00F171B7" w14:paraId="0A5DDE5B" w14:textId="77777777">
            <w:pPr>
              <w:jc w:val="right"/>
              <w:rPr>
                <w:rFonts w:eastAsia="Arial Unicode MS"/>
                <w:sz w:val="20"/>
                <w:szCs w:val="20"/>
              </w:rPr>
            </w:pPr>
            <w:r w:rsidRPr="00162D0E">
              <w:rPr>
                <w:rFonts w:eastAsia="Arial Unicode MS"/>
                <w:sz w:val="20"/>
                <w:szCs w:val="20"/>
              </w:rPr>
              <w:t xml:space="preserve">(30 </w:t>
            </w:r>
            <w:r>
              <w:rPr>
                <w:rFonts w:eastAsia="Arial Unicode MS"/>
                <w:sz w:val="20"/>
                <w:szCs w:val="20"/>
              </w:rPr>
              <w:t>m</w:t>
            </w:r>
            <w:r w:rsidRPr="00162D0E">
              <w:rPr>
                <w:rFonts w:eastAsia="Arial Unicode MS"/>
                <w:sz w:val="20"/>
                <w:szCs w:val="20"/>
              </w:rPr>
              <w:t>inutes)</w:t>
            </w:r>
          </w:p>
        </w:tc>
        <w:tc>
          <w:tcPr>
            <w:tcW w:w="1237" w:type="dxa"/>
            <w:shd w:val="clear" w:color="auto" w:fill="auto"/>
          </w:tcPr>
          <w:p w:rsidR="00D168F1" w:rsidRPr="00162D0E" w:rsidP="00F171B7" w14:paraId="4E2810EA" w14:textId="77777777">
            <w:pPr>
              <w:jc w:val="right"/>
              <w:rPr>
                <w:rFonts w:eastAsia="Arial Unicode MS"/>
                <w:sz w:val="20"/>
                <w:szCs w:val="20"/>
              </w:rPr>
            </w:pPr>
            <w:r>
              <w:rPr>
                <w:rFonts w:eastAsia="Arial Unicode MS"/>
                <w:sz w:val="20"/>
                <w:szCs w:val="20"/>
              </w:rPr>
              <w:t>60</w:t>
            </w:r>
          </w:p>
        </w:tc>
      </w:tr>
      <w:tr w14:paraId="66A071DE" w14:textId="77777777" w:rsidTr="00B35D14">
        <w:tblPrEx>
          <w:tblW w:w="0" w:type="auto"/>
          <w:tblInd w:w="-5" w:type="dxa"/>
          <w:tblLayout w:type="fixed"/>
          <w:tblLook w:val="0000"/>
        </w:tblPrEx>
        <w:tc>
          <w:tcPr>
            <w:tcW w:w="2363" w:type="dxa"/>
            <w:shd w:val="clear" w:color="auto" w:fill="auto"/>
          </w:tcPr>
          <w:p w:rsidR="00D168F1" w:rsidRPr="00162D0E" w:rsidP="00F171B7" w14:paraId="7AB27BB3" w14:textId="77777777">
            <w:pPr>
              <w:rPr>
                <w:rFonts w:eastAsia="Arial Unicode MS"/>
                <w:sz w:val="20"/>
                <w:szCs w:val="20"/>
              </w:rPr>
            </w:pPr>
            <w:r w:rsidRPr="00162D0E">
              <w:rPr>
                <w:rFonts w:eastAsia="Arial Unicode MS"/>
                <w:sz w:val="20"/>
                <w:szCs w:val="20"/>
              </w:rPr>
              <w:t>T</w:t>
            </w:r>
            <w:r>
              <w:rPr>
                <w:rFonts w:eastAsia="Arial Unicode MS"/>
                <w:sz w:val="20"/>
                <w:szCs w:val="20"/>
              </w:rPr>
              <w:t>OTAL</w:t>
            </w:r>
          </w:p>
        </w:tc>
        <w:tc>
          <w:tcPr>
            <w:tcW w:w="1530" w:type="dxa"/>
            <w:shd w:val="clear" w:color="auto" w:fill="auto"/>
          </w:tcPr>
          <w:p w:rsidR="00D168F1" w:rsidRPr="00162D0E" w:rsidP="00F171B7" w14:paraId="2C406981" w14:textId="77777777">
            <w:pPr>
              <w:jc w:val="right"/>
              <w:rPr>
                <w:rFonts w:eastAsia="Arial Unicode MS"/>
                <w:sz w:val="20"/>
                <w:szCs w:val="20"/>
              </w:rPr>
            </w:pPr>
          </w:p>
        </w:tc>
        <w:tc>
          <w:tcPr>
            <w:tcW w:w="1440" w:type="dxa"/>
            <w:shd w:val="clear" w:color="auto" w:fill="auto"/>
          </w:tcPr>
          <w:p w:rsidR="00D168F1" w:rsidRPr="00162D0E" w:rsidP="00F171B7" w14:paraId="3E1C4DDC" w14:textId="77777777">
            <w:pPr>
              <w:jc w:val="right"/>
              <w:rPr>
                <w:rFonts w:eastAsia="Arial Unicode MS"/>
                <w:sz w:val="20"/>
                <w:szCs w:val="20"/>
              </w:rPr>
            </w:pPr>
          </w:p>
        </w:tc>
        <w:tc>
          <w:tcPr>
            <w:tcW w:w="1350" w:type="dxa"/>
            <w:shd w:val="clear" w:color="auto" w:fill="auto"/>
          </w:tcPr>
          <w:p w:rsidR="00D168F1" w:rsidRPr="00162D0E" w:rsidP="00F171B7" w14:paraId="5EE3BC26" w14:textId="77777777">
            <w:pPr>
              <w:jc w:val="right"/>
              <w:rPr>
                <w:rFonts w:eastAsia="Arial Unicode MS"/>
                <w:sz w:val="20"/>
                <w:szCs w:val="20"/>
              </w:rPr>
            </w:pPr>
            <w:r>
              <w:rPr>
                <w:rFonts w:eastAsia="Arial Unicode MS"/>
                <w:sz w:val="20"/>
                <w:szCs w:val="20"/>
              </w:rPr>
              <w:t>1,769</w:t>
            </w:r>
          </w:p>
        </w:tc>
        <w:tc>
          <w:tcPr>
            <w:tcW w:w="1620" w:type="dxa"/>
            <w:shd w:val="clear" w:color="auto" w:fill="auto"/>
          </w:tcPr>
          <w:p w:rsidR="00D168F1" w:rsidRPr="00162D0E" w:rsidP="00F171B7" w14:paraId="61B5E5BA" w14:textId="77777777">
            <w:pPr>
              <w:jc w:val="right"/>
              <w:rPr>
                <w:rFonts w:eastAsia="Arial Unicode MS"/>
                <w:sz w:val="20"/>
                <w:szCs w:val="20"/>
              </w:rPr>
            </w:pPr>
          </w:p>
        </w:tc>
        <w:tc>
          <w:tcPr>
            <w:tcW w:w="1237" w:type="dxa"/>
            <w:shd w:val="clear" w:color="auto" w:fill="auto"/>
          </w:tcPr>
          <w:p w:rsidR="00D168F1" w:rsidRPr="00162D0E" w:rsidP="00F171B7" w14:paraId="1A3B0E4D" w14:textId="77777777">
            <w:pPr>
              <w:jc w:val="right"/>
              <w:rPr>
                <w:rFonts w:eastAsia="Arial Unicode MS"/>
                <w:sz w:val="20"/>
                <w:szCs w:val="20"/>
              </w:rPr>
            </w:pPr>
            <w:r>
              <w:rPr>
                <w:rFonts w:eastAsia="Arial Unicode MS"/>
                <w:sz w:val="20"/>
                <w:szCs w:val="20"/>
              </w:rPr>
              <w:t>7,451</w:t>
            </w:r>
          </w:p>
        </w:tc>
      </w:tr>
    </w:tbl>
    <w:p w:rsidR="00D168F1" w:rsidRPr="00162D0E" w:rsidP="00F171B7" w14:paraId="343D3FF2" w14:textId="77777777">
      <w:pPr>
        <w:rPr>
          <w:rFonts w:eastAsia="Arial Unicode MS"/>
          <w:sz w:val="20"/>
          <w:szCs w:val="20"/>
        </w:rPr>
      </w:pPr>
      <w:r w:rsidRPr="00162D0E">
        <w:rPr>
          <w:rFonts w:eastAsia="Arial Unicode MS"/>
          <w:sz w:val="20"/>
          <w:szCs w:val="20"/>
          <w:vertAlign w:val="superscript"/>
        </w:rPr>
        <w:t>1</w:t>
      </w:r>
      <w:r w:rsidRPr="00162D0E">
        <w:rPr>
          <w:rFonts w:eastAsia="Arial Unicode MS"/>
          <w:sz w:val="20"/>
          <w:szCs w:val="20"/>
        </w:rPr>
        <w:t>There are no capital costs or operating and maintenance costs associated with this collection of information.</w:t>
      </w:r>
    </w:p>
    <w:p w:rsidR="00D168F1" w:rsidP="00F171B7" w14:paraId="2CCAE8C7" w14:textId="77777777">
      <w:pPr>
        <w:autoSpaceDE w:val="0"/>
        <w:autoSpaceDN w:val="0"/>
        <w:adjustRightInd w:val="0"/>
        <w:rPr>
          <w:rFonts w:ascii="TimesNewRomanPSMT" w:hAnsi="TimesNewRomanPSMT" w:cs="TimesNewRomanPSMT"/>
        </w:rPr>
      </w:pPr>
    </w:p>
    <w:p w:rsidR="00E3216A" w:rsidP="00E564DD" w14:paraId="5BD99D7E" w14:textId="2F80AA52">
      <w:pPr>
        <w:autoSpaceDE w:val="0"/>
        <w:autoSpaceDN w:val="0"/>
        <w:adjustRightInd w:val="0"/>
        <w:ind w:firstLine="720"/>
        <w:rPr>
          <w:rFonts w:ascii="TimesNewRomanPSMT" w:hAnsi="TimesNewRomanPSMT" w:cs="TimesNewRomanPSMT"/>
        </w:rPr>
      </w:pPr>
      <w:r>
        <w:rPr>
          <w:rFonts w:ascii="TimesNewRomanPSMT" w:hAnsi="TimesNewRomanPSMT" w:cs="TimesNewRomanPSMT"/>
        </w:rPr>
        <w:t xml:space="preserve">We base our estimate on the number of establishments that have submitted new written requests, biennial updates, and occasional updates.  The estimate of the number of burden hours that it will take an establishment to gather the information needed to be placed on one of the lists or update its information is based on our experience with this program.  We believe that the information to be submitted will be readily available to the </w:t>
      </w:r>
      <w:r w:rsidRPr="005A0955">
        <w:rPr>
          <w:rFonts w:ascii="TimesNewRomanPSMT" w:hAnsi="TimesNewRomanPSMT" w:cs="TimesNewRomanPSMT"/>
        </w:rPr>
        <w:t>establishments</w:t>
      </w:r>
      <w:r>
        <w:rPr>
          <w:rFonts w:ascii="TimesNewRomanPSMT" w:hAnsi="TimesNewRomanPSMT" w:cs="TimesNewRomanPSMT"/>
        </w:rPr>
        <w:t>.</w:t>
      </w:r>
    </w:p>
    <w:p w:rsidR="004E77C4" w:rsidP="00F171B7" w14:paraId="798B43C8" w14:textId="77777777">
      <w:pPr>
        <w:autoSpaceDE w:val="0"/>
        <w:autoSpaceDN w:val="0"/>
        <w:adjustRightInd w:val="0"/>
        <w:rPr>
          <w:rFonts w:eastAsia="Calibri"/>
        </w:rPr>
      </w:pPr>
    </w:p>
    <w:p w:rsidR="00357C8A" w:rsidRPr="00E564DD" w:rsidP="00E564DD" w14:paraId="07D8B63C" w14:textId="5834B832">
      <w:pPr>
        <w:ind w:firstLine="720"/>
        <w:rPr>
          <w:rFonts w:eastAsia="Calibri"/>
          <w:i/>
          <w:iCs/>
        </w:rPr>
      </w:pPr>
      <w:r w:rsidRPr="00E564DD">
        <w:rPr>
          <w:rFonts w:eastAsia="Calibri"/>
          <w:i/>
          <w:iCs/>
        </w:rPr>
        <w:t>12b.  Annualized Cost Burden Estimate</w:t>
      </w:r>
    </w:p>
    <w:p w:rsidR="00E564DD" w:rsidP="00F171B7" w14:paraId="383DB402" w14:textId="77777777">
      <w:pPr>
        <w:rPr>
          <w:rFonts w:eastAsia="Calibri"/>
        </w:rPr>
      </w:pPr>
    </w:p>
    <w:p w:rsidR="00484E0E" w:rsidP="00E564DD" w14:paraId="7C6936DF" w14:textId="2C6EF870">
      <w:pPr>
        <w:ind w:firstLine="720"/>
        <w:rPr>
          <w:rFonts w:eastAsia="Calibri"/>
        </w:rPr>
      </w:pPr>
      <w:r w:rsidRPr="00162D0E">
        <w:rPr>
          <w:rFonts w:eastAsia="Calibri"/>
        </w:rPr>
        <w:t>We estimate the annualized burden hour cost to respondents for this collection of</w:t>
      </w:r>
      <w:r>
        <w:rPr>
          <w:rFonts w:eastAsia="Calibri"/>
        </w:rPr>
        <w:t xml:space="preserve"> </w:t>
      </w:r>
      <w:r w:rsidRPr="00162D0E">
        <w:rPr>
          <w:rFonts w:eastAsia="Calibri"/>
        </w:rPr>
        <w:t>information to be approximately $</w:t>
      </w:r>
      <w:r w:rsidRPr="00AF46FE" w:rsidR="00AF46FE">
        <w:rPr>
          <w:rFonts w:eastAsia="Calibri"/>
        </w:rPr>
        <w:t>772,371</w:t>
      </w:r>
      <w:r w:rsidRPr="00162D0E">
        <w:rPr>
          <w:rFonts w:eastAsia="Calibri"/>
        </w:rPr>
        <w:t xml:space="preserve">. </w:t>
      </w:r>
      <w:r>
        <w:rPr>
          <w:rFonts w:eastAsia="Calibri"/>
        </w:rPr>
        <w:t xml:space="preserve"> </w:t>
      </w:r>
      <w:r w:rsidRPr="00162D0E">
        <w:rPr>
          <w:rFonts w:eastAsia="Calibri"/>
        </w:rPr>
        <w:t>We estimate that the new written requests, biennial</w:t>
      </w:r>
      <w:r>
        <w:rPr>
          <w:rFonts w:eastAsia="Calibri"/>
        </w:rPr>
        <w:t xml:space="preserve"> </w:t>
      </w:r>
      <w:r w:rsidRPr="00162D0E">
        <w:rPr>
          <w:rFonts w:eastAsia="Calibri"/>
        </w:rPr>
        <w:t>updates, and occasional updates will be prepared by an employee making an average wage</w:t>
      </w:r>
      <w:r>
        <w:rPr>
          <w:rFonts w:eastAsia="Calibri"/>
        </w:rPr>
        <w:t xml:space="preserve"> </w:t>
      </w:r>
      <w:r w:rsidRPr="00162D0E">
        <w:rPr>
          <w:rFonts w:eastAsia="Calibri"/>
        </w:rPr>
        <w:t xml:space="preserve">similar </w:t>
      </w:r>
      <w:r w:rsidR="009C127C">
        <w:rPr>
          <w:rFonts w:eastAsia="Calibri"/>
        </w:rPr>
        <w:t xml:space="preserve">to </w:t>
      </w:r>
      <w:r w:rsidRPr="00162D0E">
        <w:rPr>
          <w:rFonts w:eastAsia="Calibri"/>
        </w:rPr>
        <w:t xml:space="preserve">that of a </w:t>
      </w:r>
      <w:r w:rsidR="009C127C">
        <w:rPr>
          <w:rFonts w:eastAsia="Calibri"/>
        </w:rPr>
        <w:t>F</w:t>
      </w:r>
      <w:r w:rsidRPr="00162D0E" w:rsidR="00757E29">
        <w:rPr>
          <w:rFonts w:eastAsia="Calibri"/>
        </w:rPr>
        <w:t>ederal</w:t>
      </w:r>
      <w:r w:rsidRPr="00162D0E">
        <w:rPr>
          <w:rFonts w:eastAsia="Calibri"/>
        </w:rPr>
        <w:t xml:space="preserve"> government employee at the GS-12/Step-3 rate for the Washington-Baltimore Locality Pay Area for the year </w:t>
      </w:r>
      <w:r>
        <w:rPr>
          <w:rFonts w:eastAsia="Calibri"/>
        </w:rPr>
        <w:t>202</w:t>
      </w:r>
      <w:r w:rsidR="009A4708">
        <w:rPr>
          <w:rFonts w:eastAsia="Calibri"/>
        </w:rPr>
        <w:t>5</w:t>
      </w:r>
      <w:r w:rsidRPr="00162D0E">
        <w:rPr>
          <w:rFonts w:eastAsia="Calibri"/>
        </w:rPr>
        <w:t>, which is $</w:t>
      </w:r>
      <w:r w:rsidR="009A4708">
        <w:rPr>
          <w:rFonts w:eastAsia="Calibri"/>
        </w:rPr>
        <w:t>51.83</w:t>
      </w:r>
      <w:r w:rsidRPr="00162D0E">
        <w:rPr>
          <w:rFonts w:eastAsia="Calibri"/>
        </w:rPr>
        <w:t xml:space="preserve"> per hour. </w:t>
      </w:r>
      <w:r>
        <w:rPr>
          <w:rFonts w:eastAsia="Calibri"/>
        </w:rPr>
        <w:t xml:space="preserve"> </w:t>
      </w:r>
      <w:r w:rsidRPr="00162D0E">
        <w:rPr>
          <w:rFonts w:eastAsia="Calibri"/>
        </w:rPr>
        <w:t>To account for</w:t>
      </w:r>
      <w:r>
        <w:rPr>
          <w:rFonts w:eastAsia="Calibri"/>
        </w:rPr>
        <w:t xml:space="preserve"> </w:t>
      </w:r>
      <w:r w:rsidRPr="00162D0E">
        <w:rPr>
          <w:rFonts w:eastAsia="Calibri"/>
        </w:rPr>
        <w:t>overhead, this cost is increased by 100 percent, which is $</w:t>
      </w:r>
      <w:r w:rsidR="001467C1">
        <w:rPr>
          <w:rFonts w:eastAsia="Calibri"/>
        </w:rPr>
        <w:t>103.66</w:t>
      </w:r>
      <w:r w:rsidRPr="00162D0E">
        <w:rPr>
          <w:rFonts w:eastAsia="Calibri"/>
        </w:rPr>
        <w:t xml:space="preserve"> per hour. </w:t>
      </w:r>
      <w:r>
        <w:rPr>
          <w:rFonts w:eastAsia="Calibri"/>
        </w:rPr>
        <w:t xml:space="preserve"> </w:t>
      </w:r>
      <w:r w:rsidRPr="00162D0E">
        <w:rPr>
          <w:rFonts w:eastAsia="Calibri"/>
        </w:rPr>
        <w:t>Thus, the annual wage</w:t>
      </w:r>
      <w:r>
        <w:rPr>
          <w:rFonts w:eastAsia="Calibri"/>
        </w:rPr>
        <w:t xml:space="preserve"> </w:t>
      </w:r>
      <w:r w:rsidRPr="00162D0E">
        <w:rPr>
          <w:rFonts w:eastAsia="Calibri"/>
        </w:rPr>
        <w:t>cost for completion and submission of these requests and updates is approximately $</w:t>
      </w:r>
      <w:r w:rsidR="003550A9">
        <w:rPr>
          <w:rFonts w:eastAsia="Calibri"/>
        </w:rPr>
        <w:t>772,371</w:t>
      </w:r>
      <w:r>
        <w:rPr>
          <w:rFonts w:eastAsia="Calibri"/>
        </w:rPr>
        <w:t xml:space="preserve"> </w:t>
      </w:r>
      <w:r w:rsidRPr="00162D0E">
        <w:rPr>
          <w:rFonts w:eastAsia="Calibri"/>
        </w:rPr>
        <w:t>(</w:t>
      </w:r>
      <w:r>
        <w:rPr>
          <w:rFonts w:eastAsia="Calibri"/>
        </w:rPr>
        <w:t>7,451</w:t>
      </w:r>
      <w:r w:rsidRPr="00162D0E">
        <w:rPr>
          <w:rFonts w:eastAsia="Calibri"/>
        </w:rPr>
        <w:t xml:space="preserve"> hours x $</w:t>
      </w:r>
      <w:r w:rsidR="001467C1">
        <w:rPr>
          <w:rFonts w:eastAsia="Calibri"/>
        </w:rPr>
        <w:t>10</w:t>
      </w:r>
      <w:r w:rsidR="00C06A1C">
        <w:rPr>
          <w:rFonts w:eastAsia="Calibri"/>
        </w:rPr>
        <w:t>3</w:t>
      </w:r>
      <w:r w:rsidR="001467C1">
        <w:rPr>
          <w:rFonts w:eastAsia="Calibri"/>
        </w:rPr>
        <w:t>.</w:t>
      </w:r>
      <w:r w:rsidR="00C06A1C">
        <w:rPr>
          <w:rFonts w:eastAsia="Calibri"/>
        </w:rPr>
        <w:t>66</w:t>
      </w:r>
      <w:r w:rsidRPr="00162D0E">
        <w:rPr>
          <w:rFonts w:eastAsia="Calibri"/>
        </w:rPr>
        <w:t xml:space="preserve"> per hour).</w:t>
      </w:r>
    </w:p>
    <w:p w:rsidR="00484E0E" w:rsidP="00F171B7" w14:paraId="6B6AFE1F" w14:textId="77777777">
      <w:pPr>
        <w:rPr>
          <w:rFonts w:eastAsia="Calibri"/>
        </w:rPr>
      </w:pPr>
    </w:p>
    <w:p w:rsidR="00484E0E" w:rsidP="00F171B7" w14:paraId="02A3E7DF" w14:textId="77777777">
      <w:pPr>
        <w:contextualSpacing/>
        <w:jc w:val="center"/>
        <w:rPr>
          <w:rFonts w:eastAsia="Calibri"/>
        </w:rPr>
      </w:pPr>
      <w:r w:rsidRPr="00162D0E">
        <w:rPr>
          <w:sz w:val="20"/>
          <w:szCs w:val="20"/>
        </w:rPr>
        <w:t xml:space="preserve">Table </w:t>
      </w:r>
      <w:r>
        <w:rPr>
          <w:sz w:val="20"/>
          <w:szCs w:val="20"/>
        </w:rPr>
        <w:t>2</w:t>
      </w:r>
      <w:r w:rsidRPr="00162D0E">
        <w:rPr>
          <w:sz w:val="20"/>
          <w:szCs w:val="20"/>
        </w:rPr>
        <w:t>.--Estimated Annual Burden</w:t>
      </w:r>
      <w:r>
        <w:rPr>
          <w:sz w:val="20"/>
          <w:szCs w:val="20"/>
        </w:rPr>
        <w:t xml:space="preserve"> Cost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1890"/>
        <w:gridCol w:w="1944"/>
        <w:gridCol w:w="2256"/>
      </w:tblGrid>
      <w:tr w14:paraId="23CF9E78" w14:textId="77777777" w:rsidTr="00B35D14">
        <w:tblPrEx>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330" w:type="dxa"/>
            <w:shd w:val="clear" w:color="auto" w:fill="auto"/>
          </w:tcPr>
          <w:p w:rsidR="00484E0E" w:rsidRPr="004B0EDB" w:rsidP="00F171B7" w14:paraId="65030C2F" w14:textId="77777777">
            <w:pPr>
              <w:jc w:val="center"/>
              <w:rPr>
                <w:sz w:val="20"/>
                <w:szCs w:val="20"/>
              </w:rPr>
            </w:pPr>
            <w:r w:rsidRPr="004B0EDB">
              <w:rPr>
                <w:sz w:val="20"/>
                <w:szCs w:val="20"/>
              </w:rPr>
              <w:t>Activity</w:t>
            </w:r>
          </w:p>
        </w:tc>
        <w:tc>
          <w:tcPr>
            <w:tcW w:w="1890" w:type="dxa"/>
            <w:shd w:val="clear" w:color="auto" w:fill="auto"/>
          </w:tcPr>
          <w:p w:rsidR="00484E0E" w:rsidRPr="004B0EDB" w:rsidP="00F171B7" w14:paraId="40F74D6E" w14:textId="77777777">
            <w:pPr>
              <w:jc w:val="center"/>
              <w:rPr>
                <w:sz w:val="20"/>
                <w:szCs w:val="20"/>
              </w:rPr>
            </w:pPr>
            <w:r w:rsidRPr="004B0EDB">
              <w:rPr>
                <w:sz w:val="20"/>
                <w:szCs w:val="20"/>
              </w:rPr>
              <w:t>Total Burden Hours</w:t>
            </w:r>
          </w:p>
        </w:tc>
        <w:tc>
          <w:tcPr>
            <w:tcW w:w="1944" w:type="dxa"/>
            <w:shd w:val="clear" w:color="auto" w:fill="auto"/>
          </w:tcPr>
          <w:p w:rsidR="00484E0E" w:rsidRPr="004B0EDB" w:rsidP="00F171B7" w14:paraId="6A624415" w14:textId="77777777">
            <w:pPr>
              <w:jc w:val="center"/>
              <w:rPr>
                <w:sz w:val="20"/>
                <w:szCs w:val="20"/>
              </w:rPr>
            </w:pPr>
            <w:r w:rsidRPr="004B0EDB">
              <w:rPr>
                <w:sz w:val="20"/>
                <w:szCs w:val="20"/>
              </w:rPr>
              <w:t>Hourly Wage Rate</w:t>
            </w:r>
          </w:p>
        </w:tc>
        <w:tc>
          <w:tcPr>
            <w:tcW w:w="2256" w:type="dxa"/>
            <w:shd w:val="clear" w:color="auto" w:fill="auto"/>
          </w:tcPr>
          <w:p w:rsidR="00484E0E" w:rsidRPr="004B0EDB" w:rsidP="00F171B7" w14:paraId="56DAD2A3" w14:textId="77777777">
            <w:pPr>
              <w:jc w:val="center"/>
              <w:rPr>
                <w:sz w:val="20"/>
                <w:szCs w:val="20"/>
              </w:rPr>
            </w:pPr>
            <w:r w:rsidRPr="004B0EDB">
              <w:rPr>
                <w:sz w:val="20"/>
                <w:szCs w:val="20"/>
              </w:rPr>
              <w:t>Total Respondent Costs</w:t>
            </w:r>
          </w:p>
        </w:tc>
      </w:tr>
      <w:tr w14:paraId="38104F38" w14:textId="77777777" w:rsidTr="00B35D14">
        <w:tblPrEx>
          <w:tblW w:w="0" w:type="auto"/>
          <w:tblInd w:w="18" w:type="dxa"/>
          <w:tblLook w:val="01E0"/>
        </w:tblPrEx>
        <w:trPr>
          <w:trHeight w:val="602"/>
        </w:trPr>
        <w:tc>
          <w:tcPr>
            <w:tcW w:w="3330" w:type="dxa"/>
            <w:shd w:val="clear" w:color="auto" w:fill="auto"/>
          </w:tcPr>
          <w:p w:rsidR="00484E0E" w:rsidRPr="004B0EDB" w:rsidP="00F171B7" w14:paraId="6EFF209B" w14:textId="77777777">
            <w:pPr>
              <w:rPr>
                <w:sz w:val="20"/>
                <w:szCs w:val="20"/>
              </w:rPr>
            </w:pPr>
            <w:r w:rsidRPr="004B0EDB">
              <w:rPr>
                <w:sz w:val="20"/>
                <w:szCs w:val="20"/>
              </w:rPr>
              <w:t>Processing of new requests, biennial updates, and occasional updates</w:t>
            </w:r>
          </w:p>
        </w:tc>
        <w:tc>
          <w:tcPr>
            <w:tcW w:w="1890" w:type="dxa"/>
            <w:shd w:val="clear" w:color="auto" w:fill="auto"/>
          </w:tcPr>
          <w:p w:rsidR="00484E0E" w:rsidRPr="004B0EDB" w:rsidP="00F171B7" w14:paraId="4C92D14B" w14:textId="77777777">
            <w:pPr>
              <w:jc w:val="right"/>
              <w:rPr>
                <w:sz w:val="20"/>
                <w:szCs w:val="20"/>
              </w:rPr>
            </w:pPr>
            <w:r w:rsidRPr="004B0EDB">
              <w:rPr>
                <w:sz w:val="20"/>
                <w:szCs w:val="20"/>
              </w:rPr>
              <w:t>7,451</w:t>
            </w:r>
          </w:p>
        </w:tc>
        <w:tc>
          <w:tcPr>
            <w:tcW w:w="1944" w:type="dxa"/>
            <w:shd w:val="clear" w:color="auto" w:fill="auto"/>
          </w:tcPr>
          <w:p w:rsidR="00484E0E" w:rsidRPr="004B0EDB" w:rsidP="00F171B7" w14:paraId="3774152B" w14:textId="284D9D25">
            <w:pPr>
              <w:jc w:val="right"/>
              <w:rPr>
                <w:sz w:val="20"/>
                <w:szCs w:val="20"/>
              </w:rPr>
            </w:pPr>
            <w:r w:rsidRPr="004B0EDB">
              <w:rPr>
                <w:sz w:val="20"/>
                <w:szCs w:val="20"/>
              </w:rPr>
              <w:t>$</w:t>
            </w:r>
            <w:r w:rsidR="003550A9">
              <w:rPr>
                <w:sz w:val="20"/>
                <w:szCs w:val="20"/>
              </w:rPr>
              <w:t>103.66</w:t>
            </w:r>
          </w:p>
        </w:tc>
        <w:tc>
          <w:tcPr>
            <w:tcW w:w="2256" w:type="dxa"/>
            <w:shd w:val="clear" w:color="auto" w:fill="auto"/>
          </w:tcPr>
          <w:p w:rsidR="00484E0E" w:rsidRPr="004B0EDB" w:rsidP="00F171B7" w14:paraId="7B5CF42D" w14:textId="412B7992">
            <w:pPr>
              <w:jc w:val="right"/>
              <w:rPr>
                <w:sz w:val="20"/>
                <w:szCs w:val="20"/>
              </w:rPr>
            </w:pPr>
            <w:r w:rsidRPr="004B0EDB">
              <w:rPr>
                <w:sz w:val="20"/>
                <w:szCs w:val="20"/>
              </w:rPr>
              <w:t>$</w:t>
            </w:r>
            <w:r w:rsidR="003550A9">
              <w:rPr>
                <w:sz w:val="20"/>
                <w:szCs w:val="20"/>
              </w:rPr>
              <w:t>772,371</w:t>
            </w:r>
          </w:p>
        </w:tc>
      </w:tr>
    </w:tbl>
    <w:p w:rsidR="00357C8A" w:rsidRPr="00357C8A" w:rsidP="00F171B7" w14:paraId="11535DC9" w14:textId="77777777">
      <w:pPr>
        <w:rPr>
          <w:rFonts w:eastAsia="Calibri"/>
        </w:rPr>
      </w:pPr>
    </w:p>
    <w:p w:rsidR="00357C8A" w:rsidRPr="00357C8A" w:rsidP="00F171B7" w14:paraId="4641ACF4" w14:textId="77777777">
      <w:pPr>
        <w:numPr>
          <w:ilvl w:val="0"/>
          <w:numId w:val="6"/>
        </w:numPr>
        <w:spacing w:line="276" w:lineRule="auto"/>
        <w:ind w:left="0"/>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E564DD" w:rsidP="00F171B7" w14:paraId="64CCAF61" w14:textId="77777777"/>
    <w:p w:rsidR="0022425B" w:rsidP="00F171B7" w14:paraId="4BFBC71D" w14:textId="322F89F8">
      <w:r>
        <w:t xml:space="preserve">While we do not currently assess fees for certification provided in the form of export lists, section 801(e)(4)(B) of the FD&amp;C Act authorizes a fee up to $175 for export certification.  Accordingly, upon implementation of this provision, we estimate an annual cost of $309,575, using the number of annual </w:t>
      </w:r>
      <w:r w:rsidRPr="005F001B">
        <w:t>responses</w:t>
      </w:r>
      <w:r>
        <w:t xml:space="preserve"> (1,769) multiplied by $175.</w:t>
      </w:r>
    </w:p>
    <w:p w:rsidR="00E15D26" w:rsidP="00F171B7" w14:paraId="0A6B0E23" w14:textId="77777777">
      <w:pPr>
        <w:rPr>
          <w:rFonts w:eastAsia="Calibri"/>
          <w:u w:val="single"/>
        </w:rPr>
      </w:pPr>
    </w:p>
    <w:p w:rsidR="00357C8A" w:rsidRPr="00357C8A" w:rsidP="00F171B7" w14:paraId="15127C54" w14:textId="77777777">
      <w:pPr>
        <w:numPr>
          <w:ilvl w:val="0"/>
          <w:numId w:val="6"/>
        </w:numPr>
        <w:spacing w:line="276" w:lineRule="auto"/>
        <w:ind w:left="0"/>
        <w:rPr>
          <w:rFonts w:eastAsia="Calibri"/>
          <w:u w:val="single"/>
        </w:rPr>
      </w:pPr>
      <w:r w:rsidRPr="00357C8A">
        <w:rPr>
          <w:rFonts w:eastAsia="Calibri"/>
          <w:u w:val="single"/>
        </w:rPr>
        <w:t>Annualized Cost to the Federal Government</w:t>
      </w:r>
    </w:p>
    <w:p w:rsidR="00E564DD" w:rsidP="00F171B7" w14:paraId="5C7CB6CF" w14:textId="77777777">
      <w:pPr>
        <w:autoSpaceDE w:val="0"/>
        <w:autoSpaceDN w:val="0"/>
        <w:adjustRightInd w:val="0"/>
        <w:rPr>
          <w:rFonts w:ascii="TimesNewRomanPSMT" w:hAnsi="TimesNewRomanPSMT" w:cs="TimesNewRomanPSMT"/>
        </w:rPr>
      </w:pPr>
    </w:p>
    <w:p w:rsidR="00357C8A" w:rsidP="00F171B7" w14:paraId="6AAF12C7" w14:textId="1B711699">
      <w:pPr>
        <w:autoSpaceDE w:val="0"/>
        <w:autoSpaceDN w:val="0"/>
        <w:adjustRightInd w:val="0"/>
        <w:rPr>
          <w:rFonts w:ascii="TimesNewRomanPSMT" w:hAnsi="TimesNewRomanPSMT" w:cs="TimesNewRomanPSMT"/>
        </w:rPr>
      </w:pPr>
      <w:r>
        <w:rPr>
          <w:rFonts w:ascii="TimesNewRomanPSMT" w:hAnsi="TimesNewRomanPSMT" w:cs="TimesNewRomanPSMT"/>
        </w:rPr>
        <w:t>We estimate that, on average, the annualized cost to the Federal government for the review and evaluation of requests and updates submitted by respondents is approximately $</w:t>
      </w:r>
      <w:r w:rsidR="0023779A">
        <w:rPr>
          <w:rFonts w:ascii="TimesNewRomanPSMT" w:hAnsi="TimesNewRomanPSMT" w:cs="TimesNewRomanPSMT"/>
        </w:rPr>
        <w:t>24,360</w:t>
      </w:r>
      <w:r>
        <w:rPr>
          <w:rFonts w:ascii="TimesNewRomanPSMT" w:hAnsi="TimesNewRomanPSMT" w:cs="TimesNewRomanPSMT"/>
        </w:rPr>
        <w:t>.  We base our estimate on the hourly rate of one full-time employee at the GS-12/Step 3 level, in the Washington-Baltimore Locality Pay Area for the year 202</w:t>
      </w:r>
      <w:r w:rsidR="00C6291D">
        <w:rPr>
          <w:rFonts w:ascii="TimesNewRomanPSMT" w:hAnsi="TimesNewRomanPSMT" w:cs="TimesNewRomanPSMT"/>
        </w:rPr>
        <w:t>5</w:t>
      </w:r>
      <w:r>
        <w:rPr>
          <w:rFonts w:ascii="TimesNewRomanPSMT" w:hAnsi="TimesNewRomanPSMT" w:cs="TimesNewRomanPSMT"/>
        </w:rPr>
        <w:t>, which is $</w:t>
      </w:r>
      <w:r w:rsidR="00F21208">
        <w:rPr>
          <w:rFonts w:ascii="TimesNewRomanPSMT" w:hAnsi="TimesNewRomanPSMT" w:cs="TimesNewRomanPSMT"/>
        </w:rPr>
        <w:t>51.83</w:t>
      </w:r>
      <w:r>
        <w:rPr>
          <w:rFonts w:ascii="TimesNewRomanPSMT" w:hAnsi="TimesNewRomanPSMT" w:cs="TimesNewRomanPSMT"/>
        </w:rPr>
        <w:t xml:space="preserve"> per hour.  To account </w:t>
      </w:r>
      <w:r>
        <w:rPr>
          <w:rFonts w:ascii="TimesNewRomanPSMT" w:hAnsi="TimesNewRomanPSMT" w:cs="TimesNewRomanPSMT"/>
        </w:rPr>
        <w:t>for overhead, this cost is increased by 100 percent, which is $</w:t>
      </w:r>
      <w:r w:rsidR="00F21208">
        <w:rPr>
          <w:rFonts w:ascii="TimesNewRomanPSMT" w:hAnsi="TimesNewRomanPSMT" w:cs="TimesNewRomanPSMT"/>
        </w:rPr>
        <w:t>10</w:t>
      </w:r>
      <w:r w:rsidR="0014333C">
        <w:rPr>
          <w:rFonts w:ascii="TimesNewRomanPSMT" w:hAnsi="TimesNewRomanPSMT" w:cs="TimesNewRomanPSMT"/>
        </w:rPr>
        <w:t>3.66</w:t>
      </w:r>
      <w:r>
        <w:rPr>
          <w:rFonts w:ascii="TimesNewRomanPSMT" w:hAnsi="TimesNewRomanPSMT" w:cs="TimesNewRomanPSMT"/>
        </w:rPr>
        <w:t xml:space="preserve"> per hour.  The employee spends an estimated 235 hours reviewing and evaluating the submissions.  Thus, we estimate that the annual cost to the Federal Government would be approximately $</w:t>
      </w:r>
      <w:r w:rsidR="0023779A">
        <w:rPr>
          <w:rFonts w:ascii="TimesNewRomanPSMT" w:hAnsi="TimesNewRomanPSMT" w:cs="TimesNewRomanPSMT"/>
        </w:rPr>
        <w:t>24,360</w:t>
      </w:r>
      <w:r>
        <w:rPr>
          <w:rFonts w:ascii="TimesNewRomanPSMT" w:hAnsi="TimesNewRomanPSMT" w:cs="TimesNewRomanPSMT"/>
        </w:rPr>
        <w:t xml:space="preserve"> (235 hours x $</w:t>
      </w:r>
      <w:r w:rsidR="0014333C">
        <w:rPr>
          <w:rFonts w:ascii="TimesNewRomanPSMT" w:hAnsi="TimesNewRomanPSMT" w:cs="TimesNewRomanPSMT"/>
        </w:rPr>
        <w:t>103.66</w:t>
      </w:r>
      <w:r>
        <w:rPr>
          <w:rFonts w:ascii="TimesNewRomanPSMT" w:hAnsi="TimesNewRomanPSMT" w:cs="TimesNewRomanPSMT"/>
        </w:rPr>
        <w:t>/hour).</w:t>
      </w:r>
    </w:p>
    <w:p w:rsidR="0023779A" w:rsidRPr="00357C8A" w:rsidP="00F171B7" w14:paraId="65FD1CD8" w14:textId="77777777">
      <w:pPr>
        <w:autoSpaceDE w:val="0"/>
        <w:autoSpaceDN w:val="0"/>
        <w:adjustRightInd w:val="0"/>
        <w:rPr>
          <w:rFonts w:eastAsia="Calibri"/>
        </w:rPr>
      </w:pPr>
    </w:p>
    <w:p w:rsidR="00357C8A" w:rsidP="00F171B7" w14:paraId="59704BA3" w14:textId="023B2265">
      <w:pPr>
        <w:numPr>
          <w:ilvl w:val="0"/>
          <w:numId w:val="6"/>
        </w:numPr>
        <w:spacing w:line="276" w:lineRule="auto"/>
        <w:ind w:left="0"/>
        <w:rPr>
          <w:rFonts w:eastAsia="Calibri"/>
          <w:u w:val="single"/>
        </w:rPr>
      </w:pPr>
      <w:r w:rsidRPr="00357C8A">
        <w:rPr>
          <w:rFonts w:eastAsia="Calibri"/>
          <w:u w:val="single"/>
        </w:rPr>
        <w:t>Explanation for Program Changes or Adjustments</w:t>
      </w:r>
    </w:p>
    <w:p w:rsidR="00E564DD" w:rsidP="00F171B7" w14:paraId="797DA1FD" w14:textId="77777777">
      <w:pPr>
        <w:rPr>
          <w:rFonts w:eastAsia="Calibri"/>
        </w:rPr>
      </w:pPr>
    </w:p>
    <w:p w:rsidR="00357C8A" w:rsidP="00F171B7" w14:paraId="1FE0C417" w14:textId="377E0B20">
      <w:pPr>
        <w:rPr>
          <w:rFonts w:eastAsia="Calibri"/>
        </w:rPr>
      </w:pPr>
      <w:r w:rsidRPr="005D3219">
        <w:rPr>
          <w:rFonts w:eastAsia="Calibri"/>
        </w:rPr>
        <w:t>Based on a review of the information</w:t>
      </w:r>
      <w:r>
        <w:rPr>
          <w:rFonts w:eastAsia="Calibri"/>
        </w:rPr>
        <w:t xml:space="preserve"> </w:t>
      </w:r>
      <w:r w:rsidRPr="005D3219">
        <w:rPr>
          <w:rFonts w:eastAsia="Calibri"/>
        </w:rPr>
        <w:t>collection since our last request for</w:t>
      </w:r>
      <w:r>
        <w:rPr>
          <w:rFonts w:eastAsia="Calibri"/>
        </w:rPr>
        <w:t xml:space="preserve"> </w:t>
      </w:r>
      <w:r w:rsidRPr="005D3219">
        <w:rPr>
          <w:rFonts w:eastAsia="Calibri"/>
        </w:rPr>
        <w:t>OMB approval, we have made no</w:t>
      </w:r>
      <w:r w:rsidR="00CC76C0">
        <w:rPr>
          <w:rFonts w:eastAsia="Calibri"/>
        </w:rPr>
        <w:t xml:space="preserve"> </w:t>
      </w:r>
      <w:r w:rsidRPr="005D3219">
        <w:rPr>
          <w:rFonts w:eastAsia="Calibri"/>
        </w:rPr>
        <w:t>adjustments to our burden estimate.</w:t>
      </w:r>
    </w:p>
    <w:p w:rsidR="00E564DD" w:rsidRPr="00896CB1" w:rsidP="00F171B7" w14:paraId="62FE1B90" w14:textId="77777777">
      <w:pPr>
        <w:rPr>
          <w:rFonts w:eastAsia="Calibri"/>
          <w:color w:val="000000" w:themeColor="text1"/>
        </w:rPr>
      </w:pPr>
    </w:p>
    <w:p w:rsidR="00357C8A" w:rsidRPr="00357C8A" w:rsidP="00F171B7" w14:paraId="0CCF5A95" w14:textId="77777777">
      <w:pPr>
        <w:numPr>
          <w:ilvl w:val="0"/>
          <w:numId w:val="6"/>
        </w:numPr>
        <w:spacing w:line="276" w:lineRule="auto"/>
        <w:ind w:left="0"/>
        <w:rPr>
          <w:rFonts w:eastAsia="Calibri"/>
          <w:u w:val="single"/>
        </w:rPr>
      </w:pPr>
      <w:r w:rsidRPr="00357C8A">
        <w:rPr>
          <w:rFonts w:eastAsia="Calibri"/>
          <w:u w:val="single"/>
        </w:rPr>
        <w:t>Plans for Tabulation and Publication and Project Time Schedule</w:t>
      </w:r>
    </w:p>
    <w:p w:rsidR="00E564DD" w:rsidP="00F171B7" w14:paraId="4C9BE2FD" w14:textId="77777777">
      <w:pPr>
        <w:autoSpaceDE w:val="0"/>
        <w:autoSpaceDN w:val="0"/>
        <w:adjustRightInd w:val="0"/>
        <w:rPr>
          <w:rFonts w:ascii="TimesNewRomanPSMT" w:hAnsi="TimesNewRomanPSMT" w:cs="TimesNewRomanPSMT"/>
        </w:rPr>
      </w:pPr>
    </w:p>
    <w:p w:rsidR="00357C8A" w:rsidP="00F171B7" w14:paraId="6229C26E" w14:textId="63BC5F2B">
      <w:pPr>
        <w:autoSpaceDE w:val="0"/>
        <w:autoSpaceDN w:val="0"/>
        <w:adjustRightInd w:val="0"/>
        <w:rPr>
          <w:rFonts w:ascii="TimesNewRomanPSMT" w:hAnsi="TimesNewRomanPSMT" w:cs="TimesNewRomanPSMT"/>
        </w:rPr>
      </w:pPr>
      <w:r>
        <w:rPr>
          <w:rFonts w:ascii="TimesNewRomanPSMT" w:hAnsi="TimesNewRomanPSMT" w:cs="TimesNewRomanPSMT"/>
        </w:rPr>
        <w:t>We currently publish the lists on our website and share the information with Chile, China, and the European Union, which may post some or all of the information on their websites.</w:t>
      </w:r>
    </w:p>
    <w:p w:rsidR="00896CB1" w:rsidRPr="00896CB1" w:rsidP="00F171B7" w14:paraId="6877C481" w14:textId="77777777">
      <w:pPr>
        <w:autoSpaceDE w:val="0"/>
        <w:autoSpaceDN w:val="0"/>
        <w:adjustRightInd w:val="0"/>
        <w:rPr>
          <w:rFonts w:eastAsia="Calibri"/>
          <w:color w:val="000000" w:themeColor="text1"/>
        </w:rPr>
      </w:pPr>
    </w:p>
    <w:p w:rsidR="00357C8A" w:rsidRPr="00357C8A" w:rsidP="00F171B7" w14:paraId="7714E800" w14:textId="77777777">
      <w:pPr>
        <w:numPr>
          <w:ilvl w:val="0"/>
          <w:numId w:val="6"/>
        </w:numPr>
        <w:spacing w:line="276" w:lineRule="auto"/>
        <w:ind w:left="0"/>
        <w:rPr>
          <w:rFonts w:eastAsia="Calibri"/>
          <w:u w:val="single"/>
        </w:rPr>
      </w:pPr>
      <w:r w:rsidRPr="00357C8A">
        <w:rPr>
          <w:rFonts w:eastAsia="Calibri"/>
          <w:u w:val="single"/>
        </w:rPr>
        <w:t>Reason(s) Display of OMB Expiration Date is Inappropriate</w:t>
      </w:r>
    </w:p>
    <w:p w:rsidR="00E564DD" w:rsidP="00F171B7" w14:paraId="0D7FDA24" w14:textId="77777777">
      <w:pPr>
        <w:autoSpaceDE w:val="0"/>
        <w:autoSpaceDN w:val="0"/>
        <w:adjustRightInd w:val="0"/>
        <w:rPr>
          <w:rFonts w:ascii="TimesNewRomanPSMT" w:hAnsi="TimesNewRomanPSMT" w:cs="TimesNewRomanPSMT"/>
        </w:rPr>
      </w:pPr>
    </w:p>
    <w:p w:rsidR="00357C8A" w:rsidP="00F171B7" w14:paraId="7730840A" w14:textId="49744B76">
      <w:pPr>
        <w:autoSpaceDE w:val="0"/>
        <w:autoSpaceDN w:val="0"/>
        <w:adjustRightInd w:val="0"/>
        <w:rPr>
          <w:rFonts w:ascii="TimesNewRomanPSMT" w:hAnsi="TimesNewRomanPSMT" w:cs="TimesNewRomanPSMT"/>
        </w:rPr>
      </w:pPr>
      <w:r w:rsidRPr="005A0955">
        <w:rPr>
          <w:rFonts w:ascii="TimesNewRomanPSMT" w:hAnsi="TimesNewRomanPSMT" w:cs="TimesNewRomanPSMT"/>
        </w:rPr>
        <w:t>Consistent with established practice</w:t>
      </w:r>
      <w:r>
        <w:rPr>
          <w:rFonts w:ascii="TimesNewRomanPSMT" w:hAnsi="TimesNewRomanPSMT" w:cs="TimesNewRomanPSMT"/>
        </w:rPr>
        <w:t>,</w:t>
      </w:r>
      <w:r w:rsidRPr="005A0955">
        <w:rPr>
          <w:rFonts w:ascii="TimesNewRomanPSMT" w:hAnsi="TimesNewRomanPSMT" w:cs="TimesNewRomanPSMT"/>
        </w:rPr>
        <w:t xml:space="preserve"> FDA will publish a </w:t>
      </w:r>
      <w:r w:rsidRPr="004B0EDB">
        <w:rPr>
          <w:rFonts w:ascii="TimesNewRomanPSMT" w:hAnsi="TimesNewRomanPSMT" w:cs="TimesNewRomanPSMT"/>
          <w:i/>
          <w:iCs/>
        </w:rPr>
        <w:t>Federal Register</w:t>
      </w:r>
      <w:r w:rsidRPr="005A0955">
        <w:rPr>
          <w:rFonts w:ascii="TimesNewRomanPSMT" w:hAnsi="TimesNewRomanPSMT" w:cs="TimesNewRomanPSMT"/>
        </w:rPr>
        <w:t xml:space="preserve"> notice announcing OMB approval of the information collection associated with th</w:t>
      </w:r>
      <w:r>
        <w:rPr>
          <w:rFonts w:ascii="TimesNewRomanPSMT" w:hAnsi="TimesNewRomanPSMT" w:cs="TimesNewRomanPSMT"/>
        </w:rPr>
        <w:t>e</w:t>
      </w:r>
      <w:r w:rsidRPr="005A0955">
        <w:rPr>
          <w:rFonts w:ascii="TimesNewRomanPSMT" w:hAnsi="TimesNewRomanPSMT" w:cs="TimesNewRomanPSMT"/>
        </w:rPr>
        <w:t xml:space="preserve"> guidance document</w:t>
      </w:r>
      <w:r>
        <w:rPr>
          <w:rFonts w:ascii="TimesNewRomanPSMT" w:hAnsi="TimesNewRomanPSMT" w:cs="TimesNewRomanPSMT"/>
        </w:rPr>
        <w:t>s</w:t>
      </w:r>
      <w:r w:rsidRPr="005A0955">
        <w:rPr>
          <w:rFonts w:ascii="TimesNewRomanPSMT" w:hAnsi="TimesNewRomanPSMT" w:cs="TimesNewRomanPSMT"/>
        </w:rPr>
        <w:t xml:space="preserve"> and will display in that notice both the OMB control number and its current expiration date. </w:t>
      </w:r>
      <w:r>
        <w:rPr>
          <w:rFonts w:ascii="TimesNewRomanPSMT" w:hAnsi="TimesNewRomanPSMT" w:cs="TimesNewRomanPSMT"/>
        </w:rPr>
        <w:t xml:space="preserve"> </w:t>
      </w:r>
      <w:r w:rsidRPr="005A0955">
        <w:rPr>
          <w:rFonts w:ascii="TimesNewRomanPSMT" w:hAnsi="TimesNewRomanPSMT" w:cs="TimesNewRomanPSMT"/>
        </w:rPr>
        <w:t>In addition, the OMB control number will be displayed on the guidance document</w:t>
      </w:r>
      <w:r>
        <w:rPr>
          <w:rFonts w:ascii="TimesNewRomanPSMT" w:hAnsi="TimesNewRomanPSMT" w:cs="TimesNewRomanPSMT"/>
        </w:rPr>
        <w:t>s’</w:t>
      </w:r>
      <w:r w:rsidRPr="005A0955">
        <w:rPr>
          <w:rFonts w:ascii="TimesNewRomanPSMT" w:hAnsi="TimesNewRomanPSMT" w:cs="TimesNewRomanPSMT"/>
        </w:rPr>
        <w:t xml:space="preserve"> cover page and include a link to </w:t>
      </w:r>
      <w:hyperlink r:id="rId8" w:history="1">
        <w:r w:rsidRPr="007A553D">
          <w:rPr>
            <w:rStyle w:val="Hyperlink"/>
            <w:rFonts w:ascii="TimesNewRomanPSMT" w:hAnsi="TimesNewRomanPSMT" w:cs="TimesNewRomanPSMT"/>
          </w:rPr>
          <w:t>https://www.reginfo.gov/public/do/PRAMain</w:t>
        </w:r>
      </w:hyperlink>
      <w:r w:rsidRPr="005A0955">
        <w:rPr>
          <w:rFonts w:ascii="TimesNewRomanPSMT" w:hAnsi="TimesNewRomanPSMT" w:cs="TimesNewRomanPSMT"/>
        </w:rPr>
        <w:t xml:space="preserve"> to identify the current expiration date.</w:t>
      </w:r>
    </w:p>
    <w:p w:rsidR="003A4118" w:rsidRPr="00896CB1" w:rsidP="00F171B7" w14:paraId="07C9E2DA" w14:textId="77777777">
      <w:pPr>
        <w:autoSpaceDE w:val="0"/>
        <w:autoSpaceDN w:val="0"/>
        <w:adjustRightInd w:val="0"/>
        <w:rPr>
          <w:rFonts w:eastAsia="Calibri"/>
          <w:color w:val="000000" w:themeColor="text1"/>
        </w:rPr>
      </w:pPr>
    </w:p>
    <w:p w:rsidR="00357C8A" w:rsidRPr="00357C8A" w:rsidP="00F171B7" w14:paraId="1B467603" w14:textId="77777777">
      <w:pPr>
        <w:numPr>
          <w:ilvl w:val="0"/>
          <w:numId w:val="6"/>
        </w:numPr>
        <w:spacing w:line="276" w:lineRule="auto"/>
        <w:ind w:left="0"/>
        <w:rPr>
          <w:rFonts w:eastAsia="Calibri"/>
          <w:u w:val="single"/>
        </w:rPr>
      </w:pPr>
      <w:r w:rsidRPr="00357C8A">
        <w:rPr>
          <w:rFonts w:eastAsia="Calibri"/>
          <w:u w:val="single"/>
        </w:rPr>
        <w:t>Exceptions to Certification for Paperwork Reduction Act Submissions</w:t>
      </w:r>
    </w:p>
    <w:p w:rsidR="00E564DD" w:rsidP="00F171B7" w14:paraId="464DBC17" w14:textId="77777777">
      <w:pPr>
        <w:rPr>
          <w:rFonts w:ascii="TimesNewRomanPSMT" w:hAnsi="TimesNewRomanPSMT" w:cs="TimesNewRomanPSMT"/>
        </w:rPr>
      </w:pPr>
    </w:p>
    <w:p w:rsidR="007E3045" w:rsidRPr="00C20690" w:rsidP="00F171B7" w14:paraId="40CA0E03" w14:textId="7CE05C9C">
      <w:pPr>
        <w:rPr>
          <w:rFonts w:eastAsia="Calibri"/>
        </w:rPr>
      </w:pPr>
      <w:r>
        <w:rPr>
          <w:rFonts w:ascii="TimesNewRomanPSMT" w:hAnsi="TimesNewRomanPSMT" w:cs="TimesNewRomanPSMT"/>
        </w:rPr>
        <w:t>There are no exceptions to the certification.</w:t>
      </w:r>
    </w:p>
    <w:p w:rsidR="00544138" w:rsidRPr="00C20690" w:rsidP="00F171B7" w14:paraId="21F3746F" w14:textId="6CCAE771">
      <w:pPr>
        <w:rPr>
          <w:rFonts w:eastAsia="Calibri"/>
        </w:rPr>
      </w:pPr>
    </w:p>
    <w:sectPr w:rsidSect="00C55640">
      <w:footerReference w:type="even" r:id="rId9"/>
      <w:footerReference w:type="default" r:id="rId10"/>
      <w:pgSz w:w="12240" w:h="15840" w:code="1"/>
      <w:pgMar w:top="1440" w:right="1296"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918B6E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542C7F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BBAA2E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209461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2182208A"/>
    <w:multiLevelType w:val="hybridMultilevel"/>
    <w:tmpl w:val="29423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91783499">
    <w:abstractNumId w:val="6"/>
  </w:num>
  <w:num w:numId="2" w16cid:durableId="1839811453">
    <w:abstractNumId w:val="1"/>
  </w:num>
  <w:num w:numId="3" w16cid:durableId="777524338">
    <w:abstractNumId w:val="7"/>
  </w:num>
  <w:num w:numId="4" w16cid:durableId="545681796">
    <w:abstractNumId w:val="4"/>
  </w:num>
  <w:num w:numId="5" w16cid:durableId="595016693">
    <w:abstractNumId w:val="8"/>
  </w:num>
  <w:num w:numId="6" w16cid:durableId="1683821028">
    <w:abstractNumId w:val="0"/>
  </w:num>
  <w:num w:numId="7" w16cid:durableId="210502436">
    <w:abstractNumId w:val="2"/>
  </w:num>
  <w:num w:numId="8" w16cid:durableId="836842663">
    <w:abstractNumId w:val="5"/>
  </w:num>
  <w:num w:numId="9" w16cid:durableId="10735395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3A4"/>
    <w:rsid w:val="00013C7D"/>
    <w:rsid w:val="00025A9F"/>
    <w:rsid w:val="000273E7"/>
    <w:rsid w:val="00031A2C"/>
    <w:rsid w:val="00042B93"/>
    <w:rsid w:val="00043C7F"/>
    <w:rsid w:val="000467A8"/>
    <w:rsid w:val="00053A50"/>
    <w:rsid w:val="000600F3"/>
    <w:rsid w:val="0006570F"/>
    <w:rsid w:val="00075DE8"/>
    <w:rsid w:val="00087439"/>
    <w:rsid w:val="00092818"/>
    <w:rsid w:val="000B51DE"/>
    <w:rsid w:val="000C1260"/>
    <w:rsid w:val="000C560C"/>
    <w:rsid w:val="000C7CA4"/>
    <w:rsid w:val="000D080B"/>
    <w:rsid w:val="000D1F1B"/>
    <w:rsid w:val="000D48FD"/>
    <w:rsid w:val="000D79CC"/>
    <w:rsid w:val="000E1C64"/>
    <w:rsid w:val="000F2ED9"/>
    <w:rsid w:val="000F7119"/>
    <w:rsid w:val="00100739"/>
    <w:rsid w:val="001016CE"/>
    <w:rsid w:val="0010493E"/>
    <w:rsid w:val="001075D3"/>
    <w:rsid w:val="00107885"/>
    <w:rsid w:val="00111458"/>
    <w:rsid w:val="00114C0B"/>
    <w:rsid w:val="00114FC4"/>
    <w:rsid w:val="0012329C"/>
    <w:rsid w:val="00134FA7"/>
    <w:rsid w:val="0013755D"/>
    <w:rsid w:val="00137950"/>
    <w:rsid w:val="00141340"/>
    <w:rsid w:val="0014333C"/>
    <w:rsid w:val="0014606D"/>
    <w:rsid w:val="001467C1"/>
    <w:rsid w:val="00152F29"/>
    <w:rsid w:val="00162D0E"/>
    <w:rsid w:val="00174D54"/>
    <w:rsid w:val="0017702C"/>
    <w:rsid w:val="00185270"/>
    <w:rsid w:val="001878EB"/>
    <w:rsid w:val="001A3B5A"/>
    <w:rsid w:val="001A458C"/>
    <w:rsid w:val="001B7CE9"/>
    <w:rsid w:val="001C6C95"/>
    <w:rsid w:val="001D1788"/>
    <w:rsid w:val="001D495A"/>
    <w:rsid w:val="001E244C"/>
    <w:rsid w:val="001E38EB"/>
    <w:rsid w:val="001F099E"/>
    <w:rsid w:val="001F1437"/>
    <w:rsid w:val="00202F54"/>
    <w:rsid w:val="00206799"/>
    <w:rsid w:val="002074FE"/>
    <w:rsid w:val="00215DD6"/>
    <w:rsid w:val="002179C2"/>
    <w:rsid w:val="0022425B"/>
    <w:rsid w:val="002259EF"/>
    <w:rsid w:val="002262A1"/>
    <w:rsid w:val="00227AE1"/>
    <w:rsid w:val="00230C52"/>
    <w:rsid w:val="0023779A"/>
    <w:rsid w:val="00242ED1"/>
    <w:rsid w:val="002444BB"/>
    <w:rsid w:val="0025240C"/>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B275B"/>
    <w:rsid w:val="002B6B9C"/>
    <w:rsid w:val="002D14D8"/>
    <w:rsid w:val="002D4799"/>
    <w:rsid w:val="002D5390"/>
    <w:rsid w:val="002E3FA4"/>
    <w:rsid w:val="002E4638"/>
    <w:rsid w:val="002E53A5"/>
    <w:rsid w:val="002E64B8"/>
    <w:rsid w:val="002E6834"/>
    <w:rsid w:val="00311379"/>
    <w:rsid w:val="003113FF"/>
    <w:rsid w:val="00312622"/>
    <w:rsid w:val="0032277F"/>
    <w:rsid w:val="00332D6B"/>
    <w:rsid w:val="00335091"/>
    <w:rsid w:val="00336B69"/>
    <w:rsid w:val="0034302B"/>
    <w:rsid w:val="00350523"/>
    <w:rsid w:val="00350A3C"/>
    <w:rsid w:val="0035189D"/>
    <w:rsid w:val="003550A9"/>
    <w:rsid w:val="00355B62"/>
    <w:rsid w:val="00357C8A"/>
    <w:rsid w:val="003616AB"/>
    <w:rsid w:val="003740BC"/>
    <w:rsid w:val="0037456B"/>
    <w:rsid w:val="003801A3"/>
    <w:rsid w:val="00383D90"/>
    <w:rsid w:val="003870AE"/>
    <w:rsid w:val="00387761"/>
    <w:rsid w:val="003A0B56"/>
    <w:rsid w:val="003A1A27"/>
    <w:rsid w:val="003A4118"/>
    <w:rsid w:val="003A50CC"/>
    <w:rsid w:val="003B0207"/>
    <w:rsid w:val="003B0C6D"/>
    <w:rsid w:val="003B42B3"/>
    <w:rsid w:val="003B6384"/>
    <w:rsid w:val="003C0FE2"/>
    <w:rsid w:val="003C2ECE"/>
    <w:rsid w:val="003C4EBB"/>
    <w:rsid w:val="003C5ADE"/>
    <w:rsid w:val="003D1531"/>
    <w:rsid w:val="003E1E70"/>
    <w:rsid w:val="003E3B3B"/>
    <w:rsid w:val="003E4EC6"/>
    <w:rsid w:val="003E527E"/>
    <w:rsid w:val="003E553E"/>
    <w:rsid w:val="003E7078"/>
    <w:rsid w:val="003F3DF5"/>
    <w:rsid w:val="003F5E69"/>
    <w:rsid w:val="003F73B8"/>
    <w:rsid w:val="00401CF8"/>
    <w:rsid w:val="0040297E"/>
    <w:rsid w:val="00404559"/>
    <w:rsid w:val="00411D11"/>
    <w:rsid w:val="00414494"/>
    <w:rsid w:val="00415E23"/>
    <w:rsid w:val="0041670D"/>
    <w:rsid w:val="00423272"/>
    <w:rsid w:val="00424061"/>
    <w:rsid w:val="00430D31"/>
    <w:rsid w:val="00437B62"/>
    <w:rsid w:val="00442A3C"/>
    <w:rsid w:val="00443969"/>
    <w:rsid w:val="00443FE3"/>
    <w:rsid w:val="00447D74"/>
    <w:rsid w:val="00450A74"/>
    <w:rsid w:val="004546BF"/>
    <w:rsid w:val="00465350"/>
    <w:rsid w:val="00476B91"/>
    <w:rsid w:val="0047796A"/>
    <w:rsid w:val="00481D52"/>
    <w:rsid w:val="004846BF"/>
    <w:rsid w:val="00484D5B"/>
    <w:rsid w:val="00484E0E"/>
    <w:rsid w:val="00494025"/>
    <w:rsid w:val="00494912"/>
    <w:rsid w:val="004A0587"/>
    <w:rsid w:val="004A184D"/>
    <w:rsid w:val="004A3021"/>
    <w:rsid w:val="004A5323"/>
    <w:rsid w:val="004A5A99"/>
    <w:rsid w:val="004B0EDB"/>
    <w:rsid w:val="004C1756"/>
    <w:rsid w:val="004C6979"/>
    <w:rsid w:val="004D13A2"/>
    <w:rsid w:val="004D29A7"/>
    <w:rsid w:val="004D3521"/>
    <w:rsid w:val="004D3E7A"/>
    <w:rsid w:val="004E77C4"/>
    <w:rsid w:val="004F418C"/>
    <w:rsid w:val="004F594B"/>
    <w:rsid w:val="004F61E1"/>
    <w:rsid w:val="0050069F"/>
    <w:rsid w:val="00522687"/>
    <w:rsid w:val="0053380B"/>
    <w:rsid w:val="00543194"/>
    <w:rsid w:val="00543CC7"/>
    <w:rsid w:val="00544138"/>
    <w:rsid w:val="005515E3"/>
    <w:rsid w:val="00554E34"/>
    <w:rsid w:val="00575CE8"/>
    <w:rsid w:val="00584583"/>
    <w:rsid w:val="00587D15"/>
    <w:rsid w:val="00590E90"/>
    <w:rsid w:val="00590EEB"/>
    <w:rsid w:val="005956AE"/>
    <w:rsid w:val="005A0955"/>
    <w:rsid w:val="005A4099"/>
    <w:rsid w:val="005B4CF3"/>
    <w:rsid w:val="005C38B2"/>
    <w:rsid w:val="005C5029"/>
    <w:rsid w:val="005C55C2"/>
    <w:rsid w:val="005C71CA"/>
    <w:rsid w:val="005C745C"/>
    <w:rsid w:val="005D3219"/>
    <w:rsid w:val="005D4DF5"/>
    <w:rsid w:val="005D65FD"/>
    <w:rsid w:val="005E42BA"/>
    <w:rsid w:val="005F001B"/>
    <w:rsid w:val="00611D6B"/>
    <w:rsid w:val="00623641"/>
    <w:rsid w:val="00625CFD"/>
    <w:rsid w:val="0063202C"/>
    <w:rsid w:val="006326EC"/>
    <w:rsid w:val="00633730"/>
    <w:rsid w:val="00651745"/>
    <w:rsid w:val="00653B43"/>
    <w:rsid w:val="00654CEC"/>
    <w:rsid w:val="00663A42"/>
    <w:rsid w:val="006641C7"/>
    <w:rsid w:val="006705EA"/>
    <w:rsid w:val="00670BE2"/>
    <w:rsid w:val="0068285A"/>
    <w:rsid w:val="00682A68"/>
    <w:rsid w:val="00685DA7"/>
    <w:rsid w:val="006916D9"/>
    <w:rsid w:val="00693883"/>
    <w:rsid w:val="006A0E05"/>
    <w:rsid w:val="006A26C6"/>
    <w:rsid w:val="006A4236"/>
    <w:rsid w:val="006A465A"/>
    <w:rsid w:val="006A7D5D"/>
    <w:rsid w:val="006B3A95"/>
    <w:rsid w:val="006B42D6"/>
    <w:rsid w:val="006D0C12"/>
    <w:rsid w:val="006D513C"/>
    <w:rsid w:val="006D5D57"/>
    <w:rsid w:val="006D7F00"/>
    <w:rsid w:val="006E23C8"/>
    <w:rsid w:val="006E2538"/>
    <w:rsid w:val="006E302F"/>
    <w:rsid w:val="006F4D6D"/>
    <w:rsid w:val="006F70DE"/>
    <w:rsid w:val="00705086"/>
    <w:rsid w:val="007168D1"/>
    <w:rsid w:val="00722001"/>
    <w:rsid w:val="007233D9"/>
    <w:rsid w:val="00732889"/>
    <w:rsid w:val="0073400C"/>
    <w:rsid w:val="00744525"/>
    <w:rsid w:val="007466C8"/>
    <w:rsid w:val="00751E66"/>
    <w:rsid w:val="00754497"/>
    <w:rsid w:val="00757E29"/>
    <w:rsid w:val="00757F63"/>
    <w:rsid w:val="007665C5"/>
    <w:rsid w:val="00773201"/>
    <w:rsid w:val="00773A27"/>
    <w:rsid w:val="00783923"/>
    <w:rsid w:val="00787C39"/>
    <w:rsid w:val="00792947"/>
    <w:rsid w:val="00795DF3"/>
    <w:rsid w:val="007A373C"/>
    <w:rsid w:val="007A553D"/>
    <w:rsid w:val="007B225C"/>
    <w:rsid w:val="007B40F6"/>
    <w:rsid w:val="007C75B1"/>
    <w:rsid w:val="007D3C06"/>
    <w:rsid w:val="007D3DFC"/>
    <w:rsid w:val="007E2F07"/>
    <w:rsid w:val="007E3045"/>
    <w:rsid w:val="007E3950"/>
    <w:rsid w:val="007E59A8"/>
    <w:rsid w:val="007F7CA4"/>
    <w:rsid w:val="00800A6F"/>
    <w:rsid w:val="0080600C"/>
    <w:rsid w:val="0080776D"/>
    <w:rsid w:val="00810145"/>
    <w:rsid w:val="008108FA"/>
    <w:rsid w:val="00810FF1"/>
    <w:rsid w:val="00822336"/>
    <w:rsid w:val="00823738"/>
    <w:rsid w:val="00823DFA"/>
    <w:rsid w:val="0083301F"/>
    <w:rsid w:val="00842DB7"/>
    <w:rsid w:val="00843752"/>
    <w:rsid w:val="0084479F"/>
    <w:rsid w:val="0085725E"/>
    <w:rsid w:val="00873D4F"/>
    <w:rsid w:val="00874F05"/>
    <w:rsid w:val="0087509F"/>
    <w:rsid w:val="00885B09"/>
    <w:rsid w:val="00892400"/>
    <w:rsid w:val="00896CB1"/>
    <w:rsid w:val="008A209D"/>
    <w:rsid w:val="008A22BB"/>
    <w:rsid w:val="008A4B36"/>
    <w:rsid w:val="008B035D"/>
    <w:rsid w:val="008B0E29"/>
    <w:rsid w:val="008B0EFA"/>
    <w:rsid w:val="008B30AB"/>
    <w:rsid w:val="008B597D"/>
    <w:rsid w:val="008C0251"/>
    <w:rsid w:val="008C3BB8"/>
    <w:rsid w:val="008C4B65"/>
    <w:rsid w:val="008E5F55"/>
    <w:rsid w:val="008E6605"/>
    <w:rsid w:val="009009E7"/>
    <w:rsid w:val="00905DEF"/>
    <w:rsid w:val="00906056"/>
    <w:rsid w:val="009114E9"/>
    <w:rsid w:val="009122AE"/>
    <w:rsid w:val="00913B43"/>
    <w:rsid w:val="00914E78"/>
    <w:rsid w:val="00926292"/>
    <w:rsid w:val="00930203"/>
    <w:rsid w:val="009311D2"/>
    <w:rsid w:val="009311E6"/>
    <w:rsid w:val="00931275"/>
    <w:rsid w:val="00936AC7"/>
    <w:rsid w:val="0094601B"/>
    <w:rsid w:val="00953B64"/>
    <w:rsid w:val="0095422C"/>
    <w:rsid w:val="009646A7"/>
    <w:rsid w:val="00967F04"/>
    <w:rsid w:val="00970A88"/>
    <w:rsid w:val="00977FBF"/>
    <w:rsid w:val="009818A1"/>
    <w:rsid w:val="009973DA"/>
    <w:rsid w:val="009A1674"/>
    <w:rsid w:val="009A4708"/>
    <w:rsid w:val="009B38BE"/>
    <w:rsid w:val="009B4DF2"/>
    <w:rsid w:val="009C127C"/>
    <w:rsid w:val="009C182C"/>
    <w:rsid w:val="009C684F"/>
    <w:rsid w:val="009D074C"/>
    <w:rsid w:val="009D293E"/>
    <w:rsid w:val="009D2C63"/>
    <w:rsid w:val="009D6E73"/>
    <w:rsid w:val="009D73A4"/>
    <w:rsid w:val="009E56F6"/>
    <w:rsid w:val="009F1C5E"/>
    <w:rsid w:val="009F1F1D"/>
    <w:rsid w:val="009F2B4F"/>
    <w:rsid w:val="009F3C63"/>
    <w:rsid w:val="009F66B5"/>
    <w:rsid w:val="00A02F10"/>
    <w:rsid w:val="00A1060C"/>
    <w:rsid w:val="00A15E82"/>
    <w:rsid w:val="00A16221"/>
    <w:rsid w:val="00A20A7D"/>
    <w:rsid w:val="00A2594F"/>
    <w:rsid w:val="00A25DEA"/>
    <w:rsid w:val="00A32E72"/>
    <w:rsid w:val="00A35D42"/>
    <w:rsid w:val="00A45DDF"/>
    <w:rsid w:val="00A46CCF"/>
    <w:rsid w:val="00A506DE"/>
    <w:rsid w:val="00A52032"/>
    <w:rsid w:val="00A53451"/>
    <w:rsid w:val="00A600C3"/>
    <w:rsid w:val="00A61599"/>
    <w:rsid w:val="00A6753A"/>
    <w:rsid w:val="00A70426"/>
    <w:rsid w:val="00A707CC"/>
    <w:rsid w:val="00A71410"/>
    <w:rsid w:val="00A91E9A"/>
    <w:rsid w:val="00A93ED9"/>
    <w:rsid w:val="00A96221"/>
    <w:rsid w:val="00AC2DBB"/>
    <w:rsid w:val="00AC6A99"/>
    <w:rsid w:val="00AD27E3"/>
    <w:rsid w:val="00AD6048"/>
    <w:rsid w:val="00AE3E9A"/>
    <w:rsid w:val="00AF46FE"/>
    <w:rsid w:val="00B01B85"/>
    <w:rsid w:val="00B0405C"/>
    <w:rsid w:val="00B055EF"/>
    <w:rsid w:val="00B06B5B"/>
    <w:rsid w:val="00B121AB"/>
    <w:rsid w:val="00B13ABB"/>
    <w:rsid w:val="00B20626"/>
    <w:rsid w:val="00B20DA2"/>
    <w:rsid w:val="00B23769"/>
    <w:rsid w:val="00B354F4"/>
    <w:rsid w:val="00B40EDD"/>
    <w:rsid w:val="00B41789"/>
    <w:rsid w:val="00B73C3E"/>
    <w:rsid w:val="00B81808"/>
    <w:rsid w:val="00B8283E"/>
    <w:rsid w:val="00B84827"/>
    <w:rsid w:val="00B84D27"/>
    <w:rsid w:val="00B86DFA"/>
    <w:rsid w:val="00B936D0"/>
    <w:rsid w:val="00B97F16"/>
    <w:rsid w:val="00BB15FB"/>
    <w:rsid w:val="00BD033D"/>
    <w:rsid w:val="00BD3D5B"/>
    <w:rsid w:val="00BD7DE3"/>
    <w:rsid w:val="00BE3600"/>
    <w:rsid w:val="00C01F6F"/>
    <w:rsid w:val="00C041EA"/>
    <w:rsid w:val="00C06A1C"/>
    <w:rsid w:val="00C13BBD"/>
    <w:rsid w:val="00C149AB"/>
    <w:rsid w:val="00C16929"/>
    <w:rsid w:val="00C20690"/>
    <w:rsid w:val="00C36020"/>
    <w:rsid w:val="00C36570"/>
    <w:rsid w:val="00C40694"/>
    <w:rsid w:val="00C41203"/>
    <w:rsid w:val="00C447DB"/>
    <w:rsid w:val="00C479BF"/>
    <w:rsid w:val="00C5124B"/>
    <w:rsid w:val="00C55640"/>
    <w:rsid w:val="00C6291D"/>
    <w:rsid w:val="00C70542"/>
    <w:rsid w:val="00C751D6"/>
    <w:rsid w:val="00C75CBF"/>
    <w:rsid w:val="00C84701"/>
    <w:rsid w:val="00C95989"/>
    <w:rsid w:val="00C965EB"/>
    <w:rsid w:val="00CA29F5"/>
    <w:rsid w:val="00CC2894"/>
    <w:rsid w:val="00CC66FB"/>
    <w:rsid w:val="00CC76C0"/>
    <w:rsid w:val="00CD521C"/>
    <w:rsid w:val="00CD77C3"/>
    <w:rsid w:val="00CE112C"/>
    <w:rsid w:val="00CE44B6"/>
    <w:rsid w:val="00CF38D2"/>
    <w:rsid w:val="00CF55D4"/>
    <w:rsid w:val="00D07E6D"/>
    <w:rsid w:val="00D112D2"/>
    <w:rsid w:val="00D168F1"/>
    <w:rsid w:val="00D172AC"/>
    <w:rsid w:val="00D228D4"/>
    <w:rsid w:val="00D4606F"/>
    <w:rsid w:val="00D5519A"/>
    <w:rsid w:val="00D560E7"/>
    <w:rsid w:val="00D608DA"/>
    <w:rsid w:val="00D63D89"/>
    <w:rsid w:val="00D730BF"/>
    <w:rsid w:val="00D820E2"/>
    <w:rsid w:val="00D852F4"/>
    <w:rsid w:val="00D87BB5"/>
    <w:rsid w:val="00DB0BF5"/>
    <w:rsid w:val="00DB1110"/>
    <w:rsid w:val="00DB3730"/>
    <w:rsid w:val="00DC371B"/>
    <w:rsid w:val="00DC3788"/>
    <w:rsid w:val="00DC76C7"/>
    <w:rsid w:val="00DD09F5"/>
    <w:rsid w:val="00DD0E02"/>
    <w:rsid w:val="00DD4201"/>
    <w:rsid w:val="00DD5E9F"/>
    <w:rsid w:val="00DE1C6D"/>
    <w:rsid w:val="00DE1E08"/>
    <w:rsid w:val="00DE5711"/>
    <w:rsid w:val="00E00EA0"/>
    <w:rsid w:val="00E021CB"/>
    <w:rsid w:val="00E0262B"/>
    <w:rsid w:val="00E06BDB"/>
    <w:rsid w:val="00E078E2"/>
    <w:rsid w:val="00E138F1"/>
    <w:rsid w:val="00E15D26"/>
    <w:rsid w:val="00E2309D"/>
    <w:rsid w:val="00E26758"/>
    <w:rsid w:val="00E30430"/>
    <w:rsid w:val="00E30EB5"/>
    <w:rsid w:val="00E3216A"/>
    <w:rsid w:val="00E32638"/>
    <w:rsid w:val="00E4357B"/>
    <w:rsid w:val="00E443A7"/>
    <w:rsid w:val="00E45904"/>
    <w:rsid w:val="00E46B7C"/>
    <w:rsid w:val="00E46D68"/>
    <w:rsid w:val="00E51367"/>
    <w:rsid w:val="00E536DA"/>
    <w:rsid w:val="00E561EA"/>
    <w:rsid w:val="00E564DD"/>
    <w:rsid w:val="00E605C1"/>
    <w:rsid w:val="00E63DE5"/>
    <w:rsid w:val="00E647AF"/>
    <w:rsid w:val="00E647C7"/>
    <w:rsid w:val="00E65A37"/>
    <w:rsid w:val="00E65EF7"/>
    <w:rsid w:val="00E77B48"/>
    <w:rsid w:val="00E857FB"/>
    <w:rsid w:val="00E91799"/>
    <w:rsid w:val="00E9626C"/>
    <w:rsid w:val="00E97DF8"/>
    <w:rsid w:val="00EA21FE"/>
    <w:rsid w:val="00EA34E3"/>
    <w:rsid w:val="00EB0215"/>
    <w:rsid w:val="00EB7538"/>
    <w:rsid w:val="00EC1868"/>
    <w:rsid w:val="00ED3E2C"/>
    <w:rsid w:val="00EE6468"/>
    <w:rsid w:val="00F04AB0"/>
    <w:rsid w:val="00F1299B"/>
    <w:rsid w:val="00F171B7"/>
    <w:rsid w:val="00F207A4"/>
    <w:rsid w:val="00F21208"/>
    <w:rsid w:val="00F25173"/>
    <w:rsid w:val="00F2591F"/>
    <w:rsid w:val="00F355AC"/>
    <w:rsid w:val="00F355C2"/>
    <w:rsid w:val="00F40CF7"/>
    <w:rsid w:val="00F44194"/>
    <w:rsid w:val="00F664E6"/>
    <w:rsid w:val="00F71A5A"/>
    <w:rsid w:val="00F73A1A"/>
    <w:rsid w:val="00F769E0"/>
    <w:rsid w:val="00F96F29"/>
    <w:rsid w:val="00FA4A46"/>
    <w:rsid w:val="00FA75FE"/>
    <w:rsid w:val="00FB1032"/>
    <w:rsid w:val="00FB39BC"/>
    <w:rsid w:val="00FB6A53"/>
    <w:rsid w:val="00FC11CA"/>
    <w:rsid w:val="00FC6B6A"/>
    <w:rsid w:val="00FC6BDE"/>
    <w:rsid w:val="00FD3DE5"/>
    <w:rsid w:val="00FE144E"/>
    <w:rsid w:val="00FE43C1"/>
    <w:rsid w:val="00FF0D90"/>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0F1A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7233D9"/>
    <w:rPr>
      <w:sz w:val="24"/>
      <w:szCs w:val="24"/>
    </w:rPr>
  </w:style>
  <w:style w:type="character" w:styleId="CommentReference">
    <w:name w:val="annotation reference"/>
    <w:basedOn w:val="DefaultParagraphFont"/>
    <w:rsid w:val="00732889"/>
    <w:rPr>
      <w:sz w:val="16"/>
      <w:szCs w:val="16"/>
    </w:rPr>
  </w:style>
  <w:style w:type="paragraph" w:styleId="CommentText">
    <w:name w:val="annotation text"/>
    <w:basedOn w:val="Normal"/>
    <w:link w:val="CommentTextChar"/>
    <w:rsid w:val="00732889"/>
    <w:rPr>
      <w:sz w:val="20"/>
      <w:szCs w:val="20"/>
    </w:rPr>
  </w:style>
  <w:style w:type="character" w:customStyle="1" w:styleId="CommentTextChar">
    <w:name w:val="Comment Text Char"/>
    <w:basedOn w:val="DefaultParagraphFont"/>
    <w:link w:val="CommentText"/>
    <w:rsid w:val="00732889"/>
  </w:style>
  <w:style w:type="paragraph" w:styleId="CommentSubject">
    <w:name w:val="annotation subject"/>
    <w:basedOn w:val="CommentText"/>
    <w:next w:val="CommentText"/>
    <w:link w:val="CommentSubjectChar"/>
    <w:rsid w:val="00732889"/>
    <w:rPr>
      <w:b/>
      <w:bCs/>
    </w:rPr>
  </w:style>
  <w:style w:type="character" w:customStyle="1" w:styleId="CommentSubjectChar">
    <w:name w:val="Comment Subject Char"/>
    <w:basedOn w:val="CommentTextChar"/>
    <w:link w:val="CommentSubject"/>
    <w:rsid w:val="00732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food/guidance-regulation-food-and-dietary-supplements/guidance-documents-regulatory-information-topic-food-and-dietary-supplements" TargetMode="External" /><Relationship Id="rId5" Type="http://schemas.openxmlformats.org/officeDocument/2006/relationships/hyperlink" Target="https://www.fda.gov/food/exporting-food-products-united-states/food-export-lists" TargetMode="External" /><Relationship Id="rId6" Type="http://schemas.openxmlformats.org/officeDocument/2006/relationships/hyperlink" Target="https://www.fda.gov/regulatory-information/search-fda-guidance-documents/fda-export-certification" TargetMode="External" /><Relationship Id="rId7" Type="http://schemas.openxmlformats.org/officeDocument/2006/relationships/hyperlink" Target="https://www.fda.gov/industry/small-business-assistance" TargetMode="External" /><Relationship Id="rId8" Type="http://schemas.openxmlformats.org/officeDocument/2006/relationships/hyperlink" Target="https://www.reginfo.gov/public/do/PRAMain"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2556</Words>
  <Characters>15671</Characters>
  <Application>Microsoft Office Word</Application>
  <DocSecurity>0</DocSecurity>
  <Lines>130</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2025-08-01T13:20:00Z</dcterms:created>
  <dcterms:modified xsi:type="dcterms:W3CDTF">2025-08-01T13:20:00Z</dcterms:modified>
</cp:coreProperties>
</file>