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7D99" w:rsidP="00327D99" w14:paraId="28C24967" w14:textId="53B6D37B">
      <w:pPr>
        <w:jc w:val="center"/>
        <w:rPr>
          <w:bCs/>
        </w:rPr>
      </w:pPr>
      <w:r w:rsidRPr="000758C0">
        <w:rPr>
          <w:bCs/>
        </w:rPr>
        <w:t>U.S. Food and Drug Administration</w:t>
      </w:r>
    </w:p>
    <w:p w:rsidR="007B56D1" w:rsidRPr="000758C0" w:rsidP="00327D99" w14:paraId="3ADBDD04" w14:textId="77777777">
      <w:pPr>
        <w:jc w:val="center"/>
        <w:rPr>
          <w:b/>
        </w:rPr>
      </w:pPr>
    </w:p>
    <w:p w:rsidR="0013066B" w:rsidP="008311B5" w14:paraId="011B21E5" w14:textId="149F838F">
      <w:pPr>
        <w:jc w:val="center"/>
        <w:rPr>
          <w:bCs/>
        </w:rPr>
      </w:pPr>
      <w:r w:rsidRPr="000758C0">
        <w:t xml:space="preserve">A Survey </w:t>
      </w:r>
      <w:r w:rsidRPr="000758C0" w:rsidR="00E935C3">
        <w:t>on Quantitative Claims in Direct-to-Consumer Prescription Drug Advertising</w:t>
      </w:r>
    </w:p>
    <w:p w:rsidR="00717C96" w:rsidP="00D92E8A" w14:paraId="14169890" w14:textId="77777777">
      <w:pPr>
        <w:jc w:val="center"/>
        <w:rPr>
          <w:bCs/>
        </w:rPr>
      </w:pPr>
    </w:p>
    <w:p w:rsidR="00327D99" w:rsidP="00D92E8A" w14:paraId="476D4467" w14:textId="7D8FE379">
      <w:pPr>
        <w:jc w:val="center"/>
        <w:rPr>
          <w:bCs/>
        </w:rPr>
      </w:pPr>
      <w:r w:rsidRPr="000758C0">
        <w:rPr>
          <w:bCs/>
        </w:rPr>
        <w:t>OMB Control Number 0910-</w:t>
      </w:r>
      <w:r w:rsidRPr="000758C0" w:rsidR="00E935C3">
        <w:rPr>
          <w:bCs/>
        </w:rPr>
        <w:t>0929</w:t>
      </w:r>
    </w:p>
    <w:p w:rsidR="00FD7D5F" w:rsidP="00327D99" w14:paraId="2183AA60" w14:textId="77777777">
      <w:pPr>
        <w:tabs>
          <w:tab w:val="left" w:pos="3255"/>
        </w:tabs>
        <w:rPr>
          <w:bCs/>
        </w:rPr>
      </w:pPr>
    </w:p>
    <w:p w:rsidR="00327D99" w:rsidRPr="00C56F68" w:rsidP="00C56F68" w14:paraId="45E5F816" w14:textId="70A15846">
      <w:pPr>
        <w:tabs>
          <w:tab w:val="left" w:pos="3255"/>
        </w:tabs>
        <w:jc w:val="center"/>
        <w:rPr>
          <w:bCs/>
        </w:rPr>
      </w:pPr>
      <w:r w:rsidRPr="00C56F68">
        <w:rPr>
          <w:bCs/>
        </w:rPr>
        <w:t>No Material or Non-Substantive Change to a Currently Approved Collection (83-C)</w:t>
      </w:r>
    </w:p>
    <w:p w:rsidR="00327D99" w:rsidRPr="000758C0" w:rsidP="00327D99" w14:paraId="226B4793" w14:textId="77777777">
      <w:pPr>
        <w:tabs>
          <w:tab w:val="left" w:pos="3255"/>
        </w:tabs>
        <w:rPr>
          <w:b/>
        </w:rPr>
      </w:pPr>
    </w:p>
    <w:p w:rsidR="00327D99" w:rsidRPr="000758C0" w:rsidP="00327D99" w14:paraId="08A5953E" w14:textId="152F6CEB">
      <w:pPr>
        <w:rPr>
          <w:b/>
        </w:rPr>
      </w:pPr>
      <w:r w:rsidRPr="000758C0">
        <w:rPr>
          <w:b/>
        </w:rPr>
        <w:t xml:space="preserve">Request for Non-Substantive Change </w:t>
      </w:r>
    </w:p>
    <w:p w:rsidR="00327D99" w:rsidRPr="000758C0" w:rsidP="00327D99" w14:paraId="535B1FE6" w14:textId="77777777">
      <w:pPr>
        <w:jc w:val="center"/>
        <w:rPr>
          <w:bCs/>
        </w:rPr>
      </w:pPr>
    </w:p>
    <w:p w:rsidR="00945820" w:rsidP="00327D99" w14:paraId="157020EB" w14:textId="254F28DB">
      <w:r>
        <w:t>The Food and Drug Administration (FDA) Center for Drug Evaluation and Research (CDER) is seeking</w:t>
      </w:r>
      <w:r w:rsidR="00197D73">
        <w:t xml:space="preserve"> Office of Management and Budget</w:t>
      </w:r>
      <w:r>
        <w:t xml:space="preserve"> </w:t>
      </w:r>
      <w:r w:rsidR="00197D73">
        <w:t>(</w:t>
      </w:r>
      <w:r>
        <w:t>OMB</w:t>
      </w:r>
      <w:r w:rsidR="00197D73">
        <w:t>)</w:t>
      </w:r>
      <w:r>
        <w:t xml:space="preserve"> approval of non-substantive change</w:t>
      </w:r>
      <w:r w:rsidR="000026F2">
        <w:t>s</w:t>
      </w:r>
      <w:r>
        <w:t xml:space="preserve"> to OMB control </w:t>
      </w:r>
      <w:r w:rsidR="00C465C6">
        <w:t>number</w:t>
      </w:r>
      <w:r>
        <w:t xml:space="preserve"> 0910-09</w:t>
      </w:r>
      <w:r w:rsidR="00DC71B6">
        <w:t>29</w:t>
      </w:r>
      <w:r>
        <w:t xml:space="preserve">.  </w:t>
      </w:r>
      <w:r w:rsidR="00CC7E28">
        <w:t xml:space="preserve">The purpose of this survey is to collect insights on consumer understanding of quantitative claims in </w:t>
      </w:r>
      <w:r w:rsidR="00B12AB1">
        <w:t xml:space="preserve">direct-to-consumer </w:t>
      </w:r>
      <w:r w:rsidR="00CC7E28">
        <w:t>prescription drug advertising</w:t>
      </w:r>
      <w:r>
        <w:t xml:space="preserve">. </w:t>
      </w:r>
      <w:r w:rsidR="00CC7E28">
        <w:t xml:space="preserve"> </w:t>
      </w:r>
      <w:r w:rsidR="00D22E73">
        <w:t xml:space="preserve">We anticipated 1,100 participants </w:t>
      </w:r>
      <w:r w:rsidR="00413EA4">
        <w:t>would</w:t>
      </w:r>
      <w:r w:rsidR="00D22E73">
        <w:t xml:space="preserve"> respond to the survey from our initial </w:t>
      </w:r>
      <w:r w:rsidR="002868A9">
        <w:t>recruitment</w:t>
      </w:r>
      <w:r w:rsidR="00D22E73">
        <w:t xml:space="preserve"> of 2,993</w:t>
      </w:r>
      <w:r w:rsidR="002D2639">
        <w:t xml:space="preserve"> individuals. </w:t>
      </w:r>
      <w:r w:rsidR="00CC7E28">
        <w:t xml:space="preserve"> </w:t>
      </w:r>
      <w:r w:rsidR="002D2639">
        <w:t>However,</w:t>
      </w:r>
      <w:r w:rsidR="004B476C">
        <w:t xml:space="preserve"> </w:t>
      </w:r>
      <w:r w:rsidR="002D2639">
        <w:t>the response rate was lower than expected</w:t>
      </w:r>
      <w:r w:rsidR="00047FF6">
        <w:t xml:space="preserve"> due to declining survey response rates seen across </w:t>
      </w:r>
      <w:r w:rsidR="00C465C6">
        <w:t>F</w:t>
      </w:r>
      <w:r w:rsidR="00047FF6">
        <w:t>ederal surveys,</w:t>
      </w:r>
      <w:r w:rsidR="002D2639">
        <w:t xml:space="preserve"> </w:t>
      </w:r>
      <w:r w:rsidR="00047FF6">
        <w:t>resulting in</w:t>
      </w:r>
      <w:r w:rsidR="002D2639">
        <w:t xml:space="preserve"> </w:t>
      </w:r>
      <w:r w:rsidR="00143D2B">
        <w:t>4</w:t>
      </w:r>
      <w:r w:rsidR="00447806">
        <w:t>8</w:t>
      </w:r>
      <w:r w:rsidR="00143D2B">
        <w:t xml:space="preserve">0 survey responses. </w:t>
      </w:r>
      <w:r w:rsidR="00CC7E28">
        <w:t xml:space="preserve"> </w:t>
      </w:r>
      <w:r w:rsidR="001B6B2F">
        <w:t xml:space="preserve">The purpose of this change is to increase the number of </w:t>
      </w:r>
      <w:r w:rsidR="00301490">
        <w:t xml:space="preserve">respondents </w:t>
      </w:r>
      <w:r w:rsidR="005726BE">
        <w:t xml:space="preserve">to </w:t>
      </w:r>
      <w:r w:rsidR="408FF0A3">
        <w:t>get closer to the</w:t>
      </w:r>
      <w:r w:rsidR="005726BE">
        <w:t xml:space="preserve"> previously estimated </w:t>
      </w:r>
      <w:r w:rsidR="00803B52">
        <w:t>survey response</w:t>
      </w:r>
      <w:r w:rsidR="005726BE">
        <w:t xml:space="preserve"> </w:t>
      </w:r>
      <w:r w:rsidR="001B6B2F">
        <w:t>and therefore increase the power to detect differences among subgroups.</w:t>
      </w:r>
      <w:r w:rsidR="00CC7E28">
        <w:t xml:space="preserve"> </w:t>
      </w:r>
      <w:r w:rsidR="001B6B2F">
        <w:t xml:space="preserve"> </w:t>
      </w:r>
    </w:p>
    <w:p w:rsidR="00945820" w:rsidP="00327D99" w14:paraId="2EE8536D" w14:textId="77777777"/>
    <w:p w:rsidR="00232C3D" w:rsidP="00232C3D" w14:paraId="2795C3CF" w14:textId="77777777">
      <w:r>
        <w:t>We request an additional recruitment of 1,500 individuals, with the intent to yield an additional 214 completed surveys and allow us to detect differences of 14.4 percentage points.  Based on the initial recruitment, we are assuming a 15 percent response rate and a 5 percent postage non-deliverable rate for the additional sample.  We updated the burden chart to reflect the revised estimated burden for the survey (table 1).  We also revised (1) the informed consent form to note that the sample is now about 4,500 people and (2) the official FDA announcement of the survey to provide new survey dates for the additional sample (see revised Informed Consent and revised Appendix F).</w:t>
      </w:r>
    </w:p>
    <w:p w:rsidR="00232C3D" w:rsidP="00327D99" w14:paraId="0CC91114" w14:textId="77777777"/>
    <w:p w:rsidR="00095008" w:rsidP="00327D99" w14:paraId="7200EAC1" w14:textId="069B3762">
      <w:r>
        <w:t xml:space="preserve">Because we did not reach the full </w:t>
      </w:r>
      <w:r w:rsidR="00440C27">
        <w:t>survey response</w:t>
      </w:r>
      <w:r>
        <w:t xml:space="preserve"> with our initial recruitment efforts, t</w:t>
      </w:r>
      <w:r w:rsidR="004B144A">
        <w:t>he second wave</w:t>
      </w:r>
      <w:r w:rsidR="008C4DA9">
        <w:t xml:space="preserve"> of data collection</w:t>
      </w:r>
      <w:r w:rsidR="004B144A">
        <w:t xml:space="preserve"> is </w:t>
      </w:r>
      <w:r w:rsidR="009A3F81">
        <w:t xml:space="preserve">intended </w:t>
      </w:r>
      <w:r w:rsidR="00A97E72">
        <w:t xml:space="preserve">to </w:t>
      </w:r>
      <w:r w:rsidR="00BD724E">
        <w:t>collect mo</w:t>
      </w:r>
      <w:r w:rsidR="007C5FD5">
        <w:t>re responses to add to</w:t>
      </w:r>
      <w:r w:rsidR="00A97E72">
        <w:t xml:space="preserve"> the </w:t>
      </w:r>
      <w:r w:rsidR="008C4DA9">
        <w:t xml:space="preserve">full </w:t>
      </w:r>
      <w:r w:rsidR="00A70CBD">
        <w:t xml:space="preserve">final </w:t>
      </w:r>
      <w:r w:rsidR="008C4DA9">
        <w:t>sample</w:t>
      </w:r>
      <w:r w:rsidR="00C87C82">
        <w:t xml:space="preserve">. The second wave </w:t>
      </w:r>
      <w:r w:rsidR="00AD3540">
        <w:t xml:space="preserve">will </w:t>
      </w:r>
      <w:r w:rsidR="00157393">
        <w:t>field</w:t>
      </w:r>
      <w:r w:rsidR="00AD3540">
        <w:t xml:space="preserve"> the</w:t>
      </w:r>
      <w:r w:rsidR="00157393">
        <w:t xml:space="preserve"> survey instrument</w:t>
      </w:r>
      <w:r w:rsidR="00AD3540">
        <w:t xml:space="preserve"> approved by OMB on June 10, 2024</w:t>
      </w:r>
      <w:r w:rsidR="00A97E72">
        <w:t xml:space="preserve">. </w:t>
      </w:r>
      <w:r w:rsidR="00C34A25">
        <w:t xml:space="preserve"> </w:t>
      </w:r>
      <w:r w:rsidR="00A97E72">
        <w:t>It is therefore critical that</w:t>
      </w:r>
      <w:r w:rsidR="009E79BE">
        <w:t xml:space="preserve"> the</w:t>
      </w:r>
      <w:r w:rsidR="00A97E72">
        <w:t xml:space="preserve"> </w:t>
      </w:r>
      <w:r w:rsidR="008C4DA9">
        <w:t xml:space="preserve">survey </w:t>
      </w:r>
      <w:r w:rsidR="005B3A6A">
        <w:t xml:space="preserve">is </w:t>
      </w:r>
      <w:r w:rsidR="00A97E72">
        <w:t>the same</w:t>
      </w:r>
      <w:r w:rsidR="00283201">
        <w:t xml:space="preserve"> for both </w:t>
      </w:r>
      <w:r w:rsidR="007E71A5">
        <w:t>waves</w:t>
      </w:r>
      <w:r w:rsidR="00410D8A">
        <w:t xml:space="preserve"> so that the data can be combined as </w:t>
      </w:r>
      <w:r w:rsidR="00D42575">
        <w:t>planned</w:t>
      </w:r>
      <w:r w:rsidR="00283201">
        <w:t>.</w:t>
      </w:r>
      <w:r>
        <w:t xml:space="preserve"> </w:t>
      </w:r>
      <w:r w:rsidR="000E3E17">
        <w:t xml:space="preserve">We therefore </w:t>
      </w:r>
      <w:r w:rsidR="008D6069">
        <w:t xml:space="preserve">request </w:t>
      </w:r>
      <w:r w:rsidR="000E3E17">
        <w:t xml:space="preserve">an </w:t>
      </w:r>
      <w:r w:rsidR="00AD3540">
        <w:t>exemption</w:t>
      </w:r>
      <w:r w:rsidR="000E3E17">
        <w:t xml:space="preserve"> </w:t>
      </w:r>
      <w:r w:rsidR="008D6069">
        <w:t xml:space="preserve">from </w:t>
      </w:r>
      <w:r w:rsidR="00AE2D50">
        <w:t>collecting</w:t>
      </w:r>
      <w:r w:rsidR="00AE44F2">
        <w:t xml:space="preserve"> the revised </w:t>
      </w:r>
      <w:r w:rsidR="00530FEC">
        <w:t>Statistical Policy Directive No. 15</w:t>
      </w:r>
      <w:r w:rsidR="0061299D">
        <w:t xml:space="preserve"> (</w:t>
      </w:r>
      <w:r w:rsidR="000E3E17">
        <w:t>SPD 15</w:t>
      </w:r>
      <w:r w:rsidR="00530FEC">
        <w:t>)</w:t>
      </w:r>
      <w:r w:rsidR="00AE2D50">
        <w:t xml:space="preserve"> detailed dat</w:t>
      </w:r>
      <w:r w:rsidR="0061299D">
        <w:t>a on race and ethnicity.</w:t>
      </w:r>
      <w:r w:rsidR="006B551F">
        <w:t xml:space="preserve"> </w:t>
      </w:r>
      <w:r w:rsidR="00D93450">
        <w:t xml:space="preserve">If we revised the survey to include the </w:t>
      </w:r>
      <w:r w:rsidR="00EA7AE4">
        <w:t>detailed race and ethnicity categories</w:t>
      </w:r>
      <w:r w:rsidR="00A05F5D">
        <w:t xml:space="preserve">, </w:t>
      </w:r>
      <w:r w:rsidR="00886F9B">
        <w:t>we would have</w:t>
      </w:r>
      <w:r w:rsidR="000B3890">
        <w:t xml:space="preserve"> </w:t>
      </w:r>
      <w:r>
        <w:t xml:space="preserve">different </w:t>
      </w:r>
      <w:r w:rsidR="00945820">
        <w:t xml:space="preserve">race and ethnicity </w:t>
      </w:r>
      <w:r>
        <w:t xml:space="preserve">information for the new participants, </w:t>
      </w:r>
      <w:r w:rsidR="00574684">
        <w:t>which would mean that we could not combine the data from the new participants with the data we have already collected</w:t>
      </w:r>
      <w:r w:rsidR="00886F9B">
        <w:t xml:space="preserve">. </w:t>
      </w:r>
      <w:r w:rsidR="00C34A25">
        <w:t xml:space="preserve"> </w:t>
      </w:r>
      <w:r w:rsidR="004E0090">
        <w:t>Combining the data</w:t>
      </w:r>
      <w:r w:rsidR="00574684">
        <w:t xml:space="preserve"> </w:t>
      </w:r>
      <w:r w:rsidR="00063BFD">
        <w:t xml:space="preserve">from different race and ethnicity items </w:t>
      </w:r>
      <w:r w:rsidR="00574684">
        <w:t>would</w:t>
      </w:r>
      <w:r w:rsidR="00FB3F24">
        <w:t xml:space="preserve"> </w:t>
      </w:r>
      <w:r w:rsidR="6B1748E4">
        <w:t xml:space="preserve">not </w:t>
      </w:r>
      <w:r w:rsidR="00574684">
        <w:t xml:space="preserve">be </w:t>
      </w:r>
      <w:r w:rsidR="6B1748E4">
        <w:t>methodologically sound</w:t>
      </w:r>
      <w:r w:rsidR="003734F6">
        <w:t xml:space="preserve"> </w:t>
      </w:r>
      <w:r w:rsidR="00574684">
        <w:t xml:space="preserve">for this study </w:t>
      </w:r>
      <w:r w:rsidR="000E3E17">
        <w:t xml:space="preserve">because it would add imprecision to our measure of race and ethnicity. </w:t>
      </w:r>
      <w:r w:rsidR="004E0090">
        <w:t xml:space="preserve">In addition, </w:t>
      </w:r>
      <w:r>
        <w:t>SPD 15 states that the seven minimum race and ethnicity categories</w:t>
      </w:r>
      <w:r w:rsidR="00EA7AE4">
        <w:t xml:space="preserve"> </w:t>
      </w:r>
      <w:r>
        <w:t xml:space="preserve">shall be treated co-equally; however, the original survey item which 480 participants have already completed had five categories. </w:t>
      </w:r>
    </w:p>
    <w:p w:rsidR="00E4052C" w:rsidP="00327D99" w14:paraId="4F710B11" w14:textId="77777777"/>
    <w:p w:rsidR="00E4052C" w:rsidRPr="000758C0" w:rsidP="00327D99" w14:paraId="02FC74EE" w14:textId="771E7243">
      <w:r w:rsidRPr="004E7B37">
        <w:t xml:space="preserve">Accordingly, we have adjusted the estimated burden in by </w:t>
      </w:r>
      <w:r w:rsidR="006B17D8">
        <w:t>1,500</w:t>
      </w:r>
      <w:r w:rsidRPr="004E7B37">
        <w:t xml:space="preserve"> responses</w:t>
      </w:r>
      <w:r w:rsidR="006B17D8">
        <w:t xml:space="preserve"> and </w:t>
      </w:r>
      <w:r>
        <w:t>1</w:t>
      </w:r>
      <w:r w:rsidR="006B17D8">
        <w:t>56</w:t>
      </w:r>
      <w:r>
        <w:t xml:space="preserve"> </w:t>
      </w:r>
      <w:r w:rsidRPr="004E7B37">
        <w:t>hours</w:t>
      </w:r>
      <w:r w:rsidR="006B17D8">
        <w:t>.</w:t>
      </w:r>
    </w:p>
    <w:p w:rsidR="00327D99" w:rsidRPr="000758C0" w:rsidP="00327D99" w14:paraId="285BC169" w14:textId="77777777"/>
    <w:tbl>
      <w:tblPr>
        <w:tblW w:w="5000" w:type="pct"/>
        <w:tblCellMar>
          <w:left w:w="0" w:type="dxa"/>
          <w:right w:w="0" w:type="dxa"/>
        </w:tblCellMar>
        <w:tblLook w:val="04A0"/>
      </w:tblPr>
      <w:tblGrid>
        <w:gridCol w:w="1664"/>
        <w:gridCol w:w="1443"/>
        <w:gridCol w:w="1846"/>
        <w:gridCol w:w="1316"/>
        <w:gridCol w:w="1994"/>
        <w:gridCol w:w="1097"/>
      </w:tblGrid>
      <w:tr w14:paraId="628CAD4C" w14:textId="77777777">
        <w:tblPrEx>
          <w:tblW w:w="5000" w:type="pct"/>
          <w:tblCellMar>
            <w:left w:w="0" w:type="dxa"/>
            <w:right w:w="0" w:type="dxa"/>
          </w:tblCellMar>
          <w:tblLook w:val="04A0"/>
        </w:tblPrEx>
        <w:tc>
          <w:tcPr>
            <w:tcW w:w="5000" w:type="pct"/>
            <w:gridSpan w:val="6"/>
            <w:tcBorders>
              <w:bottom w:val="single" w:sz="8" w:space="0" w:color="auto"/>
            </w:tcBorders>
            <w:tcMar>
              <w:top w:w="0" w:type="dxa"/>
              <w:left w:w="108" w:type="dxa"/>
              <w:bottom w:w="0" w:type="dxa"/>
              <w:right w:w="108" w:type="dxa"/>
            </w:tcMar>
            <w:vAlign w:val="center"/>
            <w:hideMark/>
          </w:tcPr>
          <w:p w:rsidR="00AE7847" w:rsidRPr="000758C0" w14:paraId="26213220" w14:textId="77777777">
            <w:pPr>
              <w:keepNext/>
              <w:jc w:val="center"/>
            </w:pPr>
            <w:r w:rsidRPr="000758C0">
              <w:br w:type="page"/>
              <w:t>Table 1.--Estimated Annual Reporting Burden</w:t>
            </w:r>
            <w:r w:rsidRPr="000758C0">
              <w:rPr>
                <w:vertAlign w:val="superscript"/>
              </w:rPr>
              <w:t>1</w:t>
            </w:r>
          </w:p>
        </w:tc>
      </w:tr>
      <w:tr w14:paraId="25EA0FC1" w14:textId="77777777">
        <w:tblPrEx>
          <w:tblW w:w="5000" w:type="pct"/>
          <w:tblCellMar>
            <w:left w:w="0" w:type="dxa"/>
            <w:right w:w="0" w:type="dxa"/>
          </w:tblCellMar>
          <w:tblLook w:val="04A0"/>
        </w:tblPrEx>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E7847" w:rsidRPr="000758C0" w14:paraId="49E114E0" w14:textId="77777777">
            <w:pPr>
              <w:jc w:val="center"/>
            </w:pPr>
            <w:r w:rsidRPr="000758C0">
              <w:t>Activity</w:t>
            </w:r>
          </w:p>
        </w:tc>
        <w:tc>
          <w:tcPr>
            <w:tcW w:w="771" w:type="pct"/>
            <w:tcBorders>
              <w:top w:val="nil"/>
              <w:left w:val="nil"/>
              <w:bottom w:val="single" w:sz="8" w:space="0" w:color="auto"/>
              <w:right w:val="single" w:sz="8" w:space="0" w:color="auto"/>
            </w:tcBorders>
            <w:tcMar>
              <w:top w:w="0" w:type="dxa"/>
              <w:left w:w="108" w:type="dxa"/>
              <w:bottom w:w="0" w:type="dxa"/>
              <w:right w:w="108" w:type="dxa"/>
            </w:tcMar>
          </w:tcPr>
          <w:p w:rsidR="00AE7847" w:rsidRPr="000758C0" w14:paraId="5AEAAE2A" w14:textId="77777777">
            <w:pPr>
              <w:jc w:val="center"/>
            </w:pPr>
            <w:r w:rsidRPr="000758C0">
              <w:t>No. of</w:t>
            </w:r>
          </w:p>
          <w:p w:rsidR="00AE7847" w:rsidRPr="000758C0" w14:paraId="78286476" w14:textId="77777777">
            <w:pPr>
              <w:jc w:val="center"/>
            </w:pPr>
            <w:r w:rsidRPr="000758C0">
              <w:t>Respondents</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AE7847" w:rsidRPr="000758C0" w14:paraId="40A2EF97" w14:textId="77777777">
            <w:pPr>
              <w:jc w:val="center"/>
            </w:pPr>
            <w:r w:rsidRPr="000758C0">
              <w:t>No. of Responses per Respondent</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rsidR="00AE7847" w:rsidRPr="000758C0" w14:paraId="45CE3CE9" w14:textId="77777777">
            <w:pPr>
              <w:jc w:val="center"/>
            </w:pPr>
            <w:r w:rsidRPr="000758C0">
              <w:t>Total Annual</w:t>
            </w:r>
          </w:p>
          <w:p w:rsidR="00AE7847" w:rsidRPr="000758C0" w14:paraId="1403944F" w14:textId="77777777">
            <w:pPr>
              <w:jc w:val="center"/>
            </w:pPr>
            <w:r w:rsidRPr="000758C0">
              <w:t>Responses</w:t>
            </w:r>
          </w:p>
        </w:tc>
        <w:tc>
          <w:tcPr>
            <w:tcW w:w="1065" w:type="pct"/>
            <w:tcBorders>
              <w:top w:val="nil"/>
              <w:left w:val="nil"/>
              <w:bottom w:val="single" w:sz="8" w:space="0" w:color="auto"/>
              <w:right w:val="single" w:sz="8" w:space="0" w:color="auto"/>
            </w:tcBorders>
            <w:tcMar>
              <w:top w:w="0" w:type="dxa"/>
              <w:left w:w="108" w:type="dxa"/>
              <w:bottom w:w="0" w:type="dxa"/>
              <w:right w:w="108" w:type="dxa"/>
            </w:tcMar>
            <w:hideMark/>
          </w:tcPr>
          <w:p w:rsidR="00AE7847" w:rsidRPr="000758C0" w14:paraId="685D501F" w14:textId="77777777">
            <w:pPr>
              <w:jc w:val="center"/>
            </w:pPr>
            <w:r w:rsidRPr="000758C0">
              <w:t>Average Burden per Response</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AE7847" w:rsidRPr="000758C0" w14:paraId="5ED7A2A8" w14:textId="77777777">
            <w:pPr>
              <w:jc w:val="center"/>
            </w:pPr>
            <w:r w:rsidRPr="000758C0">
              <w:t>Total</w:t>
            </w:r>
          </w:p>
          <w:p w:rsidR="00AE7847" w:rsidRPr="000758C0" w14:paraId="1187E85E" w14:textId="77777777">
            <w:pPr>
              <w:jc w:val="center"/>
            </w:pPr>
            <w:r w:rsidRPr="000758C0">
              <w:t>Hours</w:t>
            </w:r>
          </w:p>
        </w:tc>
      </w:tr>
      <w:tr w14:paraId="6B4D4078" w14:textId="77777777">
        <w:tblPrEx>
          <w:tblW w:w="5000" w:type="pct"/>
          <w:tblCellMar>
            <w:left w:w="0" w:type="dxa"/>
            <w:right w:w="0" w:type="dxa"/>
          </w:tblCellMar>
          <w:tblLook w:val="04A0"/>
        </w:tblPrEx>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5DD7" w:rsidRPr="000758C0" w:rsidP="00555DD7" w14:paraId="1F6B1C08" w14:textId="77777777">
            <w:r w:rsidRPr="000758C0">
              <w:t>Read prenotification letter</w:t>
            </w:r>
          </w:p>
        </w:tc>
        <w:tc>
          <w:tcPr>
            <w:tcW w:w="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6B1F2C3B" w14:textId="546FF64C">
            <w:pPr>
              <w:jc w:val="right"/>
            </w:pPr>
            <w:r>
              <w:rPr>
                <w:color w:val="000000"/>
              </w:rPr>
              <w:t>4,493</w:t>
            </w:r>
          </w:p>
        </w:tc>
        <w:tc>
          <w:tcPr>
            <w:tcW w:w="9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25F0BEA8" w14:textId="77777777">
            <w:pPr>
              <w:jc w:val="right"/>
            </w:pPr>
            <w:r w:rsidRPr="000758C0">
              <w:rPr>
                <w:color w:val="000000"/>
              </w:rPr>
              <w:t>1</w:t>
            </w:r>
          </w:p>
        </w:tc>
        <w:tc>
          <w:tcPr>
            <w:tcW w:w="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1FCF0A2D" w14:textId="469C88F7">
            <w:pPr>
              <w:jc w:val="right"/>
            </w:pPr>
            <w:r>
              <w:rPr>
                <w:color w:val="000000"/>
              </w:rPr>
              <w:t>4,493</w:t>
            </w:r>
          </w:p>
        </w:tc>
        <w:tc>
          <w:tcPr>
            <w:tcW w:w="10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64C61D56" w14:textId="77777777">
            <w:pPr>
              <w:spacing w:after="120"/>
              <w:jc w:val="right"/>
              <w:rPr>
                <w:color w:val="000000"/>
              </w:rPr>
            </w:pPr>
            <w:r w:rsidRPr="000758C0">
              <w:rPr>
                <w:color w:val="000000"/>
              </w:rPr>
              <w:t>0.08</w:t>
            </w:r>
          </w:p>
          <w:p w:rsidR="00555DD7" w:rsidRPr="000758C0" w:rsidP="00555DD7" w14:paraId="1F6066E7" w14:textId="77777777">
            <w:pPr>
              <w:jc w:val="right"/>
            </w:pPr>
            <w:r w:rsidRPr="000758C0">
              <w:rPr>
                <w:color w:val="000000"/>
              </w:rPr>
              <w:t>(5 min.)</w:t>
            </w:r>
          </w:p>
        </w:tc>
        <w:tc>
          <w:tcPr>
            <w:tcW w:w="5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50586CA8" w14:textId="435DF63A">
            <w:pPr>
              <w:jc w:val="right"/>
            </w:pPr>
            <w:r>
              <w:rPr>
                <w:color w:val="000000"/>
              </w:rPr>
              <w:t>359</w:t>
            </w:r>
          </w:p>
        </w:tc>
      </w:tr>
      <w:tr w14:paraId="486E11A7" w14:textId="77777777">
        <w:tblPrEx>
          <w:tblW w:w="5000" w:type="pct"/>
          <w:tblCellMar>
            <w:left w:w="0" w:type="dxa"/>
            <w:right w:w="0" w:type="dxa"/>
          </w:tblCellMar>
          <w:tblLook w:val="04A0"/>
        </w:tblPrEx>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5DD7" w:rsidRPr="000758C0" w:rsidP="00555DD7" w14:paraId="0DAF3AD3" w14:textId="77777777">
            <w:r w:rsidRPr="000758C0">
              <w:t>Read web survey invitation letter</w:t>
            </w:r>
            <w:r w:rsidRPr="000758C0">
              <w:rPr>
                <w:vertAlign w:val="superscript"/>
              </w:rPr>
              <w:t>2</w:t>
            </w:r>
          </w:p>
        </w:tc>
        <w:tc>
          <w:tcPr>
            <w:tcW w:w="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1670749D" w14:textId="6D359218">
            <w:pPr>
              <w:jc w:val="right"/>
            </w:pPr>
            <w:r>
              <w:rPr>
                <w:color w:val="000000"/>
              </w:rPr>
              <w:t>4,268</w:t>
            </w:r>
          </w:p>
        </w:tc>
        <w:tc>
          <w:tcPr>
            <w:tcW w:w="9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73367B35" w14:textId="77777777">
            <w:pPr>
              <w:jc w:val="right"/>
            </w:pPr>
            <w:r w:rsidRPr="000758C0">
              <w:rPr>
                <w:color w:val="000000"/>
              </w:rPr>
              <w:t>1</w:t>
            </w:r>
          </w:p>
        </w:tc>
        <w:tc>
          <w:tcPr>
            <w:tcW w:w="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0C2187BC" w14:textId="5CEC7D3E">
            <w:pPr>
              <w:jc w:val="right"/>
            </w:pPr>
            <w:r>
              <w:rPr>
                <w:color w:val="000000"/>
              </w:rPr>
              <w:t>4,268</w:t>
            </w:r>
          </w:p>
        </w:tc>
        <w:tc>
          <w:tcPr>
            <w:tcW w:w="10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7D60E4ED" w14:textId="77777777">
            <w:pPr>
              <w:spacing w:after="120"/>
              <w:jc w:val="right"/>
              <w:rPr>
                <w:color w:val="000000"/>
              </w:rPr>
            </w:pPr>
            <w:r w:rsidRPr="000758C0">
              <w:rPr>
                <w:color w:val="000000"/>
              </w:rPr>
              <w:t>0.08</w:t>
            </w:r>
          </w:p>
          <w:p w:rsidR="00555DD7" w:rsidRPr="000758C0" w:rsidP="00555DD7" w14:paraId="093B49B1" w14:textId="77777777">
            <w:pPr>
              <w:jc w:val="right"/>
            </w:pPr>
            <w:r w:rsidRPr="000758C0">
              <w:rPr>
                <w:color w:val="000000"/>
              </w:rPr>
              <w:t>(5 min.)</w:t>
            </w:r>
          </w:p>
        </w:tc>
        <w:tc>
          <w:tcPr>
            <w:tcW w:w="5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4286CCDD" w14:textId="373649B3">
            <w:pPr>
              <w:jc w:val="right"/>
            </w:pPr>
            <w:r>
              <w:rPr>
                <w:color w:val="000000"/>
              </w:rPr>
              <w:t>341</w:t>
            </w:r>
          </w:p>
        </w:tc>
      </w:tr>
      <w:tr w14:paraId="1766CD39" w14:textId="77777777">
        <w:tblPrEx>
          <w:tblW w:w="5000" w:type="pct"/>
          <w:tblCellMar>
            <w:left w:w="0" w:type="dxa"/>
            <w:right w:w="0" w:type="dxa"/>
          </w:tblCellMar>
          <w:tblLook w:val="04A0"/>
        </w:tblPrEx>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5DD7" w:rsidRPr="000758C0" w:rsidP="00555DD7" w14:paraId="41A80591" w14:textId="77777777">
            <w:r w:rsidRPr="000758C0">
              <w:t>Read reminder postcard</w:t>
            </w:r>
          </w:p>
        </w:tc>
        <w:tc>
          <w:tcPr>
            <w:tcW w:w="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65EA539B" w14:textId="180A3E23">
            <w:pPr>
              <w:jc w:val="right"/>
            </w:pPr>
            <w:r>
              <w:rPr>
                <w:color w:val="000000"/>
              </w:rPr>
              <w:t>3,880</w:t>
            </w:r>
          </w:p>
        </w:tc>
        <w:tc>
          <w:tcPr>
            <w:tcW w:w="9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69964988" w14:textId="77777777">
            <w:pPr>
              <w:jc w:val="right"/>
            </w:pPr>
            <w:r w:rsidRPr="000758C0">
              <w:rPr>
                <w:color w:val="000000"/>
              </w:rPr>
              <w:t>1</w:t>
            </w:r>
          </w:p>
        </w:tc>
        <w:tc>
          <w:tcPr>
            <w:tcW w:w="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458FD9A5" w14:textId="10015198">
            <w:pPr>
              <w:jc w:val="right"/>
            </w:pPr>
            <w:r>
              <w:rPr>
                <w:color w:val="000000"/>
              </w:rPr>
              <w:t>3,880</w:t>
            </w:r>
          </w:p>
        </w:tc>
        <w:tc>
          <w:tcPr>
            <w:tcW w:w="10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3A9D76B8" w14:textId="77777777">
            <w:pPr>
              <w:spacing w:after="120"/>
              <w:jc w:val="right"/>
              <w:rPr>
                <w:color w:val="000000"/>
              </w:rPr>
            </w:pPr>
            <w:r w:rsidRPr="000758C0">
              <w:rPr>
                <w:color w:val="000000"/>
              </w:rPr>
              <w:t>0.03</w:t>
            </w:r>
          </w:p>
          <w:p w:rsidR="00555DD7" w:rsidRPr="000758C0" w:rsidP="00555DD7" w14:paraId="45E03A46" w14:textId="77777777">
            <w:pPr>
              <w:jc w:val="right"/>
            </w:pPr>
            <w:r w:rsidRPr="000758C0">
              <w:rPr>
                <w:color w:val="000000"/>
              </w:rPr>
              <w:t>(2 min.)</w:t>
            </w:r>
          </w:p>
        </w:tc>
        <w:tc>
          <w:tcPr>
            <w:tcW w:w="5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46286992" w14:textId="210E7EE8">
            <w:pPr>
              <w:jc w:val="right"/>
            </w:pPr>
            <w:r>
              <w:rPr>
                <w:color w:val="000000"/>
              </w:rPr>
              <w:t>11</w:t>
            </w:r>
            <w:r w:rsidR="00A45FFD">
              <w:rPr>
                <w:color w:val="000000"/>
              </w:rPr>
              <w:t>6</w:t>
            </w:r>
          </w:p>
        </w:tc>
      </w:tr>
      <w:tr w14:paraId="5480E558" w14:textId="77777777">
        <w:tblPrEx>
          <w:tblW w:w="5000" w:type="pct"/>
          <w:tblCellMar>
            <w:left w:w="0" w:type="dxa"/>
            <w:right w:w="0" w:type="dxa"/>
          </w:tblCellMar>
          <w:tblLook w:val="04A0"/>
        </w:tblPrEx>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5DD7" w:rsidRPr="000758C0" w:rsidP="00555DD7" w14:paraId="5DDBCC9C" w14:textId="77777777">
            <w:r w:rsidRPr="000758C0">
              <w:t>Respond to survey (web and paper)</w:t>
            </w:r>
          </w:p>
        </w:tc>
        <w:tc>
          <w:tcPr>
            <w:tcW w:w="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544572C2" w14:textId="3E722B2D">
            <w:pPr>
              <w:jc w:val="right"/>
            </w:pPr>
            <w:r w:rsidRPr="000758C0">
              <w:rPr>
                <w:color w:val="000000"/>
              </w:rPr>
              <w:t>1,</w:t>
            </w:r>
            <w:r>
              <w:rPr>
                <w:color w:val="000000"/>
              </w:rPr>
              <w:t>314</w:t>
            </w:r>
          </w:p>
        </w:tc>
        <w:tc>
          <w:tcPr>
            <w:tcW w:w="9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07506082" w14:textId="77777777">
            <w:pPr>
              <w:jc w:val="right"/>
            </w:pPr>
            <w:r w:rsidRPr="000758C0">
              <w:rPr>
                <w:color w:val="000000"/>
              </w:rPr>
              <w:t>1</w:t>
            </w:r>
          </w:p>
        </w:tc>
        <w:tc>
          <w:tcPr>
            <w:tcW w:w="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31932183" w14:textId="3441663C">
            <w:pPr>
              <w:jc w:val="right"/>
            </w:pPr>
            <w:r w:rsidRPr="000758C0">
              <w:rPr>
                <w:color w:val="000000"/>
              </w:rPr>
              <w:t>1,</w:t>
            </w:r>
            <w:r>
              <w:rPr>
                <w:color w:val="000000"/>
              </w:rPr>
              <w:t>314</w:t>
            </w:r>
          </w:p>
        </w:tc>
        <w:tc>
          <w:tcPr>
            <w:tcW w:w="10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74796099" w14:textId="77777777">
            <w:pPr>
              <w:spacing w:after="120"/>
              <w:jc w:val="right"/>
              <w:rPr>
                <w:color w:val="000000"/>
              </w:rPr>
            </w:pPr>
            <w:r w:rsidRPr="000758C0">
              <w:rPr>
                <w:color w:val="000000"/>
              </w:rPr>
              <w:t xml:space="preserve">0.33 </w:t>
            </w:r>
          </w:p>
          <w:p w:rsidR="00555DD7" w:rsidRPr="000758C0" w:rsidP="00555DD7" w14:paraId="6F7BCEC1" w14:textId="77777777">
            <w:pPr>
              <w:jc w:val="right"/>
            </w:pPr>
            <w:r w:rsidRPr="000758C0">
              <w:rPr>
                <w:color w:val="000000"/>
              </w:rPr>
              <w:t>(20 min.)</w:t>
            </w:r>
          </w:p>
        </w:tc>
        <w:tc>
          <w:tcPr>
            <w:tcW w:w="5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5DD7" w:rsidRPr="000758C0" w:rsidP="00555DD7" w14:paraId="7BB7C802" w14:textId="5A1B01D3">
            <w:pPr>
              <w:jc w:val="right"/>
            </w:pPr>
            <w:r>
              <w:rPr>
                <w:color w:val="000000"/>
              </w:rPr>
              <w:t>434</w:t>
            </w:r>
          </w:p>
        </w:tc>
      </w:tr>
      <w:tr w14:paraId="058B1A33" w14:textId="77777777">
        <w:tblPrEx>
          <w:tblW w:w="5000" w:type="pct"/>
          <w:tblCellMar>
            <w:left w:w="0" w:type="dxa"/>
            <w:right w:w="0" w:type="dxa"/>
          </w:tblCellMar>
          <w:tblLook w:val="04A0"/>
        </w:tblPrEx>
        <w:tc>
          <w:tcPr>
            <w:tcW w:w="4414"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7847" w:rsidRPr="000758C0" w14:paraId="6FEB3B1B" w14:textId="77777777">
            <w:pPr>
              <w:rPr>
                <w:highlight w:val="yellow"/>
              </w:rPr>
            </w:pPr>
            <w:r w:rsidRPr="000758C0">
              <w:t>Total</w:t>
            </w:r>
          </w:p>
          <w:p w:rsidR="00AE7847" w:rsidRPr="000758C0" w14:paraId="2E47685B" w14:textId="77777777">
            <w:pPr>
              <w:jc w:val="center"/>
            </w:pPr>
          </w:p>
        </w:tc>
        <w:tc>
          <w:tcPr>
            <w:tcW w:w="5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E7847" w:rsidRPr="000758C0" w14:paraId="047B341E" w14:textId="44275356">
            <w:pPr>
              <w:jc w:val="right"/>
            </w:pPr>
            <w:r>
              <w:t>1,25</w:t>
            </w:r>
            <w:r w:rsidR="006B17D8">
              <w:t>0</w:t>
            </w:r>
          </w:p>
        </w:tc>
      </w:tr>
    </w:tbl>
    <w:p w:rsidR="00CF1449" w:rsidRPr="00B14C2B" w:rsidP="00CF1449" w14:paraId="16F15169" w14:textId="77777777">
      <w:pPr>
        <w:rPr>
          <w:spacing w:val="17"/>
          <w:position w:val="7"/>
          <w:sz w:val="20"/>
          <w:szCs w:val="20"/>
        </w:rPr>
      </w:pPr>
      <w:r w:rsidRPr="00B14C2B">
        <w:rPr>
          <w:position w:val="7"/>
          <w:sz w:val="20"/>
          <w:szCs w:val="20"/>
          <w:vertAlign w:val="superscript"/>
        </w:rPr>
        <w:t xml:space="preserve">1 </w:t>
      </w:r>
      <w:r w:rsidRPr="00B14C2B">
        <w:rPr>
          <w:position w:val="7"/>
          <w:sz w:val="20"/>
          <w:szCs w:val="20"/>
        </w:rPr>
        <w:t>There are no capital costs or operating and maintenance costs associated with this collection of information</w:t>
      </w:r>
      <w:r w:rsidRPr="00B14C2B">
        <w:rPr>
          <w:spacing w:val="17"/>
          <w:position w:val="7"/>
          <w:sz w:val="20"/>
          <w:szCs w:val="20"/>
        </w:rPr>
        <w:t>.</w:t>
      </w:r>
    </w:p>
    <w:p w:rsidR="00CF1449" w:rsidRPr="00B14C2B" w:rsidP="00CF1449" w14:paraId="42CCF319" w14:textId="4BFB2D72">
      <w:pPr>
        <w:rPr>
          <w:position w:val="7"/>
          <w:sz w:val="20"/>
          <w:szCs w:val="20"/>
        </w:rPr>
      </w:pPr>
      <w:r w:rsidRPr="00B14C2B">
        <w:rPr>
          <w:position w:val="7"/>
          <w:sz w:val="20"/>
          <w:szCs w:val="20"/>
          <w:vertAlign w:val="superscript"/>
        </w:rPr>
        <w:t xml:space="preserve">2 </w:t>
      </w:r>
      <w:r w:rsidRPr="00B14C2B">
        <w:rPr>
          <w:position w:val="7"/>
          <w:sz w:val="20"/>
          <w:szCs w:val="20"/>
        </w:rPr>
        <w:t xml:space="preserve">The numbers assume </w:t>
      </w:r>
      <w:r w:rsidR="00D974B2">
        <w:rPr>
          <w:position w:val="7"/>
          <w:sz w:val="20"/>
          <w:szCs w:val="20"/>
        </w:rPr>
        <w:t xml:space="preserve">a </w:t>
      </w:r>
      <w:r w:rsidR="0075142E">
        <w:rPr>
          <w:position w:val="7"/>
          <w:sz w:val="20"/>
          <w:szCs w:val="20"/>
        </w:rPr>
        <w:t xml:space="preserve">response </w:t>
      </w:r>
      <w:r w:rsidR="00D974B2">
        <w:rPr>
          <w:position w:val="7"/>
          <w:sz w:val="20"/>
          <w:szCs w:val="20"/>
        </w:rPr>
        <w:t xml:space="preserve">rate of </w:t>
      </w:r>
      <w:r w:rsidRPr="00B14C2B">
        <w:rPr>
          <w:position w:val="7"/>
          <w:sz w:val="20"/>
          <w:szCs w:val="20"/>
        </w:rPr>
        <w:t>around 5 percent postal non-deliverables from the prenotification letter and estimate nonrespondents for the subsequent mailings.</w:t>
      </w:r>
    </w:p>
    <w:p w:rsidR="00327D99" w:rsidRPr="000758C0" w:rsidP="00327D99" w14:paraId="63178E58" w14:textId="77777777"/>
    <w:p w:rsidR="00327D99" w:rsidRPr="000758C0" w:rsidP="00327D99" w14:paraId="7417DC32" w14:textId="77777777"/>
    <w:p w:rsidR="00327D99" w:rsidRPr="000758C0" w:rsidP="00327D99" w14:paraId="79C0D923" w14:textId="77777777"/>
    <w:p w:rsidR="00DB1120" w:rsidRPr="004D749E" w14:paraId="05BCB4DD" w14:textId="06765E1C">
      <w:pPr>
        <w:rPr>
          <w:b/>
          <w:bCs/>
        </w:rPr>
      </w:pPr>
      <w:r w:rsidRPr="004D749E">
        <w:rPr>
          <w:b/>
          <w:bCs/>
        </w:rPr>
        <w:t xml:space="preserve">Dated: </w:t>
      </w:r>
      <w:r w:rsidRPr="004D749E" w:rsidR="0007788D">
        <w:rPr>
          <w:b/>
          <w:bCs/>
        </w:rPr>
        <w:t xml:space="preserve"> </w:t>
      </w:r>
      <w:r w:rsidR="00C13311">
        <w:rPr>
          <w:b/>
          <w:bCs/>
        </w:rPr>
        <w:t>December</w:t>
      </w:r>
      <w:r w:rsidRPr="004D749E" w:rsidR="00D24226">
        <w:rPr>
          <w:b/>
          <w:bCs/>
        </w:rPr>
        <w:t xml:space="preserve"> </w:t>
      </w:r>
      <w:r w:rsidRPr="004D749E">
        <w:rPr>
          <w:b/>
          <w:bCs/>
        </w:rPr>
        <w:t>2024</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99"/>
    <w:rsid w:val="000026F2"/>
    <w:rsid w:val="00002EF2"/>
    <w:rsid w:val="00013A9C"/>
    <w:rsid w:val="00023C0A"/>
    <w:rsid w:val="00030B0E"/>
    <w:rsid w:val="0004240F"/>
    <w:rsid w:val="00047FF6"/>
    <w:rsid w:val="0005136F"/>
    <w:rsid w:val="00060209"/>
    <w:rsid w:val="00063BFD"/>
    <w:rsid w:val="000758C0"/>
    <w:rsid w:val="00076727"/>
    <w:rsid w:val="0007788D"/>
    <w:rsid w:val="0008523A"/>
    <w:rsid w:val="00095008"/>
    <w:rsid w:val="00097273"/>
    <w:rsid w:val="000A087A"/>
    <w:rsid w:val="000A4D6A"/>
    <w:rsid w:val="000B3890"/>
    <w:rsid w:val="000B7B68"/>
    <w:rsid w:val="000C1E20"/>
    <w:rsid w:val="000C3223"/>
    <w:rsid w:val="000C38B5"/>
    <w:rsid w:val="000C5389"/>
    <w:rsid w:val="000C7DDB"/>
    <w:rsid w:val="000E0EC1"/>
    <w:rsid w:val="000E348D"/>
    <w:rsid w:val="000E3E17"/>
    <w:rsid w:val="0013066B"/>
    <w:rsid w:val="00143D2B"/>
    <w:rsid w:val="001474B1"/>
    <w:rsid w:val="00147766"/>
    <w:rsid w:val="00157393"/>
    <w:rsid w:val="00164EF6"/>
    <w:rsid w:val="001805D7"/>
    <w:rsid w:val="00184AE7"/>
    <w:rsid w:val="00194978"/>
    <w:rsid w:val="00196DD9"/>
    <w:rsid w:val="00197D73"/>
    <w:rsid w:val="001B6B2F"/>
    <w:rsid w:val="001C7CD7"/>
    <w:rsid w:val="001D0097"/>
    <w:rsid w:val="001D3315"/>
    <w:rsid w:val="001D665C"/>
    <w:rsid w:val="001F7A34"/>
    <w:rsid w:val="002020D2"/>
    <w:rsid w:val="00216566"/>
    <w:rsid w:val="0022677C"/>
    <w:rsid w:val="00232C3D"/>
    <w:rsid w:val="00264DD5"/>
    <w:rsid w:val="002709D4"/>
    <w:rsid w:val="00283201"/>
    <w:rsid w:val="002868A9"/>
    <w:rsid w:val="002A06DC"/>
    <w:rsid w:val="002A6114"/>
    <w:rsid w:val="002B776D"/>
    <w:rsid w:val="002D23F7"/>
    <w:rsid w:val="002D2639"/>
    <w:rsid w:val="002E5F3C"/>
    <w:rsid w:val="00301490"/>
    <w:rsid w:val="003134CE"/>
    <w:rsid w:val="00327D99"/>
    <w:rsid w:val="00331723"/>
    <w:rsid w:val="00332D1F"/>
    <w:rsid w:val="00347F0C"/>
    <w:rsid w:val="00362D2F"/>
    <w:rsid w:val="003630B3"/>
    <w:rsid w:val="003734F6"/>
    <w:rsid w:val="00373772"/>
    <w:rsid w:val="0037678B"/>
    <w:rsid w:val="00383FA0"/>
    <w:rsid w:val="0038739F"/>
    <w:rsid w:val="00393A10"/>
    <w:rsid w:val="003A1F07"/>
    <w:rsid w:val="003B568A"/>
    <w:rsid w:val="003C112B"/>
    <w:rsid w:val="003C77DD"/>
    <w:rsid w:val="003E25F5"/>
    <w:rsid w:val="003E6F2B"/>
    <w:rsid w:val="00410D8A"/>
    <w:rsid w:val="00413EA4"/>
    <w:rsid w:val="00426324"/>
    <w:rsid w:val="00430A26"/>
    <w:rsid w:val="00440C27"/>
    <w:rsid w:val="00441DB4"/>
    <w:rsid w:val="00441F42"/>
    <w:rsid w:val="00447806"/>
    <w:rsid w:val="00456F11"/>
    <w:rsid w:val="00471EAC"/>
    <w:rsid w:val="00494B89"/>
    <w:rsid w:val="004A0C6E"/>
    <w:rsid w:val="004A344B"/>
    <w:rsid w:val="004A3D41"/>
    <w:rsid w:val="004B144A"/>
    <w:rsid w:val="004B476C"/>
    <w:rsid w:val="004D0DBE"/>
    <w:rsid w:val="004D749E"/>
    <w:rsid w:val="004E0090"/>
    <w:rsid w:val="004E61F3"/>
    <w:rsid w:val="004E7B37"/>
    <w:rsid w:val="004F5271"/>
    <w:rsid w:val="00505230"/>
    <w:rsid w:val="00512F92"/>
    <w:rsid w:val="0052061A"/>
    <w:rsid w:val="00530FEC"/>
    <w:rsid w:val="00540E10"/>
    <w:rsid w:val="00543D3A"/>
    <w:rsid w:val="0054529A"/>
    <w:rsid w:val="00554BCE"/>
    <w:rsid w:val="00555DD7"/>
    <w:rsid w:val="00561E0B"/>
    <w:rsid w:val="00565431"/>
    <w:rsid w:val="00566628"/>
    <w:rsid w:val="005726BE"/>
    <w:rsid w:val="00574684"/>
    <w:rsid w:val="005A2EB8"/>
    <w:rsid w:val="005A5379"/>
    <w:rsid w:val="005B3A6A"/>
    <w:rsid w:val="005D2840"/>
    <w:rsid w:val="005D2F4D"/>
    <w:rsid w:val="005D4C2A"/>
    <w:rsid w:val="0060630C"/>
    <w:rsid w:val="00611ED8"/>
    <w:rsid w:val="0061299D"/>
    <w:rsid w:val="0065027C"/>
    <w:rsid w:val="0065039F"/>
    <w:rsid w:val="00656E47"/>
    <w:rsid w:val="00685AE5"/>
    <w:rsid w:val="006B0141"/>
    <w:rsid w:val="006B17D8"/>
    <w:rsid w:val="006B1FE7"/>
    <w:rsid w:val="006B3C71"/>
    <w:rsid w:val="006B551F"/>
    <w:rsid w:val="006D3CE1"/>
    <w:rsid w:val="007021EC"/>
    <w:rsid w:val="007106BC"/>
    <w:rsid w:val="00717C96"/>
    <w:rsid w:val="00720B31"/>
    <w:rsid w:val="00731DD9"/>
    <w:rsid w:val="00733222"/>
    <w:rsid w:val="00736C59"/>
    <w:rsid w:val="0075142E"/>
    <w:rsid w:val="007530A9"/>
    <w:rsid w:val="00762767"/>
    <w:rsid w:val="00762DEB"/>
    <w:rsid w:val="0076351A"/>
    <w:rsid w:val="00764CB9"/>
    <w:rsid w:val="007674DE"/>
    <w:rsid w:val="00774775"/>
    <w:rsid w:val="0077648C"/>
    <w:rsid w:val="007857C8"/>
    <w:rsid w:val="007A48D2"/>
    <w:rsid w:val="007B56D1"/>
    <w:rsid w:val="007C5FD5"/>
    <w:rsid w:val="007C6537"/>
    <w:rsid w:val="007D7F47"/>
    <w:rsid w:val="007E3F6B"/>
    <w:rsid w:val="007E71A5"/>
    <w:rsid w:val="007F0F47"/>
    <w:rsid w:val="007F381B"/>
    <w:rsid w:val="00802F05"/>
    <w:rsid w:val="00803581"/>
    <w:rsid w:val="00803B52"/>
    <w:rsid w:val="0081214E"/>
    <w:rsid w:val="008311B5"/>
    <w:rsid w:val="008406A4"/>
    <w:rsid w:val="0085722B"/>
    <w:rsid w:val="00867101"/>
    <w:rsid w:val="00875C96"/>
    <w:rsid w:val="00877F20"/>
    <w:rsid w:val="00882F51"/>
    <w:rsid w:val="00884E26"/>
    <w:rsid w:val="00885681"/>
    <w:rsid w:val="00886F9B"/>
    <w:rsid w:val="00893DDC"/>
    <w:rsid w:val="00895220"/>
    <w:rsid w:val="008B0249"/>
    <w:rsid w:val="008B3DBC"/>
    <w:rsid w:val="008C4DA9"/>
    <w:rsid w:val="008D6069"/>
    <w:rsid w:val="008E2AF2"/>
    <w:rsid w:val="008E570E"/>
    <w:rsid w:val="008E5D4D"/>
    <w:rsid w:val="008F7C90"/>
    <w:rsid w:val="00907211"/>
    <w:rsid w:val="00910E1D"/>
    <w:rsid w:val="00917081"/>
    <w:rsid w:val="00945820"/>
    <w:rsid w:val="0097203F"/>
    <w:rsid w:val="00972EE2"/>
    <w:rsid w:val="00975720"/>
    <w:rsid w:val="00993D13"/>
    <w:rsid w:val="00997067"/>
    <w:rsid w:val="009A3F81"/>
    <w:rsid w:val="009C7496"/>
    <w:rsid w:val="009D16B2"/>
    <w:rsid w:val="009D495A"/>
    <w:rsid w:val="009E79BE"/>
    <w:rsid w:val="009F4629"/>
    <w:rsid w:val="00A05F5D"/>
    <w:rsid w:val="00A45FFD"/>
    <w:rsid w:val="00A46626"/>
    <w:rsid w:val="00A55CA0"/>
    <w:rsid w:val="00A6504F"/>
    <w:rsid w:val="00A70CBD"/>
    <w:rsid w:val="00A76692"/>
    <w:rsid w:val="00A80DAC"/>
    <w:rsid w:val="00A97A01"/>
    <w:rsid w:val="00A97E72"/>
    <w:rsid w:val="00AA1A48"/>
    <w:rsid w:val="00AC19E9"/>
    <w:rsid w:val="00AD3540"/>
    <w:rsid w:val="00AE1041"/>
    <w:rsid w:val="00AE2D50"/>
    <w:rsid w:val="00AE3263"/>
    <w:rsid w:val="00AE44F2"/>
    <w:rsid w:val="00AE7847"/>
    <w:rsid w:val="00AF2952"/>
    <w:rsid w:val="00AF606A"/>
    <w:rsid w:val="00B00657"/>
    <w:rsid w:val="00B059DE"/>
    <w:rsid w:val="00B12AB1"/>
    <w:rsid w:val="00B14341"/>
    <w:rsid w:val="00B14C2B"/>
    <w:rsid w:val="00B35507"/>
    <w:rsid w:val="00B37762"/>
    <w:rsid w:val="00B543B2"/>
    <w:rsid w:val="00B9233A"/>
    <w:rsid w:val="00B97638"/>
    <w:rsid w:val="00BA31E8"/>
    <w:rsid w:val="00BA3CB1"/>
    <w:rsid w:val="00BC4F1D"/>
    <w:rsid w:val="00BD2CC5"/>
    <w:rsid w:val="00BD3B5B"/>
    <w:rsid w:val="00BD724E"/>
    <w:rsid w:val="00C03DC7"/>
    <w:rsid w:val="00C10F72"/>
    <w:rsid w:val="00C13311"/>
    <w:rsid w:val="00C20D03"/>
    <w:rsid w:val="00C21314"/>
    <w:rsid w:val="00C24C1E"/>
    <w:rsid w:val="00C25594"/>
    <w:rsid w:val="00C34A25"/>
    <w:rsid w:val="00C34EDC"/>
    <w:rsid w:val="00C465C6"/>
    <w:rsid w:val="00C51570"/>
    <w:rsid w:val="00C556DC"/>
    <w:rsid w:val="00C56F68"/>
    <w:rsid w:val="00C63C68"/>
    <w:rsid w:val="00C81414"/>
    <w:rsid w:val="00C87C82"/>
    <w:rsid w:val="00C90158"/>
    <w:rsid w:val="00CA07E2"/>
    <w:rsid w:val="00CA589E"/>
    <w:rsid w:val="00CB1597"/>
    <w:rsid w:val="00CB3E0A"/>
    <w:rsid w:val="00CC7E28"/>
    <w:rsid w:val="00CE59B3"/>
    <w:rsid w:val="00CF1449"/>
    <w:rsid w:val="00D22E73"/>
    <w:rsid w:val="00D24226"/>
    <w:rsid w:val="00D42575"/>
    <w:rsid w:val="00D459D4"/>
    <w:rsid w:val="00D563D6"/>
    <w:rsid w:val="00D769A4"/>
    <w:rsid w:val="00D80A50"/>
    <w:rsid w:val="00D87C7F"/>
    <w:rsid w:val="00D92E8A"/>
    <w:rsid w:val="00D93450"/>
    <w:rsid w:val="00D954BA"/>
    <w:rsid w:val="00D974B2"/>
    <w:rsid w:val="00DA2C8D"/>
    <w:rsid w:val="00DB1120"/>
    <w:rsid w:val="00DB6424"/>
    <w:rsid w:val="00DC71B6"/>
    <w:rsid w:val="00DD03A1"/>
    <w:rsid w:val="00DD3DCC"/>
    <w:rsid w:val="00DD6E46"/>
    <w:rsid w:val="00DE0D08"/>
    <w:rsid w:val="00E12FA3"/>
    <w:rsid w:val="00E145C6"/>
    <w:rsid w:val="00E15EDB"/>
    <w:rsid w:val="00E36AFB"/>
    <w:rsid w:val="00E4052C"/>
    <w:rsid w:val="00E40D6C"/>
    <w:rsid w:val="00E57440"/>
    <w:rsid w:val="00E61AF9"/>
    <w:rsid w:val="00E66324"/>
    <w:rsid w:val="00E85F82"/>
    <w:rsid w:val="00E87CF8"/>
    <w:rsid w:val="00E935C3"/>
    <w:rsid w:val="00E97060"/>
    <w:rsid w:val="00EA1167"/>
    <w:rsid w:val="00EA6867"/>
    <w:rsid w:val="00EA7AE4"/>
    <w:rsid w:val="00EB02FC"/>
    <w:rsid w:val="00EC01AE"/>
    <w:rsid w:val="00EC252D"/>
    <w:rsid w:val="00EC73C8"/>
    <w:rsid w:val="00EF2DA4"/>
    <w:rsid w:val="00EF3CFF"/>
    <w:rsid w:val="00F122E1"/>
    <w:rsid w:val="00F1625C"/>
    <w:rsid w:val="00F637EF"/>
    <w:rsid w:val="00F64BC2"/>
    <w:rsid w:val="00F6646E"/>
    <w:rsid w:val="00F678ED"/>
    <w:rsid w:val="00F81EE8"/>
    <w:rsid w:val="00F946D6"/>
    <w:rsid w:val="00FA00EF"/>
    <w:rsid w:val="00FA6BA6"/>
    <w:rsid w:val="00FB23F8"/>
    <w:rsid w:val="00FB3F24"/>
    <w:rsid w:val="00FC5368"/>
    <w:rsid w:val="00FD7B62"/>
    <w:rsid w:val="00FD7D5F"/>
    <w:rsid w:val="0534A97A"/>
    <w:rsid w:val="142C5426"/>
    <w:rsid w:val="408FF0A3"/>
    <w:rsid w:val="53E095C3"/>
    <w:rsid w:val="698ADA73"/>
    <w:rsid w:val="6B1748E4"/>
    <w:rsid w:val="7DCB33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520F72"/>
  <w15:chartTrackingRefBased/>
  <w15:docId w15:val="{8D6ED2FD-307E-400F-B939-F8C0E037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D9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530FE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D99"/>
    <w:pPr>
      <w:spacing w:after="0" w:line="240" w:lineRule="auto"/>
    </w:pPr>
    <w:rPr>
      <w:rFonts w:ascii="Times New Roman" w:eastAsia="Calibri" w:hAnsi="Times New Roman" w:cs="Times New Roman"/>
      <w:sz w:val="24"/>
    </w:rPr>
  </w:style>
  <w:style w:type="character" w:styleId="CommentReference">
    <w:name w:val="annotation reference"/>
    <w:basedOn w:val="DefaultParagraphFont"/>
    <w:uiPriority w:val="99"/>
    <w:unhideWhenUsed/>
    <w:rsid w:val="00327D99"/>
    <w:rPr>
      <w:sz w:val="16"/>
      <w:szCs w:val="16"/>
    </w:rPr>
  </w:style>
  <w:style w:type="paragraph" w:styleId="CommentText">
    <w:name w:val="annotation text"/>
    <w:basedOn w:val="Normal"/>
    <w:link w:val="CommentTextChar"/>
    <w:uiPriority w:val="99"/>
    <w:unhideWhenUsed/>
    <w:rsid w:val="00327D99"/>
    <w:rPr>
      <w:sz w:val="20"/>
      <w:szCs w:val="20"/>
    </w:rPr>
  </w:style>
  <w:style w:type="character" w:customStyle="1" w:styleId="CommentTextChar">
    <w:name w:val="Comment Text Char"/>
    <w:basedOn w:val="DefaultParagraphFont"/>
    <w:link w:val="CommentText"/>
    <w:uiPriority w:val="99"/>
    <w:rsid w:val="00327D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3772"/>
    <w:rPr>
      <w:b/>
      <w:bCs/>
    </w:rPr>
  </w:style>
  <w:style w:type="character" w:customStyle="1" w:styleId="CommentSubjectChar">
    <w:name w:val="Comment Subject Char"/>
    <w:basedOn w:val="CommentTextChar"/>
    <w:link w:val="CommentSubject"/>
    <w:uiPriority w:val="99"/>
    <w:semiHidden/>
    <w:rsid w:val="00373772"/>
    <w:rPr>
      <w:rFonts w:ascii="Times New Roman" w:eastAsia="Times New Roman" w:hAnsi="Times New Roman" w:cs="Times New Roman"/>
      <w:b/>
      <w:bCs/>
      <w:sz w:val="20"/>
      <w:szCs w:val="20"/>
    </w:rPr>
  </w:style>
  <w:style w:type="paragraph" w:styleId="Revision">
    <w:name w:val="Revision"/>
    <w:hidden/>
    <w:uiPriority w:val="99"/>
    <w:semiHidden/>
    <w:rsid w:val="0097203F"/>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B3DBC"/>
    <w:pPr>
      <w:spacing w:before="100" w:beforeAutospacing="1" w:after="100" w:afterAutospacing="1"/>
    </w:pPr>
  </w:style>
  <w:style w:type="character" w:customStyle="1" w:styleId="Heading1Char">
    <w:name w:val="Heading 1 Char"/>
    <w:basedOn w:val="DefaultParagraphFont"/>
    <w:link w:val="Heading1"/>
    <w:uiPriority w:val="9"/>
    <w:rsid w:val="00530FE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022a83-871b-4d85-bad2-b5228c1d4066">
      <Terms xmlns="http://schemas.microsoft.com/office/infopath/2007/PartnerControls"/>
    </lcf76f155ced4ddcb4097134ff3c332f>
    <TaxCatchAll xmlns="514c19e2-07bf-48e3-9638-5047d7891ec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6" ma:contentTypeDescription="Create a new document." ma:contentTypeScope="" ma:versionID="0ad82e6c61050319f0b9d7f2bb9ab5ec">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221ff915e18be2c6ab617a58e3ad801a"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A7FB3-2802-4BD2-A42C-BF82A4FC0CE4}">
  <ds:schemaRefs>
    <ds:schemaRef ds:uri="http://schemas.microsoft.com/office/2006/metadata/properties"/>
    <ds:schemaRef ds:uri="http://schemas.microsoft.com/office/infopath/2007/PartnerControls"/>
    <ds:schemaRef ds:uri="b5022a83-871b-4d85-bad2-b5228c1d4066"/>
    <ds:schemaRef ds:uri="514c19e2-07bf-48e3-9638-5047d7891ec3"/>
    <ds:schemaRef ds:uri="http://schemas.microsoft.com/sharepoint/v3"/>
  </ds:schemaRefs>
</ds:datastoreItem>
</file>

<file path=customXml/itemProps2.xml><?xml version="1.0" encoding="utf-8"?>
<ds:datastoreItem xmlns:ds="http://schemas.openxmlformats.org/officeDocument/2006/customXml" ds:itemID="{A3717455-4C45-466E-A98A-E0F108224876}">
  <ds:schemaRefs>
    <ds:schemaRef ds:uri="http://schemas.microsoft.com/sharepoint/v3/contenttype/forms"/>
  </ds:schemaRefs>
</ds:datastoreItem>
</file>

<file path=customXml/itemProps3.xml><?xml version="1.0" encoding="utf-8"?>
<ds:datastoreItem xmlns:ds="http://schemas.openxmlformats.org/officeDocument/2006/customXml" ds:itemID="{51884237-D74C-4D1A-A427-7FA19D7FA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106</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Helen W (CDER)</dc:creator>
  <cp:lastModifiedBy>APRA - AS</cp:lastModifiedBy>
  <cp:revision>3</cp:revision>
  <dcterms:created xsi:type="dcterms:W3CDTF">2024-11-29T18:17:00Z</dcterms:created>
  <dcterms:modified xsi:type="dcterms:W3CDTF">2024-11-29T20:01:00Z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