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63C6" w:rsidP="00507969" w14:paraId="6544EB8F" w14:textId="77777777">
      <w:pPr>
        <w:jc w:val="center"/>
        <w:rPr>
          <w:b/>
          <w:color w:val="000000"/>
        </w:rPr>
      </w:pPr>
    </w:p>
    <w:p w:rsidR="00FB7637" w:rsidRPr="00094A4D" w:rsidP="04D2F30F" w14:paraId="7EC6E043" w14:textId="6171C950">
      <w:pPr>
        <w:jc w:val="center"/>
        <w:rPr>
          <w:b/>
          <w:bCs/>
          <w:color w:val="000000"/>
        </w:rPr>
      </w:pPr>
      <w:r w:rsidRPr="04D2F30F">
        <w:rPr>
          <w:b/>
          <w:bCs/>
          <w:color w:val="000000" w:themeColor="text1"/>
        </w:rPr>
        <w:t>ENVIRONMENTAL IMPACT CONSIDERATIONS</w:t>
      </w:r>
    </w:p>
    <w:p w:rsidR="00413124" w:rsidP="00507969" w14:paraId="2B0F155C" w14:textId="77777777">
      <w:pPr>
        <w:jc w:val="center"/>
        <w:rPr>
          <w:bCs/>
          <w:color w:val="000000"/>
        </w:rPr>
      </w:pPr>
      <w:r w:rsidRPr="00B82C30">
        <w:rPr>
          <w:bCs/>
          <w:color w:val="000000"/>
        </w:rPr>
        <w:t xml:space="preserve"> </w:t>
      </w:r>
    </w:p>
    <w:p w:rsidR="00B23769" w:rsidP="00507969" w14:paraId="2E9669DF" w14:textId="59FBC706">
      <w:pPr>
        <w:jc w:val="center"/>
        <w:rPr>
          <w:bCs/>
          <w:color w:val="000000"/>
        </w:rPr>
      </w:pPr>
      <w:r w:rsidRPr="00B82C30">
        <w:rPr>
          <w:bCs/>
          <w:color w:val="000000"/>
        </w:rPr>
        <w:t>21 CFR Part 25</w:t>
      </w:r>
    </w:p>
    <w:p w:rsidR="00B82C30" w:rsidRPr="00B82C30" w:rsidP="00507969" w14:paraId="2224FC6A" w14:textId="77777777">
      <w:pPr>
        <w:jc w:val="center"/>
        <w:rPr>
          <w:bCs/>
          <w:color w:val="000000"/>
        </w:rPr>
      </w:pPr>
    </w:p>
    <w:p w:rsidR="00EC7077" w:rsidRPr="00413124" w:rsidP="00507969" w14:paraId="1BC07824" w14:textId="0DBD7D61">
      <w:pPr>
        <w:jc w:val="center"/>
        <w:rPr>
          <w:bCs/>
          <w:color w:val="000000"/>
        </w:rPr>
      </w:pPr>
      <w:r w:rsidRPr="00094A4D">
        <w:rPr>
          <w:bCs/>
          <w:color w:val="000000"/>
          <w:u w:val="single"/>
        </w:rPr>
        <w:t xml:space="preserve">OMB Control No. </w:t>
      </w:r>
      <w:r w:rsidRPr="00094A4D" w:rsidR="00EB7538">
        <w:rPr>
          <w:bCs/>
          <w:color w:val="000000"/>
          <w:u w:val="single"/>
        </w:rPr>
        <w:t>0910-</w:t>
      </w:r>
      <w:r w:rsidRPr="00094A4D" w:rsidR="00D0521B">
        <w:rPr>
          <w:bCs/>
          <w:color w:val="000000"/>
          <w:u w:val="single"/>
        </w:rPr>
        <w:t>0322</w:t>
      </w:r>
      <w:r w:rsidR="00094A4D">
        <w:rPr>
          <w:bCs/>
          <w:color w:val="000000"/>
        </w:rPr>
        <w:t xml:space="preserve"> – </w:t>
      </w:r>
      <w:r w:rsidR="00155088">
        <w:rPr>
          <w:bCs/>
          <w:color w:val="000000"/>
        </w:rPr>
        <w:t>Extension</w:t>
      </w:r>
    </w:p>
    <w:p w:rsidR="00EC7077" w:rsidP="00507969" w14:paraId="7CF108FA" w14:textId="77777777">
      <w:pPr>
        <w:rPr>
          <w:bCs/>
          <w:color w:val="000000"/>
        </w:rPr>
      </w:pPr>
    </w:p>
    <w:p w:rsidR="009672FD" w:rsidP="009672FD" w14:paraId="54625173" w14:textId="10384B2E">
      <w:pPr>
        <w:jc w:val="center"/>
        <w:rPr>
          <w:bCs/>
          <w:color w:val="000000"/>
        </w:rPr>
      </w:pPr>
      <w:r w:rsidRPr="00EC7077">
        <w:rPr>
          <w:bCs/>
          <w:color w:val="000000"/>
        </w:rPr>
        <w:t>SUPPORTING STATEMENT</w:t>
      </w:r>
    </w:p>
    <w:p w:rsidR="009672FD" w:rsidP="00507969" w14:paraId="330C0F1D" w14:textId="77777777">
      <w:pPr>
        <w:rPr>
          <w:bCs/>
          <w:color w:val="000000"/>
        </w:rPr>
      </w:pPr>
    </w:p>
    <w:p w:rsidR="00413124" w:rsidP="00507969" w14:paraId="7E2D4F9C" w14:textId="5ADB8862">
      <w:pPr>
        <w:rPr>
          <w:bCs/>
          <w:color w:val="000000"/>
        </w:rPr>
      </w:pPr>
      <w:r>
        <w:rPr>
          <w:b/>
          <w:color w:val="000000"/>
        </w:rPr>
        <w:t>Part A:  Justification</w:t>
      </w:r>
    </w:p>
    <w:p w:rsidR="00EB7538" w:rsidRPr="00EC7077" w:rsidP="00507969" w14:paraId="4AD7D9BC" w14:textId="42E24992">
      <w:pPr>
        <w:rPr>
          <w:b/>
          <w:color w:val="000000"/>
        </w:rPr>
      </w:pPr>
      <w:r>
        <w:rPr>
          <w:b/>
          <w:color w:val="000000"/>
        </w:rPr>
        <w:t xml:space="preserve"> </w:t>
      </w:r>
    </w:p>
    <w:p w:rsidR="008B30AB" w:rsidRPr="00290E45" w:rsidP="00507969" w14:paraId="4A5D243E" w14:textId="77777777">
      <w:pPr>
        <w:numPr>
          <w:ilvl w:val="0"/>
          <w:numId w:val="1"/>
        </w:numPr>
        <w:tabs>
          <w:tab w:val="clear" w:pos="720"/>
        </w:tabs>
        <w:ind w:left="0"/>
        <w:rPr>
          <w:color w:val="000000"/>
          <w:u w:val="single"/>
        </w:rPr>
      </w:pPr>
      <w:r w:rsidRPr="00290E45">
        <w:rPr>
          <w:color w:val="000000"/>
          <w:u w:val="single"/>
        </w:rPr>
        <w:t>Circumstances Making the Collection of Information Necessary</w:t>
      </w:r>
    </w:p>
    <w:p w:rsidR="00413124" w:rsidP="00507969" w14:paraId="5326AE93" w14:textId="77777777">
      <w:pPr>
        <w:rPr>
          <w:color w:val="000000"/>
        </w:rPr>
      </w:pPr>
    </w:p>
    <w:p w:rsidR="00BA0EC6" w:rsidP="00DC32A4" w14:paraId="6B8DC118" w14:textId="7D3713A0">
      <w:pPr>
        <w:rPr>
          <w:color w:val="000000" w:themeColor="text1"/>
        </w:rPr>
      </w:pPr>
      <w:r w:rsidRPr="37D57C09">
        <w:rPr>
          <w:color w:val="000000" w:themeColor="text1"/>
        </w:rPr>
        <w:t xml:space="preserve">This information </w:t>
      </w:r>
      <w:r w:rsidRPr="37D57C09" w:rsidR="01A98DF1">
        <w:rPr>
          <w:color w:val="000000" w:themeColor="text1"/>
        </w:rPr>
        <w:t>collection supports Food and Drug Administration (</w:t>
      </w:r>
      <w:r w:rsidRPr="37D57C09" w:rsidR="7A35E574">
        <w:rPr>
          <w:color w:val="000000" w:themeColor="text1"/>
        </w:rPr>
        <w:t>FDA</w:t>
      </w:r>
      <w:r w:rsidRPr="37D57C09" w:rsidR="01A98DF1">
        <w:rPr>
          <w:color w:val="000000" w:themeColor="text1"/>
        </w:rPr>
        <w:t>, us or we) regulation</w:t>
      </w:r>
      <w:r w:rsidRPr="37D57C09" w:rsidR="033FDF87">
        <w:rPr>
          <w:color w:val="000000" w:themeColor="text1"/>
        </w:rPr>
        <w:t>s</w:t>
      </w:r>
      <w:r w:rsidRPr="37D57C09" w:rsidR="5D71A6BB">
        <w:rPr>
          <w:color w:val="000000" w:themeColor="text1"/>
        </w:rPr>
        <w:t xml:space="preserve"> </w:t>
      </w:r>
      <w:r w:rsidR="00DC32A4">
        <w:rPr>
          <w:color w:val="000000" w:themeColor="text1"/>
        </w:rPr>
        <w:t xml:space="preserve">in part 25 (21 CFR part 25) </w:t>
      </w:r>
      <w:r w:rsidRPr="37D57C09" w:rsidR="0CE0F7EA">
        <w:rPr>
          <w:color w:val="000000" w:themeColor="text1"/>
        </w:rPr>
        <w:t xml:space="preserve">that </w:t>
      </w:r>
      <w:r w:rsidR="76C599A3">
        <w:t xml:space="preserve">implement section 102(2) of </w:t>
      </w:r>
      <w:r w:rsidR="24FCB468">
        <w:t>the National Environmental Policy Act of 1969 (NEPA)</w:t>
      </w:r>
      <w:r w:rsidRPr="00DC32A4" w:rsidR="00DC32A4">
        <w:t>, consistent with FDA’s authority under the Federal Food, Drug, and Cosmetic Act (FD&amp;C Act) and the Public Health Service (PHS) Act</w:t>
      </w:r>
      <w:r w:rsidR="3CE1F05F">
        <w:t xml:space="preserve">.  </w:t>
      </w:r>
    </w:p>
    <w:p w:rsidR="007E0CED" w:rsidP="00DC32A4" w14:paraId="146AEBE1" w14:textId="77777777"/>
    <w:p w:rsidR="00DC32A4" w:rsidP="00DC32A4" w14:paraId="25C65733" w14:textId="0C437EFA">
      <w:r w:rsidRPr="00DC32A4">
        <w:t>The National Environmental Policy Act of 1969 (NEPA) (42 U.S.C. 4321-4347) states national environmental objectives and imposes upon each Federal Agency the duty to consider the environmental effects of its actions.  Section 106(b) of NEPA provides for the preparation of an environmental impact statement (EIS) for a proposed Federal Agency action requiring an environmental document that has a reasonably foreseeable significant effect on the quality of the human environment.  Section 106(b) of NEPA further provides for the preparation of an environmental assessment (EA) for a proposed Federal Agency action that does not have a reasonably foreseeable significant effect on the quality of the human environment, or if the significance of such effect is unknown, unless the Agency finds that the proposed Federal Agency action is excluded pursuant to one of the Federal Agency’s categorical exclusions (CE).  Certain classes of actions that a Federal Agency has determined normally do not, individually or cumulatively, have a significant effect on the quality of the human environment are ordinarily--or categorically--excluded from the requirement to prepare an EA or EIS (see, e.g., section 106(a) of NEPA).</w:t>
      </w:r>
    </w:p>
    <w:p w:rsidR="00DC32A4" w:rsidRPr="00DC32A4" w:rsidP="00DC32A4" w14:paraId="29926BA9" w14:textId="77777777"/>
    <w:p w:rsidR="00DC32A4" w:rsidP="00DC32A4" w14:paraId="450BF7CC" w14:textId="2F392AD1">
      <w:r w:rsidRPr="00DC32A4">
        <w:t xml:space="preserve">Certain requests for FDA action require the preparation of a CE, EA, or EIS.  FDA’s regulations in part 25 (21 CFR part 25) implement the portions of NEPA that are relevant to FDA in a manner that is consistent with FDA’s authority under the FD&amp;C Act and the PHS Act.  These regulations (Environmental Impact Considerations) set forth FDA procedures with regard to NEPA requirements by identifying actions that require the preparation of an environmental document and discussing the preparation of such documents.  These regulations also supplement the procedures included in the “HHS General Administration Manual, part 30: Environmental Protection” (45 FR 76519, November 19, 1980).  </w:t>
      </w:r>
    </w:p>
    <w:p w:rsidR="00DC32A4" w:rsidRPr="00DC32A4" w:rsidP="00DC32A4" w14:paraId="33FED253" w14:textId="77777777"/>
    <w:p w:rsidR="00DC32A4" w:rsidRPr="00DC32A4" w:rsidP="00DC32A4" w14:paraId="772E36C1" w14:textId="01FA1D02">
      <w:r w:rsidRPr="00DC32A4">
        <w:t xml:space="preserve">A categorical exclusion applies to certain classes of FDA-regulated actions that usually have little or no potential to cause significant environmental effects and are excluded from the </w:t>
      </w:r>
      <w:r w:rsidRPr="00DC32A4">
        <w:t xml:space="preserve">requirements to prepare an EA or EIS.  Section 25.15(a) and (d) specifies the procedures for submitting to FDA a claim for a categorical exclusion.  Extraordinary circumstances (§ 25.21), which may result in significant environmental impacts, may exist for some actions that are usually categorically excluded that may result in the need for an EA.  An EA provides information that is used to determine whether an FDA action could result in a significant environmental impact.  Section 25.40(a) and (c) specify the content requirements for EAs for non-excluded actions.  Where the Agency finds that no significant environmental effects is expected, a finding of no significant impact is prepared.  </w:t>
      </w:r>
      <w:r w:rsidR="004A7D82">
        <w:t>To assist industry, we p</w:t>
      </w:r>
      <w:r w:rsidR="00741597">
        <w:t xml:space="preserve">ublished the guidance document </w:t>
      </w:r>
      <w:r w:rsidRPr="37D57C09" w:rsidR="004A7D82">
        <w:rPr>
          <w:color w:val="000000" w:themeColor="text1"/>
        </w:rPr>
        <w:t>“</w:t>
      </w:r>
      <w:r w:rsidRPr="37D57C09" w:rsidR="004A7D82">
        <w:rPr>
          <w:i/>
          <w:iCs/>
          <w:color w:val="000000" w:themeColor="text1"/>
        </w:rPr>
        <w:t>Preparing a Claim of Categorical Exclusion or an Environmental Assessment for Submission to the Center for Food Safety and Applied Nutrition</w:t>
      </w:r>
      <w:r w:rsidRPr="37D57C09" w:rsidR="004A7D82">
        <w:rPr>
          <w:color w:val="000000" w:themeColor="text1"/>
        </w:rPr>
        <w:t xml:space="preserve">” (May 2006), </w:t>
      </w:r>
      <w:r w:rsidR="00365954">
        <w:rPr>
          <w:color w:val="000000" w:themeColor="text1"/>
        </w:rPr>
        <w:t>which does not</w:t>
      </w:r>
      <w:r w:rsidRPr="37D57C09" w:rsidR="004A7D82">
        <w:rPr>
          <w:color w:val="000000" w:themeColor="text1"/>
        </w:rPr>
        <w:t xml:space="preserve"> create requirements, but rather, explain</w:t>
      </w:r>
      <w:r w:rsidR="00365954">
        <w:rPr>
          <w:color w:val="000000" w:themeColor="text1"/>
        </w:rPr>
        <w:t>s</w:t>
      </w:r>
      <w:r w:rsidRPr="37D57C09" w:rsidR="004A7D82">
        <w:rPr>
          <w:color w:val="000000" w:themeColor="text1"/>
        </w:rPr>
        <w:t xml:space="preserve"> FDA procedures.  </w:t>
      </w:r>
    </w:p>
    <w:p w:rsidR="003A30E9" w:rsidRPr="00226BC0" w:rsidP="00507969" w14:paraId="73F0CB34" w14:textId="77777777"/>
    <w:p w:rsidR="00BA0EC6" w:rsidP="00507969" w14:paraId="15D0EC81" w14:textId="73D13E60">
      <w:pPr>
        <w:rPr>
          <w:color w:val="000000"/>
        </w:rPr>
      </w:pPr>
      <w:r w:rsidRPr="2EC65B73">
        <w:rPr>
          <w:color w:val="000000" w:themeColor="text1"/>
        </w:rPr>
        <w:t xml:space="preserve">We therefore </w:t>
      </w:r>
      <w:r w:rsidRPr="2EC65B73" w:rsidR="00A67A7D">
        <w:rPr>
          <w:color w:val="000000" w:themeColor="text1"/>
        </w:rPr>
        <w:t xml:space="preserve">request OMB approval for the </w:t>
      </w:r>
      <w:r w:rsidRPr="2EC65B73" w:rsidR="00BD77E6">
        <w:rPr>
          <w:color w:val="000000" w:themeColor="text1"/>
        </w:rPr>
        <w:t xml:space="preserve">information collection </w:t>
      </w:r>
      <w:r w:rsidRPr="2EC65B73" w:rsidR="00671804">
        <w:rPr>
          <w:color w:val="000000" w:themeColor="text1"/>
        </w:rPr>
        <w:t xml:space="preserve">provisions </w:t>
      </w:r>
      <w:r w:rsidRPr="2EC65B73" w:rsidR="008B2E52">
        <w:rPr>
          <w:color w:val="000000" w:themeColor="text1"/>
        </w:rPr>
        <w:t xml:space="preserve">found </w:t>
      </w:r>
      <w:r w:rsidRPr="2EC65B73" w:rsidR="003A30E9">
        <w:rPr>
          <w:color w:val="000000" w:themeColor="text1"/>
        </w:rPr>
        <w:t>in 21 CFR part 25</w:t>
      </w:r>
      <w:r w:rsidRPr="2EC65B73" w:rsidR="008B2E52">
        <w:rPr>
          <w:color w:val="000000" w:themeColor="text1"/>
        </w:rPr>
        <w:t>, information collection</w:t>
      </w:r>
      <w:r w:rsidRPr="2EC65B73" w:rsidR="42F8123B">
        <w:rPr>
          <w:color w:val="000000" w:themeColor="text1"/>
        </w:rPr>
        <w:t>s discussed in this supporting statement and</w:t>
      </w:r>
      <w:r w:rsidRPr="2EC65B73" w:rsidR="008B2E52">
        <w:rPr>
          <w:color w:val="000000" w:themeColor="text1"/>
        </w:rPr>
        <w:t xml:space="preserve"> associated with </w:t>
      </w:r>
      <w:r w:rsidRPr="2EC65B73" w:rsidR="00671804">
        <w:rPr>
          <w:color w:val="000000" w:themeColor="text1"/>
        </w:rPr>
        <w:t>recommendations found in the referenced agency guidance document</w:t>
      </w:r>
      <w:r w:rsidRPr="2EC65B73" w:rsidR="0AB434C3">
        <w:rPr>
          <w:color w:val="000000" w:themeColor="text1"/>
        </w:rPr>
        <w:t>s</w:t>
      </w:r>
      <w:r w:rsidRPr="2EC65B73" w:rsidR="00671804">
        <w:rPr>
          <w:color w:val="000000" w:themeColor="text1"/>
        </w:rPr>
        <w:t>.</w:t>
      </w:r>
    </w:p>
    <w:p w:rsidR="00A67A7D" w:rsidP="00507969" w14:paraId="791F9DD5" w14:textId="0B0DDE1E">
      <w:pPr>
        <w:rPr>
          <w:color w:val="000000"/>
        </w:rPr>
      </w:pPr>
    </w:p>
    <w:p w:rsidR="009E6C9F" w:rsidRPr="00CB6D0B" w:rsidP="00102885" w14:paraId="101D88D1" w14:textId="672EF508">
      <w:pPr>
        <w:numPr>
          <w:ilvl w:val="0"/>
          <w:numId w:val="1"/>
        </w:numPr>
        <w:tabs>
          <w:tab w:val="clear" w:pos="720"/>
        </w:tabs>
        <w:ind w:left="0"/>
        <w:rPr>
          <w:color w:val="000000"/>
        </w:rPr>
      </w:pPr>
      <w:r w:rsidRPr="00CB6D0B">
        <w:rPr>
          <w:color w:val="000000"/>
          <w:u w:val="single"/>
        </w:rPr>
        <w:t xml:space="preserve">Purpose and Use of the Information Collection </w:t>
      </w:r>
    </w:p>
    <w:p w:rsidR="2EC65B73" w14:paraId="37992B2C" w14:textId="7419AFE0"/>
    <w:p w:rsidR="20C4B796" w:rsidP="2EC65B73" w14:paraId="02513498" w14:textId="747C2278">
      <w:r>
        <w:t xml:space="preserve">This collection of information is used by FDA to assess the environmental impact of Agency actions and to ensure that the public is informed of environmental analyses.  Firms wishing to manufacture and market substances regulated under statutes for which FDA is responsible must, in most instances, submit applications requesting approval.  Environmental information must be included in such applications for the purpose of determining whether the proposed action may have a significant impact on the environment.  Where significant adverse events cannot be avoided, the submitted information is used to prepare and circulate to the public an EIS, when applicable, made available through a </w:t>
      </w:r>
      <w:r w:rsidRPr="00E53EAA">
        <w:rPr>
          <w:i/>
          <w:iCs/>
        </w:rPr>
        <w:t>Federal Register</w:t>
      </w:r>
      <w:r>
        <w:t xml:space="preserve"> document also filed for comment at the Environmental Protection Agency.  The final EIS, including the comments received, is reviewed by the Agency to weigh environmental costs and benefits in determining whether to pursue the proposed action or some alternative that would reduce expected environmental impact.</w:t>
      </w:r>
    </w:p>
    <w:p w:rsidR="20C4B796" w:rsidP="2EC65B73" w14:paraId="42409706" w14:textId="265F08BD">
      <w:r w:rsidRPr="2EC65B73">
        <w:t xml:space="preserve"> </w:t>
      </w:r>
    </w:p>
    <w:p w:rsidR="20C4B796" w:rsidP="2EC65B73" w14:paraId="08DC17A4" w14:textId="7A49F857">
      <w:r w:rsidRPr="2EC65B73">
        <w:t>Any final EIS would contain, when applicable, additional information gathered by the Agency after the publication of the draft EIS, a copy or a summary of the comments received on the draft EIS, and the Agency’s responses to the comments, including any revisions resulting from the comments or other information.  In cases requiring an EIS, the Agency prepares a record of decision pursuant to § 25.43.</w:t>
      </w:r>
    </w:p>
    <w:p w:rsidR="20C4B796" w:rsidP="2EC65B73" w14:paraId="417DBA50" w14:textId="7563F26D">
      <w:r w:rsidRPr="2EC65B73">
        <w:t xml:space="preserve"> </w:t>
      </w:r>
    </w:p>
    <w:p w:rsidR="2EC65B73" w14:paraId="3CAB0121" w14:textId="0F7B26A0">
      <w:r w:rsidRPr="2EC65B73">
        <w:t>Description of Respondents: Respondents to this collection of information include manufacturers, processors, and importers who must provide an environmental impact assessment or are requesting a categorical exclusion for FDA-regulated products.</w:t>
      </w:r>
    </w:p>
    <w:p w:rsidR="00507969" w:rsidRPr="00290E45" w:rsidP="00507969" w14:paraId="73092115" w14:textId="77777777">
      <w:pPr>
        <w:rPr>
          <w:color w:val="000000"/>
        </w:rPr>
      </w:pPr>
    </w:p>
    <w:p w:rsidR="002746DB" w:rsidRPr="00290E45" w:rsidP="00507969" w14:paraId="5322CFF4" w14:textId="77777777">
      <w:pPr>
        <w:numPr>
          <w:ilvl w:val="0"/>
          <w:numId w:val="1"/>
        </w:numPr>
        <w:tabs>
          <w:tab w:val="clear" w:pos="720"/>
        </w:tabs>
        <w:ind w:left="0"/>
        <w:rPr>
          <w:color w:val="000000"/>
          <w:u w:val="single"/>
        </w:rPr>
      </w:pPr>
      <w:r w:rsidRPr="00290E45">
        <w:rPr>
          <w:color w:val="000000"/>
          <w:u w:val="single"/>
        </w:rPr>
        <w:t xml:space="preserve">Use of Improved Information Technology and Burden Reduction </w:t>
      </w:r>
    </w:p>
    <w:p w:rsidR="00331CF7" w:rsidP="00507969" w14:paraId="747DB552" w14:textId="77777777">
      <w:pPr>
        <w:rPr>
          <w:color w:val="000000"/>
        </w:rPr>
      </w:pPr>
    </w:p>
    <w:p w:rsidR="00F95F51" w:rsidRPr="00726CF2" w:rsidP="00507969" w14:paraId="491BEA95" w14:textId="379C602E">
      <w:pPr>
        <w:rPr>
          <w:highlight w:val="yellow"/>
        </w:rPr>
      </w:pPr>
      <w:r w:rsidRPr="2EC65B73">
        <w:rPr>
          <w:color w:val="000000" w:themeColor="text1"/>
        </w:rPr>
        <w:t xml:space="preserve">We </w:t>
      </w:r>
      <w:r w:rsidRPr="2EC65B73" w:rsidR="007E35DF">
        <w:rPr>
          <w:color w:val="000000" w:themeColor="text1"/>
        </w:rPr>
        <w:t xml:space="preserve">estimate 95% of respondents will use electronic means to fulfill the </w:t>
      </w:r>
      <w:r w:rsidRPr="2EC65B73">
        <w:rPr>
          <w:color w:val="000000" w:themeColor="text1"/>
        </w:rPr>
        <w:t xml:space="preserve">information collection.  </w:t>
      </w:r>
      <w:r>
        <w:t xml:space="preserve">  We also accept information supporting claims of categorical exclusion or an EA by e-mail.</w:t>
      </w:r>
    </w:p>
    <w:p w:rsidR="00B16DA8" w:rsidP="00507969" w14:paraId="3B84EDBD" w14:textId="77777777">
      <w:pPr>
        <w:rPr>
          <w:color w:val="000000"/>
        </w:rPr>
      </w:pPr>
    </w:p>
    <w:p w:rsidR="002746DB" w:rsidRPr="00290E45" w:rsidP="00507969" w14:paraId="3E7A2C63" w14:textId="77777777">
      <w:pPr>
        <w:numPr>
          <w:ilvl w:val="0"/>
          <w:numId w:val="1"/>
        </w:numPr>
        <w:tabs>
          <w:tab w:val="clear" w:pos="720"/>
        </w:tabs>
        <w:ind w:left="0"/>
        <w:rPr>
          <w:color w:val="000000"/>
          <w:u w:val="single"/>
        </w:rPr>
      </w:pPr>
      <w:r w:rsidRPr="00290E45">
        <w:rPr>
          <w:color w:val="000000"/>
          <w:u w:val="single"/>
        </w:rPr>
        <w:t xml:space="preserve">Efforts to Identify Duplication and Use of Similar Information </w:t>
      </w:r>
    </w:p>
    <w:p w:rsidR="00331CF7" w:rsidP="00507969" w14:paraId="02B7F908" w14:textId="77777777">
      <w:pPr>
        <w:rPr>
          <w:color w:val="000000"/>
        </w:rPr>
      </w:pPr>
    </w:p>
    <w:p w:rsidR="000F7BF7" w:rsidRPr="00290E45" w:rsidP="00507969" w14:paraId="7005A91B" w14:textId="488CF188">
      <w:pPr>
        <w:rPr>
          <w:color w:val="000000"/>
        </w:rPr>
      </w:pPr>
      <w:r w:rsidRPr="2EC65B73">
        <w:rPr>
          <w:color w:val="000000" w:themeColor="text1"/>
        </w:rPr>
        <w:t>We are una</w:t>
      </w:r>
      <w:r w:rsidRPr="2EC65B73">
        <w:rPr>
          <w:color w:val="000000" w:themeColor="text1"/>
        </w:rPr>
        <w:t xml:space="preserve">ware of duplicative information collection. </w:t>
      </w:r>
    </w:p>
    <w:p w:rsidR="00B16DA8" w:rsidRPr="00290E45" w:rsidP="00507969" w14:paraId="46C6133E" w14:textId="77777777">
      <w:pPr>
        <w:rPr>
          <w:color w:val="000000"/>
        </w:rPr>
      </w:pPr>
    </w:p>
    <w:p w:rsidR="002746DB" w:rsidRPr="00290E45" w:rsidP="00507969" w14:paraId="2902827E" w14:textId="77777777">
      <w:pPr>
        <w:numPr>
          <w:ilvl w:val="0"/>
          <w:numId w:val="1"/>
        </w:numPr>
        <w:tabs>
          <w:tab w:val="clear" w:pos="720"/>
        </w:tabs>
        <w:ind w:left="0"/>
        <w:rPr>
          <w:color w:val="000000"/>
          <w:u w:val="single"/>
        </w:rPr>
      </w:pPr>
      <w:r w:rsidRPr="00290E45">
        <w:rPr>
          <w:color w:val="000000"/>
          <w:u w:val="single"/>
        </w:rPr>
        <w:t>Impact on Small Businesses or Other Small Entities</w:t>
      </w:r>
    </w:p>
    <w:p w:rsidR="00331CF7" w:rsidP="00507969" w14:paraId="54E55B69" w14:textId="77777777">
      <w:pPr>
        <w:rPr>
          <w:color w:val="000000"/>
        </w:rPr>
      </w:pPr>
    </w:p>
    <w:p w:rsidR="00717CF6" w:rsidP="00507969" w14:paraId="6054D88A" w14:textId="06BE854E">
      <w:pPr>
        <w:rPr>
          <w:color w:val="000000"/>
        </w:rPr>
      </w:pPr>
      <w:r>
        <w:rPr>
          <w:color w:val="000000"/>
        </w:rPr>
        <w:t>We do not believe the information collection imposes undue burden on small entities.</w:t>
      </w:r>
    </w:p>
    <w:p w:rsidR="00331CF7" w:rsidRPr="00290E45" w:rsidP="00507969" w14:paraId="15BF34A9" w14:textId="77777777">
      <w:pPr>
        <w:rPr>
          <w:color w:val="000000"/>
          <w:highlight w:val="yellow"/>
        </w:rPr>
      </w:pPr>
    </w:p>
    <w:p w:rsidR="00CD77C3" w:rsidRPr="00290E45" w:rsidP="00507969" w14:paraId="32040BE3" w14:textId="77777777">
      <w:pPr>
        <w:numPr>
          <w:ilvl w:val="0"/>
          <w:numId w:val="1"/>
        </w:numPr>
        <w:tabs>
          <w:tab w:val="clear" w:pos="720"/>
        </w:tabs>
        <w:ind w:left="0"/>
        <w:rPr>
          <w:color w:val="000000"/>
          <w:u w:val="single"/>
        </w:rPr>
      </w:pPr>
      <w:r w:rsidRPr="00290E45">
        <w:rPr>
          <w:color w:val="000000"/>
          <w:u w:val="single"/>
        </w:rPr>
        <w:t>Consequences of Collecting the Information Less Frequently</w:t>
      </w:r>
    </w:p>
    <w:p w:rsidR="00331CF7" w:rsidP="00507969" w14:paraId="705D6DC6" w14:textId="77777777">
      <w:pPr>
        <w:rPr>
          <w:color w:val="000000"/>
        </w:rPr>
      </w:pPr>
    </w:p>
    <w:p w:rsidR="00F74935" w:rsidP="00507969" w14:paraId="6048D090" w14:textId="428BE3BF">
      <w:pPr>
        <w:rPr>
          <w:color w:val="000000"/>
        </w:rPr>
      </w:pPr>
      <w:r>
        <w:rPr>
          <w:color w:val="000000"/>
        </w:rPr>
        <w:t xml:space="preserve">The information collection schedule is consistent with statutory and regulatory </w:t>
      </w:r>
      <w:r w:rsidR="00525C7A">
        <w:rPr>
          <w:color w:val="000000"/>
        </w:rPr>
        <w:t xml:space="preserve">requirements.  </w:t>
      </w:r>
      <w:r w:rsidRPr="00290E45">
        <w:rPr>
          <w:color w:val="000000"/>
        </w:rPr>
        <w:t>There are no legal obstacles to reduce the burden for this collection of information.</w:t>
      </w:r>
    </w:p>
    <w:p w:rsidR="00331CF7" w:rsidRPr="00290E45" w:rsidP="00507969" w14:paraId="4865A0A1" w14:textId="77777777">
      <w:pPr>
        <w:rPr>
          <w:color w:val="000000"/>
          <w:highlight w:val="yellow"/>
        </w:rPr>
      </w:pPr>
    </w:p>
    <w:p w:rsidR="00CD77C3" w:rsidRPr="00290E45" w:rsidP="00507969" w14:paraId="647620FE" w14:textId="77777777">
      <w:pPr>
        <w:numPr>
          <w:ilvl w:val="0"/>
          <w:numId w:val="1"/>
        </w:numPr>
        <w:tabs>
          <w:tab w:val="clear" w:pos="720"/>
        </w:tabs>
        <w:ind w:left="0"/>
        <w:rPr>
          <w:color w:val="000000"/>
          <w:u w:val="single"/>
        </w:rPr>
      </w:pPr>
      <w:r w:rsidRPr="00290E45">
        <w:rPr>
          <w:color w:val="000000"/>
          <w:u w:val="single"/>
        </w:rPr>
        <w:t>Special Circumstances Relating to the Guidelines of 5 CFR 1320.5</w:t>
      </w:r>
    </w:p>
    <w:p w:rsidR="00331CF7" w:rsidP="00507969" w14:paraId="1D993F63" w14:textId="77777777">
      <w:pPr>
        <w:rPr>
          <w:color w:val="000000"/>
        </w:rPr>
      </w:pPr>
    </w:p>
    <w:p w:rsidR="008108FA" w:rsidP="00507969" w14:paraId="22DC93B5" w14:textId="0EB50143">
      <w:pPr>
        <w:rPr>
          <w:color w:val="000000"/>
        </w:rPr>
      </w:pPr>
      <w:r w:rsidRPr="37D57C09">
        <w:rPr>
          <w:color w:val="000000" w:themeColor="text1"/>
        </w:rPr>
        <w:t>There are no special circumstances for this collection of information.</w:t>
      </w:r>
      <w:r w:rsidRPr="37D57C09" w:rsidR="4BF15832">
        <w:rPr>
          <w:color w:val="000000" w:themeColor="text1"/>
        </w:rPr>
        <w:t xml:space="preserve"> </w:t>
      </w:r>
      <w:r w:rsidRPr="37D57C09" w:rsidR="609A9ED9">
        <w:rPr>
          <w:color w:val="000000" w:themeColor="text1"/>
        </w:rPr>
        <w:t xml:space="preserve"> However, a firm’s submission of a claim of </w:t>
      </w:r>
      <w:r w:rsidRPr="37D57C09" w:rsidR="468656F1">
        <w:rPr>
          <w:color w:val="000000" w:themeColor="text1"/>
        </w:rPr>
        <w:t>CE</w:t>
      </w:r>
      <w:r w:rsidRPr="37D57C09" w:rsidR="609A9ED9">
        <w:rPr>
          <w:color w:val="000000" w:themeColor="text1"/>
        </w:rPr>
        <w:t xml:space="preserve"> or an EA may contain trade secret and commercial confidential information.  This information is protected by FDA as set out below in the response to item 10 of this supporting statement.</w:t>
      </w:r>
    </w:p>
    <w:p w:rsidR="00331CF7" w:rsidRPr="00290E45" w:rsidP="00507969" w14:paraId="32BA23C2" w14:textId="77777777">
      <w:pPr>
        <w:rPr>
          <w:color w:val="000000"/>
        </w:rPr>
      </w:pPr>
    </w:p>
    <w:p w:rsidR="00F44EDA" w:rsidRPr="00290E45" w:rsidP="00507969" w14:paraId="031B3BA8" w14:textId="77777777">
      <w:pPr>
        <w:numPr>
          <w:ilvl w:val="0"/>
          <w:numId w:val="1"/>
        </w:numPr>
        <w:tabs>
          <w:tab w:val="clear" w:pos="720"/>
        </w:tabs>
        <w:ind w:left="0"/>
        <w:rPr>
          <w:color w:val="000000"/>
          <w:u w:val="single"/>
        </w:rPr>
      </w:pPr>
      <w:r w:rsidRPr="00290E45">
        <w:rPr>
          <w:color w:val="000000"/>
          <w:u w:val="single"/>
        </w:rPr>
        <w:t>Comments in Response to the Federal Register Notice and Efforts to Consult Outside the Agency</w:t>
      </w:r>
    </w:p>
    <w:p w:rsidR="00331CF7" w:rsidP="00507969" w14:paraId="0EFC303D" w14:textId="77777777">
      <w:pPr>
        <w:rPr>
          <w:color w:val="000000"/>
        </w:rPr>
      </w:pPr>
    </w:p>
    <w:p w:rsidR="008F6856" w:rsidRPr="00331CF7" w:rsidP="00507969" w14:paraId="478C575A" w14:textId="407148ED">
      <w:r w:rsidRPr="37D57C09">
        <w:rPr>
          <w:color w:val="000000" w:themeColor="text1"/>
        </w:rPr>
        <w:t xml:space="preserve">In accordance with 5 CFR 1320.8(d), </w:t>
      </w:r>
      <w:r w:rsidRPr="37D57C09" w:rsidR="400AB2F6">
        <w:rPr>
          <w:color w:val="000000" w:themeColor="text1"/>
        </w:rPr>
        <w:t xml:space="preserve">we published a </w:t>
      </w:r>
      <w:r w:rsidRPr="37D57C09">
        <w:rPr>
          <w:color w:val="000000" w:themeColor="text1"/>
        </w:rPr>
        <w:t xml:space="preserve">60 day notice </w:t>
      </w:r>
      <w:r w:rsidRPr="37D57C09" w:rsidR="400AB2F6">
        <w:rPr>
          <w:color w:val="000000" w:themeColor="text1"/>
        </w:rPr>
        <w:t xml:space="preserve">soliciting </w:t>
      </w:r>
      <w:r w:rsidRPr="37D57C09">
        <w:rPr>
          <w:color w:val="000000" w:themeColor="text1"/>
        </w:rPr>
        <w:t>public</w:t>
      </w:r>
      <w:r w:rsidRPr="37D57C09" w:rsidR="67B33F0C">
        <w:rPr>
          <w:color w:val="000000" w:themeColor="text1"/>
        </w:rPr>
        <w:t xml:space="preserve"> comment in the </w:t>
      </w:r>
      <w:r w:rsidRPr="37D57C09" w:rsidR="400AB2F6">
        <w:rPr>
          <w:color w:val="000000" w:themeColor="text1"/>
          <w:u w:val="single"/>
        </w:rPr>
        <w:t>Federal Register</w:t>
      </w:r>
      <w:r w:rsidRPr="37D57C09" w:rsidR="67B33F0C">
        <w:rPr>
          <w:color w:val="000000" w:themeColor="text1"/>
        </w:rPr>
        <w:t xml:space="preserve"> of</w:t>
      </w:r>
      <w:r w:rsidRPr="37D57C09" w:rsidR="7A1D5657">
        <w:rPr>
          <w:color w:val="000000" w:themeColor="text1"/>
        </w:rPr>
        <w:t xml:space="preserve"> </w:t>
      </w:r>
      <w:r w:rsidRPr="37D57C09" w:rsidR="37310D31">
        <w:rPr>
          <w:color w:val="000000" w:themeColor="text1"/>
        </w:rPr>
        <w:t>July 02</w:t>
      </w:r>
      <w:r w:rsidRPr="37D57C09" w:rsidR="7A1D5657">
        <w:rPr>
          <w:color w:val="000000" w:themeColor="text1"/>
        </w:rPr>
        <w:t>, 202</w:t>
      </w:r>
      <w:r w:rsidRPr="37D57C09" w:rsidR="1781AFC2">
        <w:rPr>
          <w:color w:val="000000" w:themeColor="text1"/>
        </w:rPr>
        <w:t>5</w:t>
      </w:r>
      <w:r w:rsidRPr="37D57C09" w:rsidR="7EB9A09F">
        <w:rPr>
          <w:color w:val="000000" w:themeColor="text1"/>
        </w:rPr>
        <w:t xml:space="preserve"> </w:t>
      </w:r>
      <w:r w:rsidRPr="37D57C09" w:rsidR="1DCDA303">
        <w:rPr>
          <w:color w:val="000000" w:themeColor="text1"/>
        </w:rPr>
        <w:t>(</w:t>
      </w:r>
      <w:r w:rsidRPr="37D57C09" w:rsidR="2CC6D869">
        <w:rPr>
          <w:color w:val="000000" w:themeColor="text1"/>
        </w:rPr>
        <w:t>90</w:t>
      </w:r>
      <w:r w:rsidRPr="37D57C09" w:rsidR="7A1D5657">
        <w:rPr>
          <w:color w:val="000000" w:themeColor="text1"/>
        </w:rPr>
        <w:t xml:space="preserve"> </w:t>
      </w:r>
      <w:r w:rsidRPr="37D57C09" w:rsidR="1DCDA303">
        <w:rPr>
          <w:color w:val="000000" w:themeColor="text1"/>
        </w:rPr>
        <w:t xml:space="preserve">FR </w:t>
      </w:r>
      <w:r w:rsidRPr="37D57C09" w:rsidR="36A17CE3">
        <w:rPr>
          <w:color w:val="000000" w:themeColor="text1"/>
        </w:rPr>
        <w:t>29011</w:t>
      </w:r>
      <w:r w:rsidRPr="37D57C09" w:rsidR="1DCDA303">
        <w:rPr>
          <w:color w:val="000000" w:themeColor="text1"/>
        </w:rPr>
        <w:t xml:space="preserve">). </w:t>
      </w:r>
      <w:r w:rsidRPr="37D57C09" w:rsidR="400AB2F6">
        <w:rPr>
          <w:color w:val="000000" w:themeColor="text1"/>
        </w:rPr>
        <w:t xml:space="preserve">  </w:t>
      </w:r>
      <w:r w:rsidR="7C656453">
        <w:t>No</w:t>
      </w:r>
      <w:r w:rsidR="6751BEB0">
        <w:t xml:space="preserve"> comment</w:t>
      </w:r>
      <w:r w:rsidR="6D58A08D">
        <w:t>s</w:t>
      </w:r>
      <w:r w:rsidR="6751BEB0">
        <w:t xml:space="preserve"> w</w:t>
      </w:r>
      <w:r w:rsidR="6D58A08D">
        <w:t>ere</w:t>
      </w:r>
      <w:r w:rsidR="6751BEB0">
        <w:t xml:space="preserve"> received. </w:t>
      </w:r>
    </w:p>
    <w:p w:rsidR="00EE503E" w:rsidP="00507969" w14:paraId="2871B020" w14:textId="77777777">
      <w:pPr>
        <w:rPr>
          <w:color w:val="000000"/>
        </w:rPr>
      </w:pPr>
    </w:p>
    <w:p w:rsidR="00CD77C3" w:rsidRPr="00290E45" w:rsidP="00507969" w14:paraId="69762548" w14:textId="015CDC85">
      <w:pPr>
        <w:numPr>
          <w:ilvl w:val="0"/>
          <w:numId w:val="1"/>
        </w:numPr>
        <w:tabs>
          <w:tab w:val="clear" w:pos="720"/>
        </w:tabs>
        <w:ind w:left="0"/>
        <w:rPr>
          <w:color w:val="000000"/>
          <w:u w:val="single"/>
        </w:rPr>
      </w:pPr>
      <w:r w:rsidRPr="00290E45">
        <w:rPr>
          <w:color w:val="000000"/>
          <w:u w:val="single"/>
        </w:rPr>
        <w:t>Explanation of Any Payment or Gift to Respondents</w:t>
      </w:r>
    </w:p>
    <w:p w:rsidR="00331CF7" w:rsidP="00507969" w14:paraId="6C7EA615" w14:textId="77777777">
      <w:pPr>
        <w:rPr>
          <w:color w:val="000000"/>
        </w:rPr>
      </w:pPr>
    </w:p>
    <w:p w:rsidR="00CD77C3" w:rsidP="00507969" w14:paraId="74811930" w14:textId="254664BE">
      <w:pPr>
        <w:rPr>
          <w:color w:val="000000"/>
        </w:rPr>
      </w:pPr>
      <w:r w:rsidRPr="2EC65B73">
        <w:rPr>
          <w:color w:val="000000" w:themeColor="text1"/>
        </w:rPr>
        <w:t>There are no incentives, payments, or gifts associated with this information collection</w:t>
      </w:r>
      <w:r w:rsidRPr="2EC65B73" w:rsidR="00F74935">
        <w:rPr>
          <w:color w:val="000000" w:themeColor="text1"/>
        </w:rPr>
        <w:t>.</w:t>
      </w:r>
    </w:p>
    <w:p w:rsidR="00FC74F5" w:rsidRPr="00290E45" w:rsidP="00507969" w14:paraId="177A320C" w14:textId="77777777">
      <w:pPr>
        <w:rPr>
          <w:color w:val="000000"/>
        </w:rPr>
      </w:pPr>
    </w:p>
    <w:p w:rsidR="00CD77C3" w:rsidRPr="00290E45" w:rsidP="00507969" w14:paraId="17B04512" w14:textId="77777777">
      <w:pPr>
        <w:numPr>
          <w:ilvl w:val="0"/>
          <w:numId w:val="1"/>
        </w:numPr>
        <w:tabs>
          <w:tab w:val="clear" w:pos="720"/>
        </w:tabs>
        <w:ind w:left="0"/>
        <w:rPr>
          <w:color w:val="000000"/>
          <w:u w:val="single"/>
        </w:rPr>
      </w:pPr>
      <w:r w:rsidRPr="00290E45">
        <w:rPr>
          <w:color w:val="000000"/>
          <w:u w:val="single"/>
        </w:rPr>
        <w:t>Assurance of Confidentiality Provided to Respondents</w:t>
      </w:r>
    </w:p>
    <w:p w:rsidR="00331CF7" w:rsidP="00507969" w14:paraId="60811B6B" w14:textId="77777777">
      <w:pPr>
        <w:rPr>
          <w:color w:val="000000"/>
        </w:rPr>
      </w:pPr>
    </w:p>
    <w:p w:rsidR="00331CF7" w:rsidP="00507969" w14:paraId="5405C33E" w14:textId="55077141">
      <w:r>
        <w:t xml:space="preserve">Information submitted to FDA in a claim of </w:t>
      </w:r>
      <w:r w:rsidR="34B77696">
        <w:t>CE</w:t>
      </w:r>
      <w:r>
        <w:t xml:space="preserve"> or an EA may contain trade secret and commercial confidential information.  Only information that is releasable under the agency’s regulations in 21 CFR part 20 would be released to the public.  This information is also safeguarded by section 301(j) of the Federal Food, Drug, and Cosmetic Act and would be protected from disclosure under the Freedom of Information Act (FOIA) under sections 552(a) and (b) (5 U.S.C. 552(a) and (b)).</w:t>
      </w:r>
    </w:p>
    <w:p w:rsidR="00331CF7" w:rsidRPr="00611088" w:rsidP="00507969" w14:paraId="7C200686" w14:textId="77777777">
      <w:pPr>
        <w:rPr>
          <w:i/>
        </w:rPr>
      </w:pPr>
    </w:p>
    <w:p w:rsidR="00331CF7" w:rsidRPr="00F563C6" w:rsidP="2EC65B73" w14:paraId="58F064AE" w14:textId="1B523662">
      <w:r w:rsidRPr="2EC65B73">
        <w:rPr>
          <w:i/>
          <w:iCs/>
        </w:rPr>
        <w:t>Privacy Act</w:t>
      </w:r>
    </w:p>
    <w:p w:rsidR="00331CF7" w:rsidRPr="00F563C6" w:rsidP="2EC65B73" w14:paraId="293D3B10" w14:textId="7E814B70">
      <w:r w:rsidRPr="2EC65B73">
        <w:t xml:space="preserve"> </w:t>
      </w:r>
    </w:p>
    <w:p w:rsidR="00331CF7" w:rsidRPr="00F563C6" w:rsidP="2EC65B73" w14:paraId="34425A93" w14:textId="50B72BDB">
      <w:pPr>
        <w:rPr>
          <w:i/>
          <w:iCs/>
        </w:rPr>
      </w:pPr>
      <w:r w:rsidRPr="2EC65B73">
        <w:t xml:space="preserve">In preparing this supporting statement, we consulted our Privacy Office to ensure appropriate identification and handling of information collected.  </w:t>
      </w:r>
      <w:r w:rsidR="00D274EE">
        <w:t xml:space="preserve">Although </w:t>
      </w:r>
      <w:r>
        <w:t>personally identifiable information (PII)</w:t>
      </w:r>
      <w:r w:rsidR="001A4170">
        <w:t>,</w:t>
      </w:r>
      <w:r>
        <w:t xml:space="preserve"> or other data of a personal nature</w:t>
      </w:r>
      <w:r w:rsidR="001A4170">
        <w:t>,</w:t>
      </w:r>
      <w:r>
        <w:t xml:space="preserve"> </w:t>
      </w:r>
      <w:r w:rsidR="00D274EE">
        <w:t>is collected in conjunction with</w:t>
      </w:r>
      <w:r w:rsidR="00BF2C06">
        <w:t xml:space="preserve"> </w:t>
      </w:r>
      <w:r w:rsidR="00A74B55">
        <w:t xml:space="preserve">the </w:t>
      </w:r>
      <w:r w:rsidR="00A74B55">
        <w:t xml:space="preserve">regulations in 21 CFR part 25, the information is </w:t>
      </w:r>
      <w:r w:rsidR="0058417F">
        <w:t xml:space="preserve">provided </w:t>
      </w:r>
      <w:r w:rsidR="00A74B55">
        <w:t xml:space="preserve">as part of </w:t>
      </w:r>
      <w:r w:rsidR="009B1840">
        <w:t>requests for agency action governed by product specific</w:t>
      </w:r>
      <w:r w:rsidR="0058417F">
        <w:t xml:space="preserve"> submissions</w:t>
      </w:r>
      <w:r w:rsidR="009B1840">
        <w:t xml:space="preserve">.  We have determined, therefore, that </w:t>
      </w:r>
      <w:r>
        <w:t>although PII is collected</w:t>
      </w:r>
      <w:r w:rsidR="00316446">
        <w:t xml:space="preserve"> in conjunction with associated submissions to the agency, </w:t>
      </w:r>
      <w:r>
        <w:t xml:space="preserve">the particular notice and other requirements of the </w:t>
      </w:r>
      <w:r w:rsidR="004700EB">
        <w:t xml:space="preserve">Privacy </w:t>
      </w:r>
      <w:r>
        <w:t>Act do not apply.  Specifically, we do not use name or any other personal identifier to routinely retrieve records from the information collected.</w:t>
      </w:r>
    </w:p>
    <w:p w:rsidR="2EC65B73" w14:paraId="774A45CE" w14:textId="49198DF7"/>
    <w:p w:rsidR="05648A9A" w:rsidP="2EC65B73" w14:paraId="172F489F" w14:textId="765DBB75">
      <w:r w:rsidRPr="2EC65B73">
        <w:rPr>
          <w:i/>
          <w:iCs/>
        </w:rPr>
        <w:t>Freedom of Information Act</w:t>
      </w:r>
    </w:p>
    <w:p w:rsidR="05648A9A" w:rsidP="2EC65B73" w14:paraId="31E1F083" w14:textId="51529BBD">
      <w:r w:rsidRPr="2EC65B73">
        <w:t xml:space="preserve"> </w:t>
      </w:r>
    </w:p>
    <w:p w:rsidR="05648A9A" w14:paraId="1A04CF8B" w14:textId="07D0FCBC">
      <w:r w:rsidRPr="2EC65B73">
        <w:t>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31CF7" w:rsidRPr="00331CF7" w:rsidP="00507969" w14:paraId="7DDAA0B5" w14:textId="77777777"/>
    <w:p w:rsidR="004C6979" w:rsidRPr="00290E45" w:rsidP="00507969" w14:paraId="6FFE27AD" w14:textId="77777777">
      <w:pPr>
        <w:numPr>
          <w:ilvl w:val="0"/>
          <w:numId w:val="1"/>
        </w:numPr>
        <w:tabs>
          <w:tab w:val="clear" w:pos="720"/>
        </w:tabs>
        <w:ind w:left="0"/>
        <w:rPr>
          <w:color w:val="000000"/>
          <w:u w:val="single"/>
        </w:rPr>
      </w:pPr>
      <w:r w:rsidRPr="00290E45">
        <w:rPr>
          <w:color w:val="000000"/>
          <w:u w:val="single"/>
        </w:rPr>
        <w:t>Justification for Sensitive Questions</w:t>
      </w:r>
    </w:p>
    <w:p w:rsidR="0003368F" w:rsidP="00507969" w14:paraId="047CD089" w14:textId="77777777">
      <w:pPr>
        <w:rPr>
          <w:color w:val="000000"/>
        </w:rPr>
      </w:pPr>
    </w:p>
    <w:p w:rsidR="004C6979" w:rsidP="00507969" w14:paraId="0444FC55" w14:textId="4358C480">
      <w:pPr>
        <w:rPr>
          <w:color w:val="000000"/>
        </w:rPr>
      </w:pPr>
      <w:r w:rsidRPr="00290E45">
        <w:rPr>
          <w:color w:val="000000"/>
        </w:rPr>
        <w:t>There are no questions of a sensitive nature in the environmental impact requirements.</w:t>
      </w:r>
    </w:p>
    <w:p w:rsidR="0003368F" w:rsidRPr="00290E45" w:rsidP="00507969" w14:paraId="3F774D33" w14:textId="77777777">
      <w:pPr>
        <w:rPr>
          <w:color w:val="000000"/>
        </w:rPr>
      </w:pPr>
    </w:p>
    <w:p w:rsidR="004C6979" w:rsidRPr="00290E45" w:rsidP="00507969" w14:paraId="6590EC51" w14:textId="77777777">
      <w:pPr>
        <w:numPr>
          <w:ilvl w:val="0"/>
          <w:numId w:val="1"/>
        </w:numPr>
        <w:tabs>
          <w:tab w:val="clear" w:pos="720"/>
        </w:tabs>
        <w:ind w:left="0"/>
        <w:rPr>
          <w:color w:val="000000"/>
          <w:u w:val="single"/>
        </w:rPr>
      </w:pPr>
      <w:r w:rsidRPr="00290E45">
        <w:rPr>
          <w:color w:val="000000"/>
          <w:u w:val="single"/>
        </w:rPr>
        <w:t>Estimates of Annualized Burden Hours and Costs</w:t>
      </w:r>
    </w:p>
    <w:p w:rsidR="009B0810" w:rsidP="00507969" w14:paraId="70C7EBDD" w14:textId="3DDEECD7">
      <w:pPr>
        <w:pStyle w:val="BodyText2"/>
        <w:jc w:val="center"/>
        <w:rPr>
          <w:color w:val="000000"/>
        </w:rPr>
      </w:pPr>
    </w:p>
    <w:p w:rsidR="006F360D" w:rsidRPr="0003368F" w:rsidP="71A3F4DD" w14:paraId="2C30D4B1" w14:textId="66456C34">
      <w:pPr>
        <w:pStyle w:val="BodyText2"/>
        <w:rPr>
          <w:i/>
          <w:iCs/>
          <w:color w:val="000000"/>
        </w:rPr>
      </w:pPr>
      <w:r w:rsidRPr="71A3F4DD">
        <w:rPr>
          <w:i/>
          <w:iCs/>
          <w:color w:val="000000" w:themeColor="text1"/>
        </w:rPr>
        <w:t>12a.  Annualized Hourly Burden Estimate</w:t>
      </w:r>
    </w:p>
    <w:p w:rsidR="00376949" w:rsidRPr="00376949" w:rsidP="71A3F4DD" w14:paraId="3933DA5E" w14:textId="08BBEF7A">
      <w:pPr>
        <w:pStyle w:val="BodyText2"/>
        <w:rPr>
          <w:i/>
          <w:iCs/>
          <w:color w:val="000000" w:themeColor="text1"/>
        </w:rPr>
      </w:pPr>
    </w:p>
    <w:tbl>
      <w:tblPr>
        <w:tblW w:w="0" w:type="auto"/>
        <w:tblLayout w:type="fixed"/>
        <w:tblLook w:val="01E0"/>
      </w:tblPr>
      <w:tblGrid>
        <w:gridCol w:w="2790"/>
        <w:gridCol w:w="1350"/>
        <w:gridCol w:w="1440"/>
        <w:gridCol w:w="1080"/>
        <w:gridCol w:w="1261"/>
        <w:gridCol w:w="1438"/>
      </w:tblGrid>
      <w:tr w14:paraId="0388DA41" w14:textId="77777777" w:rsidTr="71A3F4DD">
        <w:tblPrEx>
          <w:tblW w:w="0" w:type="auto"/>
          <w:tblLayout w:type="fixed"/>
          <w:tblLook w:val="01E0"/>
        </w:tblPrEx>
        <w:trPr>
          <w:trHeight w:val="15"/>
        </w:trPr>
        <w:tc>
          <w:tcPr>
            <w:tcW w:w="9359" w:type="dxa"/>
            <w:gridSpan w:val="6"/>
            <w:tcBorders>
              <w:top w:val="nil"/>
              <w:left w:val="nil"/>
              <w:bottom w:val="single" w:sz="8" w:space="0" w:color="auto"/>
              <w:right w:val="nil"/>
            </w:tcBorders>
            <w:tcMar>
              <w:left w:w="108" w:type="dxa"/>
              <w:right w:w="108" w:type="dxa"/>
            </w:tcMar>
          </w:tcPr>
          <w:p w:rsidR="71A3F4DD" w:rsidP="71A3F4DD" w14:paraId="398D8740" w14:textId="0500F048">
            <w:pPr>
              <w:jc w:val="center"/>
              <w:rPr>
                <w:sz w:val="20"/>
                <w:szCs w:val="20"/>
                <w:vertAlign w:val="superscript"/>
              </w:rPr>
            </w:pPr>
            <w:r w:rsidRPr="71A3F4DD">
              <w:rPr>
                <w:sz w:val="20"/>
                <w:szCs w:val="20"/>
              </w:rPr>
              <w:t>Table 1.--Estimated Annual Reporting Burden</w:t>
            </w:r>
            <w:r w:rsidRPr="71A3F4DD">
              <w:rPr>
                <w:sz w:val="20"/>
                <w:szCs w:val="20"/>
                <w:vertAlign w:val="superscript"/>
              </w:rPr>
              <w:t>1</w:t>
            </w:r>
          </w:p>
        </w:tc>
      </w:tr>
      <w:tr w14:paraId="5AD5A23E"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C1365E2" w14:textId="0741269F">
            <w:pPr>
              <w:jc w:val="center"/>
            </w:pPr>
            <w:r w:rsidRPr="71A3F4DD">
              <w:rPr>
                <w:sz w:val="20"/>
                <w:szCs w:val="20"/>
              </w:rPr>
              <w:t>21 CFR Part 25; Activity</w:t>
            </w:r>
          </w:p>
        </w:tc>
        <w:tc>
          <w:tcPr>
            <w:tcW w:w="1350" w:type="dxa"/>
            <w:tcBorders>
              <w:top w:val="nil"/>
              <w:left w:val="single" w:sz="8" w:space="0" w:color="auto"/>
              <w:bottom w:val="single" w:sz="8" w:space="0" w:color="auto"/>
              <w:right w:val="single" w:sz="8" w:space="0" w:color="auto"/>
            </w:tcBorders>
            <w:tcMar>
              <w:left w:w="108" w:type="dxa"/>
              <w:right w:w="108" w:type="dxa"/>
            </w:tcMar>
          </w:tcPr>
          <w:p w:rsidR="71A3F4DD" w:rsidP="71A3F4DD" w14:paraId="6F06F937" w14:textId="1B816A95">
            <w:pPr>
              <w:jc w:val="center"/>
            </w:pPr>
            <w:r w:rsidRPr="71A3F4DD">
              <w:rPr>
                <w:sz w:val="20"/>
                <w:szCs w:val="20"/>
              </w:rPr>
              <w:t>No. of Respondents</w:t>
            </w:r>
          </w:p>
        </w:tc>
        <w:tc>
          <w:tcPr>
            <w:tcW w:w="1440" w:type="dxa"/>
            <w:tcBorders>
              <w:top w:val="nil"/>
              <w:left w:val="single" w:sz="8" w:space="0" w:color="auto"/>
              <w:bottom w:val="single" w:sz="8" w:space="0" w:color="auto"/>
              <w:right w:val="single" w:sz="8" w:space="0" w:color="auto"/>
            </w:tcBorders>
            <w:tcMar>
              <w:left w:w="108" w:type="dxa"/>
              <w:right w:w="108" w:type="dxa"/>
            </w:tcMar>
          </w:tcPr>
          <w:p w:rsidR="71A3F4DD" w:rsidP="71A3F4DD" w14:paraId="45D998C8" w14:textId="2873820C">
            <w:pPr>
              <w:jc w:val="center"/>
            </w:pPr>
            <w:r w:rsidRPr="71A3F4DD">
              <w:rPr>
                <w:sz w:val="20"/>
                <w:szCs w:val="20"/>
              </w:rPr>
              <w:t>No. of Responses per Respondent</w:t>
            </w:r>
          </w:p>
        </w:tc>
        <w:tc>
          <w:tcPr>
            <w:tcW w:w="1080" w:type="dxa"/>
            <w:tcBorders>
              <w:top w:val="nil"/>
              <w:left w:val="single" w:sz="8" w:space="0" w:color="auto"/>
              <w:bottom w:val="single" w:sz="8" w:space="0" w:color="auto"/>
              <w:right w:val="single" w:sz="8" w:space="0" w:color="auto"/>
            </w:tcBorders>
            <w:tcMar>
              <w:left w:w="108" w:type="dxa"/>
              <w:right w:w="108" w:type="dxa"/>
            </w:tcMar>
          </w:tcPr>
          <w:p w:rsidR="71A3F4DD" w:rsidP="71A3F4DD" w14:paraId="5AD8A419" w14:textId="4300DF2C">
            <w:pPr>
              <w:jc w:val="center"/>
            </w:pPr>
            <w:r w:rsidRPr="71A3F4DD">
              <w:rPr>
                <w:sz w:val="20"/>
                <w:szCs w:val="20"/>
              </w:rPr>
              <w:t>Total Annual Responses</w:t>
            </w:r>
          </w:p>
        </w:tc>
        <w:tc>
          <w:tcPr>
            <w:tcW w:w="1261" w:type="dxa"/>
            <w:tcBorders>
              <w:top w:val="nil"/>
              <w:left w:val="single" w:sz="8" w:space="0" w:color="auto"/>
              <w:bottom w:val="single" w:sz="8" w:space="0" w:color="auto"/>
              <w:right w:val="single" w:sz="8" w:space="0" w:color="auto"/>
            </w:tcBorders>
            <w:tcMar>
              <w:left w:w="108" w:type="dxa"/>
              <w:right w:w="108" w:type="dxa"/>
            </w:tcMar>
          </w:tcPr>
          <w:p w:rsidR="71A3F4DD" w:rsidP="71A3F4DD" w14:paraId="585D1E28" w14:textId="5F9E514E">
            <w:pPr>
              <w:jc w:val="center"/>
            </w:pPr>
            <w:r w:rsidRPr="71A3F4DD">
              <w:rPr>
                <w:sz w:val="20"/>
                <w:szCs w:val="20"/>
              </w:rPr>
              <w:t>Average Burden per Response</w:t>
            </w:r>
          </w:p>
        </w:tc>
        <w:tc>
          <w:tcPr>
            <w:tcW w:w="1438" w:type="dxa"/>
            <w:tcBorders>
              <w:top w:val="nil"/>
              <w:left w:val="single" w:sz="8" w:space="0" w:color="auto"/>
              <w:bottom w:val="single" w:sz="8" w:space="0" w:color="auto"/>
              <w:right w:val="single" w:sz="8" w:space="0" w:color="auto"/>
            </w:tcBorders>
            <w:tcMar>
              <w:left w:w="108" w:type="dxa"/>
              <w:right w:w="108" w:type="dxa"/>
            </w:tcMar>
          </w:tcPr>
          <w:p w:rsidR="71A3F4DD" w:rsidP="71A3F4DD" w14:paraId="3F4E6A88" w14:textId="2A2E652C">
            <w:pPr>
              <w:jc w:val="center"/>
            </w:pPr>
            <w:r w:rsidRPr="71A3F4DD">
              <w:rPr>
                <w:sz w:val="20"/>
                <w:szCs w:val="20"/>
              </w:rPr>
              <w:t>Total Hours</w:t>
            </w:r>
          </w:p>
        </w:tc>
      </w:tr>
      <w:tr w14:paraId="1E2BC38F" w14:textId="77777777" w:rsidTr="71A3F4DD">
        <w:tblPrEx>
          <w:tblW w:w="0" w:type="auto"/>
          <w:tblLayout w:type="fixed"/>
          <w:tblLook w:val="01E0"/>
        </w:tblPrEx>
        <w:trPr>
          <w:trHeight w:val="15"/>
        </w:trPr>
        <w:tc>
          <w:tcPr>
            <w:tcW w:w="935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72E7416" w14:textId="4698351B">
            <w:pPr>
              <w:jc w:val="center"/>
            </w:pPr>
            <w:r w:rsidRPr="71A3F4DD">
              <w:rPr>
                <w:sz w:val="20"/>
                <w:szCs w:val="20"/>
              </w:rPr>
              <w:t xml:space="preserve">Sections 25.20, 25.40, and 25.42; Actions Requiring an EA or an EIS: </w:t>
            </w:r>
          </w:p>
        </w:tc>
      </w:tr>
      <w:tr w14:paraId="44C6C400"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73714E1" w14:textId="7644F27B">
            <w:r w:rsidRPr="71A3F4DD">
              <w:rPr>
                <w:sz w:val="20"/>
                <w:szCs w:val="20"/>
              </w:rPr>
              <w:t>Center for Drug Evaluation and Research (CDER)</w:t>
            </w:r>
          </w:p>
        </w:tc>
        <w:tc>
          <w:tcPr>
            <w:tcW w:w="1350" w:type="dxa"/>
            <w:tcBorders>
              <w:top w:val="nil"/>
              <w:left w:val="single" w:sz="8" w:space="0" w:color="auto"/>
              <w:bottom w:val="single" w:sz="8" w:space="0" w:color="auto"/>
              <w:right w:val="single" w:sz="8" w:space="0" w:color="auto"/>
            </w:tcBorders>
            <w:tcMar>
              <w:left w:w="108" w:type="dxa"/>
              <w:right w:w="108" w:type="dxa"/>
            </w:tcMar>
          </w:tcPr>
          <w:p w:rsidR="71A3F4DD" w:rsidP="71A3F4DD" w14:paraId="60E79A1B" w14:textId="1B9A9AAE">
            <w:pPr>
              <w:jc w:val="right"/>
            </w:pPr>
            <w:r w:rsidRPr="71A3F4DD">
              <w:rPr>
                <w:sz w:val="20"/>
                <w:szCs w:val="20"/>
              </w:rPr>
              <w:t>13</w:t>
            </w:r>
          </w:p>
        </w:tc>
        <w:tc>
          <w:tcPr>
            <w:tcW w:w="1440" w:type="dxa"/>
            <w:tcBorders>
              <w:top w:val="nil"/>
              <w:left w:val="single" w:sz="8" w:space="0" w:color="auto"/>
              <w:bottom w:val="single" w:sz="8" w:space="0" w:color="auto"/>
              <w:right w:val="single" w:sz="8" w:space="0" w:color="auto"/>
            </w:tcBorders>
            <w:tcMar>
              <w:left w:w="108" w:type="dxa"/>
              <w:right w:w="108" w:type="dxa"/>
            </w:tcMar>
          </w:tcPr>
          <w:p w:rsidR="71A3F4DD" w:rsidP="71A3F4DD" w14:paraId="01895D79" w14:textId="7CF05611">
            <w:pPr>
              <w:jc w:val="right"/>
            </w:pPr>
            <w:r w:rsidRPr="71A3F4DD">
              <w:rPr>
                <w:sz w:val="20"/>
                <w:szCs w:val="20"/>
              </w:rPr>
              <w:t>1</w:t>
            </w:r>
          </w:p>
        </w:tc>
        <w:tc>
          <w:tcPr>
            <w:tcW w:w="1080" w:type="dxa"/>
            <w:tcBorders>
              <w:top w:val="nil"/>
              <w:left w:val="single" w:sz="8" w:space="0" w:color="auto"/>
              <w:bottom w:val="single" w:sz="8" w:space="0" w:color="auto"/>
              <w:right w:val="single" w:sz="8" w:space="0" w:color="auto"/>
            </w:tcBorders>
            <w:tcMar>
              <w:left w:w="108" w:type="dxa"/>
              <w:right w:w="108" w:type="dxa"/>
            </w:tcMar>
          </w:tcPr>
          <w:p w:rsidR="71A3F4DD" w:rsidP="71A3F4DD" w14:paraId="363ABCDE" w14:textId="3FDB0141">
            <w:pPr>
              <w:jc w:val="right"/>
            </w:pPr>
            <w:r w:rsidRPr="71A3F4DD">
              <w:rPr>
                <w:sz w:val="20"/>
                <w:szCs w:val="20"/>
              </w:rPr>
              <w:t>13</w:t>
            </w:r>
          </w:p>
        </w:tc>
        <w:tc>
          <w:tcPr>
            <w:tcW w:w="1261" w:type="dxa"/>
            <w:tcBorders>
              <w:top w:val="nil"/>
              <w:left w:val="single" w:sz="8" w:space="0" w:color="auto"/>
              <w:bottom w:val="single" w:sz="8" w:space="0" w:color="auto"/>
              <w:right w:val="single" w:sz="8" w:space="0" w:color="auto"/>
            </w:tcBorders>
            <w:tcMar>
              <w:left w:w="108" w:type="dxa"/>
              <w:right w:w="108" w:type="dxa"/>
            </w:tcMar>
          </w:tcPr>
          <w:p w:rsidR="71A3F4DD" w:rsidP="71A3F4DD" w14:paraId="2831A0B9" w14:textId="16ABD613">
            <w:pPr>
              <w:jc w:val="right"/>
            </w:pPr>
            <w:r w:rsidRPr="71A3F4DD">
              <w:rPr>
                <w:sz w:val="20"/>
                <w:szCs w:val="20"/>
              </w:rPr>
              <w:t>3,400</w:t>
            </w:r>
          </w:p>
        </w:tc>
        <w:tc>
          <w:tcPr>
            <w:tcW w:w="1438" w:type="dxa"/>
            <w:tcBorders>
              <w:top w:val="nil"/>
              <w:left w:val="single" w:sz="8" w:space="0" w:color="auto"/>
              <w:bottom w:val="single" w:sz="8" w:space="0" w:color="auto"/>
              <w:right w:val="single" w:sz="8" w:space="0" w:color="auto"/>
            </w:tcBorders>
            <w:tcMar>
              <w:left w:w="108" w:type="dxa"/>
              <w:right w:w="108" w:type="dxa"/>
            </w:tcMar>
          </w:tcPr>
          <w:p w:rsidR="71A3F4DD" w:rsidP="71A3F4DD" w14:paraId="223CB7D2" w14:textId="053F5573">
            <w:pPr>
              <w:jc w:val="right"/>
            </w:pPr>
            <w:r w:rsidRPr="71A3F4DD">
              <w:rPr>
                <w:sz w:val="20"/>
                <w:szCs w:val="20"/>
              </w:rPr>
              <w:t>44,200</w:t>
            </w:r>
          </w:p>
        </w:tc>
      </w:tr>
      <w:tr w14:paraId="0926B8A8"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E65B993" w14:textId="6C80A41D">
            <w:r w:rsidRPr="71A3F4DD">
              <w:rPr>
                <w:sz w:val="20"/>
                <w:szCs w:val="20"/>
              </w:rPr>
              <w:t>Center for Devices and Radiological Health (CDRH)</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BA6D7C0" w14:textId="3DEBF964">
            <w:pPr>
              <w:jc w:val="right"/>
            </w:pPr>
            <w:r w:rsidRPr="71A3F4DD">
              <w:rPr>
                <w:sz w:val="20"/>
                <w:szCs w:val="20"/>
              </w:rPr>
              <w:t>66</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75CD2817" w14:textId="25F50F79">
            <w:pPr>
              <w:jc w:val="right"/>
            </w:pPr>
            <w:r w:rsidRPr="71A3F4DD">
              <w:rPr>
                <w:sz w:val="20"/>
                <w:szCs w:val="20"/>
              </w:rPr>
              <w:t>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2A39C5AE" w14:textId="6815199A">
            <w:pPr>
              <w:jc w:val="right"/>
            </w:pPr>
            <w:r w:rsidRPr="71A3F4DD">
              <w:rPr>
                <w:sz w:val="20"/>
                <w:szCs w:val="20"/>
              </w:rPr>
              <w:t>66</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7A0E0C82" w14:textId="1C67B780">
            <w:pPr>
              <w:jc w:val="right"/>
            </w:pPr>
            <w:r w:rsidRPr="71A3F4DD">
              <w:rPr>
                <w:sz w:val="20"/>
                <w:szCs w:val="20"/>
              </w:rPr>
              <w:t>3,400</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510C5EA" w14:textId="284B77C0">
            <w:pPr>
              <w:jc w:val="right"/>
            </w:pPr>
            <w:r w:rsidRPr="71A3F4DD">
              <w:rPr>
                <w:sz w:val="20"/>
                <w:szCs w:val="20"/>
              </w:rPr>
              <w:t>224,400</w:t>
            </w:r>
          </w:p>
        </w:tc>
      </w:tr>
      <w:tr w14:paraId="1E160DA8"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273D60F0" w14:textId="636B305C">
            <w:r w:rsidRPr="71A3F4DD">
              <w:rPr>
                <w:sz w:val="20"/>
                <w:szCs w:val="20"/>
              </w:rPr>
              <w:t>Center for Biologics Evaluation and Research (CBER)</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AF690F3" w14:textId="6F2E3233">
            <w:pPr>
              <w:jc w:val="right"/>
            </w:pPr>
            <w:r w:rsidRPr="71A3F4DD">
              <w:rPr>
                <w:sz w:val="20"/>
                <w:szCs w:val="20"/>
              </w:rPr>
              <w:t>4</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3AD33175" w14:textId="570B4A48">
            <w:pPr>
              <w:jc w:val="right"/>
            </w:pPr>
            <w:r w:rsidRPr="71A3F4DD">
              <w:rPr>
                <w:sz w:val="20"/>
                <w:szCs w:val="20"/>
              </w:rPr>
              <w:t>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459F211" w14:textId="2A52A638">
            <w:pPr>
              <w:jc w:val="right"/>
            </w:pPr>
            <w:r w:rsidRPr="71A3F4DD">
              <w:rPr>
                <w:sz w:val="20"/>
                <w:szCs w:val="20"/>
              </w:rPr>
              <w:t>4</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663774BE" w14:textId="24326E64">
            <w:pPr>
              <w:jc w:val="right"/>
            </w:pPr>
            <w:r w:rsidRPr="71A3F4DD">
              <w:rPr>
                <w:sz w:val="20"/>
                <w:szCs w:val="20"/>
              </w:rPr>
              <w:t>3,400</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3EFC57AC" w14:textId="404A042F">
            <w:pPr>
              <w:jc w:val="right"/>
            </w:pPr>
            <w:r w:rsidRPr="71A3F4DD">
              <w:rPr>
                <w:sz w:val="20"/>
                <w:szCs w:val="20"/>
              </w:rPr>
              <w:t>13,600</w:t>
            </w:r>
          </w:p>
        </w:tc>
      </w:tr>
      <w:tr w14:paraId="28D6DD80"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38761BE" w14:textId="59E509FD">
            <w:r w:rsidRPr="71A3F4DD">
              <w:rPr>
                <w:sz w:val="20"/>
                <w:szCs w:val="20"/>
              </w:rPr>
              <w:t>Center for Veterinary Medicine (CVM)</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B7325D3" w14:textId="4495C995">
            <w:pPr>
              <w:jc w:val="right"/>
            </w:pPr>
            <w:r w:rsidRPr="71A3F4DD">
              <w:rPr>
                <w:sz w:val="20"/>
                <w:szCs w:val="20"/>
              </w:rPr>
              <w:t>11</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4D5120A" w14:textId="6164AD1F">
            <w:pPr>
              <w:jc w:val="right"/>
            </w:pPr>
            <w:r w:rsidRPr="71A3F4DD">
              <w:rPr>
                <w:sz w:val="20"/>
                <w:szCs w:val="20"/>
              </w:rPr>
              <w:t>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8A87E1E" w14:textId="0CE62F06">
            <w:pPr>
              <w:jc w:val="right"/>
            </w:pPr>
            <w:r w:rsidRPr="71A3F4DD">
              <w:rPr>
                <w:sz w:val="20"/>
                <w:szCs w:val="20"/>
              </w:rPr>
              <w:t>11</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7E9CB9F4" w14:textId="08893FC2">
            <w:pPr>
              <w:jc w:val="right"/>
            </w:pPr>
            <w:r w:rsidRPr="71A3F4DD">
              <w:rPr>
                <w:sz w:val="20"/>
                <w:szCs w:val="20"/>
              </w:rPr>
              <w:t>2,160</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297D4E91" w14:textId="0AC2071F">
            <w:pPr>
              <w:jc w:val="right"/>
            </w:pPr>
            <w:r w:rsidRPr="71A3F4DD">
              <w:rPr>
                <w:sz w:val="20"/>
                <w:szCs w:val="20"/>
              </w:rPr>
              <w:t>23,760</w:t>
            </w:r>
          </w:p>
        </w:tc>
      </w:tr>
      <w:tr w14:paraId="7F050893"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8D01D30" w14:textId="08B9AC0A">
            <w:r w:rsidRPr="71A3F4DD">
              <w:rPr>
                <w:sz w:val="20"/>
                <w:szCs w:val="20"/>
              </w:rPr>
              <w:t>Center for Tobacco Products (CTP)</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FF65DBA" w14:textId="613ACF8C">
            <w:pPr>
              <w:jc w:val="right"/>
            </w:pPr>
            <w:r w:rsidRPr="71A3F4DD">
              <w:rPr>
                <w:sz w:val="20"/>
                <w:szCs w:val="20"/>
              </w:rPr>
              <w:t>14</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6DC017DC" w14:textId="2AD24CC0">
            <w:pPr>
              <w:jc w:val="right"/>
            </w:pPr>
            <w:r w:rsidRPr="71A3F4DD">
              <w:rPr>
                <w:sz w:val="20"/>
                <w:szCs w:val="20"/>
              </w:rPr>
              <w:t>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A6ED1E7" w14:textId="4FB7039F">
            <w:pPr>
              <w:jc w:val="right"/>
            </w:pPr>
            <w:r w:rsidRPr="71A3F4DD">
              <w:rPr>
                <w:sz w:val="20"/>
                <w:szCs w:val="20"/>
              </w:rPr>
              <w:t>14</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51EC34C" w14:textId="13C8D7DF">
            <w:pPr>
              <w:jc w:val="right"/>
            </w:pPr>
            <w:r w:rsidRPr="71A3F4DD">
              <w:rPr>
                <w:sz w:val="20"/>
                <w:szCs w:val="20"/>
              </w:rPr>
              <w:t>80</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6056F525" w14:textId="055BC716">
            <w:pPr>
              <w:jc w:val="right"/>
            </w:pPr>
            <w:r w:rsidRPr="71A3F4DD">
              <w:rPr>
                <w:sz w:val="20"/>
                <w:szCs w:val="20"/>
              </w:rPr>
              <w:t>1,120</w:t>
            </w:r>
          </w:p>
        </w:tc>
      </w:tr>
      <w:tr w14:paraId="7C3D1957"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0526B45" w14:textId="363139BE">
            <w:r w:rsidRPr="71A3F4DD">
              <w:rPr>
                <w:sz w:val="20"/>
                <w:szCs w:val="20"/>
              </w:rPr>
              <w:t>Human Foods Program (HFP)</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3CAF4B3E" w14:textId="53A52E30">
            <w:pPr>
              <w:jc w:val="right"/>
            </w:pPr>
            <w:r w:rsidRPr="71A3F4DD">
              <w:rPr>
                <w:sz w:val="20"/>
                <w:szCs w:val="20"/>
              </w:rPr>
              <w:t>60</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64ECB9F" w14:textId="5BB31E21">
            <w:pPr>
              <w:jc w:val="right"/>
            </w:pPr>
            <w:r w:rsidRPr="71A3F4DD">
              <w:rPr>
                <w:sz w:val="20"/>
                <w:szCs w:val="20"/>
              </w:rPr>
              <w:t>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2BFEE71" w14:textId="0FC68D45">
            <w:pPr>
              <w:jc w:val="right"/>
            </w:pPr>
            <w:r w:rsidRPr="71A3F4DD">
              <w:rPr>
                <w:sz w:val="20"/>
                <w:szCs w:val="20"/>
              </w:rPr>
              <w:t>60</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0715758" w14:textId="282E06E0">
            <w:pPr>
              <w:jc w:val="right"/>
            </w:pPr>
            <w:r w:rsidRPr="71A3F4DD">
              <w:rPr>
                <w:sz w:val="20"/>
                <w:szCs w:val="20"/>
              </w:rPr>
              <w:t>180</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396EDF40" w14:textId="7BBE2945">
            <w:pPr>
              <w:jc w:val="right"/>
            </w:pPr>
            <w:r w:rsidRPr="71A3F4DD">
              <w:rPr>
                <w:sz w:val="20"/>
                <w:szCs w:val="20"/>
              </w:rPr>
              <w:t>10,800</w:t>
            </w:r>
          </w:p>
        </w:tc>
      </w:tr>
      <w:tr w14:paraId="69E746D5"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2F53A04" w14:textId="120BB2BA">
            <w:r w:rsidRPr="71A3F4DD">
              <w:rPr>
                <w:sz w:val="20"/>
                <w:szCs w:val="20"/>
              </w:rPr>
              <w:t xml:space="preserve">     Subtotal</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78A896CF" w14:textId="310C65CC">
            <w:pPr>
              <w:jc w:val="right"/>
            </w:pPr>
            <w:r w:rsidRPr="71A3F4DD">
              <w:rPr>
                <w:sz w:val="20"/>
                <w:szCs w:val="20"/>
              </w:rPr>
              <w:t>168</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7CDC75C" w14:textId="0860F36D">
            <w:pPr>
              <w:jc w:val="right"/>
            </w:pPr>
            <w:r w:rsidRPr="71A3F4DD">
              <w:rPr>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2C59C173" w14:textId="31A7831C">
            <w:pPr>
              <w:jc w:val="right"/>
            </w:pPr>
            <w:r w:rsidRPr="71A3F4DD">
              <w:rPr>
                <w:sz w:val="20"/>
                <w:szCs w:val="20"/>
              </w:rPr>
              <w:t>168</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09395D5" w14:textId="3E6FC9C2">
            <w:pPr>
              <w:jc w:val="right"/>
            </w:pPr>
            <w:r w:rsidRPr="71A3F4DD">
              <w:rPr>
                <w:sz w:val="20"/>
                <w:szCs w:val="20"/>
              </w:rPr>
              <w:t xml:space="preserve"> </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1657B17" w14:textId="361973D8">
            <w:pPr>
              <w:jc w:val="right"/>
            </w:pPr>
            <w:r w:rsidRPr="71A3F4DD">
              <w:rPr>
                <w:sz w:val="20"/>
                <w:szCs w:val="20"/>
              </w:rPr>
              <w:t>317,880</w:t>
            </w:r>
          </w:p>
        </w:tc>
      </w:tr>
      <w:tr w14:paraId="0BBD113D" w14:textId="77777777" w:rsidTr="71A3F4DD">
        <w:tblPrEx>
          <w:tblW w:w="0" w:type="auto"/>
          <w:tblLayout w:type="fixed"/>
          <w:tblLook w:val="01E0"/>
        </w:tblPrEx>
        <w:trPr>
          <w:trHeight w:val="15"/>
        </w:trPr>
        <w:tc>
          <w:tcPr>
            <w:tcW w:w="935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2010BA94" w14:textId="0C26DE1C">
            <w:pPr>
              <w:jc w:val="center"/>
            </w:pPr>
            <w:r w:rsidRPr="71A3F4DD">
              <w:rPr>
                <w:sz w:val="20"/>
                <w:szCs w:val="20"/>
              </w:rPr>
              <w:t>Section 25.15(a) and (d); actions subject to CE:</w:t>
            </w:r>
          </w:p>
        </w:tc>
      </w:tr>
      <w:tr w14:paraId="2AC84791"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FE0CA7D" w14:textId="14F0E7D6">
            <w:r w:rsidRPr="71A3F4DD">
              <w:rPr>
                <w:sz w:val="20"/>
                <w:szCs w:val="20"/>
              </w:rPr>
              <w:t>CDER</w:t>
            </w:r>
          </w:p>
        </w:tc>
        <w:tc>
          <w:tcPr>
            <w:tcW w:w="1350" w:type="dxa"/>
            <w:tcBorders>
              <w:top w:val="nil"/>
              <w:left w:val="single" w:sz="8" w:space="0" w:color="auto"/>
              <w:bottom w:val="single" w:sz="8" w:space="0" w:color="auto"/>
              <w:right w:val="single" w:sz="8" w:space="0" w:color="auto"/>
            </w:tcBorders>
            <w:tcMar>
              <w:left w:w="108" w:type="dxa"/>
              <w:right w:w="108" w:type="dxa"/>
            </w:tcMar>
          </w:tcPr>
          <w:p w:rsidR="71A3F4DD" w:rsidP="71A3F4DD" w14:paraId="42A5B7CC" w14:textId="38530DA9">
            <w:pPr>
              <w:jc w:val="right"/>
            </w:pPr>
            <w:r w:rsidRPr="71A3F4DD">
              <w:rPr>
                <w:sz w:val="20"/>
                <w:szCs w:val="20"/>
              </w:rPr>
              <w:t>3,999</w:t>
            </w:r>
          </w:p>
        </w:tc>
        <w:tc>
          <w:tcPr>
            <w:tcW w:w="1440" w:type="dxa"/>
            <w:tcBorders>
              <w:top w:val="nil"/>
              <w:left w:val="single" w:sz="8" w:space="0" w:color="auto"/>
              <w:bottom w:val="single" w:sz="8" w:space="0" w:color="auto"/>
              <w:right w:val="single" w:sz="8" w:space="0" w:color="auto"/>
            </w:tcBorders>
            <w:tcMar>
              <w:left w:w="108" w:type="dxa"/>
              <w:right w:w="108" w:type="dxa"/>
            </w:tcMar>
          </w:tcPr>
          <w:p w:rsidR="71A3F4DD" w:rsidP="71A3F4DD" w14:paraId="109B4B30" w14:textId="3870D995">
            <w:pPr>
              <w:jc w:val="right"/>
            </w:pPr>
            <w:r w:rsidRPr="71A3F4DD">
              <w:rPr>
                <w:sz w:val="20"/>
                <w:szCs w:val="20"/>
              </w:rPr>
              <w:t>5.0765</w:t>
            </w:r>
          </w:p>
        </w:tc>
        <w:tc>
          <w:tcPr>
            <w:tcW w:w="1080" w:type="dxa"/>
            <w:tcBorders>
              <w:top w:val="nil"/>
              <w:left w:val="single" w:sz="8" w:space="0" w:color="auto"/>
              <w:bottom w:val="single" w:sz="8" w:space="0" w:color="auto"/>
              <w:right w:val="single" w:sz="8" w:space="0" w:color="auto"/>
            </w:tcBorders>
            <w:tcMar>
              <w:left w:w="108" w:type="dxa"/>
              <w:right w:w="108" w:type="dxa"/>
            </w:tcMar>
          </w:tcPr>
          <w:p w:rsidR="71A3F4DD" w:rsidP="71A3F4DD" w14:paraId="180FE334" w14:textId="751042B3">
            <w:pPr>
              <w:jc w:val="right"/>
            </w:pPr>
            <w:r w:rsidRPr="71A3F4DD">
              <w:rPr>
                <w:sz w:val="20"/>
                <w:szCs w:val="20"/>
              </w:rPr>
              <w:t>20,301</w:t>
            </w:r>
          </w:p>
        </w:tc>
        <w:tc>
          <w:tcPr>
            <w:tcW w:w="1261" w:type="dxa"/>
            <w:tcBorders>
              <w:top w:val="nil"/>
              <w:left w:val="single" w:sz="8" w:space="0" w:color="auto"/>
              <w:bottom w:val="single" w:sz="8" w:space="0" w:color="auto"/>
              <w:right w:val="single" w:sz="8" w:space="0" w:color="auto"/>
            </w:tcBorders>
            <w:tcMar>
              <w:left w:w="108" w:type="dxa"/>
              <w:right w:w="108" w:type="dxa"/>
            </w:tcMar>
          </w:tcPr>
          <w:p w:rsidR="71A3F4DD" w:rsidP="71A3F4DD" w14:paraId="5E8DE11E" w14:textId="252E51EC">
            <w:pPr>
              <w:jc w:val="right"/>
            </w:pPr>
            <w:r w:rsidRPr="71A3F4DD">
              <w:rPr>
                <w:sz w:val="20"/>
                <w:szCs w:val="20"/>
              </w:rPr>
              <w:t>8</w:t>
            </w:r>
          </w:p>
        </w:tc>
        <w:tc>
          <w:tcPr>
            <w:tcW w:w="1438" w:type="dxa"/>
            <w:tcBorders>
              <w:top w:val="nil"/>
              <w:left w:val="single" w:sz="8" w:space="0" w:color="auto"/>
              <w:bottom w:val="single" w:sz="8" w:space="0" w:color="auto"/>
              <w:right w:val="single" w:sz="8" w:space="0" w:color="auto"/>
            </w:tcBorders>
            <w:tcMar>
              <w:left w:w="108" w:type="dxa"/>
              <w:right w:w="108" w:type="dxa"/>
            </w:tcMar>
          </w:tcPr>
          <w:p w:rsidR="71A3F4DD" w:rsidP="71A3F4DD" w14:paraId="116AFC04" w14:textId="5530E918">
            <w:pPr>
              <w:jc w:val="right"/>
            </w:pPr>
            <w:r w:rsidRPr="71A3F4DD">
              <w:rPr>
                <w:sz w:val="20"/>
                <w:szCs w:val="20"/>
              </w:rPr>
              <w:t>162,408</w:t>
            </w:r>
          </w:p>
        </w:tc>
      </w:tr>
      <w:tr w14:paraId="66DB2C8F"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3E03DD7A" w14:textId="426DD07B">
            <w:r w:rsidRPr="71A3F4DD">
              <w:rPr>
                <w:sz w:val="20"/>
                <w:szCs w:val="20"/>
              </w:rPr>
              <w:t>CDRH</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1074362" w14:textId="56BE7F15">
            <w:pPr>
              <w:jc w:val="right"/>
            </w:pPr>
            <w:r w:rsidRPr="71A3F4DD">
              <w:rPr>
                <w:sz w:val="20"/>
                <w:szCs w:val="20"/>
              </w:rPr>
              <w:t>66</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EA12019" w14:textId="71165677">
            <w:pPr>
              <w:jc w:val="right"/>
            </w:pPr>
            <w:r w:rsidRPr="71A3F4DD">
              <w:rPr>
                <w:sz w:val="20"/>
                <w:szCs w:val="20"/>
              </w:rPr>
              <w:t>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097F7E1" w14:textId="533EE3D6">
            <w:pPr>
              <w:jc w:val="right"/>
            </w:pPr>
            <w:r w:rsidRPr="71A3F4DD">
              <w:rPr>
                <w:sz w:val="20"/>
                <w:szCs w:val="20"/>
              </w:rPr>
              <w:t>66</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672E2A71" w14:textId="5636E82D">
            <w:pPr>
              <w:jc w:val="right"/>
            </w:pPr>
            <w:r w:rsidRPr="71A3F4DD">
              <w:rPr>
                <w:sz w:val="20"/>
                <w:szCs w:val="20"/>
              </w:rPr>
              <w:t>6</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F2C9390" w14:textId="0FDACFA2">
            <w:pPr>
              <w:jc w:val="right"/>
            </w:pPr>
            <w:r w:rsidRPr="71A3F4DD">
              <w:rPr>
                <w:sz w:val="20"/>
                <w:szCs w:val="20"/>
              </w:rPr>
              <w:t>396</w:t>
            </w:r>
          </w:p>
        </w:tc>
      </w:tr>
      <w:tr w14:paraId="2C5E20C1"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7EF4E3B" w14:textId="2A34DBBF">
            <w:r w:rsidRPr="71A3F4DD">
              <w:rPr>
                <w:sz w:val="20"/>
                <w:szCs w:val="20"/>
              </w:rPr>
              <w:t>CBER</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2A4D6AF4" w14:textId="18BCFBA4">
            <w:pPr>
              <w:jc w:val="right"/>
            </w:pPr>
            <w:r w:rsidRPr="71A3F4DD">
              <w:rPr>
                <w:sz w:val="20"/>
                <w:szCs w:val="20"/>
              </w:rPr>
              <w:t>2,383</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81999D7" w14:textId="3E776133">
            <w:pPr>
              <w:jc w:val="right"/>
            </w:pPr>
            <w:r w:rsidRPr="71A3F4DD">
              <w:rPr>
                <w:sz w:val="20"/>
                <w:szCs w:val="20"/>
              </w:rPr>
              <w:t>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76700F35" w14:textId="626DAF8A">
            <w:pPr>
              <w:jc w:val="right"/>
            </w:pPr>
            <w:r w:rsidRPr="71A3F4DD">
              <w:rPr>
                <w:sz w:val="20"/>
                <w:szCs w:val="20"/>
              </w:rPr>
              <w:t>7,149</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7496E5D" w14:textId="77787CB8">
            <w:pPr>
              <w:jc w:val="right"/>
            </w:pPr>
            <w:r w:rsidRPr="71A3F4DD">
              <w:rPr>
                <w:sz w:val="20"/>
                <w:szCs w:val="20"/>
              </w:rPr>
              <w:t>8</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2E001AA" w14:textId="13267EAB">
            <w:pPr>
              <w:jc w:val="right"/>
            </w:pPr>
            <w:r w:rsidRPr="71A3F4DD">
              <w:rPr>
                <w:sz w:val="20"/>
                <w:szCs w:val="20"/>
              </w:rPr>
              <w:t>57,192</w:t>
            </w:r>
          </w:p>
        </w:tc>
      </w:tr>
      <w:tr w14:paraId="23242BD3"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A049E96" w14:textId="31971CC7">
            <w:r w:rsidRPr="71A3F4DD">
              <w:rPr>
                <w:sz w:val="20"/>
                <w:szCs w:val="20"/>
              </w:rPr>
              <w:t>CVM</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D5F8118" w14:textId="7D43F771">
            <w:pPr>
              <w:jc w:val="right"/>
            </w:pPr>
            <w:r w:rsidRPr="71A3F4DD">
              <w:rPr>
                <w:sz w:val="20"/>
                <w:szCs w:val="20"/>
              </w:rPr>
              <w:t>116</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2C1887C" w14:textId="75704DBF">
            <w:pPr>
              <w:jc w:val="right"/>
            </w:pPr>
            <w:r w:rsidRPr="71A3F4DD">
              <w:rPr>
                <w:sz w:val="20"/>
                <w:szCs w:val="20"/>
              </w:rPr>
              <w:t>6.47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DA454BA" w14:textId="16A6253C">
            <w:pPr>
              <w:jc w:val="right"/>
            </w:pPr>
            <w:r w:rsidRPr="71A3F4DD">
              <w:rPr>
                <w:sz w:val="20"/>
                <w:szCs w:val="20"/>
              </w:rPr>
              <w:t>751</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6694147" w14:textId="31B2FA69">
            <w:pPr>
              <w:jc w:val="right"/>
            </w:pPr>
            <w:r w:rsidRPr="71A3F4DD">
              <w:rPr>
                <w:sz w:val="20"/>
                <w:szCs w:val="20"/>
              </w:rPr>
              <w:t>3</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664402B0" w14:textId="489A1F9E">
            <w:pPr>
              <w:jc w:val="right"/>
            </w:pPr>
            <w:r w:rsidRPr="71A3F4DD">
              <w:rPr>
                <w:sz w:val="20"/>
                <w:szCs w:val="20"/>
              </w:rPr>
              <w:t>2,253</w:t>
            </w:r>
          </w:p>
        </w:tc>
      </w:tr>
      <w:tr w14:paraId="2E4F8F43"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7081720" w14:textId="77467039">
            <w:r w:rsidRPr="71A3F4DD">
              <w:rPr>
                <w:sz w:val="20"/>
                <w:szCs w:val="20"/>
              </w:rPr>
              <w:t>HFP</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15DD34E" w14:textId="561F95BC">
            <w:pPr>
              <w:jc w:val="right"/>
            </w:pPr>
            <w:r w:rsidRPr="71A3F4DD">
              <w:rPr>
                <w:sz w:val="20"/>
                <w:szCs w:val="20"/>
              </w:rPr>
              <w:t>50</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72586A45" w14:textId="71D30D36">
            <w:pPr>
              <w:jc w:val="right"/>
            </w:pPr>
            <w:r w:rsidRPr="71A3F4DD">
              <w:rPr>
                <w:sz w:val="20"/>
                <w:szCs w:val="20"/>
              </w:rPr>
              <w:t>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D307712" w14:textId="3EBB6E23">
            <w:pPr>
              <w:jc w:val="right"/>
            </w:pPr>
            <w:r w:rsidRPr="71A3F4DD">
              <w:rPr>
                <w:sz w:val="20"/>
                <w:szCs w:val="20"/>
              </w:rPr>
              <w:t>50</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44ACCA4C" w14:textId="00D06683">
            <w:pPr>
              <w:jc w:val="right"/>
            </w:pPr>
            <w:r w:rsidRPr="71A3F4DD">
              <w:rPr>
                <w:sz w:val="20"/>
                <w:szCs w:val="20"/>
              </w:rPr>
              <w:t>8</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685AEF44" w14:textId="76EF13E4">
            <w:pPr>
              <w:jc w:val="right"/>
            </w:pPr>
            <w:r w:rsidRPr="71A3F4DD">
              <w:rPr>
                <w:sz w:val="20"/>
                <w:szCs w:val="20"/>
              </w:rPr>
              <w:t>400</w:t>
            </w:r>
          </w:p>
        </w:tc>
      </w:tr>
      <w:tr w14:paraId="1B3BF92D"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3C2CE518" w14:textId="5A05907E">
            <w:r w:rsidRPr="71A3F4DD">
              <w:rPr>
                <w:sz w:val="20"/>
                <w:szCs w:val="20"/>
              </w:rPr>
              <w:t xml:space="preserve">     Subtotal</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72CC4ACA" w14:textId="30663073">
            <w:pPr>
              <w:jc w:val="right"/>
            </w:pPr>
            <w:r w:rsidRPr="71A3F4DD">
              <w:rPr>
                <w:sz w:val="20"/>
                <w:szCs w:val="20"/>
              </w:rPr>
              <w:t>6,614</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12F93BD" w14:textId="1C458F23">
            <w:pPr>
              <w:jc w:val="right"/>
            </w:pPr>
            <w:r w:rsidRPr="71A3F4DD">
              <w:rPr>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93BF885" w14:textId="7F563311">
            <w:pPr>
              <w:jc w:val="right"/>
            </w:pPr>
            <w:r w:rsidRPr="71A3F4DD">
              <w:rPr>
                <w:sz w:val="20"/>
                <w:szCs w:val="20"/>
              </w:rPr>
              <w:t>28,317</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217F1F76" w14:textId="3A6DDB6D">
            <w:pPr>
              <w:jc w:val="right"/>
            </w:pPr>
            <w:r w:rsidRPr="71A3F4DD">
              <w:rPr>
                <w:sz w:val="20"/>
                <w:szCs w:val="20"/>
              </w:rPr>
              <w:t xml:space="preserve"> </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6F0C418" w14:textId="07E4DBD8">
            <w:pPr>
              <w:jc w:val="right"/>
            </w:pPr>
            <w:r w:rsidRPr="71A3F4DD">
              <w:rPr>
                <w:sz w:val="20"/>
                <w:szCs w:val="20"/>
              </w:rPr>
              <w:t>222,649</w:t>
            </w:r>
          </w:p>
        </w:tc>
      </w:tr>
      <w:tr w14:paraId="7B18DF9C" w14:textId="77777777" w:rsidTr="006F4F16">
        <w:tblPrEx>
          <w:tblW w:w="0" w:type="auto"/>
          <w:tblLayout w:type="fixed"/>
          <w:tblLook w:val="01E0"/>
        </w:tblPrEx>
        <w:trPr>
          <w:trHeight w:val="15"/>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9E9FD52" w14:textId="6FC15FAF">
            <w:r w:rsidRPr="71A3F4DD">
              <w:rPr>
                <w:sz w:val="20"/>
                <w:szCs w:val="20"/>
              </w:rPr>
              <w:t xml:space="preserve">          Total</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197533F0" w14:textId="7F7C6201">
            <w:pPr>
              <w:jc w:val="right"/>
            </w:pPr>
            <w:r w:rsidRPr="71A3F4DD">
              <w:rPr>
                <w:sz w:val="20"/>
                <w:szCs w:val="20"/>
              </w:rPr>
              <w:t>6,782</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06ABDA50" w14:textId="602B3057">
            <w:pPr>
              <w:jc w:val="right"/>
            </w:pPr>
            <w:r w:rsidRPr="71A3F4DD">
              <w:rPr>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5E1CD66D" w14:textId="2BB76CD5">
            <w:pPr>
              <w:jc w:val="right"/>
            </w:pPr>
            <w:r w:rsidRPr="71A3F4DD">
              <w:rPr>
                <w:sz w:val="20"/>
                <w:szCs w:val="20"/>
              </w:rPr>
              <w:t>28,485</w:t>
            </w:r>
          </w:p>
        </w:tc>
        <w:tc>
          <w:tcPr>
            <w:tcW w:w="1261"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3295E331" w14:textId="0BB1FE1F">
            <w:pPr>
              <w:jc w:val="right"/>
            </w:pPr>
            <w:r w:rsidRPr="71A3F4DD">
              <w:rPr>
                <w:sz w:val="20"/>
                <w:szCs w:val="20"/>
              </w:rPr>
              <w:t xml:space="preserve"> </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tcPr>
          <w:p w:rsidR="71A3F4DD" w:rsidP="71A3F4DD" w14:paraId="77C1DDF2" w14:textId="78794903">
            <w:pPr>
              <w:jc w:val="right"/>
              <w:rPr>
                <w:sz w:val="20"/>
                <w:szCs w:val="20"/>
              </w:rPr>
            </w:pPr>
            <w:r w:rsidRPr="71A3F4DD">
              <w:rPr>
                <w:sz w:val="20"/>
                <w:szCs w:val="20"/>
              </w:rPr>
              <w:t>540,529</w:t>
            </w:r>
          </w:p>
        </w:tc>
      </w:tr>
    </w:tbl>
    <w:p w:rsidR="00376949" w:rsidRPr="00376949" w:rsidP="71A3F4DD" w14:paraId="73404DED" w14:textId="10E0C06E">
      <w:r w:rsidRPr="71A3F4DD">
        <w:rPr>
          <w:sz w:val="20"/>
          <w:szCs w:val="20"/>
          <w:vertAlign w:val="superscript"/>
        </w:rPr>
        <w:t>1</w:t>
      </w:r>
      <w:r w:rsidRPr="71A3F4DD">
        <w:rPr>
          <w:sz w:val="20"/>
          <w:szCs w:val="20"/>
        </w:rPr>
        <w:t xml:space="preserve"> There are no capital costs or operating and maintenance costs associated with this collection of information.</w:t>
      </w:r>
    </w:p>
    <w:p w:rsidR="00376949" w:rsidRPr="00376949" w:rsidP="00376949" w14:paraId="18807866" w14:textId="19A36979">
      <w:pPr>
        <w:pStyle w:val="BodyText2"/>
        <w:rPr>
          <w:color w:val="000000"/>
        </w:rPr>
      </w:pPr>
    </w:p>
    <w:p w:rsidR="00D03393" w:rsidP="00376949" w14:paraId="4956A720" w14:textId="77777777">
      <w:pPr>
        <w:pStyle w:val="BodyText2"/>
        <w:rPr>
          <w:color w:val="000000"/>
        </w:rPr>
      </w:pPr>
      <w:bookmarkStart w:id="0" w:name="_Hlk106258148"/>
    </w:p>
    <w:p w:rsidR="00376949" w:rsidP="00376949" w14:paraId="76C988DF" w14:textId="4369B522">
      <w:pPr>
        <w:pStyle w:val="BodyText2"/>
        <w:rPr>
          <w:color w:val="000000"/>
        </w:rPr>
      </w:pPr>
      <w:r w:rsidRPr="00376949">
        <w:rPr>
          <w:color w:val="000000"/>
        </w:rPr>
        <w:t>CDER:</w:t>
      </w:r>
    </w:p>
    <w:p w:rsidR="006A440E" w:rsidRPr="00376949" w:rsidP="00376949" w14:paraId="421D3A41" w14:textId="77777777">
      <w:pPr>
        <w:pStyle w:val="BodyText2"/>
        <w:rPr>
          <w:color w:val="000000"/>
        </w:rPr>
      </w:pPr>
    </w:p>
    <w:p w:rsidR="00376949" w:rsidRPr="00376949" w:rsidP="00376949" w14:paraId="2C94D7C9" w14:textId="77777777">
      <w:pPr>
        <w:pStyle w:val="BodyText2"/>
        <w:rPr>
          <w:color w:val="000000"/>
        </w:rPr>
      </w:pPr>
      <w:r w:rsidRPr="00376949">
        <w:rPr>
          <w:color w:val="000000"/>
        </w:rPr>
        <w:t>Under §§ 312.23(a)(7)(iv)(e), 314.50(d)(1)(iii), and 314.94(a)(9)(</w:t>
      </w:r>
      <w:r w:rsidRPr="00376949">
        <w:rPr>
          <w:color w:val="000000"/>
        </w:rPr>
        <w:t>i</w:t>
      </w:r>
      <w:r w:rsidRPr="00376949">
        <w:rPr>
          <w:color w:val="000000"/>
        </w:rPr>
        <w:t>) (21 CFR 312.23(a)(7)(iv)(e), 314.50(d)(1)(iii), and 314.94(a)(9)(</w:t>
      </w:r>
      <w:r w:rsidRPr="00376949">
        <w:rPr>
          <w:color w:val="000000"/>
        </w:rPr>
        <w:t>i</w:t>
      </w:r>
      <w:r w:rsidRPr="00376949">
        <w:rPr>
          <w:color w:val="000000"/>
        </w:rPr>
        <w:t>)), each investigational new drug application (IND), new drug application (NDA), and abbreviated new drug application (ANDA) must contain a claim for CE under § 25.30 or § 25.31, or an EA under § 25.40.</w:t>
      </w:r>
    </w:p>
    <w:p w:rsidR="006A440E" w:rsidP="00376949" w14:paraId="0F425BA9" w14:textId="77777777">
      <w:pPr>
        <w:pStyle w:val="BodyText2"/>
        <w:rPr>
          <w:color w:val="000000"/>
        </w:rPr>
      </w:pPr>
    </w:p>
    <w:p w:rsidR="00376949" w:rsidRPr="00376949" w:rsidP="00376949" w14:paraId="65270EC3" w14:textId="7650A7CD">
      <w:pPr>
        <w:pStyle w:val="BodyText2"/>
        <w:rPr>
          <w:color w:val="000000"/>
        </w:rPr>
      </w:pPr>
      <w:r w:rsidRPr="00376949">
        <w:rPr>
          <w:color w:val="000000"/>
        </w:rPr>
        <w:t>CDRH:</w:t>
      </w:r>
    </w:p>
    <w:p w:rsidR="006A440E" w:rsidP="00376949" w14:paraId="7C304667" w14:textId="77777777">
      <w:pPr>
        <w:pStyle w:val="BodyText2"/>
        <w:rPr>
          <w:color w:val="000000"/>
        </w:rPr>
      </w:pPr>
    </w:p>
    <w:p w:rsidR="00376949" w:rsidRPr="00376949" w:rsidP="00376949" w14:paraId="266E3964" w14:textId="7FC3235B">
      <w:pPr>
        <w:pStyle w:val="BodyText2"/>
        <w:rPr>
          <w:color w:val="000000"/>
        </w:rPr>
      </w:pPr>
      <w:r w:rsidRPr="00376949">
        <w:rPr>
          <w:color w:val="000000"/>
        </w:rPr>
        <w:t xml:space="preserve">Under § 814.20(b)(11) (21 CFR 814.20(b)(11)), premarket approvals (PMAs) (original PMAs and supplements) must contain a claim for CE under § 25.30 or § 25.34 or an EA under § 25.40. </w:t>
      </w:r>
    </w:p>
    <w:p w:rsidR="00090A20" w14:paraId="0895DEF4" w14:textId="1B3550FB">
      <w:pPr>
        <w:rPr>
          <w:color w:val="000000"/>
          <w:szCs w:val="20"/>
        </w:rPr>
      </w:pPr>
    </w:p>
    <w:p w:rsidR="00376949" w:rsidRPr="00376949" w:rsidP="00376949" w14:paraId="6D9C700A" w14:textId="24EF3A22">
      <w:pPr>
        <w:pStyle w:val="BodyText2"/>
        <w:rPr>
          <w:color w:val="000000"/>
        </w:rPr>
      </w:pPr>
      <w:r w:rsidRPr="00376949">
        <w:rPr>
          <w:color w:val="000000"/>
        </w:rPr>
        <w:t>CBER:</w:t>
      </w:r>
    </w:p>
    <w:p w:rsidR="006A440E" w:rsidP="00376949" w14:paraId="425F0DE9" w14:textId="77777777">
      <w:pPr>
        <w:pStyle w:val="BodyText2"/>
        <w:rPr>
          <w:color w:val="000000"/>
        </w:rPr>
      </w:pPr>
    </w:p>
    <w:p w:rsidR="00376949" w:rsidRPr="00376949" w:rsidP="00376949" w14:paraId="2583311C" w14:textId="056D04D5">
      <w:pPr>
        <w:pStyle w:val="BodyText2"/>
        <w:rPr>
          <w:color w:val="000000"/>
        </w:rPr>
      </w:pPr>
      <w:r w:rsidRPr="00376949">
        <w:rPr>
          <w:color w:val="000000"/>
        </w:rPr>
        <w:t xml:space="preserve">Under 21 CFR 601.2(a), biologic license applications (BLAs) as well as INDs (§ 312.23), NDAs (§ 314.50), ANDAs (§ 314.94), and PMAs (§ 814.20) must contain either a claim of CE under § 25.30 or § 25.32 or an EA under § 25.40. </w:t>
      </w:r>
    </w:p>
    <w:p w:rsidR="006A440E" w:rsidP="00376949" w14:paraId="0DA3BD0B" w14:textId="77777777">
      <w:pPr>
        <w:pStyle w:val="BodyText2"/>
        <w:rPr>
          <w:color w:val="000000"/>
        </w:rPr>
      </w:pPr>
    </w:p>
    <w:p w:rsidR="00376949" w:rsidRPr="00376949" w:rsidP="00376949" w14:paraId="34FFD437" w14:textId="53A575C4">
      <w:pPr>
        <w:pStyle w:val="BodyText2"/>
        <w:rPr>
          <w:color w:val="000000"/>
        </w:rPr>
      </w:pPr>
      <w:r w:rsidRPr="00376949">
        <w:rPr>
          <w:color w:val="000000"/>
        </w:rPr>
        <w:t>CVM:</w:t>
      </w:r>
    </w:p>
    <w:p w:rsidR="006A440E" w:rsidP="00376949" w14:paraId="2BF14A23" w14:textId="77777777">
      <w:pPr>
        <w:pStyle w:val="BodyText2"/>
        <w:rPr>
          <w:color w:val="000000"/>
        </w:rPr>
      </w:pPr>
    </w:p>
    <w:p w:rsidR="00376949" w:rsidRPr="00376949" w:rsidP="37D57C09" w14:paraId="557D220A" w14:textId="1990BD8E">
      <w:pPr>
        <w:pStyle w:val="BodyText2"/>
      </w:pPr>
      <w:r w:rsidRPr="37D57C09">
        <w:rPr>
          <w:color w:val="000000" w:themeColor="text1"/>
          <w:szCs w:val="24"/>
        </w:rPr>
        <w:t xml:space="preserve"> Under 21 CFR 514.1(b)(14), new animal drug applications (NADAs) and abbreviated new animal drug applications (ANADAs); 21 CFR 514.8(a)(1) supplemental NADAs and ANADAs; 21 CFR 511.1(b)(10) investigational new animal drug applications and generic investigational new animal drug applications, and 21 CFR 571.1(c) food additive petitions (FAPs), 21 CFR 516.129(c)(9) requests for determination of eligibility for indexing, and 21 CFR 510.205(e)(7) establishment of an import tolerance must contain a claim for CE under § 25.30,  § 25.32, § 25.33 or an EA under § 25.40.</w:t>
      </w:r>
    </w:p>
    <w:p w:rsidR="006A440E" w:rsidP="00376949" w14:paraId="7ADB456F" w14:textId="77777777">
      <w:pPr>
        <w:pStyle w:val="BodyText2"/>
        <w:rPr>
          <w:color w:val="000000"/>
        </w:rPr>
      </w:pPr>
    </w:p>
    <w:p w:rsidR="00376949" w:rsidRPr="00376949" w:rsidP="00376949" w14:paraId="3C8FAE3A" w14:textId="4903B972">
      <w:pPr>
        <w:pStyle w:val="BodyText2"/>
        <w:rPr>
          <w:color w:val="000000"/>
        </w:rPr>
      </w:pPr>
      <w:r w:rsidRPr="00376949">
        <w:rPr>
          <w:color w:val="000000"/>
        </w:rPr>
        <w:t>CTP:</w:t>
      </w:r>
    </w:p>
    <w:p w:rsidR="006A440E" w:rsidP="00376949" w14:paraId="5F32B855" w14:textId="77777777">
      <w:pPr>
        <w:pStyle w:val="BodyText2"/>
        <w:rPr>
          <w:color w:val="000000"/>
        </w:rPr>
      </w:pPr>
    </w:p>
    <w:p w:rsidR="00376949" w:rsidRPr="00376949" w:rsidP="5C14A642" w14:paraId="6F1BC3AE" w14:textId="60C4BC7D">
      <w:pPr>
        <w:pStyle w:val="BodyText2"/>
        <w:rPr>
          <w:color w:val="000000"/>
        </w:rPr>
      </w:pPr>
      <w:r w:rsidRPr="5C14A642">
        <w:rPr>
          <w:color w:val="000000" w:themeColor="text1"/>
        </w:rPr>
        <w:t>Under sections 905, 910, and 911 of the FD&amp;C Act (21 U.S.C. 387e, 387j, and 387k), product applications and supplements, premarket tobacco applications (PMTAs), substantial equivalences (SEs), exemption from SEs, and modified risk tobacco product applications must contain a claim for a CE or an EA.  Upon evaluation, we have concluded that the majority of the EA burden for tobacco products is accounted for in other information collections currently approved by OMB.  The burden we attribute to SEs is currently approved in OMB control number 0910-0673; the burden we attribute to PMTAs is currently approved in OMB control number 0910-</w:t>
      </w:r>
      <w:r w:rsidRPr="5C14A642" w:rsidR="09E85D30">
        <w:rPr>
          <w:color w:val="000000" w:themeColor="text1"/>
        </w:rPr>
        <w:t>0879</w:t>
      </w:r>
      <w:r w:rsidRPr="5C14A642">
        <w:rPr>
          <w:color w:val="000000" w:themeColor="text1"/>
        </w:rPr>
        <w:t>; and the burden we attribute to SE exemptions is currently approved in OMB control number 0910-0684.</w:t>
      </w:r>
    </w:p>
    <w:bookmarkEnd w:id="0"/>
    <w:p w:rsidR="006A440E" w:rsidP="00376949" w14:paraId="3C956A26" w14:textId="77777777">
      <w:pPr>
        <w:pStyle w:val="BodyText2"/>
        <w:rPr>
          <w:bCs/>
          <w:color w:val="000000"/>
        </w:rPr>
      </w:pPr>
    </w:p>
    <w:p w:rsidR="00376949" w:rsidRPr="00376949" w:rsidP="2EC65B73" w14:paraId="172ED789" w14:textId="041E21EB">
      <w:pPr>
        <w:pStyle w:val="BodyText2"/>
        <w:rPr>
          <w:color w:val="000000"/>
        </w:rPr>
      </w:pPr>
      <w:r w:rsidRPr="2EC65B73">
        <w:rPr>
          <w:color w:val="000000" w:themeColor="text1"/>
        </w:rPr>
        <w:t>HFP</w:t>
      </w:r>
      <w:r w:rsidRPr="2EC65B73">
        <w:rPr>
          <w:color w:val="000000" w:themeColor="text1"/>
        </w:rPr>
        <w:t>:</w:t>
      </w:r>
    </w:p>
    <w:p w:rsidR="006A440E" w:rsidP="00376949" w14:paraId="27025108" w14:textId="77777777">
      <w:pPr>
        <w:pStyle w:val="BodyText2"/>
        <w:rPr>
          <w:color w:val="000000"/>
        </w:rPr>
      </w:pPr>
    </w:p>
    <w:p w:rsidR="00376949" w:rsidRPr="00376949" w:rsidP="2EC65B73" w14:paraId="07E530F4" w14:textId="3D75630A">
      <w:r w:rsidRPr="2EC65B73">
        <w:rPr>
          <w:color w:val="000000" w:themeColor="text1"/>
        </w:rPr>
        <w:t>Under § 25.20, the following actions normally require at least the preparation of an EA, unless the action qualifies for categorical exclusion: establishment by regulation of labeling requirements, a standard, or a monograph, unless categorically excluded in § 25.30(k) or § 25.31(a), (b), (c), (h), (</w:t>
      </w:r>
      <w:r w:rsidRPr="2EC65B73">
        <w:rPr>
          <w:color w:val="000000" w:themeColor="text1"/>
        </w:rPr>
        <w:t>i</w:t>
      </w:r>
      <w:r w:rsidRPr="2EC65B73">
        <w:rPr>
          <w:color w:val="000000" w:themeColor="text1"/>
        </w:rPr>
        <w:t>), or (j), or §25.32(a) or (p); withdrawal of existing approvals of FDA-approved articles, unless categorically excluded in § 25.31(d) or (k), § 25.32(m), or § 25.33(g) or (h); approval of food additive petitions and color additive petitions, approval of requests for exemptions for investigational use of food additives, the granting of requests for exemption from regulation as a food additive under 21 CFR 170.39 of this chapter, and allowing notifications submitted under 21 U.S.C. 348(h) to become effective, unless categorically excluded in § 25.32(b), (c), (</w:t>
      </w:r>
      <w:r w:rsidRPr="2EC65B73">
        <w:rPr>
          <w:color w:val="000000" w:themeColor="text1"/>
        </w:rPr>
        <w:t>i</w:t>
      </w:r>
      <w:r w:rsidRPr="2EC65B73">
        <w:rPr>
          <w:color w:val="000000" w:themeColor="text1"/>
        </w:rPr>
        <w:t>), (j), (k), (l), (o), (q), or (r).</w:t>
      </w:r>
    </w:p>
    <w:p w:rsidR="00376949" w:rsidRPr="00376949" w:rsidP="2EC65B73" w14:paraId="255537FB" w14:textId="04C7E14C">
      <w:r w:rsidRPr="2EC65B73">
        <w:rPr>
          <w:color w:val="000000" w:themeColor="text1"/>
        </w:rPr>
        <w:t xml:space="preserve"> </w:t>
      </w:r>
    </w:p>
    <w:p w:rsidR="00376949" w:rsidRPr="00376949" w:rsidP="00376949" w14:paraId="7B0F56D7" w14:textId="5292B5E3">
      <w:pPr>
        <w:pStyle w:val="BodyText2"/>
        <w:rPr>
          <w:color w:val="000000"/>
        </w:rPr>
      </w:pPr>
      <w:r w:rsidRPr="2EC65B73">
        <w:rPr>
          <w:color w:val="000000" w:themeColor="text1"/>
        </w:rPr>
        <w:t xml:space="preserve">The estimates for respondents and numbers of responses are based on the annualized numbers of petitions and notifications qualifying for CEs listed </w:t>
      </w:r>
      <w:r w:rsidRPr="2EC65B73" w:rsidR="005A1E30">
        <w:rPr>
          <w:color w:val="000000" w:themeColor="text1"/>
        </w:rPr>
        <w:t xml:space="preserve">in </w:t>
      </w:r>
      <w:r w:rsidRPr="2EC65B73">
        <w:rPr>
          <w:color w:val="000000" w:themeColor="text1"/>
        </w:rPr>
        <w:t>§ 25.32</w:t>
      </w:r>
      <w:r w:rsidRPr="2EC65B73" w:rsidR="005A1E30">
        <w:rPr>
          <w:color w:val="000000" w:themeColor="text1"/>
        </w:rPr>
        <w:t xml:space="preserve"> that</w:t>
      </w:r>
      <w:r w:rsidRPr="2EC65B73" w:rsidR="00287FC7">
        <w:rPr>
          <w:color w:val="000000" w:themeColor="text1"/>
        </w:rPr>
        <w:t xml:space="preserve"> FDA</w:t>
      </w:r>
      <w:r w:rsidRPr="2EC65B73">
        <w:rPr>
          <w:color w:val="000000" w:themeColor="text1"/>
        </w:rPr>
        <w:t xml:space="preserve"> has received in the past 3 years.  To avoid counting the burden attributed to § 25.32(o) as zero, we have estimated the burden for this claim of CE at one respondent making one submission a year for a total of one annual submission.  The burden for submitting a claim of CE is captured under § 25.15(a) and (d).</w:t>
      </w:r>
    </w:p>
    <w:p w:rsidR="0003368F" w:rsidRPr="00290E45" w:rsidP="006F360D" w14:paraId="543DC56D" w14:textId="77777777">
      <w:pPr>
        <w:pStyle w:val="BodyText2"/>
        <w:rPr>
          <w:color w:val="000000"/>
        </w:rPr>
      </w:pPr>
    </w:p>
    <w:p w:rsidR="00A93ED9" w:rsidRPr="007E43E4" w:rsidP="00507969" w14:paraId="40B05E51" w14:textId="77777777">
      <w:pPr>
        <w:pStyle w:val="BodyText2"/>
        <w:rPr>
          <w:i/>
          <w:iCs/>
          <w:color w:val="000000"/>
        </w:rPr>
      </w:pPr>
      <w:r w:rsidRPr="007E43E4">
        <w:rPr>
          <w:i/>
          <w:iCs/>
          <w:color w:val="000000"/>
        </w:rPr>
        <w:t xml:space="preserve">12b. </w:t>
      </w:r>
      <w:r w:rsidRPr="007E43E4" w:rsidR="00411D11">
        <w:rPr>
          <w:i/>
          <w:iCs/>
          <w:color w:val="000000"/>
        </w:rPr>
        <w:t>Annualized Cost Burden Estimate</w:t>
      </w:r>
    </w:p>
    <w:p w:rsidR="00A93ED9" w:rsidRPr="00290E45" w:rsidP="00507969" w14:paraId="491F2BF5" w14:textId="77777777">
      <w:pPr>
        <w:pStyle w:val="BodyText2"/>
        <w:rPr>
          <w:color w:val="000000"/>
        </w:rPr>
      </w:pPr>
    </w:p>
    <w:p w:rsidR="00FD428A" w:rsidP="00507969" w14:paraId="4BE62A5F" w14:textId="5E49C624">
      <w:pPr>
        <w:pStyle w:val="BodyText2"/>
        <w:rPr>
          <w:color w:val="000000"/>
        </w:rPr>
      </w:pPr>
      <w:r w:rsidRPr="2EC65B73">
        <w:rPr>
          <w:color w:val="000000" w:themeColor="text1"/>
        </w:rPr>
        <w:t>Assuming a</w:t>
      </w:r>
      <w:r w:rsidRPr="2EC65B73" w:rsidR="00250737">
        <w:rPr>
          <w:color w:val="000000" w:themeColor="text1"/>
        </w:rPr>
        <w:t xml:space="preserve"> </w:t>
      </w:r>
      <w:r w:rsidRPr="2EC65B73" w:rsidR="00E23A9A">
        <w:rPr>
          <w:color w:val="000000" w:themeColor="text1"/>
        </w:rPr>
        <w:t>wage rate of $</w:t>
      </w:r>
      <w:r w:rsidR="00CB6D0B">
        <w:rPr>
          <w:color w:val="000000" w:themeColor="text1"/>
        </w:rPr>
        <w:t>8</w:t>
      </w:r>
      <w:r w:rsidRPr="2EC65B73" w:rsidR="00E56581">
        <w:rPr>
          <w:color w:val="000000" w:themeColor="text1"/>
        </w:rPr>
        <w:t>4</w:t>
      </w:r>
      <w:r w:rsidRPr="2EC65B73" w:rsidR="00250737">
        <w:rPr>
          <w:color w:val="000000" w:themeColor="text1"/>
        </w:rPr>
        <w:t>/</w:t>
      </w:r>
      <w:r w:rsidRPr="2EC65B73" w:rsidR="00E23A9A">
        <w:rPr>
          <w:color w:val="000000" w:themeColor="text1"/>
        </w:rPr>
        <w:t xml:space="preserve">hour for preparing and submitting the information </w:t>
      </w:r>
      <w:r w:rsidRPr="2EC65B73" w:rsidR="00250737">
        <w:rPr>
          <w:color w:val="000000" w:themeColor="text1"/>
        </w:rPr>
        <w:t>in accordance with 21 CFR part 25</w:t>
      </w:r>
      <w:r w:rsidRPr="2EC65B73" w:rsidR="004D105F">
        <w:rPr>
          <w:color w:val="000000" w:themeColor="text1"/>
        </w:rPr>
        <w:t xml:space="preserve"> and multiplying that figure by the total number of annual burden hours</w:t>
      </w:r>
      <w:r w:rsidRPr="2EC65B73" w:rsidR="000D638A">
        <w:rPr>
          <w:color w:val="000000" w:themeColor="text1"/>
        </w:rPr>
        <w:t xml:space="preserve"> (</w:t>
      </w:r>
      <w:r w:rsidRPr="2EC65B73" w:rsidR="7B4148EF">
        <w:rPr>
          <w:color w:val="000000" w:themeColor="text1"/>
        </w:rPr>
        <w:t>540,529</w:t>
      </w:r>
      <w:r w:rsidRPr="2EC65B73" w:rsidR="000D638A">
        <w:rPr>
          <w:color w:val="000000" w:themeColor="text1"/>
        </w:rPr>
        <w:t>)</w:t>
      </w:r>
      <w:r w:rsidRPr="2EC65B73" w:rsidR="004D105F">
        <w:rPr>
          <w:color w:val="000000" w:themeColor="text1"/>
        </w:rPr>
        <w:t xml:space="preserve">, we calculate an annual cost to industry of </w:t>
      </w:r>
      <w:r w:rsidRPr="2EC65B73" w:rsidR="000D638A">
        <w:rPr>
          <w:color w:val="000000" w:themeColor="text1"/>
        </w:rPr>
        <w:t>$</w:t>
      </w:r>
      <w:r w:rsidRPr="2EC65B73" w:rsidR="4F8D8AF2">
        <w:rPr>
          <w:color w:val="000000" w:themeColor="text1"/>
        </w:rPr>
        <w:t>45,404,436</w:t>
      </w:r>
      <w:r w:rsidRPr="2EC65B73" w:rsidR="000D638A">
        <w:rPr>
          <w:color w:val="000000" w:themeColor="text1"/>
        </w:rPr>
        <w:t>.</w:t>
      </w:r>
    </w:p>
    <w:p w:rsidR="003740BC" w:rsidRPr="00290E45" w:rsidP="00507969" w14:paraId="4A2CAA2D" w14:textId="217F8AF7">
      <w:pPr>
        <w:pStyle w:val="BodyText2"/>
        <w:rPr>
          <w:color w:val="000000"/>
        </w:rPr>
      </w:pPr>
      <w:r>
        <w:rPr>
          <w:color w:val="000000"/>
        </w:rPr>
        <w:t xml:space="preserve"> </w:t>
      </w:r>
    </w:p>
    <w:p w:rsidR="00001DEF" w14:paraId="4939B917" w14:textId="77777777">
      <w:pPr>
        <w:rPr>
          <w:color w:val="000000"/>
          <w:u w:val="single"/>
        </w:rPr>
      </w:pPr>
      <w:r>
        <w:rPr>
          <w:color w:val="000000"/>
          <w:u w:val="single"/>
        </w:rPr>
        <w:br w:type="page"/>
      </w:r>
    </w:p>
    <w:p w:rsidR="004C6979" w:rsidRPr="00290E45" w:rsidP="00507969" w14:paraId="2E895684" w14:textId="3502D888">
      <w:pPr>
        <w:numPr>
          <w:ilvl w:val="0"/>
          <w:numId w:val="1"/>
        </w:numPr>
        <w:tabs>
          <w:tab w:val="clear" w:pos="720"/>
        </w:tabs>
        <w:ind w:left="0"/>
        <w:rPr>
          <w:color w:val="000000"/>
          <w:u w:val="single"/>
        </w:rPr>
      </w:pPr>
      <w:r w:rsidRPr="00290E45">
        <w:rPr>
          <w:color w:val="000000"/>
          <w:u w:val="single"/>
        </w:rPr>
        <w:t>Estimates of Other Total Annual Cost</w:t>
      </w:r>
      <w:r w:rsidRPr="00290E45" w:rsidR="007C75B1">
        <w:rPr>
          <w:color w:val="000000"/>
          <w:u w:val="single"/>
        </w:rPr>
        <w:t>s</w:t>
      </w:r>
      <w:r w:rsidRPr="00290E45">
        <w:rPr>
          <w:color w:val="000000"/>
          <w:u w:val="single"/>
        </w:rPr>
        <w:t xml:space="preserve"> to Respondents and</w:t>
      </w:r>
      <w:r w:rsidRPr="00290E45" w:rsidR="00350523">
        <w:rPr>
          <w:color w:val="000000"/>
          <w:u w:val="single"/>
        </w:rPr>
        <w:t>/or Recordkeepers/Capital Costs</w:t>
      </w:r>
    </w:p>
    <w:p w:rsidR="00A924E2" w:rsidP="00507969" w14:paraId="4FD55A5F" w14:textId="77777777">
      <w:pPr>
        <w:rPr>
          <w:color w:val="000000"/>
        </w:rPr>
      </w:pPr>
    </w:p>
    <w:p w:rsidR="00B16DA8" w:rsidP="00507969" w14:paraId="34605399" w14:textId="755F6F1A">
      <w:pPr>
        <w:rPr>
          <w:color w:val="000000"/>
        </w:rPr>
      </w:pPr>
      <w:r w:rsidRPr="00290E45">
        <w:rPr>
          <w:color w:val="000000"/>
        </w:rPr>
        <w:t>There are no capital</w:t>
      </w:r>
      <w:r w:rsidR="00A6312E">
        <w:rPr>
          <w:color w:val="000000"/>
        </w:rPr>
        <w:t xml:space="preserve">, start-up, </w:t>
      </w:r>
      <w:r w:rsidRPr="00290E45">
        <w:rPr>
          <w:color w:val="000000"/>
        </w:rPr>
        <w:t>operating</w:t>
      </w:r>
      <w:r w:rsidR="00564B29">
        <w:rPr>
          <w:color w:val="000000"/>
        </w:rPr>
        <w:t>,</w:t>
      </w:r>
      <w:r w:rsidRPr="00290E45">
        <w:rPr>
          <w:color w:val="000000"/>
        </w:rPr>
        <w:t xml:space="preserve"> </w:t>
      </w:r>
      <w:r w:rsidR="00A6312E">
        <w:rPr>
          <w:color w:val="000000"/>
        </w:rPr>
        <w:t xml:space="preserve">or </w:t>
      </w:r>
      <w:r w:rsidRPr="00290E45">
        <w:rPr>
          <w:color w:val="000000"/>
        </w:rPr>
        <w:t xml:space="preserve">maintenance costs associated with this </w:t>
      </w:r>
      <w:r w:rsidR="00A6312E">
        <w:rPr>
          <w:color w:val="000000"/>
        </w:rPr>
        <w:t xml:space="preserve">information </w:t>
      </w:r>
      <w:r w:rsidRPr="00290E45">
        <w:rPr>
          <w:color w:val="000000"/>
        </w:rPr>
        <w:t>collection.</w:t>
      </w:r>
    </w:p>
    <w:p w:rsidR="00B16DA8" w:rsidRPr="00290E45" w:rsidP="00507969" w14:paraId="6FE7BE68" w14:textId="77777777">
      <w:pPr>
        <w:rPr>
          <w:color w:val="000000"/>
        </w:rPr>
      </w:pPr>
    </w:p>
    <w:p w:rsidR="004C6979" w:rsidRPr="00290E45" w:rsidP="00507969" w14:paraId="659787EB" w14:textId="77777777">
      <w:pPr>
        <w:numPr>
          <w:ilvl w:val="0"/>
          <w:numId w:val="1"/>
        </w:numPr>
        <w:tabs>
          <w:tab w:val="clear" w:pos="720"/>
        </w:tabs>
        <w:ind w:left="0"/>
        <w:rPr>
          <w:color w:val="000000"/>
          <w:u w:val="single"/>
        </w:rPr>
      </w:pPr>
      <w:r w:rsidRPr="00290E45">
        <w:rPr>
          <w:color w:val="000000"/>
          <w:u w:val="single"/>
        </w:rPr>
        <w:t>Annualized Cost to the Federal Government</w:t>
      </w:r>
    </w:p>
    <w:p w:rsidR="00A924E2" w:rsidP="00507969" w14:paraId="4008C8A8" w14:textId="77777777">
      <w:pPr>
        <w:pStyle w:val="BodyText2"/>
        <w:rPr>
          <w:color w:val="000000"/>
          <w:szCs w:val="24"/>
        </w:rPr>
      </w:pPr>
    </w:p>
    <w:p w:rsidR="00A70426" w:rsidP="00507969" w14:paraId="0146249B" w14:textId="0AC48894">
      <w:pPr>
        <w:pStyle w:val="BodyText2"/>
        <w:rPr>
          <w:color w:val="000000"/>
          <w:szCs w:val="24"/>
        </w:rPr>
      </w:pPr>
      <w:r>
        <w:rPr>
          <w:color w:val="000000"/>
          <w:szCs w:val="24"/>
        </w:rPr>
        <w:t>W</w:t>
      </w:r>
      <w:r w:rsidR="00A94BB4">
        <w:rPr>
          <w:color w:val="000000"/>
          <w:szCs w:val="24"/>
        </w:rPr>
        <w:t>e</w:t>
      </w:r>
      <w:r>
        <w:rPr>
          <w:color w:val="000000"/>
          <w:szCs w:val="24"/>
        </w:rPr>
        <w:t xml:space="preserve"> </w:t>
      </w:r>
      <w:r w:rsidR="00D45949">
        <w:rPr>
          <w:color w:val="000000"/>
          <w:szCs w:val="24"/>
        </w:rPr>
        <w:t>allocat</w:t>
      </w:r>
      <w:r>
        <w:rPr>
          <w:color w:val="000000"/>
          <w:szCs w:val="24"/>
        </w:rPr>
        <w:t>e an estimated</w:t>
      </w:r>
      <w:r w:rsidR="00D45949">
        <w:rPr>
          <w:color w:val="000000"/>
          <w:szCs w:val="24"/>
        </w:rPr>
        <w:t xml:space="preserve"> </w:t>
      </w:r>
      <w:r w:rsidRPr="00290E45" w:rsidR="00E23A9A">
        <w:rPr>
          <w:color w:val="000000"/>
          <w:szCs w:val="24"/>
        </w:rPr>
        <w:t xml:space="preserve">8 </w:t>
      </w:r>
      <w:r w:rsidR="001E7366">
        <w:rPr>
          <w:color w:val="000000"/>
          <w:szCs w:val="24"/>
        </w:rPr>
        <w:t>full-time employees (</w:t>
      </w:r>
      <w:r w:rsidRPr="00290E45" w:rsidR="00E23A9A">
        <w:rPr>
          <w:color w:val="000000"/>
          <w:szCs w:val="24"/>
        </w:rPr>
        <w:t>FTEs</w:t>
      </w:r>
      <w:r w:rsidR="001E7366">
        <w:rPr>
          <w:color w:val="000000"/>
          <w:szCs w:val="24"/>
        </w:rPr>
        <w:t>)</w:t>
      </w:r>
      <w:r w:rsidRPr="00290E45" w:rsidR="00E23A9A">
        <w:rPr>
          <w:color w:val="000000"/>
          <w:szCs w:val="24"/>
        </w:rPr>
        <w:t xml:space="preserve"> </w:t>
      </w:r>
      <w:r w:rsidR="00F267F0">
        <w:rPr>
          <w:color w:val="000000"/>
          <w:szCs w:val="24"/>
        </w:rPr>
        <w:t xml:space="preserve">for </w:t>
      </w:r>
      <w:r w:rsidRPr="00290E45" w:rsidR="00E23A9A">
        <w:rPr>
          <w:color w:val="000000"/>
          <w:szCs w:val="24"/>
        </w:rPr>
        <w:t xml:space="preserve">the review of submissions associated with 21 CFR part 25.  </w:t>
      </w:r>
      <w:r w:rsidR="00F267F0">
        <w:rPr>
          <w:color w:val="000000"/>
          <w:szCs w:val="24"/>
        </w:rPr>
        <w:t>Assuming a</w:t>
      </w:r>
      <w:r w:rsidR="00DE1AC9">
        <w:rPr>
          <w:color w:val="000000"/>
          <w:szCs w:val="24"/>
        </w:rPr>
        <w:t xml:space="preserve">n annual salary of </w:t>
      </w:r>
      <w:r w:rsidRPr="00290E45" w:rsidR="003C535F">
        <w:rPr>
          <w:color w:val="000000"/>
          <w:szCs w:val="24"/>
        </w:rPr>
        <w:t>$</w:t>
      </w:r>
      <w:r w:rsidR="007310B5">
        <w:rPr>
          <w:color w:val="000000"/>
          <w:szCs w:val="24"/>
        </w:rPr>
        <w:t>18</w:t>
      </w:r>
      <w:r w:rsidR="00AA0898">
        <w:rPr>
          <w:color w:val="000000"/>
          <w:szCs w:val="24"/>
        </w:rPr>
        <w:t>5</w:t>
      </w:r>
      <w:r w:rsidRPr="00290E45" w:rsidR="003C535F">
        <w:rPr>
          <w:color w:val="000000"/>
          <w:szCs w:val="24"/>
        </w:rPr>
        <w:t>,000</w:t>
      </w:r>
      <w:r w:rsidRPr="00290E45" w:rsidR="00E23A9A">
        <w:rPr>
          <w:color w:val="000000"/>
          <w:szCs w:val="24"/>
        </w:rPr>
        <w:t xml:space="preserve"> per FTE, </w:t>
      </w:r>
      <w:r w:rsidR="00DE1AC9">
        <w:rPr>
          <w:color w:val="000000"/>
          <w:szCs w:val="24"/>
        </w:rPr>
        <w:t xml:space="preserve">we calculate an estimated cost to the Federal government of </w:t>
      </w:r>
      <w:r w:rsidRPr="00290E45" w:rsidR="003C535F">
        <w:rPr>
          <w:color w:val="000000"/>
          <w:szCs w:val="24"/>
        </w:rPr>
        <w:t>$</w:t>
      </w:r>
      <w:r w:rsidR="007310B5">
        <w:rPr>
          <w:color w:val="000000"/>
          <w:szCs w:val="24"/>
        </w:rPr>
        <w:t>1,4</w:t>
      </w:r>
      <w:r w:rsidR="00E111E4">
        <w:rPr>
          <w:color w:val="000000"/>
          <w:szCs w:val="24"/>
        </w:rPr>
        <w:t>8</w:t>
      </w:r>
      <w:r w:rsidR="007310B5">
        <w:rPr>
          <w:color w:val="000000"/>
          <w:szCs w:val="24"/>
        </w:rPr>
        <w:t>0,000</w:t>
      </w:r>
      <w:r w:rsidRPr="00290E45" w:rsidR="00E23A9A">
        <w:rPr>
          <w:color w:val="000000"/>
          <w:szCs w:val="24"/>
        </w:rPr>
        <w:t>.</w:t>
      </w:r>
    </w:p>
    <w:p w:rsidR="00DE1AC9" w:rsidRPr="00290E45" w:rsidP="00507969" w14:paraId="0E97AC7F" w14:textId="77777777">
      <w:pPr>
        <w:pStyle w:val="BodyText2"/>
        <w:rPr>
          <w:color w:val="000000"/>
          <w:szCs w:val="24"/>
        </w:rPr>
      </w:pPr>
    </w:p>
    <w:p w:rsidR="004C6979" w:rsidRPr="00290E45" w:rsidP="00F5026A" w14:paraId="7AF706CD" w14:textId="77777777">
      <w:pPr>
        <w:numPr>
          <w:ilvl w:val="0"/>
          <w:numId w:val="1"/>
        </w:numPr>
        <w:tabs>
          <w:tab w:val="clear" w:pos="720"/>
        </w:tabs>
        <w:ind w:left="0"/>
        <w:rPr>
          <w:color w:val="000000"/>
          <w:u w:val="single"/>
        </w:rPr>
      </w:pPr>
      <w:r w:rsidRPr="00290E45">
        <w:rPr>
          <w:color w:val="000000"/>
          <w:u w:val="single"/>
        </w:rPr>
        <w:t>Explanation for Program Changes or Adjustments</w:t>
      </w:r>
    </w:p>
    <w:p w:rsidR="00F5026A" w:rsidP="00F5026A" w14:paraId="667DD379" w14:textId="77777777">
      <w:pPr>
        <w:contextualSpacing/>
      </w:pPr>
    </w:p>
    <w:p w:rsidR="005B700D" w:rsidRPr="00001DEF" w:rsidP="71A3F4DD" w14:paraId="5C11FD71" w14:textId="66F97285">
      <w:pPr>
        <w:contextualSpacing/>
        <w:rPr>
          <w:sz w:val="20"/>
          <w:szCs w:val="20"/>
        </w:rPr>
      </w:pPr>
      <w:r w:rsidRPr="71A3F4DD">
        <w:t>Based on a review of the information collection since our last request for OMB approval, we have made adjustments to our burden estimate. Our estimated burden for the information collection reflects an overall increase of 215,125 hours and a decrease of 1,938 responses.</w:t>
      </w:r>
      <w:r w:rsidR="007675EF">
        <w:t xml:space="preserve"> </w:t>
      </w:r>
    </w:p>
    <w:p w:rsidR="00F94249" w:rsidP="00507969" w14:paraId="0A232F86" w14:textId="77777777">
      <w:pPr>
        <w:rPr>
          <w:color w:val="000000"/>
        </w:rPr>
      </w:pPr>
    </w:p>
    <w:p w:rsidR="004C6979" w:rsidRPr="00290E45" w:rsidP="00507969" w14:paraId="06685F76" w14:textId="77777777">
      <w:pPr>
        <w:numPr>
          <w:ilvl w:val="0"/>
          <w:numId w:val="1"/>
        </w:numPr>
        <w:tabs>
          <w:tab w:val="clear" w:pos="720"/>
        </w:tabs>
        <w:ind w:left="0"/>
        <w:rPr>
          <w:color w:val="000000"/>
          <w:u w:val="single"/>
        </w:rPr>
      </w:pPr>
      <w:r w:rsidRPr="00290E45">
        <w:rPr>
          <w:color w:val="000000"/>
          <w:u w:val="single"/>
        </w:rPr>
        <w:t>Plans for Tabulation and Publication and Project Time Schedule</w:t>
      </w:r>
    </w:p>
    <w:p w:rsidR="00C578E7" w:rsidP="00507969" w14:paraId="7F0AAF4D" w14:textId="77777777">
      <w:pPr>
        <w:rPr>
          <w:color w:val="000000"/>
        </w:rPr>
      </w:pPr>
    </w:p>
    <w:p w:rsidR="003C4EBB" w:rsidP="00507969" w14:paraId="6D22DF0C" w14:textId="57F41202">
      <w:pPr>
        <w:rPr>
          <w:color w:val="000000"/>
        </w:rPr>
      </w:pPr>
      <w:r w:rsidRPr="00290E45">
        <w:rPr>
          <w:color w:val="000000"/>
        </w:rPr>
        <w:t>FDA does not intend to publish tabulated results of the information collection requirements that are imposed by 21 CFR part 25.</w:t>
      </w:r>
    </w:p>
    <w:p w:rsidR="00C578E7" w:rsidRPr="00290E45" w:rsidP="00507969" w14:paraId="4963CC70" w14:textId="77777777">
      <w:pPr>
        <w:rPr>
          <w:color w:val="000000"/>
        </w:rPr>
      </w:pPr>
    </w:p>
    <w:p w:rsidR="004C6979" w:rsidRPr="00290E45" w:rsidP="00507969" w14:paraId="6DD3BD80" w14:textId="77777777">
      <w:pPr>
        <w:numPr>
          <w:ilvl w:val="0"/>
          <w:numId w:val="1"/>
        </w:numPr>
        <w:tabs>
          <w:tab w:val="clear" w:pos="720"/>
        </w:tabs>
        <w:ind w:left="0"/>
        <w:rPr>
          <w:color w:val="000000"/>
          <w:u w:val="single"/>
        </w:rPr>
      </w:pPr>
      <w:r w:rsidRPr="00290E45">
        <w:rPr>
          <w:color w:val="000000"/>
          <w:u w:val="single"/>
        </w:rPr>
        <w:t>Reason(s) Display of OMB Expiration Date is Inappropriate</w:t>
      </w:r>
    </w:p>
    <w:p w:rsidR="00C578E7" w:rsidP="00507969" w14:paraId="5DF61B0C" w14:textId="1C01C455">
      <w:pPr>
        <w:rPr>
          <w:color w:val="000000"/>
        </w:rPr>
      </w:pPr>
    </w:p>
    <w:p w:rsidR="00C578E7" w:rsidRPr="00C25D84" w:rsidP="00507969" w14:paraId="0AD5AF99" w14:textId="0F433536">
      <w:pPr>
        <w:rPr>
          <w:sz w:val="22"/>
          <w:szCs w:val="22"/>
        </w:rPr>
      </w:pPr>
      <w:r w:rsidRPr="00C25D84">
        <w:t>FDA will display the OMB control number as required by 5 CFR 1320.5 (and 5 CFR 1320.8(b)(1))</w:t>
      </w:r>
      <w:r>
        <w:t xml:space="preserve">.  Because </w:t>
      </w:r>
      <w:r w:rsidRPr="00C25D84">
        <w:t xml:space="preserve">documents are more frequently being accessed electronically, </w:t>
      </w:r>
      <w:r>
        <w:t xml:space="preserve">however, </w:t>
      </w:r>
      <w:r w:rsidRPr="00C25D84">
        <w:t xml:space="preserve">we </w:t>
      </w:r>
      <w:r>
        <w:t xml:space="preserve">have implemented </w:t>
      </w:r>
      <w:r w:rsidRPr="00C25D84">
        <w:t>technological changes enabl</w:t>
      </w:r>
      <w:r>
        <w:t xml:space="preserve">ing </w:t>
      </w:r>
      <w:r w:rsidRPr="00C25D84">
        <w:t xml:space="preserve">us to display the expiration date by linking to approval information found at </w:t>
      </w:r>
      <w:hyperlink r:id="rId5">
        <w:r w:rsidRPr="00C25D84">
          <w:rPr>
            <w:color w:val="0563C1"/>
            <w:u w:val="single"/>
          </w:rPr>
          <w:t>www.reginfo.gov</w:t>
        </w:r>
      </w:hyperlink>
      <w:r w:rsidRPr="00C25D84">
        <w:t xml:space="preserve">.  We </w:t>
      </w:r>
      <w:r w:rsidR="007E43E4">
        <w:t xml:space="preserve">now </w:t>
      </w:r>
      <w:r w:rsidRPr="00C25D84">
        <w:t>include the OMB 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website platform (Drupal).</w:t>
      </w:r>
    </w:p>
    <w:p w:rsidR="00C578E7" w:rsidRPr="00290E45" w:rsidP="00507969" w14:paraId="77814FDC" w14:textId="77777777">
      <w:pPr>
        <w:rPr>
          <w:color w:val="000000"/>
        </w:rPr>
      </w:pPr>
    </w:p>
    <w:p w:rsidR="00EB7538" w:rsidRPr="00290E45" w:rsidP="00507969" w14:paraId="4D8BE51A" w14:textId="77777777">
      <w:pPr>
        <w:numPr>
          <w:ilvl w:val="0"/>
          <w:numId w:val="1"/>
        </w:numPr>
        <w:tabs>
          <w:tab w:val="clear" w:pos="720"/>
        </w:tabs>
        <w:ind w:left="0"/>
        <w:rPr>
          <w:color w:val="000000"/>
          <w:u w:val="single"/>
        </w:rPr>
      </w:pPr>
      <w:r w:rsidRPr="00290E45">
        <w:rPr>
          <w:color w:val="000000"/>
          <w:u w:val="single"/>
        </w:rPr>
        <w:t>Exceptions to Certification for Paperwork Reduction Act Submissions</w:t>
      </w:r>
    </w:p>
    <w:p w:rsidR="00C578E7" w:rsidP="00507969" w14:paraId="3B1AC158" w14:textId="77777777">
      <w:pPr>
        <w:rPr>
          <w:color w:val="000000"/>
        </w:rPr>
      </w:pPr>
    </w:p>
    <w:p w:rsidR="002746DB" w:rsidRPr="00290E45" w:rsidP="00507969" w14:paraId="0AE0FC47" w14:textId="457881DC">
      <w:pPr>
        <w:rPr>
          <w:color w:val="000000"/>
        </w:rPr>
      </w:pPr>
      <w:r w:rsidRPr="00290E45">
        <w:rPr>
          <w:color w:val="000000"/>
        </w:rPr>
        <w:t>T</w:t>
      </w:r>
      <w:r w:rsidRPr="00290E45" w:rsidR="00754497">
        <w:rPr>
          <w:color w:val="000000"/>
        </w:rPr>
        <w:t>here are no exceptions to the certification.</w:t>
      </w:r>
      <w:r w:rsidRPr="00290E45" w:rsidR="004C6979">
        <w:rPr>
          <w:color w:val="000000"/>
        </w:rPr>
        <w:t xml:space="preserve"> </w:t>
      </w:r>
    </w:p>
    <w:sectPr w:rsidSect="00413124">
      <w:headerReference w:type="default" r:id="rId6"/>
      <w:footerReference w:type="default" r:id="rId7"/>
      <w:headerReference w:type="first" r:id="rId8"/>
      <w:footerReference w:type="first" r:id="rId9"/>
      <w:pgSz w:w="12240" w:h="15840" w:code="1"/>
      <w:pgMar w:top="144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5432001"/>
      <w:docPartObj>
        <w:docPartGallery w:val="Page Numbers (Bottom of Page)"/>
        <w:docPartUnique/>
      </w:docPartObj>
    </w:sdtPr>
    <w:sdtEndPr>
      <w:rPr>
        <w:noProof/>
      </w:rPr>
    </w:sdtEndPr>
    <w:sdtContent>
      <w:p w:rsidR="00413124" w14:paraId="11798E3A" w14:textId="090DE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14990" w14:paraId="05058A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990" w14:paraId="32A32CFE" w14:textId="247B63A5">
    <w:pPr>
      <w:pStyle w:val="Footer"/>
      <w:jc w:val="center"/>
    </w:pPr>
  </w:p>
  <w:p w:rsidR="00314990" w14:paraId="57BDF3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A4D" w:rsidP="00094A4D" w14:paraId="5ABE4DE7" w14:textId="6ADF9493">
    <w:pPr>
      <w:pStyle w:val="Header"/>
      <w:ind w:left="-270"/>
    </w:pPr>
    <w:r>
      <w:rPr>
        <w:noProof/>
      </w:rPr>
      <w:drawing>
        <wp:inline distT="0" distB="0" distL="0" distR="0">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094A4D" w:rsidP="00094A4D" w14:paraId="1E53B115" w14:textId="4CE0D587">
    <w:pPr>
      <w:pStyle w:val="Header"/>
      <w:ind w:left="-270"/>
    </w:pPr>
  </w:p>
  <w:p w:rsidR="00E5616F" w:rsidP="00094A4D" w14:paraId="686C7A3A" w14:textId="77777777">
    <w:pPr>
      <w:pStyle w:val="Header"/>
      <w:ind w:left="-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16F" w14:paraId="53AC5057" w14:textId="2D318C33">
    <w:pPr>
      <w:pStyle w:val="Header"/>
    </w:pPr>
    <w:r>
      <w:rPr>
        <w:noProof/>
      </w:rPr>
      <w:drawing>
        <wp:inline distT="0" distB="0" distL="0" distR="0">
          <wp:extent cx="27622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314990" w14:paraId="60DC38F2" w14:textId="059AB515">
    <w:pPr>
      <w:pStyle w:val="Header"/>
    </w:pPr>
  </w:p>
  <w:p w:rsidR="00314990" w14:paraId="1B2190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8C53C7D"/>
    <w:multiLevelType w:val="hybridMultilevel"/>
    <w:tmpl w:val="44664CAC"/>
    <w:lvl w:ilvl="0">
      <w:start w:val="910"/>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6">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4">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7B8A3015"/>
    <w:multiLevelType w:val="hybridMultilevel"/>
    <w:tmpl w:val="A0F6AB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524512453">
    <w:abstractNumId w:val="9"/>
  </w:num>
  <w:num w:numId="2" w16cid:durableId="1627006808">
    <w:abstractNumId w:val="14"/>
  </w:num>
  <w:num w:numId="3" w16cid:durableId="903103400">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082722830">
    <w:abstractNumId w:val="18"/>
  </w:num>
  <w:num w:numId="5" w16cid:durableId="437675433">
    <w:abstractNumId w:val="6"/>
  </w:num>
  <w:num w:numId="6" w16cid:durableId="329408476">
    <w:abstractNumId w:val="20"/>
  </w:num>
  <w:num w:numId="7" w16cid:durableId="1836333774">
    <w:abstractNumId w:val="25"/>
  </w:num>
  <w:num w:numId="8" w16cid:durableId="799492383">
    <w:abstractNumId w:val="2"/>
  </w:num>
  <w:num w:numId="9" w16cid:durableId="1376615454">
    <w:abstractNumId w:val="21"/>
  </w:num>
  <w:num w:numId="10" w16cid:durableId="1322150959">
    <w:abstractNumId w:val="17"/>
  </w:num>
  <w:num w:numId="11" w16cid:durableId="74980402">
    <w:abstractNumId w:val="8"/>
  </w:num>
  <w:num w:numId="12" w16cid:durableId="777799937">
    <w:abstractNumId w:val="28"/>
  </w:num>
  <w:num w:numId="13" w16cid:durableId="471868084">
    <w:abstractNumId w:val="16"/>
  </w:num>
  <w:num w:numId="14" w16cid:durableId="1612205753">
    <w:abstractNumId w:val="7"/>
  </w:num>
  <w:num w:numId="15" w16cid:durableId="903415424">
    <w:abstractNumId w:val="13"/>
  </w:num>
  <w:num w:numId="16" w16cid:durableId="770708790">
    <w:abstractNumId w:val="12"/>
  </w:num>
  <w:num w:numId="17" w16cid:durableId="1395086139">
    <w:abstractNumId w:val="24"/>
  </w:num>
  <w:num w:numId="18" w16cid:durableId="789520717">
    <w:abstractNumId w:val="27"/>
  </w:num>
  <w:num w:numId="19" w16cid:durableId="898328223">
    <w:abstractNumId w:val="26"/>
  </w:num>
  <w:num w:numId="20" w16cid:durableId="138616854">
    <w:abstractNumId w:val="15"/>
  </w:num>
  <w:num w:numId="21" w16cid:durableId="678656452">
    <w:abstractNumId w:val="11"/>
  </w:num>
  <w:num w:numId="22" w16cid:durableId="1162625304">
    <w:abstractNumId w:val="1"/>
  </w:num>
  <w:num w:numId="23" w16cid:durableId="86927979">
    <w:abstractNumId w:val="22"/>
  </w:num>
  <w:num w:numId="24" w16cid:durableId="1807121620">
    <w:abstractNumId w:val="19"/>
  </w:num>
  <w:num w:numId="25" w16cid:durableId="1360201463">
    <w:abstractNumId w:val="10"/>
  </w:num>
  <w:num w:numId="26" w16cid:durableId="890577895">
    <w:abstractNumId w:val="5"/>
  </w:num>
  <w:num w:numId="27" w16cid:durableId="23990121">
    <w:abstractNumId w:val="30"/>
  </w:num>
  <w:num w:numId="28" w16cid:durableId="1525826354">
    <w:abstractNumId w:val="23"/>
  </w:num>
  <w:num w:numId="29" w16cid:durableId="1618412209">
    <w:abstractNumId w:val="4"/>
  </w:num>
  <w:num w:numId="30" w16cid:durableId="740325043">
    <w:abstractNumId w:val="29"/>
  </w:num>
  <w:num w:numId="31" w16cid:durableId="6156605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DEF"/>
    <w:rsid w:val="00022DF2"/>
    <w:rsid w:val="000252AD"/>
    <w:rsid w:val="00030C67"/>
    <w:rsid w:val="0003368F"/>
    <w:rsid w:val="00041175"/>
    <w:rsid w:val="00041FBE"/>
    <w:rsid w:val="000467D3"/>
    <w:rsid w:val="000570BB"/>
    <w:rsid w:val="0006570F"/>
    <w:rsid w:val="00071177"/>
    <w:rsid w:val="000721FE"/>
    <w:rsid w:val="000822BA"/>
    <w:rsid w:val="00084FF1"/>
    <w:rsid w:val="00090A20"/>
    <w:rsid w:val="0009252F"/>
    <w:rsid w:val="00094A4D"/>
    <w:rsid w:val="000A1A5E"/>
    <w:rsid w:val="000B523E"/>
    <w:rsid w:val="000C12A6"/>
    <w:rsid w:val="000C1C98"/>
    <w:rsid w:val="000C7A16"/>
    <w:rsid w:val="000D4F8C"/>
    <w:rsid w:val="000D638A"/>
    <w:rsid w:val="000D7D62"/>
    <w:rsid w:val="000E1A29"/>
    <w:rsid w:val="000E1C64"/>
    <w:rsid w:val="000E26AD"/>
    <w:rsid w:val="000F04DA"/>
    <w:rsid w:val="000F3C50"/>
    <w:rsid w:val="000F5389"/>
    <w:rsid w:val="000F7BF7"/>
    <w:rsid w:val="00102885"/>
    <w:rsid w:val="00105ED8"/>
    <w:rsid w:val="00107885"/>
    <w:rsid w:val="00112E99"/>
    <w:rsid w:val="0012329C"/>
    <w:rsid w:val="00125932"/>
    <w:rsid w:val="001305FC"/>
    <w:rsid w:val="001344F1"/>
    <w:rsid w:val="00135AD7"/>
    <w:rsid w:val="00137950"/>
    <w:rsid w:val="00154114"/>
    <w:rsid w:val="00155088"/>
    <w:rsid w:val="00166043"/>
    <w:rsid w:val="00177675"/>
    <w:rsid w:val="00177976"/>
    <w:rsid w:val="00177979"/>
    <w:rsid w:val="00177F20"/>
    <w:rsid w:val="00185968"/>
    <w:rsid w:val="00186831"/>
    <w:rsid w:val="001A2158"/>
    <w:rsid w:val="001A3B5A"/>
    <w:rsid w:val="001A3D6B"/>
    <w:rsid w:val="001A4170"/>
    <w:rsid w:val="001A48B8"/>
    <w:rsid w:val="001C0BAB"/>
    <w:rsid w:val="001C1E29"/>
    <w:rsid w:val="001D495A"/>
    <w:rsid w:val="001E0AF8"/>
    <w:rsid w:val="001E52CC"/>
    <w:rsid w:val="001E7366"/>
    <w:rsid w:val="001F5813"/>
    <w:rsid w:val="002259EF"/>
    <w:rsid w:val="00226BC0"/>
    <w:rsid w:val="00231049"/>
    <w:rsid w:val="00242ED1"/>
    <w:rsid w:val="00245188"/>
    <w:rsid w:val="00246A77"/>
    <w:rsid w:val="00250737"/>
    <w:rsid w:val="00251CF5"/>
    <w:rsid w:val="00252B81"/>
    <w:rsid w:val="00254069"/>
    <w:rsid w:val="002553EF"/>
    <w:rsid w:val="002574FD"/>
    <w:rsid w:val="0026110C"/>
    <w:rsid w:val="0026396D"/>
    <w:rsid w:val="00272FA1"/>
    <w:rsid w:val="002734E5"/>
    <w:rsid w:val="002746DB"/>
    <w:rsid w:val="00287FC7"/>
    <w:rsid w:val="00290E45"/>
    <w:rsid w:val="002924D0"/>
    <w:rsid w:val="002938B3"/>
    <w:rsid w:val="00297CA6"/>
    <w:rsid w:val="002C292A"/>
    <w:rsid w:val="002D1299"/>
    <w:rsid w:val="002D3888"/>
    <w:rsid w:val="002D4799"/>
    <w:rsid w:val="002D7327"/>
    <w:rsid w:val="002E3FA4"/>
    <w:rsid w:val="002E6E73"/>
    <w:rsid w:val="0030059C"/>
    <w:rsid w:val="0030520A"/>
    <w:rsid w:val="003078F9"/>
    <w:rsid w:val="00314990"/>
    <w:rsid w:val="00316446"/>
    <w:rsid w:val="003178DD"/>
    <w:rsid w:val="00317C4A"/>
    <w:rsid w:val="0032277F"/>
    <w:rsid w:val="0033180A"/>
    <w:rsid w:val="00331CF7"/>
    <w:rsid w:val="00337BF1"/>
    <w:rsid w:val="003419FF"/>
    <w:rsid w:val="003478A2"/>
    <w:rsid w:val="00350523"/>
    <w:rsid w:val="00351D76"/>
    <w:rsid w:val="003553F3"/>
    <w:rsid w:val="00356B6F"/>
    <w:rsid w:val="00357C32"/>
    <w:rsid w:val="00362EE2"/>
    <w:rsid w:val="003631B3"/>
    <w:rsid w:val="00364110"/>
    <w:rsid w:val="00365954"/>
    <w:rsid w:val="003740BC"/>
    <w:rsid w:val="00376949"/>
    <w:rsid w:val="003801A3"/>
    <w:rsid w:val="00383AB4"/>
    <w:rsid w:val="00390E3C"/>
    <w:rsid w:val="0039265B"/>
    <w:rsid w:val="00392830"/>
    <w:rsid w:val="00393551"/>
    <w:rsid w:val="003946DE"/>
    <w:rsid w:val="00394B0A"/>
    <w:rsid w:val="003A1FBA"/>
    <w:rsid w:val="003A30E9"/>
    <w:rsid w:val="003A76C1"/>
    <w:rsid w:val="003B38E4"/>
    <w:rsid w:val="003B42B3"/>
    <w:rsid w:val="003B6060"/>
    <w:rsid w:val="003B6384"/>
    <w:rsid w:val="003B6D67"/>
    <w:rsid w:val="003C4EBB"/>
    <w:rsid w:val="003C535F"/>
    <w:rsid w:val="003D1531"/>
    <w:rsid w:val="003E0697"/>
    <w:rsid w:val="003E4EC6"/>
    <w:rsid w:val="003E553E"/>
    <w:rsid w:val="00411D11"/>
    <w:rsid w:val="00411E50"/>
    <w:rsid w:val="00413124"/>
    <w:rsid w:val="00415E23"/>
    <w:rsid w:val="004203D3"/>
    <w:rsid w:val="00424061"/>
    <w:rsid w:val="00432A70"/>
    <w:rsid w:val="00447D74"/>
    <w:rsid w:val="0046224C"/>
    <w:rsid w:val="00462888"/>
    <w:rsid w:val="00465350"/>
    <w:rsid w:val="004700EB"/>
    <w:rsid w:val="0047126C"/>
    <w:rsid w:val="004754DE"/>
    <w:rsid w:val="004846BF"/>
    <w:rsid w:val="004927B6"/>
    <w:rsid w:val="0049474E"/>
    <w:rsid w:val="00495063"/>
    <w:rsid w:val="004A7D82"/>
    <w:rsid w:val="004B22FA"/>
    <w:rsid w:val="004C6979"/>
    <w:rsid w:val="004D105F"/>
    <w:rsid w:val="004E2BB2"/>
    <w:rsid w:val="004E5CC1"/>
    <w:rsid w:val="004F449C"/>
    <w:rsid w:val="004F6AEF"/>
    <w:rsid w:val="00507969"/>
    <w:rsid w:val="005201FE"/>
    <w:rsid w:val="00524BD8"/>
    <w:rsid w:val="00525C7A"/>
    <w:rsid w:val="00527C58"/>
    <w:rsid w:val="00541E98"/>
    <w:rsid w:val="00543AEF"/>
    <w:rsid w:val="00544138"/>
    <w:rsid w:val="0054671D"/>
    <w:rsid w:val="00554D31"/>
    <w:rsid w:val="005609BE"/>
    <w:rsid w:val="005617B6"/>
    <w:rsid w:val="00563B31"/>
    <w:rsid w:val="005645FF"/>
    <w:rsid w:val="00564B29"/>
    <w:rsid w:val="005748A3"/>
    <w:rsid w:val="0058417F"/>
    <w:rsid w:val="00584583"/>
    <w:rsid w:val="00584E99"/>
    <w:rsid w:val="005A16B7"/>
    <w:rsid w:val="005A1733"/>
    <w:rsid w:val="005A1E30"/>
    <w:rsid w:val="005A339D"/>
    <w:rsid w:val="005A35AB"/>
    <w:rsid w:val="005A4099"/>
    <w:rsid w:val="005A7BCF"/>
    <w:rsid w:val="005A7E72"/>
    <w:rsid w:val="005B23B6"/>
    <w:rsid w:val="005B2FA8"/>
    <w:rsid w:val="005B700D"/>
    <w:rsid w:val="005C38B2"/>
    <w:rsid w:val="005C5029"/>
    <w:rsid w:val="005C5258"/>
    <w:rsid w:val="005C5EAA"/>
    <w:rsid w:val="005D1F87"/>
    <w:rsid w:val="005D4DF5"/>
    <w:rsid w:val="005E1E68"/>
    <w:rsid w:val="005E1F6E"/>
    <w:rsid w:val="005E3C62"/>
    <w:rsid w:val="005F2533"/>
    <w:rsid w:val="00601886"/>
    <w:rsid w:val="00604D33"/>
    <w:rsid w:val="00606A9B"/>
    <w:rsid w:val="00611088"/>
    <w:rsid w:val="00615DC8"/>
    <w:rsid w:val="006207CD"/>
    <w:rsid w:val="00620EF0"/>
    <w:rsid w:val="00626F1F"/>
    <w:rsid w:val="006345F3"/>
    <w:rsid w:val="00637D4B"/>
    <w:rsid w:val="00641C0B"/>
    <w:rsid w:val="00642C44"/>
    <w:rsid w:val="006433ED"/>
    <w:rsid w:val="00655DE5"/>
    <w:rsid w:val="00662FFF"/>
    <w:rsid w:val="006631D4"/>
    <w:rsid w:val="00663A02"/>
    <w:rsid w:val="00663F3E"/>
    <w:rsid w:val="00671804"/>
    <w:rsid w:val="00671CF5"/>
    <w:rsid w:val="006722AC"/>
    <w:rsid w:val="00675ECF"/>
    <w:rsid w:val="00681170"/>
    <w:rsid w:val="006820E2"/>
    <w:rsid w:val="00682810"/>
    <w:rsid w:val="006936EE"/>
    <w:rsid w:val="00693C97"/>
    <w:rsid w:val="0069676B"/>
    <w:rsid w:val="006967FE"/>
    <w:rsid w:val="006A1F51"/>
    <w:rsid w:val="006A440E"/>
    <w:rsid w:val="006A5F80"/>
    <w:rsid w:val="006A7D5D"/>
    <w:rsid w:val="006D073D"/>
    <w:rsid w:val="006D1EB4"/>
    <w:rsid w:val="006E07BF"/>
    <w:rsid w:val="006E16B4"/>
    <w:rsid w:val="006F360D"/>
    <w:rsid w:val="006F4D6D"/>
    <w:rsid w:val="006F4F16"/>
    <w:rsid w:val="007062E2"/>
    <w:rsid w:val="00711D44"/>
    <w:rsid w:val="00714A91"/>
    <w:rsid w:val="00715F1D"/>
    <w:rsid w:val="00717CF6"/>
    <w:rsid w:val="00720257"/>
    <w:rsid w:val="00726CF2"/>
    <w:rsid w:val="00726D40"/>
    <w:rsid w:val="007310B5"/>
    <w:rsid w:val="0073502B"/>
    <w:rsid w:val="00741597"/>
    <w:rsid w:val="00754497"/>
    <w:rsid w:val="00755730"/>
    <w:rsid w:val="007666F3"/>
    <w:rsid w:val="007675EF"/>
    <w:rsid w:val="00771094"/>
    <w:rsid w:val="00771893"/>
    <w:rsid w:val="00772A58"/>
    <w:rsid w:val="00775E8A"/>
    <w:rsid w:val="00786D00"/>
    <w:rsid w:val="0079512E"/>
    <w:rsid w:val="007958D4"/>
    <w:rsid w:val="007A7179"/>
    <w:rsid w:val="007B2AD4"/>
    <w:rsid w:val="007B2DD3"/>
    <w:rsid w:val="007C01DE"/>
    <w:rsid w:val="007C5088"/>
    <w:rsid w:val="007C75B1"/>
    <w:rsid w:val="007D1AF2"/>
    <w:rsid w:val="007D5F09"/>
    <w:rsid w:val="007E0CED"/>
    <w:rsid w:val="007E1D56"/>
    <w:rsid w:val="007E35DF"/>
    <w:rsid w:val="007E43E4"/>
    <w:rsid w:val="007E473D"/>
    <w:rsid w:val="007E59C6"/>
    <w:rsid w:val="007E7B4A"/>
    <w:rsid w:val="007F5E39"/>
    <w:rsid w:val="007F7420"/>
    <w:rsid w:val="0080776D"/>
    <w:rsid w:val="00807FAC"/>
    <w:rsid w:val="00810145"/>
    <w:rsid w:val="008108FA"/>
    <w:rsid w:val="0081454A"/>
    <w:rsid w:val="00816CF6"/>
    <w:rsid w:val="00822336"/>
    <w:rsid w:val="00823DFA"/>
    <w:rsid w:val="00843752"/>
    <w:rsid w:val="00850A0B"/>
    <w:rsid w:val="00890927"/>
    <w:rsid w:val="00892400"/>
    <w:rsid w:val="008A209D"/>
    <w:rsid w:val="008A588B"/>
    <w:rsid w:val="008A76FD"/>
    <w:rsid w:val="008B006C"/>
    <w:rsid w:val="008B0E29"/>
    <w:rsid w:val="008B0EFA"/>
    <w:rsid w:val="008B2E52"/>
    <w:rsid w:val="008B30AB"/>
    <w:rsid w:val="008C15F9"/>
    <w:rsid w:val="008C5525"/>
    <w:rsid w:val="008C7FA1"/>
    <w:rsid w:val="008D43DB"/>
    <w:rsid w:val="008E0210"/>
    <w:rsid w:val="008E41F6"/>
    <w:rsid w:val="008F172D"/>
    <w:rsid w:val="008F6856"/>
    <w:rsid w:val="009039C4"/>
    <w:rsid w:val="00905191"/>
    <w:rsid w:val="00905DEF"/>
    <w:rsid w:val="0090628B"/>
    <w:rsid w:val="00910F52"/>
    <w:rsid w:val="00911C7E"/>
    <w:rsid w:val="00927B7D"/>
    <w:rsid w:val="00931275"/>
    <w:rsid w:val="00936AC7"/>
    <w:rsid w:val="00942CA4"/>
    <w:rsid w:val="009430C7"/>
    <w:rsid w:val="00955115"/>
    <w:rsid w:val="009646E8"/>
    <w:rsid w:val="009672FD"/>
    <w:rsid w:val="00970595"/>
    <w:rsid w:val="009720B3"/>
    <w:rsid w:val="009748CD"/>
    <w:rsid w:val="00981C13"/>
    <w:rsid w:val="00983891"/>
    <w:rsid w:val="0099295B"/>
    <w:rsid w:val="0099390D"/>
    <w:rsid w:val="009A7D2C"/>
    <w:rsid w:val="009B0810"/>
    <w:rsid w:val="009B1840"/>
    <w:rsid w:val="009D074C"/>
    <w:rsid w:val="009D2891"/>
    <w:rsid w:val="009D5888"/>
    <w:rsid w:val="009D5951"/>
    <w:rsid w:val="009E18D6"/>
    <w:rsid w:val="009E3016"/>
    <w:rsid w:val="009E3210"/>
    <w:rsid w:val="009E6C9F"/>
    <w:rsid w:val="009E7871"/>
    <w:rsid w:val="009F0234"/>
    <w:rsid w:val="009F2B4F"/>
    <w:rsid w:val="00A014A6"/>
    <w:rsid w:val="00A17042"/>
    <w:rsid w:val="00A20A7D"/>
    <w:rsid w:val="00A22280"/>
    <w:rsid w:val="00A344B3"/>
    <w:rsid w:val="00A35D42"/>
    <w:rsid w:val="00A46CCF"/>
    <w:rsid w:val="00A47790"/>
    <w:rsid w:val="00A50BBA"/>
    <w:rsid w:val="00A534C4"/>
    <w:rsid w:val="00A5606F"/>
    <w:rsid w:val="00A6312E"/>
    <w:rsid w:val="00A644BF"/>
    <w:rsid w:val="00A6557F"/>
    <w:rsid w:val="00A67A7D"/>
    <w:rsid w:val="00A70426"/>
    <w:rsid w:val="00A74B55"/>
    <w:rsid w:val="00A7668A"/>
    <w:rsid w:val="00A82337"/>
    <w:rsid w:val="00A87587"/>
    <w:rsid w:val="00A91E9A"/>
    <w:rsid w:val="00A924E2"/>
    <w:rsid w:val="00A93ED9"/>
    <w:rsid w:val="00A94114"/>
    <w:rsid w:val="00A94BB4"/>
    <w:rsid w:val="00AA0898"/>
    <w:rsid w:val="00AA7018"/>
    <w:rsid w:val="00AB028C"/>
    <w:rsid w:val="00AC25D3"/>
    <w:rsid w:val="00AC4A03"/>
    <w:rsid w:val="00AC6A99"/>
    <w:rsid w:val="00AD6CB2"/>
    <w:rsid w:val="00AE115C"/>
    <w:rsid w:val="00AE7A14"/>
    <w:rsid w:val="00AF54CA"/>
    <w:rsid w:val="00B02D7D"/>
    <w:rsid w:val="00B055EF"/>
    <w:rsid w:val="00B10F84"/>
    <w:rsid w:val="00B14B61"/>
    <w:rsid w:val="00B168C0"/>
    <w:rsid w:val="00B16DA8"/>
    <w:rsid w:val="00B23769"/>
    <w:rsid w:val="00B26572"/>
    <w:rsid w:val="00B2771F"/>
    <w:rsid w:val="00B31B1F"/>
    <w:rsid w:val="00B32A24"/>
    <w:rsid w:val="00B43A43"/>
    <w:rsid w:val="00B44A21"/>
    <w:rsid w:val="00B56B09"/>
    <w:rsid w:val="00B65865"/>
    <w:rsid w:val="00B7389B"/>
    <w:rsid w:val="00B73C2C"/>
    <w:rsid w:val="00B82C30"/>
    <w:rsid w:val="00B91EFF"/>
    <w:rsid w:val="00B92F7C"/>
    <w:rsid w:val="00B936D0"/>
    <w:rsid w:val="00BA0EC6"/>
    <w:rsid w:val="00BA4715"/>
    <w:rsid w:val="00BC2199"/>
    <w:rsid w:val="00BC5059"/>
    <w:rsid w:val="00BD4DC2"/>
    <w:rsid w:val="00BD77E6"/>
    <w:rsid w:val="00BE3600"/>
    <w:rsid w:val="00BE5841"/>
    <w:rsid w:val="00BE77F0"/>
    <w:rsid w:val="00BF2C06"/>
    <w:rsid w:val="00BF52A5"/>
    <w:rsid w:val="00BF6362"/>
    <w:rsid w:val="00C01F6F"/>
    <w:rsid w:val="00C06B1D"/>
    <w:rsid w:val="00C070E6"/>
    <w:rsid w:val="00C13CB9"/>
    <w:rsid w:val="00C149AB"/>
    <w:rsid w:val="00C234C6"/>
    <w:rsid w:val="00C25D84"/>
    <w:rsid w:val="00C3303B"/>
    <w:rsid w:val="00C40694"/>
    <w:rsid w:val="00C426A3"/>
    <w:rsid w:val="00C578E7"/>
    <w:rsid w:val="00C6432A"/>
    <w:rsid w:val="00C6620E"/>
    <w:rsid w:val="00C670CA"/>
    <w:rsid w:val="00C70542"/>
    <w:rsid w:val="00C75906"/>
    <w:rsid w:val="00C772D1"/>
    <w:rsid w:val="00C800D5"/>
    <w:rsid w:val="00C8253B"/>
    <w:rsid w:val="00C9338A"/>
    <w:rsid w:val="00CA766F"/>
    <w:rsid w:val="00CB599A"/>
    <w:rsid w:val="00CB6D0B"/>
    <w:rsid w:val="00CB789D"/>
    <w:rsid w:val="00CC1982"/>
    <w:rsid w:val="00CC2894"/>
    <w:rsid w:val="00CD5786"/>
    <w:rsid w:val="00CD77C3"/>
    <w:rsid w:val="00D00DE6"/>
    <w:rsid w:val="00D00ED0"/>
    <w:rsid w:val="00D03393"/>
    <w:rsid w:val="00D04A90"/>
    <w:rsid w:val="00D0521B"/>
    <w:rsid w:val="00D07DDF"/>
    <w:rsid w:val="00D14FB5"/>
    <w:rsid w:val="00D234C9"/>
    <w:rsid w:val="00D26AE9"/>
    <w:rsid w:val="00D274EE"/>
    <w:rsid w:val="00D34C78"/>
    <w:rsid w:val="00D35C2C"/>
    <w:rsid w:val="00D45669"/>
    <w:rsid w:val="00D45949"/>
    <w:rsid w:val="00D47EA8"/>
    <w:rsid w:val="00D608DA"/>
    <w:rsid w:val="00D61B4E"/>
    <w:rsid w:val="00D67124"/>
    <w:rsid w:val="00D70670"/>
    <w:rsid w:val="00D730BF"/>
    <w:rsid w:val="00D74C91"/>
    <w:rsid w:val="00DA1795"/>
    <w:rsid w:val="00DB116C"/>
    <w:rsid w:val="00DC2CAD"/>
    <w:rsid w:val="00DC32A4"/>
    <w:rsid w:val="00DC76C7"/>
    <w:rsid w:val="00DD09F5"/>
    <w:rsid w:val="00DD4201"/>
    <w:rsid w:val="00DD53C3"/>
    <w:rsid w:val="00DE1AC9"/>
    <w:rsid w:val="00DE5711"/>
    <w:rsid w:val="00DF1415"/>
    <w:rsid w:val="00DF266E"/>
    <w:rsid w:val="00DF5F0A"/>
    <w:rsid w:val="00DF7A90"/>
    <w:rsid w:val="00E00EA0"/>
    <w:rsid w:val="00E10FC0"/>
    <w:rsid w:val="00E111E4"/>
    <w:rsid w:val="00E171A0"/>
    <w:rsid w:val="00E23A9A"/>
    <w:rsid w:val="00E3252D"/>
    <w:rsid w:val="00E333D2"/>
    <w:rsid w:val="00E34AE2"/>
    <w:rsid w:val="00E36A24"/>
    <w:rsid w:val="00E40366"/>
    <w:rsid w:val="00E44FB3"/>
    <w:rsid w:val="00E53228"/>
    <w:rsid w:val="00E53EAA"/>
    <w:rsid w:val="00E5616F"/>
    <w:rsid w:val="00E56581"/>
    <w:rsid w:val="00E60E5C"/>
    <w:rsid w:val="00E62D27"/>
    <w:rsid w:val="00E6727A"/>
    <w:rsid w:val="00E77B48"/>
    <w:rsid w:val="00E800DE"/>
    <w:rsid w:val="00E8117A"/>
    <w:rsid w:val="00E814D0"/>
    <w:rsid w:val="00E91799"/>
    <w:rsid w:val="00E91983"/>
    <w:rsid w:val="00EA222F"/>
    <w:rsid w:val="00EA34E3"/>
    <w:rsid w:val="00EA4222"/>
    <w:rsid w:val="00EB7538"/>
    <w:rsid w:val="00EC483A"/>
    <w:rsid w:val="00EC61BF"/>
    <w:rsid w:val="00EC7077"/>
    <w:rsid w:val="00ED0CF8"/>
    <w:rsid w:val="00ED415A"/>
    <w:rsid w:val="00ED6A68"/>
    <w:rsid w:val="00EE2E66"/>
    <w:rsid w:val="00EE44F6"/>
    <w:rsid w:val="00EE503E"/>
    <w:rsid w:val="00EF467F"/>
    <w:rsid w:val="00F045E9"/>
    <w:rsid w:val="00F073B4"/>
    <w:rsid w:val="00F112B1"/>
    <w:rsid w:val="00F14C99"/>
    <w:rsid w:val="00F207A4"/>
    <w:rsid w:val="00F219FF"/>
    <w:rsid w:val="00F23144"/>
    <w:rsid w:val="00F25925"/>
    <w:rsid w:val="00F267F0"/>
    <w:rsid w:val="00F26E45"/>
    <w:rsid w:val="00F311BD"/>
    <w:rsid w:val="00F31D23"/>
    <w:rsid w:val="00F33791"/>
    <w:rsid w:val="00F355AC"/>
    <w:rsid w:val="00F44EDA"/>
    <w:rsid w:val="00F5026A"/>
    <w:rsid w:val="00F563C6"/>
    <w:rsid w:val="00F67DE2"/>
    <w:rsid w:val="00F71A5A"/>
    <w:rsid w:val="00F74935"/>
    <w:rsid w:val="00F769E0"/>
    <w:rsid w:val="00F81B91"/>
    <w:rsid w:val="00F83296"/>
    <w:rsid w:val="00F9001D"/>
    <w:rsid w:val="00F94249"/>
    <w:rsid w:val="00F950A2"/>
    <w:rsid w:val="00F95F51"/>
    <w:rsid w:val="00FA2BB7"/>
    <w:rsid w:val="00FB118E"/>
    <w:rsid w:val="00FB38F8"/>
    <w:rsid w:val="00FB4963"/>
    <w:rsid w:val="00FB7637"/>
    <w:rsid w:val="00FB7DEE"/>
    <w:rsid w:val="00FC6BDE"/>
    <w:rsid w:val="00FC74F5"/>
    <w:rsid w:val="00FD428A"/>
    <w:rsid w:val="00FD716A"/>
    <w:rsid w:val="00FE2EB2"/>
    <w:rsid w:val="00FF196F"/>
    <w:rsid w:val="00FF2FB7"/>
    <w:rsid w:val="00FF3211"/>
    <w:rsid w:val="00FF6842"/>
    <w:rsid w:val="01A98DF1"/>
    <w:rsid w:val="02EF562B"/>
    <w:rsid w:val="033FDF87"/>
    <w:rsid w:val="04D2F30F"/>
    <w:rsid w:val="05648A9A"/>
    <w:rsid w:val="0633DAE0"/>
    <w:rsid w:val="08BA3999"/>
    <w:rsid w:val="09E85D30"/>
    <w:rsid w:val="0A7E4239"/>
    <w:rsid w:val="0AB434C3"/>
    <w:rsid w:val="0B667541"/>
    <w:rsid w:val="0CE0F7EA"/>
    <w:rsid w:val="0E060976"/>
    <w:rsid w:val="0E55C8AF"/>
    <w:rsid w:val="1323B70B"/>
    <w:rsid w:val="143EECD7"/>
    <w:rsid w:val="176B0FF8"/>
    <w:rsid w:val="1781AFC2"/>
    <w:rsid w:val="18CB3BC1"/>
    <w:rsid w:val="1C2AD85C"/>
    <w:rsid w:val="1C2C4157"/>
    <w:rsid w:val="1C83639B"/>
    <w:rsid w:val="1DCDA303"/>
    <w:rsid w:val="1DF8A66A"/>
    <w:rsid w:val="1E69B6A9"/>
    <w:rsid w:val="1EE7A125"/>
    <w:rsid w:val="1F7CF63B"/>
    <w:rsid w:val="20C4B796"/>
    <w:rsid w:val="21A79F68"/>
    <w:rsid w:val="21CA9DC1"/>
    <w:rsid w:val="24FCB468"/>
    <w:rsid w:val="252CF05F"/>
    <w:rsid w:val="26305B9D"/>
    <w:rsid w:val="281F574B"/>
    <w:rsid w:val="287992CC"/>
    <w:rsid w:val="29AE2B1F"/>
    <w:rsid w:val="2CC6D869"/>
    <w:rsid w:val="2EC65B73"/>
    <w:rsid w:val="2F546A86"/>
    <w:rsid w:val="2FE7AEAD"/>
    <w:rsid w:val="30903533"/>
    <w:rsid w:val="32F81406"/>
    <w:rsid w:val="33EBD8A7"/>
    <w:rsid w:val="3480847A"/>
    <w:rsid w:val="34B77696"/>
    <w:rsid w:val="352B7361"/>
    <w:rsid w:val="36A17CE3"/>
    <w:rsid w:val="37310D31"/>
    <w:rsid w:val="37D57C09"/>
    <w:rsid w:val="3821F6E2"/>
    <w:rsid w:val="3B740C45"/>
    <w:rsid w:val="3CE1F05F"/>
    <w:rsid w:val="400AB2F6"/>
    <w:rsid w:val="409BC63B"/>
    <w:rsid w:val="41F5EF4A"/>
    <w:rsid w:val="42F8123B"/>
    <w:rsid w:val="464B7137"/>
    <w:rsid w:val="468656F1"/>
    <w:rsid w:val="48FAA40E"/>
    <w:rsid w:val="4A335C8B"/>
    <w:rsid w:val="4A73DF19"/>
    <w:rsid w:val="4B70C81C"/>
    <w:rsid w:val="4BF15832"/>
    <w:rsid w:val="4D2A69DB"/>
    <w:rsid w:val="4EA17E9C"/>
    <w:rsid w:val="4F8D8AF2"/>
    <w:rsid w:val="507BDA94"/>
    <w:rsid w:val="5666588E"/>
    <w:rsid w:val="5731E7A0"/>
    <w:rsid w:val="5ABCF77F"/>
    <w:rsid w:val="5C14A642"/>
    <w:rsid w:val="5D71A6BB"/>
    <w:rsid w:val="5FC9E5E8"/>
    <w:rsid w:val="5FE5BE33"/>
    <w:rsid w:val="6070078B"/>
    <w:rsid w:val="60803C75"/>
    <w:rsid w:val="609A9ED9"/>
    <w:rsid w:val="6245B014"/>
    <w:rsid w:val="65173D9E"/>
    <w:rsid w:val="6657AA96"/>
    <w:rsid w:val="66773CAE"/>
    <w:rsid w:val="6751BEB0"/>
    <w:rsid w:val="67B33F0C"/>
    <w:rsid w:val="68120D59"/>
    <w:rsid w:val="6B3FC2ED"/>
    <w:rsid w:val="6C74C453"/>
    <w:rsid w:val="6D50C0D8"/>
    <w:rsid w:val="6D58A08D"/>
    <w:rsid w:val="6E8B4D9A"/>
    <w:rsid w:val="6EA8C5BA"/>
    <w:rsid w:val="71A3F4DD"/>
    <w:rsid w:val="71F686E1"/>
    <w:rsid w:val="732074D4"/>
    <w:rsid w:val="75269030"/>
    <w:rsid w:val="76C599A3"/>
    <w:rsid w:val="7A1D5657"/>
    <w:rsid w:val="7A35E574"/>
    <w:rsid w:val="7A6C7348"/>
    <w:rsid w:val="7B4148EF"/>
    <w:rsid w:val="7B70FCFE"/>
    <w:rsid w:val="7C656453"/>
    <w:rsid w:val="7D8BDB6B"/>
    <w:rsid w:val="7DCEA5F4"/>
    <w:rsid w:val="7DF35ABF"/>
    <w:rsid w:val="7EB9A0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FD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35DF"/>
    <w:rPr>
      <w:color w:val="0000FF"/>
      <w:u w:val="single"/>
    </w:rPr>
  </w:style>
  <w:style w:type="paragraph" w:styleId="Header">
    <w:name w:val="header"/>
    <w:basedOn w:val="Normal"/>
    <w:link w:val="HeaderChar"/>
    <w:rsid w:val="00154114"/>
    <w:pPr>
      <w:tabs>
        <w:tab w:val="center" w:pos="4680"/>
        <w:tab w:val="right" w:pos="9360"/>
      </w:tabs>
    </w:pPr>
  </w:style>
  <w:style w:type="character" w:customStyle="1" w:styleId="HeaderChar">
    <w:name w:val="Header Char"/>
    <w:link w:val="Header"/>
    <w:rsid w:val="00154114"/>
    <w:rPr>
      <w:sz w:val="24"/>
      <w:szCs w:val="24"/>
    </w:rPr>
  </w:style>
  <w:style w:type="paragraph" w:styleId="Footer">
    <w:name w:val="footer"/>
    <w:basedOn w:val="Normal"/>
    <w:link w:val="FooterChar"/>
    <w:uiPriority w:val="99"/>
    <w:rsid w:val="00154114"/>
    <w:pPr>
      <w:tabs>
        <w:tab w:val="center" w:pos="4680"/>
        <w:tab w:val="right" w:pos="9360"/>
      </w:tabs>
    </w:pPr>
  </w:style>
  <w:style w:type="character" w:customStyle="1" w:styleId="FooterChar">
    <w:name w:val="Footer Char"/>
    <w:link w:val="Footer"/>
    <w:uiPriority w:val="99"/>
    <w:rsid w:val="00154114"/>
    <w:rPr>
      <w:sz w:val="24"/>
      <w:szCs w:val="24"/>
    </w:rPr>
  </w:style>
  <w:style w:type="paragraph" w:styleId="ListParagraph">
    <w:name w:val="List Paragraph"/>
    <w:basedOn w:val="Normal"/>
    <w:uiPriority w:val="34"/>
    <w:qFormat/>
    <w:rsid w:val="00B82C30"/>
    <w:pPr>
      <w:ind w:left="720"/>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6A5F80"/>
    <w:rPr>
      <w:sz w:val="24"/>
      <w:szCs w:val="24"/>
    </w:rPr>
  </w:style>
  <w:style w:type="paragraph" w:styleId="CommentSubject">
    <w:name w:val="annotation subject"/>
    <w:basedOn w:val="CommentText"/>
    <w:next w:val="CommentText"/>
    <w:link w:val="CommentSubjectChar"/>
    <w:semiHidden/>
    <w:unhideWhenUsed/>
    <w:rsid w:val="00BD4DC2"/>
    <w:rPr>
      <w:b/>
      <w:bCs/>
    </w:rPr>
  </w:style>
  <w:style w:type="character" w:customStyle="1" w:styleId="CommentSubjectChar">
    <w:name w:val="Comment Subject Char"/>
    <w:basedOn w:val="CommentTextChar"/>
    <w:link w:val="CommentSubject"/>
    <w:semiHidden/>
    <w:rsid w:val="00BD4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B56D-C2F3-43CE-980C-FACE2CE1199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2410</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2025-09-29T17:19:00Z</dcterms:created>
  <dcterms:modified xsi:type="dcterms:W3CDTF">2025-09-29T17:20:00Z</dcterms:modified>
</cp:coreProperties>
</file>