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AE2" w:rsidP="00FF31AA" w14:paraId="170CF205" w14:textId="42BC320C">
      <w:pPr>
        <w:contextualSpacing/>
        <w:jc w:val="center"/>
        <w:rPr>
          <w:color w:val="000000" w:themeColor="text1"/>
          <w:sz w:val="24"/>
          <w:szCs w:val="24"/>
        </w:rPr>
      </w:pPr>
      <w:r w:rsidRPr="00F11AE2">
        <w:rPr>
          <w:sz w:val="24"/>
          <w:szCs w:val="24"/>
        </w:rPr>
        <w:t>UNITED STATES FOOD &amp; DRUG ADMINISTRATION</w:t>
      </w:r>
    </w:p>
    <w:p w:rsidR="00F11AE2" w:rsidP="00FF31AA" w14:paraId="275ECFB3" w14:textId="77777777">
      <w:pPr>
        <w:contextualSpacing/>
        <w:jc w:val="center"/>
        <w:rPr>
          <w:color w:val="000000" w:themeColor="text1"/>
          <w:sz w:val="24"/>
          <w:szCs w:val="24"/>
        </w:rPr>
      </w:pPr>
    </w:p>
    <w:p w:rsidR="004F5320" w:rsidP="00FF31AA" w14:paraId="6E98D480" w14:textId="66AD7498">
      <w:pPr>
        <w:contextualSpacing/>
        <w:jc w:val="center"/>
        <w:rPr>
          <w:color w:val="000000" w:themeColor="text1"/>
          <w:sz w:val="24"/>
          <w:szCs w:val="24"/>
        </w:rPr>
      </w:pPr>
      <w:r w:rsidRPr="00C23868">
        <w:rPr>
          <w:color w:val="000000" w:themeColor="text1"/>
          <w:sz w:val="24"/>
          <w:szCs w:val="24"/>
        </w:rPr>
        <w:t xml:space="preserve">OMB Control Number </w:t>
      </w:r>
      <w:r w:rsidRPr="00C23868" w:rsidR="00325041">
        <w:rPr>
          <w:color w:val="000000" w:themeColor="text1"/>
          <w:sz w:val="24"/>
          <w:szCs w:val="24"/>
        </w:rPr>
        <w:t>0910-07</w:t>
      </w:r>
      <w:r w:rsidR="00D726D1">
        <w:rPr>
          <w:color w:val="000000" w:themeColor="text1"/>
          <w:sz w:val="24"/>
          <w:szCs w:val="24"/>
        </w:rPr>
        <w:t>2</w:t>
      </w:r>
      <w:r w:rsidRPr="00C23868" w:rsidR="00325041">
        <w:rPr>
          <w:color w:val="000000" w:themeColor="text1"/>
          <w:sz w:val="24"/>
          <w:szCs w:val="24"/>
        </w:rPr>
        <w:t>7</w:t>
      </w:r>
      <w:r w:rsidR="003635C8">
        <w:rPr>
          <w:color w:val="000000" w:themeColor="text1"/>
          <w:sz w:val="24"/>
          <w:szCs w:val="24"/>
        </w:rPr>
        <w:t>; Generic Drug User Fee Program</w:t>
      </w:r>
    </w:p>
    <w:p w:rsidR="003635C8" w:rsidP="00FF31AA" w14:paraId="1131EB69" w14:textId="4320DB95">
      <w:pPr>
        <w:contextualSpacing/>
        <w:jc w:val="center"/>
        <w:rPr>
          <w:color w:val="000000" w:themeColor="text1"/>
          <w:sz w:val="24"/>
          <w:szCs w:val="24"/>
        </w:rPr>
      </w:pPr>
    </w:p>
    <w:p w:rsidR="00F3067F" w:rsidRPr="00F24B1D" w:rsidP="00F3067F" w14:paraId="0382922E" w14:textId="265E052D">
      <w:pPr>
        <w:contextualSpacing/>
        <w:rPr>
          <w:b/>
          <w:bCs/>
          <w:color w:val="000000" w:themeColor="text1"/>
          <w:sz w:val="24"/>
          <w:szCs w:val="24"/>
        </w:rPr>
      </w:pPr>
      <w:r w:rsidRPr="00F24B1D">
        <w:rPr>
          <w:b/>
          <w:bCs/>
          <w:color w:val="000000" w:themeColor="text1"/>
          <w:sz w:val="24"/>
          <w:szCs w:val="24"/>
        </w:rPr>
        <w:t xml:space="preserve">Request for Non-substantive change:  </w:t>
      </w:r>
    </w:p>
    <w:p w:rsidR="00AE093C" w:rsidP="00FF31AA" w14:paraId="704EB8BD" w14:textId="77777777">
      <w:pPr>
        <w:ind w:firstLine="720"/>
        <w:contextualSpacing/>
        <w:rPr>
          <w:color w:val="000000" w:themeColor="text1"/>
          <w:sz w:val="24"/>
          <w:szCs w:val="24"/>
        </w:rPr>
      </w:pPr>
    </w:p>
    <w:p w:rsidR="00F21E27" w:rsidP="00F21E27" w14:paraId="00203797" w14:textId="16E18DC1">
      <w:pPr>
        <w:contextualSpacing/>
        <w:rPr>
          <w:color w:val="000000"/>
          <w:sz w:val="24"/>
          <w:szCs w:val="24"/>
        </w:rPr>
      </w:pPr>
      <w:r>
        <w:rPr>
          <w:color w:val="000000" w:themeColor="text1"/>
          <w:sz w:val="24"/>
          <w:szCs w:val="24"/>
        </w:rPr>
        <w:t>Th</w:t>
      </w:r>
      <w:r w:rsidR="00AE093C">
        <w:rPr>
          <w:color w:val="000000" w:themeColor="text1"/>
          <w:sz w:val="24"/>
          <w:szCs w:val="24"/>
        </w:rPr>
        <w:t xml:space="preserve">e </w:t>
      </w:r>
      <w:r>
        <w:rPr>
          <w:color w:val="000000" w:themeColor="text1"/>
          <w:sz w:val="24"/>
          <w:szCs w:val="24"/>
        </w:rPr>
        <w:t>information collection</w:t>
      </w:r>
      <w:r w:rsidR="00AE093C">
        <w:rPr>
          <w:color w:val="000000" w:themeColor="text1"/>
          <w:sz w:val="24"/>
          <w:szCs w:val="24"/>
        </w:rPr>
        <w:t xml:space="preserve"> in OMB control number 0910-0727 </w:t>
      </w:r>
      <w:r>
        <w:rPr>
          <w:color w:val="000000" w:themeColor="text1"/>
          <w:sz w:val="24"/>
          <w:szCs w:val="24"/>
        </w:rPr>
        <w:t>support</w:t>
      </w:r>
      <w:r w:rsidR="00577887">
        <w:rPr>
          <w:color w:val="000000" w:themeColor="text1"/>
          <w:sz w:val="24"/>
          <w:szCs w:val="24"/>
        </w:rPr>
        <w:t>s</w:t>
      </w:r>
      <w:r>
        <w:rPr>
          <w:color w:val="000000" w:themeColor="text1"/>
          <w:sz w:val="24"/>
          <w:szCs w:val="24"/>
        </w:rPr>
        <w:t xml:space="preserve"> implementation of FDA’s Generic Drug User Fee program.  </w:t>
      </w:r>
      <w:r w:rsidR="00276E42">
        <w:rPr>
          <w:color w:val="000000" w:themeColor="text1"/>
          <w:sz w:val="24"/>
          <w:szCs w:val="24"/>
        </w:rPr>
        <w:t>“</w:t>
      </w:r>
      <w:r w:rsidRPr="00FB2F55" w:rsidR="00C17302">
        <w:rPr>
          <w:i/>
          <w:iCs/>
          <w:color w:val="000000" w:themeColor="text1"/>
          <w:sz w:val="24"/>
          <w:szCs w:val="24"/>
        </w:rPr>
        <w:t>GDUFA</w:t>
      </w:r>
      <w:r w:rsidR="00276E42">
        <w:rPr>
          <w:color w:val="000000" w:themeColor="text1"/>
          <w:sz w:val="24"/>
          <w:szCs w:val="24"/>
        </w:rPr>
        <w:t xml:space="preserve">” </w:t>
      </w:r>
      <w:r w:rsidRPr="00C17302" w:rsidR="00C17302">
        <w:rPr>
          <w:color w:val="000000" w:themeColor="text1"/>
          <w:sz w:val="24"/>
          <w:szCs w:val="24"/>
        </w:rPr>
        <w:t xml:space="preserve">authorizes FDA to assess </w:t>
      </w:r>
      <w:r w:rsidR="002E2F59">
        <w:rPr>
          <w:color w:val="000000" w:themeColor="text1"/>
          <w:sz w:val="24"/>
          <w:szCs w:val="24"/>
        </w:rPr>
        <w:t xml:space="preserve">and collect </w:t>
      </w:r>
      <w:r w:rsidRPr="00C17302" w:rsidR="00C17302">
        <w:rPr>
          <w:color w:val="000000" w:themeColor="text1"/>
          <w:sz w:val="24"/>
          <w:szCs w:val="24"/>
        </w:rPr>
        <w:t>user fees to fund critical and measurable enhancements to the performance of FDA’s generic drugs program, bringing greater predictability and timeliness to the review of generic drug applications</w:t>
      </w:r>
      <w:r w:rsidR="00C17302">
        <w:rPr>
          <w:color w:val="000000" w:themeColor="text1"/>
          <w:sz w:val="24"/>
          <w:szCs w:val="24"/>
        </w:rPr>
        <w:t xml:space="preserve">.  </w:t>
      </w:r>
      <w:r w:rsidR="00F24B1D">
        <w:rPr>
          <w:color w:val="000000" w:themeColor="text1"/>
          <w:sz w:val="24"/>
          <w:szCs w:val="24"/>
        </w:rPr>
        <w:t xml:space="preserve">To </w:t>
      </w:r>
      <w:r w:rsidR="00C17302">
        <w:rPr>
          <w:color w:val="000000" w:themeColor="text1"/>
          <w:sz w:val="24"/>
          <w:szCs w:val="24"/>
        </w:rPr>
        <w:t xml:space="preserve">help </w:t>
      </w:r>
      <w:r w:rsidR="00F24B1D">
        <w:rPr>
          <w:color w:val="000000" w:themeColor="text1"/>
          <w:sz w:val="24"/>
          <w:szCs w:val="24"/>
        </w:rPr>
        <w:t>achieve these objectives</w:t>
      </w:r>
      <w:r w:rsidR="001C47BF">
        <w:rPr>
          <w:color w:val="000000" w:themeColor="text1"/>
          <w:sz w:val="24"/>
          <w:szCs w:val="24"/>
        </w:rPr>
        <w:t>,</w:t>
      </w:r>
      <w:r w:rsidR="00F24B1D">
        <w:rPr>
          <w:color w:val="000000" w:themeColor="text1"/>
          <w:sz w:val="24"/>
          <w:szCs w:val="24"/>
        </w:rPr>
        <w:t xml:space="preserve"> we </w:t>
      </w:r>
      <w:r w:rsidR="000023A5">
        <w:rPr>
          <w:color w:val="000000" w:themeColor="text1"/>
          <w:sz w:val="24"/>
          <w:szCs w:val="24"/>
        </w:rPr>
        <w:t xml:space="preserve">employ </w:t>
      </w:r>
      <w:r w:rsidRPr="000023A5" w:rsidR="000023A5">
        <w:rPr>
          <w:color w:val="000000" w:themeColor="text1"/>
          <w:sz w:val="24"/>
          <w:szCs w:val="24"/>
        </w:rPr>
        <w:t>specific program and performance goals</w:t>
      </w:r>
      <w:r w:rsidR="000023A5">
        <w:rPr>
          <w:color w:val="000000" w:themeColor="text1"/>
          <w:sz w:val="24"/>
          <w:szCs w:val="24"/>
        </w:rPr>
        <w:t xml:space="preserve"> as</w:t>
      </w:r>
      <w:r w:rsidR="001C47BF">
        <w:rPr>
          <w:color w:val="000000" w:themeColor="text1"/>
          <w:sz w:val="24"/>
          <w:szCs w:val="24"/>
        </w:rPr>
        <w:t xml:space="preserve"> outlined</w:t>
      </w:r>
      <w:r w:rsidR="000023A5">
        <w:rPr>
          <w:color w:val="000000" w:themeColor="text1"/>
          <w:sz w:val="24"/>
          <w:szCs w:val="24"/>
        </w:rPr>
        <w:t xml:space="preserve"> in </w:t>
      </w:r>
      <w:r w:rsidR="00EC2BFA">
        <w:rPr>
          <w:color w:val="000000" w:themeColor="text1"/>
          <w:sz w:val="24"/>
          <w:szCs w:val="24"/>
        </w:rPr>
        <w:t xml:space="preserve">a </w:t>
      </w:r>
      <w:r w:rsidRPr="001F2BCF" w:rsidR="001F2BCF">
        <w:rPr>
          <w:color w:val="000000" w:themeColor="text1"/>
          <w:sz w:val="24"/>
          <w:szCs w:val="24"/>
        </w:rPr>
        <w:t>Commitment Letter</w:t>
      </w:r>
      <w:r w:rsidR="00EC2BFA">
        <w:rPr>
          <w:color w:val="000000" w:themeColor="text1"/>
          <w:sz w:val="24"/>
          <w:szCs w:val="24"/>
        </w:rPr>
        <w:t xml:space="preserve">.  The Commitment Letter is </w:t>
      </w:r>
      <w:r w:rsidR="001F2BCF">
        <w:rPr>
          <w:color w:val="000000" w:themeColor="text1"/>
          <w:sz w:val="24"/>
          <w:szCs w:val="24"/>
        </w:rPr>
        <w:t>developed with respondents</w:t>
      </w:r>
      <w:r>
        <w:rPr>
          <w:color w:val="000000" w:themeColor="text1"/>
          <w:sz w:val="24"/>
          <w:szCs w:val="24"/>
        </w:rPr>
        <w:t xml:space="preserve"> </w:t>
      </w:r>
      <w:r w:rsidR="001C47BF">
        <w:rPr>
          <w:color w:val="000000" w:themeColor="text1"/>
          <w:sz w:val="24"/>
          <w:szCs w:val="24"/>
        </w:rPr>
        <w:t xml:space="preserve">and updated with </w:t>
      </w:r>
      <w:r w:rsidR="0003378F">
        <w:rPr>
          <w:color w:val="000000" w:themeColor="text1"/>
          <w:sz w:val="24"/>
          <w:szCs w:val="24"/>
        </w:rPr>
        <w:t xml:space="preserve">each statutory reauthorization </w:t>
      </w:r>
      <w:r w:rsidR="00BA290A">
        <w:rPr>
          <w:color w:val="000000" w:themeColor="text1"/>
          <w:sz w:val="24"/>
          <w:szCs w:val="24"/>
        </w:rPr>
        <w:t xml:space="preserve">to include progressive enhancements that facilitate </w:t>
      </w:r>
      <w:r w:rsidRPr="00BA290A" w:rsidR="00BA290A">
        <w:rPr>
          <w:color w:val="000000" w:themeColor="text1"/>
          <w:sz w:val="24"/>
          <w:szCs w:val="24"/>
        </w:rPr>
        <w:t xml:space="preserve">the delivery of safe and effective generic drugs to the public and </w:t>
      </w:r>
      <w:r w:rsidR="0003378F">
        <w:rPr>
          <w:color w:val="000000" w:themeColor="text1"/>
          <w:sz w:val="24"/>
          <w:szCs w:val="24"/>
        </w:rPr>
        <w:t xml:space="preserve">help </w:t>
      </w:r>
      <w:r w:rsidRPr="00BA290A" w:rsidR="00BA290A">
        <w:rPr>
          <w:color w:val="000000" w:themeColor="text1"/>
          <w:sz w:val="24"/>
          <w:szCs w:val="24"/>
        </w:rPr>
        <w:t>reduce costs to industry.</w:t>
      </w:r>
      <w:r w:rsidR="0003378F">
        <w:rPr>
          <w:color w:val="000000" w:themeColor="text1"/>
          <w:sz w:val="24"/>
          <w:szCs w:val="24"/>
        </w:rPr>
        <w:t xml:space="preserve">  We provide information regarding </w:t>
      </w:r>
      <w:r w:rsidRPr="00F62938" w:rsidR="00F62938">
        <w:rPr>
          <w:color w:val="000000"/>
          <w:sz w:val="24"/>
          <w:szCs w:val="24"/>
        </w:rPr>
        <w:t>GDUFA and ongoing implementation</w:t>
      </w:r>
      <w:r w:rsidR="0003378F">
        <w:rPr>
          <w:color w:val="000000"/>
          <w:sz w:val="24"/>
          <w:szCs w:val="24"/>
        </w:rPr>
        <w:t xml:space="preserve"> on our</w:t>
      </w:r>
      <w:r w:rsidRPr="00F62938" w:rsidR="00F62938">
        <w:rPr>
          <w:color w:val="000000"/>
          <w:sz w:val="24"/>
          <w:szCs w:val="24"/>
        </w:rPr>
        <w:t xml:space="preserve"> </w:t>
      </w:r>
      <w:r>
        <w:rPr>
          <w:color w:val="000000"/>
          <w:sz w:val="24"/>
          <w:szCs w:val="24"/>
        </w:rPr>
        <w:t xml:space="preserve">website at </w:t>
      </w:r>
      <w:hyperlink r:id="rId5" w:history="1">
        <w:r w:rsidRPr="00F62938">
          <w:rPr>
            <w:rStyle w:val="Hyperlink"/>
            <w:sz w:val="24"/>
            <w:szCs w:val="24"/>
          </w:rPr>
          <w:t>https://www.fda.gov/industry/fda-user-fee-programs/generic-drug-user-fee-amendments</w:t>
        </w:r>
      </w:hyperlink>
      <w:r w:rsidR="0003378F">
        <w:rPr>
          <w:color w:val="000000"/>
          <w:sz w:val="24"/>
          <w:szCs w:val="24"/>
        </w:rPr>
        <w:t xml:space="preserve">, </w:t>
      </w:r>
      <w:r w:rsidR="00EE2650">
        <w:rPr>
          <w:color w:val="000000"/>
          <w:sz w:val="24"/>
          <w:szCs w:val="24"/>
        </w:rPr>
        <w:t xml:space="preserve">including the </w:t>
      </w:r>
      <w:r>
        <w:rPr>
          <w:color w:val="000000"/>
          <w:sz w:val="24"/>
          <w:szCs w:val="24"/>
        </w:rPr>
        <w:t xml:space="preserve">most recently authorized </w:t>
      </w:r>
      <w:r w:rsidR="00EE2650">
        <w:rPr>
          <w:color w:val="000000"/>
          <w:sz w:val="24"/>
          <w:szCs w:val="24"/>
        </w:rPr>
        <w:t>Commitment Letter</w:t>
      </w:r>
      <w:r>
        <w:rPr>
          <w:color w:val="000000"/>
          <w:sz w:val="24"/>
          <w:szCs w:val="24"/>
        </w:rPr>
        <w:t>.</w:t>
      </w:r>
    </w:p>
    <w:p w:rsidR="00F21E27" w:rsidP="00F21E27" w14:paraId="211398A2" w14:textId="77777777">
      <w:pPr>
        <w:contextualSpacing/>
        <w:rPr>
          <w:color w:val="000000"/>
          <w:sz w:val="24"/>
          <w:szCs w:val="24"/>
        </w:rPr>
      </w:pPr>
    </w:p>
    <w:p w:rsidR="00824FDA" w:rsidP="00F21E27" w14:paraId="5C5F4243" w14:textId="0962D271">
      <w:pPr>
        <w:contextualSpacing/>
        <w:rPr>
          <w:color w:val="000000" w:themeColor="text1"/>
          <w:sz w:val="24"/>
          <w:szCs w:val="24"/>
        </w:rPr>
      </w:pPr>
      <w:r>
        <w:rPr>
          <w:color w:val="000000" w:themeColor="text1"/>
          <w:sz w:val="24"/>
          <w:szCs w:val="24"/>
        </w:rPr>
        <w:t>For operational efficiency, w</w:t>
      </w:r>
      <w:r w:rsidR="00EC3445">
        <w:rPr>
          <w:color w:val="000000" w:themeColor="text1"/>
          <w:sz w:val="24"/>
          <w:szCs w:val="24"/>
        </w:rPr>
        <w:t>e are</w:t>
      </w:r>
      <w:r w:rsidR="00F21E27">
        <w:rPr>
          <w:color w:val="000000" w:themeColor="text1"/>
          <w:sz w:val="24"/>
          <w:szCs w:val="24"/>
        </w:rPr>
        <w:t xml:space="preserve"> requesting to </w:t>
      </w:r>
      <w:r w:rsidR="00533F41">
        <w:rPr>
          <w:color w:val="000000" w:themeColor="text1"/>
          <w:sz w:val="24"/>
          <w:szCs w:val="24"/>
        </w:rPr>
        <w:t xml:space="preserve">account for burden </w:t>
      </w:r>
      <w:r w:rsidR="00D05C3A">
        <w:rPr>
          <w:color w:val="000000" w:themeColor="text1"/>
          <w:sz w:val="24"/>
          <w:szCs w:val="24"/>
        </w:rPr>
        <w:t xml:space="preserve">that may be attendant to the submission of </w:t>
      </w:r>
      <w:r w:rsidR="00533F41">
        <w:rPr>
          <w:color w:val="000000" w:themeColor="text1"/>
          <w:sz w:val="24"/>
          <w:szCs w:val="24"/>
        </w:rPr>
        <w:t>controlled correspondence</w:t>
      </w:r>
      <w:r w:rsidR="007E67DE">
        <w:rPr>
          <w:color w:val="000000" w:themeColor="text1"/>
          <w:sz w:val="24"/>
          <w:szCs w:val="24"/>
        </w:rPr>
        <w:t>, previously approved in OMB control number 0910-0797</w:t>
      </w:r>
      <w:r w:rsidR="00D05C3A">
        <w:rPr>
          <w:color w:val="000000" w:themeColor="text1"/>
          <w:sz w:val="24"/>
          <w:szCs w:val="24"/>
        </w:rPr>
        <w:t>.</w:t>
      </w:r>
      <w:r w:rsidR="00AC49CF">
        <w:rPr>
          <w:color w:val="000000" w:themeColor="text1"/>
          <w:sz w:val="24"/>
          <w:szCs w:val="24"/>
        </w:rPr>
        <w:t xml:space="preserve">  </w:t>
      </w:r>
      <w:r w:rsidR="00174216">
        <w:rPr>
          <w:color w:val="000000" w:themeColor="text1"/>
          <w:sz w:val="24"/>
          <w:szCs w:val="24"/>
        </w:rPr>
        <w:t xml:space="preserve">As we communicate </w:t>
      </w:r>
      <w:r w:rsidR="00B1292A">
        <w:rPr>
          <w:color w:val="000000" w:themeColor="text1"/>
          <w:sz w:val="24"/>
          <w:szCs w:val="24"/>
        </w:rPr>
        <w:t xml:space="preserve">in </w:t>
      </w:r>
      <w:r w:rsidRPr="00B1292A" w:rsidR="00B1292A">
        <w:rPr>
          <w:color w:val="000000" w:themeColor="text1"/>
          <w:sz w:val="24"/>
          <w:szCs w:val="24"/>
        </w:rPr>
        <w:t>Section I (</w:t>
      </w:r>
      <w:r w:rsidRPr="00B1292A" w:rsidR="00B1292A">
        <w:rPr>
          <w:i/>
          <w:iCs/>
          <w:color w:val="000000" w:themeColor="text1"/>
          <w:sz w:val="24"/>
          <w:szCs w:val="24"/>
        </w:rPr>
        <w:t>Submission Assessment Performance Goals</w:t>
      </w:r>
      <w:r w:rsidRPr="00B1292A" w:rsidR="00B1292A">
        <w:rPr>
          <w:color w:val="000000" w:themeColor="text1"/>
          <w:sz w:val="24"/>
          <w:szCs w:val="24"/>
        </w:rPr>
        <w:t>), Subsection E (</w:t>
      </w:r>
      <w:r w:rsidRPr="00B1292A" w:rsidR="00B1292A">
        <w:rPr>
          <w:i/>
          <w:iCs/>
          <w:color w:val="000000" w:themeColor="text1"/>
          <w:sz w:val="24"/>
          <w:szCs w:val="24"/>
        </w:rPr>
        <w:t>Controlled Correspondence</w:t>
      </w:r>
      <w:r w:rsidRPr="00B1292A" w:rsidR="00B1292A">
        <w:rPr>
          <w:color w:val="000000" w:themeColor="text1"/>
          <w:sz w:val="24"/>
          <w:szCs w:val="24"/>
        </w:rPr>
        <w:t>)</w:t>
      </w:r>
      <w:r w:rsidR="00B1292A">
        <w:rPr>
          <w:color w:val="000000" w:themeColor="text1"/>
          <w:sz w:val="24"/>
          <w:szCs w:val="24"/>
        </w:rPr>
        <w:t xml:space="preserve"> of our Commitment Letter and </w:t>
      </w:r>
      <w:r w:rsidR="00174216">
        <w:rPr>
          <w:color w:val="000000" w:themeColor="text1"/>
          <w:sz w:val="24"/>
          <w:szCs w:val="24"/>
        </w:rPr>
        <w:t xml:space="preserve">on our website, a </w:t>
      </w:r>
      <w:r w:rsidRPr="00B1292A" w:rsidR="00174216">
        <w:rPr>
          <w:i/>
          <w:iCs/>
          <w:color w:val="000000" w:themeColor="text1"/>
          <w:sz w:val="24"/>
          <w:szCs w:val="24"/>
        </w:rPr>
        <w:t>controlled correspondence</w:t>
      </w:r>
      <w:r w:rsidRPr="00174216" w:rsidR="00174216">
        <w:rPr>
          <w:color w:val="000000" w:themeColor="text1"/>
          <w:sz w:val="24"/>
          <w:szCs w:val="24"/>
        </w:rPr>
        <w:t xml:space="preserve"> is a communication submitted to FDA by or on behalf of a generic drug manufacturer or related industry requesting information on a specific element of generic drug product development</w:t>
      </w:r>
      <w:r w:rsidR="00056A02">
        <w:rPr>
          <w:color w:val="000000" w:themeColor="text1"/>
          <w:sz w:val="24"/>
          <w:szCs w:val="24"/>
        </w:rPr>
        <w:t>,</w:t>
      </w:r>
      <w:r w:rsidRPr="00174216" w:rsidR="00174216">
        <w:rPr>
          <w:color w:val="000000" w:themeColor="text1"/>
          <w:sz w:val="24"/>
          <w:szCs w:val="24"/>
        </w:rPr>
        <w:t xml:space="preserve"> or certain post</w:t>
      </w:r>
      <w:r w:rsidR="00CC24D8">
        <w:rPr>
          <w:color w:val="000000" w:themeColor="text1"/>
          <w:sz w:val="24"/>
          <w:szCs w:val="24"/>
        </w:rPr>
        <w:t>-</w:t>
      </w:r>
      <w:r w:rsidRPr="00174216" w:rsidR="00174216">
        <w:rPr>
          <w:color w:val="000000" w:themeColor="text1"/>
          <w:sz w:val="24"/>
          <w:szCs w:val="24"/>
        </w:rPr>
        <w:t>approval submission requirements.</w:t>
      </w:r>
      <w:r w:rsidR="00B1292A">
        <w:rPr>
          <w:color w:val="000000" w:themeColor="text1"/>
          <w:sz w:val="24"/>
          <w:szCs w:val="24"/>
        </w:rPr>
        <w:t xml:space="preserve">  </w:t>
      </w:r>
      <w:r w:rsidRPr="00824FDA">
        <w:rPr>
          <w:color w:val="000000" w:themeColor="text1"/>
          <w:sz w:val="24"/>
          <w:szCs w:val="24"/>
        </w:rPr>
        <w:t xml:space="preserve">Relatedly, and again for operational efficiency, we are requesting to account for burden that may be attendant to the submission of information associated with Covered Product Authorization Requests (CPAs).  CPAs are </w:t>
      </w:r>
      <w:r w:rsidR="00057071">
        <w:rPr>
          <w:color w:val="000000" w:themeColor="text1"/>
          <w:sz w:val="24"/>
          <w:szCs w:val="24"/>
        </w:rPr>
        <w:t xml:space="preserve">considered controlled correspondence and are </w:t>
      </w:r>
      <w:r w:rsidRPr="00824FDA">
        <w:rPr>
          <w:color w:val="000000" w:themeColor="text1"/>
          <w:sz w:val="24"/>
          <w:szCs w:val="24"/>
        </w:rPr>
        <w:t xml:space="preserve">provided for under the Creating and Restoring Equal Access to Equivalent Samples Act of 2019 (CREATES Act) </w:t>
      </w:r>
      <w:r w:rsidR="00057071">
        <w:rPr>
          <w:color w:val="000000" w:themeColor="text1"/>
          <w:sz w:val="24"/>
          <w:szCs w:val="24"/>
        </w:rPr>
        <w:t xml:space="preserve">to </w:t>
      </w:r>
      <w:r w:rsidRPr="00824FDA">
        <w:rPr>
          <w:color w:val="000000" w:themeColor="text1"/>
          <w:sz w:val="24"/>
          <w:szCs w:val="24"/>
        </w:rPr>
        <w:t xml:space="preserve">provide a pathway for eligible product developers to obtain access to the product samples they need to fulfill testing and other regulatory requirements to support applications.  To make use of this pathway, an eligible product developer must obtain a CPA (see 21 U.S.C. 355-2(b)(2)).  </w:t>
      </w:r>
    </w:p>
    <w:p w:rsidR="00824FDA" w:rsidP="00F21E27" w14:paraId="7475F1B4" w14:textId="77777777">
      <w:pPr>
        <w:contextualSpacing/>
        <w:rPr>
          <w:color w:val="000000" w:themeColor="text1"/>
          <w:sz w:val="24"/>
          <w:szCs w:val="24"/>
        </w:rPr>
      </w:pPr>
    </w:p>
    <w:p w:rsidR="00D71D16" w:rsidP="00F21E27" w14:paraId="7F5C5664" w14:textId="2FCB6311">
      <w:pPr>
        <w:contextualSpacing/>
        <w:rPr>
          <w:color w:val="000000" w:themeColor="text1"/>
          <w:sz w:val="24"/>
          <w:szCs w:val="24"/>
        </w:rPr>
      </w:pPr>
      <w:r>
        <w:rPr>
          <w:color w:val="000000" w:themeColor="text1"/>
          <w:sz w:val="24"/>
          <w:szCs w:val="24"/>
        </w:rPr>
        <w:t xml:space="preserve">To provide respondents with instructional information including </w:t>
      </w:r>
      <w:r w:rsidR="00DA4299">
        <w:rPr>
          <w:color w:val="000000" w:themeColor="text1"/>
          <w:sz w:val="24"/>
          <w:szCs w:val="24"/>
        </w:rPr>
        <w:t>format and content considerations</w:t>
      </w:r>
      <w:r w:rsidR="00057071">
        <w:rPr>
          <w:color w:val="000000" w:themeColor="text1"/>
          <w:sz w:val="24"/>
          <w:szCs w:val="24"/>
        </w:rPr>
        <w:t xml:space="preserve"> regarding the submission of controlled correspondence under GDUFA</w:t>
      </w:r>
      <w:r w:rsidR="00DA4299">
        <w:rPr>
          <w:color w:val="000000" w:themeColor="text1"/>
          <w:sz w:val="24"/>
          <w:szCs w:val="24"/>
        </w:rPr>
        <w:t xml:space="preserve">, we continue to develop </w:t>
      </w:r>
      <w:r w:rsidR="00DB1DDE">
        <w:rPr>
          <w:color w:val="000000" w:themeColor="text1"/>
          <w:sz w:val="24"/>
          <w:szCs w:val="24"/>
        </w:rPr>
        <w:t xml:space="preserve">and issue </w:t>
      </w:r>
      <w:r w:rsidR="00DA4299">
        <w:rPr>
          <w:color w:val="000000" w:themeColor="text1"/>
          <w:sz w:val="24"/>
          <w:szCs w:val="24"/>
        </w:rPr>
        <w:t>agency guidance documents</w:t>
      </w:r>
      <w:r w:rsidR="00057071">
        <w:rPr>
          <w:color w:val="000000" w:themeColor="text1"/>
          <w:sz w:val="24"/>
          <w:szCs w:val="24"/>
        </w:rPr>
        <w:t>.  We believe the guidance documents are issued</w:t>
      </w:r>
      <w:r w:rsidR="00DB1DDE">
        <w:rPr>
          <w:color w:val="000000" w:themeColor="text1"/>
          <w:sz w:val="24"/>
          <w:szCs w:val="24"/>
        </w:rPr>
        <w:t xml:space="preserve"> </w:t>
      </w:r>
      <w:r w:rsidR="00412BA3">
        <w:rPr>
          <w:color w:val="000000" w:themeColor="text1"/>
          <w:sz w:val="24"/>
          <w:szCs w:val="24"/>
        </w:rPr>
        <w:t xml:space="preserve">in accordance with </w:t>
      </w:r>
      <w:r w:rsidR="00E54154">
        <w:rPr>
          <w:color w:val="000000" w:themeColor="text1"/>
          <w:sz w:val="24"/>
          <w:szCs w:val="24"/>
        </w:rPr>
        <w:t xml:space="preserve">our regulatory authority in </w:t>
      </w:r>
      <w:r w:rsidR="00412BA3">
        <w:rPr>
          <w:color w:val="000000" w:themeColor="text1"/>
          <w:sz w:val="24"/>
          <w:szCs w:val="24"/>
        </w:rPr>
        <w:t>21 CFR 314.445 (</w:t>
      </w:r>
      <w:r w:rsidRPr="00412BA3" w:rsidR="00412BA3">
        <w:rPr>
          <w:i/>
          <w:iCs/>
          <w:color w:val="000000" w:themeColor="text1"/>
          <w:sz w:val="24"/>
          <w:szCs w:val="24"/>
        </w:rPr>
        <w:t>Guidance documents</w:t>
      </w:r>
      <w:r w:rsidR="00412BA3">
        <w:rPr>
          <w:color w:val="000000" w:themeColor="text1"/>
          <w:sz w:val="24"/>
          <w:szCs w:val="24"/>
        </w:rPr>
        <w:t>)</w:t>
      </w:r>
      <w:r w:rsidR="00E54154">
        <w:rPr>
          <w:color w:val="000000" w:themeColor="text1"/>
          <w:sz w:val="24"/>
          <w:szCs w:val="24"/>
        </w:rPr>
        <w:t xml:space="preserve">, </w:t>
      </w:r>
      <w:r w:rsidR="009B573B">
        <w:rPr>
          <w:color w:val="000000" w:themeColor="text1"/>
          <w:sz w:val="24"/>
          <w:szCs w:val="24"/>
        </w:rPr>
        <w:t xml:space="preserve">which we discuss in our supporting statement for OMB control number 0910-0001.  We believe the guidance documents are also issued consistent with </w:t>
      </w:r>
      <w:r w:rsidR="00057071">
        <w:rPr>
          <w:color w:val="000000" w:themeColor="text1"/>
          <w:sz w:val="24"/>
          <w:szCs w:val="24"/>
        </w:rPr>
        <w:t xml:space="preserve">our currently authorized Commitment Letter </w:t>
      </w:r>
      <w:r w:rsidR="00E54154">
        <w:rPr>
          <w:color w:val="000000" w:themeColor="text1"/>
          <w:sz w:val="24"/>
          <w:szCs w:val="24"/>
        </w:rPr>
        <w:t xml:space="preserve">and with </w:t>
      </w:r>
      <w:r w:rsidR="00DB1DDE">
        <w:rPr>
          <w:color w:val="000000" w:themeColor="text1"/>
          <w:sz w:val="24"/>
          <w:szCs w:val="24"/>
        </w:rPr>
        <w:t>our Good Guidance Practice regulations in 21 CFR 10.115, which provide for public comment at any time.</w:t>
      </w:r>
      <w:r>
        <w:rPr>
          <w:color w:val="000000" w:themeColor="text1"/>
          <w:sz w:val="24"/>
          <w:szCs w:val="24"/>
        </w:rPr>
        <w:t xml:space="preserve">  </w:t>
      </w:r>
      <w:r w:rsidR="00581043">
        <w:rPr>
          <w:color w:val="000000" w:themeColor="text1"/>
          <w:sz w:val="24"/>
          <w:szCs w:val="24"/>
        </w:rPr>
        <w:t xml:space="preserve">We </w:t>
      </w:r>
      <w:r w:rsidR="00117A25">
        <w:rPr>
          <w:color w:val="000000" w:themeColor="text1"/>
          <w:sz w:val="24"/>
          <w:szCs w:val="24"/>
        </w:rPr>
        <w:t xml:space="preserve">have added </w:t>
      </w:r>
      <w:r w:rsidR="004359CB">
        <w:rPr>
          <w:color w:val="000000" w:themeColor="text1"/>
          <w:sz w:val="24"/>
          <w:szCs w:val="24"/>
        </w:rPr>
        <w:t>the information collection element</w:t>
      </w:r>
      <w:r w:rsidR="00D809E0">
        <w:rPr>
          <w:color w:val="000000" w:themeColor="text1"/>
          <w:sz w:val="24"/>
          <w:szCs w:val="24"/>
        </w:rPr>
        <w:t>, “</w:t>
      </w:r>
      <w:r w:rsidR="006013E3">
        <w:rPr>
          <w:i/>
          <w:iCs/>
          <w:color w:val="000000" w:themeColor="text1"/>
          <w:sz w:val="24"/>
          <w:szCs w:val="24"/>
        </w:rPr>
        <w:t>Submission of C</w:t>
      </w:r>
      <w:r w:rsidRPr="003821F2" w:rsidR="003821F2">
        <w:rPr>
          <w:i/>
          <w:iCs/>
          <w:color w:val="000000" w:themeColor="text1"/>
          <w:sz w:val="24"/>
          <w:szCs w:val="24"/>
        </w:rPr>
        <w:t>ontrolled Correspondence</w:t>
      </w:r>
      <w:r w:rsidR="009B573B">
        <w:rPr>
          <w:i/>
          <w:iCs/>
          <w:color w:val="000000" w:themeColor="text1"/>
          <w:sz w:val="24"/>
          <w:szCs w:val="24"/>
        </w:rPr>
        <w:t>,</w:t>
      </w:r>
      <w:r w:rsidR="003821F2">
        <w:rPr>
          <w:color w:val="000000" w:themeColor="text1"/>
          <w:sz w:val="24"/>
          <w:szCs w:val="24"/>
        </w:rPr>
        <w:t>”</w:t>
      </w:r>
      <w:r w:rsidR="00D809E0">
        <w:rPr>
          <w:color w:val="000000" w:themeColor="text1"/>
          <w:sz w:val="24"/>
          <w:szCs w:val="24"/>
        </w:rPr>
        <w:t xml:space="preserve"> to account for burden that may be attendant to</w:t>
      </w:r>
      <w:r>
        <w:rPr>
          <w:color w:val="000000" w:themeColor="text1"/>
          <w:sz w:val="24"/>
          <w:szCs w:val="24"/>
        </w:rPr>
        <w:t xml:space="preserve"> recommendations found in the respective guidance documents:</w:t>
      </w:r>
    </w:p>
    <w:p w:rsidR="00D05C3A" w:rsidP="00F21E27" w14:paraId="526AAC4E" w14:textId="789920E2">
      <w:pPr>
        <w:contextualSpacing/>
        <w:rPr>
          <w:color w:val="000000" w:themeColor="text1"/>
          <w:sz w:val="24"/>
          <w:szCs w:val="24"/>
        </w:rPr>
      </w:pPr>
    </w:p>
    <w:p w:rsidR="009C046A" w:rsidRPr="00D46D05" w:rsidP="00D46D05" w14:paraId="4C2ECC6F" w14:textId="3FE0B39B">
      <w:pPr>
        <w:pStyle w:val="ListParagraph"/>
        <w:numPr>
          <w:ilvl w:val="0"/>
          <w:numId w:val="3"/>
        </w:numPr>
        <w:rPr>
          <w:color w:val="000000" w:themeColor="text1"/>
          <w:sz w:val="24"/>
          <w:szCs w:val="24"/>
        </w:rPr>
      </w:pPr>
      <w:hyperlink r:id="rId6" w:history="1">
        <w:r w:rsidRPr="00D46D05">
          <w:rPr>
            <w:rStyle w:val="Hyperlink"/>
            <w:sz w:val="24"/>
            <w:szCs w:val="24"/>
          </w:rPr>
          <w:t>Product-Specific Guidance Meetings Between FDA and ANDA Applicants Under GDUFA</w:t>
        </w:r>
      </w:hyperlink>
      <w:r w:rsidRPr="00D46D05" w:rsidR="006342E4">
        <w:rPr>
          <w:color w:val="000000" w:themeColor="text1"/>
          <w:sz w:val="24"/>
          <w:szCs w:val="24"/>
        </w:rPr>
        <w:t xml:space="preserve"> (February 2023)</w:t>
      </w:r>
    </w:p>
    <w:p w:rsidR="009C046A" w:rsidRPr="009C046A" w:rsidP="009C046A" w14:paraId="3A65AE6B" w14:textId="77777777">
      <w:pPr>
        <w:contextualSpacing/>
        <w:rPr>
          <w:color w:val="000000" w:themeColor="text1"/>
          <w:sz w:val="24"/>
          <w:szCs w:val="24"/>
        </w:rPr>
      </w:pPr>
    </w:p>
    <w:p w:rsidR="009C046A" w:rsidRPr="00D46D05" w:rsidP="00D46D05" w14:paraId="69E10E85" w14:textId="7F80899B">
      <w:pPr>
        <w:pStyle w:val="ListParagraph"/>
        <w:numPr>
          <w:ilvl w:val="0"/>
          <w:numId w:val="3"/>
        </w:numPr>
        <w:rPr>
          <w:color w:val="000000" w:themeColor="text1"/>
          <w:sz w:val="24"/>
          <w:szCs w:val="24"/>
        </w:rPr>
      </w:pPr>
      <w:hyperlink r:id="rId7" w:history="1">
        <w:r w:rsidRPr="00D46D05">
          <w:rPr>
            <w:rStyle w:val="Hyperlink"/>
            <w:sz w:val="24"/>
            <w:szCs w:val="24"/>
          </w:rPr>
          <w:t>Controlled Correspondence Related to Generic Drug Development Guidance for Industry:  Draft Guidance for Industry</w:t>
        </w:r>
      </w:hyperlink>
      <w:r w:rsidRPr="00D46D05" w:rsidR="00324B5D">
        <w:rPr>
          <w:color w:val="000000" w:themeColor="text1"/>
          <w:sz w:val="24"/>
          <w:szCs w:val="24"/>
        </w:rPr>
        <w:t xml:space="preserve"> (December 2020)</w:t>
      </w:r>
      <w:r w:rsidRPr="00D46D05">
        <w:rPr>
          <w:color w:val="000000" w:themeColor="text1"/>
          <w:sz w:val="24"/>
          <w:szCs w:val="24"/>
        </w:rPr>
        <w:t xml:space="preserve"> </w:t>
      </w:r>
    </w:p>
    <w:p w:rsidR="009C046A" w:rsidRPr="009C046A" w:rsidP="009C046A" w14:paraId="79F6E160" w14:textId="77777777">
      <w:pPr>
        <w:contextualSpacing/>
        <w:rPr>
          <w:color w:val="000000" w:themeColor="text1"/>
          <w:sz w:val="24"/>
          <w:szCs w:val="24"/>
        </w:rPr>
      </w:pPr>
    </w:p>
    <w:p w:rsidR="009C046A" w:rsidRPr="00D46D05" w:rsidP="00D46D05" w14:paraId="0F3110A5" w14:textId="1FD31287">
      <w:pPr>
        <w:pStyle w:val="ListParagraph"/>
        <w:numPr>
          <w:ilvl w:val="0"/>
          <w:numId w:val="3"/>
        </w:numPr>
        <w:rPr>
          <w:color w:val="000000" w:themeColor="text1"/>
          <w:sz w:val="24"/>
          <w:szCs w:val="24"/>
        </w:rPr>
      </w:pPr>
      <w:hyperlink r:id="rId8" w:history="1">
        <w:r w:rsidRPr="009058F5">
          <w:rPr>
            <w:rStyle w:val="Hyperlink"/>
            <w:sz w:val="24"/>
            <w:szCs w:val="24"/>
          </w:rPr>
          <w:t>Formal Meetings Between FDA and ANDA Applicants of Complex Products Under GDUFA</w:t>
        </w:r>
      </w:hyperlink>
      <w:r w:rsidRPr="00D46D05" w:rsidR="00DC4638">
        <w:rPr>
          <w:color w:val="000000" w:themeColor="text1"/>
          <w:sz w:val="24"/>
          <w:szCs w:val="24"/>
        </w:rPr>
        <w:t xml:space="preserve"> (October 2022)</w:t>
      </w:r>
    </w:p>
    <w:p w:rsidR="009C046A" w:rsidRPr="009C046A" w:rsidP="009C046A" w14:paraId="68584BA7" w14:textId="77777777">
      <w:pPr>
        <w:contextualSpacing/>
        <w:rPr>
          <w:color w:val="000000" w:themeColor="text1"/>
          <w:sz w:val="24"/>
          <w:szCs w:val="24"/>
        </w:rPr>
      </w:pPr>
    </w:p>
    <w:p w:rsidR="009C046A" w:rsidRPr="00D46D05" w:rsidP="00D46D05" w14:paraId="1E5B2AF9" w14:textId="275BAFFE">
      <w:pPr>
        <w:pStyle w:val="ListParagraph"/>
        <w:numPr>
          <w:ilvl w:val="0"/>
          <w:numId w:val="3"/>
        </w:numPr>
        <w:rPr>
          <w:color w:val="000000" w:themeColor="text1"/>
          <w:sz w:val="24"/>
          <w:szCs w:val="24"/>
        </w:rPr>
      </w:pPr>
      <w:hyperlink r:id="rId9" w:history="1">
        <w:r w:rsidRPr="00D46D05">
          <w:rPr>
            <w:rStyle w:val="Hyperlink"/>
            <w:sz w:val="24"/>
            <w:szCs w:val="24"/>
          </w:rPr>
          <w:t>Competitive Generic Therapies Guidance</w:t>
        </w:r>
      </w:hyperlink>
      <w:r w:rsidRPr="00D46D05" w:rsidR="00AC02C3">
        <w:rPr>
          <w:color w:val="000000" w:themeColor="text1"/>
          <w:sz w:val="24"/>
          <w:szCs w:val="24"/>
        </w:rPr>
        <w:t xml:space="preserve"> (October 2022)</w:t>
      </w:r>
    </w:p>
    <w:p w:rsidR="009C046A" w:rsidRPr="009C046A" w:rsidP="009C046A" w14:paraId="2A8C5C1D" w14:textId="77777777">
      <w:pPr>
        <w:contextualSpacing/>
        <w:rPr>
          <w:color w:val="000000" w:themeColor="text1"/>
          <w:sz w:val="24"/>
          <w:szCs w:val="24"/>
        </w:rPr>
      </w:pPr>
    </w:p>
    <w:p w:rsidR="009C046A" w:rsidRPr="00D46D05" w:rsidP="00D46D05" w14:paraId="258F65CE" w14:textId="599529A9">
      <w:pPr>
        <w:pStyle w:val="ListParagraph"/>
        <w:numPr>
          <w:ilvl w:val="0"/>
          <w:numId w:val="3"/>
        </w:numPr>
        <w:rPr>
          <w:color w:val="000000" w:themeColor="text1"/>
          <w:sz w:val="24"/>
          <w:szCs w:val="24"/>
        </w:rPr>
      </w:pPr>
      <w:hyperlink r:id="rId10" w:history="1">
        <w:r w:rsidRPr="00D46D05">
          <w:rPr>
            <w:rStyle w:val="Hyperlink"/>
            <w:sz w:val="24"/>
            <w:szCs w:val="24"/>
          </w:rPr>
          <w:t>Cover Letter Attachments for Controlled Correspondences and ANDA Submissions</w:t>
        </w:r>
      </w:hyperlink>
    </w:p>
    <w:p w:rsidR="009C046A" w:rsidRPr="00D46D05" w:rsidP="00D46D05" w14:paraId="29FF0BDF" w14:textId="1E134471">
      <w:pPr>
        <w:pStyle w:val="ListParagraph"/>
        <w:numPr>
          <w:ilvl w:val="0"/>
          <w:numId w:val="3"/>
        </w:numPr>
        <w:rPr>
          <w:color w:val="000000" w:themeColor="text1"/>
          <w:sz w:val="24"/>
          <w:szCs w:val="24"/>
        </w:rPr>
      </w:pPr>
      <w:r w:rsidRPr="00D46D05">
        <w:rPr>
          <w:color w:val="000000" w:themeColor="text1"/>
          <w:sz w:val="24"/>
          <w:szCs w:val="24"/>
        </w:rPr>
        <w:t>(June 2023)</w:t>
      </w:r>
    </w:p>
    <w:p w:rsidR="00514025" w:rsidP="00F21E27" w14:paraId="643556D3" w14:textId="6D50CA32">
      <w:pPr>
        <w:contextualSpacing/>
        <w:rPr>
          <w:color w:val="000000" w:themeColor="text1"/>
          <w:sz w:val="24"/>
          <w:szCs w:val="24"/>
        </w:rPr>
      </w:pPr>
    </w:p>
    <w:p w:rsidR="00514025" w:rsidRPr="00D46D05" w:rsidP="00D46D05" w14:paraId="4F69CF6F" w14:textId="6BF1602A">
      <w:pPr>
        <w:pStyle w:val="ListParagraph"/>
        <w:numPr>
          <w:ilvl w:val="0"/>
          <w:numId w:val="3"/>
        </w:numPr>
        <w:rPr>
          <w:color w:val="000000" w:themeColor="text1"/>
          <w:sz w:val="24"/>
          <w:szCs w:val="24"/>
        </w:rPr>
      </w:pPr>
      <w:hyperlink r:id="rId11" w:history="1">
        <w:r w:rsidRPr="00D46D05">
          <w:rPr>
            <w:rStyle w:val="Hyperlink"/>
            <w:sz w:val="24"/>
            <w:szCs w:val="24"/>
          </w:rPr>
          <w:t>How to Obtain Covered Product Authorization</w:t>
        </w:r>
      </w:hyperlink>
      <w:r w:rsidRPr="00D46D05">
        <w:rPr>
          <w:color w:val="000000" w:themeColor="text1"/>
          <w:sz w:val="24"/>
          <w:szCs w:val="24"/>
        </w:rPr>
        <w:t xml:space="preserve"> (September 2022)</w:t>
      </w:r>
    </w:p>
    <w:p w:rsidR="009C046A" w:rsidP="00F21E27" w14:paraId="4F98B4B7" w14:textId="3059B4D0">
      <w:pPr>
        <w:contextualSpacing/>
        <w:rPr>
          <w:color w:val="000000" w:themeColor="text1"/>
          <w:sz w:val="24"/>
          <w:szCs w:val="24"/>
        </w:rPr>
      </w:pPr>
    </w:p>
    <w:p w:rsidR="00C65318" w:rsidP="005E1FDC" w14:paraId="6CB3DEFD" w14:textId="5DAA5E6E">
      <w:pPr>
        <w:contextualSpacing/>
        <w:rPr>
          <w:color w:val="000000" w:themeColor="text1"/>
          <w:sz w:val="24"/>
          <w:szCs w:val="24"/>
        </w:rPr>
      </w:pPr>
      <w:r>
        <w:rPr>
          <w:color w:val="000000" w:themeColor="text1"/>
          <w:sz w:val="24"/>
          <w:szCs w:val="24"/>
        </w:rPr>
        <w:t>Specifically we have added 5,000 responses and 25,000 hours annually to reflect the submission of controlled correspondence to FDA.</w:t>
      </w:r>
      <w:r w:rsidR="005E4B8F">
        <w:rPr>
          <w:color w:val="000000" w:themeColor="text1"/>
          <w:sz w:val="24"/>
          <w:szCs w:val="24"/>
        </w:rPr>
        <w:t xml:space="preserve">  Because the information collection recommendations found in the guidance documents are </w:t>
      </w:r>
      <w:r w:rsidR="00274E92">
        <w:rPr>
          <w:color w:val="000000" w:themeColor="text1"/>
          <w:sz w:val="24"/>
          <w:szCs w:val="24"/>
        </w:rPr>
        <w:t xml:space="preserve">currently </w:t>
      </w:r>
      <w:r w:rsidR="005E4B8F">
        <w:rPr>
          <w:color w:val="000000" w:themeColor="text1"/>
          <w:sz w:val="24"/>
          <w:szCs w:val="24"/>
        </w:rPr>
        <w:t xml:space="preserve">utilized to help </w:t>
      </w:r>
      <w:r w:rsidR="00274E92">
        <w:rPr>
          <w:color w:val="000000" w:themeColor="text1"/>
          <w:sz w:val="24"/>
          <w:szCs w:val="24"/>
        </w:rPr>
        <w:t xml:space="preserve">us </w:t>
      </w:r>
      <w:r w:rsidR="005E4B8F">
        <w:rPr>
          <w:color w:val="000000" w:themeColor="text1"/>
          <w:sz w:val="24"/>
          <w:szCs w:val="24"/>
        </w:rPr>
        <w:t>adhere to timeframes for review as committed to in our user fee authority, we request to include them with related activities here.</w:t>
      </w:r>
    </w:p>
    <w:p w:rsidR="000D0350" w:rsidP="005E1FDC" w14:paraId="1C0AF1FF" w14:textId="6AF279CF">
      <w:pPr>
        <w:contextualSpacing/>
        <w:rPr>
          <w:color w:val="000000" w:themeColor="text1"/>
          <w:sz w:val="24"/>
          <w:szCs w:val="24"/>
        </w:rPr>
      </w:pPr>
    </w:p>
    <w:p w:rsidR="000D0350" w:rsidRPr="000D0350" w:rsidP="005E1FDC" w14:paraId="7337E08C" w14:textId="61477D21">
      <w:pPr>
        <w:contextualSpacing/>
        <w:rPr>
          <w:b/>
          <w:bCs/>
          <w:sz w:val="24"/>
          <w:szCs w:val="24"/>
        </w:rPr>
      </w:pPr>
      <w:r w:rsidRPr="000D0350">
        <w:rPr>
          <w:b/>
          <w:bCs/>
          <w:color w:val="000000" w:themeColor="text1"/>
          <w:sz w:val="24"/>
          <w:szCs w:val="24"/>
        </w:rPr>
        <w:t>Submitted:  October 2023</w:t>
      </w:r>
    </w:p>
    <w:p w:rsidR="000D0350" w:rsidP="005E1FDC" w14:paraId="56B6233C" w14:textId="77777777">
      <w:pPr>
        <w:rPr>
          <w:sz w:val="24"/>
          <w:szCs w:val="24"/>
        </w:rPr>
      </w:pPr>
    </w:p>
    <w:sectPr>
      <w:headerReference w:type="default" r:id="rId12"/>
      <w:headerReference w:type="first" r:id="rId13"/>
      <w:endnotePr>
        <w:numFmt w:val="decimal"/>
      </w:endnotePr>
      <w:type w:val="continuous"/>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020" w14:paraId="7E11ABF8" w14:textId="3B67D2C8">
    <w:pPr>
      <w:pStyle w:val="Header"/>
      <w:tabs>
        <w:tab w:val="clear" w:pos="8640"/>
        <w:tab w:val="right" w:pos="9360"/>
      </w:tabs>
      <w:ind w:left="4680"/>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r>
      <w:rPr>
        <w:noProof/>
        <w:sz w:val="24"/>
        <w:szCs w:val="24"/>
      </w:rPr>
      <w:tab/>
      <w:t>FRDTS</w:t>
    </w:r>
    <w:r w:rsidR="00FE18DE">
      <w:rPr>
        <w:noProof/>
        <w:sz w:val="24"/>
        <w:szCs w:val="24"/>
      </w:rPr>
      <w:t xml:space="preserve"> 2022-479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020" w14:paraId="1B0A5A14" w14:textId="6768B16A">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8067B"/>
    <w:multiLevelType w:val="hybridMultilevel"/>
    <w:tmpl w:val="409ACB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A940EC"/>
    <w:multiLevelType w:val="hybridMultilevel"/>
    <w:tmpl w:val="AA7CE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EB2B32"/>
    <w:multiLevelType w:val="hybridMultilevel"/>
    <w:tmpl w:val="B15246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38132533">
    <w:abstractNumId w:val="0"/>
  </w:num>
  <w:num w:numId="2" w16cid:durableId="402996809">
    <w:abstractNumId w:val="2"/>
  </w:num>
  <w:num w:numId="3" w16cid:durableId="390881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0D"/>
    <w:rsid w:val="000023A5"/>
    <w:rsid w:val="0003378F"/>
    <w:rsid w:val="00034A8C"/>
    <w:rsid w:val="00056A02"/>
    <w:rsid w:val="00057071"/>
    <w:rsid w:val="0006030E"/>
    <w:rsid w:val="00091020"/>
    <w:rsid w:val="00091116"/>
    <w:rsid w:val="00094092"/>
    <w:rsid w:val="000C3F3B"/>
    <w:rsid w:val="000D0350"/>
    <w:rsid w:val="00117A25"/>
    <w:rsid w:val="00131DD2"/>
    <w:rsid w:val="00144D9B"/>
    <w:rsid w:val="00174216"/>
    <w:rsid w:val="0018071E"/>
    <w:rsid w:val="00185DBD"/>
    <w:rsid w:val="001A0471"/>
    <w:rsid w:val="001C47BF"/>
    <w:rsid w:val="001F2BCF"/>
    <w:rsid w:val="001F4DEE"/>
    <w:rsid w:val="00206521"/>
    <w:rsid w:val="00224110"/>
    <w:rsid w:val="00264CFB"/>
    <w:rsid w:val="00274E92"/>
    <w:rsid w:val="00276E42"/>
    <w:rsid w:val="002A14C2"/>
    <w:rsid w:val="002A6200"/>
    <w:rsid w:val="002A6EDE"/>
    <w:rsid w:val="002B0601"/>
    <w:rsid w:val="002B0EC5"/>
    <w:rsid w:val="002E2F59"/>
    <w:rsid w:val="002F13E1"/>
    <w:rsid w:val="002F76C2"/>
    <w:rsid w:val="00302381"/>
    <w:rsid w:val="0030404A"/>
    <w:rsid w:val="003071E3"/>
    <w:rsid w:val="00324B5D"/>
    <w:rsid w:val="00325041"/>
    <w:rsid w:val="003635C8"/>
    <w:rsid w:val="00370422"/>
    <w:rsid w:val="003821F2"/>
    <w:rsid w:val="003B1D9E"/>
    <w:rsid w:val="003D70B1"/>
    <w:rsid w:val="00412BA3"/>
    <w:rsid w:val="004359CB"/>
    <w:rsid w:val="0045719B"/>
    <w:rsid w:val="004A49B3"/>
    <w:rsid w:val="004B411B"/>
    <w:rsid w:val="004F5320"/>
    <w:rsid w:val="00514025"/>
    <w:rsid w:val="00523CD1"/>
    <w:rsid w:val="00533F41"/>
    <w:rsid w:val="00534A52"/>
    <w:rsid w:val="005435EF"/>
    <w:rsid w:val="0054467B"/>
    <w:rsid w:val="00575188"/>
    <w:rsid w:val="00577887"/>
    <w:rsid w:val="00581043"/>
    <w:rsid w:val="0058455A"/>
    <w:rsid w:val="005E1FDC"/>
    <w:rsid w:val="005E4B8F"/>
    <w:rsid w:val="006013E3"/>
    <w:rsid w:val="00625182"/>
    <w:rsid w:val="006342E4"/>
    <w:rsid w:val="00662537"/>
    <w:rsid w:val="006B300D"/>
    <w:rsid w:val="006D5477"/>
    <w:rsid w:val="00735598"/>
    <w:rsid w:val="007465E8"/>
    <w:rsid w:val="007766F5"/>
    <w:rsid w:val="00791519"/>
    <w:rsid w:val="00793C4E"/>
    <w:rsid w:val="007942E0"/>
    <w:rsid w:val="007B09D7"/>
    <w:rsid w:val="007D439D"/>
    <w:rsid w:val="007E67DE"/>
    <w:rsid w:val="007F55F5"/>
    <w:rsid w:val="008053FE"/>
    <w:rsid w:val="00814890"/>
    <w:rsid w:val="00824FDA"/>
    <w:rsid w:val="00861DE7"/>
    <w:rsid w:val="00881ED7"/>
    <w:rsid w:val="00884AA0"/>
    <w:rsid w:val="008B6C25"/>
    <w:rsid w:val="008C02D1"/>
    <w:rsid w:val="008C75D5"/>
    <w:rsid w:val="008D1A01"/>
    <w:rsid w:val="009058F5"/>
    <w:rsid w:val="009935D5"/>
    <w:rsid w:val="009A0B80"/>
    <w:rsid w:val="009B573B"/>
    <w:rsid w:val="009C046A"/>
    <w:rsid w:val="009C329E"/>
    <w:rsid w:val="009E43E4"/>
    <w:rsid w:val="009E56F0"/>
    <w:rsid w:val="00A07D87"/>
    <w:rsid w:val="00A12011"/>
    <w:rsid w:val="00A75AE5"/>
    <w:rsid w:val="00A77E0C"/>
    <w:rsid w:val="00AC02C3"/>
    <w:rsid w:val="00AC49CF"/>
    <w:rsid w:val="00AE093C"/>
    <w:rsid w:val="00AF30B6"/>
    <w:rsid w:val="00B1292A"/>
    <w:rsid w:val="00B42957"/>
    <w:rsid w:val="00BA1D42"/>
    <w:rsid w:val="00BA2579"/>
    <w:rsid w:val="00BA290A"/>
    <w:rsid w:val="00BA5D36"/>
    <w:rsid w:val="00BB38F4"/>
    <w:rsid w:val="00BC36EE"/>
    <w:rsid w:val="00BD45FE"/>
    <w:rsid w:val="00C026E7"/>
    <w:rsid w:val="00C17302"/>
    <w:rsid w:val="00C2044D"/>
    <w:rsid w:val="00C23868"/>
    <w:rsid w:val="00C65318"/>
    <w:rsid w:val="00C956B6"/>
    <w:rsid w:val="00CC24D8"/>
    <w:rsid w:val="00CF7880"/>
    <w:rsid w:val="00D05C3A"/>
    <w:rsid w:val="00D46D05"/>
    <w:rsid w:val="00D71D16"/>
    <w:rsid w:val="00D726D1"/>
    <w:rsid w:val="00D809E0"/>
    <w:rsid w:val="00DA11F4"/>
    <w:rsid w:val="00DA4299"/>
    <w:rsid w:val="00DB1DDE"/>
    <w:rsid w:val="00DC4638"/>
    <w:rsid w:val="00DE1DAF"/>
    <w:rsid w:val="00E306CB"/>
    <w:rsid w:val="00E47920"/>
    <w:rsid w:val="00E54154"/>
    <w:rsid w:val="00EA23C8"/>
    <w:rsid w:val="00EA505F"/>
    <w:rsid w:val="00EC2BFA"/>
    <w:rsid w:val="00EC3445"/>
    <w:rsid w:val="00EC3B29"/>
    <w:rsid w:val="00ED1012"/>
    <w:rsid w:val="00EE2650"/>
    <w:rsid w:val="00F11AE2"/>
    <w:rsid w:val="00F17174"/>
    <w:rsid w:val="00F21E27"/>
    <w:rsid w:val="00F24B1D"/>
    <w:rsid w:val="00F3067F"/>
    <w:rsid w:val="00F62938"/>
    <w:rsid w:val="00F729F8"/>
    <w:rsid w:val="00F77B77"/>
    <w:rsid w:val="00F857BD"/>
    <w:rsid w:val="00FB2F55"/>
    <w:rsid w:val="00FB5E46"/>
    <w:rsid w:val="00FC740D"/>
    <w:rsid w:val="00FD18E7"/>
    <w:rsid w:val="00FD1CFB"/>
    <w:rsid w:val="00FD3EFA"/>
    <w:rsid w:val="00FE18DE"/>
    <w:rsid w:val="00FE6DDD"/>
    <w:rsid w:val="00FF31AA"/>
    <w:rsid w:val="036AA305"/>
    <w:rsid w:val="1F8A3E08"/>
    <w:rsid w:val="20AE3027"/>
    <w:rsid w:val="5D15D48E"/>
    <w:rsid w:val="6B09EAB8"/>
    <w:rsid w:val="7DAE5B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48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jc w:val="center"/>
      <w:outlineLvl w:val="0"/>
    </w:pPr>
    <w:rPr>
      <w:rFonts w:ascii="Courier" w:hAnsi="Courier"/>
      <w:sz w:val="24"/>
    </w:rPr>
  </w:style>
  <w:style w:type="paragraph" w:styleId="Heading2">
    <w:name w:val="heading 2"/>
    <w:basedOn w:val="Normal"/>
    <w:next w:val="Normal"/>
    <w:qFormat/>
    <w:pPr>
      <w:keepNext/>
      <w:spacing w:line="480" w:lineRule="auto"/>
      <w:outlineLvl w:val="1"/>
    </w:pPr>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link w:val="Header"/>
    <w:uiPriority w:val="99"/>
  </w:style>
  <w:style w:type="character" w:styleId="UnresolvedMention">
    <w:name w:val="Unresolved Mention"/>
    <w:basedOn w:val="DefaultParagraphFont"/>
    <w:uiPriority w:val="99"/>
    <w:semiHidden/>
    <w:unhideWhenUsed/>
    <w:rsid w:val="003B1D9E"/>
    <w:rPr>
      <w:color w:val="605E5C"/>
      <w:shd w:val="clear" w:color="auto" w:fill="E1DFDD"/>
    </w:rPr>
  </w:style>
  <w:style w:type="paragraph" w:styleId="ListParagraph">
    <w:name w:val="List Paragraph"/>
    <w:basedOn w:val="Normal"/>
    <w:uiPriority w:val="34"/>
    <w:qFormat/>
    <w:rsid w:val="00D4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regulatory-information/search-fda-guidance-documents/cover-letter-attachments-controlled-correspondences-and-anda-submissions" TargetMode="External" /><Relationship Id="rId11" Type="http://schemas.openxmlformats.org/officeDocument/2006/relationships/hyperlink" Target="https://www.fda.gov/regulatory-information/search-fda-guidance-documents/how-obtain-covered-product-authorizatio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fda-user-fee-programs/generic-drug-user-fee-amendments" TargetMode="External" /><Relationship Id="rId6" Type="http://schemas.openxmlformats.org/officeDocument/2006/relationships/hyperlink" Target="https://www.fda.gov/regulatory-information/search-fda-guidance-documents/product-specific-guidance-meetings-between-fda-and-anda-applicants-under-gdufa" TargetMode="External" /><Relationship Id="rId7" Type="http://schemas.openxmlformats.org/officeDocument/2006/relationships/hyperlink" Target="https://fda-my.sharepoint.com/personal/dhc_fda_gov/Documents/Documents/Controlled%20Correspondence%20Related%20to%20Generic%20Drug%20Development%20Guidance%20for%20Industry:%20%20Draft%20Guidance%20for%20Industry" TargetMode="External" /><Relationship Id="rId8" Type="http://schemas.openxmlformats.org/officeDocument/2006/relationships/hyperlink" Target="https://www.fda.gov/regulatory-information/search-fda-guidance-documents/formal-meetings-between-fda-and-anda-applicants-complex-products-under-gdufa-guidance-industry" TargetMode="External" /><Relationship Id="rId9" Type="http://schemas.openxmlformats.org/officeDocument/2006/relationships/hyperlink" Target="https://www.fda.gov/regulatory-information/search-fda-guidance-documents/competitive-generic-therap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485C-F670-4FE1-AF22-740A9876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2023-10-24T14:43:00Z</dcterms:created>
  <dcterms:modified xsi:type="dcterms:W3CDTF">2023-10-24T14:43:00Z</dcterms:modified>
</cp:coreProperties>
</file>