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E3597" w:rsidRPr="00EE3597" w:rsidP="00EE3597" w14:paraId="30598EAA" w14:textId="77777777">
      <w:pPr>
        <w:spacing w:after="150" w:line="240" w:lineRule="auto"/>
        <w:jc w:val="center"/>
        <w:outlineLvl w:val="0"/>
        <w:rPr>
          <w:rFonts w:ascii="inherit" w:eastAsia="Times New Roman" w:hAnsi="inherit" w:cs="Helvetica"/>
          <w:color w:val="333333"/>
          <w:kern w:val="36"/>
          <w:sz w:val="24"/>
          <w:szCs w:val="24"/>
          <w:lang w:val="en"/>
        </w:rPr>
      </w:pPr>
      <w:r>
        <w:rPr>
          <w:rFonts w:ascii="inherit" w:eastAsia="Times New Roman" w:hAnsi="inherit" w:cs="Helvetica"/>
          <w:color w:val="333333"/>
          <w:kern w:val="36"/>
          <w:sz w:val="24"/>
          <w:szCs w:val="24"/>
          <w:lang w:val="en"/>
        </w:rPr>
        <w:t>Attachment 1</w:t>
      </w:r>
      <w:r w:rsidRPr="00EE3597">
        <w:rPr>
          <w:rFonts w:ascii="inherit" w:eastAsia="Times New Roman" w:hAnsi="inherit" w:cs="Helvetica"/>
          <w:color w:val="333333"/>
          <w:kern w:val="36"/>
          <w:sz w:val="24"/>
          <w:szCs w:val="24"/>
          <w:lang w:val="en"/>
        </w:rPr>
        <w:t>: Authorizing Legislation</w:t>
      </w:r>
    </w:p>
    <w:p w:rsidR="00EE3597" w:rsidP="00EE3597" w14:paraId="76C2DDFB" w14:textId="77777777">
      <w:pPr>
        <w:spacing w:after="150" w:line="240" w:lineRule="auto"/>
        <w:outlineLvl w:val="0"/>
        <w:rPr>
          <w:rFonts w:ascii="inherit" w:eastAsia="Times New Roman" w:hAnsi="inherit" w:cs="Helvetica"/>
          <w:color w:val="333333"/>
          <w:kern w:val="36"/>
          <w:sz w:val="54"/>
          <w:szCs w:val="54"/>
          <w:lang w:val="en"/>
        </w:rPr>
      </w:pPr>
    </w:p>
    <w:p w:rsidR="00EE3597" w:rsidRPr="00EE3597" w:rsidP="00EE3597" w14:paraId="2CCAD84D" w14:textId="77777777">
      <w:pPr>
        <w:spacing w:after="150" w:line="240" w:lineRule="auto"/>
        <w:outlineLvl w:val="0"/>
        <w:rPr>
          <w:rFonts w:ascii="inherit" w:eastAsia="Times New Roman" w:hAnsi="inherit" w:cs="Helvetica"/>
          <w:color w:val="333333"/>
          <w:kern w:val="36"/>
          <w:sz w:val="54"/>
          <w:szCs w:val="54"/>
          <w:lang w:val="en"/>
        </w:rPr>
      </w:pPr>
      <w:r w:rsidRPr="00EE3597">
        <w:rPr>
          <w:rFonts w:ascii="inherit" w:eastAsia="Times New Roman" w:hAnsi="inherit" w:cs="Helvetica"/>
          <w:color w:val="333333"/>
          <w:kern w:val="36"/>
          <w:sz w:val="54"/>
          <w:szCs w:val="54"/>
          <w:lang w:val="en"/>
        </w:rPr>
        <w:t xml:space="preserve">45 CFR § 75.342 - Monitoring and reporting program performance. </w:t>
      </w:r>
    </w:p>
    <w:p w:rsidR="00EE3597" w:rsidRPr="00EE3597" w:rsidP="00EE3597" w14:paraId="7CD8CE06" w14:textId="77777777">
      <w:pPr>
        <w:numPr>
          <w:ilvl w:val="0"/>
          <w:numId w:val="1"/>
        </w:numPr>
        <w:spacing w:before="100" w:beforeAutospacing="1" w:after="100" w:afterAutospacing="1" w:line="240" w:lineRule="auto"/>
        <w:ind w:left="495"/>
        <w:rPr>
          <w:rFonts w:ascii="Helvetica" w:eastAsia="Times New Roman" w:hAnsi="Helvetica" w:cs="Helvetica"/>
          <w:color w:val="333333"/>
          <w:sz w:val="21"/>
          <w:szCs w:val="21"/>
          <w:lang w:val="en"/>
        </w:rPr>
      </w:pPr>
      <w:hyperlink r:id="rId4" w:anchor="tab_default_1" w:history="1">
        <w:r w:rsidRPr="00EE3597">
          <w:rPr>
            <w:rFonts w:ascii="Helvetica" w:eastAsia="Times New Roman" w:hAnsi="Helvetica" w:cs="Helvetica"/>
            <w:color w:val="337AB7"/>
            <w:sz w:val="21"/>
            <w:szCs w:val="21"/>
            <w:u w:val="single"/>
            <w:lang w:val="en"/>
          </w:rPr>
          <w:t xml:space="preserve">CFR </w:t>
        </w:r>
      </w:hyperlink>
    </w:p>
    <w:p w:rsidR="00EE3597" w:rsidRPr="00EE3597" w:rsidP="00EE3597" w14:paraId="2464A408" w14:textId="77777777">
      <w:pPr>
        <w:numPr>
          <w:ilvl w:val="0"/>
          <w:numId w:val="1"/>
        </w:numPr>
        <w:spacing w:before="100" w:beforeAutospacing="1" w:after="100" w:afterAutospacing="1" w:line="240" w:lineRule="auto"/>
        <w:ind w:left="495"/>
        <w:rPr>
          <w:rFonts w:ascii="Helvetica" w:eastAsia="Times New Roman" w:hAnsi="Helvetica" w:cs="Helvetica"/>
          <w:color w:val="333333"/>
          <w:sz w:val="21"/>
          <w:szCs w:val="21"/>
          <w:lang w:val="en"/>
        </w:rPr>
      </w:pPr>
    </w:p>
    <w:p w:rsidR="00EE3597" w:rsidRPr="00EE3597" w:rsidP="00EE3597" w14:paraId="43F59774" w14:textId="77777777">
      <w:pPr>
        <w:numPr>
          <w:ilvl w:val="0"/>
          <w:numId w:val="1"/>
        </w:numPr>
        <w:spacing w:before="100" w:beforeAutospacing="1" w:after="100" w:afterAutospacing="1" w:line="240" w:lineRule="auto"/>
        <w:ind w:left="495"/>
        <w:rPr>
          <w:rFonts w:ascii="Helvetica" w:eastAsia="Times New Roman" w:hAnsi="Helvetica" w:cs="Helvetica"/>
          <w:color w:val="333333"/>
          <w:sz w:val="21"/>
          <w:szCs w:val="21"/>
          <w:lang w:val="en"/>
        </w:rPr>
      </w:pPr>
    </w:p>
    <w:p w:rsidR="00EE3597" w:rsidRPr="00EE3597" w:rsidP="00EE3597" w14:paraId="3FC02118" w14:textId="77777777">
      <w:pPr>
        <w:numPr>
          <w:ilvl w:val="0"/>
          <w:numId w:val="1"/>
        </w:numPr>
        <w:spacing w:before="100" w:beforeAutospacing="1" w:after="100" w:afterAutospacing="1" w:line="240" w:lineRule="auto"/>
        <w:ind w:left="495"/>
        <w:rPr>
          <w:rFonts w:ascii="Helvetica" w:eastAsia="Times New Roman" w:hAnsi="Helvetica" w:cs="Helvetica"/>
          <w:color w:val="333333"/>
          <w:sz w:val="21"/>
          <w:szCs w:val="21"/>
          <w:lang w:val="en"/>
        </w:rPr>
      </w:pPr>
    </w:p>
    <w:p w:rsidR="00EE3597" w:rsidRPr="00EE3597" w:rsidP="00EE3597" w14:paraId="48C27B65" w14:textId="77777777">
      <w:pPr>
        <w:spacing w:after="0" w:line="240" w:lineRule="auto"/>
        <w:jc w:val="right"/>
        <w:rPr>
          <w:rFonts w:ascii="Helvetica" w:eastAsia="Times New Roman" w:hAnsi="Helvetica" w:cs="Helvetica"/>
          <w:color w:val="333333"/>
          <w:sz w:val="21"/>
          <w:szCs w:val="21"/>
          <w:lang w:val="en"/>
        </w:rPr>
      </w:pPr>
      <w:hyperlink r:id="rId5" w:history="1">
        <w:r w:rsidRPr="00EE3597">
          <w:rPr>
            <w:rFonts w:ascii="Helvetica" w:eastAsia="Times New Roman" w:hAnsi="Helvetica" w:cs="Helvetica"/>
            <w:color w:val="337AB7"/>
            <w:sz w:val="21"/>
            <w:szCs w:val="21"/>
            <w:u w:val="single"/>
            <w:lang w:val="en"/>
          </w:rPr>
          <w:t>prev</w:t>
        </w:r>
      </w:hyperlink>
      <w:r w:rsidRPr="00EE3597">
        <w:rPr>
          <w:rFonts w:ascii="Helvetica" w:eastAsia="Times New Roman" w:hAnsi="Helvetica" w:cs="Helvetica"/>
          <w:color w:val="333333"/>
          <w:sz w:val="21"/>
          <w:szCs w:val="21"/>
          <w:lang w:val="en"/>
        </w:rPr>
        <w:t xml:space="preserve"> | </w:t>
      </w:r>
      <w:hyperlink r:id="rId6" w:history="1">
        <w:r w:rsidRPr="00EE3597">
          <w:rPr>
            <w:rFonts w:ascii="Helvetica" w:eastAsia="Times New Roman" w:hAnsi="Helvetica" w:cs="Helvetica"/>
            <w:color w:val="337AB7"/>
            <w:sz w:val="21"/>
            <w:szCs w:val="21"/>
            <w:u w:val="single"/>
            <w:lang w:val="en"/>
          </w:rPr>
          <w:t>next</w:t>
        </w:r>
      </w:hyperlink>
      <w:r w:rsidRPr="00EE3597">
        <w:rPr>
          <w:rFonts w:ascii="Helvetica" w:eastAsia="Times New Roman" w:hAnsi="Helvetica" w:cs="Helvetica"/>
          <w:color w:val="333333"/>
          <w:sz w:val="21"/>
          <w:szCs w:val="21"/>
          <w:lang w:val="en"/>
        </w:rPr>
        <w:t xml:space="preserve"> </w:t>
      </w:r>
    </w:p>
    <w:p w:rsidR="00EE3597" w:rsidRPr="00EE3597" w:rsidP="00EE3597" w14:paraId="6804BE2F" w14:textId="77777777">
      <w:pPr>
        <w:spacing w:after="0" w:line="240" w:lineRule="auto"/>
        <w:rPr>
          <w:rFonts w:ascii="Helvetica" w:eastAsia="Times New Roman" w:hAnsi="Helvetica" w:cs="Helvetica"/>
          <w:b/>
          <w:bCs/>
          <w:color w:val="333333"/>
          <w:sz w:val="25"/>
          <w:szCs w:val="25"/>
          <w:lang w:val="en"/>
        </w:rPr>
      </w:pPr>
      <w:r w:rsidRPr="00EE3597">
        <w:rPr>
          <w:rFonts w:ascii="Helvetica" w:eastAsia="Times New Roman" w:hAnsi="Helvetica" w:cs="Helvetica"/>
          <w:b/>
          <w:bCs/>
          <w:color w:val="333333"/>
          <w:sz w:val="25"/>
          <w:szCs w:val="25"/>
          <w:lang w:val="en"/>
        </w:rPr>
        <w:t>§ 75.342 Monitoring and reporting program performance.</w:t>
      </w:r>
    </w:p>
    <w:p w:rsidR="00EE3597" w:rsidRPr="00EE3597" w:rsidP="00EE3597" w14:paraId="190111E1" w14:textId="77777777">
      <w:pPr>
        <w:spacing w:before="150" w:after="150" w:line="240" w:lineRule="auto"/>
        <w:rPr>
          <w:rFonts w:ascii="Helvetica" w:eastAsia="Times New Roman" w:hAnsi="Helvetica" w:cs="Helvetica"/>
          <w:color w:val="333333"/>
          <w:sz w:val="21"/>
          <w:szCs w:val="21"/>
          <w:lang w:val="en"/>
        </w:rPr>
      </w:pPr>
      <w:r w:rsidRPr="00EE3597">
        <w:rPr>
          <w:rFonts w:ascii="Helvetica" w:eastAsia="Times New Roman" w:hAnsi="Helvetica" w:cs="Helvetica"/>
          <w:b/>
          <w:bCs/>
          <w:color w:val="333333"/>
          <w:sz w:val="21"/>
          <w:szCs w:val="21"/>
          <w:lang w:val="en"/>
        </w:rPr>
        <w:t>(a)</w:t>
      </w:r>
      <w:r w:rsidRPr="00EE3597">
        <w:rPr>
          <w:rFonts w:ascii="Helvetica" w:eastAsia="Times New Roman" w:hAnsi="Helvetica" w:cs="Helvetica"/>
          <w:i/>
          <w:iCs/>
          <w:color w:val="333333"/>
          <w:sz w:val="21"/>
          <w:szCs w:val="21"/>
          <w:lang w:val="en"/>
        </w:rPr>
        <w:t>Monitoring by the non-Federal entity.</w:t>
      </w:r>
      <w:r w:rsidRPr="00EE3597">
        <w:rPr>
          <w:rFonts w:ascii="Helvetica" w:eastAsia="Times New Roman" w:hAnsi="Helvetica" w:cs="Helvetica"/>
          <w:color w:val="333333"/>
          <w:sz w:val="21"/>
          <w:szCs w:val="21"/>
          <w:lang w:val="en"/>
        </w:rPr>
        <w:t xml:space="preserve"> The </w:t>
      </w:r>
      <w:hyperlink w:history="1">
        <w:r w:rsidRPr="00EE3597">
          <w:rPr>
            <w:rFonts w:ascii="Helvetica" w:eastAsia="Times New Roman" w:hAnsi="Helvetica" w:cs="Helvetica"/>
            <w:color w:val="337AB7"/>
            <w:sz w:val="21"/>
            <w:szCs w:val="21"/>
            <w:u w:val="single"/>
            <w:lang w:val="en"/>
          </w:rPr>
          <w:t>non-Federal entity</w:t>
        </w:r>
      </w:hyperlink>
      <w:r w:rsidRPr="00EE3597">
        <w:rPr>
          <w:rFonts w:ascii="Helvetica" w:eastAsia="Times New Roman" w:hAnsi="Helvetica" w:cs="Helvetica"/>
          <w:color w:val="333333"/>
          <w:sz w:val="21"/>
          <w:szCs w:val="21"/>
          <w:lang w:val="en"/>
        </w:rPr>
        <w:t xml:space="preserve"> is responsible for oversight of the operations of the </w:t>
      </w:r>
      <w:hyperlink w:history="1">
        <w:r w:rsidRPr="00EE3597">
          <w:rPr>
            <w:rFonts w:ascii="Helvetica" w:eastAsia="Times New Roman" w:hAnsi="Helvetica" w:cs="Helvetica"/>
            <w:color w:val="337AB7"/>
            <w:sz w:val="21"/>
            <w:szCs w:val="21"/>
            <w:u w:val="single"/>
            <w:lang w:val="en"/>
          </w:rPr>
          <w:t>Federal award</w:t>
        </w:r>
      </w:hyperlink>
      <w:r w:rsidRPr="00EE3597">
        <w:rPr>
          <w:rFonts w:ascii="Helvetica" w:eastAsia="Times New Roman" w:hAnsi="Helvetica" w:cs="Helvetica"/>
          <w:color w:val="333333"/>
          <w:sz w:val="21"/>
          <w:szCs w:val="21"/>
          <w:lang w:val="en"/>
        </w:rPr>
        <w:t xml:space="preserve"> supported activities. The </w:t>
      </w:r>
      <w:hyperlink w:history="1">
        <w:r w:rsidRPr="00EE3597">
          <w:rPr>
            <w:rFonts w:ascii="Helvetica" w:eastAsia="Times New Roman" w:hAnsi="Helvetica" w:cs="Helvetica"/>
            <w:color w:val="337AB7"/>
            <w:sz w:val="21"/>
            <w:szCs w:val="21"/>
            <w:u w:val="single"/>
            <w:lang w:val="en"/>
          </w:rPr>
          <w:t>non-Federal entity</w:t>
        </w:r>
      </w:hyperlink>
      <w:r w:rsidRPr="00EE3597">
        <w:rPr>
          <w:rFonts w:ascii="Helvetica" w:eastAsia="Times New Roman" w:hAnsi="Helvetica" w:cs="Helvetica"/>
          <w:color w:val="333333"/>
          <w:sz w:val="21"/>
          <w:szCs w:val="21"/>
          <w:lang w:val="en"/>
        </w:rPr>
        <w:t xml:space="preserve"> must monitor its activities under </w:t>
      </w:r>
      <w:hyperlink w:history="1">
        <w:r w:rsidRPr="00EE3597">
          <w:rPr>
            <w:rFonts w:ascii="Helvetica" w:eastAsia="Times New Roman" w:hAnsi="Helvetica" w:cs="Helvetica"/>
            <w:color w:val="337AB7"/>
            <w:sz w:val="21"/>
            <w:szCs w:val="21"/>
            <w:u w:val="single"/>
            <w:lang w:val="en"/>
          </w:rPr>
          <w:t>Federal awards</w:t>
        </w:r>
      </w:hyperlink>
      <w:r w:rsidRPr="00EE3597">
        <w:rPr>
          <w:rFonts w:ascii="Helvetica" w:eastAsia="Times New Roman" w:hAnsi="Helvetica" w:cs="Helvetica"/>
          <w:color w:val="333333"/>
          <w:sz w:val="21"/>
          <w:szCs w:val="21"/>
          <w:lang w:val="en"/>
        </w:rPr>
        <w:t xml:space="preserve"> to assure compliance with applicable Federal requirements and performance expectations are being achieved. Monitoring by the </w:t>
      </w:r>
      <w:hyperlink w:history="1">
        <w:r w:rsidRPr="00EE3597">
          <w:rPr>
            <w:rFonts w:ascii="Helvetica" w:eastAsia="Times New Roman" w:hAnsi="Helvetica" w:cs="Helvetica"/>
            <w:color w:val="337AB7"/>
            <w:sz w:val="21"/>
            <w:szCs w:val="21"/>
            <w:u w:val="single"/>
            <w:lang w:val="en"/>
          </w:rPr>
          <w:t>non-Federal entity</w:t>
        </w:r>
      </w:hyperlink>
      <w:r w:rsidRPr="00EE3597">
        <w:rPr>
          <w:rFonts w:ascii="Helvetica" w:eastAsia="Times New Roman" w:hAnsi="Helvetica" w:cs="Helvetica"/>
          <w:color w:val="333333"/>
          <w:sz w:val="21"/>
          <w:szCs w:val="21"/>
          <w:lang w:val="en"/>
        </w:rPr>
        <w:t xml:space="preserve"> must cover each program, function or activity. See also </w:t>
      </w:r>
      <w:hyperlink r:id="rId7" w:history="1">
        <w:r w:rsidRPr="00EE3597">
          <w:rPr>
            <w:rFonts w:ascii="Helvetica" w:eastAsia="Times New Roman" w:hAnsi="Helvetica" w:cs="Helvetica"/>
            <w:color w:val="337AB7"/>
            <w:sz w:val="21"/>
            <w:szCs w:val="21"/>
            <w:u w:val="single"/>
            <w:lang w:val="en"/>
          </w:rPr>
          <w:t>§ 75.352</w:t>
        </w:r>
      </w:hyperlink>
      <w:r w:rsidRPr="00EE3597">
        <w:rPr>
          <w:rFonts w:ascii="Helvetica" w:eastAsia="Times New Roman" w:hAnsi="Helvetica" w:cs="Helvetica"/>
          <w:color w:val="333333"/>
          <w:sz w:val="21"/>
          <w:szCs w:val="21"/>
          <w:lang w:val="en"/>
        </w:rPr>
        <w:t xml:space="preserve">. </w:t>
      </w:r>
    </w:p>
    <w:p w:rsidR="00EE3597" w:rsidRPr="00EE3597" w:rsidP="00EE3597" w14:paraId="5917A16E" w14:textId="77777777">
      <w:pPr>
        <w:spacing w:before="150" w:after="150" w:line="240" w:lineRule="auto"/>
        <w:rPr>
          <w:rFonts w:ascii="Helvetica" w:eastAsia="Times New Roman" w:hAnsi="Helvetica" w:cs="Helvetica"/>
          <w:color w:val="333333"/>
          <w:sz w:val="21"/>
          <w:szCs w:val="21"/>
          <w:lang w:val="en"/>
        </w:rPr>
      </w:pPr>
      <w:r w:rsidRPr="00EE3597">
        <w:rPr>
          <w:rFonts w:ascii="Helvetica" w:eastAsia="Times New Roman" w:hAnsi="Helvetica" w:cs="Helvetica"/>
          <w:b/>
          <w:bCs/>
          <w:color w:val="333333"/>
          <w:sz w:val="21"/>
          <w:szCs w:val="21"/>
          <w:lang w:val="en"/>
        </w:rPr>
        <w:t>(b)</w:t>
      </w:r>
      <w:r w:rsidRPr="00EE3597">
        <w:rPr>
          <w:rFonts w:ascii="Helvetica" w:eastAsia="Times New Roman" w:hAnsi="Helvetica" w:cs="Helvetica"/>
          <w:i/>
          <w:iCs/>
          <w:color w:val="333333"/>
          <w:sz w:val="21"/>
          <w:szCs w:val="21"/>
          <w:lang w:val="en"/>
        </w:rPr>
        <w:t>Non-construction performance reports.</w:t>
      </w:r>
      <w:r w:rsidRPr="00EE3597">
        <w:rPr>
          <w:rFonts w:ascii="Helvetica" w:eastAsia="Times New Roman" w:hAnsi="Helvetica" w:cs="Helvetica"/>
          <w:color w:val="333333"/>
          <w:sz w:val="21"/>
          <w:szCs w:val="21"/>
          <w:lang w:val="en"/>
        </w:rPr>
        <w:t xml:space="preserve"> The </w:t>
      </w:r>
      <w:hyperlink w:history="1">
        <w:r w:rsidRPr="00EE3597">
          <w:rPr>
            <w:rFonts w:ascii="Helvetica" w:eastAsia="Times New Roman" w:hAnsi="Helvetica" w:cs="Helvetica"/>
            <w:color w:val="337AB7"/>
            <w:sz w:val="21"/>
            <w:szCs w:val="21"/>
            <w:u w:val="single"/>
            <w:lang w:val="en"/>
          </w:rPr>
          <w:t>HHS awarding agency</w:t>
        </w:r>
      </w:hyperlink>
      <w:r w:rsidRPr="00EE3597">
        <w:rPr>
          <w:rFonts w:ascii="Helvetica" w:eastAsia="Times New Roman" w:hAnsi="Helvetica" w:cs="Helvetica"/>
          <w:color w:val="333333"/>
          <w:sz w:val="21"/>
          <w:szCs w:val="21"/>
          <w:lang w:val="en"/>
        </w:rPr>
        <w:t xml:space="preserve"> must use standard, OMB-approved data elements for collection of performance information (including performance progress reports, </w:t>
      </w:r>
      <w:hyperlink w:history="1">
        <w:r w:rsidRPr="00EE3597">
          <w:rPr>
            <w:rFonts w:ascii="Helvetica" w:eastAsia="Times New Roman" w:hAnsi="Helvetica" w:cs="Helvetica"/>
            <w:color w:val="337AB7"/>
            <w:sz w:val="21"/>
            <w:szCs w:val="21"/>
            <w:u w:val="single"/>
            <w:lang w:val="en"/>
          </w:rPr>
          <w:t>Research</w:t>
        </w:r>
      </w:hyperlink>
      <w:r w:rsidRPr="00EE3597">
        <w:rPr>
          <w:rFonts w:ascii="Helvetica" w:eastAsia="Times New Roman" w:hAnsi="Helvetica" w:cs="Helvetica"/>
          <w:color w:val="333333"/>
          <w:sz w:val="21"/>
          <w:szCs w:val="21"/>
          <w:lang w:val="en"/>
        </w:rPr>
        <w:t xml:space="preserve"> Performance Progress Report, or such future collections as may be approved by OMB and listed on the OMB Web site). </w:t>
      </w:r>
    </w:p>
    <w:p w:rsidR="00EE3597" w:rsidRPr="00EE3597" w:rsidP="00EE3597" w14:paraId="7A98D7BE" w14:textId="77777777">
      <w:pPr>
        <w:spacing w:after="150" w:line="240" w:lineRule="auto"/>
        <w:ind w:left="15"/>
        <w:rPr>
          <w:rFonts w:ascii="Helvetica" w:eastAsia="Times New Roman" w:hAnsi="Helvetica" w:cs="Helvetica"/>
          <w:color w:val="333333"/>
          <w:sz w:val="21"/>
          <w:szCs w:val="21"/>
          <w:lang w:val="en"/>
        </w:rPr>
      </w:pPr>
      <w:r w:rsidRPr="00EE3597">
        <w:rPr>
          <w:rFonts w:ascii="Helvetica" w:eastAsia="Times New Roman" w:hAnsi="Helvetica" w:cs="Helvetica"/>
          <w:b/>
          <w:bCs/>
          <w:color w:val="333333"/>
          <w:sz w:val="21"/>
          <w:szCs w:val="21"/>
          <w:lang w:val="en"/>
        </w:rPr>
        <w:t>(1)</w:t>
      </w:r>
      <w:r w:rsidRPr="00EE3597">
        <w:rPr>
          <w:rFonts w:ascii="Helvetica" w:eastAsia="Times New Roman" w:hAnsi="Helvetica" w:cs="Helvetica"/>
          <w:color w:val="333333"/>
          <w:sz w:val="21"/>
          <w:szCs w:val="21"/>
          <w:lang w:val="en"/>
        </w:rPr>
        <w:t xml:space="preserve"> The </w:t>
      </w:r>
      <w:hyperlink w:history="1">
        <w:r w:rsidRPr="00EE3597">
          <w:rPr>
            <w:rFonts w:ascii="Helvetica" w:eastAsia="Times New Roman" w:hAnsi="Helvetica" w:cs="Helvetica"/>
            <w:color w:val="337AB7"/>
            <w:sz w:val="21"/>
            <w:szCs w:val="21"/>
            <w:u w:val="single"/>
            <w:lang w:val="en"/>
          </w:rPr>
          <w:t>non-Federal entity</w:t>
        </w:r>
      </w:hyperlink>
      <w:r w:rsidRPr="00EE3597">
        <w:rPr>
          <w:rFonts w:ascii="Helvetica" w:eastAsia="Times New Roman" w:hAnsi="Helvetica" w:cs="Helvetica"/>
          <w:color w:val="333333"/>
          <w:sz w:val="21"/>
          <w:szCs w:val="21"/>
          <w:lang w:val="en"/>
        </w:rPr>
        <w:t xml:space="preserve"> must submit performance reports at the interval required by the </w:t>
      </w:r>
      <w:hyperlink w:history="1">
        <w:r w:rsidRPr="00EE3597">
          <w:rPr>
            <w:rFonts w:ascii="Helvetica" w:eastAsia="Times New Roman" w:hAnsi="Helvetica" w:cs="Helvetica"/>
            <w:color w:val="337AB7"/>
            <w:sz w:val="21"/>
            <w:szCs w:val="21"/>
            <w:u w:val="single"/>
            <w:lang w:val="en"/>
          </w:rPr>
          <w:t>HHS awarding agency</w:t>
        </w:r>
      </w:hyperlink>
      <w:r w:rsidRPr="00EE3597">
        <w:rPr>
          <w:rFonts w:ascii="Helvetica" w:eastAsia="Times New Roman" w:hAnsi="Helvetica" w:cs="Helvetica"/>
          <w:color w:val="333333"/>
          <w:sz w:val="21"/>
          <w:szCs w:val="21"/>
          <w:lang w:val="en"/>
        </w:rPr>
        <w:t xml:space="preserve"> or </w:t>
      </w:r>
      <w:hyperlink w:history="1">
        <w:r w:rsidRPr="00EE3597">
          <w:rPr>
            <w:rFonts w:ascii="Helvetica" w:eastAsia="Times New Roman" w:hAnsi="Helvetica" w:cs="Helvetica"/>
            <w:color w:val="337AB7"/>
            <w:sz w:val="21"/>
            <w:szCs w:val="21"/>
            <w:u w:val="single"/>
            <w:lang w:val="en"/>
          </w:rPr>
          <w:t>pass-through entity</w:t>
        </w:r>
      </w:hyperlink>
      <w:r w:rsidRPr="00EE3597">
        <w:rPr>
          <w:rFonts w:ascii="Helvetica" w:eastAsia="Times New Roman" w:hAnsi="Helvetica" w:cs="Helvetica"/>
          <w:color w:val="333333"/>
          <w:sz w:val="21"/>
          <w:szCs w:val="21"/>
          <w:lang w:val="en"/>
        </w:rPr>
        <w:t xml:space="preserve"> to best inform improvements in program outcomes and productivity. Intervals must be no less frequent than annually nor more frequent than quarterly except in unusual circumstances, for example where more frequent reporting is necessary for the effective monitoring of the </w:t>
      </w:r>
      <w:hyperlink w:history="1">
        <w:r w:rsidRPr="00EE3597">
          <w:rPr>
            <w:rFonts w:ascii="Helvetica" w:eastAsia="Times New Roman" w:hAnsi="Helvetica" w:cs="Helvetica"/>
            <w:color w:val="337AB7"/>
            <w:sz w:val="21"/>
            <w:szCs w:val="21"/>
            <w:u w:val="single"/>
            <w:lang w:val="en"/>
          </w:rPr>
          <w:t>Federal award</w:t>
        </w:r>
      </w:hyperlink>
      <w:r w:rsidRPr="00EE3597">
        <w:rPr>
          <w:rFonts w:ascii="Helvetica" w:eastAsia="Times New Roman" w:hAnsi="Helvetica" w:cs="Helvetica"/>
          <w:color w:val="333333"/>
          <w:sz w:val="21"/>
          <w:szCs w:val="21"/>
          <w:lang w:val="en"/>
        </w:rPr>
        <w:t xml:space="preserve"> or could significantly affect program outcomes. Annual reports must be due 90 calendar days after the reporting period; quarterly or semiannual reports must be due 30 calendar days after the reporting period. Alternatively, the </w:t>
      </w:r>
      <w:hyperlink w:history="1">
        <w:r w:rsidRPr="00EE3597">
          <w:rPr>
            <w:rFonts w:ascii="Helvetica" w:eastAsia="Times New Roman" w:hAnsi="Helvetica" w:cs="Helvetica"/>
            <w:color w:val="337AB7"/>
            <w:sz w:val="21"/>
            <w:szCs w:val="21"/>
            <w:u w:val="single"/>
            <w:lang w:val="en"/>
          </w:rPr>
          <w:t>HHS awarding agency</w:t>
        </w:r>
      </w:hyperlink>
      <w:r w:rsidRPr="00EE3597">
        <w:rPr>
          <w:rFonts w:ascii="Helvetica" w:eastAsia="Times New Roman" w:hAnsi="Helvetica" w:cs="Helvetica"/>
          <w:color w:val="333333"/>
          <w:sz w:val="21"/>
          <w:szCs w:val="21"/>
          <w:lang w:val="en"/>
        </w:rPr>
        <w:t xml:space="preserve"> or </w:t>
      </w:r>
      <w:hyperlink w:history="1">
        <w:r w:rsidRPr="00EE3597">
          <w:rPr>
            <w:rFonts w:ascii="Helvetica" w:eastAsia="Times New Roman" w:hAnsi="Helvetica" w:cs="Helvetica"/>
            <w:color w:val="337AB7"/>
            <w:sz w:val="21"/>
            <w:szCs w:val="21"/>
            <w:u w:val="single"/>
            <w:lang w:val="en"/>
          </w:rPr>
          <w:t>pass-through entity</w:t>
        </w:r>
      </w:hyperlink>
      <w:r w:rsidRPr="00EE3597">
        <w:rPr>
          <w:rFonts w:ascii="Helvetica" w:eastAsia="Times New Roman" w:hAnsi="Helvetica" w:cs="Helvetica"/>
          <w:color w:val="333333"/>
          <w:sz w:val="21"/>
          <w:szCs w:val="21"/>
          <w:lang w:val="en"/>
        </w:rPr>
        <w:t xml:space="preserve"> may require annual reports before the anniversary dates of multiple year Federal awards. The final performance report will be due 90 calendar days after the </w:t>
      </w:r>
      <w:hyperlink w:history="1">
        <w:r w:rsidRPr="00EE3597">
          <w:rPr>
            <w:rFonts w:ascii="Helvetica" w:eastAsia="Times New Roman" w:hAnsi="Helvetica" w:cs="Helvetica"/>
            <w:color w:val="337AB7"/>
            <w:sz w:val="21"/>
            <w:szCs w:val="21"/>
            <w:u w:val="single"/>
            <w:lang w:val="en"/>
          </w:rPr>
          <w:t>period of performance</w:t>
        </w:r>
      </w:hyperlink>
      <w:r w:rsidRPr="00EE3597">
        <w:rPr>
          <w:rFonts w:ascii="Helvetica" w:eastAsia="Times New Roman" w:hAnsi="Helvetica" w:cs="Helvetica"/>
          <w:color w:val="333333"/>
          <w:sz w:val="21"/>
          <w:szCs w:val="21"/>
          <w:lang w:val="en"/>
        </w:rPr>
        <w:t xml:space="preserve"> end date. If a justified request is submitted by a </w:t>
      </w:r>
      <w:hyperlink w:history="1">
        <w:r w:rsidRPr="00EE3597">
          <w:rPr>
            <w:rFonts w:ascii="Helvetica" w:eastAsia="Times New Roman" w:hAnsi="Helvetica" w:cs="Helvetica"/>
            <w:color w:val="337AB7"/>
            <w:sz w:val="21"/>
            <w:szCs w:val="21"/>
            <w:u w:val="single"/>
            <w:lang w:val="en"/>
          </w:rPr>
          <w:t>non-Federal entity</w:t>
        </w:r>
      </w:hyperlink>
      <w:r w:rsidRPr="00EE3597">
        <w:rPr>
          <w:rFonts w:ascii="Helvetica" w:eastAsia="Times New Roman" w:hAnsi="Helvetica" w:cs="Helvetica"/>
          <w:color w:val="333333"/>
          <w:sz w:val="21"/>
          <w:szCs w:val="21"/>
          <w:lang w:val="en"/>
        </w:rPr>
        <w:t xml:space="preserve">, the </w:t>
      </w:r>
      <w:hyperlink w:history="1">
        <w:r w:rsidRPr="00EE3597">
          <w:rPr>
            <w:rFonts w:ascii="Helvetica" w:eastAsia="Times New Roman" w:hAnsi="Helvetica" w:cs="Helvetica"/>
            <w:color w:val="337AB7"/>
            <w:sz w:val="21"/>
            <w:szCs w:val="21"/>
            <w:u w:val="single"/>
            <w:lang w:val="en"/>
          </w:rPr>
          <w:t>HHS awarding agency</w:t>
        </w:r>
      </w:hyperlink>
      <w:r w:rsidRPr="00EE3597">
        <w:rPr>
          <w:rFonts w:ascii="Helvetica" w:eastAsia="Times New Roman" w:hAnsi="Helvetica" w:cs="Helvetica"/>
          <w:color w:val="333333"/>
          <w:sz w:val="21"/>
          <w:szCs w:val="21"/>
          <w:lang w:val="en"/>
        </w:rPr>
        <w:t xml:space="preserve"> may extend the due date for any performance report. </w:t>
      </w:r>
    </w:p>
    <w:p w:rsidR="00EE3597" w:rsidRPr="00EE3597" w:rsidP="00EE3597" w14:paraId="54998B9C" w14:textId="77777777">
      <w:pPr>
        <w:spacing w:after="150" w:line="240" w:lineRule="auto"/>
        <w:ind w:left="15"/>
        <w:rPr>
          <w:rFonts w:ascii="Helvetica" w:eastAsia="Times New Roman" w:hAnsi="Helvetica" w:cs="Helvetica"/>
          <w:color w:val="333333"/>
          <w:sz w:val="21"/>
          <w:szCs w:val="21"/>
          <w:lang w:val="en"/>
        </w:rPr>
      </w:pPr>
      <w:r w:rsidRPr="00EE3597">
        <w:rPr>
          <w:rFonts w:ascii="Helvetica" w:eastAsia="Times New Roman" w:hAnsi="Helvetica" w:cs="Helvetica"/>
          <w:b/>
          <w:bCs/>
          <w:color w:val="333333"/>
          <w:sz w:val="21"/>
          <w:szCs w:val="21"/>
          <w:lang w:val="en"/>
        </w:rPr>
        <w:t>(2)</w:t>
      </w:r>
      <w:r w:rsidRPr="00EE3597">
        <w:rPr>
          <w:rFonts w:ascii="Helvetica" w:eastAsia="Times New Roman" w:hAnsi="Helvetica" w:cs="Helvetica"/>
          <w:color w:val="333333"/>
          <w:sz w:val="21"/>
          <w:szCs w:val="21"/>
          <w:lang w:val="en"/>
        </w:rPr>
        <w:t xml:space="preserve"> The </w:t>
      </w:r>
      <w:hyperlink w:history="1">
        <w:r w:rsidRPr="00EE3597">
          <w:rPr>
            <w:rFonts w:ascii="Helvetica" w:eastAsia="Times New Roman" w:hAnsi="Helvetica" w:cs="Helvetica"/>
            <w:color w:val="337AB7"/>
            <w:sz w:val="21"/>
            <w:szCs w:val="21"/>
            <w:u w:val="single"/>
            <w:lang w:val="en"/>
          </w:rPr>
          <w:t>non-Federal entity</w:t>
        </w:r>
      </w:hyperlink>
      <w:r w:rsidRPr="00EE3597">
        <w:rPr>
          <w:rFonts w:ascii="Helvetica" w:eastAsia="Times New Roman" w:hAnsi="Helvetica" w:cs="Helvetica"/>
          <w:color w:val="333333"/>
          <w:sz w:val="21"/>
          <w:szCs w:val="21"/>
          <w:lang w:val="en"/>
        </w:rPr>
        <w:t xml:space="preserve"> must submit performance reports using OMB-approved government-wide standard information collections when providing performance information. As appropriate in accordance with the above-mentioned information collections, these reports will contain, for each </w:t>
      </w:r>
      <w:hyperlink w:history="1">
        <w:r w:rsidRPr="00EE3597">
          <w:rPr>
            <w:rFonts w:ascii="Helvetica" w:eastAsia="Times New Roman" w:hAnsi="Helvetica" w:cs="Helvetica"/>
            <w:color w:val="337AB7"/>
            <w:sz w:val="21"/>
            <w:szCs w:val="21"/>
            <w:u w:val="single"/>
            <w:lang w:val="en"/>
          </w:rPr>
          <w:t>Federal award</w:t>
        </w:r>
      </w:hyperlink>
      <w:r w:rsidRPr="00EE3597">
        <w:rPr>
          <w:rFonts w:ascii="Helvetica" w:eastAsia="Times New Roman" w:hAnsi="Helvetica" w:cs="Helvetica"/>
          <w:color w:val="333333"/>
          <w:sz w:val="21"/>
          <w:szCs w:val="21"/>
          <w:lang w:val="en"/>
        </w:rPr>
        <w:t xml:space="preserve">, brief information on the following unless other collections are approved by OMB: </w:t>
      </w:r>
    </w:p>
    <w:p w:rsidR="00EE3597" w:rsidRPr="00EE3597" w:rsidP="00EE3597" w14:paraId="218DB59E" w14:textId="77777777">
      <w:pPr>
        <w:spacing w:after="150" w:line="240" w:lineRule="auto"/>
        <w:ind w:left="255"/>
        <w:rPr>
          <w:rFonts w:ascii="Helvetica" w:eastAsia="Times New Roman" w:hAnsi="Helvetica" w:cs="Helvetica"/>
          <w:color w:val="333333"/>
          <w:sz w:val="21"/>
          <w:szCs w:val="21"/>
          <w:lang w:val="en"/>
        </w:rPr>
      </w:pPr>
      <w:r w:rsidRPr="00EE3597">
        <w:rPr>
          <w:rFonts w:ascii="Helvetica" w:eastAsia="Times New Roman" w:hAnsi="Helvetica" w:cs="Helvetica"/>
          <w:b/>
          <w:bCs/>
          <w:color w:val="333333"/>
          <w:sz w:val="21"/>
          <w:szCs w:val="21"/>
          <w:lang w:val="en"/>
        </w:rPr>
        <w:t>(i)</w:t>
      </w:r>
      <w:r w:rsidRPr="00EE3597">
        <w:rPr>
          <w:rFonts w:ascii="Helvetica" w:eastAsia="Times New Roman" w:hAnsi="Helvetica" w:cs="Helvetica"/>
          <w:color w:val="333333"/>
          <w:sz w:val="21"/>
          <w:szCs w:val="21"/>
          <w:lang w:val="en"/>
        </w:rPr>
        <w:t xml:space="preserve"> A comparison of actual accomplishments to the objectives of the </w:t>
      </w:r>
      <w:hyperlink w:history="1">
        <w:r w:rsidRPr="00EE3597">
          <w:rPr>
            <w:rFonts w:ascii="Helvetica" w:eastAsia="Times New Roman" w:hAnsi="Helvetica" w:cs="Helvetica"/>
            <w:color w:val="337AB7"/>
            <w:sz w:val="21"/>
            <w:szCs w:val="21"/>
            <w:u w:val="single"/>
            <w:lang w:val="en"/>
          </w:rPr>
          <w:t>Federal award</w:t>
        </w:r>
      </w:hyperlink>
      <w:r w:rsidRPr="00EE3597">
        <w:rPr>
          <w:rFonts w:ascii="Helvetica" w:eastAsia="Times New Roman" w:hAnsi="Helvetica" w:cs="Helvetica"/>
          <w:color w:val="333333"/>
          <w:sz w:val="21"/>
          <w:szCs w:val="21"/>
          <w:lang w:val="en"/>
        </w:rPr>
        <w:t xml:space="preserve"> established for the period. Where the accomplishments of the </w:t>
      </w:r>
      <w:hyperlink w:history="1">
        <w:r w:rsidRPr="00EE3597">
          <w:rPr>
            <w:rFonts w:ascii="Helvetica" w:eastAsia="Times New Roman" w:hAnsi="Helvetica" w:cs="Helvetica"/>
            <w:color w:val="337AB7"/>
            <w:sz w:val="21"/>
            <w:szCs w:val="21"/>
            <w:u w:val="single"/>
            <w:lang w:val="en"/>
          </w:rPr>
          <w:t>Federal award</w:t>
        </w:r>
      </w:hyperlink>
      <w:r w:rsidRPr="00EE3597">
        <w:rPr>
          <w:rFonts w:ascii="Helvetica" w:eastAsia="Times New Roman" w:hAnsi="Helvetica" w:cs="Helvetica"/>
          <w:color w:val="333333"/>
          <w:sz w:val="21"/>
          <w:szCs w:val="21"/>
          <w:lang w:val="en"/>
        </w:rPr>
        <w:t xml:space="preserve"> can be quantified, a computation of the cost (for example, related to units of accomplishment) may be required if that information will be useful. Where performance trend data and analysis would be informative to the </w:t>
      </w:r>
      <w:hyperlink w:history="1">
        <w:r w:rsidRPr="00EE3597">
          <w:rPr>
            <w:rFonts w:ascii="Helvetica" w:eastAsia="Times New Roman" w:hAnsi="Helvetica" w:cs="Helvetica"/>
            <w:color w:val="337AB7"/>
            <w:sz w:val="21"/>
            <w:szCs w:val="21"/>
            <w:u w:val="single"/>
            <w:lang w:val="en"/>
          </w:rPr>
          <w:t>HHS awarding agency</w:t>
        </w:r>
      </w:hyperlink>
      <w:r w:rsidRPr="00EE3597">
        <w:rPr>
          <w:rFonts w:ascii="Helvetica" w:eastAsia="Times New Roman" w:hAnsi="Helvetica" w:cs="Helvetica"/>
          <w:color w:val="333333"/>
          <w:sz w:val="21"/>
          <w:szCs w:val="21"/>
          <w:lang w:val="en"/>
        </w:rPr>
        <w:t xml:space="preserve"> program, the </w:t>
      </w:r>
      <w:hyperlink w:history="1">
        <w:r w:rsidRPr="00EE3597">
          <w:rPr>
            <w:rFonts w:ascii="Helvetica" w:eastAsia="Times New Roman" w:hAnsi="Helvetica" w:cs="Helvetica"/>
            <w:color w:val="337AB7"/>
            <w:sz w:val="21"/>
            <w:szCs w:val="21"/>
            <w:u w:val="single"/>
            <w:lang w:val="en"/>
          </w:rPr>
          <w:t>HHS awarding agency</w:t>
        </w:r>
      </w:hyperlink>
      <w:r w:rsidRPr="00EE3597">
        <w:rPr>
          <w:rFonts w:ascii="Helvetica" w:eastAsia="Times New Roman" w:hAnsi="Helvetica" w:cs="Helvetica"/>
          <w:color w:val="333333"/>
          <w:sz w:val="21"/>
          <w:szCs w:val="21"/>
          <w:lang w:val="en"/>
        </w:rPr>
        <w:t xml:space="preserve"> should include this as a performance reporting requirement. </w:t>
      </w:r>
    </w:p>
    <w:p w:rsidR="00EE3597" w:rsidRPr="00EE3597" w:rsidP="00EE3597" w14:paraId="547D2EFC" w14:textId="77777777">
      <w:pPr>
        <w:spacing w:after="150" w:line="240" w:lineRule="auto"/>
        <w:ind w:left="255"/>
        <w:rPr>
          <w:rFonts w:ascii="Helvetica" w:eastAsia="Times New Roman" w:hAnsi="Helvetica" w:cs="Helvetica"/>
          <w:color w:val="333333"/>
          <w:sz w:val="21"/>
          <w:szCs w:val="21"/>
          <w:lang w:val="en"/>
        </w:rPr>
      </w:pPr>
      <w:r w:rsidRPr="00EE3597">
        <w:rPr>
          <w:rFonts w:ascii="Helvetica" w:eastAsia="Times New Roman" w:hAnsi="Helvetica" w:cs="Helvetica"/>
          <w:b/>
          <w:bCs/>
          <w:color w:val="333333"/>
          <w:sz w:val="21"/>
          <w:szCs w:val="21"/>
          <w:lang w:val="en"/>
        </w:rPr>
        <w:t>(ii)</w:t>
      </w:r>
      <w:r w:rsidRPr="00EE3597">
        <w:rPr>
          <w:rFonts w:ascii="Helvetica" w:eastAsia="Times New Roman" w:hAnsi="Helvetica" w:cs="Helvetica"/>
          <w:color w:val="333333"/>
          <w:sz w:val="21"/>
          <w:szCs w:val="21"/>
          <w:lang w:val="en"/>
        </w:rPr>
        <w:t xml:space="preserve"> The reasons why established goals were not met, if appropriate. </w:t>
      </w:r>
    </w:p>
    <w:p w:rsidR="00EE3597" w:rsidRPr="00EE3597" w:rsidP="00EE3597" w14:paraId="6180696A" w14:textId="77777777">
      <w:pPr>
        <w:spacing w:after="150" w:line="240" w:lineRule="auto"/>
        <w:ind w:left="255"/>
        <w:rPr>
          <w:rFonts w:ascii="Helvetica" w:eastAsia="Times New Roman" w:hAnsi="Helvetica" w:cs="Helvetica"/>
          <w:color w:val="333333"/>
          <w:sz w:val="21"/>
          <w:szCs w:val="21"/>
          <w:lang w:val="en"/>
        </w:rPr>
      </w:pPr>
      <w:r w:rsidRPr="00EE3597">
        <w:rPr>
          <w:rFonts w:ascii="Helvetica" w:eastAsia="Times New Roman" w:hAnsi="Helvetica" w:cs="Helvetica"/>
          <w:b/>
          <w:bCs/>
          <w:color w:val="333333"/>
          <w:sz w:val="21"/>
          <w:szCs w:val="21"/>
          <w:lang w:val="en"/>
        </w:rPr>
        <w:t>(iii)</w:t>
      </w:r>
      <w:r w:rsidRPr="00EE3597">
        <w:rPr>
          <w:rFonts w:ascii="Helvetica" w:eastAsia="Times New Roman" w:hAnsi="Helvetica" w:cs="Helvetica"/>
          <w:color w:val="333333"/>
          <w:sz w:val="21"/>
          <w:szCs w:val="21"/>
          <w:lang w:val="en"/>
        </w:rPr>
        <w:t xml:space="preserve"> Additional pertinent information including, when appropriate, analysis and explanation of cost overruns or high unit costs. </w:t>
      </w:r>
    </w:p>
    <w:p w:rsidR="00EE3597" w:rsidRPr="00EE3597" w:rsidP="00EE3597" w14:paraId="1658E89E" w14:textId="77777777">
      <w:pPr>
        <w:spacing w:before="150" w:after="150" w:line="240" w:lineRule="auto"/>
        <w:rPr>
          <w:rFonts w:ascii="Helvetica" w:eastAsia="Times New Roman" w:hAnsi="Helvetica" w:cs="Helvetica"/>
          <w:color w:val="333333"/>
          <w:sz w:val="21"/>
          <w:szCs w:val="21"/>
          <w:lang w:val="en"/>
        </w:rPr>
      </w:pPr>
      <w:r w:rsidRPr="00EE3597">
        <w:rPr>
          <w:rFonts w:ascii="Helvetica" w:eastAsia="Times New Roman" w:hAnsi="Helvetica" w:cs="Helvetica"/>
          <w:b/>
          <w:bCs/>
          <w:color w:val="333333"/>
          <w:sz w:val="21"/>
          <w:szCs w:val="21"/>
          <w:lang w:val="en"/>
        </w:rPr>
        <w:t>(c)</w:t>
      </w:r>
      <w:r w:rsidRPr="00EE3597">
        <w:rPr>
          <w:rFonts w:ascii="Helvetica" w:eastAsia="Times New Roman" w:hAnsi="Helvetica" w:cs="Helvetica"/>
          <w:i/>
          <w:iCs/>
          <w:color w:val="333333"/>
          <w:sz w:val="21"/>
          <w:szCs w:val="21"/>
          <w:lang w:val="en"/>
        </w:rPr>
        <w:t>Construction performance reports.</w:t>
      </w:r>
      <w:r w:rsidRPr="00EE3597">
        <w:rPr>
          <w:rFonts w:ascii="Helvetica" w:eastAsia="Times New Roman" w:hAnsi="Helvetica" w:cs="Helvetica"/>
          <w:color w:val="333333"/>
          <w:sz w:val="21"/>
          <w:szCs w:val="21"/>
          <w:lang w:val="en"/>
        </w:rPr>
        <w:t xml:space="preserve"> For the most part, onsite technical inspections and certified percentage of completion data are relied on heavily by HHS awarding agencies and pass-through entities to monitor progress under </w:t>
      </w:r>
      <w:hyperlink w:history="1">
        <w:r w:rsidRPr="00EE3597">
          <w:rPr>
            <w:rFonts w:ascii="Helvetica" w:eastAsia="Times New Roman" w:hAnsi="Helvetica" w:cs="Helvetica"/>
            <w:color w:val="337AB7"/>
            <w:sz w:val="21"/>
            <w:szCs w:val="21"/>
            <w:u w:val="single"/>
            <w:lang w:val="en"/>
          </w:rPr>
          <w:t>Federal awards</w:t>
        </w:r>
      </w:hyperlink>
      <w:r w:rsidRPr="00EE3597">
        <w:rPr>
          <w:rFonts w:ascii="Helvetica" w:eastAsia="Times New Roman" w:hAnsi="Helvetica" w:cs="Helvetica"/>
          <w:color w:val="333333"/>
          <w:sz w:val="21"/>
          <w:szCs w:val="21"/>
          <w:lang w:val="en"/>
        </w:rPr>
        <w:t xml:space="preserve"> and </w:t>
      </w:r>
      <w:hyperlink w:history="1">
        <w:r w:rsidRPr="00EE3597">
          <w:rPr>
            <w:rFonts w:ascii="Helvetica" w:eastAsia="Times New Roman" w:hAnsi="Helvetica" w:cs="Helvetica"/>
            <w:color w:val="337AB7"/>
            <w:sz w:val="21"/>
            <w:szCs w:val="21"/>
            <w:u w:val="single"/>
            <w:lang w:val="en"/>
          </w:rPr>
          <w:t>subawards</w:t>
        </w:r>
      </w:hyperlink>
      <w:r w:rsidRPr="00EE3597">
        <w:rPr>
          <w:rFonts w:ascii="Helvetica" w:eastAsia="Times New Roman" w:hAnsi="Helvetica" w:cs="Helvetica"/>
          <w:color w:val="333333"/>
          <w:sz w:val="21"/>
          <w:szCs w:val="21"/>
          <w:lang w:val="en"/>
        </w:rPr>
        <w:t xml:space="preserve"> for construction. The </w:t>
      </w:r>
      <w:hyperlink w:history="1">
        <w:r w:rsidRPr="00EE3597">
          <w:rPr>
            <w:rFonts w:ascii="Helvetica" w:eastAsia="Times New Roman" w:hAnsi="Helvetica" w:cs="Helvetica"/>
            <w:color w:val="337AB7"/>
            <w:sz w:val="21"/>
            <w:szCs w:val="21"/>
            <w:u w:val="single"/>
            <w:lang w:val="en"/>
          </w:rPr>
          <w:t>HHS awarding agency</w:t>
        </w:r>
      </w:hyperlink>
      <w:r w:rsidRPr="00EE3597">
        <w:rPr>
          <w:rFonts w:ascii="Helvetica" w:eastAsia="Times New Roman" w:hAnsi="Helvetica" w:cs="Helvetica"/>
          <w:color w:val="333333"/>
          <w:sz w:val="21"/>
          <w:szCs w:val="21"/>
          <w:lang w:val="en"/>
        </w:rPr>
        <w:t xml:space="preserve"> may require additional performance reports only when considered necessary. </w:t>
      </w:r>
    </w:p>
    <w:p w:rsidR="00EE3597" w:rsidRPr="00EE3597" w:rsidP="00EE3597" w14:paraId="6BE0B875" w14:textId="77777777">
      <w:pPr>
        <w:spacing w:before="150" w:after="150" w:line="240" w:lineRule="auto"/>
        <w:rPr>
          <w:rFonts w:ascii="Helvetica" w:eastAsia="Times New Roman" w:hAnsi="Helvetica" w:cs="Helvetica"/>
          <w:color w:val="333333"/>
          <w:sz w:val="21"/>
          <w:szCs w:val="21"/>
          <w:lang w:val="en"/>
        </w:rPr>
      </w:pPr>
      <w:r w:rsidRPr="00EE3597">
        <w:rPr>
          <w:rFonts w:ascii="Helvetica" w:eastAsia="Times New Roman" w:hAnsi="Helvetica" w:cs="Helvetica"/>
          <w:b/>
          <w:bCs/>
          <w:color w:val="333333"/>
          <w:sz w:val="21"/>
          <w:szCs w:val="21"/>
          <w:lang w:val="en"/>
        </w:rPr>
        <w:t>(d)</w:t>
      </w:r>
      <w:r w:rsidRPr="00EE3597">
        <w:rPr>
          <w:rFonts w:ascii="Helvetica" w:eastAsia="Times New Roman" w:hAnsi="Helvetica" w:cs="Helvetica"/>
          <w:i/>
          <w:iCs/>
          <w:color w:val="333333"/>
          <w:sz w:val="21"/>
          <w:szCs w:val="21"/>
          <w:lang w:val="en"/>
        </w:rPr>
        <w:t>Significant developments.</w:t>
      </w:r>
      <w:r w:rsidRPr="00EE3597">
        <w:rPr>
          <w:rFonts w:ascii="Helvetica" w:eastAsia="Times New Roman" w:hAnsi="Helvetica" w:cs="Helvetica"/>
          <w:color w:val="333333"/>
          <w:sz w:val="21"/>
          <w:szCs w:val="21"/>
          <w:lang w:val="en"/>
        </w:rPr>
        <w:t xml:space="preserve"> Events may occur between the scheduled performance reporting dates that have significant impact upon the supported activity. In such cases, the </w:t>
      </w:r>
      <w:hyperlink w:history="1">
        <w:r w:rsidRPr="00EE3597">
          <w:rPr>
            <w:rFonts w:ascii="Helvetica" w:eastAsia="Times New Roman" w:hAnsi="Helvetica" w:cs="Helvetica"/>
            <w:color w:val="337AB7"/>
            <w:sz w:val="21"/>
            <w:szCs w:val="21"/>
            <w:u w:val="single"/>
            <w:lang w:val="en"/>
          </w:rPr>
          <w:t>non-Federal entity</w:t>
        </w:r>
      </w:hyperlink>
      <w:r w:rsidRPr="00EE3597">
        <w:rPr>
          <w:rFonts w:ascii="Helvetica" w:eastAsia="Times New Roman" w:hAnsi="Helvetica" w:cs="Helvetica"/>
          <w:color w:val="333333"/>
          <w:sz w:val="21"/>
          <w:szCs w:val="21"/>
          <w:lang w:val="en"/>
        </w:rPr>
        <w:t xml:space="preserve"> must inform the </w:t>
      </w:r>
      <w:hyperlink w:history="1">
        <w:r w:rsidRPr="00EE3597">
          <w:rPr>
            <w:rFonts w:ascii="Helvetica" w:eastAsia="Times New Roman" w:hAnsi="Helvetica" w:cs="Helvetica"/>
            <w:color w:val="337AB7"/>
            <w:sz w:val="21"/>
            <w:szCs w:val="21"/>
            <w:u w:val="single"/>
            <w:lang w:val="en"/>
          </w:rPr>
          <w:t>HHS awarding agency</w:t>
        </w:r>
      </w:hyperlink>
      <w:r w:rsidRPr="00EE3597">
        <w:rPr>
          <w:rFonts w:ascii="Helvetica" w:eastAsia="Times New Roman" w:hAnsi="Helvetica" w:cs="Helvetica"/>
          <w:color w:val="333333"/>
          <w:sz w:val="21"/>
          <w:szCs w:val="21"/>
          <w:lang w:val="en"/>
        </w:rPr>
        <w:t xml:space="preserve"> or </w:t>
      </w:r>
      <w:hyperlink w:history="1">
        <w:r w:rsidRPr="00EE3597">
          <w:rPr>
            <w:rFonts w:ascii="Helvetica" w:eastAsia="Times New Roman" w:hAnsi="Helvetica" w:cs="Helvetica"/>
            <w:color w:val="337AB7"/>
            <w:sz w:val="21"/>
            <w:szCs w:val="21"/>
            <w:u w:val="single"/>
            <w:lang w:val="en"/>
          </w:rPr>
          <w:t>pass-through entity</w:t>
        </w:r>
      </w:hyperlink>
      <w:r w:rsidRPr="00EE3597">
        <w:rPr>
          <w:rFonts w:ascii="Helvetica" w:eastAsia="Times New Roman" w:hAnsi="Helvetica" w:cs="Helvetica"/>
          <w:color w:val="333333"/>
          <w:sz w:val="21"/>
          <w:szCs w:val="21"/>
          <w:lang w:val="en"/>
        </w:rPr>
        <w:t xml:space="preserve"> as soon as the following types of conditions become known: </w:t>
      </w:r>
    </w:p>
    <w:p w:rsidR="00EE3597" w:rsidRPr="00EE3597" w:rsidP="00EE3597" w14:paraId="27115026" w14:textId="77777777">
      <w:pPr>
        <w:spacing w:after="150" w:line="240" w:lineRule="auto"/>
        <w:ind w:left="15"/>
        <w:rPr>
          <w:rFonts w:ascii="Helvetica" w:eastAsia="Times New Roman" w:hAnsi="Helvetica" w:cs="Helvetica"/>
          <w:color w:val="333333"/>
          <w:sz w:val="21"/>
          <w:szCs w:val="21"/>
          <w:lang w:val="en"/>
        </w:rPr>
      </w:pPr>
      <w:r w:rsidRPr="00EE3597">
        <w:rPr>
          <w:rFonts w:ascii="Helvetica" w:eastAsia="Times New Roman" w:hAnsi="Helvetica" w:cs="Helvetica"/>
          <w:b/>
          <w:bCs/>
          <w:color w:val="333333"/>
          <w:sz w:val="21"/>
          <w:szCs w:val="21"/>
          <w:lang w:val="en"/>
        </w:rPr>
        <w:t>(1)</w:t>
      </w:r>
      <w:r w:rsidRPr="00EE3597">
        <w:rPr>
          <w:rFonts w:ascii="Helvetica" w:eastAsia="Times New Roman" w:hAnsi="Helvetica" w:cs="Helvetica"/>
          <w:color w:val="333333"/>
          <w:sz w:val="21"/>
          <w:szCs w:val="21"/>
          <w:lang w:val="en"/>
        </w:rPr>
        <w:t xml:space="preserve"> Problems, delays, or adverse conditions which will materially impair the ability to meet the objective of the </w:t>
      </w:r>
      <w:hyperlink w:history="1">
        <w:r w:rsidRPr="00EE3597">
          <w:rPr>
            <w:rFonts w:ascii="Helvetica" w:eastAsia="Times New Roman" w:hAnsi="Helvetica" w:cs="Helvetica"/>
            <w:color w:val="337AB7"/>
            <w:sz w:val="21"/>
            <w:szCs w:val="21"/>
            <w:u w:val="single"/>
            <w:lang w:val="en"/>
          </w:rPr>
          <w:t>Federal award</w:t>
        </w:r>
      </w:hyperlink>
      <w:r w:rsidRPr="00EE3597">
        <w:rPr>
          <w:rFonts w:ascii="Helvetica" w:eastAsia="Times New Roman" w:hAnsi="Helvetica" w:cs="Helvetica"/>
          <w:color w:val="333333"/>
          <w:sz w:val="21"/>
          <w:szCs w:val="21"/>
          <w:lang w:val="en"/>
        </w:rPr>
        <w:t xml:space="preserve">. This disclosure must include a statement of the action taken, or contemplated, and any assistance needed to resolve the situation. </w:t>
      </w:r>
    </w:p>
    <w:p w:rsidR="00EE3597" w:rsidRPr="00EE3597" w:rsidP="00EE3597" w14:paraId="5E3C8E28" w14:textId="77777777">
      <w:pPr>
        <w:spacing w:after="150" w:line="240" w:lineRule="auto"/>
        <w:ind w:left="15"/>
        <w:rPr>
          <w:rFonts w:ascii="Helvetica" w:eastAsia="Times New Roman" w:hAnsi="Helvetica" w:cs="Helvetica"/>
          <w:color w:val="333333"/>
          <w:sz w:val="21"/>
          <w:szCs w:val="21"/>
          <w:lang w:val="en"/>
        </w:rPr>
      </w:pPr>
      <w:r w:rsidRPr="00EE3597">
        <w:rPr>
          <w:rFonts w:ascii="Helvetica" w:eastAsia="Times New Roman" w:hAnsi="Helvetica" w:cs="Helvetica"/>
          <w:b/>
          <w:bCs/>
          <w:color w:val="333333"/>
          <w:sz w:val="21"/>
          <w:szCs w:val="21"/>
          <w:lang w:val="en"/>
        </w:rPr>
        <w:t>(2)</w:t>
      </w:r>
      <w:r w:rsidRPr="00EE3597">
        <w:rPr>
          <w:rFonts w:ascii="Helvetica" w:eastAsia="Times New Roman" w:hAnsi="Helvetica" w:cs="Helvetica"/>
          <w:color w:val="333333"/>
          <w:sz w:val="21"/>
          <w:szCs w:val="21"/>
          <w:lang w:val="en"/>
        </w:rPr>
        <w:t xml:space="preserve"> Favorable developments which enable meeting time schedules and objectives sooner or at less cost than anticipated or producing more or different beneficial results than originally planned. </w:t>
      </w:r>
    </w:p>
    <w:p w:rsidR="00EE3597" w:rsidRPr="00EE3597" w:rsidP="00EE3597" w14:paraId="542671E4" w14:textId="77777777">
      <w:pPr>
        <w:spacing w:before="150" w:after="150" w:line="240" w:lineRule="auto"/>
        <w:rPr>
          <w:rFonts w:ascii="Helvetica" w:eastAsia="Times New Roman" w:hAnsi="Helvetica" w:cs="Helvetica"/>
          <w:color w:val="333333"/>
          <w:sz w:val="21"/>
          <w:szCs w:val="21"/>
          <w:lang w:val="en"/>
        </w:rPr>
      </w:pPr>
      <w:r w:rsidRPr="00EE3597">
        <w:rPr>
          <w:rFonts w:ascii="Helvetica" w:eastAsia="Times New Roman" w:hAnsi="Helvetica" w:cs="Helvetica"/>
          <w:b/>
          <w:bCs/>
          <w:color w:val="333333"/>
          <w:sz w:val="21"/>
          <w:szCs w:val="21"/>
          <w:lang w:val="en"/>
        </w:rPr>
        <w:t>(e)</w:t>
      </w:r>
      <w:r w:rsidRPr="00EE3597">
        <w:rPr>
          <w:rFonts w:ascii="Helvetica" w:eastAsia="Times New Roman" w:hAnsi="Helvetica" w:cs="Helvetica"/>
          <w:color w:val="333333"/>
          <w:sz w:val="21"/>
          <w:szCs w:val="21"/>
          <w:lang w:val="en"/>
        </w:rPr>
        <w:t xml:space="preserve"> The </w:t>
      </w:r>
      <w:hyperlink w:history="1">
        <w:r w:rsidRPr="00EE3597">
          <w:rPr>
            <w:rFonts w:ascii="Helvetica" w:eastAsia="Times New Roman" w:hAnsi="Helvetica" w:cs="Helvetica"/>
            <w:color w:val="337AB7"/>
            <w:sz w:val="21"/>
            <w:szCs w:val="21"/>
            <w:u w:val="single"/>
            <w:lang w:val="en"/>
          </w:rPr>
          <w:t>HHS awarding agency</w:t>
        </w:r>
      </w:hyperlink>
      <w:r w:rsidRPr="00EE3597">
        <w:rPr>
          <w:rFonts w:ascii="Helvetica" w:eastAsia="Times New Roman" w:hAnsi="Helvetica" w:cs="Helvetica"/>
          <w:color w:val="333333"/>
          <w:sz w:val="21"/>
          <w:szCs w:val="21"/>
          <w:lang w:val="en"/>
        </w:rPr>
        <w:t xml:space="preserve"> may make site visits as warranted by program needs. </w:t>
      </w:r>
    </w:p>
    <w:p w:rsidR="00EE3597" w:rsidRPr="00EE3597" w:rsidP="00EE3597" w14:paraId="61EC1E1A" w14:textId="77777777">
      <w:pPr>
        <w:spacing w:before="150" w:after="150" w:line="240" w:lineRule="auto"/>
        <w:rPr>
          <w:rFonts w:ascii="Helvetica" w:eastAsia="Times New Roman" w:hAnsi="Helvetica" w:cs="Helvetica"/>
          <w:color w:val="333333"/>
          <w:sz w:val="21"/>
          <w:szCs w:val="21"/>
          <w:lang w:val="en"/>
        </w:rPr>
      </w:pPr>
      <w:r w:rsidRPr="00EE3597">
        <w:rPr>
          <w:rFonts w:ascii="Helvetica" w:eastAsia="Times New Roman" w:hAnsi="Helvetica" w:cs="Helvetica"/>
          <w:b/>
          <w:bCs/>
          <w:color w:val="333333"/>
          <w:sz w:val="21"/>
          <w:szCs w:val="21"/>
          <w:lang w:val="en"/>
        </w:rPr>
        <w:t>(f)</w:t>
      </w:r>
      <w:r w:rsidRPr="00EE3597">
        <w:rPr>
          <w:rFonts w:ascii="Helvetica" w:eastAsia="Times New Roman" w:hAnsi="Helvetica" w:cs="Helvetica"/>
          <w:color w:val="333333"/>
          <w:sz w:val="21"/>
          <w:szCs w:val="21"/>
          <w:lang w:val="en"/>
        </w:rPr>
        <w:t xml:space="preserve"> The </w:t>
      </w:r>
      <w:hyperlink w:history="1">
        <w:r w:rsidRPr="00EE3597">
          <w:rPr>
            <w:rFonts w:ascii="Helvetica" w:eastAsia="Times New Roman" w:hAnsi="Helvetica" w:cs="Helvetica"/>
            <w:color w:val="337AB7"/>
            <w:sz w:val="21"/>
            <w:szCs w:val="21"/>
            <w:u w:val="single"/>
            <w:lang w:val="en"/>
          </w:rPr>
          <w:t>HHS awarding agency</w:t>
        </w:r>
      </w:hyperlink>
      <w:r w:rsidRPr="00EE3597">
        <w:rPr>
          <w:rFonts w:ascii="Helvetica" w:eastAsia="Times New Roman" w:hAnsi="Helvetica" w:cs="Helvetica"/>
          <w:color w:val="333333"/>
          <w:sz w:val="21"/>
          <w:szCs w:val="21"/>
          <w:lang w:val="en"/>
        </w:rPr>
        <w:t xml:space="preserve"> may waive any performance report required by this part if not needed. </w:t>
      </w:r>
    </w:p>
    <w:p w:rsidR="00FC70C6" w14:paraId="3A4BC953" w14:textId="77777777"/>
    <w:sectPr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247C19"/>
    <w:multiLevelType w:val="multilevel"/>
    <w:tmpl w:val="317E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597"/>
    <w:rsid w:val="00685479"/>
    <w:rsid w:val="00D26908"/>
    <w:rsid w:val="00DD1F6C"/>
    <w:rsid w:val="00EE3597"/>
    <w:rsid w:val="00FC70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5042D99"/>
  <w15:chartTrackingRefBased/>
  <w15:docId w15:val="{B35AA761-A653-4FD0-AE79-6F673DDF4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E3597"/>
    <w:pPr>
      <w:spacing w:before="300" w:after="150" w:line="240" w:lineRule="auto"/>
      <w:outlineLvl w:val="0"/>
    </w:pPr>
    <w:rPr>
      <w:rFonts w:ascii="inherit" w:eastAsia="Times New Roman" w:hAnsi="inherit" w:cs="Times New Roman"/>
      <w:kern w:val="36"/>
      <w:sz w:val="54"/>
      <w:szCs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597"/>
    <w:rPr>
      <w:rFonts w:ascii="inherit" w:eastAsia="Times New Roman" w:hAnsi="inherit" w:cs="Times New Roman"/>
      <w:kern w:val="36"/>
      <w:sz w:val="54"/>
      <w:szCs w:val="54"/>
    </w:rPr>
  </w:style>
  <w:style w:type="paragraph" w:customStyle="1" w:styleId="psection-1">
    <w:name w:val="psection-1"/>
    <w:basedOn w:val="Normal"/>
    <w:rsid w:val="00EE3597"/>
    <w:pPr>
      <w:spacing w:before="150" w:after="150" w:line="240" w:lineRule="auto"/>
    </w:pPr>
    <w:rPr>
      <w:rFonts w:ascii="Times New Roman" w:eastAsia="Times New Roman" w:hAnsi="Times New Roman" w:cs="Times New Roman"/>
      <w:sz w:val="24"/>
      <w:szCs w:val="24"/>
    </w:rPr>
  </w:style>
  <w:style w:type="paragraph" w:customStyle="1" w:styleId="psection-2">
    <w:name w:val="psection-2"/>
    <w:basedOn w:val="Normal"/>
    <w:rsid w:val="00EE3597"/>
    <w:pPr>
      <w:spacing w:after="150" w:line="240" w:lineRule="auto"/>
      <w:ind w:left="240"/>
    </w:pPr>
    <w:rPr>
      <w:rFonts w:ascii="Times New Roman" w:eastAsia="Times New Roman" w:hAnsi="Times New Roman" w:cs="Times New Roman"/>
      <w:sz w:val="24"/>
      <w:szCs w:val="24"/>
    </w:rPr>
  </w:style>
  <w:style w:type="paragraph" w:customStyle="1" w:styleId="psection-3">
    <w:name w:val="psection-3"/>
    <w:basedOn w:val="Normal"/>
    <w:rsid w:val="00EE3597"/>
    <w:pPr>
      <w:spacing w:after="150" w:line="240" w:lineRule="auto"/>
      <w:ind w:left="480"/>
    </w:pPr>
    <w:rPr>
      <w:rFonts w:ascii="Times New Roman" w:eastAsia="Times New Roman" w:hAnsi="Times New Roman" w:cs="Times New Roman"/>
      <w:sz w:val="24"/>
      <w:szCs w:val="24"/>
    </w:rPr>
  </w:style>
  <w:style w:type="character" w:customStyle="1" w:styleId="enumxml1">
    <w:name w:val="enumxml1"/>
    <w:basedOn w:val="DefaultParagraphFont"/>
    <w:rsid w:val="00EE3597"/>
    <w:rPr>
      <w:b/>
      <w:bCs/>
    </w:rPr>
  </w:style>
  <w:style w:type="character" w:customStyle="1" w:styleId="et031">
    <w:name w:val="et031"/>
    <w:basedOn w:val="DefaultParagraphFont"/>
    <w:rsid w:val="00EE3597"/>
    <w:rPr>
      <w:i/>
      <w:iCs/>
    </w:rPr>
  </w:style>
  <w:style w:type="character" w:customStyle="1" w:styleId="enumxml2">
    <w:name w:val="enumxml2"/>
    <w:basedOn w:val="DefaultParagraphFont"/>
    <w:rsid w:val="00EE3597"/>
    <w:rPr>
      <w:b/>
      <w:bCs/>
    </w:rPr>
  </w:style>
  <w:style w:type="character" w:customStyle="1" w:styleId="enumxml3">
    <w:name w:val="enumxml3"/>
    <w:basedOn w:val="DefaultParagraphFont"/>
    <w:rsid w:val="00EE35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law.cornell.edu/cfr/text/45/75.342" TargetMode="External" /><Relationship Id="rId5" Type="http://schemas.openxmlformats.org/officeDocument/2006/relationships/hyperlink" Target="https://www.law.cornell.edu/cfr/text/45/75.341" TargetMode="External" /><Relationship Id="rId6" Type="http://schemas.openxmlformats.org/officeDocument/2006/relationships/hyperlink" Target="https://www.law.cornell.edu/cfr/text/45/75.343" TargetMode="External" /><Relationship Id="rId7" Type="http://schemas.openxmlformats.org/officeDocument/2006/relationships/hyperlink" Target="https://www.law.cornell.edu/cfr/text/45/75.352"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Lehman, Stan (CDC/OD/OADPS)</dc:creator>
  <cp:lastModifiedBy>Lehman, Stan (CDC/OD/OADPS)</cp:lastModifiedBy>
  <cp:revision>2</cp:revision>
  <dcterms:created xsi:type="dcterms:W3CDTF">2022-09-08T19:57:00Z</dcterms:created>
  <dcterms:modified xsi:type="dcterms:W3CDTF">2022-09-08T19:57:00Z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2e9c609f-2f72-4681-9aeb-0a8ae5078bda</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2022-09-08T19:56:56Z</vt:lpwstr>
  </property>
  <property fmtid="{D5CDD505-2E9C-101B-9397-08002B2CF9AE}" pid="8" name="MSIP_Label_7b94a7b8-f06c-4dfe-bdcc-9b548fd58c31_SiteId">
    <vt:lpwstr>9ce70869-60db-44fd-abe8-d2767077fc8f</vt:lpwstr>
  </property>
</Properties>
</file>