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5919" w:rsidP="00BB5919" w14:paraId="0B462186" w14:textId="77777777">
      <w:pPr>
        <w:jc w:val="center"/>
        <w:rPr>
          <w:rFonts w:ascii="Times New Roman" w:hAnsi="Times New Roman" w:cs="Times New Roman"/>
          <w:sz w:val="24"/>
          <w:szCs w:val="24"/>
        </w:rPr>
      </w:pPr>
    </w:p>
    <w:p w:rsidR="00BB5919" w:rsidP="00BB5919" w14:paraId="1C80D93D" w14:textId="77777777">
      <w:pPr>
        <w:jc w:val="center"/>
        <w:rPr>
          <w:rFonts w:ascii="Times New Roman" w:hAnsi="Times New Roman" w:cs="Times New Roman"/>
          <w:sz w:val="24"/>
          <w:szCs w:val="24"/>
        </w:rPr>
      </w:pPr>
    </w:p>
    <w:p w:rsidR="00BB5919" w:rsidP="00BB5919" w14:paraId="161ABE8C" w14:textId="77777777">
      <w:pPr>
        <w:jc w:val="center"/>
        <w:rPr>
          <w:rFonts w:ascii="Times New Roman" w:hAnsi="Times New Roman" w:cs="Times New Roman"/>
          <w:sz w:val="24"/>
          <w:szCs w:val="24"/>
        </w:rPr>
      </w:pPr>
    </w:p>
    <w:p w:rsidR="00BB5919" w:rsidP="00BB5919" w14:paraId="1B0CBBFB" w14:textId="77777777">
      <w:pPr>
        <w:jc w:val="center"/>
        <w:rPr>
          <w:rFonts w:ascii="Times New Roman" w:hAnsi="Times New Roman" w:cs="Times New Roman"/>
          <w:sz w:val="24"/>
          <w:szCs w:val="24"/>
        </w:rPr>
      </w:pPr>
    </w:p>
    <w:p w:rsidR="00BB5919" w:rsidP="00BB5919" w14:paraId="52944BB9" w14:textId="77777777">
      <w:pPr>
        <w:jc w:val="center"/>
        <w:rPr>
          <w:rFonts w:ascii="Times New Roman" w:hAnsi="Times New Roman" w:cs="Times New Roman"/>
          <w:sz w:val="24"/>
          <w:szCs w:val="24"/>
        </w:rPr>
      </w:pPr>
    </w:p>
    <w:p w:rsidR="00BB5919" w:rsidP="00BB5919" w14:paraId="1E29D33F" w14:textId="77777777">
      <w:pPr>
        <w:jc w:val="center"/>
        <w:rPr>
          <w:rFonts w:ascii="Times New Roman" w:hAnsi="Times New Roman" w:cs="Times New Roman"/>
          <w:sz w:val="24"/>
          <w:szCs w:val="24"/>
        </w:rPr>
      </w:pPr>
    </w:p>
    <w:p w:rsidR="00BB5919" w:rsidP="00BB5919" w14:paraId="4599E5F6" w14:textId="77777777">
      <w:pPr>
        <w:jc w:val="center"/>
        <w:rPr>
          <w:rFonts w:ascii="Times New Roman" w:hAnsi="Times New Roman" w:cs="Times New Roman"/>
          <w:sz w:val="24"/>
          <w:szCs w:val="24"/>
        </w:rPr>
      </w:pPr>
    </w:p>
    <w:p w:rsidR="00BB5919" w:rsidP="00BB5919" w14:paraId="3C17F28C" w14:textId="77777777">
      <w:pPr>
        <w:jc w:val="center"/>
        <w:rPr>
          <w:rFonts w:ascii="Times New Roman" w:hAnsi="Times New Roman" w:cs="Times New Roman"/>
          <w:sz w:val="24"/>
          <w:szCs w:val="24"/>
        </w:rPr>
      </w:pPr>
    </w:p>
    <w:p w:rsidR="00203BBE" w:rsidP="00BB5919" w14:paraId="7DC0B913" w14:textId="4BE4571F">
      <w:pPr>
        <w:jc w:val="center"/>
        <w:rPr>
          <w:rFonts w:ascii="Times New Roman" w:hAnsi="Times New Roman" w:cs="Times New Roman"/>
          <w:b/>
          <w:sz w:val="36"/>
          <w:szCs w:val="24"/>
        </w:rPr>
      </w:pPr>
      <w:r w:rsidRPr="00665533">
        <w:rPr>
          <w:rFonts w:ascii="Times New Roman" w:hAnsi="Times New Roman" w:cs="Times New Roman"/>
          <w:b/>
          <w:sz w:val="36"/>
          <w:szCs w:val="24"/>
        </w:rPr>
        <w:t xml:space="preserve">Operational Readiness Review </w:t>
      </w:r>
      <w:r w:rsidR="00753A75">
        <w:rPr>
          <w:rFonts w:ascii="Times New Roman" w:hAnsi="Times New Roman" w:cs="Times New Roman"/>
          <w:b/>
          <w:sz w:val="36"/>
          <w:szCs w:val="24"/>
        </w:rPr>
        <w:t>2.0</w:t>
      </w:r>
    </w:p>
    <w:p w:rsidR="00DB262E" w:rsidP="00BB5919" w14:paraId="1F3C8381" w14:textId="0047A934">
      <w:pPr>
        <w:jc w:val="center"/>
        <w:rPr>
          <w:rFonts w:ascii="Times New Roman" w:hAnsi="Times New Roman" w:cs="Times New Roman"/>
          <w:b/>
          <w:sz w:val="36"/>
          <w:szCs w:val="24"/>
        </w:rPr>
      </w:pPr>
      <w:r>
        <w:rPr>
          <w:rFonts w:ascii="Times New Roman" w:hAnsi="Times New Roman" w:cs="Times New Roman"/>
          <w:b/>
          <w:sz w:val="36"/>
          <w:szCs w:val="24"/>
        </w:rPr>
        <w:t>OMB Control No. 0920-1352</w:t>
      </w:r>
    </w:p>
    <w:p w:rsidR="00DB262E" w:rsidRPr="00665533" w:rsidP="00BB5919" w14:paraId="29DB1BFE" w14:textId="4AB07096">
      <w:pPr>
        <w:jc w:val="center"/>
        <w:rPr>
          <w:rFonts w:ascii="Times New Roman" w:hAnsi="Times New Roman" w:cs="Times New Roman"/>
          <w:b/>
          <w:sz w:val="36"/>
          <w:szCs w:val="24"/>
        </w:rPr>
      </w:pPr>
      <w:r>
        <w:rPr>
          <w:rFonts w:ascii="Times New Roman" w:hAnsi="Times New Roman" w:cs="Times New Roman"/>
          <w:b/>
          <w:sz w:val="36"/>
          <w:szCs w:val="24"/>
        </w:rPr>
        <w:t>Expiration Date: 10/31/2024</w:t>
      </w:r>
    </w:p>
    <w:p w:rsidR="00BB5919" w:rsidP="00BB5919" w14:paraId="56E068B1" w14:textId="3893A883">
      <w:pPr>
        <w:jc w:val="center"/>
        <w:rPr>
          <w:rFonts w:ascii="Times New Roman" w:hAnsi="Times New Roman" w:cs="Times New Roman"/>
          <w:sz w:val="24"/>
          <w:szCs w:val="24"/>
        </w:rPr>
      </w:pPr>
      <w:r>
        <w:rPr>
          <w:rFonts w:ascii="Times New Roman" w:hAnsi="Times New Roman" w:cs="Times New Roman"/>
          <w:sz w:val="24"/>
          <w:szCs w:val="24"/>
        </w:rPr>
        <w:t>Reinstatement</w:t>
      </w:r>
    </w:p>
    <w:p w:rsidR="00BB5919" w:rsidRPr="00665533" w:rsidP="00BB5919" w14:paraId="7A1D2DC2" w14:textId="77777777">
      <w:pPr>
        <w:jc w:val="center"/>
        <w:rPr>
          <w:rFonts w:ascii="Times New Roman" w:hAnsi="Times New Roman" w:cs="Times New Roman"/>
          <w:sz w:val="32"/>
          <w:szCs w:val="24"/>
        </w:rPr>
      </w:pPr>
    </w:p>
    <w:p w:rsidR="00BB5919" w:rsidRPr="00665533" w:rsidP="00BB5919" w14:paraId="4C71550D" w14:textId="78959217">
      <w:pPr>
        <w:jc w:val="center"/>
        <w:rPr>
          <w:rFonts w:ascii="Times New Roman" w:hAnsi="Times New Roman" w:cs="Times New Roman"/>
          <w:b/>
          <w:sz w:val="32"/>
          <w:szCs w:val="24"/>
        </w:rPr>
      </w:pPr>
      <w:r w:rsidRPr="00665533">
        <w:rPr>
          <w:rFonts w:ascii="Times New Roman" w:hAnsi="Times New Roman" w:cs="Times New Roman"/>
          <w:b/>
          <w:sz w:val="32"/>
          <w:szCs w:val="24"/>
        </w:rPr>
        <w:t xml:space="preserve">Supporting Statement </w:t>
      </w:r>
      <w:r w:rsidR="00753A75">
        <w:rPr>
          <w:rFonts w:ascii="Times New Roman" w:hAnsi="Times New Roman" w:cs="Times New Roman"/>
          <w:b/>
          <w:sz w:val="32"/>
          <w:szCs w:val="24"/>
        </w:rPr>
        <w:t>A</w:t>
      </w:r>
    </w:p>
    <w:p w:rsidR="00BB5919" w:rsidP="00BB5919" w14:paraId="32D8AB04" w14:textId="77777777">
      <w:pPr>
        <w:jc w:val="center"/>
        <w:rPr>
          <w:rFonts w:ascii="Times New Roman" w:hAnsi="Times New Roman" w:cs="Times New Roman"/>
          <w:sz w:val="24"/>
          <w:szCs w:val="24"/>
        </w:rPr>
      </w:pPr>
    </w:p>
    <w:p w:rsidR="00BB5919" w:rsidP="00BB5919" w14:paraId="3D258362" w14:textId="77777777">
      <w:pPr>
        <w:jc w:val="center"/>
        <w:rPr>
          <w:rFonts w:ascii="Times New Roman" w:hAnsi="Times New Roman" w:cs="Times New Roman"/>
          <w:sz w:val="24"/>
          <w:szCs w:val="24"/>
        </w:rPr>
      </w:pPr>
    </w:p>
    <w:p w:rsidR="00BB5919" w:rsidP="00BB5919" w14:paraId="632E12A7" w14:textId="77777777">
      <w:pPr>
        <w:jc w:val="center"/>
        <w:rPr>
          <w:rFonts w:ascii="Times New Roman" w:hAnsi="Times New Roman" w:cs="Times New Roman"/>
          <w:sz w:val="24"/>
          <w:szCs w:val="24"/>
        </w:rPr>
      </w:pPr>
    </w:p>
    <w:p w:rsidR="00BB5919" w:rsidP="00BB5919" w14:paraId="798E7884" w14:textId="77777777">
      <w:pPr>
        <w:jc w:val="center"/>
        <w:rPr>
          <w:rFonts w:ascii="Times New Roman" w:hAnsi="Times New Roman" w:cs="Times New Roman"/>
          <w:sz w:val="24"/>
          <w:szCs w:val="24"/>
        </w:rPr>
      </w:pPr>
    </w:p>
    <w:p w:rsidR="00BB5919" w:rsidP="00BB5919" w14:paraId="69B256B6" w14:textId="77777777">
      <w:pPr>
        <w:jc w:val="center"/>
        <w:rPr>
          <w:rFonts w:ascii="Times New Roman" w:hAnsi="Times New Roman" w:cs="Times New Roman"/>
          <w:sz w:val="24"/>
          <w:szCs w:val="24"/>
        </w:rPr>
      </w:pPr>
    </w:p>
    <w:p w:rsidR="00BB5919" w:rsidP="00BB5919" w14:paraId="79B58092" w14:textId="4BFBB23A">
      <w:pPr>
        <w:jc w:val="center"/>
        <w:rPr>
          <w:rFonts w:ascii="Times New Roman" w:hAnsi="Times New Roman" w:cs="Times New Roman"/>
          <w:sz w:val="24"/>
          <w:szCs w:val="24"/>
        </w:rPr>
      </w:pPr>
      <w:r>
        <w:rPr>
          <w:rFonts w:ascii="Times New Roman" w:hAnsi="Times New Roman" w:cs="Times New Roman"/>
          <w:sz w:val="24"/>
          <w:szCs w:val="24"/>
        </w:rPr>
        <w:t>September 23, 2024</w:t>
      </w:r>
    </w:p>
    <w:p w:rsidR="00BB5919" w:rsidP="00BB5919" w14:paraId="431255ED" w14:textId="77777777">
      <w:pPr>
        <w:jc w:val="center"/>
        <w:rPr>
          <w:rFonts w:ascii="Times New Roman" w:hAnsi="Times New Roman" w:cs="Times New Roman"/>
          <w:sz w:val="24"/>
          <w:szCs w:val="24"/>
        </w:rPr>
      </w:pPr>
    </w:p>
    <w:p w:rsidR="00BB5919" w:rsidP="00BB5919" w14:paraId="31774CBA" w14:textId="77777777">
      <w:pPr>
        <w:jc w:val="center"/>
        <w:rPr>
          <w:rFonts w:ascii="Times New Roman" w:hAnsi="Times New Roman" w:cs="Times New Roman"/>
          <w:sz w:val="24"/>
          <w:szCs w:val="24"/>
        </w:rPr>
      </w:pPr>
    </w:p>
    <w:p w:rsidR="00BB5919" w:rsidRPr="00946E58" w:rsidP="00EF268D" w14:paraId="48C73710" w14:textId="6D6801BD">
      <w:pPr>
        <w:spacing w:after="0"/>
        <w:rPr>
          <w:rFonts w:ascii="Times New Roman" w:hAnsi="Times New Roman" w:cs="Times New Roman"/>
          <w:bCs/>
          <w:sz w:val="24"/>
          <w:szCs w:val="24"/>
        </w:rPr>
      </w:pPr>
      <w:r w:rsidRPr="009121A0">
        <w:rPr>
          <w:rFonts w:ascii="Times New Roman" w:hAnsi="Times New Roman" w:cs="Times New Roman"/>
          <w:b/>
          <w:sz w:val="24"/>
          <w:szCs w:val="24"/>
        </w:rPr>
        <w:t>Program Official</w:t>
      </w:r>
      <w:r w:rsidRPr="009121A0" w:rsidR="009121A0">
        <w:rPr>
          <w:rFonts w:ascii="Times New Roman" w:hAnsi="Times New Roman" w:cs="Times New Roman"/>
          <w:b/>
          <w:sz w:val="24"/>
          <w:szCs w:val="24"/>
        </w:rPr>
        <w:t>:</w:t>
      </w:r>
      <w:r w:rsidR="00946E58">
        <w:rPr>
          <w:rFonts w:ascii="Times New Roman" w:hAnsi="Times New Roman" w:cs="Times New Roman"/>
          <w:bCs/>
          <w:sz w:val="24"/>
          <w:szCs w:val="24"/>
        </w:rPr>
        <w:t xml:space="preserve"> </w:t>
      </w:r>
      <w:r w:rsidR="00DB262E">
        <w:rPr>
          <w:rFonts w:ascii="Times New Roman" w:hAnsi="Times New Roman" w:cs="Times New Roman"/>
          <w:bCs/>
          <w:sz w:val="24"/>
          <w:szCs w:val="24"/>
        </w:rPr>
        <w:t>Albert Garcia</w:t>
      </w:r>
    </w:p>
    <w:p w:rsidR="009121A0" w:rsidRPr="00946E58" w:rsidP="00EF268D" w14:paraId="041FFE62" w14:textId="04FCDA13">
      <w:pPr>
        <w:spacing w:after="0"/>
        <w:rPr>
          <w:rFonts w:ascii="Times New Roman" w:hAnsi="Times New Roman" w:cs="Times New Roman"/>
          <w:bCs/>
          <w:sz w:val="24"/>
          <w:szCs w:val="24"/>
        </w:rPr>
      </w:pPr>
      <w:r w:rsidRPr="009121A0">
        <w:rPr>
          <w:rFonts w:ascii="Times New Roman" w:hAnsi="Times New Roman" w:cs="Times New Roman"/>
          <w:b/>
          <w:sz w:val="24"/>
          <w:szCs w:val="24"/>
        </w:rPr>
        <w:t>Title:</w:t>
      </w:r>
      <w:r w:rsidR="00946E58">
        <w:rPr>
          <w:rFonts w:ascii="Times New Roman" w:hAnsi="Times New Roman" w:cs="Times New Roman"/>
          <w:bCs/>
          <w:sz w:val="24"/>
          <w:szCs w:val="24"/>
        </w:rPr>
        <w:t xml:space="preserve"> </w:t>
      </w:r>
      <w:r w:rsidR="00DB262E">
        <w:rPr>
          <w:rFonts w:ascii="Times New Roman" w:hAnsi="Times New Roman" w:cs="Times New Roman"/>
          <w:bCs/>
          <w:sz w:val="24"/>
          <w:szCs w:val="24"/>
        </w:rPr>
        <w:t>Office of Readiness and Response, PRA Contact</w:t>
      </w:r>
    </w:p>
    <w:p w:rsidR="009121A0" w:rsidRPr="00946E58" w:rsidP="00EF268D" w14:paraId="2A0C6146" w14:textId="7346BE9A">
      <w:pPr>
        <w:spacing w:after="0"/>
        <w:rPr>
          <w:rFonts w:ascii="Times New Roman" w:hAnsi="Times New Roman" w:cs="Times New Roman"/>
          <w:bCs/>
          <w:sz w:val="24"/>
          <w:szCs w:val="24"/>
        </w:rPr>
      </w:pPr>
      <w:r w:rsidRPr="009121A0">
        <w:rPr>
          <w:rFonts w:ascii="Times New Roman" w:hAnsi="Times New Roman" w:cs="Times New Roman"/>
          <w:b/>
          <w:sz w:val="24"/>
          <w:szCs w:val="24"/>
        </w:rPr>
        <w:t xml:space="preserve">Phone: </w:t>
      </w:r>
      <w:r w:rsidR="00946E58">
        <w:rPr>
          <w:rFonts w:ascii="Times New Roman" w:hAnsi="Times New Roman" w:cs="Times New Roman"/>
          <w:bCs/>
          <w:sz w:val="24"/>
          <w:szCs w:val="24"/>
        </w:rPr>
        <w:t>404-639-</w:t>
      </w:r>
      <w:r w:rsidR="00DB262E">
        <w:rPr>
          <w:rFonts w:ascii="Times New Roman" w:hAnsi="Times New Roman" w:cs="Times New Roman"/>
          <w:bCs/>
          <w:sz w:val="24"/>
          <w:szCs w:val="24"/>
        </w:rPr>
        <w:t>7139</w:t>
      </w:r>
    </w:p>
    <w:p w:rsidR="009121A0" w:rsidRPr="00946E58" w:rsidP="00EF268D" w14:paraId="7ED68DE9" w14:textId="7C0B0085">
      <w:pPr>
        <w:spacing w:after="0"/>
        <w:rPr>
          <w:rFonts w:ascii="Times New Roman" w:hAnsi="Times New Roman" w:cs="Times New Roman"/>
          <w:bCs/>
          <w:sz w:val="24"/>
          <w:szCs w:val="24"/>
        </w:rPr>
      </w:pPr>
      <w:r w:rsidRPr="009121A0">
        <w:rPr>
          <w:rFonts w:ascii="Times New Roman" w:hAnsi="Times New Roman" w:cs="Times New Roman"/>
          <w:b/>
          <w:sz w:val="24"/>
          <w:szCs w:val="24"/>
        </w:rPr>
        <w:t xml:space="preserve">Email: </w:t>
      </w:r>
      <w:r w:rsidR="00DB262E">
        <w:rPr>
          <w:rFonts w:ascii="Times New Roman" w:hAnsi="Times New Roman" w:cs="Times New Roman"/>
          <w:bCs/>
          <w:sz w:val="24"/>
          <w:szCs w:val="24"/>
        </w:rPr>
        <w:t>asg9@cdc.gov</w:t>
      </w:r>
    </w:p>
    <w:p w:rsidR="009121A0" w:rsidRPr="009121A0" w:rsidP="00EF268D" w14:paraId="27F270F0" w14:textId="1AE37A49">
      <w:pPr>
        <w:spacing w:after="0"/>
        <w:rPr>
          <w:rFonts w:ascii="Times New Roman" w:hAnsi="Times New Roman" w:cs="Times New Roman"/>
          <w:b/>
          <w:sz w:val="24"/>
          <w:szCs w:val="24"/>
        </w:rPr>
      </w:pPr>
    </w:p>
    <w:p w:rsidR="00753A75" w14:paraId="7B99900D" w14:textId="6F9C9067">
      <w:pPr>
        <w:rPr>
          <w:rFonts w:ascii="Times New Roman" w:hAnsi="Times New Roman" w:cs="Times New Roman"/>
          <w:sz w:val="24"/>
          <w:szCs w:val="24"/>
        </w:rPr>
      </w:pPr>
      <w:r>
        <w:rPr>
          <w:rFonts w:ascii="Times New Roman" w:hAnsi="Times New Roman" w:cs="Times New Roman"/>
          <w:sz w:val="24"/>
          <w:szCs w:val="24"/>
        </w:rPr>
        <w:br w:type="page"/>
      </w:r>
    </w:p>
    <w:p w:rsidR="00BB5919" w:rsidP="00665533" w14:paraId="645CB581" w14:textId="77777777">
      <w:pPr>
        <w:rPr>
          <w:rFonts w:ascii="Times New Roman" w:hAnsi="Times New Roman" w:cs="Times New Roman"/>
          <w:sz w:val="24"/>
          <w:szCs w:val="24"/>
        </w:rPr>
      </w:pPr>
    </w:p>
    <w:p w:rsidR="0000645E" w:rsidRPr="0000645E" w:rsidP="0000645E" w14:paraId="521EEA84" w14:textId="7F95C81E">
      <w:pPr>
        <w:rPr>
          <w:rFonts w:ascii="Times New Roman" w:hAnsi="Times New Roman" w:cs="Times New Roman"/>
          <w:b/>
          <w:sz w:val="28"/>
          <w:szCs w:val="24"/>
        </w:rPr>
      </w:pPr>
      <w:r w:rsidRPr="00665533">
        <w:rPr>
          <w:rFonts w:ascii="Times New Roman" w:hAnsi="Times New Roman" w:cs="Times New Roman"/>
          <w:b/>
          <w:sz w:val="28"/>
          <w:szCs w:val="24"/>
        </w:rPr>
        <w:t>Table of Contents</w:t>
      </w:r>
    </w:p>
    <w:p w:rsidR="00BB5919" w:rsidRPr="009340F9" w:rsidP="009340F9" w14:paraId="1EAB141C" w14:textId="02AA60A5">
      <w:pPr>
        <w:spacing w:line="276" w:lineRule="auto"/>
        <w:rPr>
          <w:rFonts w:ascii="Times New Roman" w:hAnsi="Times New Roman" w:cs="Times New Roman"/>
          <w:sz w:val="24"/>
          <w:szCs w:val="24"/>
        </w:rPr>
      </w:pPr>
      <w:r>
        <w:rPr>
          <w:rFonts w:ascii="Times New Roman" w:hAnsi="Times New Roman" w:cs="Times New Roman"/>
          <w:sz w:val="24"/>
          <w:szCs w:val="24"/>
        </w:rPr>
        <w:t xml:space="preserve">A.1. </w:t>
      </w:r>
      <w:r w:rsidRPr="009340F9">
        <w:rPr>
          <w:rFonts w:ascii="Times New Roman" w:hAnsi="Times New Roman" w:cs="Times New Roman"/>
          <w:sz w:val="24"/>
          <w:szCs w:val="24"/>
        </w:rPr>
        <w:t>Circumstances Making the Collection of Information Necessary</w:t>
      </w:r>
      <w:r>
        <w:ptab w:relativeTo="margin" w:alignment="right" w:leader="dot"/>
      </w:r>
      <w:r w:rsidRPr="0000645E" w:rsidR="0000645E">
        <w:rPr>
          <w:rFonts w:ascii="Times New Roman" w:hAnsi="Times New Roman" w:cs="Times New Roman"/>
          <w:sz w:val="24"/>
          <w:szCs w:val="24"/>
        </w:rPr>
        <w:t>3</w:t>
      </w:r>
    </w:p>
    <w:p w:rsidR="00BB5919" w:rsidRPr="009340F9" w:rsidP="009340F9" w14:paraId="242F32A4" w14:textId="05D97B70">
      <w:pPr>
        <w:spacing w:line="276" w:lineRule="auto"/>
        <w:rPr>
          <w:rFonts w:ascii="Times New Roman" w:hAnsi="Times New Roman" w:cs="Times New Roman"/>
          <w:sz w:val="24"/>
          <w:szCs w:val="24"/>
        </w:rPr>
      </w:pPr>
      <w:r>
        <w:rPr>
          <w:rFonts w:ascii="Times New Roman" w:hAnsi="Times New Roman" w:cs="Times New Roman"/>
          <w:sz w:val="24"/>
          <w:szCs w:val="24"/>
        </w:rPr>
        <w:t xml:space="preserve">A.2. </w:t>
      </w:r>
      <w:r w:rsidRPr="009340F9">
        <w:rPr>
          <w:rFonts w:ascii="Times New Roman" w:hAnsi="Times New Roman" w:cs="Times New Roman"/>
          <w:sz w:val="24"/>
          <w:szCs w:val="24"/>
        </w:rPr>
        <w:t>Purpose and Use of the Information Collection</w:t>
      </w:r>
      <w:r>
        <w:ptab w:relativeTo="margin" w:alignment="right" w:leader="dot"/>
      </w:r>
      <w:r w:rsidRPr="0000645E" w:rsidR="0000645E">
        <w:rPr>
          <w:rFonts w:ascii="Times New Roman" w:hAnsi="Times New Roman" w:cs="Times New Roman"/>
          <w:sz w:val="24"/>
          <w:szCs w:val="24"/>
        </w:rPr>
        <w:t>4</w:t>
      </w:r>
    </w:p>
    <w:p w:rsidR="00BB5919" w:rsidRPr="009340F9" w:rsidP="009340F9" w14:paraId="41B68775" w14:textId="760A6A77">
      <w:pPr>
        <w:spacing w:line="276" w:lineRule="auto"/>
        <w:rPr>
          <w:rFonts w:ascii="Times New Roman" w:hAnsi="Times New Roman" w:cs="Times New Roman"/>
          <w:sz w:val="24"/>
          <w:szCs w:val="24"/>
        </w:rPr>
      </w:pPr>
      <w:r>
        <w:rPr>
          <w:rFonts w:ascii="Times New Roman" w:hAnsi="Times New Roman" w:cs="Times New Roman"/>
          <w:sz w:val="24"/>
          <w:szCs w:val="24"/>
        </w:rPr>
        <w:t xml:space="preserve">A.3. </w:t>
      </w:r>
      <w:r w:rsidRPr="009340F9">
        <w:rPr>
          <w:rFonts w:ascii="Times New Roman" w:hAnsi="Times New Roman" w:cs="Times New Roman"/>
          <w:sz w:val="24"/>
          <w:szCs w:val="24"/>
        </w:rPr>
        <w:t>Use of Improved Information Technology and Burden Reduction</w:t>
      </w:r>
      <w:r>
        <w:ptab w:relativeTo="margin" w:alignment="right" w:leader="dot"/>
      </w:r>
      <w:r w:rsidRPr="0000645E" w:rsidR="0000645E">
        <w:rPr>
          <w:rFonts w:ascii="Times New Roman" w:hAnsi="Times New Roman" w:cs="Times New Roman"/>
          <w:sz w:val="24"/>
          <w:szCs w:val="24"/>
        </w:rPr>
        <w:t>4</w:t>
      </w:r>
    </w:p>
    <w:p w:rsidR="00BB5919" w:rsidRPr="009340F9" w:rsidP="009340F9" w14:paraId="12777118" w14:textId="7D922D01">
      <w:pPr>
        <w:spacing w:line="276" w:lineRule="auto"/>
        <w:rPr>
          <w:rFonts w:ascii="Times New Roman" w:hAnsi="Times New Roman" w:cs="Times New Roman"/>
          <w:sz w:val="24"/>
          <w:szCs w:val="24"/>
        </w:rPr>
      </w:pPr>
      <w:r>
        <w:rPr>
          <w:rFonts w:ascii="Times New Roman" w:hAnsi="Times New Roman" w:cs="Times New Roman"/>
          <w:sz w:val="24"/>
          <w:szCs w:val="24"/>
        </w:rPr>
        <w:t xml:space="preserve">A.4. </w:t>
      </w:r>
      <w:r w:rsidRPr="009340F9">
        <w:rPr>
          <w:rFonts w:ascii="Times New Roman" w:hAnsi="Times New Roman" w:cs="Times New Roman"/>
          <w:sz w:val="24"/>
          <w:szCs w:val="24"/>
        </w:rPr>
        <w:t>Efforts to Identify Duplication and Use of Similar Information</w:t>
      </w:r>
      <w:r>
        <w:ptab w:relativeTo="margin" w:alignment="right" w:leader="dot"/>
      </w:r>
      <w:r w:rsidRPr="0000645E" w:rsidR="0000645E">
        <w:rPr>
          <w:rFonts w:ascii="Times New Roman" w:hAnsi="Times New Roman" w:cs="Times New Roman"/>
          <w:sz w:val="24"/>
          <w:szCs w:val="24"/>
        </w:rPr>
        <w:t>5</w:t>
      </w:r>
    </w:p>
    <w:p w:rsidR="00BB5919" w:rsidRPr="009340F9" w:rsidP="009340F9" w14:paraId="0B3A542E" w14:textId="06FD26FD">
      <w:pPr>
        <w:spacing w:line="276" w:lineRule="auto"/>
        <w:rPr>
          <w:rFonts w:ascii="Times New Roman" w:hAnsi="Times New Roman" w:cs="Times New Roman"/>
          <w:sz w:val="24"/>
          <w:szCs w:val="24"/>
        </w:rPr>
      </w:pPr>
      <w:r>
        <w:rPr>
          <w:rFonts w:ascii="Times New Roman" w:hAnsi="Times New Roman" w:cs="Times New Roman"/>
          <w:sz w:val="24"/>
          <w:szCs w:val="24"/>
        </w:rPr>
        <w:t xml:space="preserve">A.5. </w:t>
      </w:r>
      <w:r w:rsidRPr="009340F9">
        <w:rPr>
          <w:rFonts w:ascii="Times New Roman" w:hAnsi="Times New Roman" w:cs="Times New Roman"/>
          <w:sz w:val="24"/>
          <w:szCs w:val="24"/>
        </w:rPr>
        <w:t>Impact on Small Business or Other Small Entities</w:t>
      </w:r>
      <w:r>
        <w:ptab w:relativeTo="margin" w:alignment="right" w:leader="dot"/>
      </w:r>
      <w:r w:rsidRPr="0000645E" w:rsidR="0000645E">
        <w:rPr>
          <w:rFonts w:ascii="Times New Roman" w:hAnsi="Times New Roman" w:cs="Times New Roman"/>
          <w:sz w:val="24"/>
          <w:szCs w:val="24"/>
        </w:rPr>
        <w:t>5</w:t>
      </w:r>
    </w:p>
    <w:p w:rsidR="00BB5919" w:rsidRPr="009340F9" w:rsidP="009340F9" w14:paraId="57BC0D80" w14:textId="1C4D3674">
      <w:pPr>
        <w:spacing w:line="276" w:lineRule="auto"/>
        <w:rPr>
          <w:rFonts w:ascii="Times New Roman" w:hAnsi="Times New Roman" w:cs="Times New Roman"/>
          <w:sz w:val="24"/>
          <w:szCs w:val="24"/>
        </w:rPr>
      </w:pPr>
      <w:r>
        <w:rPr>
          <w:rFonts w:ascii="Times New Roman" w:hAnsi="Times New Roman" w:cs="Times New Roman"/>
          <w:sz w:val="24"/>
          <w:szCs w:val="24"/>
        </w:rPr>
        <w:t xml:space="preserve">A.6. </w:t>
      </w:r>
      <w:r w:rsidRPr="009340F9">
        <w:rPr>
          <w:rFonts w:ascii="Times New Roman" w:hAnsi="Times New Roman" w:cs="Times New Roman"/>
          <w:sz w:val="24"/>
          <w:szCs w:val="24"/>
        </w:rPr>
        <w:t>Consequences of Collecting the Information Less Frequently</w:t>
      </w:r>
      <w:r>
        <w:ptab w:relativeTo="margin" w:alignment="right" w:leader="dot"/>
      </w:r>
      <w:r w:rsidRPr="0000645E" w:rsidR="0000645E">
        <w:rPr>
          <w:rFonts w:ascii="Times New Roman" w:hAnsi="Times New Roman" w:cs="Times New Roman"/>
          <w:sz w:val="24"/>
          <w:szCs w:val="24"/>
        </w:rPr>
        <w:t>5</w:t>
      </w:r>
    </w:p>
    <w:p w:rsidR="00BB5919" w:rsidRPr="009340F9" w:rsidP="009340F9" w14:paraId="645EC875" w14:textId="72C62D34">
      <w:pPr>
        <w:spacing w:line="276" w:lineRule="auto"/>
        <w:rPr>
          <w:rFonts w:ascii="Times New Roman" w:hAnsi="Times New Roman" w:cs="Times New Roman"/>
          <w:sz w:val="24"/>
          <w:szCs w:val="24"/>
        </w:rPr>
      </w:pPr>
      <w:r>
        <w:rPr>
          <w:rFonts w:ascii="Times New Roman" w:hAnsi="Times New Roman" w:cs="Times New Roman"/>
          <w:sz w:val="24"/>
          <w:szCs w:val="24"/>
        </w:rPr>
        <w:t xml:space="preserve">A.7. </w:t>
      </w:r>
      <w:r w:rsidRPr="009340F9">
        <w:rPr>
          <w:rFonts w:ascii="Times New Roman" w:hAnsi="Times New Roman" w:cs="Times New Roman"/>
          <w:sz w:val="24"/>
          <w:szCs w:val="24"/>
        </w:rPr>
        <w:t>Special Circumstances Relating to the Guidelines of 5 CFR 1320.5</w:t>
      </w:r>
      <w:r>
        <w:ptab w:relativeTo="margin" w:alignment="right" w:leader="dot"/>
      </w:r>
      <w:r w:rsidRPr="0000645E" w:rsidR="0000645E">
        <w:rPr>
          <w:rFonts w:ascii="Times New Roman" w:hAnsi="Times New Roman" w:cs="Times New Roman"/>
          <w:sz w:val="24"/>
          <w:szCs w:val="24"/>
        </w:rPr>
        <w:t>5</w:t>
      </w:r>
    </w:p>
    <w:p w:rsidR="00BB5919" w:rsidRPr="009340F9" w:rsidP="009340F9" w14:paraId="233D0BFE" w14:textId="77CE038A">
      <w:pPr>
        <w:spacing w:line="276" w:lineRule="auto"/>
        <w:rPr>
          <w:rFonts w:ascii="Times New Roman" w:hAnsi="Times New Roman" w:cs="Times New Roman"/>
          <w:sz w:val="24"/>
          <w:szCs w:val="24"/>
        </w:rPr>
      </w:pPr>
      <w:r>
        <w:rPr>
          <w:rFonts w:ascii="Times New Roman" w:hAnsi="Times New Roman" w:cs="Times New Roman"/>
          <w:sz w:val="24"/>
          <w:szCs w:val="24"/>
        </w:rPr>
        <w:t xml:space="preserve">A.8. </w:t>
      </w:r>
      <w:r w:rsidRPr="009340F9">
        <w:rPr>
          <w:rFonts w:ascii="Times New Roman" w:hAnsi="Times New Roman" w:cs="Times New Roman"/>
          <w:sz w:val="24"/>
          <w:szCs w:val="24"/>
        </w:rPr>
        <w:t>Comments in Response to the Federal Register Notice and Efforts to Consult Outside the Agency</w:t>
      </w:r>
      <w:r>
        <w:ptab w:relativeTo="margin" w:alignment="right" w:leader="dot"/>
      </w:r>
      <w:r w:rsidRPr="0000645E" w:rsidR="0000645E">
        <w:rPr>
          <w:rFonts w:ascii="Times New Roman" w:hAnsi="Times New Roman" w:cs="Times New Roman"/>
          <w:sz w:val="24"/>
          <w:szCs w:val="24"/>
        </w:rPr>
        <w:t>5</w:t>
      </w:r>
    </w:p>
    <w:p w:rsidR="00BB5919" w:rsidRPr="009340F9" w:rsidP="009340F9" w14:paraId="7801E0CB" w14:textId="235C80FE">
      <w:pPr>
        <w:spacing w:line="276" w:lineRule="auto"/>
        <w:rPr>
          <w:rFonts w:ascii="Times New Roman" w:hAnsi="Times New Roman" w:cs="Times New Roman"/>
          <w:sz w:val="24"/>
          <w:szCs w:val="24"/>
        </w:rPr>
      </w:pPr>
      <w:r>
        <w:rPr>
          <w:rFonts w:ascii="Times New Roman" w:hAnsi="Times New Roman" w:cs="Times New Roman"/>
          <w:sz w:val="24"/>
          <w:szCs w:val="24"/>
        </w:rPr>
        <w:t xml:space="preserve">A.9. </w:t>
      </w:r>
      <w:r w:rsidRPr="009340F9">
        <w:rPr>
          <w:rFonts w:ascii="Times New Roman" w:hAnsi="Times New Roman" w:cs="Times New Roman"/>
          <w:sz w:val="24"/>
          <w:szCs w:val="24"/>
        </w:rPr>
        <w:t>Explanation of Any Payment or Gift to Respondents</w:t>
      </w:r>
      <w:r>
        <w:ptab w:relativeTo="margin" w:alignment="right" w:leader="dot"/>
      </w:r>
      <w:r w:rsidRPr="0000645E" w:rsidR="0000645E">
        <w:rPr>
          <w:rFonts w:ascii="Times New Roman" w:hAnsi="Times New Roman" w:cs="Times New Roman"/>
          <w:sz w:val="24"/>
          <w:szCs w:val="24"/>
        </w:rPr>
        <w:t>6</w:t>
      </w:r>
    </w:p>
    <w:p w:rsidR="00BB5919" w:rsidRPr="009340F9" w:rsidP="009340F9" w14:paraId="7B19BD8F" w14:textId="4BC5B571">
      <w:pPr>
        <w:spacing w:line="276" w:lineRule="auto"/>
        <w:rPr>
          <w:rFonts w:ascii="Times New Roman" w:hAnsi="Times New Roman" w:cs="Times New Roman"/>
          <w:sz w:val="24"/>
          <w:szCs w:val="24"/>
        </w:rPr>
      </w:pPr>
      <w:r>
        <w:rPr>
          <w:rFonts w:ascii="Times New Roman" w:hAnsi="Times New Roman" w:cs="Times New Roman"/>
          <w:sz w:val="24"/>
          <w:szCs w:val="24"/>
        </w:rPr>
        <w:t xml:space="preserve">A.10. </w:t>
      </w:r>
      <w:r w:rsidRPr="009340F9">
        <w:rPr>
          <w:rFonts w:ascii="Times New Roman" w:hAnsi="Times New Roman" w:cs="Times New Roman"/>
          <w:sz w:val="24"/>
          <w:szCs w:val="24"/>
        </w:rPr>
        <w:t>Assurance of Confidentiality Provided to Respondents</w:t>
      </w:r>
      <w:r>
        <w:ptab w:relativeTo="margin" w:alignment="right" w:leader="dot"/>
      </w:r>
      <w:r w:rsidRPr="0000645E" w:rsidR="0000645E">
        <w:rPr>
          <w:rFonts w:ascii="Times New Roman" w:hAnsi="Times New Roman" w:cs="Times New Roman"/>
          <w:sz w:val="24"/>
          <w:szCs w:val="24"/>
        </w:rPr>
        <w:t>6</w:t>
      </w:r>
    </w:p>
    <w:p w:rsidR="00BB5919" w:rsidRPr="009340F9" w:rsidP="009340F9" w14:paraId="258A13DB" w14:textId="7ACE8877">
      <w:pPr>
        <w:spacing w:line="276" w:lineRule="auto"/>
        <w:rPr>
          <w:rFonts w:ascii="Times New Roman" w:hAnsi="Times New Roman" w:cs="Times New Roman"/>
          <w:sz w:val="24"/>
          <w:szCs w:val="24"/>
        </w:rPr>
      </w:pPr>
      <w:r>
        <w:rPr>
          <w:rFonts w:ascii="Times New Roman" w:hAnsi="Times New Roman" w:cs="Times New Roman"/>
          <w:sz w:val="24"/>
          <w:szCs w:val="24"/>
        </w:rPr>
        <w:t xml:space="preserve">A.11. </w:t>
      </w:r>
      <w:r w:rsidRPr="009340F9">
        <w:rPr>
          <w:rFonts w:ascii="Times New Roman" w:hAnsi="Times New Roman" w:cs="Times New Roman"/>
          <w:sz w:val="24"/>
          <w:szCs w:val="24"/>
        </w:rPr>
        <w:t>Justification for Sensitive Questions</w:t>
      </w:r>
      <w:r>
        <w:ptab w:relativeTo="margin" w:alignment="right" w:leader="dot"/>
      </w:r>
      <w:r w:rsidRPr="0000645E" w:rsidR="0000645E">
        <w:rPr>
          <w:rFonts w:ascii="Times New Roman" w:hAnsi="Times New Roman" w:cs="Times New Roman"/>
          <w:sz w:val="24"/>
          <w:szCs w:val="24"/>
        </w:rPr>
        <w:t>6</w:t>
      </w:r>
    </w:p>
    <w:p w:rsidR="00BB5919" w:rsidRPr="009340F9" w:rsidP="009340F9" w14:paraId="3D288A9B" w14:textId="07E39CC1">
      <w:pPr>
        <w:spacing w:line="276" w:lineRule="auto"/>
        <w:rPr>
          <w:rFonts w:ascii="Times New Roman" w:hAnsi="Times New Roman" w:cs="Times New Roman"/>
          <w:sz w:val="24"/>
          <w:szCs w:val="24"/>
        </w:rPr>
      </w:pPr>
      <w:r>
        <w:rPr>
          <w:rFonts w:ascii="Times New Roman" w:hAnsi="Times New Roman" w:cs="Times New Roman"/>
          <w:sz w:val="24"/>
          <w:szCs w:val="24"/>
        </w:rPr>
        <w:t xml:space="preserve">A.12. </w:t>
      </w:r>
      <w:r w:rsidRPr="009340F9">
        <w:rPr>
          <w:rFonts w:ascii="Times New Roman" w:hAnsi="Times New Roman" w:cs="Times New Roman"/>
          <w:sz w:val="24"/>
          <w:szCs w:val="24"/>
        </w:rPr>
        <w:t>Estimates of Annualized Burden Hours and Costs</w:t>
      </w:r>
      <w:r>
        <w:ptab w:relativeTo="margin" w:alignment="right" w:leader="dot"/>
      </w:r>
      <w:r w:rsidR="00D601A8">
        <w:rPr>
          <w:rFonts w:ascii="Times New Roman" w:hAnsi="Times New Roman" w:cs="Times New Roman"/>
          <w:sz w:val="24"/>
          <w:szCs w:val="24"/>
        </w:rPr>
        <w:t>7</w:t>
      </w:r>
    </w:p>
    <w:p w:rsidR="00046DA3" w:rsidRPr="009340F9" w:rsidP="009340F9" w14:paraId="575A322D" w14:textId="19C38DA7">
      <w:pPr>
        <w:spacing w:line="276" w:lineRule="auto"/>
        <w:rPr>
          <w:rFonts w:ascii="Times New Roman" w:hAnsi="Times New Roman" w:cs="Times New Roman"/>
          <w:sz w:val="24"/>
          <w:szCs w:val="24"/>
        </w:rPr>
      </w:pPr>
      <w:r>
        <w:rPr>
          <w:rFonts w:ascii="Times New Roman" w:hAnsi="Times New Roman" w:cs="Times New Roman"/>
          <w:sz w:val="24"/>
          <w:szCs w:val="24"/>
        </w:rPr>
        <w:t xml:space="preserve">A.13. </w:t>
      </w:r>
      <w:r w:rsidRPr="009340F9">
        <w:rPr>
          <w:rFonts w:ascii="Times New Roman" w:hAnsi="Times New Roman" w:cs="Times New Roman"/>
          <w:sz w:val="24"/>
          <w:szCs w:val="24"/>
        </w:rPr>
        <w:t>Estimates of Other Total Annual Cost Burden to Respondents or Record Keepers</w:t>
      </w:r>
      <w:r>
        <w:ptab w:relativeTo="margin" w:alignment="right" w:leader="dot"/>
      </w:r>
      <w:r w:rsidR="00D601A8">
        <w:rPr>
          <w:rFonts w:ascii="Times New Roman" w:hAnsi="Times New Roman" w:cs="Times New Roman"/>
          <w:sz w:val="24"/>
          <w:szCs w:val="24"/>
        </w:rPr>
        <w:t>9</w:t>
      </w:r>
    </w:p>
    <w:p w:rsidR="00046DA3" w:rsidRPr="009340F9" w:rsidP="009340F9" w14:paraId="3A43C855" w14:textId="4EAA798E">
      <w:pPr>
        <w:spacing w:line="276" w:lineRule="auto"/>
        <w:rPr>
          <w:rFonts w:ascii="Times New Roman" w:hAnsi="Times New Roman" w:cs="Times New Roman"/>
          <w:sz w:val="24"/>
          <w:szCs w:val="24"/>
        </w:rPr>
      </w:pPr>
      <w:r>
        <w:rPr>
          <w:rFonts w:ascii="Times New Roman" w:hAnsi="Times New Roman" w:cs="Times New Roman"/>
          <w:sz w:val="24"/>
          <w:szCs w:val="24"/>
        </w:rPr>
        <w:t xml:space="preserve">A.14. </w:t>
      </w:r>
      <w:r w:rsidRPr="009340F9">
        <w:rPr>
          <w:rFonts w:ascii="Times New Roman" w:hAnsi="Times New Roman" w:cs="Times New Roman"/>
          <w:sz w:val="24"/>
          <w:szCs w:val="24"/>
        </w:rPr>
        <w:t>Annualized Cost to the Government</w:t>
      </w:r>
      <w:r>
        <w:ptab w:relativeTo="margin" w:alignment="right" w:leader="dot"/>
      </w:r>
      <w:r w:rsidR="00B01EF9">
        <w:rPr>
          <w:rFonts w:ascii="Times New Roman" w:hAnsi="Times New Roman" w:cs="Times New Roman"/>
          <w:sz w:val="24"/>
          <w:szCs w:val="24"/>
        </w:rPr>
        <w:t>1</w:t>
      </w:r>
      <w:r w:rsidR="00D601A8">
        <w:rPr>
          <w:rFonts w:ascii="Times New Roman" w:hAnsi="Times New Roman" w:cs="Times New Roman"/>
          <w:sz w:val="24"/>
          <w:szCs w:val="24"/>
        </w:rPr>
        <w:t>0</w:t>
      </w:r>
    </w:p>
    <w:p w:rsidR="00046DA3" w:rsidRPr="009340F9" w:rsidP="009340F9" w14:paraId="55693281" w14:textId="6BB43AFE">
      <w:pPr>
        <w:spacing w:line="276" w:lineRule="auto"/>
        <w:rPr>
          <w:rFonts w:ascii="Times New Roman" w:hAnsi="Times New Roman" w:cs="Times New Roman"/>
          <w:sz w:val="24"/>
          <w:szCs w:val="24"/>
        </w:rPr>
      </w:pPr>
      <w:r>
        <w:rPr>
          <w:rFonts w:ascii="Times New Roman" w:hAnsi="Times New Roman" w:cs="Times New Roman"/>
          <w:sz w:val="24"/>
          <w:szCs w:val="24"/>
        </w:rPr>
        <w:t xml:space="preserve">A.15. </w:t>
      </w:r>
      <w:r w:rsidRPr="009340F9">
        <w:rPr>
          <w:rFonts w:ascii="Times New Roman" w:hAnsi="Times New Roman" w:cs="Times New Roman"/>
          <w:sz w:val="24"/>
          <w:szCs w:val="24"/>
        </w:rPr>
        <w:t>Explanation for Program Changes or Adjustments</w:t>
      </w:r>
      <w:r>
        <w:ptab w:relativeTo="margin" w:alignment="right" w:leader="dot"/>
      </w:r>
      <w:r w:rsidR="00B01EF9">
        <w:rPr>
          <w:rFonts w:ascii="Times New Roman" w:hAnsi="Times New Roman" w:cs="Times New Roman"/>
          <w:sz w:val="24"/>
          <w:szCs w:val="24"/>
        </w:rPr>
        <w:t>1</w:t>
      </w:r>
      <w:r w:rsidR="00D601A8">
        <w:rPr>
          <w:rFonts w:ascii="Times New Roman" w:hAnsi="Times New Roman" w:cs="Times New Roman"/>
          <w:sz w:val="24"/>
          <w:szCs w:val="24"/>
        </w:rPr>
        <w:t>0</w:t>
      </w:r>
    </w:p>
    <w:p w:rsidR="00046DA3" w:rsidRPr="009340F9" w:rsidP="009340F9" w14:paraId="3FC35F99" w14:textId="7698F17A">
      <w:pPr>
        <w:spacing w:line="276" w:lineRule="auto"/>
        <w:rPr>
          <w:rFonts w:ascii="Times New Roman" w:hAnsi="Times New Roman" w:cs="Times New Roman"/>
          <w:sz w:val="24"/>
          <w:szCs w:val="24"/>
        </w:rPr>
      </w:pPr>
      <w:r>
        <w:rPr>
          <w:rFonts w:ascii="Times New Roman" w:hAnsi="Times New Roman" w:cs="Times New Roman"/>
          <w:sz w:val="24"/>
          <w:szCs w:val="24"/>
        </w:rPr>
        <w:t xml:space="preserve">A.16. </w:t>
      </w:r>
      <w:r w:rsidRPr="009340F9">
        <w:rPr>
          <w:rFonts w:ascii="Times New Roman" w:hAnsi="Times New Roman" w:cs="Times New Roman"/>
          <w:sz w:val="24"/>
          <w:szCs w:val="24"/>
        </w:rPr>
        <w:t>Plans for Tabulation and Publication and Project Time Schedule</w:t>
      </w:r>
      <w:r>
        <w:ptab w:relativeTo="margin" w:alignment="right" w:leader="dot"/>
      </w:r>
      <w:r w:rsidR="00C87BB5">
        <w:rPr>
          <w:rFonts w:ascii="Times New Roman" w:hAnsi="Times New Roman" w:cs="Times New Roman"/>
          <w:sz w:val="24"/>
          <w:szCs w:val="24"/>
        </w:rPr>
        <w:t>1</w:t>
      </w:r>
      <w:r w:rsidR="00D601A8">
        <w:rPr>
          <w:rFonts w:ascii="Times New Roman" w:hAnsi="Times New Roman" w:cs="Times New Roman"/>
          <w:sz w:val="24"/>
          <w:szCs w:val="24"/>
        </w:rPr>
        <w:t>0</w:t>
      </w:r>
    </w:p>
    <w:p w:rsidR="00046DA3" w:rsidRPr="009340F9" w:rsidP="009340F9" w14:paraId="4537372A" w14:textId="7152C5DF">
      <w:pPr>
        <w:spacing w:line="276" w:lineRule="auto"/>
        <w:rPr>
          <w:rFonts w:ascii="Times New Roman" w:hAnsi="Times New Roman" w:cs="Times New Roman"/>
          <w:sz w:val="24"/>
          <w:szCs w:val="24"/>
        </w:rPr>
      </w:pPr>
      <w:r>
        <w:rPr>
          <w:rFonts w:ascii="Times New Roman" w:hAnsi="Times New Roman" w:cs="Times New Roman"/>
          <w:sz w:val="24"/>
          <w:szCs w:val="24"/>
        </w:rPr>
        <w:t xml:space="preserve">A.17. </w:t>
      </w:r>
      <w:r w:rsidRPr="009340F9">
        <w:rPr>
          <w:rFonts w:ascii="Times New Roman" w:hAnsi="Times New Roman" w:cs="Times New Roman"/>
          <w:sz w:val="24"/>
          <w:szCs w:val="24"/>
        </w:rPr>
        <w:t>Reason(s) Display of OMB Expiration Date is Inappropriate</w:t>
      </w:r>
      <w:r>
        <w:ptab w:relativeTo="margin" w:alignment="right" w:leader="dot"/>
      </w:r>
      <w:r w:rsidR="00C87BB5">
        <w:rPr>
          <w:rFonts w:ascii="Times New Roman" w:hAnsi="Times New Roman" w:cs="Times New Roman"/>
          <w:sz w:val="24"/>
          <w:szCs w:val="24"/>
        </w:rPr>
        <w:t>1</w:t>
      </w:r>
      <w:r w:rsidR="00D601A8">
        <w:rPr>
          <w:rFonts w:ascii="Times New Roman" w:hAnsi="Times New Roman" w:cs="Times New Roman"/>
          <w:sz w:val="24"/>
          <w:szCs w:val="24"/>
        </w:rPr>
        <w:t>0</w:t>
      </w:r>
    </w:p>
    <w:p w:rsidR="00046DA3" w:rsidRPr="009340F9" w:rsidP="009340F9" w14:paraId="724C2424" w14:textId="6E9243B0">
      <w:pPr>
        <w:spacing w:line="276" w:lineRule="auto"/>
        <w:rPr>
          <w:rFonts w:ascii="Times New Roman" w:hAnsi="Times New Roman" w:cs="Times New Roman"/>
          <w:sz w:val="24"/>
          <w:szCs w:val="24"/>
        </w:rPr>
      </w:pPr>
      <w:r>
        <w:rPr>
          <w:rFonts w:ascii="Times New Roman" w:hAnsi="Times New Roman" w:cs="Times New Roman"/>
          <w:sz w:val="24"/>
          <w:szCs w:val="24"/>
        </w:rPr>
        <w:t xml:space="preserve">A.18. </w:t>
      </w:r>
      <w:r w:rsidRPr="009340F9">
        <w:rPr>
          <w:rFonts w:ascii="Times New Roman" w:hAnsi="Times New Roman" w:cs="Times New Roman"/>
          <w:sz w:val="24"/>
          <w:szCs w:val="24"/>
        </w:rPr>
        <w:t>Exceptions to Certification for Paperwork Reduction Act Submissions</w:t>
      </w:r>
      <w:r>
        <w:ptab w:relativeTo="margin" w:alignment="right" w:leader="dot"/>
      </w:r>
      <w:r w:rsidR="00C87BB5">
        <w:rPr>
          <w:rFonts w:ascii="Times New Roman" w:hAnsi="Times New Roman" w:cs="Times New Roman"/>
          <w:sz w:val="24"/>
          <w:szCs w:val="24"/>
        </w:rPr>
        <w:t>1</w:t>
      </w:r>
      <w:r w:rsidR="00D601A8">
        <w:rPr>
          <w:rFonts w:ascii="Times New Roman" w:hAnsi="Times New Roman" w:cs="Times New Roman"/>
          <w:sz w:val="24"/>
          <w:szCs w:val="24"/>
        </w:rPr>
        <w:t>1</w:t>
      </w:r>
    </w:p>
    <w:p w:rsidR="00046DA3" w:rsidP="00046DA3" w14:paraId="6E1369C5" w14:textId="1960D83D">
      <w:pPr>
        <w:rPr>
          <w:rFonts w:ascii="Times New Roman" w:hAnsi="Times New Roman" w:cs="Times New Roman"/>
          <w:sz w:val="24"/>
          <w:szCs w:val="24"/>
        </w:rPr>
      </w:pPr>
      <w:r>
        <w:rPr>
          <w:rFonts w:ascii="Times New Roman" w:hAnsi="Times New Roman" w:cs="Times New Roman"/>
          <w:sz w:val="24"/>
          <w:szCs w:val="24"/>
        </w:rPr>
        <w:t>LIST OF ATTACHMENTS</w:t>
      </w:r>
      <w:r>
        <w:ptab w:relativeTo="margin" w:alignment="right" w:leader="dot"/>
      </w:r>
      <w:r w:rsidR="00C87BB5">
        <w:rPr>
          <w:rFonts w:ascii="Times New Roman" w:hAnsi="Times New Roman" w:cs="Times New Roman"/>
          <w:sz w:val="24"/>
          <w:szCs w:val="24"/>
        </w:rPr>
        <w:t>1</w:t>
      </w:r>
      <w:r w:rsidR="00D601A8">
        <w:rPr>
          <w:rFonts w:ascii="Times New Roman" w:hAnsi="Times New Roman" w:cs="Times New Roman"/>
          <w:sz w:val="24"/>
          <w:szCs w:val="24"/>
        </w:rPr>
        <w:t>2</w:t>
      </w:r>
    </w:p>
    <w:p w:rsidR="00046DA3" w:rsidP="00046DA3" w14:paraId="79CD8B98" w14:textId="458DBD8E">
      <w:pPr>
        <w:rPr>
          <w:rFonts w:ascii="Times New Roman" w:hAnsi="Times New Roman" w:cs="Times New Roman"/>
          <w:sz w:val="24"/>
          <w:szCs w:val="24"/>
        </w:rPr>
      </w:pPr>
      <w:r>
        <w:rPr>
          <w:rFonts w:ascii="Times New Roman" w:hAnsi="Times New Roman" w:cs="Times New Roman"/>
          <w:sz w:val="24"/>
          <w:szCs w:val="24"/>
        </w:rPr>
        <w:t>REFERENCE LIST</w:t>
      </w:r>
      <w:r>
        <w:ptab w:relativeTo="margin" w:alignment="right" w:leader="dot"/>
      </w:r>
      <w:r w:rsidR="00C87BB5">
        <w:rPr>
          <w:rFonts w:ascii="Times New Roman" w:hAnsi="Times New Roman" w:cs="Times New Roman"/>
          <w:sz w:val="24"/>
          <w:szCs w:val="24"/>
        </w:rPr>
        <w:t>1</w:t>
      </w:r>
      <w:r w:rsidR="00D601A8">
        <w:rPr>
          <w:rFonts w:ascii="Times New Roman" w:hAnsi="Times New Roman" w:cs="Times New Roman"/>
          <w:sz w:val="24"/>
          <w:szCs w:val="24"/>
        </w:rPr>
        <w:t>4</w:t>
      </w:r>
    </w:p>
    <w:p w:rsidR="00632EC1" w:rsidP="00046DA3" w14:paraId="5D714F1C" w14:textId="77777777">
      <w:pPr>
        <w:rPr>
          <w:rFonts w:ascii="Times New Roman" w:hAnsi="Times New Roman" w:cs="Times New Roman"/>
          <w:sz w:val="24"/>
          <w:szCs w:val="24"/>
        </w:rPr>
      </w:pPr>
    </w:p>
    <w:p w:rsidR="00632EC1" w:rsidP="00046DA3" w14:paraId="5EF4DFFA" w14:textId="77777777">
      <w:pPr>
        <w:rPr>
          <w:rFonts w:ascii="Times New Roman" w:hAnsi="Times New Roman" w:cs="Times New Roman"/>
          <w:sz w:val="24"/>
          <w:szCs w:val="24"/>
        </w:rPr>
      </w:pPr>
    </w:p>
    <w:p w:rsidR="00632EC1" w:rsidP="00046DA3" w14:paraId="73416EDB" w14:textId="77777777">
      <w:pPr>
        <w:rPr>
          <w:rFonts w:ascii="Times New Roman" w:hAnsi="Times New Roman" w:cs="Times New Roman"/>
          <w:sz w:val="24"/>
          <w:szCs w:val="24"/>
        </w:rPr>
      </w:pPr>
    </w:p>
    <w:p w:rsidR="00632EC1" w:rsidP="00046DA3" w14:paraId="3046BD1F" w14:textId="77777777">
      <w:pPr>
        <w:rPr>
          <w:rFonts w:ascii="Times New Roman" w:hAnsi="Times New Roman" w:cs="Times New Roman"/>
          <w:sz w:val="24"/>
          <w:szCs w:val="24"/>
        </w:rPr>
      </w:pPr>
    </w:p>
    <w:p w:rsidR="00632EC1" w:rsidP="00046DA3" w14:paraId="24D227F4" w14:textId="77777777">
      <w:pPr>
        <w:rPr>
          <w:rFonts w:ascii="Times New Roman" w:hAnsi="Times New Roman" w:cs="Times New Roman"/>
          <w:sz w:val="24"/>
          <w:szCs w:val="24"/>
        </w:rPr>
      </w:pPr>
    </w:p>
    <w:p w:rsidR="00632EC1" w:rsidP="00632EC1" w14:paraId="78D64620" w14:textId="77777777"/>
    <w:p w:rsidR="00632EC1" w:rsidRPr="00046DA3" w:rsidP="00046DA3" w14:paraId="4F4D2DFD" w14:textId="77777777">
      <w:pPr>
        <w:rPr>
          <w:rFonts w:ascii="Times New Roman" w:hAnsi="Times New Roman" w:cs="Times New Roman"/>
          <w:sz w:val="24"/>
          <w:szCs w:val="24"/>
        </w:rPr>
      </w:pPr>
      <w:r w:rsidRPr="00632EC1">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68580</wp:posOffset>
                </wp:positionV>
                <wp:extent cx="6105525" cy="3619500"/>
                <wp:effectExtent l="0" t="0" r="28575"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05525" cy="3619500"/>
                        </a:xfrm>
                        <a:prstGeom prst="rect">
                          <a:avLst/>
                        </a:prstGeom>
                        <a:solidFill>
                          <a:srgbClr val="FFFFFF"/>
                        </a:solidFill>
                        <a:ln w="9525">
                          <a:solidFill>
                            <a:srgbClr val="000000"/>
                          </a:solidFill>
                          <a:miter lim="800000"/>
                          <a:headEnd/>
                          <a:tailEnd/>
                        </a:ln>
                      </wps:spPr>
                      <wps:txbx>
                        <w:txbxContent>
                          <w:p w:rsidR="00164FA9" w:rsidRPr="00D31636" w:rsidP="00D31636" w14:textId="37B2FE46">
                            <w:pPr>
                              <w:rPr>
                                <w:rFonts w:ascii="Times New Roman" w:hAnsi="Times New Roman" w:cs="Times New Roman"/>
                                <w:b/>
                                <w:sz w:val="24"/>
                                <w:szCs w:val="24"/>
                              </w:rPr>
                            </w:pPr>
                            <w:r w:rsidRPr="00D31636">
                              <w:rPr>
                                <w:rFonts w:ascii="Times New Roman" w:hAnsi="Times New Roman" w:cs="Times New Roman"/>
                                <w:b/>
                                <w:sz w:val="24"/>
                                <w:szCs w:val="24"/>
                              </w:rPr>
                              <w:t xml:space="preserve">Goal of the study: </w:t>
                            </w:r>
                            <w:r w:rsidRPr="00D31636">
                              <w:rPr>
                                <w:rFonts w:ascii="Times New Roman" w:hAnsi="Times New Roman" w:cs="Times New Roman"/>
                                <w:sz w:val="24"/>
                                <w:szCs w:val="24"/>
                              </w:rPr>
                              <w:t>To collect data from all 62 P</w:t>
                            </w:r>
                            <w:r>
                              <w:rPr>
                                <w:rFonts w:ascii="Times New Roman" w:hAnsi="Times New Roman" w:cs="Times New Roman"/>
                                <w:sz w:val="24"/>
                                <w:szCs w:val="24"/>
                              </w:rPr>
                              <w:t xml:space="preserve">ublic </w:t>
                            </w:r>
                            <w:r w:rsidRPr="00D31636">
                              <w:rPr>
                                <w:rFonts w:ascii="Times New Roman" w:hAnsi="Times New Roman" w:cs="Times New Roman"/>
                                <w:sz w:val="24"/>
                                <w:szCs w:val="24"/>
                              </w:rPr>
                              <w:t>H</w:t>
                            </w:r>
                            <w:r>
                              <w:rPr>
                                <w:rFonts w:ascii="Times New Roman" w:hAnsi="Times New Roman" w:cs="Times New Roman"/>
                                <w:sz w:val="24"/>
                                <w:szCs w:val="24"/>
                              </w:rPr>
                              <w:t xml:space="preserve">ealth </w:t>
                            </w:r>
                            <w:r w:rsidRPr="00D31636">
                              <w:rPr>
                                <w:rFonts w:ascii="Times New Roman" w:hAnsi="Times New Roman" w:cs="Times New Roman"/>
                                <w:sz w:val="24"/>
                                <w:szCs w:val="24"/>
                              </w:rPr>
                              <w:t>E</w:t>
                            </w:r>
                            <w:r>
                              <w:rPr>
                                <w:rFonts w:ascii="Times New Roman" w:hAnsi="Times New Roman" w:cs="Times New Roman"/>
                                <w:sz w:val="24"/>
                                <w:szCs w:val="24"/>
                              </w:rPr>
                              <w:t xml:space="preserve">mergency </w:t>
                            </w:r>
                            <w:r w:rsidRPr="00D31636">
                              <w:rPr>
                                <w:rFonts w:ascii="Times New Roman" w:hAnsi="Times New Roman" w:cs="Times New Roman"/>
                                <w:sz w:val="24"/>
                                <w:szCs w:val="24"/>
                              </w:rPr>
                              <w:t>P</w:t>
                            </w:r>
                            <w:r>
                              <w:rPr>
                                <w:rFonts w:ascii="Times New Roman" w:hAnsi="Times New Roman" w:cs="Times New Roman"/>
                                <w:sz w:val="24"/>
                                <w:szCs w:val="24"/>
                              </w:rPr>
                              <w:t>reparedness (PHEP) cooperative agreement</w:t>
                            </w:r>
                            <w:r w:rsidRPr="00D31636">
                              <w:rPr>
                                <w:rFonts w:ascii="Times New Roman" w:hAnsi="Times New Roman" w:cs="Times New Roman"/>
                                <w:sz w:val="24"/>
                                <w:szCs w:val="24"/>
                              </w:rPr>
                              <w:t xml:space="preserve"> recipients on their preparedness activities and planning and operational functions related to all 15 PHEP Capabilities.</w:t>
                            </w:r>
                          </w:p>
                          <w:p w:rsidR="00164FA9" w:rsidRPr="00D31636" w:rsidP="00D31636" w14:textId="2B0CF33C">
                            <w:pPr>
                              <w:rPr>
                                <w:rFonts w:ascii="Times New Roman" w:hAnsi="Times New Roman" w:cs="Times New Roman"/>
                                <w:b/>
                                <w:sz w:val="24"/>
                                <w:szCs w:val="24"/>
                              </w:rPr>
                            </w:pPr>
                            <w:r w:rsidRPr="00D31636">
                              <w:rPr>
                                <w:rFonts w:ascii="Times New Roman" w:hAnsi="Times New Roman" w:cs="Times New Roman"/>
                                <w:b/>
                                <w:sz w:val="24"/>
                                <w:szCs w:val="24"/>
                              </w:rPr>
                              <w:t>Intended use of the resulting data:</w:t>
                            </w:r>
                            <w:r w:rsidRPr="00D31636">
                              <w:rPr>
                                <w:rFonts w:ascii="Times New Roman" w:hAnsi="Times New Roman" w:cs="Times New Roman"/>
                                <w:sz w:val="24"/>
                                <w:szCs w:val="24"/>
                              </w:rPr>
                              <w:t xml:space="preserve"> The </w:t>
                            </w:r>
                            <w:r>
                              <w:rPr>
                                <w:rFonts w:ascii="Times New Roman" w:hAnsi="Times New Roman" w:cs="Times New Roman"/>
                                <w:sz w:val="24"/>
                                <w:szCs w:val="24"/>
                              </w:rPr>
                              <w:t>information</w:t>
                            </w:r>
                            <w:r w:rsidRPr="00D31636">
                              <w:rPr>
                                <w:rFonts w:ascii="Times New Roman" w:hAnsi="Times New Roman" w:cs="Times New Roman"/>
                                <w:sz w:val="24"/>
                                <w:szCs w:val="24"/>
                              </w:rPr>
                              <w:t xml:space="preserve"> collection is intended to assess strengths and challenges facing preparedness programs across the nation and to identify opportunities for improvement and further technical support.</w:t>
                            </w:r>
                          </w:p>
                          <w:p w:rsidR="00164FA9" w:rsidRPr="00D31636" w:rsidP="00D31636" w14:textId="77777777">
                            <w:pPr>
                              <w:rPr>
                                <w:rFonts w:ascii="Times New Roman" w:hAnsi="Times New Roman" w:cs="Times New Roman"/>
                                <w:b/>
                                <w:sz w:val="24"/>
                                <w:szCs w:val="24"/>
                              </w:rPr>
                            </w:pPr>
                            <w:r w:rsidRPr="00D31636">
                              <w:rPr>
                                <w:rFonts w:ascii="Times New Roman" w:hAnsi="Times New Roman" w:cs="Times New Roman"/>
                                <w:b/>
                                <w:sz w:val="24"/>
                                <w:szCs w:val="24"/>
                              </w:rPr>
                              <w:t>The subpopulation to be studied:</w:t>
                            </w:r>
                            <w:r w:rsidRPr="00D31636">
                              <w:rPr>
                                <w:rFonts w:ascii="Times New Roman" w:hAnsi="Times New Roman" w:cs="Times New Roman"/>
                                <w:sz w:val="24"/>
                                <w:szCs w:val="24"/>
                              </w:rPr>
                              <w:t xml:space="preserve"> All 62 PHEP recipients, including 50 state health departments, 4 major metropolitan areas (Chicago, Los Angeles County, New York City, and Washington, D.C.), and 8 US territories and freely associated states (</w:t>
                            </w:r>
                            <w:r w:rsidRPr="00D31636">
                              <w:rPr>
                                <w:rFonts w:ascii="Times New Roman" w:hAnsi="Times New Roman" w:cs="Times New Roman"/>
                                <w:sz w:val="24"/>
                              </w:rPr>
                              <w:t>American Samoa, Guam, Federated States of Micronesia, Northern Mariana Islands, Puerto Rico, Republic of Palau, Republic of the Marshall Islands, and U.S. Virgin Islands)</w:t>
                            </w:r>
                          </w:p>
                          <w:p w:rsidR="00164FA9" w:rsidRPr="00D31636" w:rsidP="00D31636" w14:textId="2C2AE934">
                            <w:pPr>
                              <w:rPr>
                                <w:rFonts w:ascii="Times New Roman" w:hAnsi="Times New Roman" w:cs="Times New Roman"/>
                                <w:b/>
                                <w:sz w:val="24"/>
                                <w:szCs w:val="24"/>
                              </w:rPr>
                            </w:pPr>
                            <w:r w:rsidRPr="00D31636">
                              <w:rPr>
                                <w:rFonts w:ascii="Times New Roman" w:hAnsi="Times New Roman" w:cs="Times New Roman"/>
                                <w:b/>
                                <w:sz w:val="24"/>
                                <w:szCs w:val="24"/>
                              </w:rPr>
                              <w:t>Information Collection Methods:</w:t>
                            </w:r>
                            <w:r w:rsidRPr="00D31636">
                              <w:rPr>
                                <w:rFonts w:ascii="Times New Roman" w:hAnsi="Times New Roman" w:cs="Times New Roman"/>
                                <w:sz w:val="24"/>
                                <w:szCs w:val="24"/>
                              </w:rPr>
                              <w:t xml:space="preserve"> Jurisdictions will complete a self-assessment using the new Operational Readiness Review</w:t>
                            </w:r>
                            <w:r>
                              <w:rPr>
                                <w:rFonts w:ascii="Times New Roman" w:hAnsi="Times New Roman" w:cs="Times New Roman"/>
                                <w:sz w:val="24"/>
                                <w:szCs w:val="24"/>
                              </w:rPr>
                              <w:t xml:space="preserve"> (ORR)</w:t>
                            </w:r>
                            <w:r w:rsidRPr="00D31636">
                              <w:rPr>
                                <w:rFonts w:ascii="Times New Roman" w:hAnsi="Times New Roman" w:cs="Times New Roman"/>
                                <w:sz w:val="24"/>
                                <w:szCs w:val="24"/>
                              </w:rPr>
                              <w:t xml:space="preserve"> 2.0 platform. The ORR system guides will provide instruction on how to use the ORR application.</w:t>
                            </w:r>
                          </w:p>
                          <w:p w:rsidR="00164FA9" w:rsidRPr="00D31636" w:rsidP="00D31636" w14:textId="27E8BAEC">
                            <w:pPr>
                              <w:rPr>
                                <w:rFonts w:ascii="Times New Roman" w:hAnsi="Times New Roman" w:cs="Times New Roman"/>
                                <w:b/>
                                <w:sz w:val="24"/>
                                <w:szCs w:val="24"/>
                              </w:rPr>
                            </w:pPr>
                            <w:r w:rsidRPr="00D31636">
                              <w:rPr>
                                <w:rFonts w:ascii="Times New Roman" w:hAnsi="Times New Roman" w:cs="Times New Roman"/>
                                <w:b/>
                                <w:sz w:val="24"/>
                                <w:szCs w:val="24"/>
                              </w:rPr>
                              <w:t>How data will be analyzed:</w:t>
                            </w:r>
                            <w:r w:rsidRPr="00F70C64">
                              <w:rPr>
                                <w:rFonts w:ascii="Times New Roman" w:hAnsi="Times New Roman" w:cs="Times New Roman"/>
                                <w:sz w:val="24"/>
                                <w:szCs w:val="24"/>
                              </w:rPr>
                              <w:t xml:space="preserve"> </w:t>
                            </w:r>
                            <w:r>
                              <w:rPr>
                                <w:rFonts w:ascii="Times New Roman" w:hAnsi="Times New Roman" w:cs="Times New Roman"/>
                                <w:sz w:val="24"/>
                                <w:szCs w:val="24"/>
                              </w:rPr>
                              <w:t>Data will be analyzed with descriptive statistics for the development of program reports.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0.75pt;height:285pt;margin-top:5.4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164FA9" w:rsidRPr="00D31636" w:rsidP="00D31636" w14:paraId="359E64BF" w14:textId="37B2FE46">
                      <w:pPr>
                        <w:rPr>
                          <w:rFonts w:ascii="Times New Roman" w:hAnsi="Times New Roman" w:cs="Times New Roman"/>
                          <w:b/>
                          <w:sz w:val="24"/>
                          <w:szCs w:val="24"/>
                        </w:rPr>
                      </w:pPr>
                      <w:r w:rsidRPr="00D31636">
                        <w:rPr>
                          <w:rFonts w:ascii="Times New Roman" w:hAnsi="Times New Roman" w:cs="Times New Roman"/>
                          <w:b/>
                          <w:sz w:val="24"/>
                          <w:szCs w:val="24"/>
                        </w:rPr>
                        <w:t xml:space="preserve">Goal of the study: </w:t>
                      </w:r>
                      <w:r w:rsidRPr="00D31636">
                        <w:rPr>
                          <w:rFonts w:ascii="Times New Roman" w:hAnsi="Times New Roman" w:cs="Times New Roman"/>
                          <w:sz w:val="24"/>
                          <w:szCs w:val="24"/>
                        </w:rPr>
                        <w:t>To collect data from all 62 P</w:t>
                      </w:r>
                      <w:r>
                        <w:rPr>
                          <w:rFonts w:ascii="Times New Roman" w:hAnsi="Times New Roman" w:cs="Times New Roman"/>
                          <w:sz w:val="24"/>
                          <w:szCs w:val="24"/>
                        </w:rPr>
                        <w:t xml:space="preserve">ublic </w:t>
                      </w:r>
                      <w:r w:rsidRPr="00D31636">
                        <w:rPr>
                          <w:rFonts w:ascii="Times New Roman" w:hAnsi="Times New Roman" w:cs="Times New Roman"/>
                          <w:sz w:val="24"/>
                          <w:szCs w:val="24"/>
                        </w:rPr>
                        <w:t>H</w:t>
                      </w:r>
                      <w:r>
                        <w:rPr>
                          <w:rFonts w:ascii="Times New Roman" w:hAnsi="Times New Roman" w:cs="Times New Roman"/>
                          <w:sz w:val="24"/>
                          <w:szCs w:val="24"/>
                        </w:rPr>
                        <w:t xml:space="preserve">ealth </w:t>
                      </w:r>
                      <w:r w:rsidRPr="00D31636">
                        <w:rPr>
                          <w:rFonts w:ascii="Times New Roman" w:hAnsi="Times New Roman" w:cs="Times New Roman"/>
                          <w:sz w:val="24"/>
                          <w:szCs w:val="24"/>
                        </w:rPr>
                        <w:t>E</w:t>
                      </w:r>
                      <w:r>
                        <w:rPr>
                          <w:rFonts w:ascii="Times New Roman" w:hAnsi="Times New Roman" w:cs="Times New Roman"/>
                          <w:sz w:val="24"/>
                          <w:szCs w:val="24"/>
                        </w:rPr>
                        <w:t xml:space="preserve">mergency </w:t>
                      </w:r>
                      <w:r w:rsidRPr="00D31636">
                        <w:rPr>
                          <w:rFonts w:ascii="Times New Roman" w:hAnsi="Times New Roman" w:cs="Times New Roman"/>
                          <w:sz w:val="24"/>
                          <w:szCs w:val="24"/>
                        </w:rPr>
                        <w:t>P</w:t>
                      </w:r>
                      <w:r>
                        <w:rPr>
                          <w:rFonts w:ascii="Times New Roman" w:hAnsi="Times New Roman" w:cs="Times New Roman"/>
                          <w:sz w:val="24"/>
                          <w:szCs w:val="24"/>
                        </w:rPr>
                        <w:t>reparedness (PHEP) cooperative agreement</w:t>
                      </w:r>
                      <w:r w:rsidRPr="00D31636">
                        <w:rPr>
                          <w:rFonts w:ascii="Times New Roman" w:hAnsi="Times New Roman" w:cs="Times New Roman"/>
                          <w:sz w:val="24"/>
                          <w:szCs w:val="24"/>
                        </w:rPr>
                        <w:t xml:space="preserve"> recipients on their preparedness activities and planning and operational functions related to all 15 PHEP Capabilities.</w:t>
                      </w:r>
                    </w:p>
                    <w:p w:rsidR="00164FA9" w:rsidRPr="00D31636" w:rsidP="00D31636" w14:paraId="188BC8BC" w14:textId="2B0CF33C">
                      <w:pPr>
                        <w:rPr>
                          <w:rFonts w:ascii="Times New Roman" w:hAnsi="Times New Roman" w:cs="Times New Roman"/>
                          <w:b/>
                          <w:sz w:val="24"/>
                          <w:szCs w:val="24"/>
                        </w:rPr>
                      </w:pPr>
                      <w:r w:rsidRPr="00D31636">
                        <w:rPr>
                          <w:rFonts w:ascii="Times New Roman" w:hAnsi="Times New Roman" w:cs="Times New Roman"/>
                          <w:b/>
                          <w:sz w:val="24"/>
                          <w:szCs w:val="24"/>
                        </w:rPr>
                        <w:t>Intended use of the resulting data:</w:t>
                      </w:r>
                      <w:r w:rsidRPr="00D31636">
                        <w:rPr>
                          <w:rFonts w:ascii="Times New Roman" w:hAnsi="Times New Roman" w:cs="Times New Roman"/>
                          <w:sz w:val="24"/>
                          <w:szCs w:val="24"/>
                        </w:rPr>
                        <w:t xml:space="preserve"> The </w:t>
                      </w:r>
                      <w:r>
                        <w:rPr>
                          <w:rFonts w:ascii="Times New Roman" w:hAnsi="Times New Roman" w:cs="Times New Roman"/>
                          <w:sz w:val="24"/>
                          <w:szCs w:val="24"/>
                        </w:rPr>
                        <w:t>information</w:t>
                      </w:r>
                      <w:r w:rsidRPr="00D31636">
                        <w:rPr>
                          <w:rFonts w:ascii="Times New Roman" w:hAnsi="Times New Roman" w:cs="Times New Roman"/>
                          <w:sz w:val="24"/>
                          <w:szCs w:val="24"/>
                        </w:rPr>
                        <w:t xml:space="preserve"> collection is intended to assess strengths and challenges facing preparedness programs across the nation and to identify opportunities for improvement and further technical support.</w:t>
                      </w:r>
                    </w:p>
                    <w:p w:rsidR="00164FA9" w:rsidRPr="00D31636" w:rsidP="00D31636" w14:paraId="45A08380" w14:textId="77777777">
                      <w:pPr>
                        <w:rPr>
                          <w:rFonts w:ascii="Times New Roman" w:hAnsi="Times New Roman" w:cs="Times New Roman"/>
                          <w:b/>
                          <w:sz w:val="24"/>
                          <w:szCs w:val="24"/>
                        </w:rPr>
                      </w:pPr>
                      <w:r w:rsidRPr="00D31636">
                        <w:rPr>
                          <w:rFonts w:ascii="Times New Roman" w:hAnsi="Times New Roman" w:cs="Times New Roman"/>
                          <w:b/>
                          <w:sz w:val="24"/>
                          <w:szCs w:val="24"/>
                        </w:rPr>
                        <w:t>The subpopulation to be studied:</w:t>
                      </w:r>
                      <w:r w:rsidRPr="00D31636">
                        <w:rPr>
                          <w:rFonts w:ascii="Times New Roman" w:hAnsi="Times New Roman" w:cs="Times New Roman"/>
                          <w:sz w:val="24"/>
                          <w:szCs w:val="24"/>
                        </w:rPr>
                        <w:t xml:space="preserve"> All 62 PHEP recipients, including 50 state health departments, 4 major metropolitan areas (Chicago, Los Angeles County, New York City, and Washington, D.C.), and 8 US territories and freely associated states (</w:t>
                      </w:r>
                      <w:r w:rsidRPr="00D31636">
                        <w:rPr>
                          <w:rFonts w:ascii="Times New Roman" w:hAnsi="Times New Roman" w:cs="Times New Roman"/>
                          <w:sz w:val="24"/>
                        </w:rPr>
                        <w:t>American Samoa, Guam, Federated States of Micronesia, Northern Mariana Islands, Puerto Rico, Republic of Palau, Republic of the Marshall Islands, and U.S. Virgin Islands)</w:t>
                      </w:r>
                    </w:p>
                    <w:p w:rsidR="00164FA9" w:rsidRPr="00D31636" w:rsidP="00D31636" w14:paraId="39E1AFF9" w14:textId="2C2AE934">
                      <w:pPr>
                        <w:rPr>
                          <w:rFonts w:ascii="Times New Roman" w:hAnsi="Times New Roman" w:cs="Times New Roman"/>
                          <w:b/>
                          <w:sz w:val="24"/>
                          <w:szCs w:val="24"/>
                        </w:rPr>
                      </w:pPr>
                      <w:r w:rsidRPr="00D31636">
                        <w:rPr>
                          <w:rFonts w:ascii="Times New Roman" w:hAnsi="Times New Roman" w:cs="Times New Roman"/>
                          <w:b/>
                          <w:sz w:val="24"/>
                          <w:szCs w:val="24"/>
                        </w:rPr>
                        <w:t>Information Collection Methods:</w:t>
                      </w:r>
                      <w:r w:rsidRPr="00D31636">
                        <w:rPr>
                          <w:rFonts w:ascii="Times New Roman" w:hAnsi="Times New Roman" w:cs="Times New Roman"/>
                          <w:sz w:val="24"/>
                          <w:szCs w:val="24"/>
                        </w:rPr>
                        <w:t xml:space="preserve"> Jurisdictions will complete a self-assessment using the new Operational Readiness Review</w:t>
                      </w:r>
                      <w:r>
                        <w:rPr>
                          <w:rFonts w:ascii="Times New Roman" w:hAnsi="Times New Roman" w:cs="Times New Roman"/>
                          <w:sz w:val="24"/>
                          <w:szCs w:val="24"/>
                        </w:rPr>
                        <w:t xml:space="preserve"> (ORR)</w:t>
                      </w:r>
                      <w:r w:rsidRPr="00D31636">
                        <w:rPr>
                          <w:rFonts w:ascii="Times New Roman" w:hAnsi="Times New Roman" w:cs="Times New Roman"/>
                          <w:sz w:val="24"/>
                          <w:szCs w:val="24"/>
                        </w:rPr>
                        <w:t xml:space="preserve"> 2.0 platform. The ORR system guides will provide instruction on how to use the ORR application.</w:t>
                      </w:r>
                    </w:p>
                    <w:p w:rsidR="00164FA9" w:rsidRPr="00D31636" w:rsidP="00D31636" w14:paraId="2228C192" w14:textId="27E8BAEC">
                      <w:pPr>
                        <w:rPr>
                          <w:rFonts w:ascii="Times New Roman" w:hAnsi="Times New Roman" w:cs="Times New Roman"/>
                          <w:b/>
                          <w:sz w:val="24"/>
                          <w:szCs w:val="24"/>
                        </w:rPr>
                      </w:pPr>
                      <w:r w:rsidRPr="00D31636">
                        <w:rPr>
                          <w:rFonts w:ascii="Times New Roman" w:hAnsi="Times New Roman" w:cs="Times New Roman"/>
                          <w:b/>
                          <w:sz w:val="24"/>
                          <w:szCs w:val="24"/>
                        </w:rPr>
                        <w:t>How data will be analyzed:</w:t>
                      </w:r>
                      <w:r w:rsidRPr="00F70C64">
                        <w:rPr>
                          <w:rFonts w:ascii="Times New Roman" w:hAnsi="Times New Roman" w:cs="Times New Roman"/>
                          <w:sz w:val="24"/>
                          <w:szCs w:val="24"/>
                        </w:rPr>
                        <w:t xml:space="preserve"> </w:t>
                      </w:r>
                      <w:r>
                        <w:rPr>
                          <w:rFonts w:ascii="Times New Roman" w:hAnsi="Times New Roman" w:cs="Times New Roman"/>
                          <w:sz w:val="24"/>
                          <w:szCs w:val="24"/>
                        </w:rPr>
                        <w:t>Data will be analyzed with descriptive statistics for the development of program reports.</w:t>
                      </w:r>
                    </w:p>
                  </w:txbxContent>
                </v:textbox>
                <w10:wrap type="square"/>
              </v:shape>
            </w:pict>
          </mc:Fallback>
        </mc:AlternateContent>
      </w:r>
    </w:p>
    <w:p w:rsidR="00BB5919" w:rsidRPr="009A6598" w:rsidP="003D33A6" w14:paraId="5EEA2032" w14:textId="77777777">
      <w:pPr>
        <w:rPr>
          <w:rFonts w:ascii="Times New Roman" w:hAnsi="Times New Roman" w:cs="Times New Roman"/>
          <w:sz w:val="28"/>
          <w:szCs w:val="24"/>
        </w:rPr>
      </w:pPr>
      <w:r w:rsidRPr="009A6598">
        <w:rPr>
          <w:rFonts w:ascii="Times New Roman" w:hAnsi="Times New Roman" w:cs="Times New Roman"/>
          <w:b/>
          <w:sz w:val="28"/>
          <w:szCs w:val="24"/>
        </w:rPr>
        <w:t>Section A – Justification</w:t>
      </w:r>
    </w:p>
    <w:p w:rsidR="003D33A6" w:rsidRPr="00D31636" w:rsidP="00D31636" w14:paraId="56E1FD79" w14:textId="77777777">
      <w:pPr>
        <w:rPr>
          <w:rFonts w:ascii="Times New Roman" w:hAnsi="Times New Roman" w:cs="Times New Roman"/>
          <w:b/>
          <w:sz w:val="24"/>
          <w:szCs w:val="24"/>
        </w:rPr>
      </w:pPr>
      <w:r>
        <w:rPr>
          <w:rFonts w:ascii="Times New Roman" w:hAnsi="Times New Roman" w:cs="Times New Roman"/>
          <w:b/>
          <w:sz w:val="24"/>
          <w:szCs w:val="24"/>
        </w:rPr>
        <w:t xml:space="preserve">A.1. </w:t>
      </w:r>
      <w:r w:rsidRPr="00D31636">
        <w:rPr>
          <w:rFonts w:ascii="Times New Roman" w:hAnsi="Times New Roman" w:cs="Times New Roman"/>
          <w:b/>
          <w:sz w:val="24"/>
          <w:szCs w:val="24"/>
        </w:rPr>
        <w:t>Circumstances Making the Collection of Information Necessary</w:t>
      </w:r>
    </w:p>
    <w:p w:rsidR="001F52B1" w:rsidP="002B0F1B" w14:paraId="68B980C6" w14:textId="47CBB4DC">
      <w:pPr>
        <w:rPr>
          <w:rFonts w:ascii="Times New Roman" w:hAnsi="Times New Roman" w:cs="Times New Roman"/>
          <w:sz w:val="24"/>
        </w:rPr>
      </w:pPr>
      <w:r>
        <w:rPr>
          <w:rFonts w:ascii="Times New Roman" w:hAnsi="Times New Roman" w:cs="Times New Roman"/>
          <w:sz w:val="24"/>
        </w:rPr>
        <w:t xml:space="preserve">Public health emergency preparedness and response capacity continues to be tested at national, state, local, tribal, and territorial levels. There are ongoing risks related to chemical, biological, radiological, </w:t>
      </w:r>
      <w:r>
        <w:rPr>
          <w:rFonts w:ascii="Times New Roman" w:hAnsi="Times New Roman" w:cs="Times New Roman"/>
          <w:sz w:val="24"/>
        </w:rPr>
        <w:t>cyber</w:t>
      </w:r>
      <w:r>
        <w:rPr>
          <w:rFonts w:ascii="Times New Roman" w:hAnsi="Times New Roman" w:cs="Times New Roman"/>
          <w:sz w:val="24"/>
        </w:rPr>
        <w:t xml:space="preserve"> and nuclear incidents,</w:t>
      </w:r>
      <w:r w:rsidR="00237640">
        <w:rPr>
          <w:rFonts w:ascii="Times New Roman" w:hAnsi="Times New Roman" w:cs="Times New Roman"/>
          <w:sz w:val="24"/>
        </w:rPr>
        <w:t xml:space="preserve"> as well as pandemic outbreaks and natural disasters,</w:t>
      </w:r>
      <w:r>
        <w:rPr>
          <w:rFonts w:ascii="Times New Roman" w:hAnsi="Times New Roman" w:cs="Times New Roman"/>
          <w:sz w:val="24"/>
        </w:rPr>
        <w:t xml:space="preserve"> which emphasize the importance of all-hazards public health preparedness and response at all levels of government. </w:t>
      </w:r>
      <w:r w:rsidR="00E93439">
        <w:rPr>
          <w:rFonts w:ascii="Times New Roman" w:hAnsi="Times New Roman" w:cs="Times New Roman"/>
          <w:sz w:val="24"/>
        </w:rPr>
        <w:t>The Centers for Disease Control and Prevention</w:t>
      </w:r>
      <w:r w:rsidR="008260C7">
        <w:rPr>
          <w:rFonts w:ascii="Times New Roman" w:hAnsi="Times New Roman" w:cs="Times New Roman"/>
          <w:sz w:val="24"/>
        </w:rPr>
        <w:t>’s</w:t>
      </w:r>
      <w:r w:rsidR="00E93439">
        <w:rPr>
          <w:rFonts w:ascii="Times New Roman" w:hAnsi="Times New Roman" w:cs="Times New Roman"/>
          <w:sz w:val="24"/>
        </w:rPr>
        <w:t xml:space="preserve"> (CDC) Division of State and Local Readiness (DSLR) administers the Public Health Emergency Preparedness (PHEP) </w:t>
      </w:r>
      <w:r w:rsidR="005F65F2">
        <w:rPr>
          <w:rFonts w:ascii="Times New Roman" w:hAnsi="Times New Roman" w:cs="Times New Roman"/>
          <w:sz w:val="24"/>
        </w:rPr>
        <w:t>c</w:t>
      </w:r>
      <w:r w:rsidR="00E93439">
        <w:rPr>
          <w:rFonts w:ascii="Times New Roman" w:hAnsi="Times New Roman" w:cs="Times New Roman"/>
          <w:sz w:val="24"/>
        </w:rPr>
        <w:t xml:space="preserve">ooperative </w:t>
      </w:r>
      <w:r w:rsidR="005F65F2">
        <w:rPr>
          <w:rFonts w:ascii="Times New Roman" w:hAnsi="Times New Roman" w:cs="Times New Roman"/>
          <w:sz w:val="24"/>
        </w:rPr>
        <w:t>a</w:t>
      </w:r>
      <w:r w:rsidR="00E93439">
        <w:rPr>
          <w:rFonts w:ascii="Times New Roman" w:hAnsi="Times New Roman" w:cs="Times New Roman"/>
          <w:sz w:val="24"/>
        </w:rPr>
        <w:t>greement</w:t>
      </w:r>
      <w:r>
        <w:rPr>
          <w:rFonts w:ascii="Times New Roman" w:hAnsi="Times New Roman" w:cs="Times New Roman"/>
          <w:sz w:val="24"/>
        </w:rPr>
        <w:t xml:space="preserve"> to help address these challenges. The PHEP program supports preparedness activities and provides technical assistance to 62 state, local, and territorial jurisdictions</w:t>
      </w:r>
      <w:r w:rsidR="00A74D20">
        <w:rPr>
          <w:rFonts w:ascii="Times New Roman" w:hAnsi="Times New Roman" w:cs="Times New Roman"/>
          <w:sz w:val="24"/>
        </w:rPr>
        <w:t xml:space="preserve"> including 4 major metropolitan areas: </w:t>
      </w:r>
      <w:r w:rsidRPr="00106FB0" w:rsidR="00106FB0">
        <w:rPr>
          <w:rFonts w:ascii="Times New Roman" w:hAnsi="Times New Roman" w:cs="Times New Roman"/>
          <w:sz w:val="24"/>
        </w:rPr>
        <w:t>Chicago, Los Angeles County, New York City, and Washington, D.C.</w:t>
      </w:r>
      <w:r w:rsidR="00A74D20">
        <w:rPr>
          <w:rFonts w:ascii="Times New Roman" w:hAnsi="Times New Roman" w:cs="Times New Roman"/>
          <w:sz w:val="24"/>
        </w:rPr>
        <w:t xml:space="preserve"> </w:t>
      </w:r>
      <w:r w:rsidR="00DC56B7">
        <w:rPr>
          <w:rFonts w:ascii="Times New Roman" w:hAnsi="Times New Roman" w:cs="Times New Roman"/>
          <w:sz w:val="24"/>
        </w:rPr>
        <w:t xml:space="preserve"> (CDC, 2020).</w:t>
      </w:r>
      <w:r>
        <w:rPr>
          <w:rFonts w:ascii="Times New Roman" w:hAnsi="Times New Roman" w:cs="Times New Roman"/>
          <w:sz w:val="24"/>
        </w:rPr>
        <w:t xml:space="preserve"> </w:t>
      </w:r>
    </w:p>
    <w:p w:rsidR="00E51ED6" w:rsidP="002B0F1B" w14:paraId="65C4845A" w14:textId="3979FD0E">
      <w:pPr>
        <w:rPr>
          <w:rFonts w:ascii="Times New Roman" w:hAnsi="Times New Roman" w:cs="Times New Roman"/>
          <w:sz w:val="24"/>
        </w:rPr>
      </w:pPr>
      <w:r>
        <w:rPr>
          <w:rFonts w:ascii="Times New Roman" w:hAnsi="Times New Roman" w:cs="Times New Roman"/>
          <w:sz w:val="24"/>
        </w:rPr>
        <w:t>The PHEP program</w:t>
      </w:r>
      <w:r w:rsidR="00E236B7">
        <w:rPr>
          <w:rFonts w:ascii="Times New Roman" w:hAnsi="Times New Roman" w:cs="Times New Roman"/>
          <w:sz w:val="24"/>
        </w:rPr>
        <w:t xml:space="preserve"> is</w:t>
      </w:r>
      <w:r w:rsidR="00237640">
        <w:rPr>
          <w:rFonts w:ascii="Times New Roman" w:hAnsi="Times New Roman" w:cs="Times New Roman"/>
          <w:sz w:val="24"/>
        </w:rPr>
        <w:t xml:space="preserve"> the largest cooperative agreement at CDC and</w:t>
      </w:r>
      <w:r w:rsidR="00E236B7">
        <w:rPr>
          <w:rFonts w:ascii="Times New Roman" w:hAnsi="Times New Roman" w:cs="Times New Roman"/>
          <w:sz w:val="24"/>
        </w:rPr>
        <w:t xml:space="preserve"> a critical source of funding for state</w:t>
      </w:r>
      <w:r w:rsidR="004B70F2">
        <w:rPr>
          <w:rFonts w:ascii="Times New Roman" w:hAnsi="Times New Roman" w:cs="Times New Roman"/>
          <w:sz w:val="24"/>
        </w:rPr>
        <w:t>,</w:t>
      </w:r>
      <w:r w:rsidR="00E236B7">
        <w:rPr>
          <w:rFonts w:ascii="Times New Roman" w:hAnsi="Times New Roman" w:cs="Times New Roman"/>
          <w:sz w:val="24"/>
        </w:rPr>
        <w:t xml:space="preserve"> local</w:t>
      </w:r>
      <w:r w:rsidR="004B70F2">
        <w:rPr>
          <w:rFonts w:ascii="Times New Roman" w:hAnsi="Times New Roman" w:cs="Times New Roman"/>
          <w:sz w:val="24"/>
        </w:rPr>
        <w:t>, and territorial</w:t>
      </w:r>
      <w:r w:rsidR="00E236B7">
        <w:rPr>
          <w:rFonts w:ascii="Times New Roman" w:hAnsi="Times New Roman" w:cs="Times New Roman"/>
          <w:sz w:val="24"/>
        </w:rPr>
        <w:t xml:space="preserve"> health departments to</w:t>
      </w:r>
      <w:r>
        <w:rPr>
          <w:rFonts w:ascii="Times New Roman" w:hAnsi="Times New Roman" w:cs="Times New Roman"/>
          <w:sz w:val="24"/>
        </w:rPr>
        <w:t xml:space="preserve"> build and strengthen </w:t>
      </w:r>
      <w:r w:rsidR="00E236B7">
        <w:rPr>
          <w:rFonts w:ascii="Times New Roman" w:hAnsi="Times New Roman" w:cs="Times New Roman"/>
          <w:sz w:val="24"/>
        </w:rPr>
        <w:t>their ability</w:t>
      </w:r>
      <w:r>
        <w:rPr>
          <w:rFonts w:ascii="Times New Roman" w:hAnsi="Times New Roman" w:cs="Times New Roman"/>
          <w:sz w:val="24"/>
        </w:rPr>
        <w:t xml:space="preserve"> to respond and recover from public health emergencies. </w:t>
      </w:r>
      <w:r w:rsidR="00C53104">
        <w:rPr>
          <w:rFonts w:ascii="Times New Roman" w:hAnsi="Times New Roman" w:cs="Times New Roman"/>
          <w:sz w:val="24"/>
        </w:rPr>
        <w:t xml:space="preserve">The 2019-2024 funding opportunity (CDC-RFA-TP19-1901) </w:t>
      </w:r>
      <w:r w:rsidR="00753A75">
        <w:rPr>
          <w:rFonts w:ascii="Times New Roman" w:hAnsi="Times New Roman" w:cs="Times New Roman"/>
          <w:sz w:val="24"/>
        </w:rPr>
        <w:t>(</w:t>
      </w:r>
      <w:r w:rsidRPr="003A6DEA" w:rsidR="00753A75">
        <w:rPr>
          <w:rFonts w:ascii="Times New Roman" w:hAnsi="Times New Roman" w:cs="Times New Roman"/>
          <w:b/>
          <w:bCs/>
          <w:sz w:val="24"/>
        </w:rPr>
        <w:t>Attachment 4</w:t>
      </w:r>
      <w:r w:rsidR="00753A75">
        <w:rPr>
          <w:rFonts w:ascii="Times New Roman" w:hAnsi="Times New Roman" w:cs="Times New Roman"/>
          <w:sz w:val="24"/>
        </w:rPr>
        <w:t xml:space="preserve">) </w:t>
      </w:r>
      <w:r w:rsidR="00C53104">
        <w:rPr>
          <w:rFonts w:ascii="Times New Roman" w:hAnsi="Times New Roman" w:cs="Times New Roman"/>
          <w:sz w:val="24"/>
        </w:rPr>
        <w:t>provides fiscal resources to state, local, and territorial public health agencies to advance their ability to demonstrate response readiness by the end of the period of performance</w:t>
      </w:r>
      <w:r w:rsidR="00893015">
        <w:rPr>
          <w:rFonts w:ascii="Times New Roman" w:hAnsi="Times New Roman" w:cs="Times New Roman"/>
          <w:sz w:val="24"/>
        </w:rPr>
        <w:t xml:space="preserve"> (CDC, 2019)</w:t>
      </w:r>
      <w:r w:rsidR="00C53104">
        <w:rPr>
          <w:rFonts w:ascii="Times New Roman" w:hAnsi="Times New Roman" w:cs="Times New Roman"/>
          <w:sz w:val="24"/>
        </w:rPr>
        <w:t xml:space="preserve">. The PHEP cooperative agreement and associated data collection is </w:t>
      </w:r>
      <w:r w:rsidR="00C53104">
        <w:rPr>
          <w:rFonts w:ascii="Times New Roman" w:hAnsi="Times New Roman" w:cs="Times New Roman"/>
          <w:sz w:val="24"/>
        </w:rPr>
        <w:t>authorized under Section 319C-1 of the Public Health Service (PHS) Act (</w:t>
      </w:r>
      <w:r w:rsidRPr="00C53104" w:rsidR="00C53104">
        <w:rPr>
          <w:rFonts w:ascii="Times New Roman" w:hAnsi="Times New Roman" w:cs="Times New Roman"/>
          <w:sz w:val="24"/>
        </w:rPr>
        <w:t>47 USC § 247d-3a),</w:t>
      </w:r>
      <w:r w:rsidR="00C53104">
        <w:rPr>
          <w:rFonts w:ascii="Times New Roman" w:hAnsi="Times New Roman" w:cs="Times New Roman"/>
          <w:sz w:val="24"/>
        </w:rPr>
        <w:t xml:space="preserve"> as amended</w:t>
      </w:r>
      <w:r w:rsidR="00C20E7C">
        <w:rPr>
          <w:rFonts w:ascii="Times New Roman" w:hAnsi="Times New Roman" w:cs="Times New Roman"/>
          <w:sz w:val="24"/>
        </w:rPr>
        <w:t xml:space="preserve"> (</w:t>
      </w:r>
      <w:r w:rsidRPr="003A6DEA" w:rsidR="00C20E7C">
        <w:rPr>
          <w:rFonts w:ascii="Times New Roman" w:hAnsi="Times New Roman" w:cs="Times New Roman"/>
          <w:b/>
          <w:bCs/>
          <w:sz w:val="24"/>
        </w:rPr>
        <w:t>Attachment 1</w:t>
      </w:r>
      <w:r w:rsidR="00C20E7C">
        <w:rPr>
          <w:rFonts w:ascii="Times New Roman" w:hAnsi="Times New Roman" w:cs="Times New Roman"/>
          <w:sz w:val="24"/>
        </w:rPr>
        <w:t>).</w:t>
      </w:r>
    </w:p>
    <w:p w:rsidR="002B0F1B" w:rsidP="002B0F1B" w14:paraId="76159873" w14:textId="06606893">
      <w:pPr>
        <w:rPr>
          <w:rFonts w:ascii="Times New Roman" w:hAnsi="Times New Roman" w:cs="Times New Roman"/>
          <w:sz w:val="24"/>
          <w:szCs w:val="24"/>
        </w:rPr>
      </w:pPr>
      <w:r>
        <w:rPr>
          <w:rFonts w:ascii="Times New Roman" w:hAnsi="Times New Roman" w:cs="Times New Roman"/>
          <w:sz w:val="24"/>
          <w:szCs w:val="24"/>
        </w:rPr>
        <w:t>This is a</w:t>
      </w:r>
      <w:r w:rsidR="00753A75">
        <w:rPr>
          <w:rFonts w:ascii="Times New Roman" w:hAnsi="Times New Roman" w:cs="Times New Roman"/>
          <w:sz w:val="24"/>
          <w:szCs w:val="24"/>
        </w:rPr>
        <w:t xml:space="preserve">n </w:t>
      </w:r>
      <w:r w:rsidR="007235B8">
        <w:rPr>
          <w:rFonts w:ascii="Times New Roman" w:hAnsi="Times New Roman" w:cs="Times New Roman"/>
          <w:sz w:val="24"/>
          <w:szCs w:val="24"/>
        </w:rPr>
        <w:t>Reinstatement without Change</w:t>
      </w:r>
      <w:r w:rsidR="00F5743C">
        <w:rPr>
          <w:rFonts w:ascii="Times New Roman" w:hAnsi="Times New Roman" w:cs="Times New Roman"/>
          <w:sz w:val="24"/>
          <w:szCs w:val="24"/>
        </w:rPr>
        <w:t xml:space="preserve"> request for </w:t>
      </w:r>
      <w:r w:rsidR="00F5743C">
        <w:rPr>
          <w:rFonts w:ascii="Times New Roman" w:hAnsi="Times New Roman" w:cs="Times New Roman"/>
          <w:sz w:val="24"/>
          <w:szCs w:val="24"/>
        </w:rPr>
        <w:t xml:space="preserve">the </w:t>
      </w:r>
      <w:r w:rsidR="00015836">
        <w:rPr>
          <w:rFonts w:ascii="Times New Roman" w:hAnsi="Times New Roman" w:cs="Times New Roman"/>
          <w:sz w:val="24"/>
          <w:szCs w:val="24"/>
        </w:rPr>
        <w:t xml:space="preserve"> “</w:t>
      </w:r>
      <w:r w:rsidR="00015836">
        <w:rPr>
          <w:rFonts w:ascii="Times New Roman" w:hAnsi="Times New Roman" w:cs="Times New Roman"/>
          <w:sz w:val="24"/>
          <w:szCs w:val="24"/>
        </w:rPr>
        <w:t>Operational Readiness Review</w:t>
      </w:r>
      <w:r w:rsidR="00F25445">
        <w:rPr>
          <w:rFonts w:ascii="Times New Roman" w:hAnsi="Times New Roman" w:cs="Times New Roman"/>
          <w:sz w:val="24"/>
          <w:szCs w:val="24"/>
        </w:rPr>
        <w:t xml:space="preserve"> 2.0</w:t>
      </w:r>
      <w:r w:rsidR="00015836">
        <w:rPr>
          <w:rFonts w:ascii="Times New Roman" w:hAnsi="Times New Roman" w:cs="Times New Roman"/>
          <w:sz w:val="24"/>
          <w:szCs w:val="24"/>
        </w:rPr>
        <w:t xml:space="preserve">” </w:t>
      </w:r>
      <w:r w:rsidR="00F5743C">
        <w:rPr>
          <w:rFonts w:ascii="Times New Roman" w:hAnsi="Times New Roman" w:cs="Times New Roman"/>
          <w:sz w:val="24"/>
          <w:szCs w:val="24"/>
        </w:rPr>
        <w:t xml:space="preserve">ICR (OMB Control </w:t>
      </w:r>
      <w:r w:rsidR="00F5743C">
        <w:rPr>
          <w:rFonts w:ascii="Times New Roman" w:hAnsi="Times New Roman" w:cs="Times New Roman"/>
          <w:sz w:val="24"/>
          <w:szCs w:val="24"/>
        </w:rPr>
        <w:t>No.c</w:t>
      </w:r>
      <w:r w:rsidR="00F5743C">
        <w:rPr>
          <w:rFonts w:ascii="Times New Roman" w:hAnsi="Times New Roman" w:cs="Times New Roman"/>
          <w:sz w:val="24"/>
          <w:szCs w:val="24"/>
        </w:rPr>
        <w:t xml:space="preserve"> 0920-1352, Exp. Date 10/31/2024) </w:t>
      </w:r>
      <w:r w:rsidR="00015836">
        <w:rPr>
          <w:rFonts w:ascii="Times New Roman" w:hAnsi="Times New Roman" w:cs="Times New Roman"/>
          <w:sz w:val="24"/>
          <w:szCs w:val="24"/>
        </w:rPr>
        <w:t xml:space="preserve">for which DSLR is requesting a </w:t>
      </w:r>
      <w:r w:rsidR="0002363E">
        <w:rPr>
          <w:rFonts w:ascii="Times New Roman" w:hAnsi="Times New Roman" w:cs="Times New Roman"/>
          <w:sz w:val="24"/>
          <w:szCs w:val="24"/>
        </w:rPr>
        <w:t>th</w:t>
      </w:r>
      <w:r w:rsidR="001837D7">
        <w:rPr>
          <w:rFonts w:ascii="Times New Roman" w:hAnsi="Times New Roman" w:cs="Times New Roman"/>
          <w:sz w:val="24"/>
          <w:szCs w:val="24"/>
        </w:rPr>
        <w:t>r</w:t>
      </w:r>
      <w:r w:rsidR="0002363E">
        <w:rPr>
          <w:rFonts w:ascii="Times New Roman" w:hAnsi="Times New Roman" w:cs="Times New Roman"/>
          <w:sz w:val="24"/>
          <w:szCs w:val="24"/>
        </w:rPr>
        <w:t>ee</w:t>
      </w:r>
      <w:r w:rsidR="00015836">
        <w:rPr>
          <w:rFonts w:ascii="Times New Roman" w:hAnsi="Times New Roman" w:cs="Times New Roman"/>
          <w:sz w:val="24"/>
          <w:szCs w:val="24"/>
        </w:rPr>
        <w:t xml:space="preserve">-year Paperwork Reduction Act (PRA) clearance. </w:t>
      </w:r>
    </w:p>
    <w:p w:rsidR="001D0764" w:rsidP="002B0F1B" w14:paraId="6EE8A10A" w14:textId="201B6AA8">
      <w:pPr>
        <w:rPr>
          <w:rFonts w:ascii="Times New Roman" w:hAnsi="Times New Roman" w:cs="Times New Roman"/>
          <w:sz w:val="24"/>
          <w:szCs w:val="24"/>
        </w:rPr>
      </w:pPr>
      <w:r>
        <w:rPr>
          <w:rFonts w:ascii="Times New Roman" w:hAnsi="Times New Roman" w:cs="Times New Roman"/>
          <w:sz w:val="24"/>
          <w:szCs w:val="24"/>
        </w:rPr>
        <w:t xml:space="preserve">Under the </w:t>
      </w:r>
      <w:r w:rsidR="00052D53">
        <w:rPr>
          <w:rFonts w:ascii="Times New Roman" w:hAnsi="Times New Roman" w:cs="Times New Roman"/>
          <w:sz w:val="24"/>
          <w:szCs w:val="24"/>
        </w:rPr>
        <w:t>current</w:t>
      </w:r>
      <w:r>
        <w:rPr>
          <w:rFonts w:ascii="Times New Roman" w:hAnsi="Times New Roman" w:cs="Times New Roman"/>
          <w:sz w:val="24"/>
          <w:szCs w:val="24"/>
        </w:rPr>
        <w:t xml:space="preserve"> </w:t>
      </w:r>
      <w:r w:rsidR="004B70F2">
        <w:rPr>
          <w:rFonts w:ascii="Times New Roman" w:hAnsi="Times New Roman" w:cs="Times New Roman"/>
          <w:sz w:val="24"/>
          <w:szCs w:val="24"/>
        </w:rPr>
        <w:t>five</w:t>
      </w:r>
      <w:r>
        <w:rPr>
          <w:rFonts w:ascii="Times New Roman" w:hAnsi="Times New Roman" w:cs="Times New Roman"/>
          <w:sz w:val="24"/>
          <w:szCs w:val="24"/>
        </w:rPr>
        <w:t>-year cooperative agreement, DSLR will collect information related to the 62</w:t>
      </w:r>
      <w:r w:rsidR="00237640">
        <w:rPr>
          <w:rFonts w:ascii="Times New Roman" w:hAnsi="Times New Roman" w:cs="Times New Roman"/>
          <w:sz w:val="24"/>
          <w:szCs w:val="24"/>
        </w:rPr>
        <w:t xml:space="preserve"> recipients</w:t>
      </w:r>
      <w:r>
        <w:rPr>
          <w:rFonts w:ascii="Times New Roman" w:hAnsi="Times New Roman" w:cs="Times New Roman"/>
          <w:sz w:val="24"/>
          <w:szCs w:val="24"/>
        </w:rPr>
        <w:t xml:space="preserve">’ activities across 15 </w:t>
      </w:r>
      <w:r w:rsidR="004B70F2">
        <w:rPr>
          <w:rFonts w:ascii="Times New Roman" w:hAnsi="Times New Roman" w:cs="Times New Roman"/>
          <w:sz w:val="24"/>
          <w:szCs w:val="24"/>
        </w:rPr>
        <w:t xml:space="preserve">public health preparedness and response </w:t>
      </w:r>
      <w:r>
        <w:rPr>
          <w:rFonts w:ascii="Times New Roman" w:hAnsi="Times New Roman" w:cs="Times New Roman"/>
          <w:sz w:val="24"/>
          <w:szCs w:val="24"/>
        </w:rPr>
        <w:t>capabilities</w:t>
      </w:r>
      <w:r w:rsidR="001C29A5">
        <w:rPr>
          <w:rFonts w:ascii="Times New Roman" w:hAnsi="Times New Roman" w:cs="Times New Roman"/>
          <w:sz w:val="24"/>
          <w:szCs w:val="24"/>
        </w:rPr>
        <w:t>, which serve as national standards for public health preparedness planning</w:t>
      </w:r>
      <w:r w:rsidR="002430BC">
        <w:rPr>
          <w:rFonts w:ascii="Times New Roman" w:hAnsi="Times New Roman" w:cs="Times New Roman"/>
          <w:sz w:val="24"/>
          <w:szCs w:val="24"/>
        </w:rPr>
        <w:t xml:space="preserve"> (CDC, 2018)</w:t>
      </w:r>
      <w:r w:rsidR="001C29A5">
        <w:rPr>
          <w:rFonts w:ascii="Times New Roman" w:hAnsi="Times New Roman" w:cs="Times New Roman"/>
          <w:sz w:val="24"/>
          <w:szCs w:val="24"/>
        </w:rPr>
        <w:t>.</w:t>
      </w:r>
      <w:r>
        <w:rPr>
          <w:rFonts w:ascii="Times New Roman" w:hAnsi="Times New Roman" w:cs="Times New Roman"/>
          <w:sz w:val="24"/>
          <w:szCs w:val="24"/>
        </w:rPr>
        <w:t xml:space="preserve"> </w:t>
      </w:r>
      <w:r w:rsidR="00A1061E">
        <w:rPr>
          <w:rFonts w:ascii="Times New Roman" w:hAnsi="Times New Roman" w:cs="Times New Roman"/>
          <w:sz w:val="24"/>
          <w:szCs w:val="24"/>
        </w:rPr>
        <w:t>The capabilities cover the following</w:t>
      </w:r>
      <w:r w:rsidR="00597E96">
        <w:rPr>
          <w:rFonts w:ascii="Times New Roman" w:hAnsi="Times New Roman" w:cs="Times New Roman"/>
          <w:sz w:val="24"/>
          <w:szCs w:val="24"/>
        </w:rPr>
        <w:t xml:space="preserve"> six</w:t>
      </w:r>
      <w:r w:rsidR="00A1061E">
        <w:rPr>
          <w:rFonts w:ascii="Times New Roman" w:hAnsi="Times New Roman" w:cs="Times New Roman"/>
          <w:sz w:val="24"/>
          <w:szCs w:val="24"/>
        </w:rPr>
        <w:t xml:space="preserve"> domains: community resilience, incident management, information management, countermeasures and mitigation, surge management, and </w:t>
      </w:r>
      <w:r w:rsidR="00A1061E">
        <w:rPr>
          <w:rFonts w:ascii="Times New Roman" w:hAnsi="Times New Roman" w:cs="Times New Roman"/>
          <w:sz w:val="24"/>
          <w:szCs w:val="24"/>
        </w:rPr>
        <w:t>biosurveillance</w:t>
      </w:r>
      <w:r w:rsidR="002430BC">
        <w:rPr>
          <w:rFonts w:ascii="Times New Roman" w:hAnsi="Times New Roman" w:cs="Times New Roman"/>
          <w:sz w:val="24"/>
          <w:szCs w:val="24"/>
        </w:rPr>
        <w:t xml:space="preserve"> (CDC, 2018)</w:t>
      </w:r>
      <w:r w:rsidR="00A1061E">
        <w:rPr>
          <w:rFonts w:ascii="Times New Roman" w:hAnsi="Times New Roman" w:cs="Times New Roman"/>
          <w:sz w:val="24"/>
          <w:szCs w:val="24"/>
        </w:rPr>
        <w:t xml:space="preserve">. </w:t>
      </w:r>
      <w:r w:rsidR="00096DD0">
        <w:rPr>
          <w:rFonts w:ascii="Times New Roman" w:hAnsi="Times New Roman" w:cs="Times New Roman"/>
          <w:sz w:val="24"/>
          <w:szCs w:val="24"/>
        </w:rPr>
        <w:t>These capability standards serve as a framework for state, local, tribal, and territorial preparedness programs to plan, operationalize, and evaluate their ability to respond to and recover from emergencies</w:t>
      </w:r>
      <w:r w:rsidR="002430BC">
        <w:rPr>
          <w:rFonts w:ascii="Times New Roman" w:hAnsi="Times New Roman" w:cs="Times New Roman"/>
          <w:sz w:val="24"/>
          <w:szCs w:val="24"/>
        </w:rPr>
        <w:t xml:space="preserve"> (CDC, 2018)</w:t>
      </w:r>
      <w:r w:rsidR="00096DD0">
        <w:rPr>
          <w:rFonts w:ascii="Times New Roman" w:hAnsi="Times New Roman" w:cs="Times New Roman"/>
          <w:sz w:val="24"/>
          <w:szCs w:val="24"/>
        </w:rPr>
        <w:t xml:space="preserve">. Collecting data on activities across </w:t>
      </w:r>
      <w:r w:rsidR="004B70F2">
        <w:rPr>
          <w:rFonts w:ascii="Times New Roman" w:hAnsi="Times New Roman" w:cs="Times New Roman"/>
          <w:sz w:val="24"/>
          <w:szCs w:val="24"/>
        </w:rPr>
        <w:t xml:space="preserve">the </w:t>
      </w:r>
      <w:r w:rsidR="00096DD0">
        <w:rPr>
          <w:rFonts w:ascii="Times New Roman" w:hAnsi="Times New Roman" w:cs="Times New Roman"/>
          <w:sz w:val="24"/>
          <w:szCs w:val="24"/>
        </w:rPr>
        <w:t xml:space="preserve">15 capabilities </w:t>
      </w:r>
      <w:r>
        <w:rPr>
          <w:rFonts w:ascii="Times New Roman" w:hAnsi="Times New Roman" w:cs="Times New Roman"/>
          <w:sz w:val="24"/>
          <w:szCs w:val="24"/>
        </w:rPr>
        <w:t xml:space="preserve">will </w:t>
      </w:r>
      <w:r w:rsidR="00C01E07">
        <w:rPr>
          <w:rFonts w:ascii="Times New Roman" w:hAnsi="Times New Roman" w:cs="Times New Roman"/>
          <w:sz w:val="24"/>
          <w:szCs w:val="24"/>
        </w:rPr>
        <w:t>allow DSLR to monito</w:t>
      </w:r>
      <w:r w:rsidR="00237640">
        <w:rPr>
          <w:rFonts w:ascii="Times New Roman" w:hAnsi="Times New Roman" w:cs="Times New Roman"/>
          <w:sz w:val="24"/>
          <w:szCs w:val="24"/>
        </w:rPr>
        <w:t>r recipients</w:t>
      </w:r>
      <w:r w:rsidR="00C01E07">
        <w:rPr>
          <w:rFonts w:ascii="Times New Roman" w:hAnsi="Times New Roman" w:cs="Times New Roman"/>
          <w:sz w:val="24"/>
          <w:szCs w:val="24"/>
        </w:rPr>
        <w:t>’ progress toward program goals and objectives.</w:t>
      </w:r>
    </w:p>
    <w:p w:rsidR="007C082C" w:rsidRPr="00D31636" w:rsidP="00D31636" w14:paraId="35865E1A" w14:textId="77777777">
      <w:pPr>
        <w:rPr>
          <w:rFonts w:ascii="Times New Roman" w:hAnsi="Times New Roman" w:cs="Times New Roman"/>
          <w:b/>
          <w:sz w:val="24"/>
          <w:szCs w:val="24"/>
        </w:rPr>
      </w:pPr>
      <w:r>
        <w:rPr>
          <w:rFonts w:ascii="Times New Roman" w:hAnsi="Times New Roman" w:cs="Times New Roman"/>
          <w:b/>
          <w:sz w:val="24"/>
          <w:szCs w:val="24"/>
        </w:rPr>
        <w:t xml:space="preserve">A.2. </w:t>
      </w:r>
      <w:r w:rsidRPr="00D31636">
        <w:rPr>
          <w:rFonts w:ascii="Times New Roman" w:hAnsi="Times New Roman" w:cs="Times New Roman"/>
          <w:b/>
          <w:sz w:val="24"/>
          <w:szCs w:val="24"/>
        </w:rPr>
        <w:t>Purpose and Use of the Information Collection</w:t>
      </w:r>
    </w:p>
    <w:p w:rsidR="008B3E29" w:rsidRPr="00D9655C" w:rsidP="007C082C" w14:paraId="52DEF8FB" w14:textId="2CD25848">
      <w:pPr>
        <w:rPr>
          <w:rFonts w:ascii="Times New Roman" w:hAnsi="Times New Roman" w:cs="Times New Roman"/>
          <w:sz w:val="24"/>
        </w:rPr>
      </w:pPr>
      <w:r>
        <w:rPr>
          <w:rFonts w:ascii="Times New Roman" w:hAnsi="Times New Roman" w:cs="Times New Roman"/>
          <w:sz w:val="24"/>
        </w:rPr>
        <w:t xml:space="preserve">CDC’s Operational Readiness Review (ORR) is a rigorous, evidence-based assessment used to evaluate PHEP </w:t>
      </w:r>
      <w:r w:rsidR="00052D53">
        <w:rPr>
          <w:rFonts w:ascii="Times New Roman" w:hAnsi="Times New Roman" w:cs="Times New Roman"/>
          <w:sz w:val="24"/>
        </w:rPr>
        <w:t>recipients’</w:t>
      </w:r>
      <w:r>
        <w:rPr>
          <w:rFonts w:ascii="Times New Roman" w:hAnsi="Times New Roman" w:cs="Times New Roman"/>
          <w:sz w:val="24"/>
        </w:rPr>
        <w:t xml:space="preserve"> planning and operational functions</w:t>
      </w:r>
      <w:r w:rsidR="00496334">
        <w:rPr>
          <w:rFonts w:ascii="Times New Roman" w:hAnsi="Times New Roman" w:cs="Times New Roman"/>
          <w:sz w:val="24"/>
        </w:rPr>
        <w:t xml:space="preserve"> (CDC, 2018)</w:t>
      </w:r>
      <w:r>
        <w:rPr>
          <w:rFonts w:ascii="Times New Roman" w:hAnsi="Times New Roman" w:cs="Times New Roman"/>
          <w:sz w:val="24"/>
        </w:rPr>
        <w:t xml:space="preserve">. </w:t>
      </w:r>
      <w:r w:rsidRPr="00E93439">
        <w:rPr>
          <w:rFonts w:ascii="Times New Roman" w:hAnsi="Times New Roman" w:cs="Times New Roman"/>
          <w:sz w:val="24"/>
        </w:rPr>
        <w:t xml:space="preserve">The previous version of the ORR was used to measure a </w:t>
      </w:r>
      <w:r w:rsidRPr="00D9655C">
        <w:rPr>
          <w:rFonts w:ascii="Times New Roman" w:hAnsi="Times New Roman" w:cs="Times New Roman"/>
          <w:sz w:val="24"/>
        </w:rPr>
        <w:t xml:space="preserve">jurisdiction’s ability to execute a large emergency response requiring medical countermeasure (MCM) distribution and dispensing. The purpose of this </w:t>
      </w:r>
      <w:r w:rsidRPr="00D9655C" w:rsidR="00730623">
        <w:rPr>
          <w:rFonts w:ascii="Times New Roman" w:hAnsi="Times New Roman" w:cs="Times New Roman"/>
          <w:sz w:val="24"/>
        </w:rPr>
        <w:t xml:space="preserve">information collection </w:t>
      </w:r>
      <w:r w:rsidRPr="00D9655C">
        <w:rPr>
          <w:rFonts w:ascii="Times New Roman" w:hAnsi="Times New Roman" w:cs="Times New Roman"/>
          <w:sz w:val="24"/>
        </w:rPr>
        <w:t xml:space="preserve">is to </w:t>
      </w:r>
      <w:r w:rsidRPr="00D9655C" w:rsidR="00644B55">
        <w:rPr>
          <w:rFonts w:ascii="Times New Roman" w:hAnsi="Times New Roman" w:cs="Times New Roman"/>
          <w:sz w:val="24"/>
        </w:rPr>
        <w:t xml:space="preserve">continue </w:t>
      </w:r>
      <w:r w:rsidRPr="00D9655C">
        <w:rPr>
          <w:rFonts w:ascii="Times New Roman" w:hAnsi="Times New Roman" w:cs="Times New Roman"/>
          <w:sz w:val="24"/>
        </w:rPr>
        <w:t xml:space="preserve">the </w:t>
      </w:r>
      <w:r w:rsidRPr="00D9655C" w:rsidR="00644B55">
        <w:rPr>
          <w:rFonts w:ascii="Times New Roman" w:hAnsi="Times New Roman" w:cs="Times New Roman"/>
          <w:sz w:val="24"/>
        </w:rPr>
        <w:t xml:space="preserve">previously approved </w:t>
      </w:r>
      <w:r w:rsidRPr="00D9655C">
        <w:rPr>
          <w:rFonts w:ascii="Times New Roman" w:hAnsi="Times New Roman" w:cs="Times New Roman"/>
          <w:sz w:val="24"/>
        </w:rPr>
        <w:t>ORR</w:t>
      </w:r>
      <w:r w:rsidRPr="00D9655C" w:rsidR="00644B55">
        <w:rPr>
          <w:rFonts w:ascii="Times New Roman" w:hAnsi="Times New Roman" w:cs="Times New Roman"/>
          <w:sz w:val="24"/>
        </w:rPr>
        <w:t xml:space="preserve"> 2.0</w:t>
      </w:r>
      <w:r w:rsidRPr="00D9655C">
        <w:rPr>
          <w:rFonts w:ascii="Times New Roman" w:hAnsi="Times New Roman" w:cs="Times New Roman"/>
          <w:sz w:val="24"/>
        </w:rPr>
        <w:t xml:space="preserve"> to include all 15 </w:t>
      </w:r>
      <w:r w:rsidRPr="00D9655C" w:rsidR="004B70F2">
        <w:rPr>
          <w:rFonts w:ascii="Times New Roman" w:hAnsi="Times New Roman" w:cs="Times New Roman"/>
          <w:sz w:val="24"/>
        </w:rPr>
        <w:t>preparedness and response</w:t>
      </w:r>
      <w:r w:rsidRPr="00D9655C">
        <w:rPr>
          <w:rFonts w:ascii="Times New Roman" w:hAnsi="Times New Roman" w:cs="Times New Roman"/>
          <w:sz w:val="24"/>
        </w:rPr>
        <w:t xml:space="preserve"> capabilities so DSLR can better monitor program impact and support program analysis and improvement</w:t>
      </w:r>
      <w:r w:rsidRPr="00D9655C" w:rsidR="00237640">
        <w:rPr>
          <w:rFonts w:ascii="Times New Roman" w:hAnsi="Times New Roman" w:cs="Times New Roman"/>
          <w:sz w:val="24"/>
        </w:rPr>
        <w:t xml:space="preserve"> across all hazards impacting public health.</w:t>
      </w:r>
    </w:p>
    <w:p w:rsidR="00E373E7" w:rsidRPr="00D9655C" w:rsidP="007C082C" w14:paraId="334FDC78" w14:textId="1C917A5B">
      <w:pPr>
        <w:rPr>
          <w:rFonts w:ascii="Times New Roman" w:hAnsi="Times New Roman" w:cs="Times New Roman"/>
          <w:sz w:val="24"/>
        </w:rPr>
      </w:pPr>
      <w:r w:rsidRPr="00D9655C">
        <w:rPr>
          <w:rFonts w:ascii="Times New Roman" w:hAnsi="Times New Roman" w:cs="Times New Roman"/>
          <w:sz w:val="24"/>
        </w:rPr>
        <w:t>The</w:t>
      </w:r>
      <w:r w:rsidRPr="00D9655C" w:rsidR="004B70F2">
        <w:rPr>
          <w:rFonts w:ascii="Times New Roman" w:hAnsi="Times New Roman" w:cs="Times New Roman"/>
          <w:sz w:val="24"/>
        </w:rPr>
        <w:t xml:space="preserve"> PHEP</w:t>
      </w:r>
      <w:r w:rsidRPr="00D9655C">
        <w:rPr>
          <w:rFonts w:ascii="Times New Roman" w:hAnsi="Times New Roman" w:cs="Times New Roman"/>
          <w:sz w:val="24"/>
        </w:rPr>
        <w:t xml:space="preserve"> ORR </w:t>
      </w:r>
      <w:r w:rsidRPr="00D9655C" w:rsidR="00A46174">
        <w:rPr>
          <w:rFonts w:ascii="Times New Roman" w:hAnsi="Times New Roman" w:cs="Times New Roman"/>
          <w:sz w:val="24"/>
        </w:rPr>
        <w:t xml:space="preserve">2.0 </w:t>
      </w:r>
      <w:r w:rsidRPr="00D9655C">
        <w:rPr>
          <w:rFonts w:ascii="Times New Roman" w:hAnsi="Times New Roman" w:cs="Times New Roman"/>
          <w:sz w:val="24"/>
        </w:rPr>
        <w:t xml:space="preserve">will </w:t>
      </w:r>
      <w:r w:rsidRPr="00D9655C" w:rsidR="00F5743C">
        <w:rPr>
          <w:rFonts w:ascii="Times New Roman" w:hAnsi="Times New Roman" w:cs="Times New Roman"/>
          <w:sz w:val="24"/>
        </w:rPr>
        <w:t xml:space="preserve">has </w:t>
      </w:r>
      <w:r w:rsidRPr="00D9655C" w:rsidR="008035CA">
        <w:rPr>
          <w:rFonts w:ascii="Times New Roman" w:hAnsi="Times New Roman" w:cs="Times New Roman"/>
          <w:sz w:val="24"/>
        </w:rPr>
        <w:t>three</w:t>
      </w:r>
      <w:r w:rsidRPr="00D9655C">
        <w:rPr>
          <w:rFonts w:ascii="Times New Roman" w:hAnsi="Times New Roman" w:cs="Times New Roman"/>
          <w:sz w:val="24"/>
        </w:rPr>
        <w:t xml:space="preserve"> modules</w:t>
      </w:r>
      <w:r w:rsidRPr="00D9655C" w:rsidR="00036EE3">
        <w:rPr>
          <w:rFonts w:ascii="Times New Roman" w:hAnsi="Times New Roman" w:cs="Times New Roman"/>
          <w:sz w:val="24"/>
        </w:rPr>
        <w:t>:</w:t>
      </w:r>
      <w:r w:rsidRPr="00D9655C" w:rsidR="003D70AE">
        <w:rPr>
          <w:rFonts w:ascii="Times New Roman" w:hAnsi="Times New Roman" w:cs="Times New Roman"/>
          <w:sz w:val="24"/>
        </w:rPr>
        <w:t xml:space="preserve"> </w:t>
      </w:r>
      <w:r w:rsidRPr="00D9655C" w:rsidR="0072699F">
        <w:rPr>
          <w:rFonts w:ascii="Times New Roman" w:hAnsi="Times New Roman" w:cs="Times New Roman"/>
          <w:sz w:val="24"/>
        </w:rPr>
        <w:t xml:space="preserve">descriptive, planning, and operational, which will allow DSLR to analyze the data for the development of descriptive statistics and to monitor the progress of each recipient toward performance goals. It is intended to promote accountability, track recipient progress toward achieving desired programmatic outcomes, and provide key insights into recipients’ planning and operational strengths, areas of improvement, and technical assistance needs. This expansion is necessary to fully evaluate whether jurisdictions are prepared to respond to and recover from a public health emergency. The </w:t>
      </w:r>
      <w:r w:rsidRPr="00D9655C" w:rsidR="00644B55">
        <w:rPr>
          <w:rFonts w:ascii="Times New Roman" w:hAnsi="Times New Roman" w:cs="Times New Roman"/>
          <w:sz w:val="24"/>
        </w:rPr>
        <w:t xml:space="preserve">ORR </w:t>
      </w:r>
      <w:r w:rsidRPr="00D9655C" w:rsidR="00644B55">
        <w:rPr>
          <w:rFonts w:ascii="Times New Roman" w:hAnsi="Times New Roman" w:cs="Times New Roman"/>
          <w:sz w:val="24"/>
        </w:rPr>
        <w:t xml:space="preserve">2.0 </w:t>
      </w:r>
      <w:r w:rsidRPr="00D9655C" w:rsidR="0072699F">
        <w:rPr>
          <w:rFonts w:ascii="Times New Roman" w:hAnsi="Times New Roman" w:cs="Times New Roman"/>
          <w:sz w:val="24"/>
        </w:rPr>
        <w:t xml:space="preserve"> will</w:t>
      </w:r>
      <w:r w:rsidRPr="00D9655C" w:rsidR="0072699F">
        <w:rPr>
          <w:rFonts w:ascii="Times New Roman" w:hAnsi="Times New Roman" w:cs="Times New Roman"/>
          <w:sz w:val="24"/>
        </w:rPr>
        <w:t xml:space="preserve"> allow DSLR to collect valuable ORR data and facilitate dialog between DSLR reviewers and PHEP recipients.</w:t>
      </w:r>
    </w:p>
    <w:p w:rsidR="00E373E7" w:rsidP="007C082C" w14:paraId="6BF90318" w14:textId="251BA766">
      <w:pPr>
        <w:rPr>
          <w:rFonts w:ascii="Times New Roman" w:hAnsi="Times New Roman" w:cs="Times New Roman"/>
          <w:sz w:val="24"/>
        </w:rPr>
      </w:pPr>
      <w:r w:rsidRPr="00D9655C">
        <w:rPr>
          <w:rFonts w:ascii="Times New Roman" w:hAnsi="Times New Roman" w:cs="Times New Roman"/>
          <w:sz w:val="24"/>
        </w:rPr>
        <w:t xml:space="preserve">The </w:t>
      </w:r>
      <w:r w:rsidRPr="00D9655C">
        <w:rPr>
          <w:rFonts w:ascii="Times New Roman" w:hAnsi="Times New Roman" w:cs="Times New Roman"/>
          <w:sz w:val="24"/>
        </w:rPr>
        <w:t>Descriptive</w:t>
      </w:r>
      <w:r w:rsidRPr="00D9655C">
        <w:rPr>
          <w:rFonts w:ascii="Times New Roman" w:hAnsi="Times New Roman" w:cs="Times New Roman"/>
          <w:sz w:val="24"/>
        </w:rPr>
        <w:t xml:space="preserve"> </w:t>
      </w:r>
      <w:r w:rsidRPr="00D9655C" w:rsidR="003D70AE">
        <w:rPr>
          <w:rFonts w:ascii="Times New Roman" w:hAnsi="Times New Roman" w:cs="Times New Roman"/>
          <w:sz w:val="24"/>
        </w:rPr>
        <w:t>Module includes the following</w:t>
      </w:r>
      <w:r w:rsidRPr="00D9655C">
        <w:rPr>
          <w:rFonts w:ascii="Times New Roman" w:hAnsi="Times New Roman" w:cs="Times New Roman"/>
          <w:sz w:val="24"/>
        </w:rPr>
        <w:t>: Juri</w:t>
      </w:r>
      <w:r w:rsidRPr="00D9655C" w:rsidR="003D70AE">
        <w:rPr>
          <w:rFonts w:ascii="Times New Roman" w:hAnsi="Times New Roman" w:cs="Times New Roman"/>
          <w:sz w:val="24"/>
        </w:rPr>
        <w:t>s</w:t>
      </w:r>
      <w:r w:rsidRPr="00D9655C">
        <w:rPr>
          <w:rFonts w:ascii="Times New Roman" w:hAnsi="Times New Roman" w:cs="Times New Roman"/>
          <w:sz w:val="24"/>
        </w:rPr>
        <w:t>dictional Structure Sheet (Attachment 6), Critical Contact Sheet (Attachment 7), Jurisdictional Data Sheet (Attachment 8), Partner Planning Sheet (Attachment 9), and Workforce Development and Training</w:t>
      </w:r>
      <w:r>
        <w:rPr>
          <w:rFonts w:ascii="Times New Roman" w:hAnsi="Times New Roman" w:cs="Times New Roman"/>
          <w:sz w:val="24"/>
        </w:rPr>
        <w:t xml:space="preserve"> (Attachment 10).</w:t>
      </w:r>
    </w:p>
    <w:p w:rsidR="00E373E7" w:rsidP="00E373E7" w14:paraId="4F4D476C" w14:textId="231D5E6B">
      <w:pPr>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sz w:val="24"/>
        </w:rPr>
        <w:t>Planning</w:t>
      </w:r>
      <w:r>
        <w:rPr>
          <w:rFonts w:ascii="Times New Roman" w:hAnsi="Times New Roman" w:cs="Times New Roman"/>
          <w:sz w:val="24"/>
        </w:rPr>
        <w:t xml:space="preserve"> Module includes the following</w:t>
      </w:r>
      <w:r>
        <w:rPr>
          <w:rFonts w:ascii="Times New Roman" w:hAnsi="Times New Roman" w:cs="Times New Roman"/>
          <w:sz w:val="24"/>
        </w:rPr>
        <w:t xml:space="preserve">: The </w:t>
      </w:r>
      <w:r w:rsidRPr="00E373E7">
        <w:rPr>
          <w:rFonts w:ascii="Times New Roman" w:hAnsi="Times New Roman" w:cs="Times New Roman"/>
          <w:sz w:val="24"/>
        </w:rPr>
        <w:t>15 Public Health Emergency</w:t>
      </w:r>
      <w:r>
        <w:rPr>
          <w:rFonts w:ascii="Times New Roman" w:hAnsi="Times New Roman" w:cs="Times New Roman"/>
          <w:sz w:val="24"/>
        </w:rPr>
        <w:t xml:space="preserve"> </w:t>
      </w:r>
      <w:r w:rsidRPr="00E373E7">
        <w:rPr>
          <w:rFonts w:ascii="Times New Roman" w:hAnsi="Times New Roman" w:cs="Times New Roman"/>
          <w:sz w:val="24"/>
        </w:rPr>
        <w:t>Preparedness and Response</w:t>
      </w:r>
      <w:r>
        <w:rPr>
          <w:rFonts w:ascii="Times New Roman" w:hAnsi="Times New Roman" w:cs="Times New Roman"/>
          <w:sz w:val="24"/>
        </w:rPr>
        <w:t xml:space="preserve"> </w:t>
      </w:r>
      <w:r w:rsidRPr="00E373E7">
        <w:rPr>
          <w:rFonts w:ascii="Times New Roman" w:hAnsi="Times New Roman" w:cs="Times New Roman"/>
          <w:sz w:val="24"/>
        </w:rPr>
        <w:t>Capabilities</w:t>
      </w:r>
      <w:r w:rsidRPr="00E373E7">
        <w:t xml:space="preserve"> </w:t>
      </w:r>
      <w:r w:rsidRPr="00E373E7">
        <w:rPr>
          <w:rFonts w:ascii="Times New Roman" w:hAnsi="Times New Roman" w:cs="Times New Roman"/>
          <w:sz w:val="24"/>
        </w:rPr>
        <w:t>serve as national standards for public health preparedness</w:t>
      </w:r>
      <w:r w:rsidR="003D70AE">
        <w:rPr>
          <w:rFonts w:ascii="Times New Roman" w:hAnsi="Times New Roman" w:cs="Times New Roman"/>
          <w:sz w:val="24"/>
        </w:rPr>
        <w:t xml:space="preserve"> planning. They are</w:t>
      </w:r>
      <w:r>
        <w:rPr>
          <w:rFonts w:ascii="Times New Roman" w:hAnsi="Times New Roman" w:cs="Times New Roman"/>
          <w:sz w:val="24"/>
        </w:rPr>
        <w:t xml:space="preserve"> as follows: </w:t>
      </w:r>
      <w:r w:rsidRPr="00E373E7">
        <w:rPr>
          <w:rFonts w:ascii="Times New Roman" w:hAnsi="Times New Roman" w:cs="Times New Roman"/>
          <w:sz w:val="24"/>
        </w:rPr>
        <w:t>1—Community</w:t>
      </w:r>
      <w:r>
        <w:rPr>
          <w:rFonts w:ascii="Times New Roman" w:hAnsi="Times New Roman" w:cs="Times New Roman"/>
          <w:sz w:val="24"/>
        </w:rPr>
        <w:t xml:space="preserve"> </w:t>
      </w:r>
      <w:r w:rsidRPr="00E373E7">
        <w:rPr>
          <w:rFonts w:ascii="Times New Roman" w:hAnsi="Times New Roman" w:cs="Times New Roman"/>
          <w:sz w:val="24"/>
        </w:rPr>
        <w:t>Preparedness</w:t>
      </w:r>
      <w:r>
        <w:rPr>
          <w:rFonts w:ascii="Times New Roman" w:hAnsi="Times New Roman" w:cs="Times New Roman"/>
          <w:sz w:val="24"/>
        </w:rPr>
        <w:t xml:space="preserve"> </w:t>
      </w:r>
      <w:bookmarkStart w:id="0" w:name="_Hlk71050415"/>
      <w:r>
        <w:rPr>
          <w:rFonts w:ascii="Times New Roman" w:hAnsi="Times New Roman" w:cs="Times New Roman"/>
          <w:sz w:val="24"/>
        </w:rPr>
        <w:t>(Attachment 11)</w:t>
      </w:r>
      <w:bookmarkEnd w:id="0"/>
      <w:r w:rsidRPr="00E373E7">
        <w:rPr>
          <w:rFonts w:ascii="Times New Roman" w:hAnsi="Times New Roman" w:cs="Times New Roman"/>
          <w:sz w:val="24"/>
        </w:rPr>
        <w:t>, 2—Community Recovery</w:t>
      </w:r>
      <w:r>
        <w:rPr>
          <w:rFonts w:ascii="Times New Roman" w:hAnsi="Times New Roman" w:cs="Times New Roman"/>
          <w:sz w:val="24"/>
        </w:rPr>
        <w:t xml:space="preserve"> </w:t>
      </w:r>
      <w:r w:rsidRPr="00E373E7">
        <w:rPr>
          <w:rFonts w:ascii="Times New Roman" w:hAnsi="Times New Roman" w:cs="Times New Roman"/>
          <w:sz w:val="24"/>
        </w:rPr>
        <w:t>(Attachment 1</w:t>
      </w:r>
      <w:r>
        <w:rPr>
          <w:rFonts w:ascii="Times New Roman" w:hAnsi="Times New Roman" w:cs="Times New Roman"/>
          <w:sz w:val="24"/>
        </w:rPr>
        <w:t>2</w:t>
      </w:r>
      <w:r w:rsidRPr="00E373E7">
        <w:rPr>
          <w:rFonts w:ascii="Times New Roman" w:hAnsi="Times New Roman" w:cs="Times New Roman"/>
          <w:sz w:val="24"/>
        </w:rPr>
        <w:t>),</w:t>
      </w:r>
      <w:r>
        <w:rPr>
          <w:rFonts w:ascii="Times New Roman" w:hAnsi="Times New Roman" w:cs="Times New Roman"/>
          <w:sz w:val="24"/>
        </w:rPr>
        <w:t xml:space="preserve"> </w:t>
      </w:r>
      <w:r w:rsidRPr="00E373E7">
        <w:rPr>
          <w:rFonts w:ascii="Times New Roman" w:hAnsi="Times New Roman" w:cs="Times New Roman"/>
          <w:sz w:val="24"/>
        </w:rPr>
        <w:t>3—Emergency Operations Coordination</w:t>
      </w:r>
      <w:r>
        <w:rPr>
          <w:rFonts w:ascii="Times New Roman" w:hAnsi="Times New Roman" w:cs="Times New Roman"/>
          <w:sz w:val="24"/>
        </w:rPr>
        <w:t xml:space="preserve"> </w:t>
      </w:r>
      <w:r w:rsidRPr="00E373E7">
        <w:rPr>
          <w:rFonts w:ascii="Times New Roman" w:hAnsi="Times New Roman" w:cs="Times New Roman"/>
          <w:sz w:val="24"/>
        </w:rPr>
        <w:t>(Attachment 1</w:t>
      </w:r>
      <w:r>
        <w:rPr>
          <w:rFonts w:ascii="Times New Roman" w:hAnsi="Times New Roman" w:cs="Times New Roman"/>
          <w:sz w:val="24"/>
        </w:rPr>
        <w:t>3</w:t>
      </w:r>
      <w:r w:rsidRPr="00E373E7">
        <w:rPr>
          <w:rFonts w:ascii="Times New Roman" w:hAnsi="Times New Roman" w:cs="Times New Roman"/>
          <w:sz w:val="24"/>
        </w:rPr>
        <w:t>),</w:t>
      </w:r>
      <w:r>
        <w:rPr>
          <w:rFonts w:ascii="Times New Roman" w:hAnsi="Times New Roman" w:cs="Times New Roman"/>
          <w:sz w:val="24"/>
        </w:rPr>
        <w:t xml:space="preserve"> </w:t>
      </w:r>
      <w:r w:rsidRPr="00E373E7">
        <w:rPr>
          <w:rFonts w:ascii="Times New Roman" w:hAnsi="Times New Roman" w:cs="Times New Roman"/>
          <w:sz w:val="24"/>
        </w:rPr>
        <w:t>4—Emergency Public Information and</w:t>
      </w:r>
      <w:r>
        <w:rPr>
          <w:rFonts w:ascii="Times New Roman" w:hAnsi="Times New Roman" w:cs="Times New Roman"/>
          <w:sz w:val="24"/>
        </w:rPr>
        <w:t xml:space="preserve"> </w:t>
      </w:r>
      <w:r w:rsidRPr="00E373E7">
        <w:rPr>
          <w:rFonts w:ascii="Times New Roman" w:hAnsi="Times New Roman" w:cs="Times New Roman"/>
          <w:sz w:val="24"/>
        </w:rPr>
        <w:t>Warning</w:t>
      </w:r>
      <w:r>
        <w:rPr>
          <w:rFonts w:ascii="Times New Roman" w:hAnsi="Times New Roman" w:cs="Times New Roman"/>
          <w:sz w:val="24"/>
        </w:rPr>
        <w:t xml:space="preserve"> </w:t>
      </w:r>
      <w:r w:rsidRPr="00E373E7">
        <w:rPr>
          <w:rFonts w:ascii="Times New Roman" w:hAnsi="Times New Roman" w:cs="Times New Roman"/>
          <w:sz w:val="24"/>
        </w:rPr>
        <w:t>(Attachment 1</w:t>
      </w:r>
      <w:r>
        <w:rPr>
          <w:rFonts w:ascii="Times New Roman" w:hAnsi="Times New Roman" w:cs="Times New Roman"/>
          <w:sz w:val="24"/>
        </w:rPr>
        <w:t>4</w:t>
      </w:r>
      <w:r w:rsidRPr="00E373E7">
        <w:rPr>
          <w:rFonts w:ascii="Times New Roman" w:hAnsi="Times New Roman" w:cs="Times New Roman"/>
          <w:sz w:val="24"/>
        </w:rPr>
        <w:t>), 5—Fatality Management</w:t>
      </w:r>
      <w:r>
        <w:rPr>
          <w:rFonts w:ascii="Times New Roman" w:hAnsi="Times New Roman" w:cs="Times New Roman"/>
          <w:sz w:val="24"/>
        </w:rPr>
        <w:t xml:space="preserve"> </w:t>
      </w:r>
      <w:r w:rsidRPr="00E373E7">
        <w:rPr>
          <w:rFonts w:ascii="Times New Roman" w:hAnsi="Times New Roman" w:cs="Times New Roman"/>
          <w:sz w:val="24"/>
        </w:rPr>
        <w:t>(Attachment 1</w:t>
      </w:r>
      <w:r>
        <w:rPr>
          <w:rFonts w:ascii="Times New Roman" w:hAnsi="Times New Roman" w:cs="Times New Roman"/>
          <w:sz w:val="24"/>
        </w:rPr>
        <w:t>5</w:t>
      </w:r>
      <w:r w:rsidRPr="00E373E7">
        <w:rPr>
          <w:rFonts w:ascii="Times New Roman" w:hAnsi="Times New Roman" w:cs="Times New Roman"/>
          <w:sz w:val="24"/>
        </w:rPr>
        <w:t xml:space="preserve">), </w:t>
      </w:r>
      <w:r w:rsidRPr="00E373E7">
        <w:rPr>
          <w:rFonts w:ascii="Times New Roman" w:hAnsi="Times New Roman" w:cs="Times New Roman"/>
          <w:sz w:val="24"/>
        </w:rPr>
        <w:t>6—Information Sharing</w:t>
      </w:r>
      <w:r>
        <w:rPr>
          <w:rFonts w:ascii="Times New Roman" w:hAnsi="Times New Roman" w:cs="Times New Roman"/>
          <w:sz w:val="24"/>
        </w:rPr>
        <w:t xml:space="preserve"> </w:t>
      </w:r>
      <w:r w:rsidRPr="00E373E7">
        <w:rPr>
          <w:rFonts w:ascii="Times New Roman" w:hAnsi="Times New Roman" w:cs="Times New Roman"/>
          <w:sz w:val="24"/>
        </w:rPr>
        <w:t>(Attachment 1</w:t>
      </w:r>
      <w:r>
        <w:rPr>
          <w:rFonts w:ascii="Times New Roman" w:hAnsi="Times New Roman" w:cs="Times New Roman"/>
          <w:sz w:val="24"/>
        </w:rPr>
        <w:t>6</w:t>
      </w:r>
      <w:r w:rsidRPr="00E373E7">
        <w:rPr>
          <w:rFonts w:ascii="Times New Roman" w:hAnsi="Times New Roman" w:cs="Times New Roman"/>
          <w:sz w:val="24"/>
        </w:rPr>
        <w:t>), 7—Mass Care</w:t>
      </w:r>
      <w:r>
        <w:rPr>
          <w:rFonts w:ascii="Times New Roman" w:hAnsi="Times New Roman" w:cs="Times New Roman"/>
          <w:sz w:val="24"/>
        </w:rPr>
        <w:t xml:space="preserve"> </w:t>
      </w:r>
      <w:r w:rsidRPr="00E373E7">
        <w:rPr>
          <w:rFonts w:ascii="Times New Roman" w:hAnsi="Times New Roman" w:cs="Times New Roman"/>
          <w:sz w:val="24"/>
        </w:rPr>
        <w:t>(Attachment 1</w:t>
      </w:r>
      <w:r>
        <w:rPr>
          <w:rFonts w:ascii="Times New Roman" w:hAnsi="Times New Roman" w:cs="Times New Roman"/>
          <w:sz w:val="24"/>
        </w:rPr>
        <w:t>7</w:t>
      </w:r>
      <w:r w:rsidRPr="00E373E7">
        <w:rPr>
          <w:rFonts w:ascii="Times New Roman" w:hAnsi="Times New Roman" w:cs="Times New Roman"/>
          <w:sz w:val="24"/>
        </w:rPr>
        <w:t>), 8—Medical Countermeasure Dispensing</w:t>
      </w:r>
      <w:r>
        <w:rPr>
          <w:rFonts w:ascii="Times New Roman" w:hAnsi="Times New Roman" w:cs="Times New Roman"/>
          <w:sz w:val="24"/>
        </w:rPr>
        <w:t xml:space="preserve"> </w:t>
      </w:r>
      <w:r w:rsidRPr="00E373E7">
        <w:rPr>
          <w:rFonts w:ascii="Times New Roman" w:hAnsi="Times New Roman" w:cs="Times New Roman"/>
          <w:sz w:val="24"/>
        </w:rPr>
        <w:t xml:space="preserve">and </w:t>
      </w:r>
      <w:r>
        <w:rPr>
          <w:rFonts w:ascii="Times New Roman" w:hAnsi="Times New Roman" w:cs="Times New Roman"/>
          <w:sz w:val="24"/>
        </w:rPr>
        <w:t>A</w:t>
      </w:r>
      <w:r w:rsidRPr="00E373E7">
        <w:rPr>
          <w:rFonts w:ascii="Times New Roman" w:hAnsi="Times New Roman" w:cs="Times New Roman"/>
          <w:sz w:val="24"/>
        </w:rPr>
        <w:t>dministration</w:t>
      </w:r>
      <w:r>
        <w:rPr>
          <w:rFonts w:ascii="Times New Roman" w:hAnsi="Times New Roman" w:cs="Times New Roman"/>
          <w:sz w:val="24"/>
        </w:rPr>
        <w:t xml:space="preserve"> </w:t>
      </w:r>
      <w:r w:rsidRPr="00E373E7">
        <w:rPr>
          <w:rFonts w:ascii="Times New Roman" w:hAnsi="Times New Roman" w:cs="Times New Roman"/>
          <w:sz w:val="24"/>
        </w:rPr>
        <w:t>(Attachment 1</w:t>
      </w:r>
      <w:r>
        <w:rPr>
          <w:rFonts w:ascii="Times New Roman" w:hAnsi="Times New Roman" w:cs="Times New Roman"/>
          <w:sz w:val="24"/>
        </w:rPr>
        <w:t>8</w:t>
      </w:r>
      <w:r w:rsidRPr="00E373E7">
        <w:rPr>
          <w:rFonts w:ascii="Times New Roman" w:hAnsi="Times New Roman" w:cs="Times New Roman"/>
          <w:sz w:val="24"/>
        </w:rPr>
        <w:t>), 9—Medical</w:t>
      </w:r>
      <w:r>
        <w:rPr>
          <w:rFonts w:ascii="Times New Roman" w:hAnsi="Times New Roman" w:cs="Times New Roman"/>
          <w:sz w:val="24"/>
        </w:rPr>
        <w:t xml:space="preserve"> </w:t>
      </w:r>
      <w:r w:rsidRPr="00E373E7">
        <w:rPr>
          <w:rFonts w:ascii="Times New Roman" w:hAnsi="Times New Roman" w:cs="Times New Roman"/>
          <w:sz w:val="24"/>
        </w:rPr>
        <w:t>Materiel Management and Distribution</w:t>
      </w:r>
      <w:r>
        <w:rPr>
          <w:rFonts w:ascii="Times New Roman" w:hAnsi="Times New Roman" w:cs="Times New Roman"/>
          <w:sz w:val="24"/>
        </w:rPr>
        <w:t xml:space="preserve"> </w:t>
      </w:r>
      <w:r w:rsidRPr="00E373E7">
        <w:rPr>
          <w:rFonts w:ascii="Times New Roman" w:hAnsi="Times New Roman" w:cs="Times New Roman"/>
          <w:sz w:val="24"/>
        </w:rPr>
        <w:t>(Attachment 1</w:t>
      </w:r>
      <w:r>
        <w:rPr>
          <w:rFonts w:ascii="Times New Roman" w:hAnsi="Times New Roman" w:cs="Times New Roman"/>
          <w:sz w:val="24"/>
        </w:rPr>
        <w:t>9</w:t>
      </w:r>
      <w:r w:rsidRPr="00E373E7">
        <w:rPr>
          <w:rFonts w:ascii="Times New Roman" w:hAnsi="Times New Roman" w:cs="Times New Roman"/>
          <w:sz w:val="24"/>
        </w:rPr>
        <w:t>),</w:t>
      </w:r>
      <w:r>
        <w:rPr>
          <w:rFonts w:ascii="Times New Roman" w:hAnsi="Times New Roman" w:cs="Times New Roman"/>
          <w:sz w:val="24"/>
        </w:rPr>
        <w:t xml:space="preserve"> </w:t>
      </w:r>
      <w:r w:rsidRPr="00E373E7">
        <w:rPr>
          <w:rFonts w:ascii="Times New Roman" w:hAnsi="Times New Roman" w:cs="Times New Roman"/>
          <w:sz w:val="24"/>
        </w:rPr>
        <w:t>10—Medical Surge</w:t>
      </w:r>
      <w:r>
        <w:rPr>
          <w:rFonts w:ascii="Times New Roman" w:hAnsi="Times New Roman" w:cs="Times New Roman"/>
          <w:sz w:val="24"/>
        </w:rPr>
        <w:t xml:space="preserve"> </w:t>
      </w:r>
      <w:r w:rsidRPr="00E373E7">
        <w:rPr>
          <w:rFonts w:ascii="Times New Roman" w:hAnsi="Times New Roman" w:cs="Times New Roman"/>
          <w:sz w:val="24"/>
        </w:rPr>
        <w:t xml:space="preserve">(Attachment </w:t>
      </w:r>
      <w:r>
        <w:rPr>
          <w:rFonts w:ascii="Times New Roman" w:hAnsi="Times New Roman" w:cs="Times New Roman"/>
          <w:sz w:val="24"/>
        </w:rPr>
        <w:t>20</w:t>
      </w:r>
      <w:r w:rsidRPr="00E373E7">
        <w:rPr>
          <w:rFonts w:ascii="Times New Roman" w:hAnsi="Times New Roman" w:cs="Times New Roman"/>
          <w:sz w:val="24"/>
        </w:rPr>
        <w:t>), 11—Nonpharmaceutical Intervention</w:t>
      </w:r>
      <w:r>
        <w:rPr>
          <w:rFonts w:ascii="Times New Roman" w:hAnsi="Times New Roman" w:cs="Times New Roman"/>
          <w:sz w:val="24"/>
        </w:rPr>
        <w:t xml:space="preserve"> </w:t>
      </w:r>
      <w:r w:rsidRPr="00E373E7">
        <w:rPr>
          <w:rFonts w:ascii="Times New Roman" w:hAnsi="Times New Roman" w:cs="Times New Roman"/>
          <w:sz w:val="24"/>
        </w:rPr>
        <w:t xml:space="preserve">(Attachment </w:t>
      </w:r>
      <w:r>
        <w:rPr>
          <w:rFonts w:ascii="Times New Roman" w:hAnsi="Times New Roman" w:cs="Times New Roman"/>
          <w:sz w:val="24"/>
        </w:rPr>
        <w:t>2</w:t>
      </w:r>
      <w:r w:rsidRPr="00E373E7">
        <w:rPr>
          <w:rFonts w:ascii="Times New Roman" w:hAnsi="Times New Roman" w:cs="Times New Roman"/>
          <w:sz w:val="24"/>
        </w:rPr>
        <w:t>1), 12—Public Health Laboratory Testing</w:t>
      </w:r>
      <w:r>
        <w:rPr>
          <w:rFonts w:ascii="Times New Roman" w:hAnsi="Times New Roman" w:cs="Times New Roman"/>
          <w:sz w:val="24"/>
        </w:rPr>
        <w:t xml:space="preserve"> </w:t>
      </w:r>
      <w:r w:rsidRPr="00E373E7">
        <w:rPr>
          <w:rFonts w:ascii="Times New Roman" w:hAnsi="Times New Roman" w:cs="Times New Roman"/>
          <w:sz w:val="24"/>
        </w:rPr>
        <w:t>(Attachment 2</w:t>
      </w:r>
      <w:r>
        <w:rPr>
          <w:rFonts w:ascii="Times New Roman" w:hAnsi="Times New Roman" w:cs="Times New Roman"/>
          <w:sz w:val="24"/>
        </w:rPr>
        <w:t>2)</w:t>
      </w:r>
      <w:r w:rsidRPr="00E373E7">
        <w:rPr>
          <w:rFonts w:ascii="Times New Roman" w:hAnsi="Times New Roman" w:cs="Times New Roman"/>
          <w:sz w:val="24"/>
        </w:rPr>
        <w:t>, 13—Public Health Surveillance and</w:t>
      </w:r>
      <w:r>
        <w:rPr>
          <w:rFonts w:ascii="Times New Roman" w:hAnsi="Times New Roman" w:cs="Times New Roman"/>
          <w:sz w:val="24"/>
        </w:rPr>
        <w:t xml:space="preserve"> </w:t>
      </w:r>
      <w:r w:rsidRPr="00E373E7">
        <w:rPr>
          <w:rFonts w:ascii="Times New Roman" w:hAnsi="Times New Roman" w:cs="Times New Roman"/>
          <w:sz w:val="24"/>
        </w:rPr>
        <w:t>Epidemiological Investigation</w:t>
      </w:r>
      <w:r>
        <w:rPr>
          <w:rFonts w:ascii="Times New Roman" w:hAnsi="Times New Roman" w:cs="Times New Roman"/>
          <w:sz w:val="24"/>
        </w:rPr>
        <w:t xml:space="preserve"> </w:t>
      </w:r>
      <w:r w:rsidRPr="00E373E7">
        <w:rPr>
          <w:rFonts w:ascii="Times New Roman" w:hAnsi="Times New Roman" w:cs="Times New Roman"/>
          <w:sz w:val="24"/>
        </w:rPr>
        <w:t>(Attachment 2</w:t>
      </w:r>
      <w:r>
        <w:rPr>
          <w:rFonts w:ascii="Times New Roman" w:hAnsi="Times New Roman" w:cs="Times New Roman"/>
          <w:sz w:val="24"/>
        </w:rPr>
        <w:t>3)</w:t>
      </w:r>
      <w:r w:rsidRPr="00E373E7">
        <w:rPr>
          <w:rFonts w:ascii="Times New Roman" w:hAnsi="Times New Roman" w:cs="Times New Roman"/>
          <w:sz w:val="24"/>
        </w:rPr>
        <w:t>, 14—Responder Safety and Health</w:t>
      </w:r>
      <w:r>
        <w:rPr>
          <w:rFonts w:ascii="Times New Roman" w:hAnsi="Times New Roman" w:cs="Times New Roman"/>
          <w:sz w:val="24"/>
        </w:rPr>
        <w:t xml:space="preserve"> </w:t>
      </w:r>
      <w:r w:rsidRPr="00E373E7">
        <w:rPr>
          <w:rFonts w:ascii="Times New Roman" w:hAnsi="Times New Roman" w:cs="Times New Roman"/>
          <w:sz w:val="24"/>
        </w:rPr>
        <w:t>(Attachment 2</w:t>
      </w:r>
      <w:r>
        <w:rPr>
          <w:rFonts w:ascii="Times New Roman" w:hAnsi="Times New Roman" w:cs="Times New Roman"/>
          <w:sz w:val="24"/>
        </w:rPr>
        <w:t>4)</w:t>
      </w:r>
      <w:r w:rsidRPr="00E373E7">
        <w:rPr>
          <w:rFonts w:ascii="Times New Roman" w:hAnsi="Times New Roman" w:cs="Times New Roman"/>
          <w:sz w:val="24"/>
        </w:rPr>
        <w:t xml:space="preserve">, </w:t>
      </w:r>
      <w:r w:rsidR="00F25445">
        <w:rPr>
          <w:rFonts w:ascii="Times New Roman" w:hAnsi="Times New Roman" w:cs="Times New Roman"/>
          <w:sz w:val="24"/>
        </w:rPr>
        <w:t xml:space="preserve">and </w:t>
      </w:r>
      <w:r w:rsidRPr="00E373E7">
        <w:rPr>
          <w:rFonts w:ascii="Times New Roman" w:hAnsi="Times New Roman" w:cs="Times New Roman"/>
          <w:sz w:val="24"/>
        </w:rPr>
        <w:t>15—Volunteer Management(Attachment 2</w:t>
      </w:r>
      <w:r>
        <w:rPr>
          <w:rFonts w:ascii="Times New Roman" w:hAnsi="Times New Roman" w:cs="Times New Roman"/>
          <w:sz w:val="24"/>
        </w:rPr>
        <w:t>5)</w:t>
      </w:r>
      <w:r w:rsidRPr="00E373E7">
        <w:rPr>
          <w:rFonts w:ascii="Times New Roman" w:hAnsi="Times New Roman" w:cs="Times New Roman"/>
          <w:sz w:val="24"/>
        </w:rPr>
        <w:t xml:space="preserve">. </w:t>
      </w:r>
    </w:p>
    <w:tbl>
      <w:tblPr>
        <w:tblStyle w:val="TableGrid"/>
        <w:tblW w:w="9625" w:type="dxa"/>
        <w:jc w:val="center"/>
        <w:tblLook w:val="04A0"/>
      </w:tblPr>
      <w:tblGrid>
        <w:gridCol w:w="2202"/>
        <w:gridCol w:w="1207"/>
        <w:gridCol w:w="1261"/>
        <w:gridCol w:w="1370"/>
        <w:gridCol w:w="1360"/>
        <w:gridCol w:w="979"/>
        <w:gridCol w:w="1246"/>
      </w:tblGrid>
      <w:tr w14:paraId="01BCF414" w14:textId="77777777" w:rsidTr="00DE3495">
        <w:tblPrEx>
          <w:tblW w:w="9625" w:type="dxa"/>
          <w:jc w:val="center"/>
          <w:tblLook w:val="04A0"/>
        </w:tblPrEx>
        <w:trPr>
          <w:jc w:val="center"/>
        </w:trPr>
        <w:tc>
          <w:tcPr>
            <w:tcW w:w="9625" w:type="dxa"/>
            <w:gridSpan w:val="7"/>
          </w:tcPr>
          <w:p w:rsidR="00597E96" w:rsidRPr="00DE3495" w:rsidP="0077497D" w14:paraId="3DA86F27" w14:textId="6FF38167">
            <w:pPr>
              <w:spacing w:before="60"/>
              <w:jc w:val="center"/>
              <w:rPr>
                <w:rFonts w:ascii="Times New Roman" w:hAnsi="Times New Roman" w:cs="Times New Roman"/>
                <w:sz w:val="20"/>
                <w:szCs w:val="20"/>
              </w:rPr>
            </w:pPr>
            <w:r w:rsidRPr="00DE3495">
              <w:rPr>
                <w:rFonts w:ascii="Times New Roman" w:hAnsi="Times New Roman" w:cs="Times New Roman"/>
                <w:sz w:val="20"/>
                <w:szCs w:val="20"/>
              </w:rPr>
              <w:t xml:space="preserve">Capabilities 1 -15, by Domain </w:t>
            </w:r>
          </w:p>
        </w:tc>
      </w:tr>
      <w:tr w14:paraId="4E75F8A6" w14:textId="77777777" w:rsidTr="00DE3495">
        <w:tblPrEx>
          <w:tblW w:w="9625" w:type="dxa"/>
          <w:jc w:val="center"/>
          <w:tblLook w:val="04A0"/>
        </w:tblPrEx>
        <w:trPr>
          <w:jc w:val="center"/>
        </w:trPr>
        <w:tc>
          <w:tcPr>
            <w:tcW w:w="2202" w:type="dxa"/>
          </w:tcPr>
          <w:p w:rsidR="00597E96" w:rsidRPr="00DE3495" w:rsidP="0077497D" w14:paraId="48EC4CA0" w14:textId="77777777">
            <w:pPr>
              <w:spacing w:before="60"/>
              <w:rPr>
                <w:rFonts w:ascii="Times New Roman" w:hAnsi="Times New Roman" w:cs="Times New Roman"/>
                <w:sz w:val="20"/>
                <w:szCs w:val="20"/>
              </w:rPr>
            </w:pPr>
            <w:r w:rsidRPr="00DE3495">
              <w:rPr>
                <w:rFonts w:ascii="Times New Roman" w:hAnsi="Times New Roman" w:cs="Times New Roman"/>
                <w:sz w:val="20"/>
                <w:szCs w:val="20"/>
              </w:rPr>
              <w:t>Capability / Domain</w:t>
            </w:r>
          </w:p>
        </w:tc>
        <w:tc>
          <w:tcPr>
            <w:tcW w:w="1207" w:type="dxa"/>
            <w:vAlign w:val="center"/>
          </w:tcPr>
          <w:p w:rsidR="00597E96" w:rsidRPr="00DE3495" w:rsidP="0077497D" w14:paraId="2C447A28"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1</w:t>
            </w:r>
          </w:p>
        </w:tc>
        <w:tc>
          <w:tcPr>
            <w:tcW w:w="1261" w:type="dxa"/>
            <w:vAlign w:val="center"/>
          </w:tcPr>
          <w:p w:rsidR="00597E96" w:rsidRPr="00DE3495" w:rsidP="0077497D" w14:paraId="5A0F2DD1"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2</w:t>
            </w:r>
          </w:p>
        </w:tc>
        <w:tc>
          <w:tcPr>
            <w:tcW w:w="1370" w:type="dxa"/>
            <w:vAlign w:val="center"/>
          </w:tcPr>
          <w:p w:rsidR="00597E96" w:rsidRPr="00DE3495" w:rsidP="0077497D" w14:paraId="135D8A3D"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3</w:t>
            </w:r>
          </w:p>
        </w:tc>
        <w:tc>
          <w:tcPr>
            <w:tcW w:w="1360" w:type="dxa"/>
            <w:vAlign w:val="center"/>
          </w:tcPr>
          <w:p w:rsidR="00597E96" w:rsidRPr="00DE3495" w:rsidP="0077497D" w14:paraId="068CFB70"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4</w:t>
            </w:r>
          </w:p>
        </w:tc>
        <w:tc>
          <w:tcPr>
            <w:tcW w:w="979" w:type="dxa"/>
            <w:vAlign w:val="center"/>
          </w:tcPr>
          <w:p w:rsidR="00597E96" w:rsidRPr="00DE3495" w:rsidP="0077497D" w14:paraId="6996B0C8"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5</w:t>
            </w:r>
          </w:p>
        </w:tc>
        <w:tc>
          <w:tcPr>
            <w:tcW w:w="1246" w:type="dxa"/>
            <w:vAlign w:val="center"/>
          </w:tcPr>
          <w:p w:rsidR="00597E96" w:rsidRPr="00DE3495" w:rsidP="0077497D" w14:paraId="5508D23B"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6</w:t>
            </w:r>
          </w:p>
        </w:tc>
      </w:tr>
      <w:tr w14:paraId="52E37086" w14:textId="77777777" w:rsidTr="00DE3495">
        <w:tblPrEx>
          <w:tblW w:w="9625" w:type="dxa"/>
          <w:jc w:val="center"/>
          <w:tblLook w:val="04A0"/>
        </w:tblPrEx>
        <w:trPr>
          <w:jc w:val="center"/>
        </w:trPr>
        <w:tc>
          <w:tcPr>
            <w:tcW w:w="2202" w:type="dxa"/>
          </w:tcPr>
          <w:p w:rsidR="00597E96" w:rsidRPr="00DE3495" w:rsidP="0077497D" w14:paraId="1ED0E2A1" w14:textId="77777777">
            <w:pPr>
              <w:spacing w:before="60"/>
              <w:rPr>
                <w:rFonts w:ascii="Times New Roman" w:hAnsi="Times New Roman" w:cs="Times New Roman"/>
                <w:sz w:val="20"/>
                <w:szCs w:val="20"/>
              </w:rPr>
            </w:pPr>
          </w:p>
        </w:tc>
        <w:tc>
          <w:tcPr>
            <w:tcW w:w="1207" w:type="dxa"/>
            <w:vAlign w:val="center"/>
          </w:tcPr>
          <w:p w:rsidR="00597E96" w:rsidRPr="00DE3495" w:rsidP="0077497D" w14:paraId="4E930AA9" w14:textId="16E4445C">
            <w:pPr>
              <w:spacing w:before="60"/>
              <w:jc w:val="center"/>
              <w:rPr>
                <w:rFonts w:ascii="Times New Roman" w:hAnsi="Times New Roman" w:cs="Times New Roman"/>
                <w:sz w:val="20"/>
                <w:szCs w:val="20"/>
              </w:rPr>
            </w:pPr>
            <w:r w:rsidRPr="00DE3495">
              <w:rPr>
                <w:rFonts w:ascii="Times New Roman" w:hAnsi="Times New Roman" w:cs="Times New Roman"/>
                <w:sz w:val="20"/>
                <w:szCs w:val="20"/>
              </w:rPr>
              <w:t>Community Resilience</w:t>
            </w:r>
          </w:p>
        </w:tc>
        <w:tc>
          <w:tcPr>
            <w:tcW w:w="1261" w:type="dxa"/>
            <w:vAlign w:val="center"/>
          </w:tcPr>
          <w:p w:rsidR="00597E96" w:rsidRPr="00DE3495" w:rsidP="0077497D" w14:paraId="7A0CDCDE" w14:textId="1753C353">
            <w:pPr>
              <w:spacing w:before="60"/>
              <w:jc w:val="center"/>
              <w:rPr>
                <w:rFonts w:ascii="Times New Roman" w:hAnsi="Times New Roman" w:cs="Times New Roman"/>
                <w:sz w:val="20"/>
                <w:szCs w:val="20"/>
              </w:rPr>
            </w:pPr>
            <w:r w:rsidRPr="00DE3495">
              <w:rPr>
                <w:rFonts w:ascii="Times New Roman" w:hAnsi="Times New Roman" w:cs="Times New Roman"/>
                <w:sz w:val="20"/>
                <w:szCs w:val="20"/>
              </w:rPr>
              <w:t>Incident Management</w:t>
            </w:r>
          </w:p>
        </w:tc>
        <w:tc>
          <w:tcPr>
            <w:tcW w:w="1370" w:type="dxa"/>
            <w:vAlign w:val="center"/>
          </w:tcPr>
          <w:p w:rsidR="00597E96" w:rsidRPr="00DE3495" w:rsidP="0077497D" w14:paraId="5A822AEE" w14:textId="7086DDAE">
            <w:pPr>
              <w:spacing w:before="60"/>
              <w:jc w:val="center"/>
              <w:rPr>
                <w:rFonts w:ascii="Times New Roman" w:hAnsi="Times New Roman" w:cs="Times New Roman"/>
                <w:sz w:val="20"/>
                <w:szCs w:val="20"/>
              </w:rPr>
            </w:pPr>
            <w:r w:rsidRPr="00DE3495">
              <w:rPr>
                <w:rFonts w:ascii="Times New Roman" w:hAnsi="Times New Roman" w:cs="Times New Roman"/>
                <w:sz w:val="20"/>
                <w:szCs w:val="20"/>
              </w:rPr>
              <w:t>Information Management</w:t>
            </w:r>
          </w:p>
        </w:tc>
        <w:tc>
          <w:tcPr>
            <w:tcW w:w="1360" w:type="dxa"/>
            <w:vAlign w:val="center"/>
          </w:tcPr>
          <w:p w:rsidR="00597E96" w:rsidRPr="00DE3495" w:rsidP="0077497D" w14:paraId="4EB5D715" w14:textId="6F35D645">
            <w:pPr>
              <w:spacing w:before="60"/>
              <w:jc w:val="center"/>
              <w:rPr>
                <w:rFonts w:ascii="Times New Roman" w:hAnsi="Times New Roman" w:cs="Times New Roman"/>
                <w:sz w:val="20"/>
                <w:szCs w:val="20"/>
              </w:rPr>
            </w:pPr>
            <w:r w:rsidRPr="00DE3495">
              <w:rPr>
                <w:rFonts w:ascii="Times New Roman" w:hAnsi="Times New Roman" w:cs="Times New Roman"/>
                <w:sz w:val="20"/>
                <w:szCs w:val="20"/>
              </w:rPr>
              <w:t>Counter</w:t>
            </w:r>
            <w:r w:rsidRPr="00DE3495" w:rsidR="00305653">
              <w:rPr>
                <w:rFonts w:ascii="Times New Roman" w:hAnsi="Times New Roman" w:cs="Times New Roman"/>
                <w:sz w:val="20"/>
                <w:szCs w:val="20"/>
              </w:rPr>
              <w:t>-</w:t>
            </w:r>
            <w:r w:rsidRPr="00DE3495">
              <w:rPr>
                <w:rFonts w:ascii="Times New Roman" w:hAnsi="Times New Roman" w:cs="Times New Roman"/>
                <w:sz w:val="20"/>
                <w:szCs w:val="20"/>
              </w:rPr>
              <w:t>measures and Mitigation</w:t>
            </w:r>
          </w:p>
        </w:tc>
        <w:tc>
          <w:tcPr>
            <w:tcW w:w="979" w:type="dxa"/>
            <w:vAlign w:val="center"/>
          </w:tcPr>
          <w:p w:rsidR="00597E96" w:rsidRPr="00DE3495" w:rsidP="0077497D" w14:paraId="31092CAD" w14:textId="2C93FD53">
            <w:pPr>
              <w:spacing w:before="60"/>
              <w:jc w:val="center"/>
              <w:rPr>
                <w:rFonts w:ascii="Times New Roman" w:hAnsi="Times New Roman" w:cs="Times New Roman"/>
                <w:sz w:val="20"/>
                <w:szCs w:val="20"/>
              </w:rPr>
            </w:pPr>
            <w:r w:rsidRPr="00DE3495">
              <w:rPr>
                <w:rFonts w:ascii="Times New Roman" w:hAnsi="Times New Roman" w:cs="Times New Roman"/>
                <w:sz w:val="20"/>
                <w:szCs w:val="20"/>
              </w:rPr>
              <w:t>Surge Manage</w:t>
            </w:r>
            <w:r w:rsidRPr="00DE3495" w:rsidR="00305653">
              <w:rPr>
                <w:rFonts w:ascii="Times New Roman" w:hAnsi="Times New Roman" w:cs="Times New Roman"/>
                <w:sz w:val="20"/>
                <w:szCs w:val="20"/>
              </w:rPr>
              <w:t>-</w:t>
            </w:r>
            <w:r w:rsidRPr="00DE3495">
              <w:rPr>
                <w:rFonts w:ascii="Times New Roman" w:hAnsi="Times New Roman" w:cs="Times New Roman"/>
                <w:sz w:val="20"/>
                <w:szCs w:val="20"/>
              </w:rPr>
              <w:t>ment</w:t>
            </w:r>
          </w:p>
        </w:tc>
        <w:tc>
          <w:tcPr>
            <w:tcW w:w="1246" w:type="dxa"/>
            <w:vAlign w:val="center"/>
          </w:tcPr>
          <w:p w:rsidR="00597E96" w:rsidRPr="00DE3495" w:rsidP="0077497D" w14:paraId="4803BFD7" w14:textId="07707004">
            <w:pPr>
              <w:spacing w:before="60"/>
              <w:jc w:val="center"/>
              <w:rPr>
                <w:rFonts w:ascii="Times New Roman" w:hAnsi="Times New Roman" w:cs="Times New Roman"/>
                <w:sz w:val="20"/>
                <w:szCs w:val="20"/>
              </w:rPr>
            </w:pPr>
            <w:r w:rsidRPr="00DE3495">
              <w:rPr>
                <w:rFonts w:ascii="Times New Roman" w:hAnsi="Times New Roman" w:cs="Times New Roman"/>
                <w:sz w:val="20"/>
                <w:szCs w:val="20"/>
              </w:rPr>
              <w:t>Bio</w:t>
            </w:r>
            <w:r w:rsidRPr="00DE3495" w:rsidR="00BC2CA9">
              <w:rPr>
                <w:rFonts w:ascii="Times New Roman" w:hAnsi="Times New Roman" w:cs="Times New Roman"/>
                <w:sz w:val="20"/>
                <w:szCs w:val="20"/>
              </w:rPr>
              <w:t>-</w:t>
            </w:r>
            <w:r w:rsidRPr="00DE3495">
              <w:rPr>
                <w:rFonts w:ascii="Times New Roman" w:hAnsi="Times New Roman" w:cs="Times New Roman"/>
                <w:sz w:val="20"/>
                <w:szCs w:val="20"/>
              </w:rPr>
              <w:t>surveillance</w:t>
            </w:r>
          </w:p>
        </w:tc>
      </w:tr>
      <w:tr w14:paraId="5EA753F2" w14:textId="77777777" w:rsidTr="00DE3495">
        <w:tblPrEx>
          <w:tblW w:w="9625" w:type="dxa"/>
          <w:jc w:val="center"/>
          <w:tblLook w:val="04A0"/>
        </w:tblPrEx>
        <w:trPr>
          <w:jc w:val="center"/>
        </w:trPr>
        <w:tc>
          <w:tcPr>
            <w:tcW w:w="2202" w:type="dxa"/>
          </w:tcPr>
          <w:p w:rsidR="00597E96" w:rsidRPr="00DE3495" w:rsidP="00DE3495" w14:paraId="7A60A136"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Community Preparedness</w:t>
            </w:r>
          </w:p>
        </w:tc>
        <w:tc>
          <w:tcPr>
            <w:tcW w:w="1207" w:type="dxa"/>
            <w:vAlign w:val="center"/>
          </w:tcPr>
          <w:p w:rsidR="00597E96" w:rsidRPr="00DE3495" w:rsidP="0077497D" w14:paraId="6815A155"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1261" w:type="dxa"/>
            <w:vAlign w:val="center"/>
          </w:tcPr>
          <w:p w:rsidR="00597E96" w:rsidRPr="00DE3495" w:rsidP="0077497D" w14:paraId="20DB1884" w14:textId="77777777">
            <w:pPr>
              <w:spacing w:before="60"/>
              <w:jc w:val="center"/>
              <w:rPr>
                <w:rFonts w:ascii="Times New Roman" w:hAnsi="Times New Roman" w:cs="Times New Roman"/>
                <w:sz w:val="20"/>
                <w:szCs w:val="20"/>
              </w:rPr>
            </w:pPr>
          </w:p>
        </w:tc>
        <w:tc>
          <w:tcPr>
            <w:tcW w:w="1370" w:type="dxa"/>
            <w:vAlign w:val="center"/>
          </w:tcPr>
          <w:p w:rsidR="00597E96" w:rsidRPr="00DE3495" w:rsidP="0077497D" w14:paraId="1048433E" w14:textId="77777777">
            <w:pPr>
              <w:spacing w:before="60"/>
              <w:jc w:val="center"/>
              <w:rPr>
                <w:rFonts w:ascii="Times New Roman" w:hAnsi="Times New Roman" w:cs="Times New Roman"/>
                <w:sz w:val="20"/>
                <w:szCs w:val="20"/>
              </w:rPr>
            </w:pPr>
          </w:p>
        </w:tc>
        <w:tc>
          <w:tcPr>
            <w:tcW w:w="1360" w:type="dxa"/>
            <w:vAlign w:val="center"/>
          </w:tcPr>
          <w:p w:rsidR="00597E96" w:rsidRPr="00DE3495" w:rsidP="0077497D" w14:paraId="3F485958" w14:textId="77777777">
            <w:pPr>
              <w:spacing w:before="60"/>
              <w:jc w:val="center"/>
              <w:rPr>
                <w:rFonts w:ascii="Times New Roman" w:hAnsi="Times New Roman" w:cs="Times New Roman"/>
                <w:sz w:val="20"/>
                <w:szCs w:val="20"/>
              </w:rPr>
            </w:pPr>
          </w:p>
        </w:tc>
        <w:tc>
          <w:tcPr>
            <w:tcW w:w="979" w:type="dxa"/>
            <w:vAlign w:val="center"/>
          </w:tcPr>
          <w:tbl>
            <w:tblPr>
              <w:tblW w:w="0" w:type="auto"/>
              <w:tblBorders>
                <w:top w:val="nil"/>
                <w:left w:val="nil"/>
                <w:bottom w:val="nil"/>
                <w:right w:val="nil"/>
              </w:tblBorders>
              <w:tblLook w:val="0000"/>
            </w:tblPr>
            <w:tblGrid>
              <w:gridCol w:w="763"/>
            </w:tblGrid>
            <w:tr w14:paraId="53544788" w14:textId="77777777" w:rsidTr="0077497D">
              <w:tblPrEx>
                <w:tblW w:w="0" w:type="auto"/>
                <w:tblBorders>
                  <w:top w:val="nil"/>
                  <w:left w:val="nil"/>
                  <w:bottom w:val="nil"/>
                  <w:right w:val="nil"/>
                </w:tblBorders>
                <w:tblLook w:val="0000"/>
              </w:tblPrEx>
              <w:trPr>
                <w:trHeight w:val="161"/>
              </w:trPr>
              <w:tc>
                <w:tcPr>
                  <w:tcW w:w="1556" w:type="dxa"/>
                </w:tcPr>
                <w:p w:rsidR="00597E96" w:rsidRPr="00DE3495" w:rsidP="0077497D" w14:paraId="55986B2C" w14:textId="77777777">
                  <w:pPr>
                    <w:pStyle w:val="Default"/>
                    <w:spacing w:before="60"/>
                    <w:jc w:val="center"/>
                    <w:rPr>
                      <w:sz w:val="20"/>
                      <w:szCs w:val="20"/>
                    </w:rPr>
                  </w:pPr>
                </w:p>
              </w:tc>
            </w:tr>
          </w:tbl>
          <w:p w:rsidR="00597E96" w:rsidRPr="00DE3495" w:rsidP="0077497D" w14:paraId="6349105C" w14:textId="77777777">
            <w:pPr>
              <w:spacing w:before="60"/>
              <w:jc w:val="center"/>
              <w:rPr>
                <w:rFonts w:ascii="Times New Roman" w:hAnsi="Times New Roman" w:cs="Times New Roman"/>
                <w:sz w:val="20"/>
                <w:szCs w:val="20"/>
              </w:rPr>
            </w:pPr>
          </w:p>
        </w:tc>
        <w:tc>
          <w:tcPr>
            <w:tcW w:w="1246" w:type="dxa"/>
            <w:vAlign w:val="center"/>
          </w:tcPr>
          <w:tbl>
            <w:tblPr>
              <w:tblW w:w="0" w:type="auto"/>
              <w:tblBorders>
                <w:top w:val="nil"/>
                <w:left w:val="nil"/>
                <w:bottom w:val="nil"/>
                <w:right w:val="nil"/>
              </w:tblBorders>
              <w:tblLook w:val="0000"/>
            </w:tblPr>
            <w:tblGrid>
              <w:gridCol w:w="222"/>
            </w:tblGrid>
            <w:tr w14:paraId="3EE9CE94" w14:textId="77777777" w:rsidTr="0077497D">
              <w:tblPrEx>
                <w:tblW w:w="0" w:type="auto"/>
                <w:tblBorders>
                  <w:top w:val="nil"/>
                  <w:left w:val="nil"/>
                  <w:bottom w:val="nil"/>
                  <w:right w:val="nil"/>
                </w:tblBorders>
                <w:tblLook w:val="0000"/>
              </w:tblPrEx>
              <w:trPr>
                <w:trHeight w:val="308"/>
              </w:trPr>
              <w:tc>
                <w:tcPr>
                  <w:tcW w:w="0" w:type="auto"/>
                </w:tcPr>
                <w:p w:rsidR="00597E96" w:rsidRPr="00DE3495" w:rsidP="0077497D" w14:paraId="05057F1A" w14:textId="77777777">
                  <w:pPr>
                    <w:pStyle w:val="Default"/>
                    <w:spacing w:before="60"/>
                    <w:jc w:val="center"/>
                    <w:rPr>
                      <w:sz w:val="20"/>
                      <w:szCs w:val="20"/>
                    </w:rPr>
                  </w:pPr>
                </w:p>
              </w:tc>
            </w:tr>
          </w:tbl>
          <w:p w:rsidR="00597E96" w:rsidRPr="00DE3495" w:rsidP="0077497D" w14:paraId="2AA6DE35" w14:textId="77777777">
            <w:pPr>
              <w:spacing w:before="60"/>
              <w:jc w:val="center"/>
              <w:rPr>
                <w:rFonts w:ascii="Times New Roman" w:hAnsi="Times New Roman" w:cs="Times New Roman"/>
                <w:sz w:val="20"/>
                <w:szCs w:val="20"/>
              </w:rPr>
            </w:pPr>
          </w:p>
        </w:tc>
      </w:tr>
      <w:tr w14:paraId="70F3F529" w14:textId="77777777" w:rsidTr="00DE3495">
        <w:tblPrEx>
          <w:tblW w:w="9625" w:type="dxa"/>
          <w:jc w:val="center"/>
          <w:tblLook w:val="04A0"/>
        </w:tblPrEx>
        <w:trPr>
          <w:jc w:val="center"/>
        </w:trPr>
        <w:tc>
          <w:tcPr>
            <w:tcW w:w="2202" w:type="dxa"/>
          </w:tcPr>
          <w:p w:rsidR="00597E96" w:rsidRPr="00DE3495" w:rsidP="00DE3495" w14:paraId="544C49B3"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Community Recovery</w:t>
            </w:r>
          </w:p>
        </w:tc>
        <w:tc>
          <w:tcPr>
            <w:tcW w:w="1207" w:type="dxa"/>
            <w:vAlign w:val="center"/>
          </w:tcPr>
          <w:p w:rsidR="00597E96" w:rsidRPr="00DE3495" w:rsidP="0077497D" w14:paraId="0DB42941"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1261" w:type="dxa"/>
            <w:vAlign w:val="center"/>
          </w:tcPr>
          <w:p w:rsidR="00597E96" w:rsidRPr="00DE3495" w:rsidP="0077497D" w14:paraId="539F5231" w14:textId="77777777">
            <w:pPr>
              <w:spacing w:before="60"/>
              <w:jc w:val="center"/>
              <w:rPr>
                <w:rFonts w:ascii="Times New Roman" w:hAnsi="Times New Roman" w:cs="Times New Roman"/>
                <w:sz w:val="20"/>
                <w:szCs w:val="20"/>
              </w:rPr>
            </w:pPr>
          </w:p>
        </w:tc>
        <w:tc>
          <w:tcPr>
            <w:tcW w:w="1370" w:type="dxa"/>
            <w:vAlign w:val="center"/>
          </w:tcPr>
          <w:p w:rsidR="00597E96" w:rsidRPr="00DE3495" w:rsidP="0077497D" w14:paraId="222108C1" w14:textId="77777777">
            <w:pPr>
              <w:spacing w:before="60"/>
              <w:jc w:val="center"/>
              <w:rPr>
                <w:rFonts w:ascii="Times New Roman" w:hAnsi="Times New Roman" w:cs="Times New Roman"/>
                <w:sz w:val="20"/>
                <w:szCs w:val="20"/>
              </w:rPr>
            </w:pPr>
          </w:p>
        </w:tc>
        <w:tc>
          <w:tcPr>
            <w:tcW w:w="1360" w:type="dxa"/>
            <w:vAlign w:val="center"/>
          </w:tcPr>
          <w:p w:rsidR="00597E96" w:rsidRPr="00DE3495" w:rsidP="0077497D" w14:paraId="68599D9E" w14:textId="77777777">
            <w:pPr>
              <w:spacing w:before="60"/>
              <w:jc w:val="center"/>
              <w:rPr>
                <w:rFonts w:ascii="Times New Roman" w:hAnsi="Times New Roman" w:cs="Times New Roman"/>
                <w:sz w:val="20"/>
                <w:szCs w:val="20"/>
              </w:rPr>
            </w:pPr>
          </w:p>
        </w:tc>
        <w:tc>
          <w:tcPr>
            <w:tcW w:w="979" w:type="dxa"/>
            <w:vAlign w:val="center"/>
          </w:tcPr>
          <w:p w:rsidR="00597E96" w:rsidRPr="00DE3495" w:rsidP="0077497D" w14:paraId="51009781" w14:textId="77777777">
            <w:pPr>
              <w:spacing w:before="60"/>
              <w:jc w:val="center"/>
              <w:rPr>
                <w:rFonts w:ascii="Times New Roman" w:hAnsi="Times New Roman" w:cs="Times New Roman"/>
                <w:sz w:val="20"/>
                <w:szCs w:val="20"/>
              </w:rPr>
            </w:pPr>
          </w:p>
        </w:tc>
        <w:tc>
          <w:tcPr>
            <w:tcW w:w="1246" w:type="dxa"/>
            <w:vAlign w:val="center"/>
          </w:tcPr>
          <w:p w:rsidR="00597E96" w:rsidRPr="00DE3495" w:rsidP="0077497D" w14:paraId="1EC1194A" w14:textId="77777777">
            <w:pPr>
              <w:spacing w:before="60"/>
              <w:jc w:val="center"/>
              <w:rPr>
                <w:rFonts w:ascii="Times New Roman" w:hAnsi="Times New Roman" w:cs="Times New Roman"/>
                <w:sz w:val="20"/>
                <w:szCs w:val="20"/>
              </w:rPr>
            </w:pPr>
          </w:p>
        </w:tc>
      </w:tr>
      <w:tr w14:paraId="3389EB9C" w14:textId="77777777" w:rsidTr="00DE3495">
        <w:tblPrEx>
          <w:tblW w:w="9625" w:type="dxa"/>
          <w:jc w:val="center"/>
          <w:tblLook w:val="04A0"/>
        </w:tblPrEx>
        <w:trPr>
          <w:jc w:val="center"/>
        </w:trPr>
        <w:tc>
          <w:tcPr>
            <w:tcW w:w="2202" w:type="dxa"/>
          </w:tcPr>
          <w:p w:rsidR="00597E96" w:rsidRPr="00DE3495" w:rsidP="00DE3495" w14:paraId="5A111875"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Emergency Operations Coordination</w:t>
            </w:r>
          </w:p>
        </w:tc>
        <w:tc>
          <w:tcPr>
            <w:tcW w:w="1207" w:type="dxa"/>
            <w:vAlign w:val="center"/>
          </w:tcPr>
          <w:p w:rsidR="00597E96" w:rsidRPr="00DE3495" w:rsidP="0077497D" w14:paraId="5CE4365D" w14:textId="77777777">
            <w:pPr>
              <w:spacing w:before="60"/>
              <w:jc w:val="center"/>
              <w:rPr>
                <w:rFonts w:ascii="Times New Roman" w:hAnsi="Times New Roman" w:cs="Times New Roman"/>
                <w:sz w:val="20"/>
                <w:szCs w:val="20"/>
              </w:rPr>
            </w:pPr>
          </w:p>
        </w:tc>
        <w:tc>
          <w:tcPr>
            <w:tcW w:w="1261" w:type="dxa"/>
            <w:vAlign w:val="center"/>
          </w:tcPr>
          <w:p w:rsidR="00597E96" w:rsidRPr="00DE3495" w:rsidP="0077497D" w14:paraId="3A068346"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1370" w:type="dxa"/>
            <w:vAlign w:val="center"/>
          </w:tcPr>
          <w:p w:rsidR="00597E96" w:rsidRPr="00DE3495" w:rsidP="0077497D" w14:paraId="26E6E714" w14:textId="77777777">
            <w:pPr>
              <w:spacing w:before="60"/>
              <w:jc w:val="center"/>
              <w:rPr>
                <w:rFonts w:ascii="Times New Roman" w:hAnsi="Times New Roman" w:cs="Times New Roman"/>
                <w:sz w:val="20"/>
                <w:szCs w:val="20"/>
              </w:rPr>
            </w:pPr>
          </w:p>
        </w:tc>
        <w:tc>
          <w:tcPr>
            <w:tcW w:w="1360" w:type="dxa"/>
            <w:vAlign w:val="center"/>
          </w:tcPr>
          <w:p w:rsidR="00597E96" w:rsidRPr="00DE3495" w:rsidP="0077497D" w14:paraId="033BAB28" w14:textId="77777777">
            <w:pPr>
              <w:spacing w:before="60"/>
              <w:jc w:val="center"/>
              <w:rPr>
                <w:rFonts w:ascii="Times New Roman" w:hAnsi="Times New Roman" w:cs="Times New Roman"/>
                <w:sz w:val="20"/>
                <w:szCs w:val="20"/>
              </w:rPr>
            </w:pPr>
          </w:p>
        </w:tc>
        <w:tc>
          <w:tcPr>
            <w:tcW w:w="979" w:type="dxa"/>
            <w:vAlign w:val="center"/>
          </w:tcPr>
          <w:p w:rsidR="00597E96" w:rsidRPr="00DE3495" w:rsidP="0077497D" w14:paraId="2321DC8C" w14:textId="77777777">
            <w:pPr>
              <w:spacing w:before="60"/>
              <w:jc w:val="center"/>
              <w:rPr>
                <w:rFonts w:ascii="Times New Roman" w:hAnsi="Times New Roman" w:cs="Times New Roman"/>
                <w:sz w:val="20"/>
                <w:szCs w:val="20"/>
              </w:rPr>
            </w:pPr>
          </w:p>
        </w:tc>
        <w:tc>
          <w:tcPr>
            <w:tcW w:w="1246" w:type="dxa"/>
            <w:vAlign w:val="center"/>
          </w:tcPr>
          <w:p w:rsidR="00597E96" w:rsidRPr="00DE3495" w:rsidP="0077497D" w14:paraId="6516B77C" w14:textId="77777777">
            <w:pPr>
              <w:spacing w:before="60"/>
              <w:jc w:val="center"/>
              <w:rPr>
                <w:rFonts w:ascii="Times New Roman" w:hAnsi="Times New Roman" w:cs="Times New Roman"/>
                <w:sz w:val="20"/>
                <w:szCs w:val="20"/>
              </w:rPr>
            </w:pPr>
          </w:p>
        </w:tc>
      </w:tr>
      <w:tr w14:paraId="3905C0C7" w14:textId="77777777" w:rsidTr="00DE3495">
        <w:tblPrEx>
          <w:tblW w:w="9625" w:type="dxa"/>
          <w:jc w:val="center"/>
          <w:tblLook w:val="04A0"/>
        </w:tblPrEx>
        <w:trPr>
          <w:jc w:val="center"/>
        </w:trPr>
        <w:tc>
          <w:tcPr>
            <w:tcW w:w="2202" w:type="dxa"/>
          </w:tcPr>
          <w:p w:rsidR="00597E96" w:rsidRPr="00DE3495" w:rsidP="00DE3495" w14:paraId="4D209829"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Emergency Public Information and Warning</w:t>
            </w:r>
          </w:p>
        </w:tc>
        <w:tc>
          <w:tcPr>
            <w:tcW w:w="1207" w:type="dxa"/>
            <w:vAlign w:val="center"/>
          </w:tcPr>
          <w:p w:rsidR="00597E96" w:rsidRPr="00DE3495" w:rsidP="0077497D" w14:paraId="767A4A96" w14:textId="77777777">
            <w:pPr>
              <w:spacing w:before="60"/>
              <w:jc w:val="center"/>
              <w:rPr>
                <w:rFonts w:ascii="Times New Roman" w:hAnsi="Times New Roman" w:cs="Times New Roman"/>
                <w:sz w:val="20"/>
                <w:szCs w:val="20"/>
              </w:rPr>
            </w:pPr>
          </w:p>
        </w:tc>
        <w:tc>
          <w:tcPr>
            <w:tcW w:w="1261" w:type="dxa"/>
            <w:vAlign w:val="center"/>
          </w:tcPr>
          <w:p w:rsidR="00597E96" w:rsidRPr="00DE3495" w:rsidP="0077497D" w14:paraId="4C8C59B2" w14:textId="77777777">
            <w:pPr>
              <w:spacing w:before="60"/>
              <w:jc w:val="center"/>
              <w:rPr>
                <w:rFonts w:ascii="Times New Roman" w:hAnsi="Times New Roman" w:cs="Times New Roman"/>
                <w:sz w:val="20"/>
                <w:szCs w:val="20"/>
              </w:rPr>
            </w:pPr>
          </w:p>
        </w:tc>
        <w:tc>
          <w:tcPr>
            <w:tcW w:w="1370" w:type="dxa"/>
            <w:vAlign w:val="center"/>
          </w:tcPr>
          <w:p w:rsidR="00597E96" w:rsidRPr="00DE3495" w:rsidP="0077497D" w14:paraId="3F59EF96"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1360" w:type="dxa"/>
            <w:vAlign w:val="center"/>
          </w:tcPr>
          <w:p w:rsidR="00597E96" w:rsidRPr="00DE3495" w:rsidP="0077497D" w14:paraId="784912DF" w14:textId="77777777">
            <w:pPr>
              <w:spacing w:before="60"/>
              <w:jc w:val="center"/>
              <w:rPr>
                <w:rFonts w:ascii="Times New Roman" w:hAnsi="Times New Roman" w:cs="Times New Roman"/>
                <w:sz w:val="20"/>
                <w:szCs w:val="20"/>
              </w:rPr>
            </w:pPr>
          </w:p>
        </w:tc>
        <w:tc>
          <w:tcPr>
            <w:tcW w:w="979" w:type="dxa"/>
            <w:vAlign w:val="center"/>
          </w:tcPr>
          <w:p w:rsidR="00597E96" w:rsidRPr="00DE3495" w:rsidP="0077497D" w14:paraId="2665FCDC" w14:textId="77777777">
            <w:pPr>
              <w:spacing w:before="60"/>
              <w:jc w:val="center"/>
              <w:rPr>
                <w:rFonts w:ascii="Times New Roman" w:hAnsi="Times New Roman" w:cs="Times New Roman"/>
                <w:sz w:val="20"/>
                <w:szCs w:val="20"/>
              </w:rPr>
            </w:pPr>
          </w:p>
        </w:tc>
        <w:tc>
          <w:tcPr>
            <w:tcW w:w="1246" w:type="dxa"/>
            <w:vAlign w:val="center"/>
          </w:tcPr>
          <w:p w:rsidR="00597E96" w:rsidRPr="00DE3495" w:rsidP="0077497D" w14:paraId="31A2438A" w14:textId="77777777">
            <w:pPr>
              <w:spacing w:before="60"/>
              <w:jc w:val="center"/>
              <w:rPr>
                <w:rFonts w:ascii="Times New Roman" w:hAnsi="Times New Roman" w:cs="Times New Roman"/>
                <w:sz w:val="20"/>
                <w:szCs w:val="20"/>
              </w:rPr>
            </w:pPr>
          </w:p>
        </w:tc>
      </w:tr>
      <w:tr w14:paraId="10315680" w14:textId="77777777" w:rsidTr="00DE3495">
        <w:tblPrEx>
          <w:tblW w:w="9625" w:type="dxa"/>
          <w:jc w:val="center"/>
          <w:tblLook w:val="04A0"/>
        </w:tblPrEx>
        <w:trPr>
          <w:jc w:val="center"/>
        </w:trPr>
        <w:tc>
          <w:tcPr>
            <w:tcW w:w="2202" w:type="dxa"/>
          </w:tcPr>
          <w:p w:rsidR="00597E96" w:rsidRPr="00DE3495" w:rsidP="00DE3495" w14:paraId="2CC15C40"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Fatality Management</w:t>
            </w:r>
          </w:p>
        </w:tc>
        <w:tc>
          <w:tcPr>
            <w:tcW w:w="1207" w:type="dxa"/>
            <w:vAlign w:val="center"/>
          </w:tcPr>
          <w:p w:rsidR="00597E96" w:rsidRPr="00DE3495" w:rsidP="0077497D" w14:paraId="10FCC172" w14:textId="77777777">
            <w:pPr>
              <w:spacing w:before="60"/>
              <w:jc w:val="center"/>
              <w:rPr>
                <w:rFonts w:ascii="Times New Roman" w:hAnsi="Times New Roman" w:cs="Times New Roman"/>
                <w:sz w:val="20"/>
                <w:szCs w:val="20"/>
              </w:rPr>
            </w:pPr>
          </w:p>
        </w:tc>
        <w:tc>
          <w:tcPr>
            <w:tcW w:w="1261" w:type="dxa"/>
            <w:vAlign w:val="center"/>
          </w:tcPr>
          <w:p w:rsidR="00597E96" w:rsidRPr="00DE3495" w:rsidP="0077497D" w14:paraId="4B95DCC0" w14:textId="77777777">
            <w:pPr>
              <w:spacing w:before="60"/>
              <w:jc w:val="center"/>
              <w:rPr>
                <w:rFonts w:ascii="Times New Roman" w:hAnsi="Times New Roman" w:cs="Times New Roman"/>
                <w:sz w:val="20"/>
                <w:szCs w:val="20"/>
              </w:rPr>
            </w:pPr>
          </w:p>
        </w:tc>
        <w:tc>
          <w:tcPr>
            <w:tcW w:w="1370" w:type="dxa"/>
            <w:vAlign w:val="center"/>
          </w:tcPr>
          <w:p w:rsidR="00597E96" w:rsidRPr="00DE3495" w:rsidP="0077497D" w14:paraId="4F427D47" w14:textId="77777777">
            <w:pPr>
              <w:spacing w:before="60"/>
              <w:jc w:val="center"/>
              <w:rPr>
                <w:rFonts w:ascii="Times New Roman" w:hAnsi="Times New Roman" w:cs="Times New Roman"/>
                <w:sz w:val="20"/>
                <w:szCs w:val="20"/>
              </w:rPr>
            </w:pPr>
          </w:p>
        </w:tc>
        <w:tc>
          <w:tcPr>
            <w:tcW w:w="1360" w:type="dxa"/>
            <w:vAlign w:val="center"/>
          </w:tcPr>
          <w:p w:rsidR="00597E96" w:rsidRPr="00DE3495" w:rsidP="0077497D" w14:paraId="44CCEA3B" w14:textId="77777777">
            <w:pPr>
              <w:spacing w:before="60"/>
              <w:jc w:val="center"/>
              <w:rPr>
                <w:rFonts w:ascii="Times New Roman" w:hAnsi="Times New Roman" w:cs="Times New Roman"/>
                <w:sz w:val="20"/>
                <w:szCs w:val="20"/>
              </w:rPr>
            </w:pPr>
          </w:p>
        </w:tc>
        <w:tc>
          <w:tcPr>
            <w:tcW w:w="979" w:type="dxa"/>
            <w:vAlign w:val="center"/>
          </w:tcPr>
          <w:p w:rsidR="00597E96" w:rsidRPr="00DE3495" w:rsidP="0077497D" w14:paraId="0442A052"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1246" w:type="dxa"/>
            <w:vAlign w:val="center"/>
          </w:tcPr>
          <w:p w:rsidR="00597E96" w:rsidRPr="00DE3495" w:rsidP="0077497D" w14:paraId="0B0D16D3" w14:textId="77777777">
            <w:pPr>
              <w:spacing w:before="60"/>
              <w:jc w:val="center"/>
              <w:rPr>
                <w:rFonts w:ascii="Times New Roman" w:hAnsi="Times New Roman" w:cs="Times New Roman"/>
                <w:sz w:val="20"/>
                <w:szCs w:val="20"/>
              </w:rPr>
            </w:pPr>
          </w:p>
        </w:tc>
      </w:tr>
      <w:tr w14:paraId="309F053C" w14:textId="77777777" w:rsidTr="00DE3495">
        <w:tblPrEx>
          <w:tblW w:w="9625" w:type="dxa"/>
          <w:jc w:val="center"/>
          <w:tblLook w:val="04A0"/>
        </w:tblPrEx>
        <w:trPr>
          <w:jc w:val="center"/>
        </w:trPr>
        <w:tc>
          <w:tcPr>
            <w:tcW w:w="2202" w:type="dxa"/>
          </w:tcPr>
          <w:p w:rsidR="00597E96" w:rsidRPr="00DE3495" w:rsidP="00DE3495" w14:paraId="4FD028AB"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Information Sharing</w:t>
            </w:r>
          </w:p>
        </w:tc>
        <w:tc>
          <w:tcPr>
            <w:tcW w:w="1207" w:type="dxa"/>
            <w:vAlign w:val="center"/>
          </w:tcPr>
          <w:p w:rsidR="00597E96" w:rsidRPr="00DE3495" w:rsidP="0077497D" w14:paraId="7FB4FC7D" w14:textId="77777777">
            <w:pPr>
              <w:spacing w:before="60"/>
              <w:jc w:val="center"/>
              <w:rPr>
                <w:rFonts w:ascii="Times New Roman" w:hAnsi="Times New Roman" w:cs="Times New Roman"/>
                <w:sz w:val="20"/>
                <w:szCs w:val="20"/>
              </w:rPr>
            </w:pPr>
          </w:p>
        </w:tc>
        <w:tc>
          <w:tcPr>
            <w:tcW w:w="1261" w:type="dxa"/>
            <w:vAlign w:val="center"/>
          </w:tcPr>
          <w:p w:rsidR="00597E96" w:rsidRPr="00DE3495" w:rsidP="0077497D" w14:paraId="5D47357A" w14:textId="77777777">
            <w:pPr>
              <w:spacing w:before="60"/>
              <w:jc w:val="center"/>
              <w:rPr>
                <w:rFonts w:ascii="Times New Roman" w:hAnsi="Times New Roman" w:cs="Times New Roman"/>
                <w:sz w:val="20"/>
                <w:szCs w:val="20"/>
              </w:rPr>
            </w:pPr>
          </w:p>
        </w:tc>
        <w:tc>
          <w:tcPr>
            <w:tcW w:w="1370" w:type="dxa"/>
            <w:vAlign w:val="center"/>
          </w:tcPr>
          <w:p w:rsidR="00597E96" w:rsidRPr="00DE3495" w:rsidP="0077497D" w14:paraId="0FDB8315"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1360" w:type="dxa"/>
            <w:vAlign w:val="center"/>
          </w:tcPr>
          <w:p w:rsidR="00597E96" w:rsidRPr="00DE3495" w:rsidP="0077497D" w14:paraId="73407679" w14:textId="77777777">
            <w:pPr>
              <w:spacing w:before="60"/>
              <w:jc w:val="center"/>
              <w:rPr>
                <w:rFonts w:ascii="Times New Roman" w:hAnsi="Times New Roman" w:cs="Times New Roman"/>
                <w:sz w:val="20"/>
                <w:szCs w:val="20"/>
              </w:rPr>
            </w:pPr>
          </w:p>
        </w:tc>
        <w:tc>
          <w:tcPr>
            <w:tcW w:w="979" w:type="dxa"/>
            <w:vAlign w:val="center"/>
          </w:tcPr>
          <w:p w:rsidR="00597E96" w:rsidRPr="00DE3495" w:rsidP="0077497D" w14:paraId="0B0DE27E" w14:textId="77777777">
            <w:pPr>
              <w:spacing w:before="60"/>
              <w:jc w:val="center"/>
              <w:rPr>
                <w:rFonts w:ascii="Times New Roman" w:hAnsi="Times New Roman" w:cs="Times New Roman"/>
                <w:sz w:val="20"/>
                <w:szCs w:val="20"/>
              </w:rPr>
            </w:pPr>
          </w:p>
        </w:tc>
        <w:tc>
          <w:tcPr>
            <w:tcW w:w="1246" w:type="dxa"/>
            <w:vAlign w:val="center"/>
          </w:tcPr>
          <w:p w:rsidR="00597E96" w:rsidRPr="00DE3495" w:rsidP="0077497D" w14:paraId="2EB6A9DB" w14:textId="77777777">
            <w:pPr>
              <w:spacing w:before="60"/>
              <w:jc w:val="center"/>
              <w:rPr>
                <w:rFonts w:ascii="Times New Roman" w:hAnsi="Times New Roman" w:cs="Times New Roman"/>
                <w:sz w:val="20"/>
                <w:szCs w:val="20"/>
              </w:rPr>
            </w:pPr>
          </w:p>
        </w:tc>
      </w:tr>
      <w:tr w14:paraId="213B8C45" w14:textId="77777777" w:rsidTr="00DE3495">
        <w:tblPrEx>
          <w:tblW w:w="9625" w:type="dxa"/>
          <w:jc w:val="center"/>
          <w:tblLook w:val="04A0"/>
        </w:tblPrEx>
        <w:trPr>
          <w:jc w:val="center"/>
        </w:trPr>
        <w:tc>
          <w:tcPr>
            <w:tcW w:w="2202" w:type="dxa"/>
          </w:tcPr>
          <w:p w:rsidR="00597E96" w:rsidRPr="00DE3495" w:rsidP="00DE3495" w14:paraId="5F989DFF"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Mass Care</w:t>
            </w:r>
          </w:p>
        </w:tc>
        <w:tc>
          <w:tcPr>
            <w:tcW w:w="1207" w:type="dxa"/>
            <w:vAlign w:val="center"/>
          </w:tcPr>
          <w:p w:rsidR="00597E96" w:rsidRPr="00DE3495" w:rsidP="0077497D" w14:paraId="7CF2193F" w14:textId="77777777">
            <w:pPr>
              <w:spacing w:before="60"/>
              <w:jc w:val="center"/>
              <w:rPr>
                <w:rFonts w:ascii="Times New Roman" w:hAnsi="Times New Roman" w:cs="Times New Roman"/>
                <w:sz w:val="20"/>
                <w:szCs w:val="20"/>
              </w:rPr>
            </w:pPr>
          </w:p>
        </w:tc>
        <w:tc>
          <w:tcPr>
            <w:tcW w:w="1261" w:type="dxa"/>
            <w:vAlign w:val="center"/>
          </w:tcPr>
          <w:p w:rsidR="00597E96" w:rsidRPr="00DE3495" w:rsidP="0077497D" w14:paraId="6EBF8F61" w14:textId="77777777">
            <w:pPr>
              <w:spacing w:before="60"/>
              <w:jc w:val="center"/>
              <w:rPr>
                <w:rFonts w:ascii="Times New Roman" w:hAnsi="Times New Roman" w:cs="Times New Roman"/>
                <w:sz w:val="20"/>
                <w:szCs w:val="20"/>
              </w:rPr>
            </w:pPr>
          </w:p>
        </w:tc>
        <w:tc>
          <w:tcPr>
            <w:tcW w:w="1370" w:type="dxa"/>
            <w:vAlign w:val="center"/>
          </w:tcPr>
          <w:p w:rsidR="00597E96" w:rsidRPr="00DE3495" w:rsidP="0077497D" w14:paraId="45EC6211" w14:textId="77777777">
            <w:pPr>
              <w:spacing w:before="60"/>
              <w:jc w:val="center"/>
              <w:rPr>
                <w:rFonts w:ascii="Times New Roman" w:hAnsi="Times New Roman" w:cs="Times New Roman"/>
                <w:sz w:val="20"/>
                <w:szCs w:val="20"/>
              </w:rPr>
            </w:pPr>
          </w:p>
        </w:tc>
        <w:tc>
          <w:tcPr>
            <w:tcW w:w="1360" w:type="dxa"/>
            <w:vAlign w:val="center"/>
          </w:tcPr>
          <w:p w:rsidR="00597E96" w:rsidRPr="00DE3495" w:rsidP="0077497D" w14:paraId="187AFA53" w14:textId="77777777">
            <w:pPr>
              <w:spacing w:before="60"/>
              <w:jc w:val="center"/>
              <w:rPr>
                <w:rFonts w:ascii="Times New Roman" w:hAnsi="Times New Roman" w:cs="Times New Roman"/>
                <w:sz w:val="20"/>
                <w:szCs w:val="20"/>
              </w:rPr>
            </w:pPr>
          </w:p>
        </w:tc>
        <w:tc>
          <w:tcPr>
            <w:tcW w:w="979" w:type="dxa"/>
            <w:vAlign w:val="center"/>
          </w:tcPr>
          <w:p w:rsidR="00597E96" w:rsidRPr="00DE3495" w:rsidP="0077497D" w14:paraId="40E1F4F4"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1246" w:type="dxa"/>
            <w:vAlign w:val="center"/>
          </w:tcPr>
          <w:p w:rsidR="00597E96" w:rsidRPr="00DE3495" w:rsidP="0077497D" w14:paraId="377F1453" w14:textId="77777777">
            <w:pPr>
              <w:spacing w:before="60"/>
              <w:jc w:val="center"/>
              <w:rPr>
                <w:rFonts w:ascii="Times New Roman" w:hAnsi="Times New Roman" w:cs="Times New Roman"/>
                <w:sz w:val="20"/>
                <w:szCs w:val="20"/>
              </w:rPr>
            </w:pPr>
          </w:p>
        </w:tc>
      </w:tr>
      <w:tr w14:paraId="0342BBE5" w14:textId="77777777" w:rsidTr="00DE3495">
        <w:tblPrEx>
          <w:tblW w:w="9625" w:type="dxa"/>
          <w:jc w:val="center"/>
          <w:tblLook w:val="04A0"/>
        </w:tblPrEx>
        <w:trPr>
          <w:jc w:val="center"/>
        </w:trPr>
        <w:tc>
          <w:tcPr>
            <w:tcW w:w="2202" w:type="dxa"/>
          </w:tcPr>
          <w:p w:rsidR="00597E96" w:rsidRPr="00DE3495" w:rsidP="00DE3495" w14:paraId="0480FDEC"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Medical Countermeasure Dispensing and Administration</w:t>
            </w:r>
          </w:p>
        </w:tc>
        <w:tc>
          <w:tcPr>
            <w:tcW w:w="1207" w:type="dxa"/>
            <w:vAlign w:val="center"/>
          </w:tcPr>
          <w:p w:rsidR="00597E96" w:rsidRPr="00DE3495" w:rsidP="0077497D" w14:paraId="639A0BD1" w14:textId="77777777">
            <w:pPr>
              <w:spacing w:before="60"/>
              <w:jc w:val="center"/>
              <w:rPr>
                <w:rFonts w:ascii="Times New Roman" w:hAnsi="Times New Roman" w:cs="Times New Roman"/>
                <w:sz w:val="20"/>
                <w:szCs w:val="20"/>
              </w:rPr>
            </w:pPr>
          </w:p>
        </w:tc>
        <w:tc>
          <w:tcPr>
            <w:tcW w:w="1261" w:type="dxa"/>
            <w:vAlign w:val="center"/>
          </w:tcPr>
          <w:p w:rsidR="00597E96" w:rsidRPr="00DE3495" w:rsidP="0077497D" w14:paraId="27C43CE6" w14:textId="77777777">
            <w:pPr>
              <w:spacing w:before="60"/>
              <w:jc w:val="center"/>
              <w:rPr>
                <w:rFonts w:ascii="Times New Roman" w:hAnsi="Times New Roman" w:cs="Times New Roman"/>
                <w:sz w:val="20"/>
                <w:szCs w:val="20"/>
              </w:rPr>
            </w:pPr>
          </w:p>
        </w:tc>
        <w:tc>
          <w:tcPr>
            <w:tcW w:w="1370" w:type="dxa"/>
            <w:vAlign w:val="center"/>
          </w:tcPr>
          <w:p w:rsidR="00597E96" w:rsidRPr="00DE3495" w:rsidP="0077497D" w14:paraId="2E611394" w14:textId="77777777">
            <w:pPr>
              <w:spacing w:before="60"/>
              <w:jc w:val="center"/>
              <w:rPr>
                <w:rFonts w:ascii="Times New Roman" w:hAnsi="Times New Roman" w:cs="Times New Roman"/>
                <w:sz w:val="20"/>
                <w:szCs w:val="20"/>
              </w:rPr>
            </w:pPr>
          </w:p>
        </w:tc>
        <w:tc>
          <w:tcPr>
            <w:tcW w:w="1360" w:type="dxa"/>
            <w:vAlign w:val="center"/>
          </w:tcPr>
          <w:p w:rsidR="00597E96" w:rsidRPr="00DE3495" w:rsidP="0077497D" w14:paraId="5D38EE4E"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979" w:type="dxa"/>
            <w:vAlign w:val="center"/>
          </w:tcPr>
          <w:p w:rsidR="00597E96" w:rsidRPr="00DE3495" w:rsidP="0077497D" w14:paraId="6C1B027F" w14:textId="77777777">
            <w:pPr>
              <w:spacing w:before="60"/>
              <w:jc w:val="center"/>
              <w:rPr>
                <w:rFonts w:ascii="Times New Roman" w:hAnsi="Times New Roman" w:cs="Times New Roman"/>
                <w:sz w:val="20"/>
                <w:szCs w:val="20"/>
              </w:rPr>
            </w:pPr>
          </w:p>
        </w:tc>
        <w:tc>
          <w:tcPr>
            <w:tcW w:w="1246" w:type="dxa"/>
            <w:vAlign w:val="center"/>
          </w:tcPr>
          <w:p w:rsidR="00597E96" w:rsidRPr="00DE3495" w:rsidP="0077497D" w14:paraId="633BAC02" w14:textId="77777777">
            <w:pPr>
              <w:spacing w:before="60"/>
              <w:jc w:val="center"/>
              <w:rPr>
                <w:rFonts w:ascii="Times New Roman" w:hAnsi="Times New Roman" w:cs="Times New Roman"/>
                <w:sz w:val="20"/>
                <w:szCs w:val="20"/>
              </w:rPr>
            </w:pPr>
          </w:p>
        </w:tc>
      </w:tr>
      <w:tr w14:paraId="44D5BD4D" w14:textId="77777777" w:rsidTr="00DE3495">
        <w:tblPrEx>
          <w:tblW w:w="9625" w:type="dxa"/>
          <w:jc w:val="center"/>
          <w:tblLook w:val="04A0"/>
        </w:tblPrEx>
        <w:trPr>
          <w:jc w:val="center"/>
        </w:trPr>
        <w:tc>
          <w:tcPr>
            <w:tcW w:w="2202" w:type="dxa"/>
          </w:tcPr>
          <w:p w:rsidR="00597E96" w:rsidRPr="00DE3495" w:rsidP="00DE3495" w14:paraId="322EFAA3"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Medical Materiel Management and Distribution</w:t>
            </w:r>
          </w:p>
        </w:tc>
        <w:tc>
          <w:tcPr>
            <w:tcW w:w="1207" w:type="dxa"/>
            <w:vAlign w:val="center"/>
          </w:tcPr>
          <w:p w:rsidR="00597E96" w:rsidRPr="00DE3495" w:rsidP="0077497D" w14:paraId="4F520CC4" w14:textId="77777777">
            <w:pPr>
              <w:spacing w:before="60"/>
              <w:jc w:val="center"/>
              <w:rPr>
                <w:rFonts w:ascii="Times New Roman" w:hAnsi="Times New Roman" w:cs="Times New Roman"/>
                <w:sz w:val="20"/>
                <w:szCs w:val="20"/>
              </w:rPr>
            </w:pPr>
          </w:p>
        </w:tc>
        <w:tc>
          <w:tcPr>
            <w:tcW w:w="1261" w:type="dxa"/>
            <w:vAlign w:val="center"/>
          </w:tcPr>
          <w:p w:rsidR="00597E96" w:rsidRPr="00DE3495" w:rsidP="0077497D" w14:paraId="19C0ABF9" w14:textId="77777777">
            <w:pPr>
              <w:spacing w:before="60"/>
              <w:jc w:val="center"/>
              <w:rPr>
                <w:rFonts w:ascii="Times New Roman" w:hAnsi="Times New Roman" w:cs="Times New Roman"/>
                <w:sz w:val="20"/>
                <w:szCs w:val="20"/>
              </w:rPr>
            </w:pPr>
          </w:p>
        </w:tc>
        <w:tc>
          <w:tcPr>
            <w:tcW w:w="1370" w:type="dxa"/>
            <w:vAlign w:val="center"/>
          </w:tcPr>
          <w:p w:rsidR="00597E96" w:rsidRPr="00DE3495" w:rsidP="0077497D" w14:paraId="0F923119" w14:textId="77777777">
            <w:pPr>
              <w:spacing w:before="60"/>
              <w:jc w:val="center"/>
              <w:rPr>
                <w:rFonts w:ascii="Times New Roman" w:hAnsi="Times New Roman" w:cs="Times New Roman"/>
                <w:sz w:val="20"/>
                <w:szCs w:val="20"/>
              </w:rPr>
            </w:pPr>
          </w:p>
        </w:tc>
        <w:tc>
          <w:tcPr>
            <w:tcW w:w="1360" w:type="dxa"/>
            <w:vAlign w:val="center"/>
          </w:tcPr>
          <w:p w:rsidR="00597E96" w:rsidRPr="00DE3495" w:rsidP="0077497D" w14:paraId="7672440D"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979" w:type="dxa"/>
            <w:vAlign w:val="center"/>
          </w:tcPr>
          <w:p w:rsidR="00597E96" w:rsidRPr="00DE3495" w:rsidP="0077497D" w14:paraId="18A99ADD" w14:textId="77777777">
            <w:pPr>
              <w:spacing w:before="60"/>
              <w:jc w:val="center"/>
              <w:rPr>
                <w:rFonts w:ascii="Times New Roman" w:hAnsi="Times New Roman" w:cs="Times New Roman"/>
                <w:sz w:val="20"/>
                <w:szCs w:val="20"/>
              </w:rPr>
            </w:pPr>
          </w:p>
        </w:tc>
        <w:tc>
          <w:tcPr>
            <w:tcW w:w="1246" w:type="dxa"/>
            <w:vAlign w:val="center"/>
          </w:tcPr>
          <w:p w:rsidR="00597E96" w:rsidRPr="00DE3495" w:rsidP="0077497D" w14:paraId="3DA6D8BE" w14:textId="77777777">
            <w:pPr>
              <w:spacing w:before="60"/>
              <w:jc w:val="center"/>
              <w:rPr>
                <w:rFonts w:ascii="Times New Roman" w:hAnsi="Times New Roman" w:cs="Times New Roman"/>
                <w:sz w:val="20"/>
                <w:szCs w:val="20"/>
              </w:rPr>
            </w:pPr>
          </w:p>
        </w:tc>
      </w:tr>
      <w:tr w14:paraId="35BD7F95" w14:textId="77777777" w:rsidTr="00DE3495">
        <w:tblPrEx>
          <w:tblW w:w="9625" w:type="dxa"/>
          <w:jc w:val="center"/>
          <w:tblLook w:val="04A0"/>
        </w:tblPrEx>
        <w:trPr>
          <w:jc w:val="center"/>
        </w:trPr>
        <w:tc>
          <w:tcPr>
            <w:tcW w:w="2202" w:type="dxa"/>
          </w:tcPr>
          <w:p w:rsidR="00597E96" w:rsidRPr="00DE3495" w:rsidP="00DE3495" w14:paraId="56CC095D"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Medical Surge</w:t>
            </w:r>
          </w:p>
        </w:tc>
        <w:tc>
          <w:tcPr>
            <w:tcW w:w="1207" w:type="dxa"/>
            <w:vAlign w:val="center"/>
          </w:tcPr>
          <w:p w:rsidR="00597E96" w:rsidRPr="00DE3495" w:rsidP="0077497D" w14:paraId="6C901F2E" w14:textId="77777777">
            <w:pPr>
              <w:spacing w:before="60"/>
              <w:jc w:val="center"/>
              <w:rPr>
                <w:rFonts w:ascii="Times New Roman" w:hAnsi="Times New Roman" w:cs="Times New Roman"/>
                <w:sz w:val="20"/>
                <w:szCs w:val="20"/>
              </w:rPr>
            </w:pPr>
          </w:p>
        </w:tc>
        <w:tc>
          <w:tcPr>
            <w:tcW w:w="1261" w:type="dxa"/>
            <w:vAlign w:val="center"/>
          </w:tcPr>
          <w:p w:rsidR="00597E96" w:rsidRPr="00DE3495" w:rsidP="0077497D" w14:paraId="70092537" w14:textId="77777777">
            <w:pPr>
              <w:spacing w:before="60"/>
              <w:jc w:val="center"/>
              <w:rPr>
                <w:rFonts w:ascii="Times New Roman" w:hAnsi="Times New Roman" w:cs="Times New Roman"/>
                <w:sz w:val="20"/>
                <w:szCs w:val="20"/>
              </w:rPr>
            </w:pPr>
          </w:p>
        </w:tc>
        <w:tc>
          <w:tcPr>
            <w:tcW w:w="1370" w:type="dxa"/>
            <w:vAlign w:val="center"/>
          </w:tcPr>
          <w:p w:rsidR="00597E96" w:rsidRPr="00DE3495" w:rsidP="0077497D" w14:paraId="29E59269" w14:textId="77777777">
            <w:pPr>
              <w:spacing w:before="60"/>
              <w:jc w:val="center"/>
              <w:rPr>
                <w:rFonts w:ascii="Times New Roman" w:hAnsi="Times New Roman" w:cs="Times New Roman"/>
                <w:sz w:val="20"/>
                <w:szCs w:val="20"/>
              </w:rPr>
            </w:pPr>
          </w:p>
        </w:tc>
        <w:tc>
          <w:tcPr>
            <w:tcW w:w="1360" w:type="dxa"/>
            <w:vAlign w:val="center"/>
          </w:tcPr>
          <w:p w:rsidR="00597E96" w:rsidRPr="00DE3495" w:rsidP="0077497D" w14:paraId="672EA17B" w14:textId="77777777">
            <w:pPr>
              <w:spacing w:before="60"/>
              <w:jc w:val="center"/>
              <w:rPr>
                <w:rFonts w:ascii="Times New Roman" w:hAnsi="Times New Roman" w:cs="Times New Roman"/>
                <w:sz w:val="20"/>
                <w:szCs w:val="20"/>
              </w:rPr>
            </w:pPr>
          </w:p>
        </w:tc>
        <w:tc>
          <w:tcPr>
            <w:tcW w:w="979" w:type="dxa"/>
            <w:vAlign w:val="center"/>
          </w:tcPr>
          <w:p w:rsidR="00597E96" w:rsidRPr="00DE3495" w:rsidP="0077497D" w14:paraId="02F5D5A3"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1246" w:type="dxa"/>
            <w:vAlign w:val="center"/>
          </w:tcPr>
          <w:p w:rsidR="00597E96" w:rsidRPr="00DE3495" w:rsidP="0077497D" w14:paraId="2C117B8C" w14:textId="77777777">
            <w:pPr>
              <w:spacing w:before="60"/>
              <w:jc w:val="center"/>
              <w:rPr>
                <w:rFonts w:ascii="Times New Roman" w:hAnsi="Times New Roman" w:cs="Times New Roman"/>
                <w:sz w:val="20"/>
                <w:szCs w:val="20"/>
              </w:rPr>
            </w:pPr>
          </w:p>
        </w:tc>
      </w:tr>
      <w:tr w14:paraId="62B7F0B6" w14:textId="77777777" w:rsidTr="00DE3495">
        <w:tblPrEx>
          <w:tblW w:w="9625" w:type="dxa"/>
          <w:jc w:val="center"/>
          <w:tblLook w:val="04A0"/>
        </w:tblPrEx>
        <w:trPr>
          <w:jc w:val="center"/>
        </w:trPr>
        <w:tc>
          <w:tcPr>
            <w:tcW w:w="2202" w:type="dxa"/>
          </w:tcPr>
          <w:p w:rsidR="00597E96" w:rsidRPr="00DE3495" w:rsidP="00DE3495" w14:paraId="41D439D1"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Nonpharmaceutical Interventions</w:t>
            </w:r>
          </w:p>
        </w:tc>
        <w:tc>
          <w:tcPr>
            <w:tcW w:w="1207" w:type="dxa"/>
            <w:vAlign w:val="center"/>
          </w:tcPr>
          <w:p w:rsidR="00597E96" w:rsidRPr="00DE3495" w:rsidP="0077497D" w14:paraId="05BAD3BB" w14:textId="77777777">
            <w:pPr>
              <w:spacing w:before="60"/>
              <w:jc w:val="center"/>
              <w:rPr>
                <w:rFonts w:ascii="Times New Roman" w:hAnsi="Times New Roman" w:cs="Times New Roman"/>
                <w:sz w:val="20"/>
                <w:szCs w:val="20"/>
              </w:rPr>
            </w:pPr>
          </w:p>
        </w:tc>
        <w:tc>
          <w:tcPr>
            <w:tcW w:w="1261" w:type="dxa"/>
            <w:vAlign w:val="center"/>
          </w:tcPr>
          <w:p w:rsidR="00597E96" w:rsidRPr="00DE3495" w:rsidP="0077497D" w14:paraId="6B596760" w14:textId="77777777">
            <w:pPr>
              <w:spacing w:before="60"/>
              <w:jc w:val="center"/>
              <w:rPr>
                <w:rFonts w:ascii="Times New Roman" w:hAnsi="Times New Roman" w:cs="Times New Roman"/>
                <w:sz w:val="20"/>
                <w:szCs w:val="20"/>
              </w:rPr>
            </w:pPr>
          </w:p>
        </w:tc>
        <w:tc>
          <w:tcPr>
            <w:tcW w:w="1370" w:type="dxa"/>
            <w:vAlign w:val="center"/>
          </w:tcPr>
          <w:p w:rsidR="00597E96" w:rsidRPr="00DE3495" w:rsidP="0077497D" w14:paraId="5FDFC1CA" w14:textId="77777777">
            <w:pPr>
              <w:spacing w:before="60"/>
              <w:jc w:val="center"/>
              <w:rPr>
                <w:rFonts w:ascii="Times New Roman" w:hAnsi="Times New Roman" w:cs="Times New Roman"/>
                <w:sz w:val="20"/>
                <w:szCs w:val="20"/>
              </w:rPr>
            </w:pPr>
          </w:p>
        </w:tc>
        <w:tc>
          <w:tcPr>
            <w:tcW w:w="1360" w:type="dxa"/>
            <w:vAlign w:val="center"/>
          </w:tcPr>
          <w:p w:rsidR="00597E96" w:rsidRPr="00DE3495" w:rsidP="0077497D" w14:paraId="261A3C39"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979" w:type="dxa"/>
            <w:vAlign w:val="center"/>
          </w:tcPr>
          <w:p w:rsidR="00597E96" w:rsidRPr="00DE3495" w:rsidP="0077497D" w14:paraId="57852861" w14:textId="77777777">
            <w:pPr>
              <w:spacing w:before="60"/>
              <w:jc w:val="center"/>
              <w:rPr>
                <w:rFonts w:ascii="Times New Roman" w:hAnsi="Times New Roman" w:cs="Times New Roman"/>
                <w:sz w:val="20"/>
                <w:szCs w:val="20"/>
              </w:rPr>
            </w:pPr>
          </w:p>
        </w:tc>
        <w:tc>
          <w:tcPr>
            <w:tcW w:w="1246" w:type="dxa"/>
            <w:vAlign w:val="center"/>
          </w:tcPr>
          <w:p w:rsidR="00597E96" w:rsidRPr="00DE3495" w:rsidP="0077497D" w14:paraId="2A6AEAA1" w14:textId="77777777">
            <w:pPr>
              <w:spacing w:before="60"/>
              <w:jc w:val="center"/>
              <w:rPr>
                <w:rFonts w:ascii="Times New Roman" w:hAnsi="Times New Roman" w:cs="Times New Roman"/>
                <w:sz w:val="20"/>
                <w:szCs w:val="20"/>
              </w:rPr>
            </w:pPr>
          </w:p>
        </w:tc>
      </w:tr>
      <w:tr w14:paraId="659C3296" w14:textId="77777777" w:rsidTr="00DE3495">
        <w:tblPrEx>
          <w:tblW w:w="9625" w:type="dxa"/>
          <w:jc w:val="center"/>
          <w:tblLook w:val="04A0"/>
        </w:tblPrEx>
        <w:trPr>
          <w:jc w:val="center"/>
        </w:trPr>
        <w:tc>
          <w:tcPr>
            <w:tcW w:w="2202" w:type="dxa"/>
          </w:tcPr>
          <w:p w:rsidR="00597E96" w:rsidRPr="00DE3495" w:rsidP="00DE3495" w14:paraId="459A683C"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Public Health Laboratory Testing</w:t>
            </w:r>
          </w:p>
        </w:tc>
        <w:tc>
          <w:tcPr>
            <w:tcW w:w="1207" w:type="dxa"/>
            <w:vAlign w:val="center"/>
          </w:tcPr>
          <w:p w:rsidR="00597E96" w:rsidRPr="00DE3495" w:rsidP="0077497D" w14:paraId="4F9D91C6" w14:textId="77777777">
            <w:pPr>
              <w:spacing w:before="60"/>
              <w:jc w:val="center"/>
              <w:rPr>
                <w:rFonts w:ascii="Times New Roman" w:hAnsi="Times New Roman" w:cs="Times New Roman"/>
                <w:sz w:val="20"/>
                <w:szCs w:val="20"/>
              </w:rPr>
            </w:pPr>
          </w:p>
        </w:tc>
        <w:tc>
          <w:tcPr>
            <w:tcW w:w="1261" w:type="dxa"/>
            <w:vAlign w:val="center"/>
          </w:tcPr>
          <w:p w:rsidR="00597E96" w:rsidRPr="00DE3495" w:rsidP="0077497D" w14:paraId="6AEE39CF" w14:textId="77777777">
            <w:pPr>
              <w:spacing w:before="60"/>
              <w:jc w:val="center"/>
              <w:rPr>
                <w:rFonts w:ascii="Times New Roman" w:hAnsi="Times New Roman" w:cs="Times New Roman"/>
                <w:sz w:val="20"/>
                <w:szCs w:val="20"/>
              </w:rPr>
            </w:pPr>
          </w:p>
        </w:tc>
        <w:tc>
          <w:tcPr>
            <w:tcW w:w="1370" w:type="dxa"/>
            <w:vAlign w:val="center"/>
          </w:tcPr>
          <w:p w:rsidR="00597E96" w:rsidRPr="00DE3495" w:rsidP="0077497D" w14:paraId="502CB515" w14:textId="77777777">
            <w:pPr>
              <w:spacing w:before="60"/>
              <w:jc w:val="center"/>
              <w:rPr>
                <w:rFonts w:ascii="Times New Roman" w:hAnsi="Times New Roman" w:cs="Times New Roman"/>
                <w:sz w:val="20"/>
                <w:szCs w:val="20"/>
              </w:rPr>
            </w:pPr>
          </w:p>
        </w:tc>
        <w:tc>
          <w:tcPr>
            <w:tcW w:w="1360" w:type="dxa"/>
            <w:vAlign w:val="center"/>
          </w:tcPr>
          <w:p w:rsidR="00597E96" w:rsidRPr="00DE3495" w:rsidP="0077497D" w14:paraId="5E2BBC45" w14:textId="77777777">
            <w:pPr>
              <w:spacing w:before="60"/>
              <w:jc w:val="center"/>
              <w:rPr>
                <w:rFonts w:ascii="Times New Roman" w:hAnsi="Times New Roman" w:cs="Times New Roman"/>
                <w:sz w:val="20"/>
                <w:szCs w:val="20"/>
              </w:rPr>
            </w:pPr>
          </w:p>
        </w:tc>
        <w:tc>
          <w:tcPr>
            <w:tcW w:w="979" w:type="dxa"/>
            <w:vAlign w:val="center"/>
          </w:tcPr>
          <w:p w:rsidR="00597E96" w:rsidRPr="00DE3495" w:rsidP="0077497D" w14:paraId="4EE29482" w14:textId="77777777">
            <w:pPr>
              <w:spacing w:before="60"/>
              <w:jc w:val="center"/>
              <w:rPr>
                <w:rFonts w:ascii="Times New Roman" w:hAnsi="Times New Roman" w:cs="Times New Roman"/>
                <w:sz w:val="20"/>
                <w:szCs w:val="20"/>
              </w:rPr>
            </w:pPr>
          </w:p>
        </w:tc>
        <w:tc>
          <w:tcPr>
            <w:tcW w:w="1246" w:type="dxa"/>
            <w:vAlign w:val="center"/>
          </w:tcPr>
          <w:p w:rsidR="00597E96" w:rsidRPr="00DE3495" w:rsidP="0077497D" w14:paraId="65681937"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r>
      <w:tr w14:paraId="720742ED" w14:textId="77777777" w:rsidTr="00DE3495">
        <w:tblPrEx>
          <w:tblW w:w="9625" w:type="dxa"/>
          <w:jc w:val="center"/>
          <w:tblLook w:val="04A0"/>
        </w:tblPrEx>
        <w:trPr>
          <w:jc w:val="center"/>
        </w:trPr>
        <w:tc>
          <w:tcPr>
            <w:tcW w:w="2202" w:type="dxa"/>
          </w:tcPr>
          <w:p w:rsidR="00597E96" w:rsidRPr="00DE3495" w:rsidP="00DE3495" w14:paraId="344D9C01"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Public Health Surveillance and Epidemiological Investigation</w:t>
            </w:r>
          </w:p>
        </w:tc>
        <w:tc>
          <w:tcPr>
            <w:tcW w:w="1207" w:type="dxa"/>
            <w:vAlign w:val="center"/>
          </w:tcPr>
          <w:p w:rsidR="00597E96" w:rsidRPr="00DE3495" w:rsidP="0077497D" w14:paraId="2066A157" w14:textId="77777777">
            <w:pPr>
              <w:spacing w:before="60"/>
              <w:jc w:val="center"/>
              <w:rPr>
                <w:rFonts w:ascii="Times New Roman" w:hAnsi="Times New Roman" w:cs="Times New Roman"/>
                <w:sz w:val="20"/>
                <w:szCs w:val="20"/>
              </w:rPr>
            </w:pPr>
          </w:p>
        </w:tc>
        <w:tc>
          <w:tcPr>
            <w:tcW w:w="1261" w:type="dxa"/>
            <w:vAlign w:val="center"/>
          </w:tcPr>
          <w:p w:rsidR="00597E96" w:rsidRPr="00DE3495" w:rsidP="0077497D" w14:paraId="1C484B51" w14:textId="77777777">
            <w:pPr>
              <w:spacing w:before="60"/>
              <w:jc w:val="center"/>
              <w:rPr>
                <w:rFonts w:ascii="Times New Roman" w:hAnsi="Times New Roman" w:cs="Times New Roman"/>
                <w:sz w:val="20"/>
                <w:szCs w:val="20"/>
              </w:rPr>
            </w:pPr>
          </w:p>
        </w:tc>
        <w:tc>
          <w:tcPr>
            <w:tcW w:w="1370" w:type="dxa"/>
            <w:vAlign w:val="center"/>
          </w:tcPr>
          <w:p w:rsidR="00597E96" w:rsidRPr="00DE3495" w:rsidP="0077497D" w14:paraId="1C7E2B8F" w14:textId="77777777">
            <w:pPr>
              <w:spacing w:before="60"/>
              <w:jc w:val="center"/>
              <w:rPr>
                <w:rFonts w:ascii="Times New Roman" w:hAnsi="Times New Roman" w:cs="Times New Roman"/>
                <w:sz w:val="20"/>
                <w:szCs w:val="20"/>
              </w:rPr>
            </w:pPr>
          </w:p>
        </w:tc>
        <w:tc>
          <w:tcPr>
            <w:tcW w:w="1360" w:type="dxa"/>
            <w:vAlign w:val="center"/>
          </w:tcPr>
          <w:p w:rsidR="00597E96" w:rsidRPr="00DE3495" w:rsidP="0077497D" w14:paraId="2F59CB37" w14:textId="77777777">
            <w:pPr>
              <w:spacing w:before="60"/>
              <w:jc w:val="center"/>
              <w:rPr>
                <w:rFonts w:ascii="Times New Roman" w:hAnsi="Times New Roman" w:cs="Times New Roman"/>
                <w:sz w:val="20"/>
                <w:szCs w:val="20"/>
              </w:rPr>
            </w:pPr>
          </w:p>
        </w:tc>
        <w:tc>
          <w:tcPr>
            <w:tcW w:w="979" w:type="dxa"/>
            <w:vAlign w:val="center"/>
          </w:tcPr>
          <w:p w:rsidR="00597E96" w:rsidRPr="00DE3495" w:rsidP="0077497D" w14:paraId="22D5D4A6" w14:textId="77777777">
            <w:pPr>
              <w:spacing w:before="60"/>
              <w:jc w:val="center"/>
              <w:rPr>
                <w:rFonts w:ascii="Times New Roman" w:hAnsi="Times New Roman" w:cs="Times New Roman"/>
                <w:sz w:val="20"/>
                <w:szCs w:val="20"/>
              </w:rPr>
            </w:pPr>
          </w:p>
        </w:tc>
        <w:tc>
          <w:tcPr>
            <w:tcW w:w="1246" w:type="dxa"/>
            <w:vAlign w:val="center"/>
          </w:tcPr>
          <w:p w:rsidR="00597E96" w:rsidRPr="00DE3495" w:rsidP="0077497D" w14:paraId="004BABB7"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r>
      <w:tr w14:paraId="25C5859A" w14:textId="77777777" w:rsidTr="00DE3495">
        <w:tblPrEx>
          <w:tblW w:w="9625" w:type="dxa"/>
          <w:jc w:val="center"/>
          <w:tblLook w:val="04A0"/>
        </w:tblPrEx>
        <w:trPr>
          <w:jc w:val="center"/>
        </w:trPr>
        <w:tc>
          <w:tcPr>
            <w:tcW w:w="2202" w:type="dxa"/>
          </w:tcPr>
          <w:p w:rsidR="00597E96" w:rsidRPr="00DE3495" w:rsidP="00DE3495" w14:paraId="1B9F67D3"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Responder Safety and Health</w:t>
            </w:r>
          </w:p>
        </w:tc>
        <w:tc>
          <w:tcPr>
            <w:tcW w:w="1207" w:type="dxa"/>
            <w:vAlign w:val="center"/>
          </w:tcPr>
          <w:p w:rsidR="00597E96" w:rsidRPr="00DE3495" w:rsidP="0077497D" w14:paraId="4D5ED6E7" w14:textId="77777777">
            <w:pPr>
              <w:spacing w:before="60"/>
              <w:jc w:val="center"/>
              <w:rPr>
                <w:rFonts w:ascii="Times New Roman" w:hAnsi="Times New Roman" w:cs="Times New Roman"/>
                <w:sz w:val="20"/>
                <w:szCs w:val="20"/>
              </w:rPr>
            </w:pPr>
          </w:p>
        </w:tc>
        <w:tc>
          <w:tcPr>
            <w:tcW w:w="1261" w:type="dxa"/>
            <w:vAlign w:val="center"/>
          </w:tcPr>
          <w:p w:rsidR="00597E96" w:rsidRPr="00DE3495" w:rsidP="0077497D" w14:paraId="4A67402C" w14:textId="77777777">
            <w:pPr>
              <w:spacing w:before="60"/>
              <w:jc w:val="center"/>
              <w:rPr>
                <w:rFonts w:ascii="Times New Roman" w:hAnsi="Times New Roman" w:cs="Times New Roman"/>
                <w:sz w:val="20"/>
                <w:szCs w:val="20"/>
              </w:rPr>
            </w:pPr>
          </w:p>
        </w:tc>
        <w:tc>
          <w:tcPr>
            <w:tcW w:w="1370" w:type="dxa"/>
            <w:vAlign w:val="center"/>
          </w:tcPr>
          <w:p w:rsidR="00597E96" w:rsidRPr="00DE3495" w:rsidP="0077497D" w14:paraId="7615B32B" w14:textId="77777777">
            <w:pPr>
              <w:spacing w:before="60"/>
              <w:jc w:val="center"/>
              <w:rPr>
                <w:rFonts w:ascii="Times New Roman" w:hAnsi="Times New Roman" w:cs="Times New Roman"/>
                <w:sz w:val="20"/>
                <w:szCs w:val="20"/>
              </w:rPr>
            </w:pPr>
          </w:p>
        </w:tc>
        <w:tc>
          <w:tcPr>
            <w:tcW w:w="1360" w:type="dxa"/>
            <w:vAlign w:val="center"/>
          </w:tcPr>
          <w:p w:rsidR="00597E96" w:rsidRPr="00DE3495" w:rsidP="0077497D" w14:paraId="39877AFF"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979" w:type="dxa"/>
            <w:vAlign w:val="center"/>
          </w:tcPr>
          <w:p w:rsidR="00597E96" w:rsidRPr="00DE3495" w:rsidP="0077497D" w14:paraId="1D866493" w14:textId="77777777">
            <w:pPr>
              <w:spacing w:before="60"/>
              <w:jc w:val="center"/>
              <w:rPr>
                <w:rFonts w:ascii="Times New Roman" w:hAnsi="Times New Roman" w:cs="Times New Roman"/>
                <w:sz w:val="20"/>
                <w:szCs w:val="20"/>
              </w:rPr>
            </w:pPr>
          </w:p>
        </w:tc>
        <w:tc>
          <w:tcPr>
            <w:tcW w:w="1246" w:type="dxa"/>
            <w:vAlign w:val="center"/>
          </w:tcPr>
          <w:p w:rsidR="00597E96" w:rsidRPr="00DE3495" w:rsidP="0077497D" w14:paraId="47CD305F" w14:textId="77777777">
            <w:pPr>
              <w:spacing w:before="60"/>
              <w:jc w:val="center"/>
              <w:rPr>
                <w:rFonts w:ascii="Times New Roman" w:hAnsi="Times New Roman" w:cs="Times New Roman"/>
                <w:sz w:val="20"/>
                <w:szCs w:val="20"/>
              </w:rPr>
            </w:pPr>
          </w:p>
        </w:tc>
      </w:tr>
      <w:tr w14:paraId="74CD674B" w14:textId="77777777" w:rsidTr="00DE3495">
        <w:tblPrEx>
          <w:tblW w:w="9625" w:type="dxa"/>
          <w:jc w:val="center"/>
          <w:tblLook w:val="04A0"/>
        </w:tblPrEx>
        <w:trPr>
          <w:jc w:val="center"/>
        </w:trPr>
        <w:tc>
          <w:tcPr>
            <w:tcW w:w="2202" w:type="dxa"/>
          </w:tcPr>
          <w:p w:rsidR="00597E96" w:rsidRPr="00DE3495" w:rsidP="00DE3495" w14:paraId="25A33DAA"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Volunteer Management</w:t>
            </w:r>
          </w:p>
        </w:tc>
        <w:tc>
          <w:tcPr>
            <w:tcW w:w="1207" w:type="dxa"/>
            <w:vAlign w:val="center"/>
          </w:tcPr>
          <w:p w:rsidR="00597E96" w:rsidRPr="00DE3495" w:rsidP="0077497D" w14:paraId="028158A3" w14:textId="77777777">
            <w:pPr>
              <w:spacing w:before="60"/>
              <w:jc w:val="center"/>
              <w:rPr>
                <w:rFonts w:ascii="Times New Roman" w:hAnsi="Times New Roman" w:cs="Times New Roman"/>
                <w:sz w:val="20"/>
                <w:szCs w:val="20"/>
              </w:rPr>
            </w:pPr>
          </w:p>
        </w:tc>
        <w:tc>
          <w:tcPr>
            <w:tcW w:w="1261" w:type="dxa"/>
            <w:vAlign w:val="center"/>
          </w:tcPr>
          <w:p w:rsidR="00597E96" w:rsidRPr="00DE3495" w:rsidP="0077497D" w14:paraId="37320955" w14:textId="77777777">
            <w:pPr>
              <w:spacing w:before="60"/>
              <w:jc w:val="center"/>
              <w:rPr>
                <w:rFonts w:ascii="Times New Roman" w:hAnsi="Times New Roman" w:cs="Times New Roman"/>
                <w:sz w:val="20"/>
                <w:szCs w:val="20"/>
              </w:rPr>
            </w:pPr>
          </w:p>
        </w:tc>
        <w:tc>
          <w:tcPr>
            <w:tcW w:w="1370" w:type="dxa"/>
            <w:vAlign w:val="center"/>
          </w:tcPr>
          <w:p w:rsidR="00597E96" w:rsidRPr="00DE3495" w:rsidP="0077497D" w14:paraId="159CCA7D" w14:textId="77777777">
            <w:pPr>
              <w:spacing w:before="60"/>
              <w:jc w:val="center"/>
              <w:rPr>
                <w:rFonts w:ascii="Times New Roman" w:hAnsi="Times New Roman" w:cs="Times New Roman"/>
                <w:sz w:val="20"/>
                <w:szCs w:val="20"/>
              </w:rPr>
            </w:pPr>
          </w:p>
        </w:tc>
        <w:tc>
          <w:tcPr>
            <w:tcW w:w="1360" w:type="dxa"/>
            <w:vAlign w:val="center"/>
          </w:tcPr>
          <w:p w:rsidR="00597E96" w:rsidRPr="00DE3495" w:rsidP="0077497D" w14:paraId="3B10E844" w14:textId="77777777">
            <w:pPr>
              <w:spacing w:before="60"/>
              <w:jc w:val="center"/>
              <w:rPr>
                <w:rFonts w:ascii="Times New Roman" w:hAnsi="Times New Roman" w:cs="Times New Roman"/>
                <w:sz w:val="20"/>
                <w:szCs w:val="20"/>
              </w:rPr>
            </w:pPr>
          </w:p>
        </w:tc>
        <w:tc>
          <w:tcPr>
            <w:tcW w:w="979" w:type="dxa"/>
            <w:vAlign w:val="center"/>
          </w:tcPr>
          <w:p w:rsidR="00597E96" w:rsidRPr="00DE3495" w:rsidP="0077497D" w14:paraId="12AB3DCA"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1246" w:type="dxa"/>
            <w:vAlign w:val="center"/>
          </w:tcPr>
          <w:p w:rsidR="00597E96" w:rsidRPr="00DE3495" w:rsidP="0077497D" w14:paraId="4E6E33FE" w14:textId="77777777">
            <w:pPr>
              <w:spacing w:before="60"/>
              <w:jc w:val="center"/>
              <w:rPr>
                <w:rFonts w:ascii="Times New Roman" w:hAnsi="Times New Roman" w:cs="Times New Roman"/>
                <w:sz w:val="20"/>
                <w:szCs w:val="20"/>
              </w:rPr>
            </w:pPr>
          </w:p>
        </w:tc>
      </w:tr>
    </w:tbl>
    <w:p w:rsidR="003D70AE" w:rsidP="00E373E7" w14:paraId="31AE9615" w14:textId="3C95B73F">
      <w:pPr>
        <w:rPr>
          <w:rFonts w:ascii="Times New Roman" w:hAnsi="Times New Roman" w:cs="Times New Roman"/>
          <w:sz w:val="24"/>
        </w:rPr>
      </w:pPr>
    </w:p>
    <w:p w:rsidR="003D70AE" w:rsidP="00860A82" w14:paraId="56A3C653" w14:textId="42B2F1C8">
      <w:pPr>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sz w:val="24"/>
        </w:rPr>
        <w:t>Operational</w:t>
      </w:r>
      <w:r>
        <w:rPr>
          <w:rFonts w:ascii="Times New Roman" w:hAnsi="Times New Roman" w:cs="Times New Roman"/>
          <w:sz w:val="24"/>
        </w:rPr>
        <w:t xml:space="preserve"> Module includes the following</w:t>
      </w:r>
      <w:r>
        <w:rPr>
          <w:rFonts w:ascii="Times New Roman" w:hAnsi="Times New Roman" w:cs="Times New Roman"/>
          <w:sz w:val="24"/>
        </w:rPr>
        <w:t xml:space="preserve">: Ops 1 (Attachment 26), Ops 2 (Attachment 27). Facility Setup Drill (Attachment 28), Site Activation Drill (Attachment 29), Staff Notification and Assembly Drill </w:t>
      </w:r>
      <w:r>
        <w:rPr>
          <w:rFonts w:ascii="Times New Roman" w:hAnsi="Times New Roman" w:cs="Times New Roman"/>
          <w:sz w:val="24"/>
        </w:rPr>
        <w:t xml:space="preserve">(Attachment 30), </w:t>
      </w:r>
      <w:r w:rsidRPr="00860A82" w:rsidR="00860A82">
        <w:rPr>
          <w:rFonts w:ascii="Times New Roman" w:hAnsi="Times New Roman" w:cs="Times New Roman"/>
          <w:sz w:val="24"/>
        </w:rPr>
        <w:t xml:space="preserve">Dispensing Throughput Drill </w:t>
      </w:r>
      <w:r w:rsidR="00860A82">
        <w:rPr>
          <w:rFonts w:ascii="Times New Roman" w:hAnsi="Times New Roman" w:cs="Times New Roman"/>
          <w:sz w:val="24"/>
        </w:rPr>
        <w:t>(</w:t>
      </w:r>
      <w:r w:rsidRPr="00860A82" w:rsidR="00860A82">
        <w:rPr>
          <w:rFonts w:ascii="Times New Roman" w:hAnsi="Times New Roman" w:cs="Times New Roman"/>
          <w:sz w:val="24"/>
        </w:rPr>
        <w:t>Attachment 3</w:t>
      </w:r>
      <w:r w:rsidR="00860A82">
        <w:rPr>
          <w:rFonts w:ascii="Times New Roman" w:hAnsi="Times New Roman" w:cs="Times New Roman"/>
          <w:sz w:val="24"/>
        </w:rPr>
        <w:t xml:space="preserve">1), </w:t>
      </w:r>
      <w:r w:rsidRPr="00860A82" w:rsidR="00860A82">
        <w:rPr>
          <w:rFonts w:ascii="Times New Roman" w:hAnsi="Times New Roman" w:cs="Times New Roman"/>
          <w:sz w:val="24"/>
        </w:rPr>
        <w:t>Tabletop Exercise (TTX)</w:t>
      </w:r>
      <w:r w:rsidR="00860A82">
        <w:rPr>
          <w:rFonts w:ascii="Times New Roman" w:hAnsi="Times New Roman" w:cs="Times New Roman"/>
          <w:sz w:val="24"/>
        </w:rPr>
        <w:t xml:space="preserve"> (</w:t>
      </w:r>
      <w:r w:rsidRPr="00860A82" w:rsidR="00860A82">
        <w:rPr>
          <w:rFonts w:ascii="Times New Roman" w:hAnsi="Times New Roman" w:cs="Times New Roman"/>
          <w:sz w:val="24"/>
        </w:rPr>
        <w:t>Attachment 3</w:t>
      </w:r>
      <w:r w:rsidR="00860A82">
        <w:rPr>
          <w:rFonts w:ascii="Times New Roman" w:hAnsi="Times New Roman" w:cs="Times New Roman"/>
          <w:sz w:val="24"/>
        </w:rPr>
        <w:t xml:space="preserve">2), </w:t>
      </w:r>
      <w:r w:rsidRPr="00860A82" w:rsidR="00860A82">
        <w:rPr>
          <w:rFonts w:ascii="Times New Roman" w:hAnsi="Times New Roman" w:cs="Times New Roman"/>
          <w:sz w:val="24"/>
        </w:rPr>
        <w:t xml:space="preserve"> Partner role (Par1)</w:t>
      </w:r>
      <w:r w:rsidR="00860A82">
        <w:rPr>
          <w:rFonts w:ascii="Times New Roman" w:hAnsi="Times New Roman" w:cs="Times New Roman"/>
          <w:sz w:val="24"/>
        </w:rPr>
        <w:t xml:space="preserve"> (</w:t>
      </w:r>
      <w:r w:rsidRPr="00860A82" w:rsidR="00860A82">
        <w:rPr>
          <w:rFonts w:ascii="Times New Roman" w:hAnsi="Times New Roman" w:cs="Times New Roman"/>
          <w:sz w:val="24"/>
        </w:rPr>
        <w:t>Attachment 3</w:t>
      </w:r>
      <w:r w:rsidR="00860A82">
        <w:rPr>
          <w:rFonts w:ascii="Times New Roman" w:hAnsi="Times New Roman" w:cs="Times New Roman"/>
          <w:sz w:val="24"/>
        </w:rPr>
        <w:t xml:space="preserve">3), </w:t>
      </w:r>
      <w:r w:rsidRPr="00860A82" w:rsidR="00860A82">
        <w:rPr>
          <w:rFonts w:ascii="Times New Roman" w:hAnsi="Times New Roman" w:cs="Times New Roman"/>
          <w:sz w:val="24"/>
        </w:rPr>
        <w:t>AFN exercise accommodations or actions (Par2)</w:t>
      </w:r>
      <w:r w:rsidR="00860A82">
        <w:rPr>
          <w:rFonts w:ascii="Times New Roman" w:hAnsi="Times New Roman" w:cs="Times New Roman"/>
          <w:sz w:val="24"/>
        </w:rPr>
        <w:t xml:space="preserve"> (</w:t>
      </w:r>
      <w:r w:rsidRPr="00860A82" w:rsidR="00860A82">
        <w:rPr>
          <w:rFonts w:ascii="Times New Roman" w:hAnsi="Times New Roman" w:cs="Times New Roman"/>
          <w:sz w:val="24"/>
        </w:rPr>
        <w:t>Attachment 3</w:t>
      </w:r>
      <w:r w:rsidR="00860A82">
        <w:rPr>
          <w:rFonts w:ascii="Times New Roman" w:hAnsi="Times New Roman" w:cs="Times New Roman"/>
          <w:sz w:val="24"/>
        </w:rPr>
        <w:t>4)</w:t>
      </w:r>
      <w:r w:rsidRPr="00860A82" w:rsidR="00860A82">
        <w:rPr>
          <w:rFonts w:ascii="Times New Roman" w:hAnsi="Times New Roman" w:cs="Times New Roman"/>
          <w:sz w:val="24"/>
        </w:rPr>
        <w:t>- Joint exercise with emergency management and HCC (Par3)</w:t>
      </w:r>
      <w:r w:rsidR="00860A82">
        <w:rPr>
          <w:rFonts w:ascii="Times New Roman" w:hAnsi="Times New Roman" w:cs="Times New Roman"/>
          <w:sz w:val="24"/>
        </w:rPr>
        <w:t xml:space="preserve"> (</w:t>
      </w:r>
      <w:r w:rsidRPr="00860A82" w:rsidR="00860A82">
        <w:rPr>
          <w:rFonts w:ascii="Times New Roman" w:hAnsi="Times New Roman" w:cs="Times New Roman"/>
          <w:sz w:val="24"/>
        </w:rPr>
        <w:t>Attachment 3</w:t>
      </w:r>
      <w:r w:rsidR="00860A82">
        <w:rPr>
          <w:rFonts w:ascii="Times New Roman" w:hAnsi="Times New Roman" w:cs="Times New Roman"/>
          <w:sz w:val="24"/>
        </w:rPr>
        <w:t>5),</w:t>
      </w:r>
      <w:r w:rsidRPr="00860A82" w:rsidR="00860A82">
        <w:rPr>
          <w:rFonts w:ascii="Times New Roman" w:hAnsi="Times New Roman" w:cs="Times New Roman"/>
          <w:sz w:val="24"/>
        </w:rPr>
        <w:t xml:space="preserve"> Vaccination of Critical Workforce (FE, FSE, or incident)</w:t>
      </w:r>
      <w:r w:rsidR="00860A82">
        <w:rPr>
          <w:rFonts w:ascii="Times New Roman" w:hAnsi="Times New Roman" w:cs="Times New Roman"/>
          <w:sz w:val="24"/>
        </w:rPr>
        <w:t xml:space="preserve"> (</w:t>
      </w:r>
      <w:r w:rsidRPr="00860A82" w:rsidR="00860A82">
        <w:rPr>
          <w:rFonts w:ascii="Times New Roman" w:hAnsi="Times New Roman" w:cs="Times New Roman"/>
          <w:sz w:val="24"/>
        </w:rPr>
        <w:t>Attachment 3</w:t>
      </w:r>
      <w:r w:rsidR="00860A82">
        <w:rPr>
          <w:rFonts w:ascii="Times New Roman" w:hAnsi="Times New Roman" w:cs="Times New Roman"/>
          <w:sz w:val="24"/>
        </w:rPr>
        <w:t xml:space="preserve">6), </w:t>
      </w:r>
      <w:r w:rsidRPr="00860A82" w:rsidR="00860A82">
        <w:rPr>
          <w:rFonts w:ascii="Times New Roman" w:hAnsi="Times New Roman" w:cs="Times New Roman"/>
          <w:sz w:val="24"/>
        </w:rPr>
        <w:t>Vaccination of Critical Workforce (POD/ DVC setup)</w:t>
      </w:r>
      <w:r w:rsidR="00860A82">
        <w:rPr>
          <w:rFonts w:ascii="Times New Roman" w:hAnsi="Times New Roman" w:cs="Times New Roman"/>
          <w:sz w:val="24"/>
        </w:rPr>
        <w:t xml:space="preserve"> (</w:t>
      </w:r>
      <w:r w:rsidRPr="00860A82" w:rsidR="00860A82">
        <w:rPr>
          <w:rFonts w:ascii="Times New Roman" w:hAnsi="Times New Roman" w:cs="Times New Roman"/>
          <w:sz w:val="24"/>
        </w:rPr>
        <w:t xml:space="preserve">Attachment </w:t>
      </w:r>
      <w:r w:rsidR="00860A82">
        <w:rPr>
          <w:rFonts w:ascii="Times New Roman" w:hAnsi="Times New Roman" w:cs="Times New Roman"/>
          <w:sz w:val="24"/>
        </w:rPr>
        <w:t xml:space="preserve">37), </w:t>
      </w:r>
      <w:r w:rsidRPr="00860A82" w:rsidR="00860A82">
        <w:rPr>
          <w:rFonts w:ascii="Times New Roman" w:hAnsi="Times New Roman" w:cs="Times New Roman"/>
          <w:sz w:val="24"/>
        </w:rPr>
        <w:t>Vaccination of Critical Workforce (Immunization information system)</w:t>
      </w:r>
      <w:r w:rsidR="00860A82">
        <w:rPr>
          <w:rFonts w:ascii="Times New Roman" w:hAnsi="Times New Roman" w:cs="Times New Roman"/>
          <w:sz w:val="24"/>
        </w:rPr>
        <w:t xml:space="preserve"> (</w:t>
      </w:r>
      <w:r w:rsidRPr="00860A82" w:rsidR="00860A82">
        <w:rPr>
          <w:rFonts w:ascii="Times New Roman" w:hAnsi="Times New Roman" w:cs="Times New Roman"/>
          <w:sz w:val="24"/>
        </w:rPr>
        <w:t>Attachment 3</w:t>
      </w:r>
      <w:r w:rsidR="00860A82">
        <w:rPr>
          <w:rFonts w:ascii="Times New Roman" w:hAnsi="Times New Roman" w:cs="Times New Roman"/>
          <w:sz w:val="24"/>
        </w:rPr>
        <w:t xml:space="preserve">8), </w:t>
      </w:r>
      <w:r w:rsidRPr="00860A82" w:rsidR="00860A82">
        <w:rPr>
          <w:rFonts w:ascii="Times New Roman" w:hAnsi="Times New Roman" w:cs="Times New Roman"/>
          <w:sz w:val="24"/>
        </w:rPr>
        <w:t>Five-year Distribution Full-Scale Exercise</w:t>
      </w:r>
      <w:r w:rsidR="00860A82">
        <w:rPr>
          <w:rFonts w:ascii="Times New Roman" w:hAnsi="Times New Roman" w:cs="Times New Roman"/>
          <w:sz w:val="24"/>
        </w:rPr>
        <w:t xml:space="preserve"> (</w:t>
      </w:r>
      <w:r w:rsidRPr="00860A82" w:rsidR="00860A82">
        <w:rPr>
          <w:rFonts w:ascii="Times New Roman" w:hAnsi="Times New Roman" w:cs="Times New Roman"/>
          <w:sz w:val="24"/>
        </w:rPr>
        <w:t xml:space="preserve">Attachment </w:t>
      </w:r>
      <w:r w:rsidR="00860A82">
        <w:rPr>
          <w:rFonts w:ascii="Times New Roman" w:hAnsi="Times New Roman" w:cs="Times New Roman"/>
          <w:sz w:val="24"/>
        </w:rPr>
        <w:t xml:space="preserve">39), </w:t>
      </w:r>
      <w:r w:rsidRPr="00860A82" w:rsidR="00860A82">
        <w:rPr>
          <w:rFonts w:ascii="Times New Roman" w:hAnsi="Times New Roman" w:cs="Times New Roman"/>
          <w:sz w:val="24"/>
        </w:rPr>
        <w:t>Five-year Pan-flu Full-Scale Exercise or Incident</w:t>
      </w:r>
      <w:r w:rsidR="00860A82">
        <w:rPr>
          <w:rFonts w:ascii="Times New Roman" w:hAnsi="Times New Roman" w:cs="Times New Roman"/>
          <w:sz w:val="24"/>
        </w:rPr>
        <w:t xml:space="preserve"> (</w:t>
      </w:r>
      <w:r w:rsidRPr="00860A82" w:rsidR="00860A82">
        <w:rPr>
          <w:rFonts w:ascii="Times New Roman" w:hAnsi="Times New Roman" w:cs="Times New Roman"/>
          <w:sz w:val="24"/>
        </w:rPr>
        <w:t>Attachment 4</w:t>
      </w:r>
      <w:r w:rsidR="00860A82">
        <w:rPr>
          <w:rFonts w:ascii="Times New Roman" w:hAnsi="Times New Roman" w:cs="Times New Roman"/>
          <w:sz w:val="24"/>
        </w:rPr>
        <w:t xml:space="preserve">0), </w:t>
      </w:r>
      <w:r w:rsidRPr="00860A82" w:rsidR="00860A82">
        <w:rPr>
          <w:rFonts w:ascii="Times New Roman" w:hAnsi="Times New Roman" w:cs="Times New Roman"/>
          <w:sz w:val="24"/>
        </w:rPr>
        <w:t>Five-year Dispensing Full-Scale Exercise or Incident</w:t>
      </w:r>
      <w:r w:rsidR="00860A82">
        <w:rPr>
          <w:rFonts w:ascii="Times New Roman" w:hAnsi="Times New Roman" w:cs="Times New Roman"/>
          <w:sz w:val="24"/>
        </w:rPr>
        <w:t xml:space="preserve"> (</w:t>
      </w:r>
      <w:r w:rsidRPr="00860A82" w:rsidR="00860A82">
        <w:rPr>
          <w:rFonts w:ascii="Times New Roman" w:hAnsi="Times New Roman" w:cs="Times New Roman"/>
          <w:sz w:val="24"/>
        </w:rPr>
        <w:t>Attachment 4</w:t>
      </w:r>
      <w:r w:rsidR="00860A82">
        <w:rPr>
          <w:rFonts w:ascii="Times New Roman" w:hAnsi="Times New Roman" w:cs="Times New Roman"/>
          <w:sz w:val="24"/>
        </w:rPr>
        <w:t xml:space="preserve">1), and </w:t>
      </w:r>
      <w:r w:rsidRPr="00860A82" w:rsidR="00860A82">
        <w:rPr>
          <w:rFonts w:ascii="Times New Roman" w:hAnsi="Times New Roman" w:cs="Times New Roman"/>
          <w:sz w:val="24"/>
        </w:rPr>
        <w:t>Five-year Dispensing Full-Scale Exercise for each POD exercised</w:t>
      </w:r>
      <w:r w:rsidR="00860A82">
        <w:rPr>
          <w:rFonts w:ascii="Times New Roman" w:hAnsi="Times New Roman" w:cs="Times New Roman"/>
          <w:sz w:val="24"/>
        </w:rPr>
        <w:t xml:space="preserve"> </w:t>
      </w:r>
      <w:r w:rsidR="004632F1">
        <w:rPr>
          <w:rFonts w:ascii="Times New Roman" w:hAnsi="Times New Roman" w:cs="Times New Roman"/>
          <w:sz w:val="24"/>
        </w:rPr>
        <w:t>(</w:t>
      </w:r>
      <w:r w:rsidR="00860A82">
        <w:rPr>
          <w:rFonts w:ascii="Times New Roman" w:hAnsi="Times New Roman" w:cs="Times New Roman"/>
          <w:sz w:val="24"/>
        </w:rPr>
        <w:t>Attachment 42)</w:t>
      </w:r>
      <w:r w:rsidR="002A1C93">
        <w:rPr>
          <w:rFonts w:ascii="Times New Roman" w:hAnsi="Times New Roman" w:cs="Times New Roman"/>
          <w:sz w:val="24"/>
        </w:rPr>
        <w:t>.</w:t>
      </w:r>
    </w:p>
    <w:p w:rsidR="006C6A27" w:rsidRPr="00E373E7" w:rsidP="00860A82" w14:paraId="6D46AAD9" w14:textId="77777777">
      <w:pPr>
        <w:rPr>
          <w:rFonts w:ascii="Times New Roman" w:hAnsi="Times New Roman" w:cs="Times New Roman"/>
          <w:sz w:val="24"/>
        </w:rPr>
      </w:pPr>
    </w:p>
    <w:p w:rsidR="00E373E7" w:rsidRPr="00DE3495" w:rsidP="00E373E7" w14:paraId="3D2B5670" w14:textId="3D96170B">
      <w:pPr>
        <w:rPr>
          <w:rFonts w:ascii="Times New Roman" w:hAnsi="Times New Roman" w:cs="Times New Roman"/>
          <w:b/>
          <w:bCs/>
          <w:sz w:val="24"/>
        </w:rPr>
      </w:pPr>
      <w:r w:rsidRPr="00DE3495">
        <w:rPr>
          <w:rFonts w:ascii="Times New Roman" w:hAnsi="Times New Roman" w:cs="Times New Roman"/>
          <w:b/>
          <w:bCs/>
          <w:sz w:val="24"/>
        </w:rPr>
        <w:t>PHEP Logic Model</w:t>
      </w:r>
    </w:p>
    <w:p w:rsidR="006C6A27" w:rsidP="00E373E7" w14:paraId="4472CB13" w14:textId="5F0834CE">
      <w:pPr>
        <w:rPr>
          <w:rFonts w:ascii="Times New Roman" w:hAnsi="Times New Roman" w:cs="Times New Roman"/>
          <w:sz w:val="24"/>
        </w:rPr>
      </w:pPr>
      <w:r>
        <w:rPr>
          <w:rFonts w:ascii="Times New Roman" w:hAnsi="Times New Roman" w:cs="Times New Roman"/>
          <w:noProof/>
          <w:sz w:val="24"/>
        </w:rPr>
        <w:drawing>
          <wp:inline distT="0" distB="0" distL="0" distR="0">
            <wp:extent cx="5943600" cy="3381375"/>
            <wp:effectExtent l="0" t="0" r="0" b="9525"/>
            <wp:docPr id="2" name="Picture 2"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text&#10;&#10;Description automatically generated"/>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3381375"/>
                    </a:xfrm>
                    <a:prstGeom prst="rect">
                      <a:avLst/>
                    </a:prstGeom>
                  </pic:spPr>
                </pic:pic>
              </a:graphicData>
            </a:graphic>
          </wp:inline>
        </w:drawing>
      </w:r>
    </w:p>
    <w:p w:rsidR="005B235B" w:rsidP="00D31636" w14:paraId="19C32259" w14:textId="77777777">
      <w:pPr>
        <w:rPr>
          <w:rFonts w:ascii="Times New Roman" w:hAnsi="Times New Roman" w:cs="Times New Roman"/>
          <w:b/>
          <w:sz w:val="24"/>
          <w:szCs w:val="24"/>
        </w:rPr>
      </w:pPr>
    </w:p>
    <w:p w:rsidR="007C082C" w:rsidRPr="00D31636" w:rsidP="00D31636" w14:paraId="46FD03BF" w14:textId="00500B03">
      <w:pPr>
        <w:rPr>
          <w:rFonts w:ascii="Times New Roman" w:hAnsi="Times New Roman" w:cs="Times New Roman"/>
          <w:b/>
          <w:sz w:val="24"/>
          <w:szCs w:val="24"/>
        </w:rPr>
      </w:pPr>
      <w:r>
        <w:rPr>
          <w:rFonts w:ascii="Times New Roman" w:hAnsi="Times New Roman" w:cs="Times New Roman"/>
          <w:b/>
          <w:sz w:val="24"/>
          <w:szCs w:val="24"/>
        </w:rPr>
        <w:t xml:space="preserve">A.3. </w:t>
      </w:r>
      <w:r w:rsidRPr="00D31636">
        <w:rPr>
          <w:rFonts w:ascii="Times New Roman" w:hAnsi="Times New Roman" w:cs="Times New Roman"/>
          <w:b/>
          <w:sz w:val="24"/>
          <w:szCs w:val="24"/>
        </w:rPr>
        <w:t>Use of Improved Information Technology and Burden Reduction</w:t>
      </w:r>
    </w:p>
    <w:p w:rsidR="007C082C" w:rsidP="00D31636" w14:paraId="73858655" w14:textId="3D668E40">
      <w:pPr>
        <w:rPr>
          <w:rFonts w:ascii="Times New Roman" w:hAnsi="Times New Roman" w:cs="Times New Roman"/>
          <w:sz w:val="24"/>
          <w:szCs w:val="24"/>
        </w:rPr>
      </w:pPr>
      <w:r>
        <w:rPr>
          <w:rFonts w:ascii="Times New Roman" w:hAnsi="Times New Roman" w:cs="Times New Roman"/>
          <w:sz w:val="24"/>
          <w:szCs w:val="24"/>
        </w:rPr>
        <w:t xml:space="preserve">This </w:t>
      </w:r>
      <w:r w:rsidR="005B72D9">
        <w:rPr>
          <w:rFonts w:ascii="Times New Roman" w:hAnsi="Times New Roman" w:cs="Times New Roman"/>
          <w:sz w:val="24"/>
          <w:szCs w:val="24"/>
        </w:rPr>
        <w:t>information</w:t>
      </w:r>
      <w:r>
        <w:rPr>
          <w:rFonts w:ascii="Times New Roman" w:hAnsi="Times New Roman" w:cs="Times New Roman"/>
          <w:sz w:val="24"/>
          <w:szCs w:val="24"/>
        </w:rPr>
        <w:t xml:space="preserve"> collection is intended to be electronic in nature. </w:t>
      </w:r>
      <w:r w:rsidR="00E604FE">
        <w:rPr>
          <w:rFonts w:ascii="Times New Roman" w:hAnsi="Times New Roman" w:cs="Times New Roman"/>
          <w:sz w:val="24"/>
          <w:szCs w:val="24"/>
        </w:rPr>
        <w:t xml:space="preserve">With the exception of the </w:t>
      </w:r>
      <w:r w:rsidR="008035CA">
        <w:rPr>
          <w:rFonts w:ascii="Times New Roman" w:hAnsi="Times New Roman" w:cs="Times New Roman"/>
          <w:sz w:val="24"/>
          <w:szCs w:val="24"/>
        </w:rPr>
        <w:t>eight</w:t>
      </w:r>
      <w:r>
        <w:rPr>
          <w:rFonts w:ascii="Times New Roman" w:hAnsi="Times New Roman" w:cs="Times New Roman"/>
          <w:sz w:val="24"/>
          <w:szCs w:val="24"/>
        </w:rPr>
        <w:t xml:space="preserve"> </w:t>
      </w:r>
      <w:r w:rsidR="004B70F2">
        <w:rPr>
          <w:rFonts w:ascii="Times New Roman" w:hAnsi="Times New Roman" w:cs="Times New Roman"/>
          <w:sz w:val="24"/>
          <w:szCs w:val="24"/>
        </w:rPr>
        <w:t>t</w:t>
      </w:r>
      <w:r w:rsidR="00E604FE">
        <w:rPr>
          <w:rFonts w:ascii="Times New Roman" w:hAnsi="Times New Roman" w:cs="Times New Roman"/>
          <w:sz w:val="24"/>
          <w:szCs w:val="24"/>
        </w:rPr>
        <w:t xml:space="preserve">erritories and </w:t>
      </w:r>
      <w:r w:rsidR="004B70F2">
        <w:rPr>
          <w:rFonts w:ascii="Times New Roman" w:hAnsi="Times New Roman" w:cs="Times New Roman"/>
          <w:sz w:val="24"/>
          <w:szCs w:val="24"/>
        </w:rPr>
        <w:t>f</w:t>
      </w:r>
      <w:r w:rsidR="00E604FE">
        <w:rPr>
          <w:rFonts w:ascii="Times New Roman" w:hAnsi="Times New Roman" w:cs="Times New Roman"/>
          <w:sz w:val="24"/>
          <w:szCs w:val="24"/>
        </w:rPr>
        <w:t xml:space="preserve">reely </w:t>
      </w:r>
      <w:r w:rsidR="004B70F2">
        <w:rPr>
          <w:rFonts w:ascii="Times New Roman" w:hAnsi="Times New Roman" w:cs="Times New Roman"/>
          <w:sz w:val="24"/>
          <w:szCs w:val="24"/>
        </w:rPr>
        <w:t>a</w:t>
      </w:r>
      <w:r w:rsidR="00E604FE">
        <w:rPr>
          <w:rFonts w:ascii="Times New Roman" w:hAnsi="Times New Roman" w:cs="Times New Roman"/>
          <w:sz w:val="24"/>
          <w:szCs w:val="24"/>
        </w:rPr>
        <w:t xml:space="preserve">ssociated </w:t>
      </w:r>
      <w:r w:rsidR="004B70F2">
        <w:rPr>
          <w:rFonts w:ascii="Times New Roman" w:hAnsi="Times New Roman" w:cs="Times New Roman"/>
          <w:sz w:val="24"/>
          <w:szCs w:val="24"/>
        </w:rPr>
        <w:t>s</w:t>
      </w:r>
      <w:r w:rsidR="00E604FE">
        <w:rPr>
          <w:rFonts w:ascii="Times New Roman" w:hAnsi="Times New Roman" w:cs="Times New Roman"/>
          <w:sz w:val="24"/>
          <w:szCs w:val="24"/>
        </w:rPr>
        <w:t xml:space="preserve">tates, who may have the option to complete fillable PDFs depending on their accessibility, the recipients will be required to submit all responses via the ORR online system. </w:t>
      </w:r>
      <w:r w:rsidR="00C30799">
        <w:rPr>
          <w:rFonts w:ascii="Times New Roman" w:hAnsi="Times New Roman" w:cs="Times New Roman"/>
          <w:sz w:val="24"/>
          <w:szCs w:val="24"/>
        </w:rPr>
        <w:t xml:space="preserve">The use of electronic reporting will reduce recipient burden, as the information can be submitted directly into the online system. </w:t>
      </w:r>
      <w:r w:rsidR="00D4202F">
        <w:rPr>
          <w:rFonts w:ascii="Times New Roman" w:hAnsi="Times New Roman" w:cs="Times New Roman"/>
          <w:sz w:val="24"/>
          <w:szCs w:val="24"/>
        </w:rPr>
        <w:t xml:space="preserve">Direct entry </w:t>
      </w:r>
      <w:r w:rsidR="00E604FE">
        <w:rPr>
          <w:rFonts w:ascii="Times New Roman" w:hAnsi="Times New Roman" w:cs="Times New Roman"/>
          <w:sz w:val="24"/>
          <w:szCs w:val="24"/>
        </w:rPr>
        <w:t xml:space="preserve">for </w:t>
      </w:r>
      <w:r w:rsidR="008363AB">
        <w:rPr>
          <w:rFonts w:ascii="Times New Roman" w:hAnsi="Times New Roman" w:cs="Times New Roman"/>
          <w:sz w:val="24"/>
          <w:szCs w:val="24"/>
        </w:rPr>
        <w:t xml:space="preserve">54 out of 62 </w:t>
      </w:r>
      <w:r w:rsidR="008363AB">
        <w:rPr>
          <w:rFonts w:ascii="Times New Roman" w:hAnsi="Times New Roman" w:cs="Times New Roman"/>
          <w:sz w:val="24"/>
          <w:szCs w:val="24"/>
        </w:rPr>
        <w:t xml:space="preserve">jurisdictions </w:t>
      </w:r>
      <w:r w:rsidR="00D4202F">
        <w:rPr>
          <w:rFonts w:ascii="Times New Roman" w:hAnsi="Times New Roman" w:cs="Times New Roman"/>
          <w:sz w:val="24"/>
          <w:szCs w:val="24"/>
        </w:rPr>
        <w:t xml:space="preserve">will also reduce the burden associated with transcription and </w:t>
      </w:r>
      <w:r w:rsidR="008363AB">
        <w:rPr>
          <w:rFonts w:ascii="Times New Roman" w:hAnsi="Times New Roman" w:cs="Times New Roman"/>
          <w:sz w:val="24"/>
          <w:szCs w:val="24"/>
        </w:rPr>
        <w:t>reduce</w:t>
      </w:r>
      <w:r w:rsidR="00D4202F">
        <w:rPr>
          <w:rFonts w:ascii="Times New Roman" w:hAnsi="Times New Roman" w:cs="Times New Roman"/>
          <w:sz w:val="24"/>
          <w:szCs w:val="24"/>
        </w:rPr>
        <w:t xml:space="preserve"> the need for separate data entry at DSLR.</w:t>
      </w:r>
    </w:p>
    <w:p w:rsidR="00D4202F" w:rsidP="00D31636" w14:paraId="747A9114" w14:textId="51075FDA">
      <w:pPr>
        <w:rPr>
          <w:rFonts w:ascii="Times New Roman" w:hAnsi="Times New Roman" w:cs="Times New Roman"/>
          <w:sz w:val="24"/>
          <w:szCs w:val="24"/>
        </w:rPr>
      </w:pPr>
      <w:r>
        <w:rPr>
          <w:rFonts w:ascii="Times New Roman" w:hAnsi="Times New Roman" w:cs="Times New Roman"/>
          <w:sz w:val="24"/>
          <w:szCs w:val="24"/>
        </w:rPr>
        <w:t xml:space="preserve">The estimated time for each entry is shown in the Burden Hours </w:t>
      </w:r>
      <w:r w:rsidR="008035CA">
        <w:rPr>
          <w:rFonts w:ascii="Times New Roman" w:hAnsi="Times New Roman" w:cs="Times New Roman"/>
          <w:sz w:val="24"/>
          <w:szCs w:val="24"/>
        </w:rPr>
        <w:t>T</w:t>
      </w:r>
      <w:r>
        <w:rPr>
          <w:rFonts w:ascii="Times New Roman" w:hAnsi="Times New Roman" w:cs="Times New Roman"/>
          <w:sz w:val="24"/>
          <w:szCs w:val="24"/>
        </w:rPr>
        <w:t>able.</w:t>
      </w:r>
      <w:r w:rsidR="0026244E">
        <w:rPr>
          <w:rFonts w:ascii="Times New Roman" w:hAnsi="Times New Roman" w:cs="Times New Roman"/>
          <w:sz w:val="24"/>
          <w:szCs w:val="24"/>
        </w:rPr>
        <w:t xml:space="preserve"> It is expected that recipients will spend a total of</w:t>
      </w:r>
      <w:r w:rsidR="001953E2">
        <w:rPr>
          <w:rFonts w:ascii="Times New Roman" w:hAnsi="Times New Roman" w:cs="Times New Roman"/>
          <w:sz w:val="24"/>
          <w:szCs w:val="24"/>
        </w:rPr>
        <w:t xml:space="preserve"> 3,</w:t>
      </w:r>
      <w:r w:rsidR="005F1E6F">
        <w:rPr>
          <w:rFonts w:ascii="Times New Roman" w:hAnsi="Times New Roman" w:cs="Times New Roman"/>
          <w:sz w:val="24"/>
          <w:szCs w:val="24"/>
        </w:rPr>
        <w:t xml:space="preserve">055 </w:t>
      </w:r>
      <w:r w:rsidR="0026244E">
        <w:rPr>
          <w:rFonts w:ascii="Times New Roman" w:hAnsi="Times New Roman" w:cs="Times New Roman"/>
          <w:sz w:val="24"/>
          <w:szCs w:val="24"/>
        </w:rPr>
        <w:t>hours</w:t>
      </w:r>
      <w:r w:rsidR="00C60D0B">
        <w:rPr>
          <w:rFonts w:ascii="Times New Roman" w:hAnsi="Times New Roman" w:cs="Times New Roman"/>
          <w:sz w:val="24"/>
          <w:szCs w:val="24"/>
        </w:rPr>
        <w:t xml:space="preserve"> </w:t>
      </w:r>
      <w:r w:rsidR="00237640">
        <w:rPr>
          <w:rFonts w:ascii="Times New Roman" w:hAnsi="Times New Roman" w:cs="Times New Roman"/>
          <w:sz w:val="24"/>
          <w:szCs w:val="24"/>
        </w:rPr>
        <w:t>in the first year of implementation</w:t>
      </w:r>
      <w:r w:rsidR="00FB0DEB">
        <w:rPr>
          <w:rFonts w:ascii="Times New Roman" w:hAnsi="Times New Roman" w:cs="Times New Roman"/>
          <w:sz w:val="24"/>
          <w:szCs w:val="24"/>
        </w:rPr>
        <w:t>;</w:t>
      </w:r>
      <w:r w:rsidR="00237640">
        <w:rPr>
          <w:rFonts w:ascii="Times New Roman" w:hAnsi="Times New Roman" w:cs="Times New Roman"/>
          <w:sz w:val="24"/>
          <w:szCs w:val="24"/>
        </w:rPr>
        <w:t xml:space="preserve"> in sub</w:t>
      </w:r>
      <w:r w:rsidR="00F22374">
        <w:rPr>
          <w:rFonts w:ascii="Times New Roman" w:hAnsi="Times New Roman" w:cs="Times New Roman"/>
          <w:sz w:val="24"/>
          <w:szCs w:val="24"/>
        </w:rPr>
        <w:t xml:space="preserve">sequent years </w:t>
      </w:r>
      <w:r w:rsidR="00FB0DEB">
        <w:rPr>
          <w:rFonts w:ascii="Times New Roman" w:hAnsi="Times New Roman" w:cs="Times New Roman"/>
          <w:sz w:val="24"/>
          <w:szCs w:val="24"/>
        </w:rPr>
        <w:t xml:space="preserve">this burden is reduced significantly to </w:t>
      </w:r>
      <w:r w:rsidR="00F22374">
        <w:rPr>
          <w:rFonts w:ascii="Times New Roman" w:hAnsi="Times New Roman" w:cs="Times New Roman"/>
          <w:sz w:val="24"/>
          <w:szCs w:val="24"/>
        </w:rPr>
        <w:t xml:space="preserve">a total of 1,235 hours </w:t>
      </w:r>
      <w:r w:rsidR="00C60D0B">
        <w:rPr>
          <w:rFonts w:ascii="Times New Roman" w:hAnsi="Times New Roman" w:cs="Times New Roman"/>
          <w:sz w:val="24"/>
          <w:szCs w:val="24"/>
        </w:rPr>
        <w:t>annually</w:t>
      </w:r>
      <w:r w:rsidR="00075E64">
        <w:rPr>
          <w:rFonts w:ascii="Times New Roman" w:hAnsi="Times New Roman" w:cs="Times New Roman"/>
          <w:sz w:val="24"/>
          <w:szCs w:val="24"/>
        </w:rPr>
        <w:t xml:space="preserve"> </w:t>
      </w:r>
      <w:r w:rsidR="00FB0DEB">
        <w:rPr>
          <w:rFonts w:ascii="Times New Roman" w:hAnsi="Times New Roman" w:cs="Times New Roman"/>
          <w:sz w:val="24"/>
          <w:szCs w:val="24"/>
        </w:rPr>
        <w:t>for completion of</w:t>
      </w:r>
      <w:r w:rsidR="0026244E">
        <w:rPr>
          <w:rFonts w:ascii="Times New Roman" w:hAnsi="Times New Roman" w:cs="Times New Roman"/>
          <w:sz w:val="24"/>
          <w:szCs w:val="24"/>
        </w:rPr>
        <w:t xml:space="preserve"> the </w:t>
      </w:r>
      <w:r w:rsidR="005B72D9">
        <w:rPr>
          <w:rFonts w:ascii="Times New Roman" w:hAnsi="Times New Roman" w:cs="Times New Roman"/>
          <w:sz w:val="24"/>
          <w:szCs w:val="24"/>
        </w:rPr>
        <w:t>information</w:t>
      </w:r>
      <w:r w:rsidR="0026244E">
        <w:rPr>
          <w:rFonts w:ascii="Times New Roman" w:hAnsi="Times New Roman" w:cs="Times New Roman"/>
          <w:sz w:val="24"/>
          <w:szCs w:val="24"/>
        </w:rPr>
        <w:t xml:space="preserve"> collection instruments. Approximately 90% of the requested burden hours will be spent reporting electronically in the ORR system. </w:t>
      </w:r>
    </w:p>
    <w:p w:rsidR="007C082C" w:rsidRPr="00D31636" w:rsidP="00D31636" w14:paraId="647F63D0" w14:textId="77777777">
      <w:pPr>
        <w:rPr>
          <w:rFonts w:ascii="Times New Roman" w:hAnsi="Times New Roman" w:cs="Times New Roman"/>
          <w:b/>
          <w:sz w:val="24"/>
          <w:szCs w:val="24"/>
        </w:rPr>
      </w:pPr>
      <w:r>
        <w:rPr>
          <w:rFonts w:ascii="Times New Roman" w:hAnsi="Times New Roman" w:cs="Times New Roman"/>
          <w:b/>
          <w:sz w:val="24"/>
          <w:szCs w:val="24"/>
        </w:rPr>
        <w:t xml:space="preserve">A.4. </w:t>
      </w:r>
      <w:r w:rsidRPr="00D31636">
        <w:rPr>
          <w:rFonts w:ascii="Times New Roman" w:hAnsi="Times New Roman" w:cs="Times New Roman"/>
          <w:b/>
          <w:sz w:val="24"/>
          <w:szCs w:val="24"/>
        </w:rPr>
        <w:t>Efforts to Identify Duplication and Use of Similar Information</w:t>
      </w:r>
    </w:p>
    <w:p w:rsidR="007C082C" w:rsidP="007C082C" w14:paraId="06250300" w14:textId="3E96A9D5">
      <w:pPr>
        <w:rPr>
          <w:rFonts w:ascii="Times New Roman" w:hAnsi="Times New Roman" w:cs="Times New Roman"/>
          <w:sz w:val="24"/>
          <w:szCs w:val="24"/>
        </w:rPr>
      </w:pPr>
      <w:r>
        <w:rPr>
          <w:rFonts w:ascii="Times New Roman" w:hAnsi="Times New Roman" w:cs="Times New Roman"/>
          <w:sz w:val="24"/>
          <w:szCs w:val="24"/>
        </w:rPr>
        <w:t xml:space="preserve">There will be no duplication of </w:t>
      </w:r>
      <w:r w:rsidR="00462EB0">
        <w:rPr>
          <w:rFonts w:ascii="Times New Roman" w:hAnsi="Times New Roman" w:cs="Times New Roman"/>
          <w:sz w:val="24"/>
          <w:szCs w:val="24"/>
        </w:rPr>
        <w:t>program performance monitoring data in the ORR system</w:t>
      </w:r>
      <w:r w:rsidR="008035CA">
        <w:rPr>
          <w:rFonts w:ascii="Times New Roman" w:hAnsi="Times New Roman" w:cs="Times New Roman"/>
          <w:sz w:val="24"/>
          <w:szCs w:val="24"/>
        </w:rPr>
        <w:t xml:space="preserve"> and no duplication of </w:t>
      </w:r>
      <w:r w:rsidR="00F104FE">
        <w:rPr>
          <w:rFonts w:ascii="Times New Roman" w:hAnsi="Times New Roman" w:cs="Times New Roman"/>
          <w:sz w:val="24"/>
          <w:szCs w:val="24"/>
        </w:rPr>
        <w:t>data between systems</w:t>
      </w:r>
      <w:r w:rsidR="00462EB0">
        <w:rPr>
          <w:rFonts w:ascii="Times New Roman" w:hAnsi="Times New Roman" w:cs="Times New Roman"/>
          <w:sz w:val="24"/>
          <w:szCs w:val="24"/>
        </w:rPr>
        <w:t xml:space="preserve">. This data is intended to help DSLR monitor program improvement and impact. No similar information </w:t>
      </w:r>
      <w:r w:rsidR="00A46174">
        <w:rPr>
          <w:rFonts w:ascii="Times New Roman" w:hAnsi="Times New Roman" w:cs="Times New Roman"/>
          <w:sz w:val="24"/>
          <w:szCs w:val="24"/>
        </w:rPr>
        <w:t xml:space="preserve">collection </w:t>
      </w:r>
      <w:r w:rsidR="00462EB0">
        <w:rPr>
          <w:rFonts w:ascii="Times New Roman" w:hAnsi="Times New Roman" w:cs="Times New Roman"/>
          <w:sz w:val="24"/>
          <w:szCs w:val="24"/>
        </w:rPr>
        <w:t>exists.</w:t>
      </w:r>
    </w:p>
    <w:p w:rsidR="007C082C" w:rsidRPr="00D31636" w:rsidP="00D31636" w14:paraId="54F0C1B5" w14:textId="77777777">
      <w:pPr>
        <w:rPr>
          <w:rFonts w:ascii="Times New Roman" w:hAnsi="Times New Roman" w:cs="Times New Roman"/>
          <w:b/>
          <w:sz w:val="24"/>
          <w:szCs w:val="24"/>
        </w:rPr>
      </w:pPr>
      <w:r>
        <w:rPr>
          <w:rFonts w:ascii="Times New Roman" w:hAnsi="Times New Roman" w:cs="Times New Roman"/>
          <w:b/>
          <w:sz w:val="24"/>
          <w:szCs w:val="24"/>
        </w:rPr>
        <w:t xml:space="preserve">A.5. </w:t>
      </w:r>
      <w:r w:rsidRPr="00D31636">
        <w:rPr>
          <w:rFonts w:ascii="Times New Roman" w:hAnsi="Times New Roman" w:cs="Times New Roman"/>
          <w:b/>
          <w:sz w:val="24"/>
          <w:szCs w:val="24"/>
        </w:rPr>
        <w:t xml:space="preserve">Impact on Small Businesses or Other Small Entities </w:t>
      </w:r>
    </w:p>
    <w:p w:rsidR="007C082C" w:rsidRPr="00764322" w:rsidP="007C082C" w14:paraId="59373374" w14:textId="07F289FB">
      <w:pPr>
        <w:rPr>
          <w:rFonts w:ascii="Times New Roman" w:hAnsi="Times New Roman" w:cs="Times New Roman"/>
          <w:sz w:val="24"/>
          <w:szCs w:val="24"/>
        </w:rPr>
      </w:pPr>
      <w:r>
        <w:rPr>
          <w:rFonts w:ascii="Times New Roman" w:hAnsi="Times New Roman" w:cs="Times New Roman"/>
          <w:sz w:val="24"/>
          <w:szCs w:val="24"/>
        </w:rPr>
        <w:t>The information collection will require the participation of state and local health departments. Per federal regulations, health departments are not considered small businesses</w:t>
      </w:r>
      <w:r w:rsidR="00E53DC7">
        <w:rPr>
          <w:rFonts w:ascii="Times New Roman" w:hAnsi="Times New Roman" w:cs="Times New Roman"/>
          <w:sz w:val="24"/>
          <w:szCs w:val="24"/>
        </w:rPr>
        <w:t xml:space="preserve"> (Attachment 3)</w:t>
      </w:r>
      <w:r w:rsidR="00D258F0">
        <w:rPr>
          <w:rFonts w:ascii="Times New Roman" w:hAnsi="Times New Roman" w:cs="Times New Roman"/>
          <w:sz w:val="24"/>
          <w:szCs w:val="24"/>
        </w:rPr>
        <w:t>.</w:t>
      </w:r>
      <w:r w:rsidR="003626E6">
        <w:rPr>
          <w:rFonts w:ascii="Times New Roman" w:hAnsi="Times New Roman" w:cs="Times New Roman"/>
          <w:sz w:val="24"/>
          <w:szCs w:val="24"/>
        </w:rPr>
        <w:t xml:space="preserve"> Therefore, no small businesses will be involved in this information collection.</w:t>
      </w:r>
    </w:p>
    <w:p w:rsidR="001F2018" w:rsidRPr="00D31636" w:rsidP="00D31636" w14:paraId="35BDD843" w14:textId="77777777">
      <w:pPr>
        <w:rPr>
          <w:rFonts w:ascii="Times New Roman" w:hAnsi="Times New Roman" w:cs="Times New Roman"/>
          <w:b/>
          <w:sz w:val="24"/>
          <w:szCs w:val="24"/>
        </w:rPr>
      </w:pPr>
      <w:r>
        <w:rPr>
          <w:rFonts w:ascii="Times New Roman" w:hAnsi="Times New Roman" w:cs="Times New Roman"/>
          <w:b/>
          <w:sz w:val="24"/>
          <w:szCs w:val="24"/>
        </w:rPr>
        <w:t xml:space="preserve">A.6. </w:t>
      </w:r>
      <w:r w:rsidRPr="00D31636">
        <w:rPr>
          <w:rFonts w:ascii="Times New Roman" w:hAnsi="Times New Roman" w:cs="Times New Roman"/>
          <w:b/>
          <w:sz w:val="24"/>
          <w:szCs w:val="24"/>
        </w:rPr>
        <w:t>Consequences of Collecting the Information Less Frequently</w:t>
      </w:r>
    </w:p>
    <w:p w:rsidR="001F2018" w:rsidP="001F2018" w14:paraId="4F1E4420" w14:textId="6B3F21EC">
      <w:pPr>
        <w:rPr>
          <w:rFonts w:ascii="Times New Roman" w:hAnsi="Times New Roman" w:cs="Times New Roman"/>
          <w:sz w:val="24"/>
          <w:szCs w:val="24"/>
        </w:rPr>
      </w:pPr>
      <w:r>
        <w:rPr>
          <w:rFonts w:ascii="Times New Roman" w:hAnsi="Times New Roman" w:cs="Times New Roman"/>
          <w:sz w:val="24"/>
          <w:szCs w:val="24"/>
        </w:rPr>
        <w:t xml:space="preserve">The frequency of </w:t>
      </w:r>
      <w:r w:rsidR="005B72D9">
        <w:rPr>
          <w:rFonts w:ascii="Times New Roman" w:hAnsi="Times New Roman" w:cs="Times New Roman"/>
          <w:sz w:val="24"/>
          <w:szCs w:val="24"/>
        </w:rPr>
        <w:t>information</w:t>
      </w:r>
      <w:r>
        <w:rPr>
          <w:rFonts w:ascii="Times New Roman" w:hAnsi="Times New Roman" w:cs="Times New Roman"/>
          <w:sz w:val="24"/>
          <w:szCs w:val="24"/>
        </w:rPr>
        <w:t xml:space="preserve"> collection varies by instrument. </w:t>
      </w:r>
      <w:r w:rsidR="006B6F05">
        <w:rPr>
          <w:rFonts w:ascii="Times New Roman" w:hAnsi="Times New Roman" w:cs="Times New Roman"/>
          <w:sz w:val="24"/>
          <w:szCs w:val="24"/>
        </w:rPr>
        <w:t xml:space="preserve">Recipients are required to </w:t>
      </w:r>
      <w:r w:rsidR="00621E63">
        <w:rPr>
          <w:rFonts w:ascii="Times New Roman" w:hAnsi="Times New Roman" w:cs="Times New Roman"/>
          <w:sz w:val="24"/>
          <w:szCs w:val="24"/>
        </w:rPr>
        <w:t xml:space="preserve">complete an initial information submission </w:t>
      </w:r>
      <w:r w:rsidR="006B6F05">
        <w:rPr>
          <w:rFonts w:ascii="Times New Roman" w:hAnsi="Times New Roman" w:cs="Times New Roman"/>
          <w:sz w:val="24"/>
          <w:szCs w:val="24"/>
        </w:rPr>
        <w:t>at the</w:t>
      </w:r>
      <w:r w:rsidR="00E464D5">
        <w:rPr>
          <w:rFonts w:ascii="Times New Roman" w:hAnsi="Times New Roman" w:cs="Times New Roman"/>
          <w:sz w:val="24"/>
          <w:szCs w:val="24"/>
        </w:rPr>
        <w:t xml:space="preserve"> beginning of the </w:t>
      </w:r>
      <w:r w:rsidR="005B72D9">
        <w:rPr>
          <w:rFonts w:ascii="Times New Roman" w:hAnsi="Times New Roman" w:cs="Times New Roman"/>
          <w:sz w:val="24"/>
          <w:szCs w:val="24"/>
        </w:rPr>
        <w:t>information</w:t>
      </w:r>
      <w:r w:rsidR="00E464D5">
        <w:rPr>
          <w:rFonts w:ascii="Times New Roman" w:hAnsi="Times New Roman" w:cs="Times New Roman"/>
          <w:sz w:val="24"/>
          <w:szCs w:val="24"/>
        </w:rPr>
        <w:t xml:space="preserve"> collection period.</w:t>
      </w:r>
      <w:r w:rsidR="006B6F05">
        <w:rPr>
          <w:rFonts w:ascii="Times New Roman" w:hAnsi="Times New Roman" w:cs="Times New Roman"/>
          <w:sz w:val="24"/>
          <w:szCs w:val="24"/>
        </w:rPr>
        <w:t xml:space="preserve"> </w:t>
      </w:r>
      <w:r w:rsidR="00F639E4">
        <w:rPr>
          <w:rFonts w:ascii="Times New Roman" w:hAnsi="Times New Roman" w:cs="Times New Roman"/>
          <w:sz w:val="24"/>
          <w:szCs w:val="24"/>
        </w:rPr>
        <w:t xml:space="preserve">After initial reporting, </w:t>
      </w:r>
      <w:r w:rsidR="005B72D9">
        <w:rPr>
          <w:rFonts w:ascii="Times New Roman" w:hAnsi="Times New Roman" w:cs="Times New Roman"/>
          <w:sz w:val="24"/>
          <w:szCs w:val="24"/>
        </w:rPr>
        <w:t>information</w:t>
      </w:r>
      <w:r w:rsidR="00F639E4">
        <w:rPr>
          <w:rFonts w:ascii="Times New Roman" w:hAnsi="Times New Roman" w:cs="Times New Roman"/>
          <w:sz w:val="24"/>
          <w:szCs w:val="24"/>
        </w:rPr>
        <w:t xml:space="preserve"> collection instruments may require updates</w:t>
      </w:r>
      <w:r w:rsidR="00D42FDD">
        <w:rPr>
          <w:rFonts w:ascii="Times New Roman" w:hAnsi="Times New Roman" w:cs="Times New Roman"/>
          <w:sz w:val="24"/>
          <w:szCs w:val="24"/>
        </w:rPr>
        <w:t xml:space="preserve"> annually, biannually, </w:t>
      </w:r>
      <w:r w:rsidR="00E464D5">
        <w:rPr>
          <w:rFonts w:ascii="Times New Roman" w:hAnsi="Times New Roman" w:cs="Times New Roman"/>
          <w:sz w:val="24"/>
          <w:szCs w:val="24"/>
        </w:rPr>
        <w:t>every</w:t>
      </w:r>
      <w:r w:rsidR="006D6E92">
        <w:rPr>
          <w:rFonts w:ascii="Times New Roman" w:hAnsi="Times New Roman" w:cs="Times New Roman"/>
          <w:sz w:val="24"/>
          <w:szCs w:val="24"/>
        </w:rPr>
        <w:t xml:space="preserve"> three or</w:t>
      </w:r>
      <w:r w:rsidR="00E464D5">
        <w:rPr>
          <w:rFonts w:ascii="Times New Roman" w:hAnsi="Times New Roman" w:cs="Times New Roman"/>
          <w:sz w:val="24"/>
          <w:szCs w:val="24"/>
        </w:rPr>
        <w:t xml:space="preserve"> five years, </w:t>
      </w:r>
      <w:r w:rsidR="00D42FDD">
        <w:rPr>
          <w:rFonts w:ascii="Times New Roman" w:hAnsi="Times New Roman" w:cs="Times New Roman"/>
          <w:sz w:val="24"/>
          <w:szCs w:val="24"/>
        </w:rPr>
        <w:t xml:space="preserve">or as </w:t>
      </w:r>
      <w:r w:rsidR="00E677C5">
        <w:rPr>
          <w:rFonts w:ascii="Times New Roman" w:hAnsi="Times New Roman" w:cs="Times New Roman"/>
          <w:sz w:val="24"/>
          <w:szCs w:val="24"/>
        </w:rPr>
        <w:t>changes</w:t>
      </w:r>
      <w:r w:rsidR="00D42FDD">
        <w:rPr>
          <w:rFonts w:ascii="Times New Roman" w:hAnsi="Times New Roman" w:cs="Times New Roman"/>
          <w:sz w:val="24"/>
          <w:szCs w:val="24"/>
        </w:rPr>
        <w:t xml:space="preserve"> occur. This frequency is necessary for DSLR to accurately track program </w:t>
      </w:r>
      <w:r w:rsidR="00E677C5">
        <w:rPr>
          <w:rFonts w:ascii="Times New Roman" w:hAnsi="Times New Roman" w:cs="Times New Roman"/>
          <w:sz w:val="24"/>
          <w:szCs w:val="24"/>
        </w:rPr>
        <w:t xml:space="preserve">activities and </w:t>
      </w:r>
      <w:r w:rsidR="00D42FDD">
        <w:rPr>
          <w:rFonts w:ascii="Times New Roman" w:hAnsi="Times New Roman" w:cs="Times New Roman"/>
          <w:sz w:val="24"/>
          <w:szCs w:val="24"/>
        </w:rPr>
        <w:t>progress</w:t>
      </w:r>
      <w:r w:rsidR="00E677C5">
        <w:rPr>
          <w:rFonts w:ascii="Times New Roman" w:hAnsi="Times New Roman" w:cs="Times New Roman"/>
          <w:sz w:val="24"/>
          <w:szCs w:val="24"/>
        </w:rPr>
        <w:t xml:space="preserve">. </w:t>
      </w:r>
      <w:r w:rsidR="00D355E9">
        <w:rPr>
          <w:rFonts w:ascii="Times New Roman" w:hAnsi="Times New Roman" w:cs="Times New Roman"/>
          <w:sz w:val="24"/>
          <w:szCs w:val="24"/>
        </w:rPr>
        <w:t>If DSLR collected this data less frequently, the division would not be able to accurately track recipients’ preparedness for public health emergencies</w:t>
      </w:r>
      <w:r w:rsidR="00597418">
        <w:rPr>
          <w:rFonts w:ascii="Times New Roman" w:hAnsi="Times New Roman" w:cs="Times New Roman"/>
          <w:sz w:val="24"/>
          <w:szCs w:val="24"/>
        </w:rPr>
        <w:t xml:space="preserve">, provide necessary technical assistance, identify best practices, or pinpoint areas of improvement. </w:t>
      </w:r>
      <w:r w:rsidR="00E677C5">
        <w:rPr>
          <w:rFonts w:ascii="Times New Roman" w:hAnsi="Times New Roman" w:cs="Times New Roman"/>
          <w:sz w:val="24"/>
          <w:szCs w:val="24"/>
        </w:rPr>
        <w:t xml:space="preserve">While the initial reporting requires a high time burden, </w:t>
      </w:r>
      <w:r w:rsidR="00621E63">
        <w:rPr>
          <w:rFonts w:ascii="Times New Roman" w:hAnsi="Times New Roman" w:cs="Times New Roman"/>
          <w:sz w:val="24"/>
          <w:szCs w:val="24"/>
        </w:rPr>
        <w:t xml:space="preserve">updates will not require </w:t>
      </w:r>
      <w:r w:rsidR="00D23256">
        <w:rPr>
          <w:rFonts w:ascii="Times New Roman" w:hAnsi="Times New Roman" w:cs="Times New Roman"/>
          <w:sz w:val="24"/>
          <w:szCs w:val="24"/>
        </w:rPr>
        <w:t>a</w:t>
      </w:r>
      <w:r w:rsidR="00FB0DEB">
        <w:rPr>
          <w:rFonts w:ascii="Times New Roman" w:hAnsi="Times New Roman" w:cs="Times New Roman"/>
          <w:sz w:val="24"/>
          <w:szCs w:val="24"/>
        </w:rPr>
        <w:t>s</w:t>
      </w:r>
      <w:r w:rsidR="00D23256">
        <w:rPr>
          <w:rFonts w:ascii="Times New Roman" w:hAnsi="Times New Roman" w:cs="Times New Roman"/>
          <w:sz w:val="24"/>
          <w:szCs w:val="24"/>
        </w:rPr>
        <w:t xml:space="preserve"> high </w:t>
      </w:r>
      <w:r w:rsidR="00FB0DEB">
        <w:rPr>
          <w:rFonts w:ascii="Times New Roman" w:hAnsi="Times New Roman" w:cs="Times New Roman"/>
          <w:sz w:val="24"/>
          <w:szCs w:val="24"/>
        </w:rPr>
        <w:t xml:space="preserve">a </w:t>
      </w:r>
      <w:r w:rsidR="00D23256">
        <w:rPr>
          <w:rFonts w:ascii="Times New Roman" w:hAnsi="Times New Roman" w:cs="Times New Roman"/>
          <w:sz w:val="24"/>
          <w:szCs w:val="24"/>
        </w:rPr>
        <w:t xml:space="preserve">burden of time or effort. </w:t>
      </w:r>
    </w:p>
    <w:p w:rsidR="001F2018" w:rsidRPr="00D31636" w:rsidP="00D31636" w14:paraId="57286BE5" w14:textId="77777777">
      <w:pPr>
        <w:rPr>
          <w:rFonts w:ascii="Times New Roman" w:hAnsi="Times New Roman" w:cs="Times New Roman"/>
          <w:b/>
          <w:sz w:val="24"/>
          <w:szCs w:val="24"/>
        </w:rPr>
      </w:pPr>
      <w:r>
        <w:rPr>
          <w:rFonts w:ascii="Times New Roman" w:hAnsi="Times New Roman" w:cs="Times New Roman"/>
          <w:b/>
          <w:sz w:val="24"/>
          <w:szCs w:val="24"/>
        </w:rPr>
        <w:t xml:space="preserve">A.7. </w:t>
      </w:r>
      <w:r w:rsidRPr="00D31636">
        <w:rPr>
          <w:rFonts w:ascii="Times New Roman" w:hAnsi="Times New Roman" w:cs="Times New Roman"/>
          <w:b/>
          <w:sz w:val="24"/>
          <w:szCs w:val="24"/>
        </w:rPr>
        <w:t>Special Circumstances Relating to the Guidelines of 5 CFR 1320.5</w:t>
      </w:r>
    </w:p>
    <w:p w:rsidR="001F2018" w:rsidRPr="00BC2167" w:rsidP="00BC2167" w14:paraId="44C01C17" w14:textId="3F1BC15E">
      <w:pPr>
        <w:pStyle w:val="ListParagraph"/>
        <w:ind w:left="0"/>
        <w:rPr>
          <w:rFonts w:ascii="Times New Roman" w:hAnsi="Times New Roman" w:cs="Times New Roman"/>
          <w:sz w:val="24"/>
          <w:szCs w:val="24"/>
        </w:rPr>
      </w:pPr>
      <w:r>
        <w:rPr>
          <w:rFonts w:ascii="Times New Roman" w:hAnsi="Times New Roman" w:cs="Times New Roman"/>
          <w:sz w:val="24"/>
        </w:rPr>
        <w:t>This request fully complies with the regulation 5 CFR 1320.5.</w:t>
      </w:r>
    </w:p>
    <w:p w:rsidR="001F2018" w:rsidRPr="00D31636" w:rsidP="00D31636" w14:paraId="1902676A" w14:textId="77777777">
      <w:pPr>
        <w:rPr>
          <w:rFonts w:ascii="Times New Roman" w:hAnsi="Times New Roman" w:cs="Times New Roman"/>
          <w:b/>
          <w:sz w:val="24"/>
          <w:szCs w:val="24"/>
        </w:rPr>
      </w:pPr>
      <w:r>
        <w:rPr>
          <w:rFonts w:ascii="Times New Roman" w:hAnsi="Times New Roman" w:cs="Times New Roman"/>
          <w:b/>
          <w:sz w:val="24"/>
          <w:szCs w:val="24"/>
        </w:rPr>
        <w:t xml:space="preserve">A.8. </w:t>
      </w:r>
      <w:r w:rsidRPr="00D31636">
        <w:rPr>
          <w:rFonts w:ascii="Times New Roman" w:hAnsi="Times New Roman" w:cs="Times New Roman"/>
          <w:b/>
          <w:sz w:val="24"/>
          <w:szCs w:val="24"/>
        </w:rPr>
        <w:t>Comments in Response to the Federal Register Notice and Efforts to Consult Outside the Agency</w:t>
      </w:r>
    </w:p>
    <w:p w:rsidR="001F2018" w:rsidP="001F2018" w14:paraId="0C4604CF" w14:textId="5532E098">
      <w:pPr>
        <w:rPr>
          <w:rFonts w:ascii="Times New Roman" w:hAnsi="Times New Roman" w:cs="Times New Roman"/>
          <w:sz w:val="24"/>
          <w:szCs w:val="24"/>
        </w:rPr>
      </w:pPr>
      <w:r>
        <w:rPr>
          <w:rFonts w:ascii="Times New Roman" w:hAnsi="Times New Roman" w:cs="Times New Roman"/>
          <w:sz w:val="24"/>
          <w:szCs w:val="24"/>
        </w:rPr>
        <w:t xml:space="preserve">A. </w:t>
      </w:r>
      <w:r w:rsidR="00DC533E">
        <w:rPr>
          <w:rFonts w:ascii="Times New Roman" w:hAnsi="Times New Roman" w:cs="Times New Roman"/>
          <w:sz w:val="24"/>
          <w:szCs w:val="24"/>
        </w:rPr>
        <w:t>A 60-day Federal Register Notice was published in Federal Register on</w:t>
      </w:r>
      <w:r w:rsidRPr="000174C5" w:rsidR="00DC533E">
        <w:rPr>
          <w:rFonts w:ascii="Times New Roman" w:eastAsia="Times New Roman" w:hAnsi="Times New Roman" w:cs="Times New Roman"/>
          <w:sz w:val="24"/>
          <w:szCs w:val="24"/>
        </w:rPr>
        <w:t xml:space="preserve"> </w:t>
      </w:r>
      <w:r w:rsidR="00E72ACF">
        <w:rPr>
          <w:rFonts w:ascii="Times New Roman" w:eastAsia="Times New Roman" w:hAnsi="Times New Roman" w:cs="Times New Roman"/>
          <w:sz w:val="24"/>
          <w:szCs w:val="24"/>
        </w:rPr>
        <w:t xml:space="preserve">June </w:t>
      </w:r>
      <w:r w:rsidR="00F5743C">
        <w:rPr>
          <w:rFonts w:ascii="Times New Roman" w:eastAsia="Times New Roman" w:hAnsi="Times New Roman" w:cs="Times New Roman"/>
          <w:sz w:val="24"/>
          <w:szCs w:val="24"/>
        </w:rPr>
        <w:t>17</w:t>
      </w:r>
      <w:r w:rsidR="00E72ACF">
        <w:rPr>
          <w:rFonts w:ascii="Times New Roman" w:eastAsia="Times New Roman" w:hAnsi="Times New Roman" w:cs="Times New Roman"/>
          <w:sz w:val="24"/>
          <w:szCs w:val="24"/>
        </w:rPr>
        <w:t>, 202</w:t>
      </w:r>
      <w:r w:rsidR="00F5743C">
        <w:rPr>
          <w:rFonts w:ascii="Times New Roman" w:eastAsia="Times New Roman" w:hAnsi="Times New Roman" w:cs="Times New Roman"/>
          <w:sz w:val="24"/>
          <w:szCs w:val="24"/>
        </w:rPr>
        <w:t>4</w:t>
      </w:r>
      <w:r w:rsidR="00E72ACF">
        <w:rPr>
          <w:rFonts w:ascii="Times New Roman" w:eastAsia="Times New Roman" w:hAnsi="Times New Roman" w:cs="Times New Roman"/>
          <w:sz w:val="24"/>
          <w:szCs w:val="24"/>
        </w:rPr>
        <w:t xml:space="preserve">, </w:t>
      </w:r>
      <w:r w:rsidR="00BF7EEF">
        <w:rPr>
          <w:rFonts w:ascii="Times New Roman" w:eastAsia="Times New Roman" w:hAnsi="Times New Roman" w:cs="Times New Roman"/>
          <w:sz w:val="24"/>
          <w:szCs w:val="24"/>
        </w:rPr>
        <w:t>v</w:t>
      </w:r>
      <w:r w:rsidR="00E72ACF">
        <w:rPr>
          <w:rFonts w:ascii="Times New Roman" w:eastAsia="Times New Roman" w:hAnsi="Times New Roman" w:cs="Times New Roman"/>
          <w:sz w:val="24"/>
          <w:szCs w:val="24"/>
        </w:rPr>
        <w:t>ol.</w:t>
      </w:r>
      <w:r w:rsidR="00657951">
        <w:rPr>
          <w:rFonts w:ascii="Times New Roman" w:eastAsia="Times New Roman" w:hAnsi="Times New Roman" w:cs="Times New Roman"/>
          <w:sz w:val="24"/>
          <w:szCs w:val="24"/>
        </w:rPr>
        <w:t xml:space="preserve"> 8</w:t>
      </w:r>
      <w:r w:rsidR="00F5743C">
        <w:rPr>
          <w:rFonts w:ascii="Times New Roman" w:eastAsia="Times New Roman" w:hAnsi="Times New Roman" w:cs="Times New Roman"/>
          <w:sz w:val="24"/>
          <w:szCs w:val="24"/>
        </w:rPr>
        <w:t>9</w:t>
      </w:r>
      <w:r w:rsidR="00657951">
        <w:rPr>
          <w:rFonts w:ascii="Times New Roman" w:eastAsia="Times New Roman" w:hAnsi="Times New Roman" w:cs="Times New Roman"/>
          <w:sz w:val="24"/>
          <w:szCs w:val="24"/>
        </w:rPr>
        <w:t xml:space="preserve">, </w:t>
      </w:r>
      <w:r w:rsidR="00BF7EEF">
        <w:rPr>
          <w:rFonts w:ascii="Times New Roman" w:eastAsia="Times New Roman" w:hAnsi="Times New Roman" w:cs="Times New Roman"/>
          <w:sz w:val="24"/>
          <w:szCs w:val="24"/>
        </w:rPr>
        <w:t>n</w:t>
      </w:r>
      <w:r w:rsidR="00657951">
        <w:rPr>
          <w:rFonts w:ascii="Times New Roman" w:eastAsia="Times New Roman" w:hAnsi="Times New Roman" w:cs="Times New Roman"/>
          <w:sz w:val="24"/>
          <w:szCs w:val="24"/>
        </w:rPr>
        <w:t xml:space="preserve">o. </w:t>
      </w:r>
      <w:r w:rsidR="00F5743C">
        <w:rPr>
          <w:rFonts w:ascii="Times New Roman" w:eastAsia="Times New Roman" w:hAnsi="Times New Roman" w:cs="Times New Roman"/>
          <w:sz w:val="24"/>
          <w:szCs w:val="24"/>
        </w:rPr>
        <w:t>117</w:t>
      </w:r>
      <w:r w:rsidR="00657951">
        <w:rPr>
          <w:rFonts w:ascii="Times New Roman" w:eastAsia="Times New Roman" w:hAnsi="Times New Roman" w:cs="Times New Roman"/>
          <w:sz w:val="24"/>
          <w:szCs w:val="24"/>
        </w:rPr>
        <w:t xml:space="preserve">, pp. </w:t>
      </w:r>
      <w:r w:rsidR="00F5743C">
        <w:rPr>
          <w:rFonts w:ascii="Times New Roman" w:eastAsia="Times New Roman" w:hAnsi="Times New Roman" w:cs="Times New Roman"/>
          <w:sz w:val="24"/>
          <w:szCs w:val="24"/>
        </w:rPr>
        <w:t>51349-51350</w:t>
      </w:r>
      <w:r w:rsidR="00657951">
        <w:rPr>
          <w:rFonts w:ascii="Times New Roman" w:eastAsia="Times New Roman" w:hAnsi="Times New Roman" w:cs="Times New Roman"/>
          <w:sz w:val="24"/>
          <w:szCs w:val="24"/>
        </w:rPr>
        <w:t xml:space="preserve"> </w:t>
      </w:r>
      <w:r w:rsidR="00DC533E">
        <w:rPr>
          <w:rFonts w:ascii="Times New Roman" w:hAnsi="Times New Roman" w:cs="Times New Roman"/>
          <w:sz w:val="24"/>
          <w:szCs w:val="24"/>
        </w:rPr>
        <w:t>(Attachment 2).</w:t>
      </w:r>
      <w:r w:rsidR="00C201EF">
        <w:rPr>
          <w:rFonts w:ascii="Times New Roman" w:hAnsi="Times New Roman" w:cs="Times New Roman"/>
          <w:sz w:val="24"/>
          <w:szCs w:val="24"/>
        </w:rPr>
        <w:t xml:space="preserve"> CDC did not receive public comments on this notice. </w:t>
      </w:r>
    </w:p>
    <w:p w:rsidR="00655DCE" w:rsidP="001F2018" w14:paraId="1353569D" w14:textId="23368FAD">
      <w:pPr>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 xml:space="preserve">DSLR works with several partner organizations and federal partners outside of CDC. For this </w:t>
      </w:r>
      <w:r w:rsidR="005B72D9">
        <w:rPr>
          <w:rFonts w:ascii="Times New Roman" w:hAnsi="Times New Roman" w:cs="Times New Roman"/>
          <w:sz w:val="24"/>
          <w:szCs w:val="24"/>
        </w:rPr>
        <w:t>information</w:t>
      </w:r>
      <w:r>
        <w:rPr>
          <w:rFonts w:ascii="Times New Roman" w:hAnsi="Times New Roman" w:cs="Times New Roman"/>
          <w:sz w:val="24"/>
          <w:szCs w:val="24"/>
        </w:rPr>
        <w:t xml:space="preserve"> collection, DSLR solicited input and representation from the following sources: prospective state and local users; </w:t>
      </w:r>
      <w:r w:rsidR="00F20BCB">
        <w:rPr>
          <w:rFonts w:ascii="Times New Roman" w:hAnsi="Times New Roman" w:cs="Times New Roman"/>
          <w:sz w:val="24"/>
          <w:szCs w:val="24"/>
        </w:rPr>
        <w:t xml:space="preserve">division </w:t>
      </w:r>
      <w:r w:rsidR="00FB0DEB">
        <w:rPr>
          <w:rFonts w:ascii="Times New Roman" w:hAnsi="Times New Roman" w:cs="Times New Roman"/>
          <w:sz w:val="24"/>
          <w:szCs w:val="24"/>
        </w:rPr>
        <w:t>s</w:t>
      </w:r>
      <w:r>
        <w:rPr>
          <w:rFonts w:ascii="Times New Roman" w:hAnsi="Times New Roman" w:cs="Times New Roman"/>
          <w:sz w:val="24"/>
          <w:szCs w:val="24"/>
        </w:rPr>
        <w:t xml:space="preserve">ubject </w:t>
      </w:r>
      <w:r w:rsidR="00FB0DEB">
        <w:rPr>
          <w:rFonts w:ascii="Times New Roman" w:hAnsi="Times New Roman" w:cs="Times New Roman"/>
          <w:sz w:val="24"/>
          <w:szCs w:val="24"/>
        </w:rPr>
        <w:t>m</w:t>
      </w:r>
      <w:r>
        <w:rPr>
          <w:rFonts w:ascii="Times New Roman" w:hAnsi="Times New Roman" w:cs="Times New Roman"/>
          <w:sz w:val="24"/>
          <w:szCs w:val="24"/>
        </w:rPr>
        <w:t xml:space="preserve">atter </w:t>
      </w:r>
      <w:r w:rsidR="00FB0DEB">
        <w:rPr>
          <w:rFonts w:ascii="Times New Roman" w:hAnsi="Times New Roman" w:cs="Times New Roman"/>
          <w:sz w:val="24"/>
          <w:szCs w:val="24"/>
        </w:rPr>
        <w:t>e</w:t>
      </w:r>
      <w:r>
        <w:rPr>
          <w:rFonts w:ascii="Times New Roman" w:hAnsi="Times New Roman" w:cs="Times New Roman"/>
          <w:sz w:val="24"/>
          <w:szCs w:val="24"/>
        </w:rPr>
        <w:t>xperts (SMEs); external partners, including</w:t>
      </w:r>
      <w:r w:rsidR="00E067AB">
        <w:rPr>
          <w:rFonts w:ascii="Times New Roman" w:hAnsi="Times New Roman" w:cs="Times New Roman"/>
          <w:sz w:val="24"/>
          <w:szCs w:val="24"/>
        </w:rPr>
        <w:t xml:space="preserve"> the Association of Public Health Laboratories (APHL), the Office of the Assistant Secretary for Preparedness and Response (ASPR)</w:t>
      </w:r>
      <w:r w:rsidR="00FB0DEB">
        <w:rPr>
          <w:rFonts w:ascii="Times New Roman" w:hAnsi="Times New Roman" w:cs="Times New Roman"/>
          <w:sz w:val="24"/>
          <w:szCs w:val="24"/>
        </w:rPr>
        <w:t>;</w:t>
      </w:r>
      <w:r w:rsidR="00E067AB">
        <w:rPr>
          <w:rFonts w:ascii="Times New Roman" w:hAnsi="Times New Roman" w:cs="Times New Roman"/>
          <w:sz w:val="24"/>
          <w:szCs w:val="24"/>
        </w:rPr>
        <w:t xml:space="preserve"> the Association of State and Territorial Health </w:t>
      </w:r>
      <w:r w:rsidR="00E067AB">
        <w:rPr>
          <w:rFonts w:ascii="Times New Roman" w:hAnsi="Times New Roman" w:cs="Times New Roman"/>
          <w:sz w:val="24"/>
          <w:szCs w:val="24"/>
        </w:rPr>
        <w:t>Officials (ASTHO), the Council of State and Territorial Epidemiologists (CSTE), and the National Association of County and City Health Officials (NACCHO); and other centers within CDC, including the National Center for Emerging and Zoonotic Infectious Diseases (NCEZID), the National Institute for Occupational Safety and Health (NIOSH), the National Center for Environmental Health (NCEH), and the National Center for Immunization and Respiratory Diseases (NCIRD).</w:t>
      </w:r>
    </w:p>
    <w:p w:rsidR="001F2018" w:rsidRPr="00D31636" w:rsidP="00D31636" w14:paraId="75332E9F" w14:textId="77777777">
      <w:pPr>
        <w:rPr>
          <w:rFonts w:ascii="Times New Roman" w:hAnsi="Times New Roman" w:cs="Times New Roman"/>
          <w:b/>
          <w:sz w:val="24"/>
          <w:szCs w:val="24"/>
        </w:rPr>
      </w:pPr>
      <w:r>
        <w:rPr>
          <w:rFonts w:ascii="Times New Roman" w:hAnsi="Times New Roman" w:cs="Times New Roman"/>
          <w:b/>
          <w:sz w:val="24"/>
          <w:szCs w:val="24"/>
        </w:rPr>
        <w:t xml:space="preserve">A.9 </w:t>
      </w:r>
      <w:r w:rsidRPr="00D31636">
        <w:rPr>
          <w:rFonts w:ascii="Times New Roman" w:hAnsi="Times New Roman" w:cs="Times New Roman"/>
          <w:b/>
          <w:sz w:val="24"/>
          <w:szCs w:val="24"/>
        </w:rPr>
        <w:t>Explanation of Any Payment or Gift to Respondents</w:t>
      </w:r>
    </w:p>
    <w:p w:rsidR="00C83C95" w:rsidRPr="00D91D16" w:rsidP="00966562" w14:paraId="0C381ADE" w14:textId="5D8E13F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No payment or gift to PHEP recipients will be offered. The </w:t>
      </w:r>
      <w:r w:rsidR="000B4112">
        <w:rPr>
          <w:rFonts w:ascii="Times New Roman" w:hAnsi="Times New Roman" w:cs="Times New Roman"/>
          <w:sz w:val="24"/>
          <w:szCs w:val="24"/>
        </w:rPr>
        <w:t xml:space="preserve">recipients </w:t>
      </w:r>
      <w:r>
        <w:rPr>
          <w:rFonts w:ascii="Times New Roman" w:hAnsi="Times New Roman" w:cs="Times New Roman"/>
          <w:sz w:val="24"/>
          <w:szCs w:val="24"/>
        </w:rPr>
        <w:t xml:space="preserve">are required to submit reports and performance measures as part of the PHEP </w:t>
      </w:r>
      <w:r w:rsidR="005F65F2">
        <w:rPr>
          <w:rFonts w:ascii="Times New Roman" w:hAnsi="Times New Roman" w:cs="Times New Roman"/>
          <w:sz w:val="24"/>
          <w:szCs w:val="24"/>
        </w:rPr>
        <w:t>c</w:t>
      </w:r>
      <w:r>
        <w:rPr>
          <w:rFonts w:ascii="Times New Roman" w:hAnsi="Times New Roman" w:cs="Times New Roman"/>
          <w:sz w:val="24"/>
          <w:szCs w:val="24"/>
        </w:rPr>
        <w:t xml:space="preserve">ooperative </w:t>
      </w:r>
      <w:r w:rsidR="005F65F2">
        <w:rPr>
          <w:rFonts w:ascii="Times New Roman" w:hAnsi="Times New Roman" w:cs="Times New Roman"/>
          <w:sz w:val="24"/>
          <w:szCs w:val="24"/>
        </w:rPr>
        <w:t>a</w:t>
      </w:r>
      <w:r>
        <w:rPr>
          <w:rFonts w:ascii="Times New Roman" w:hAnsi="Times New Roman" w:cs="Times New Roman"/>
          <w:sz w:val="24"/>
          <w:szCs w:val="24"/>
        </w:rPr>
        <w:t>greement.</w:t>
      </w:r>
    </w:p>
    <w:p w:rsidR="001F2018" w:rsidRPr="00D31636" w:rsidP="00D31636" w14:paraId="5F6B6840" w14:textId="77777777">
      <w:pPr>
        <w:rPr>
          <w:rFonts w:ascii="Times New Roman" w:hAnsi="Times New Roman" w:cs="Times New Roman"/>
          <w:b/>
          <w:sz w:val="24"/>
          <w:szCs w:val="24"/>
        </w:rPr>
      </w:pPr>
      <w:r>
        <w:rPr>
          <w:rFonts w:ascii="Times New Roman" w:hAnsi="Times New Roman" w:cs="Times New Roman"/>
          <w:b/>
          <w:sz w:val="24"/>
          <w:szCs w:val="24"/>
        </w:rPr>
        <w:t xml:space="preserve">A.10. </w:t>
      </w:r>
      <w:r w:rsidRPr="00D31636">
        <w:rPr>
          <w:rFonts w:ascii="Times New Roman" w:hAnsi="Times New Roman" w:cs="Times New Roman"/>
          <w:b/>
          <w:sz w:val="24"/>
          <w:szCs w:val="24"/>
        </w:rPr>
        <w:t>Protection of the Privacy and Confidentiality of Information Provided by Respondents</w:t>
      </w:r>
    </w:p>
    <w:p w:rsidR="004A5683" w:rsidRPr="004A5683" w:rsidP="004A5683" w14:paraId="38482ABD" w14:textId="66A19C2F">
      <w:pPr>
        <w:spacing w:after="0"/>
        <w:rPr>
          <w:rFonts w:ascii="Times New Roman" w:hAnsi="Times New Roman" w:cs="Times New Roman"/>
          <w:sz w:val="24"/>
        </w:rPr>
      </w:pPr>
      <w:r>
        <w:rPr>
          <w:rFonts w:ascii="Times New Roman" w:hAnsi="Times New Roman" w:cs="Times New Roman"/>
          <w:sz w:val="24"/>
        </w:rPr>
        <w:t xml:space="preserve">The Center for Preparedness and Response has determined that the Privacy Act does not apply to this information collection. </w:t>
      </w:r>
      <w:r w:rsidRPr="004A5683">
        <w:rPr>
          <w:rFonts w:ascii="Times New Roman" w:hAnsi="Times New Roman" w:cs="Times New Roman"/>
          <w:sz w:val="24"/>
        </w:rPr>
        <w:t xml:space="preserve">The data collection does not involve collection of sensitive or identifiable personal information. Although contact information is obtained for each funded recipient (state or local jurisdiction), the contact person provides information about the organization, not personal information. No system of records will be created under the Privacy Act. </w:t>
      </w:r>
    </w:p>
    <w:p w:rsidR="00D65F15" w:rsidP="00191618" w14:paraId="7C7E9746" w14:textId="2C19A4A7">
      <w:pPr>
        <w:spacing w:after="0"/>
        <w:rPr>
          <w:rFonts w:ascii="Times New Roman" w:hAnsi="Times New Roman" w:cs="Times New Roman"/>
          <w:sz w:val="24"/>
        </w:rPr>
      </w:pPr>
    </w:p>
    <w:p w:rsidR="00433C34" w:rsidP="00191618" w14:paraId="2801A687" w14:textId="5794A313">
      <w:pPr>
        <w:spacing w:after="0"/>
        <w:rPr>
          <w:rFonts w:ascii="Times New Roman" w:hAnsi="Times New Roman" w:cs="Times New Roman"/>
          <w:sz w:val="24"/>
        </w:rPr>
      </w:pPr>
      <w:r>
        <w:rPr>
          <w:rFonts w:ascii="Times New Roman" w:hAnsi="Times New Roman" w:cs="Times New Roman"/>
          <w:sz w:val="24"/>
        </w:rPr>
        <w:t>I</w:t>
      </w:r>
      <w:r w:rsidR="0039122C">
        <w:rPr>
          <w:rFonts w:ascii="Times New Roman" w:hAnsi="Times New Roman" w:cs="Times New Roman"/>
          <w:sz w:val="24"/>
        </w:rPr>
        <w:t xml:space="preserve">nformation will be kept </w:t>
      </w:r>
      <w:r w:rsidR="008505D6">
        <w:rPr>
          <w:rFonts w:ascii="Times New Roman" w:hAnsi="Times New Roman" w:cs="Times New Roman"/>
          <w:sz w:val="24"/>
        </w:rPr>
        <w:t xml:space="preserve">secure </w:t>
      </w:r>
      <w:r w:rsidR="0039122C">
        <w:rPr>
          <w:rFonts w:ascii="Times New Roman" w:hAnsi="Times New Roman" w:cs="Times New Roman"/>
          <w:sz w:val="24"/>
        </w:rPr>
        <w:t>on the HHS Secure Access Management Services (SAMS) system and will only be accessible to project team members.</w:t>
      </w:r>
      <w:r w:rsidRPr="00BD303D" w:rsidR="0039122C">
        <w:rPr>
          <w:rFonts w:ascii="Times New Roman" w:hAnsi="Times New Roman" w:cs="Times New Roman"/>
          <w:sz w:val="24"/>
        </w:rPr>
        <w:t xml:space="preserve"> No IIF will be distributed.</w:t>
      </w:r>
    </w:p>
    <w:p w:rsidR="00BD303D" w:rsidP="00191618" w14:paraId="05B60D93" w14:textId="77777777">
      <w:pPr>
        <w:spacing w:after="0"/>
        <w:rPr>
          <w:rFonts w:ascii="Times New Roman" w:hAnsi="Times New Roman" w:cs="Times New Roman"/>
          <w:sz w:val="24"/>
        </w:rPr>
      </w:pPr>
    </w:p>
    <w:p w:rsidR="001F2018" w:rsidP="00191618" w14:paraId="368B4288" w14:textId="48EFD907">
      <w:pPr>
        <w:spacing w:after="0"/>
        <w:rPr>
          <w:rFonts w:ascii="Times New Roman" w:hAnsi="Times New Roman" w:cs="Times New Roman"/>
          <w:sz w:val="24"/>
        </w:rPr>
      </w:pPr>
      <w:r>
        <w:rPr>
          <w:rFonts w:ascii="Times New Roman" w:hAnsi="Times New Roman" w:cs="Times New Roman"/>
          <w:sz w:val="24"/>
        </w:rPr>
        <w:t xml:space="preserve">Respondents </w:t>
      </w:r>
      <w:r w:rsidR="00433C34">
        <w:rPr>
          <w:rFonts w:ascii="Times New Roman" w:hAnsi="Times New Roman" w:cs="Times New Roman"/>
          <w:sz w:val="24"/>
        </w:rPr>
        <w:t xml:space="preserve">will be notified regarding the provision of </w:t>
      </w:r>
      <w:r w:rsidR="00F07F55">
        <w:rPr>
          <w:rFonts w:ascii="Times New Roman" w:hAnsi="Times New Roman" w:cs="Times New Roman"/>
          <w:sz w:val="24"/>
        </w:rPr>
        <w:t>IIF</w:t>
      </w:r>
      <w:r w:rsidR="00433C34">
        <w:rPr>
          <w:rFonts w:ascii="Times New Roman" w:hAnsi="Times New Roman" w:cs="Times New Roman"/>
          <w:sz w:val="24"/>
        </w:rPr>
        <w:t xml:space="preserve"> through the guidance document that will accompany the </w:t>
      </w:r>
      <w:r w:rsidR="00FB0DEB">
        <w:rPr>
          <w:rFonts w:ascii="Times New Roman" w:hAnsi="Times New Roman" w:cs="Times New Roman"/>
          <w:sz w:val="24"/>
        </w:rPr>
        <w:t xml:space="preserve">PHEP </w:t>
      </w:r>
      <w:r w:rsidR="00433C34">
        <w:rPr>
          <w:rFonts w:ascii="Times New Roman" w:hAnsi="Times New Roman" w:cs="Times New Roman"/>
          <w:sz w:val="24"/>
        </w:rPr>
        <w:t xml:space="preserve">ORR. The guidance will inform recipients that the critical contact sheet will collect </w:t>
      </w:r>
      <w:r w:rsidR="00433C34">
        <w:rPr>
          <w:rFonts w:ascii="Times New Roman" w:hAnsi="Times New Roman" w:cs="Times New Roman"/>
          <w:sz w:val="24"/>
        </w:rPr>
        <w:t>IIF</w:t>
      </w:r>
      <w:r w:rsidR="00433C34">
        <w:rPr>
          <w:rFonts w:ascii="Times New Roman" w:hAnsi="Times New Roman" w:cs="Times New Roman"/>
          <w:sz w:val="24"/>
        </w:rPr>
        <w:t xml:space="preserve"> and that </w:t>
      </w:r>
      <w:r w:rsidRPr="006B46E4" w:rsidR="006B46E4">
        <w:rPr>
          <w:rFonts w:ascii="Times New Roman" w:hAnsi="Times New Roman" w:cs="Times New Roman"/>
          <w:sz w:val="24"/>
        </w:rPr>
        <w:t>CDC will keep the information that</w:t>
      </w:r>
      <w:r w:rsidR="009B42E7">
        <w:rPr>
          <w:rFonts w:ascii="Times New Roman" w:hAnsi="Times New Roman" w:cs="Times New Roman"/>
          <w:sz w:val="24"/>
        </w:rPr>
        <w:t xml:space="preserve"> recipients</w:t>
      </w:r>
      <w:r w:rsidRPr="006B46E4" w:rsidR="006B46E4">
        <w:rPr>
          <w:rFonts w:ascii="Times New Roman" w:hAnsi="Times New Roman" w:cs="Times New Roman"/>
          <w:sz w:val="24"/>
        </w:rPr>
        <w:t xml:space="preserve"> provide private and secure to the extent permitted by law.</w:t>
      </w:r>
    </w:p>
    <w:p w:rsidR="00191618" w:rsidRPr="00191618" w:rsidP="00191618" w14:paraId="6EE67CDD" w14:textId="77777777">
      <w:pPr>
        <w:spacing w:after="0"/>
        <w:rPr>
          <w:rFonts w:ascii="Times New Roman" w:hAnsi="Times New Roman" w:cs="Times New Roman"/>
          <w:sz w:val="24"/>
        </w:rPr>
      </w:pPr>
    </w:p>
    <w:p w:rsidR="001F2018" w:rsidRPr="00D31636" w:rsidP="00D31636" w14:paraId="178428BC" w14:textId="77777777">
      <w:pPr>
        <w:rPr>
          <w:rFonts w:ascii="Times New Roman" w:hAnsi="Times New Roman" w:cs="Times New Roman"/>
          <w:b/>
          <w:sz w:val="24"/>
          <w:szCs w:val="24"/>
        </w:rPr>
      </w:pPr>
      <w:r>
        <w:rPr>
          <w:rFonts w:ascii="Times New Roman" w:hAnsi="Times New Roman" w:cs="Times New Roman"/>
          <w:b/>
          <w:sz w:val="24"/>
          <w:szCs w:val="24"/>
        </w:rPr>
        <w:t xml:space="preserve">A.11. </w:t>
      </w:r>
      <w:r w:rsidRPr="00D31636">
        <w:rPr>
          <w:rFonts w:ascii="Times New Roman" w:hAnsi="Times New Roman" w:cs="Times New Roman"/>
          <w:b/>
          <w:sz w:val="24"/>
          <w:szCs w:val="24"/>
        </w:rPr>
        <w:t>Institutional Review Board (IRB) and Justification for Sensitive Questions</w:t>
      </w:r>
    </w:p>
    <w:p w:rsidR="0082458C" w:rsidP="00D31636" w14:paraId="0E5C79FE" w14:textId="6B2A7853">
      <w:pPr>
        <w:rPr>
          <w:rFonts w:ascii="Times New Roman" w:hAnsi="Times New Roman" w:cs="Times New Roman"/>
          <w:bCs/>
          <w:sz w:val="24"/>
          <w:szCs w:val="24"/>
        </w:rPr>
      </w:pPr>
      <w:r>
        <w:rPr>
          <w:rFonts w:ascii="Times New Roman" w:hAnsi="Times New Roman" w:cs="Times New Roman"/>
          <w:bCs/>
          <w:sz w:val="24"/>
          <w:szCs w:val="24"/>
        </w:rPr>
        <w:t>The information collection is conducted under</w:t>
      </w:r>
      <w:r w:rsidR="00775F12">
        <w:rPr>
          <w:rFonts w:ascii="Times New Roman" w:hAnsi="Times New Roman" w:cs="Times New Roman"/>
          <w:bCs/>
          <w:sz w:val="24"/>
          <w:szCs w:val="24"/>
        </w:rPr>
        <w:t xml:space="preserve"> a</w:t>
      </w:r>
      <w:r>
        <w:rPr>
          <w:rFonts w:ascii="Times New Roman" w:hAnsi="Times New Roman" w:cs="Times New Roman"/>
          <w:bCs/>
          <w:sz w:val="24"/>
          <w:szCs w:val="24"/>
        </w:rPr>
        <w:t xml:space="preserve"> </w:t>
      </w:r>
      <w:r>
        <w:rPr>
          <w:rFonts w:ascii="Times New Roman" w:hAnsi="Times New Roman" w:cs="Times New Roman"/>
          <w:bCs/>
          <w:sz w:val="24"/>
          <w:szCs w:val="24"/>
        </w:rPr>
        <w:t>nonresearch</w:t>
      </w:r>
      <w:r>
        <w:rPr>
          <w:rFonts w:ascii="Times New Roman" w:hAnsi="Times New Roman" w:cs="Times New Roman"/>
          <w:bCs/>
          <w:sz w:val="24"/>
          <w:szCs w:val="24"/>
        </w:rPr>
        <w:t xml:space="preserve"> cooperative agreement (</w:t>
      </w:r>
      <w:r w:rsidR="00374459">
        <w:rPr>
          <w:rFonts w:ascii="Times New Roman" w:hAnsi="Times New Roman" w:cs="Times New Roman"/>
          <w:bCs/>
          <w:sz w:val="24"/>
          <w:szCs w:val="24"/>
        </w:rPr>
        <w:t>CDC-RFA-TP19-1901) (Attachment 4).</w:t>
      </w:r>
      <w:r w:rsidR="00775F12">
        <w:rPr>
          <w:rFonts w:ascii="Times New Roman" w:hAnsi="Times New Roman" w:cs="Times New Roman"/>
          <w:bCs/>
          <w:sz w:val="24"/>
          <w:szCs w:val="24"/>
        </w:rPr>
        <w:t xml:space="preserve"> The CDC </w:t>
      </w:r>
      <w:r w:rsidR="00860B60">
        <w:rPr>
          <w:rFonts w:ascii="Times New Roman" w:hAnsi="Times New Roman" w:cs="Times New Roman"/>
          <w:bCs/>
          <w:sz w:val="24"/>
          <w:szCs w:val="24"/>
        </w:rPr>
        <w:t xml:space="preserve">Human Subjects Contact has determined that the information collection is </w:t>
      </w:r>
      <w:r w:rsidR="006D549A">
        <w:rPr>
          <w:rFonts w:ascii="Times New Roman" w:hAnsi="Times New Roman" w:cs="Times New Roman"/>
          <w:bCs/>
          <w:sz w:val="24"/>
          <w:szCs w:val="24"/>
        </w:rPr>
        <w:t xml:space="preserve">necessary for program management and is not classified as human </w:t>
      </w:r>
      <w:r w:rsidR="006D549A">
        <w:rPr>
          <w:rFonts w:ascii="Times New Roman" w:hAnsi="Times New Roman" w:cs="Times New Roman"/>
          <w:bCs/>
          <w:sz w:val="24"/>
          <w:szCs w:val="24"/>
        </w:rPr>
        <w:t>subjects</w:t>
      </w:r>
      <w:r w:rsidR="006D549A">
        <w:rPr>
          <w:rFonts w:ascii="Times New Roman" w:hAnsi="Times New Roman" w:cs="Times New Roman"/>
          <w:bCs/>
          <w:sz w:val="24"/>
          <w:szCs w:val="24"/>
        </w:rPr>
        <w:t xml:space="preserve"> research. IRB approval is not required</w:t>
      </w:r>
      <w:r w:rsidR="00E325AA">
        <w:rPr>
          <w:rFonts w:ascii="Times New Roman" w:hAnsi="Times New Roman" w:cs="Times New Roman"/>
          <w:bCs/>
          <w:sz w:val="24"/>
          <w:szCs w:val="24"/>
        </w:rPr>
        <w:t xml:space="preserve"> (Attachment 5).</w:t>
      </w:r>
      <w:r>
        <w:rPr>
          <w:rFonts w:ascii="Times New Roman" w:hAnsi="Times New Roman" w:cs="Times New Roman"/>
          <w:bCs/>
          <w:sz w:val="24"/>
          <w:szCs w:val="24"/>
        </w:rPr>
        <w:t xml:space="preserve"> This information collection does not include sensitive questions.  </w:t>
      </w:r>
    </w:p>
    <w:p w:rsidR="00D601A8" w:rsidP="00D31636" w14:paraId="1C0B7F82" w14:textId="00277021">
      <w:pPr>
        <w:rPr>
          <w:rFonts w:ascii="Times New Roman" w:hAnsi="Times New Roman" w:cs="Times New Roman"/>
          <w:bCs/>
          <w:sz w:val="24"/>
          <w:szCs w:val="24"/>
        </w:rPr>
      </w:pPr>
    </w:p>
    <w:p w:rsidR="00D601A8" w:rsidP="00D31636" w14:paraId="0405438F" w14:textId="58FD86D0">
      <w:pPr>
        <w:rPr>
          <w:rFonts w:ascii="Times New Roman" w:hAnsi="Times New Roman" w:cs="Times New Roman"/>
          <w:bCs/>
          <w:sz w:val="24"/>
          <w:szCs w:val="24"/>
        </w:rPr>
      </w:pPr>
    </w:p>
    <w:p w:rsidR="00D601A8" w:rsidRPr="00663579" w:rsidP="00D31636" w14:paraId="439CFF14" w14:textId="77777777">
      <w:pPr>
        <w:rPr>
          <w:rFonts w:ascii="Times New Roman" w:hAnsi="Times New Roman" w:cs="Times New Roman"/>
          <w:bCs/>
          <w:sz w:val="24"/>
          <w:szCs w:val="24"/>
        </w:rPr>
      </w:pPr>
    </w:p>
    <w:p w:rsidR="001F2018" w:rsidP="00D31636" w14:paraId="6D03CA98" w14:textId="0E53E9DB">
      <w:pPr>
        <w:rPr>
          <w:rFonts w:ascii="Times New Roman" w:hAnsi="Times New Roman" w:cs="Times New Roman"/>
          <w:b/>
          <w:sz w:val="24"/>
          <w:szCs w:val="24"/>
        </w:rPr>
      </w:pPr>
      <w:r>
        <w:rPr>
          <w:rFonts w:ascii="Times New Roman" w:hAnsi="Times New Roman" w:cs="Times New Roman"/>
          <w:b/>
          <w:sz w:val="24"/>
          <w:szCs w:val="24"/>
        </w:rPr>
        <w:t xml:space="preserve">A.12. </w:t>
      </w:r>
      <w:r w:rsidRPr="00D31636">
        <w:rPr>
          <w:rFonts w:ascii="Times New Roman" w:hAnsi="Times New Roman" w:cs="Times New Roman"/>
          <w:b/>
          <w:sz w:val="24"/>
          <w:szCs w:val="24"/>
        </w:rPr>
        <w:t>Estimates of Annualized Burden Hours and Costs</w:t>
      </w:r>
    </w:p>
    <w:p w:rsidR="0077497D" w:rsidRPr="0077497D" w:rsidP="0077497D" w14:paraId="3C7A2424" w14:textId="4667A6F9">
      <w:pPr>
        <w:ind w:left="360"/>
        <w:rPr>
          <w:rFonts w:ascii="Times New Roman" w:eastAsia="Calibri" w:hAnsi="Times New Roman" w:cs="Times New Roman"/>
          <w:sz w:val="24"/>
        </w:rPr>
      </w:pPr>
      <w:r w:rsidRPr="00DE3495">
        <w:rPr>
          <w:rFonts w:ascii="Times New Roman" w:eastAsia="Calibri" w:hAnsi="Times New Roman" w:cs="Times New Roman"/>
          <w:b/>
          <w:bCs/>
          <w:sz w:val="24"/>
        </w:rPr>
        <w:t>The Descriptive Module [Attachments 6-10]</w:t>
      </w:r>
      <w:r w:rsidRPr="0077497D">
        <w:rPr>
          <w:rFonts w:ascii="Times New Roman" w:eastAsia="Calibri" w:hAnsi="Times New Roman" w:cs="Times New Roman"/>
          <w:sz w:val="24"/>
        </w:rPr>
        <w:t xml:space="preserve"> is completed by all PHEP awardees.  It includes the following: Jurisdictional Structure Sheet (Attachment 6), Critical Contact Sheet </w:t>
      </w:r>
      <w:r w:rsidRPr="0077497D">
        <w:rPr>
          <w:rFonts w:ascii="Times New Roman" w:eastAsia="Calibri" w:hAnsi="Times New Roman" w:cs="Times New Roman"/>
          <w:sz w:val="24"/>
        </w:rPr>
        <w:t>(Attachment 7), Jurisdictional Data Sh</w:t>
      </w:r>
      <w:r w:rsidRPr="00685F06">
        <w:rPr>
          <w:rFonts w:ascii="Times New Roman" w:eastAsia="Calibri" w:hAnsi="Times New Roman" w:cs="Times New Roman"/>
          <w:sz w:val="24"/>
        </w:rPr>
        <w:t>eet (Attachment 8), Partner Planning Sheet (Attachme</w:t>
      </w:r>
      <w:r w:rsidRPr="0077497D">
        <w:rPr>
          <w:rFonts w:ascii="Times New Roman" w:eastAsia="Calibri" w:hAnsi="Times New Roman" w:cs="Times New Roman"/>
          <w:sz w:val="24"/>
        </w:rPr>
        <w:t xml:space="preserve">nt 9), and Workforce Development and Training (Attachment 10). </w:t>
      </w:r>
      <w:r w:rsidRPr="00DE3495">
        <w:rPr>
          <w:rFonts w:ascii="Times New Roman" w:eastAsia="Calibri" w:hAnsi="Times New Roman" w:cs="Times New Roman"/>
          <w:sz w:val="24"/>
        </w:rPr>
        <w:t>The total estimated annualized burden is 1,013 hours.</w:t>
      </w:r>
    </w:p>
    <w:p w:rsidR="0077497D" w:rsidRPr="0077497D" w:rsidP="0077497D" w14:paraId="34C95CCF" w14:textId="752B215F">
      <w:pPr>
        <w:ind w:left="360"/>
        <w:rPr>
          <w:rFonts w:ascii="Times New Roman" w:eastAsia="Calibri" w:hAnsi="Times New Roman" w:cs="Times New Roman"/>
          <w:sz w:val="24"/>
        </w:rPr>
      </w:pPr>
      <w:r w:rsidRPr="00DE3495">
        <w:rPr>
          <w:rFonts w:ascii="Times New Roman" w:eastAsia="Calibri" w:hAnsi="Times New Roman" w:cs="Times New Roman"/>
          <w:b/>
          <w:bCs/>
          <w:sz w:val="24"/>
        </w:rPr>
        <w:t>The Planning Module [Attachments 11-25]</w:t>
      </w:r>
      <w:r w:rsidRPr="0077497D">
        <w:rPr>
          <w:rFonts w:ascii="Times New Roman" w:eastAsia="Calibri" w:hAnsi="Times New Roman" w:cs="Times New Roman"/>
          <w:sz w:val="24"/>
        </w:rPr>
        <w:t xml:space="preserve"> is completed by all PHEP awardees.  It includes the following: The 15 Public Health Emergency Preparedness and Response Capabilities</w:t>
      </w:r>
      <w:r w:rsidRPr="0077497D">
        <w:rPr>
          <w:rFonts w:ascii="Calibri" w:eastAsia="Calibri" w:hAnsi="Calibri" w:cs="Times New Roman"/>
        </w:rPr>
        <w:t xml:space="preserve"> </w:t>
      </w:r>
      <w:r w:rsidRPr="0077497D">
        <w:rPr>
          <w:rFonts w:ascii="Times New Roman" w:eastAsia="Calibri" w:hAnsi="Times New Roman" w:cs="Times New Roman"/>
          <w:sz w:val="24"/>
        </w:rPr>
        <w:t xml:space="preserve">serve as national standards for public health preparedness planning. They are as follows: 1—Community Preparedness (Attachment 11), 2—Community Recovery (Attachment 12), 3—Emergency Operations Coordination (Attachment 13), 4—Emergency Public Information and Warning (Attachment 14), 5—Fatality Management (Attachment 15), 6— </w:t>
      </w:r>
      <w:r w:rsidRPr="0077497D">
        <w:rPr>
          <w:rFonts w:ascii="Times New Roman" w:eastAsia="Calibri" w:hAnsi="Times New Roman" w:cs="Times New Roman"/>
          <w:sz w:val="24"/>
        </w:rPr>
        <w:t>nformation</w:t>
      </w:r>
      <w:r w:rsidRPr="0077497D">
        <w:rPr>
          <w:rFonts w:ascii="Times New Roman" w:eastAsia="Calibri" w:hAnsi="Times New Roman" w:cs="Times New Roman"/>
          <w:sz w:val="24"/>
        </w:rPr>
        <w:t xml:space="preserve"> Sharing (Attachment 16), 7—Mass Care (Attachment 17), 8—Medical Countermeasure Dispensing and Administration (Attachment 18), 9—Medical Materiel Management and Distribution (Attachment 19), 10—Medical Surge (Attachment 20), 11— Nonpharmaceutical Intervention (Attachment 21), 12—Public Health Laboratory Testing (Attachment 22), 13—Public Health Surveillance and Epidemiological Investigation (Attachment 23), 14—Responder Safety and Health (Attachment 24), </w:t>
      </w:r>
      <w:r w:rsidR="00D344C6">
        <w:rPr>
          <w:rFonts w:ascii="Times New Roman" w:eastAsia="Calibri" w:hAnsi="Times New Roman" w:cs="Times New Roman"/>
          <w:sz w:val="24"/>
        </w:rPr>
        <w:t xml:space="preserve">and </w:t>
      </w:r>
      <w:r w:rsidRPr="0077497D">
        <w:rPr>
          <w:rFonts w:ascii="Times New Roman" w:eastAsia="Calibri" w:hAnsi="Times New Roman" w:cs="Times New Roman"/>
          <w:sz w:val="24"/>
        </w:rPr>
        <w:t xml:space="preserve">15—Volunteer Management (Attachment 25).  </w:t>
      </w:r>
      <w:r w:rsidRPr="00DE3495">
        <w:rPr>
          <w:rFonts w:ascii="Times New Roman" w:eastAsia="Calibri" w:hAnsi="Times New Roman" w:cs="Times New Roman"/>
          <w:sz w:val="24"/>
        </w:rPr>
        <w:t>The total estimated annualized burden is 1,70</w:t>
      </w:r>
      <w:r w:rsidR="002E3BA0">
        <w:rPr>
          <w:rFonts w:ascii="Times New Roman" w:eastAsia="Calibri" w:hAnsi="Times New Roman" w:cs="Times New Roman"/>
          <w:sz w:val="24"/>
        </w:rPr>
        <w:t>6</w:t>
      </w:r>
      <w:r w:rsidRPr="00DE3495">
        <w:rPr>
          <w:rFonts w:ascii="Times New Roman" w:eastAsia="Calibri" w:hAnsi="Times New Roman" w:cs="Times New Roman"/>
          <w:sz w:val="24"/>
        </w:rPr>
        <w:t xml:space="preserve"> hours.</w:t>
      </w:r>
    </w:p>
    <w:p w:rsidR="0077497D" w:rsidRPr="0077497D" w:rsidP="0077497D" w14:paraId="2BFA41F9" w14:textId="0C5D7D24">
      <w:pPr>
        <w:ind w:left="360"/>
        <w:rPr>
          <w:rFonts w:ascii="Times New Roman" w:eastAsia="Calibri" w:hAnsi="Times New Roman" w:cs="Times New Roman"/>
          <w:sz w:val="24"/>
        </w:rPr>
      </w:pPr>
      <w:r w:rsidRPr="00DE3495">
        <w:rPr>
          <w:rFonts w:ascii="Times New Roman" w:eastAsia="Calibri" w:hAnsi="Times New Roman" w:cs="Times New Roman"/>
          <w:b/>
          <w:bCs/>
          <w:sz w:val="24"/>
        </w:rPr>
        <w:t>The Operational Module [Attachments 26, 27, 32-40</w:t>
      </w:r>
      <w:r w:rsidRPr="0077497D">
        <w:rPr>
          <w:rFonts w:ascii="Times New Roman" w:eastAsia="Calibri" w:hAnsi="Times New Roman" w:cs="Times New Roman"/>
          <w:b/>
          <w:bCs/>
          <w:sz w:val="24"/>
        </w:rPr>
        <w:t>]</w:t>
      </w:r>
      <w:r w:rsidRPr="0077497D">
        <w:rPr>
          <w:rFonts w:ascii="Times New Roman" w:eastAsia="Calibri" w:hAnsi="Times New Roman" w:cs="Times New Roman"/>
          <w:sz w:val="24"/>
        </w:rPr>
        <w:t xml:space="preserve"> is completed by all PHEP awardees.  It includes the following: Ops 1 (Attachment 26), Ops 2 (Attachment 27). Tabletop Exercise (TTX) (Attachment 32),  Partner role (Par1) (Attachment 33), AFN exercise accommodations or actions (Par2) (Attachment 34)- Joint exercise with emergency management and HCC (Par3) (Attachment 35), Vaccination of Critical Workforce (FE, FSE, or incident) (Attachment 36), Vaccination of Critical Workforce (POD/ DVC setup) (Attachment 37), Vaccination of Critical Workforce (Immunization information system) (Attachment 38), Five-year Distribution Full-Scale Exercise (Attachment 39), </w:t>
      </w:r>
      <w:r w:rsidR="00D344C6">
        <w:rPr>
          <w:rFonts w:ascii="Times New Roman" w:eastAsia="Calibri" w:hAnsi="Times New Roman" w:cs="Times New Roman"/>
          <w:sz w:val="24"/>
        </w:rPr>
        <w:t xml:space="preserve">and </w:t>
      </w:r>
      <w:r w:rsidRPr="0077497D">
        <w:rPr>
          <w:rFonts w:ascii="Times New Roman" w:eastAsia="Calibri" w:hAnsi="Times New Roman" w:cs="Times New Roman"/>
          <w:sz w:val="24"/>
        </w:rPr>
        <w:t xml:space="preserve">Five-year Pan-flu Full-Scale Exercise or Incident (Attachment 40). </w:t>
      </w:r>
      <w:r w:rsidRPr="00DE3495">
        <w:rPr>
          <w:rFonts w:ascii="Times New Roman" w:eastAsia="Calibri" w:hAnsi="Times New Roman" w:cs="Times New Roman"/>
          <w:sz w:val="24"/>
        </w:rPr>
        <w:t>The total estimated annualized burden is 322 hours.</w:t>
      </w:r>
      <w:r w:rsidRPr="0077497D">
        <w:rPr>
          <w:rFonts w:ascii="Times New Roman" w:eastAsia="Calibri" w:hAnsi="Times New Roman" w:cs="Times New Roman"/>
          <w:sz w:val="24"/>
        </w:rPr>
        <w:t xml:space="preserve"> </w:t>
      </w:r>
    </w:p>
    <w:p w:rsidR="0077497D" w:rsidP="0077497D" w14:paraId="3AC1BFF4" w14:textId="62C852BC">
      <w:pPr>
        <w:ind w:left="360"/>
        <w:rPr>
          <w:rFonts w:ascii="Times New Roman" w:eastAsia="Calibri" w:hAnsi="Times New Roman" w:cs="Times New Roman"/>
          <w:sz w:val="24"/>
        </w:rPr>
      </w:pPr>
      <w:r w:rsidRPr="00DE3495">
        <w:rPr>
          <w:rFonts w:ascii="Times New Roman" w:eastAsia="Calibri" w:hAnsi="Times New Roman" w:cs="Times New Roman"/>
          <w:b/>
          <w:bCs/>
          <w:sz w:val="24"/>
        </w:rPr>
        <w:t xml:space="preserve">The Operational Module </w:t>
      </w:r>
      <w:r w:rsidR="004632F1">
        <w:rPr>
          <w:rFonts w:ascii="Times New Roman" w:eastAsia="Calibri" w:hAnsi="Times New Roman" w:cs="Times New Roman"/>
          <w:b/>
          <w:bCs/>
          <w:sz w:val="24"/>
        </w:rPr>
        <w:t>[</w:t>
      </w:r>
      <w:r w:rsidRPr="00DE3495">
        <w:rPr>
          <w:rFonts w:ascii="Times New Roman" w:eastAsia="Calibri" w:hAnsi="Times New Roman" w:cs="Times New Roman"/>
          <w:b/>
          <w:bCs/>
          <w:sz w:val="24"/>
        </w:rPr>
        <w:t>Attachments 28, 29, 30, 31, 41, 42</w:t>
      </w:r>
      <w:r w:rsidR="004632F1">
        <w:rPr>
          <w:rFonts w:ascii="Times New Roman" w:eastAsia="Calibri" w:hAnsi="Times New Roman" w:cs="Times New Roman"/>
          <w:b/>
          <w:bCs/>
          <w:sz w:val="24"/>
        </w:rPr>
        <w:t>]</w:t>
      </w:r>
      <w:r w:rsidRPr="0077497D">
        <w:rPr>
          <w:rFonts w:ascii="Times New Roman" w:eastAsia="Calibri" w:hAnsi="Times New Roman" w:cs="Times New Roman"/>
          <w:sz w:val="24"/>
        </w:rPr>
        <w:t xml:space="preserve"> also includes items that are only reported by the 4 major metropolitan areas.  These include the Facility Setup Drill (Attachment 28), Site Activation Drill (Attachment 29), Staff Notification and Assembly Drill (Attachment 30), Dispensing Throughput Drill (Attachment 31), Five-year Dispensing Full-Scale Exercise or Incident (Attachment 41), and Five-year Dispensing Full-Scale Exercise for each POD exercised </w:t>
      </w:r>
      <w:r w:rsidR="00D344C6">
        <w:rPr>
          <w:rFonts w:ascii="Times New Roman" w:eastAsia="Calibri" w:hAnsi="Times New Roman" w:cs="Times New Roman"/>
          <w:sz w:val="24"/>
        </w:rPr>
        <w:t>(</w:t>
      </w:r>
      <w:r w:rsidRPr="0077497D">
        <w:rPr>
          <w:rFonts w:ascii="Times New Roman" w:eastAsia="Calibri" w:hAnsi="Times New Roman" w:cs="Times New Roman"/>
          <w:sz w:val="24"/>
        </w:rPr>
        <w:t xml:space="preserve">Attachment 42). </w:t>
      </w:r>
      <w:r w:rsidRPr="00DE3495">
        <w:rPr>
          <w:rFonts w:ascii="Times New Roman" w:eastAsia="Calibri" w:hAnsi="Times New Roman" w:cs="Times New Roman"/>
          <w:sz w:val="24"/>
        </w:rPr>
        <w:t>The total estimated annualized burden is 1</w:t>
      </w:r>
      <w:r w:rsidR="002E3BA0">
        <w:rPr>
          <w:rFonts w:ascii="Times New Roman" w:eastAsia="Calibri" w:hAnsi="Times New Roman" w:cs="Times New Roman"/>
          <w:sz w:val="24"/>
        </w:rPr>
        <w:t>4</w:t>
      </w:r>
      <w:r w:rsidRPr="00DE3495">
        <w:rPr>
          <w:rFonts w:ascii="Times New Roman" w:eastAsia="Calibri" w:hAnsi="Times New Roman" w:cs="Times New Roman"/>
          <w:sz w:val="24"/>
        </w:rPr>
        <w:t xml:space="preserve"> hours.</w:t>
      </w:r>
      <w:r w:rsidR="007D7A55">
        <w:rPr>
          <w:rFonts w:ascii="Times New Roman" w:eastAsia="Calibri" w:hAnsi="Times New Roman" w:cs="Times New Roman"/>
          <w:sz w:val="24"/>
        </w:rPr>
        <w:t xml:space="preserve">  </w:t>
      </w:r>
    </w:p>
    <w:p w:rsidR="007235B8" w:rsidP="0077497D" w14:paraId="55499479" w14:textId="6C2B1998">
      <w:pPr>
        <w:ind w:left="360"/>
        <w:rPr>
          <w:rFonts w:ascii="Times New Roman" w:eastAsia="Calibri" w:hAnsi="Times New Roman" w:cs="Times New Roman"/>
          <w:sz w:val="24"/>
        </w:rPr>
      </w:pPr>
      <w:r>
        <w:rPr>
          <w:rFonts w:ascii="Times New Roman" w:eastAsia="Calibri" w:hAnsi="Times New Roman" w:cs="Times New Roman"/>
          <w:sz w:val="24"/>
        </w:rPr>
        <w:t>The overall Estimated Annualized Burden Hours – 3,271.</w:t>
      </w:r>
    </w:p>
    <w:p w:rsidR="00164FA9" w14:paraId="55AE686C" w14:textId="77777777">
      <w:pPr>
        <w:rPr>
          <w:rFonts w:ascii="Times New Roman" w:eastAsia="Calibri" w:hAnsi="Times New Roman" w:cs="Times New Roman"/>
          <w:b/>
          <w:bCs/>
          <w:sz w:val="24"/>
        </w:rPr>
      </w:pPr>
      <w:r>
        <w:rPr>
          <w:rFonts w:ascii="Times New Roman" w:eastAsia="Calibri" w:hAnsi="Times New Roman" w:cs="Times New Roman"/>
          <w:b/>
          <w:bCs/>
          <w:sz w:val="24"/>
        </w:rPr>
        <w:br w:type="page"/>
      </w:r>
    </w:p>
    <w:p w:rsidR="00605F92" w:rsidP="00164FA9" w14:paraId="7041F67C" w14:textId="1EE8EC6D">
      <w:pPr>
        <w:ind w:left="360"/>
        <w:rPr>
          <w:rFonts w:ascii="Times New Roman" w:eastAsia="Calibri" w:hAnsi="Times New Roman" w:cs="Times New Roman"/>
          <w:b/>
          <w:bCs/>
          <w:sz w:val="24"/>
        </w:rPr>
      </w:pPr>
      <w:r>
        <w:rPr>
          <w:rFonts w:ascii="Times New Roman" w:eastAsia="Calibri" w:hAnsi="Times New Roman" w:cs="Times New Roman"/>
          <w:b/>
          <w:bCs/>
          <w:sz w:val="24"/>
        </w:rPr>
        <w:t>Table A12.1 Estimated Annualized Burden Hours</w:t>
      </w:r>
    </w:p>
    <w:tbl>
      <w:tblPr>
        <w:tblStyle w:val="TableGrid"/>
        <w:tblpPr w:leftFromText="187" w:rightFromText="187" w:vertAnchor="text" w:horzAnchor="margin" w:tblpX="-273" w:tblpY="1"/>
        <w:tblOverlap w:val="never"/>
        <w:tblW w:w="10075" w:type="dxa"/>
        <w:tblLayout w:type="fixed"/>
        <w:tblLook w:val="04A0"/>
      </w:tblPr>
      <w:tblGrid>
        <w:gridCol w:w="1525"/>
        <w:gridCol w:w="3150"/>
        <w:gridCol w:w="1530"/>
        <w:gridCol w:w="1440"/>
        <w:gridCol w:w="1350"/>
        <w:gridCol w:w="1080"/>
      </w:tblGrid>
      <w:tr w14:paraId="71B97B42" w14:textId="77777777" w:rsidTr="00164FA9">
        <w:tblPrEx>
          <w:tblW w:w="10075" w:type="dxa"/>
          <w:tblLayout w:type="fixed"/>
          <w:tblLook w:val="04A0"/>
        </w:tblPrEx>
        <w:tc>
          <w:tcPr>
            <w:tcW w:w="1525" w:type="dxa"/>
            <w:shd w:val="clear" w:color="auto" w:fill="FFFFFF"/>
          </w:tcPr>
          <w:p w:rsidR="00C121BC" w:rsidRPr="0077497D" w:rsidP="00605F92" w14:paraId="568C6410" w14:textId="77777777">
            <w:pPr>
              <w:rPr>
                <w:rFonts w:ascii="Times New Roman" w:eastAsia="Calibri" w:hAnsi="Times New Roman" w:cs="Times New Roman"/>
                <w:b/>
                <w:bCs/>
                <w:sz w:val="24"/>
                <w:szCs w:val="24"/>
              </w:rPr>
            </w:pPr>
            <w:r w:rsidRPr="0077497D">
              <w:rPr>
                <w:rFonts w:ascii="Times New Roman" w:eastAsia="Calibri" w:hAnsi="Times New Roman" w:cs="Times New Roman"/>
                <w:b/>
                <w:bCs/>
                <w:sz w:val="24"/>
                <w:szCs w:val="24"/>
              </w:rPr>
              <w:t>Type of Respondent</w:t>
            </w:r>
          </w:p>
        </w:tc>
        <w:tc>
          <w:tcPr>
            <w:tcW w:w="3150" w:type="dxa"/>
            <w:shd w:val="clear" w:color="auto" w:fill="FFFFFF"/>
          </w:tcPr>
          <w:p w:rsidR="00C121BC" w:rsidRPr="0077497D" w:rsidP="00605F92" w14:paraId="62E7AA5A" w14:textId="77777777">
            <w:pPr>
              <w:rPr>
                <w:rFonts w:ascii="Times New Roman" w:eastAsia="Calibri" w:hAnsi="Times New Roman" w:cs="Times New Roman"/>
                <w:b/>
                <w:bCs/>
                <w:sz w:val="24"/>
                <w:szCs w:val="24"/>
              </w:rPr>
            </w:pPr>
            <w:r w:rsidRPr="0077497D">
              <w:rPr>
                <w:rFonts w:ascii="Times New Roman" w:eastAsia="Calibri" w:hAnsi="Times New Roman" w:cs="Times New Roman"/>
                <w:b/>
                <w:bCs/>
                <w:sz w:val="24"/>
                <w:szCs w:val="24"/>
              </w:rPr>
              <w:t>Form Name</w:t>
            </w:r>
          </w:p>
        </w:tc>
        <w:tc>
          <w:tcPr>
            <w:tcW w:w="1530" w:type="dxa"/>
            <w:shd w:val="clear" w:color="auto" w:fill="FFFFFF"/>
          </w:tcPr>
          <w:p w:rsidR="00C121BC" w:rsidRPr="0077497D" w:rsidP="00605F92" w14:paraId="6C7F3827" w14:textId="77777777">
            <w:pPr>
              <w:rPr>
                <w:rFonts w:ascii="Times New Roman" w:eastAsia="Calibri" w:hAnsi="Times New Roman" w:cs="Times New Roman"/>
                <w:b/>
                <w:bCs/>
                <w:sz w:val="24"/>
                <w:szCs w:val="24"/>
              </w:rPr>
            </w:pPr>
            <w:r w:rsidRPr="0077497D">
              <w:rPr>
                <w:rFonts w:ascii="Times New Roman" w:eastAsia="Calibri" w:hAnsi="Times New Roman" w:cs="Times New Roman"/>
                <w:b/>
                <w:bCs/>
                <w:sz w:val="24"/>
                <w:szCs w:val="24"/>
              </w:rPr>
              <w:t>No. of Respondents</w:t>
            </w:r>
          </w:p>
        </w:tc>
        <w:tc>
          <w:tcPr>
            <w:tcW w:w="1440" w:type="dxa"/>
            <w:shd w:val="clear" w:color="auto" w:fill="FFFFFF"/>
          </w:tcPr>
          <w:p w:rsidR="00C121BC" w:rsidRPr="0077497D" w:rsidP="00605F92" w14:paraId="679A1ADD" w14:textId="77777777">
            <w:pPr>
              <w:rPr>
                <w:rFonts w:ascii="Times New Roman" w:eastAsia="Calibri" w:hAnsi="Times New Roman" w:cs="Times New Roman"/>
                <w:b/>
                <w:bCs/>
                <w:sz w:val="24"/>
                <w:szCs w:val="24"/>
              </w:rPr>
            </w:pPr>
            <w:r w:rsidRPr="0077497D">
              <w:rPr>
                <w:rFonts w:ascii="Times New Roman" w:eastAsia="Calibri" w:hAnsi="Times New Roman" w:cs="Times New Roman"/>
                <w:b/>
                <w:bCs/>
                <w:sz w:val="24"/>
                <w:szCs w:val="24"/>
              </w:rPr>
              <w:t>No. of Responses per Respondent</w:t>
            </w:r>
          </w:p>
        </w:tc>
        <w:tc>
          <w:tcPr>
            <w:tcW w:w="1350" w:type="dxa"/>
            <w:shd w:val="clear" w:color="auto" w:fill="FFFFFF"/>
          </w:tcPr>
          <w:p w:rsidR="00C121BC" w:rsidRPr="0077497D" w:rsidP="00605F92" w14:paraId="1E05834D" w14:textId="77777777">
            <w:pPr>
              <w:rPr>
                <w:rFonts w:ascii="Times New Roman" w:eastAsia="Calibri" w:hAnsi="Times New Roman" w:cs="Times New Roman"/>
                <w:b/>
                <w:bCs/>
                <w:sz w:val="24"/>
                <w:szCs w:val="24"/>
              </w:rPr>
            </w:pPr>
            <w:r w:rsidRPr="0077497D">
              <w:rPr>
                <w:rFonts w:ascii="Times New Roman" w:eastAsia="Calibri" w:hAnsi="Times New Roman" w:cs="Times New Roman"/>
                <w:b/>
                <w:bCs/>
                <w:sz w:val="24"/>
                <w:szCs w:val="24"/>
              </w:rPr>
              <w:t>Avg. Burden per Response (in hrs.)</w:t>
            </w:r>
          </w:p>
        </w:tc>
        <w:tc>
          <w:tcPr>
            <w:tcW w:w="1080" w:type="dxa"/>
            <w:shd w:val="clear" w:color="auto" w:fill="FFFFFF"/>
          </w:tcPr>
          <w:p w:rsidR="00C121BC" w:rsidRPr="0077497D" w:rsidP="00605F92" w14:paraId="548AF3D8" w14:textId="77777777">
            <w:pPr>
              <w:rPr>
                <w:rFonts w:ascii="Times New Roman" w:eastAsia="Calibri" w:hAnsi="Times New Roman" w:cs="Times New Roman"/>
                <w:b/>
                <w:bCs/>
                <w:sz w:val="24"/>
                <w:szCs w:val="24"/>
              </w:rPr>
            </w:pPr>
            <w:r w:rsidRPr="0077497D">
              <w:rPr>
                <w:rFonts w:ascii="Times New Roman" w:eastAsia="Calibri" w:hAnsi="Times New Roman" w:cs="Times New Roman"/>
                <w:b/>
                <w:bCs/>
                <w:sz w:val="24"/>
                <w:szCs w:val="24"/>
              </w:rPr>
              <w:t>Total Burden (in hrs.)</w:t>
            </w:r>
          </w:p>
        </w:tc>
      </w:tr>
      <w:tr w14:paraId="6C435D68" w14:textId="77777777" w:rsidTr="00164FA9">
        <w:tblPrEx>
          <w:tblW w:w="10075" w:type="dxa"/>
          <w:tblLayout w:type="fixed"/>
          <w:tblLook w:val="04A0"/>
        </w:tblPrEx>
        <w:tc>
          <w:tcPr>
            <w:tcW w:w="1525" w:type="dxa"/>
            <w:vMerge w:val="restart"/>
            <w:shd w:val="clear" w:color="auto" w:fill="FFFFFF"/>
          </w:tcPr>
          <w:p w:rsidR="00C121BC" w:rsidRPr="0077497D" w:rsidP="00605F92" w14:paraId="73BA925A" w14:textId="77777777">
            <w:pPr>
              <w:rPr>
                <w:rFonts w:ascii="Times New Roman" w:eastAsia="Calibri" w:hAnsi="Times New Roman" w:cs="Times New Roman"/>
                <w:sz w:val="24"/>
                <w:szCs w:val="24"/>
              </w:rPr>
            </w:pPr>
            <w:r w:rsidRPr="0077497D">
              <w:rPr>
                <w:rFonts w:ascii="Times New Roman" w:eastAsia="Calibri" w:hAnsi="Times New Roman" w:cs="Times New Roman"/>
                <w:sz w:val="24"/>
                <w:szCs w:val="24"/>
              </w:rPr>
              <w:t>All PHEP Awardees: State, local, territorial, and metropolitan area jurisdictions</w:t>
            </w:r>
          </w:p>
        </w:tc>
        <w:tc>
          <w:tcPr>
            <w:tcW w:w="3150" w:type="dxa"/>
            <w:shd w:val="clear" w:color="auto" w:fill="FFFFFF"/>
          </w:tcPr>
          <w:p w:rsidR="00C121BC" w:rsidRPr="0077497D" w:rsidP="00605F92" w14:paraId="578D7ECE"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Jurisdictional structure sheet</w:t>
            </w:r>
          </w:p>
        </w:tc>
        <w:tc>
          <w:tcPr>
            <w:tcW w:w="1530" w:type="dxa"/>
            <w:shd w:val="clear" w:color="auto" w:fill="FFFFFF"/>
          </w:tcPr>
          <w:p w:rsidR="00C121BC" w:rsidRPr="0077497D" w:rsidP="00605F92" w14:paraId="6A468544"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2E737924"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1EFB2216"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3</w:t>
            </w:r>
          </w:p>
        </w:tc>
        <w:tc>
          <w:tcPr>
            <w:tcW w:w="1080" w:type="dxa"/>
            <w:shd w:val="clear" w:color="auto" w:fill="FFFFFF"/>
          </w:tcPr>
          <w:p w:rsidR="00C121BC" w:rsidRPr="0077497D" w:rsidP="00605F92" w14:paraId="23576ED3"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186</w:t>
            </w:r>
          </w:p>
        </w:tc>
      </w:tr>
      <w:tr w14:paraId="350B5A54" w14:textId="77777777" w:rsidTr="00164FA9">
        <w:tblPrEx>
          <w:tblW w:w="10075" w:type="dxa"/>
          <w:tblLayout w:type="fixed"/>
          <w:tblLook w:val="04A0"/>
        </w:tblPrEx>
        <w:tc>
          <w:tcPr>
            <w:tcW w:w="1525" w:type="dxa"/>
            <w:vMerge/>
            <w:shd w:val="clear" w:color="auto" w:fill="FFFFFF"/>
          </w:tcPr>
          <w:p w:rsidR="00C121BC" w:rsidRPr="0077497D" w:rsidP="00605F92" w14:paraId="6F6346EE" w14:textId="77777777">
            <w:pPr>
              <w:rPr>
                <w:rFonts w:ascii="Times New Roman" w:eastAsia="Calibri" w:hAnsi="Times New Roman" w:cs="Times New Roman"/>
                <w:sz w:val="24"/>
                <w:szCs w:val="24"/>
              </w:rPr>
            </w:pPr>
          </w:p>
        </w:tc>
        <w:tc>
          <w:tcPr>
            <w:tcW w:w="3150" w:type="dxa"/>
            <w:shd w:val="clear" w:color="auto" w:fill="FFFFFF"/>
          </w:tcPr>
          <w:p w:rsidR="00C121BC" w:rsidRPr="0077497D" w:rsidP="00605F92" w14:paraId="4EA504E2"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Critical contact sheet (CCS)</w:t>
            </w:r>
          </w:p>
        </w:tc>
        <w:tc>
          <w:tcPr>
            <w:tcW w:w="1530" w:type="dxa"/>
            <w:shd w:val="clear" w:color="auto" w:fill="FFFFFF"/>
          </w:tcPr>
          <w:p w:rsidR="00C121BC" w:rsidRPr="0077497D" w:rsidP="00605F92" w14:paraId="2BB925A6"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78E61915"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2E5D3B48"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80/60</w:t>
            </w:r>
          </w:p>
        </w:tc>
        <w:tc>
          <w:tcPr>
            <w:tcW w:w="1080" w:type="dxa"/>
            <w:shd w:val="clear" w:color="auto" w:fill="FFFFFF"/>
          </w:tcPr>
          <w:p w:rsidR="00C121BC" w:rsidRPr="0077497D" w:rsidP="00605F92" w14:paraId="49B80E59"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83</w:t>
            </w:r>
          </w:p>
        </w:tc>
      </w:tr>
      <w:tr w14:paraId="2FFD3755" w14:textId="77777777" w:rsidTr="00164FA9">
        <w:tblPrEx>
          <w:tblW w:w="10075" w:type="dxa"/>
          <w:tblLayout w:type="fixed"/>
          <w:tblLook w:val="04A0"/>
        </w:tblPrEx>
        <w:tc>
          <w:tcPr>
            <w:tcW w:w="1525" w:type="dxa"/>
            <w:vMerge/>
            <w:shd w:val="clear" w:color="auto" w:fill="FFFFFF"/>
          </w:tcPr>
          <w:p w:rsidR="00C121BC" w:rsidRPr="0077497D" w:rsidP="00605F92" w14:paraId="0F9514DF" w14:textId="77777777">
            <w:pPr>
              <w:rPr>
                <w:rFonts w:ascii="Times New Roman" w:eastAsia="Calibri" w:hAnsi="Times New Roman" w:cs="Times New Roman"/>
                <w:sz w:val="24"/>
                <w:szCs w:val="24"/>
              </w:rPr>
            </w:pPr>
          </w:p>
        </w:tc>
        <w:tc>
          <w:tcPr>
            <w:tcW w:w="3150" w:type="dxa"/>
            <w:shd w:val="clear" w:color="auto" w:fill="FFFFFF"/>
          </w:tcPr>
          <w:p w:rsidR="00C121BC" w:rsidRPr="0077497D" w:rsidP="00605F92" w14:paraId="654E6602"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 xml:space="preserve">Jurisdictional data sheet (JDS) </w:t>
            </w:r>
          </w:p>
        </w:tc>
        <w:tc>
          <w:tcPr>
            <w:tcW w:w="1530" w:type="dxa"/>
            <w:shd w:val="clear" w:color="auto" w:fill="FFFFFF"/>
          </w:tcPr>
          <w:p w:rsidR="00C121BC" w:rsidRPr="0077497D" w:rsidP="00605F92" w14:paraId="0BAC4102"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6A469AE1"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31B08993"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2.5</w:t>
            </w:r>
          </w:p>
        </w:tc>
        <w:tc>
          <w:tcPr>
            <w:tcW w:w="1080" w:type="dxa"/>
            <w:shd w:val="clear" w:color="auto" w:fill="FFFFFF"/>
          </w:tcPr>
          <w:p w:rsidR="00C121BC" w:rsidRPr="0077497D" w:rsidP="00605F92" w14:paraId="5C9A8C17"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155</w:t>
            </w:r>
          </w:p>
        </w:tc>
      </w:tr>
      <w:tr w14:paraId="3E7A59FA" w14:textId="77777777" w:rsidTr="00164FA9">
        <w:tblPrEx>
          <w:tblW w:w="10075" w:type="dxa"/>
          <w:tblLayout w:type="fixed"/>
          <w:tblLook w:val="04A0"/>
        </w:tblPrEx>
        <w:tc>
          <w:tcPr>
            <w:tcW w:w="1525" w:type="dxa"/>
            <w:vMerge/>
            <w:shd w:val="clear" w:color="auto" w:fill="FFFFFF"/>
          </w:tcPr>
          <w:p w:rsidR="00C121BC" w:rsidRPr="0077497D" w:rsidP="00605F92" w14:paraId="20407DB7" w14:textId="77777777">
            <w:pPr>
              <w:rPr>
                <w:rFonts w:ascii="Times New Roman" w:eastAsia="Calibri" w:hAnsi="Times New Roman" w:cs="Times New Roman"/>
                <w:sz w:val="24"/>
                <w:szCs w:val="24"/>
              </w:rPr>
            </w:pPr>
          </w:p>
        </w:tc>
        <w:tc>
          <w:tcPr>
            <w:tcW w:w="3150" w:type="dxa"/>
            <w:shd w:val="clear" w:color="auto" w:fill="FFFFFF"/>
          </w:tcPr>
          <w:p w:rsidR="00C121BC" w:rsidRPr="0077497D" w:rsidP="00605F92" w14:paraId="6523940B"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Partner planning sheet</w:t>
            </w:r>
          </w:p>
        </w:tc>
        <w:tc>
          <w:tcPr>
            <w:tcW w:w="1530" w:type="dxa"/>
            <w:shd w:val="clear" w:color="auto" w:fill="FFFFFF"/>
          </w:tcPr>
          <w:p w:rsidR="00C121BC" w:rsidRPr="0077497D" w:rsidP="00605F92" w14:paraId="20F35D8A"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33582E0E"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58EBAE65"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8</w:t>
            </w:r>
          </w:p>
        </w:tc>
        <w:tc>
          <w:tcPr>
            <w:tcW w:w="1080" w:type="dxa"/>
            <w:shd w:val="clear" w:color="auto" w:fill="FFFFFF"/>
          </w:tcPr>
          <w:p w:rsidR="00C121BC" w:rsidRPr="0077497D" w:rsidP="00605F92" w14:paraId="648E3454"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496</w:t>
            </w:r>
          </w:p>
        </w:tc>
      </w:tr>
      <w:tr w14:paraId="7818D71A" w14:textId="77777777" w:rsidTr="00164FA9">
        <w:tblPrEx>
          <w:tblW w:w="10075" w:type="dxa"/>
          <w:tblLayout w:type="fixed"/>
          <w:tblLook w:val="04A0"/>
        </w:tblPrEx>
        <w:tc>
          <w:tcPr>
            <w:tcW w:w="1525" w:type="dxa"/>
            <w:vMerge/>
            <w:shd w:val="clear" w:color="auto" w:fill="FFFFFF"/>
          </w:tcPr>
          <w:p w:rsidR="00C121BC" w:rsidRPr="0077497D" w:rsidP="00605F92" w14:paraId="76DA8F07" w14:textId="77777777">
            <w:pPr>
              <w:rPr>
                <w:rFonts w:ascii="Times New Roman" w:eastAsia="Calibri" w:hAnsi="Times New Roman" w:cs="Times New Roman"/>
                <w:sz w:val="24"/>
                <w:szCs w:val="24"/>
              </w:rPr>
            </w:pPr>
          </w:p>
        </w:tc>
        <w:tc>
          <w:tcPr>
            <w:tcW w:w="3150" w:type="dxa"/>
            <w:shd w:val="clear" w:color="auto" w:fill="FFFFFF"/>
          </w:tcPr>
          <w:p w:rsidR="00C121BC" w:rsidRPr="0077497D" w:rsidP="00605F92" w14:paraId="39ADFD20"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Workforce development and training</w:t>
            </w:r>
          </w:p>
        </w:tc>
        <w:tc>
          <w:tcPr>
            <w:tcW w:w="1530" w:type="dxa"/>
            <w:shd w:val="clear" w:color="auto" w:fill="FFFFFF"/>
          </w:tcPr>
          <w:p w:rsidR="00C121BC" w:rsidRPr="0077497D" w:rsidP="00605F92" w14:paraId="62D47895"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0C22E2AB"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315E7B3C"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1.5</w:t>
            </w:r>
          </w:p>
        </w:tc>
        <w:tc>
          <w:tcPr>
            <w:tcW w:w="1080" w:type="dxa"/>
            <w:shd w:val="clear" w:color="auto" w:fill="FFFFFF"/>
          </w:tcPr>
          <w:p w:rsidR="00C121BC" w:rsidRPr="0077497D" w:rsidP="00605F92" w14:paraId="10AA80B8"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93</w:t>
            </w:r>
          </w:p>
        </w:tc>
      </w:tr>
      <w:tr w14:paraId="6CA27C08" w14:textId="77777777" w:rsidTr="00164FA9">
        <w:tblPrEx>
          <w:tblW w:w="10075" w:type="dxa"/>
          <w:tblLayout w:type="fixed"/>
          <w:tblLook w:val="04A0"/>
        </w:tblPrEx>
        <w:tc>
          <w:tcPr>
            <w:tcW w:w="1525" w:type="dxa"/>
            <w:vMerge/>
            <w:shd w:val="clear" w:color="auto" w:fill="FFFFFF"/>
          </w:tcPr>
          <w:p w:rsidR="00C121BC" w:rsidRPr="0077497D" w:rsidP="00605F92" w14:paraId="6C00EC7D" w14:textId="77777777">
            <w:pPr>
              <w:rPr>
                <w:rFonts w:ascii="Times New Roman" w:eastAsia="Calibri" w:hAnsi="Times New Roman" w:cs="Times New Roman"/>
                <w:sz w:val="24"/>
                <w:szCs w:val="24"/>
              </w:rPr>
            </w:pPr>
          </w:p>
        </w:tc>
        <w:tc>
          <w:tcPr>
            <w:tcW w:w="3150" w:type="dxa"/>
            <w:shd w:val="clear" w:color="auto" w:fill="FFFFFF"/>
          </w:tcPr>
          <w:p w:rsidR="00C121BC" w:rsidRPr="0077497D" w:rsidP="00605F92" w14:paraId="7A7D74E9" w14:textId="77777777">
            <w:pPr>
              <w:jc w:val="right"/>
              <w:rPr>
                <w:rFonts w:ascii="Times New Roman" w:eastAsia="Calibri" w:hAnsi="Times New Roman" w:cs="Times New Roman"/>
                <w:b/>
                <w:bCs/>
                <w:sz w:val="24"/>
                <w:szCs w:val="24"/>
              </w:rPr>
            </w:pPr>
            <w:r w:rsidRPr="0077497D">
              <w:rPr>
                <w:rFonts w:ascii="Times New Roman" w:eastAsia="Calibri" w:hAnsi="Times New Roman" w:cs="Times New Roman"/>
                <w:b/>
                <w:bCs/>
                <w:sz w:val="24"/>
                <w:szCs w:val="24"/>
              </w:rPr>
              <w:t>Subtotal, Module 1</w:t>
            </w:r>
          </w:p>
        </w:tc>
        <w:tc>
          <w:tcPr>
            <w:tcW w:w="1530" w:type="dxa"/>
            <w:shd w:val="clear" w:color="auto" w:fill="FFFFFF"/>
          </w:tcPr>
          <w:p w:rsidR="00C121BC" w:rsidRPr="0077497D" w:rsidP="00605F92" w14:paraId="39FB1870" w14:textId="77777777">
            <w:pPr>
              <w:jc w:val="right"/>
              <w:rPr>
                <w:rFonts w:ascii="Times New Roman" w:eastAsia="Calibri" w:hAnsi="Times New Roman" w:cs="Times New Roman"/>
                <w:b/>
                <w:bCs/>
                <w:sz w:val="24"/>
                <w:szCs w:val="24"/>
              </w:rPr>
            </w:pPr>
            <w:r w:rsidRPr="0077497D">
              <w:rPr>
                <w:rFonts w:ascii="Times New Roman" w:eastAsia="Calibri" w:hAnsi="Times New Roman" w:cs="Times New Roman"/>
                <w:b/>
                <w:bCs/>
                <w:sz w:val="24"/>
                <w:szCs w:val="24"/>
              </w:rPr>
              <w:t>62</w:t>
            </w:r>
          </w:p>
        </w:tc>
        <w:tc>
          <w:tcPr>
            <w:tcW w:w="1440" w:type="dxa"/>
            <w:shd w:val="clear" w:color="auto" w:fill="FFFFFF"/>
          </w:tcPr>
          <w:p w:rsidR="00C121BC" w:rsidRPr="0077497D" w:rsidP="00605F92" w14:paraId="70E55C06" w14:textId="77777777">
            <w:pPr>
              <w:jc w:val="right"/>
              <w:rPr>
                <w:rFonts w:ascii="Times New Roman" w:eastAsia="Calibri" w:hAnsi="Times New Roman" w:cs="Times New Roman"/>
                <w:b/>
                <w:bCs/>
                <w:sz w:val="24"/>
                <w:szCs w:val="24"/>
              </w:rPr>
            </w:pPr>
          </w:p>
        </w:tc>
        <w:tc>
          <w:tcPr>
            <w:tcW w:w="1350" w:type="dxa"/>
            <w:shd w:val="clear" w:color="auto" w:fill="FFFFFF"/>
          </w:tcPr>
          <w:p w:rsidR="00C121BC" w:rsidRPr="0077497D" w:rsidP="00605F92" w14:paraId="2A083C21" w14:textId="77777777">
            <w:pPr>
              <w:jc w:val="right"/>
              <w:rPr>
                <w:rFonts w:ascii="Times New Roman" w:eastAsia="Calibri" w:hAnsi="Times New Roman" w:cs="Times New Roman"/>
                <w:b/>
                <w:bCs/>
                <w:sz w:val="24"/>
                <w:szCs w:val="24"/>
              </w:rPr>
            </w:pPr>
          </w:p>
        </w:tc>
        <w:tc>
          <w:tcPr>
            <w:tcW w:w="1080" w:type="dxa"/>
            <w:shd w:val="clear" w:color="auto" w:fill="FFFFFF"/>
          </w:tcPr>
          <w:p w:rsidR="00C121BC" w:rsidRPr="0077497D" w:rsidP="00605F92" w14:paraId="18F791D6" w14:textId="77777777">
            <w:pPr>
              <w:jc w:val="right"/>
              <w:rPr>
                <w:rFonts w:ascii="Times New Roman" w:eastAsia="Calibri" w:hAnsi="Times New Roman" w:cs="Times New Roman"/>
                <w:b/>
                <w:bCs/>
                <w:sz w:val="24"/>
                <w:szCs w:val="24"/>
              </w:rPr>
            </w:pPr>
            <w:r w:rsidRPr="0077497D">
              <w:rPr>
                <w:rFonts w:ascii="Times New Roman" w:eastAsia="Calibri" w:hAnsi="Times New Roman" w:cs="Times New Roman"/>
                <w:b/>
                <w:bCs/>
                <w:sz w:val="24"/>
                <w:szCs w:val="24"/>
              </w:rPr>
              <w:t>1,013</w:t>
            </w:r>
          </w:p>
        </w:tc>
      </w:tr>
      <w:tr w14:paraId="29EE93D6" w14:textId="77777777" w:rsidTr="00164FA9">
        <w:tblPrEx>
          <w:tblW w:w="10075" w:type="dxa"/>
          <w:tblLayout w:type="fixed"/>
          <w:tblLook w:val="04A0"/>
        </w:tblPrEx>
        <w:tc>
          <w:tcPr>
            <w:tcW w:w="1525" w:type="dxa"/>
            <w:vMerge w:val="restart"/>
            <w:shd w:val="clear" w:color="auto" w:fill="FFFFFF"/>
          </w:tcPr>
          <w:p w:rsidR="00C121BC" w:rsidRPr="0077497D" w:rsidP="00605F92" w14:paraId="307D2F13" w14:textId="77777777">
            <w:pPr>
              <w:rPr>
                <w:rFonts w:ascii="Times New Roman" w:eastAsia="Calibri" w:hAnsi="Times New Roman" w:cs="Times New Roman"/>
                <w:sz w:val="24"/>
                <w:szCs w:val="24"/>
              </w:rPr>
            </w:pPr>
            <w:r w:rsidRPr="0077497D">
              <w:rPr>
                <w:rFonts w:ascii="Times New Roman" w:eastAsia="Calibri" w:hAnsi="Times New Roman" w:cs="Times New Roman"/>
                <w:sz w:val="24"/>
                <w:szCs w:val="24"/>
              </w:rPr>
              <w:t>All PHEP Awardees: State, local, territorial, and metropolitan area jurisdictions</w:t>
            </w:r>
          </w:p>
        </w:tc>
        <w:tc>
          <w:tcPr>
            <w:tcW w:w="3150" w:type="dxa"/>
            <w:shd w:val="clear" w:color="auto" w:fill="FFFFFF"/>
          </w:tcPr>
          <w:p w:rsidR="00C121BC" w:rsidRPr="0077497D" w:rsidP="00605F92" w14:paraId="4D83C298"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Capability 1</w:t>
            </w:r>
          </w:p>
        </w:tc>
        <w:tc>
          <w:tcPr>
            <w:tcW w:w="1530" w:type="dxa"/>
            <w:shd w:val="clear" w:color="auto" w:fill="FFFFFF"/>
          </w:tcPr>
          <w:p w:rsidR="00C121BC" w:rsidRPr="0077497D" w:rsidP="00605F92" w14:paraId="52CD2120"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227CB5A6"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25515FCC"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080" w:type="dxa"/>
            <w:shd w:val="clear" w:color="auto" w:fill="FFFFFF"/>
          </w:tcPr>
          <w:p w:rsidR="00C121BC" w:rsidRPr="0077497D" w:rsidP="00605F92" w14:paraId="3DD4DB51"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r>
      <w:tr w14:paraId="0AFCC417" w14:textId="77777777" w:rsidTr="00164FA9">
        <w:tblPrEx>
          <w:tblW w:w="10075" w:type="dxa"/>
          <w:tblLayout w:type="fixed"/>
          <w:tblLook w:val="04A0"/>
        </w:tblPrEx>
        <w:tc>
          <w:tcPr>
            <w:tcW w:w="1525" w:type="dxa"/>
            <w:vMerge/>
            <w:shd w:val="clear" w:color="auto" w:fill="FFFFFF"/>
          </w:tcPr>
          <w:p w:rsidR="00C121BC" w:rsidRPr="0077497D" w:rsidP="00605F92" w14:paraId="40AA3150"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5C32A938"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Capability 2</w:t>
            </w:r>
          </w:p>
        </w:tc>
        <w:tc>
          <w:tcPr>
            <w:tcW w:w="1530" w:type="dxa"/>
            <w:shd w:val="clear" w:color="auto" w:fill="FFFFFF"/>
          </w:tcPr>
          <w:p w:rsidR="00C121BC" w:rsidRPr="0077497D" w:rsidP="00605F92" w14:paraId="1E92BD69"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7E79267B"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08C62583"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080" w:type="dxa"/>
            <w:shd w:val="clear" w:color="auto" w:fill="FFFFFF"/>
          </w:tcPr>
          <w:p w:rsidR="00C121BC" w:rsidRPr="0077497D" w:rsidP="00605F92" w14:paraId="3499CA90"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r>
      <w:tr w14:paraId="628D88FC" w14:textId="77777777" w:rsidTr="00164FA9">
        <w:tblPrEx>
          <w:tblW w:w="10075" w:type="dxa"/>
          <w:tblLayout w:type="fixed"/>
          <w:tblLook w:val="04A0"/>
        </w:tblPrEx>
        <w:tc>
          <w:tcPr>
            <w:tcW w:w="1525" w:type="dxa"/>
            <w:vMerge/>
            <w:shd w:val="clear" w:color="auto" w:fill="FFFFFF"/>
          </w:tcPr>
          <w:p w:rsidR="00C121BC" w:rsidRPr="0077497D" w:rsidP="00605F92" w14:paraId="1DFB6EAA"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51D12E19"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Capability 3</w:t>
            </w:r>
          </w:p>
        </w:tc>
        <w:tc>
          <w:tcPr>
            <w:tcW w:w="1530" w:type="dxa"/>
            <w:shd w:val="clear" w:color="auto" w:fill="FFFFFF"/>
          </w:tcPr>
          <w:p w:rsidR="00C121BC" w:rsidRPr="0077497D" w:rsidP="00605F92" w14:paraId="60E253B7"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65B27D21"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0B77392D"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2</w:t>
            </w:r>
          </w:p>
        </w:tc>
        <w:tc>
          <w:tcPr>
            <w:tcW w:w="1080" w:type="dxa"/>
            <w:shd w:val="clear" w:color="auto" w:fill="FFFFFF"/>
          </w:tcPr>
          <w:p w:rsidR="00C121BC" w:rsidRPr="0077497D" w:rsidP="00605F92" w14:paraId="77D9332F"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124</w:t>
            </w:r>
          </w:p>
        </w:tc>
      </w:tr>
      <w:tr w14:paraId="4EF2A287" w14:textId="77777777" w:rsidTr="00164FA9">
        <w:tblPrEx>
          <w:tblW w:w="10075" w:type="dxa"/>
          <w:tblLayout w:type="fixed"/>
          <w:tblLook w:val="04A0"/>
        </w:tblPrEx>
        <w:tc>
          <w:tcPr>
            <w:tcW w:w="1525" w:type="dxa"/>
            <w:vMerge/>
            <w:shd w:val="clear" w:color="auto" w:fill="FFFFFF"/>
          </w:tcPr>
          <w:p w:rsidR="00C121BC" w:rsidRPr="0077497D" w:rsidP="00605F92" w14:paraId="6ACD0F93"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57DB670C"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Capability 4</w:t>
            </w:r>
          </w:p>
        </w:tc>
        <w:tc>
          <w:tcPr>
            <w:tcW w:w="1530" w:type="dxa"/>
            <w:shd w:val="clear" w:color="auto" w:fill="FFFFFF"/>
          </w:tcPr>
          <w:p w:rsidR="00C121BC" w:rsidRPr="0077497D" w:rsidP="00605F92" w14:paraId="170D1FE3"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6D8D09D9"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56BFC77C"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1.5</w:t>
            </w:r>
          </w:p>
        </w:tc>
        <w:tc>
          <w:tcPr>
            <w:tcW w:w="1080" w:type="dxa"/>
            <w:shd w:val="clear" w:color="auto" w:fill="FFFFFF"/>
          </w:tcPr>
          <w:p w:rsidR="00C121BC" w:rsidRPr="0077497D" w:rsidP="00605F92" w14:paraId="1654D16B"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93</w:t>
            </w:r>
          </w:p>
        </w:tc>
      </w:tr>
      <w:tr w14:paraId="750810B4" w14:textId="77777777" w:rsidTr="00164FA9">
        <w:tblPrEx>
          <w:tblW w:w="10075" w:type="dxa"/>
          <w:tblLayout w:type="fixed"/>
          <w:tblLook w:val="04A0"/>
        </w:tblPrEx>
        <w:tc>
          <w:tcPr>
            <w:tcW w:w="1525" w:type="dxa"/>
            <w:vMerge/>
            <w:shd w:val="clear" w:color="auto" w:fill="FFFFFF"/>
          </w:tcPr>
          <w:p w:rsidR="00C121BC" w:rsidRPr="0077497D" w:rsidP="00605F92" w14:paraId="4D51F8C6"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5CC194B3"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Capability 5</w:t>
            </w:r>
          </w:p>
        </w:tc>
        <w:tc>
          <w:tcPr>
            <w:tcW w:w="1530" w:type="dxa"/>
            <w:shd w:val="clear" w:color="auto" w:fill="FFFFFF"/>
          </w:tcPr>
          <w:p w:rsidR="00C121BC" w:rsidRPr="0077497D" w:rsidP="00605F92" w14:paraId="09728FE4"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0B06D0C8"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1F844FEA"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2.5</w:t>
            </w:r>
          </w:p>
        </w:tc>
        <w:tc>
          <w:tcPr>
            <w:tcW w:w="1080" w:type="dxa"/>
            <w:shd w:val="clear" w:color="auto" w:fill="FFFFFF"/>
          </w:tcPr>
          <w:p w:rsidR="00C121BC" w:rsidRPr="0077497D" w:rsidP="00605F92" w14:paraId="31FA93E2"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155</w:t>
            </w:r>
          </w:p>
        </w:tc>
      </w:tr>
      <w:tr w14:paraId="5104BEC9" w14:textId="77777777" w:rsidTr="00164FA9">
        <w:tblPrEx>
          <w:tblW w:w="10075" w:type="dxa"/>
          <w:tblLayout w:type="fixed"/>
          <w:tblLook w:val="04A0"/>
        </w:tblPrEx>
        <w:tc>
          <w:tcPr>
            <w:tcW w:w="1525" w:type="dxa"/>
            <w:vMerge/>
            <w:shd w:val="clear" w:color="auto" w:fill="FFFFFF"/>
          </w:tcPr>
          <w:p w:rsidR="00C121BC" w:rsidRPr="0077497D" w:rsidP="00605F92" w14:paraId="5175ADCB"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2A992DDF"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Capability 6</w:t>
            </w:r>
          </w:p>
        </w:tc>
        <w:tc>
          <w:tcPr>
            <w:tcW w:w="1530" w:type="dxa"/>
            <w:shd w:val="clear" w:color="auto" w:fill="FFFFFF"/>
          </w:tcPr>
          <w:p w:rsidR="00C121BC" w:rsidRPr="0077497D" w:rsidP="00605F92" w14:paraId="518197C8"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73A8B057"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2981EDE5"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080" w:type="dxa"/>
            <w:shd w:val="clear" w:color="auto" w:fill="FFFFFF"/>
          </w:tcPr>
          <w:p w:rsidR="00C121BC" w:rsidRPr="0077497D" w:rsidP="00605F92" w14:paraId="7890406E"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r>
      <w:tr w14:paraId="7DB2B777" w14:textId="77777777" w:rsidTr="00164FA9">
        <w:tblPrEx>
          <w:tblW w:w="10075" w:type="dxa"/>
          <w:tblLayout w:type="fixed"/>
          <w:tblLook w:val="04A0"/>
        </w:tblPrEx>
        <w:tc>
          <w:tcPr>
            <w:tcW w:w="1525" w:type="dxa"/>
            <w:vMerge/>
            <w:shd w:val="clear" w:color="auto" w:fill="FFFFFF"/>
          </w:tcPr>
          <w:p w:rsidR="00C121BC" w:rsidRPr="0077497D" w:rsidP="00605F92" w14:paraId="3E18048E"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3A7385C4"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Capability 7</w:t>
            </w:r>
          </w:p>
        </w:tc>
        <w:tc>
          <w:tcPr>
            <w:tcW w:w="1530" w:type="dxa"/>
            <w:shd w:val="clear" w:color="auto" w:fill="FFFFFF"/>
          </w:tcPr>
          <w:p w:rsidR="00C121BC" w:rsidRPr="0077497D" w:rsidP="00605F92" w14:paraId="7CDF834C"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25BCE54F"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5AB5D459"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2</w:t>
            </w:r>
          </w:p>
        </w:tc>
        <w:tc>
          <w:tcPr>
            <w:tcW w:w="1080" w:type="dxa"/>
            <w:shd w:val="clear" w:color="auto" w:fill="FFFFFF"/>
          </w:tcPr>
          <w:p w:rsidR="00C121BC" w:rsidRPr="0077497D" w:rsidP="00605F92" w14:paraId="0CA05392"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124</w:t>
            </w:r>
          </w:p>
        </w:tc>
      </w:tr>
      <w:tr w14:paraId="506F3B47" w14:textId="77777777" w:rsidTr="00164FA9">
        <w:tblPrEx>
          <w:tblW w:w="10075" w:type="dxa"/>
          <w:tblLayout w:type="fixed"/>
          <w:tblLook w:val="04A0"/>
        </w:tblPrEx>
        <w:tc>
          <w:tcPr>
            <w:tcW w:w="1525" w:type="dxa"/>
            <w:vMerge/>
            <w:shd w:val="clear" w:color="auto" w:fill="FFFFFF"/>
          </w:tcPr>
          <w:p w:rsidR="00C121BC" w:rsidRPr="0077497D" w:rsidP="00605F92" w14:paraId="4C354F9C"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343BE56B"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Capability 8</w:t>
            </w:r>
          </w:p>
        </w:tc>
        <w:tc>
          <w:tcPr>
            <w:tcW w:w="1530" w:type="dxa"/>
            <w:shd w:val="clear" w:color="auto" w:fill="FFFFFF"/>
          </w:tcPr>
          <w:p w:rsidR="00C121BC" w:rsidRPr="0077497D" w:rsidP="00605F92" w14:paraId="78DD1A3A"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55441389"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2FAE6156"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3</w:t>
            </w:r>
          </w:p>
        </w:tc>
        <w:tc>
          <w:tcPr>
            <w:tcW w:w="1080" w:type="dxa"/>
            <w:shd w:val="clear" w:color="auto" w:fill="FFFFFF"/>
          </w:tcPr>
          <w:p w:rsidR="00C121BC" w:rsidRPr="0077497D" w:rsidP="00605F92" w14:paraId="4FD8EFAA"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186</w:t>
            </w:r>
          </w:p>
        </w:tc>
      </w:tr>
      <w:tr w14:paraId="7A5DFDBB" w14:textId="77777777" w:rsidTr="00164FA9">
        <w:tblPrEx>
          <w:tblW w:w="10075" w:type="dxa"/>
          <w:tblLayout w:type="fixed"/>
          <w:tblLook w:val="04A0"/>
        </w:tblPrEx>
        <w:tc>
          <w:tcPr>
            <w:tcW w:w="1525" w:type="dxa"/>
            <w:vMerge/>
            <w:shd w:val="clear" w:color="auto" w:fill="FFFFFF"/>
          </w:tcPr>
          <w:p w:rsidR="00C121BC" w:rsidRPr="0077497D" w:rsidP="00605F92" w14:paraId="5641E98F"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39A9F9D4"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Capability 9</w:t>
            </w:r>
          </w:p>
        </w:tc>
        <w:tc>
          <w:tcPr>
            <w:tcW w:w="1530" w:type="dxa"/>
            <w:shd w:val="clear" w:color="auto" w:fill="FFFFFF"/>
          </w:tcPr>
          <w:p w:rsidR="00C121BC" w:rsidRPr="0077497D" w:rsidP="00605F92" w14:paraId="48E1FC8D"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20A29274"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17D92ED4"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195/60</w:t>
            </w:r>
          </w:p>
        </w:tc>
        <w:tc>
          <w:tcPr>
            <w:tcW w:w="1080" w:type="dxa"/>
            <w:shd w:val="clear" w:color="auto" w:fill="FFFFFF"/>
          </w:tcPr>
          <w:p w:rsidR="00C121BC" w:rsidRPr="0077497D" w:rsidP="00605F92" w14:paraId="01E647D2"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202</w:t>
            </w:r>
          </w:p>
        </w:tc>
      </w:tr>
      <w:tr w14:paraId="1130F7A5" w14:textId="77777777" w:rsidTr="00164FA9">
        <w:tblPrEx>
          <w:tblW w:w="10075" w:type="dxa"/>
          <w:tblLayout w:type="fixed"/>
          <w:tblLook w:val="04A0"/>
        </w:tblPrEx>
        <w:tc>
          <w:tcPr>
            <w:tcW w:w="1525" w:type="dxa"/>
            <w:vMerge/>
            <w:shd w:val="clear" w:color="auto" w:fill="FFFFFF"/>
          </w:tcPr>
          <w:p w:rsidR="00C121BC" w:rsidRPr="0077497D" w:rsidP="00605F92" w14:paraId="02DBE2DB"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489A8F99"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Capability 10</w:t>
            </w:r>
          </w:p>
        </w:tc>
        <w:tc>
          <w:tcPr>
            <w:tcW w:w="1530" w:type="dxa"/>
            <w:shd w:val="clear" w:color="auto" w:fill="FFFFFF"/>
          </w:tcPr>
          <w:p w:rsidR="00C121BC" w:rsidRPr="0077497D" w:rsidP="00605F92" w14:paraId="6C83C895"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16B2F178"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69E64D73"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2</w:t>
            </w:r>
          </w:p>
        </w:tc>
        <w:tc>
          <w:tcPr>
            <w:tcW w:w="1080" w:type="dxa"/>
            <w:shd w:val="clear" w:color="auto" w:fill="FFFFFF"/>
          </w:tcPr>
          <w:p w:rsidR="00C121BC" w:rsidRPr="0077497D" w:rsidP="00605F92" w14:paraId="43363235"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124</w:t>
            </w:r>
          </w:p>
        </w:tc>
      </w:tr>
      <w:tr w14:paraId="2F8AB20F" w14:textId="77777777" w:rsidTr="00164FA9">
        <w:tblPrEx>
          <w:tblW w:w="10075" w:type="dxa"/>
          <w:tblLayout w:type="fixed"/>
          <w:tblLook w:val="04A0"/>
        </w:tblPrEx>
        <w:tc>
          <w:tcPr>
            <w:tcW w:w="1525" w:type="dxa"/>
            <w:vMerge/>
            <w:shd w:val="clear" w:color="auto" w:fill="FFFFFF"/>
          </w:tcPr>
          <w:p w:rsidR="00C121BC" w:rsidRPr="0077497D" w:rsidP="00605F92" w14:paraId="1E9926FF"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7479C4FF"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Capability 11</w:t>
            </w:r>
          </w:p>
        </w:tc>
        <w:tc>
          <w:tcPr>
            <w:tcW w:w="1530" w:type="dxa"/>
            <w:shd w:val="clear" w:color="auto" w:fill="FFFFFF"/>
          </w:tcPr>
          <w:p w:rsidR="00C121BC" w:rsidRPr="0077497D" w:rsidP="00605F92" w14:paraId="7E876BF6"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2C45A9FD"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07971EDD"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1.5</w:t>
            </w:r>
          </w:p>
        </w:tc>
        <w:tc>
          <w:tcPr>
            <w:tcW w:w="1080" w:type="dxa"/>
            <w:shd w:val="clear" w:color="auto" w:fill="FFFFFF"/>
          </w:tcPr>
          <w:p w:rsidR="00C121BC" w:rsidRPr="0077497D" w:rsidP="00605F92" w14:paraId="4B87B07E"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93</w:t>
            </w:r>
          </w:p>
        </w:tc>
      </w:tr>
      <w:tr w14:paraId="3CAD82FD" w14:textId="77777777" w:rsidTr="00164FA9">
        <w:tblPrEx>
          <w:tblW w:w="10075" w:type="dxa"/>
          <w:tblLayout w:type="fixed"/>
          <w:tblLook w:val="04A0"/>
        </w:tblPrEx>
        <w:tc>
          <w:tcPr>
            <w:tcW w:w="1525" w:type="dxa"/>
            <w:vMerge/>
            <w:shd w:val="clear" w:color="auto" w:fill="FFFFFF"/>
          </w:tcPr>
          <w:p w:rsidR="00C121BC" w:rsidRPr="0077497D" w:rsidP="00605F92" w14:paraId="76DDAC95"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3132C6BE"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Capability 12</w:t>
            </w:r>
          </w:p>
        </w:tc>
        <w:tc>
          <w:tcPr>
            <w:tcW w:w="1530" w:type="dxa"/>
            <w:shd w:val="clear" w:color="auto" w:fill="FFFFFF"/>
          </w:tcPr>
          <w:p w:rsidR="00C121BC" w:rsidRPr="0077497D" w:rsidP="00605F92" w14:paraId="03FF2F2F"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6FC1CE7A"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791B0532"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1.5</w:t>
            </w:r>
          </w:p>
        </w:tc>
        <w:tc>
          <w:tcPr>
            <w:tcW w:w="1080" w:type="dxa"/>
            <w:shd w:val="clear" w:color="auto" w:fill="FFFFFF"/>
          </w:tcPr>
          <w:p w:rsidR="00C121BC" w:rsidRPr="0077497D" w:rsidP="00605F92" w14:paraId="1CA33824"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93</w:t>
            </w:r>
          </w:p>
        </w:tc>
      </w:tr>
      <w:tr w14:paraId="7FF66622" w14:textId="77777777" w:rsidTr="00164FA9">
        <w:tblPrEx>
          <w:tblW w:w="10075" w:type="dxa"/>
          <w:tblLayout w:type="fixed"/>
          <w:tblLook w:val="04A0"/>
        </w:tblPrEx>
        <w:tc>
          <w:tcPr>
            <w:tcW w:w="1525" w:type="dxa"/>
            <w:vMerge/>
            <w:shd w:val="clear" w:color="auto" w:fill="FFFFFF"/>
          </w:tcPr>
          <w:p w:rsidR="00C121BC" w:rsidRPr="0077497D" w:rsidP="00605F92" w14:paraId="6786E971"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3DB68378"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Capability 13</w:t>
            </w:r>
          </w:p>
        </w:tc>
        <w:tc>
          <w:tcPr>
            <w:tcW w:w="1530" w:type="dxa"/>
            <w:shd w:val="clear" w:color="auto" w:fill="FFFFFF"/>
          </w:tcPr>
          <w:p w:rsidR="00C121BC" w:rsidRPr="0077497D" w:rsidP="00605F92" w14:paraId="1DDE7042"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79854966"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095DBB74"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2.5</w:t>
            </w:r>
          </w:p>
        </w:tc>
        <w:tc>
          <w:tcPr>
            <w:tcW w:w="1080" w:type="dxa"/>
            <w:shd w:val="clear" w:color="auto" w:fill="FFFFFF"/>
          </w:tcPr>
          <w:p w:rsidR="00C121BC" w:rsidRPr="0077497D" w:rsidP="00605F92" w14:paraId="6BED0C1B"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155</w:t>
            </w:r>
          </w:p>
        </w:tc>
      </w:tr>
      <w:tr w14:paraId="49C782CA" w14:textId="77777777" w:rsidTr="00164FA9">
        <w:tblPrEx>
          <w:tblW w:w="10075" w:type="dxa"/>
          <w:tblLayout w:type="fixed"/>
          <w:tblLook w:val="04A0"/>
        </w:tblPrEx>
        <w:tc>
          <w:tcPr>
            <w:tcW w:w="1525" w:type="dxa"/>
            <w:vMerge/>
            <w:shd w:val="clear" w:color="auto" w:fill="FFFFFF"/>
          </w:tcPr>
          <w:p w:rsidR="00C121BC" w:rsidRPr="0077497D" w:rsidP="00605F92" w14:paraId="2AB93025"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1D78D6C8"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Capability 14</w:t>
            </w:r>
          </w:p>
        </w:tc>
        <w:tc>
          <w:tcPr>
            <w:tcW w:w="1530" w:type="dxa"/>
            <w:shd w:val="clear" w:color="auto" w:fill="FFFFFF"/>
          </w:tcPr>
          <w:p w:rsidR="00C121BC" w:rsidRPr="0077497D" w:rsidP="00605F92" w14:paraId="3FD47A3E"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55627038"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3C77EA10"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1.5</w:t>
            </w:r>
          </w:p>
        </w:tc>
        <w:tc>
          <w:tcPr>
            <w:tcW w:w="1080" w:type="dxa"/>
            <w:shd w:val="clear" w:color="auto" w:fill="FFFFFF"/>
          </w:tcPr>
          <w:p w:rsidR="00C121BC" w:rsidRPr="0077497D" w:rsidP="00605F92" w14:paraId="5F5B39DB"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93</w:t>
            </w:r>
          </w:p>
        </w:tc>
      </w:tr>
      <w:tr w14:paraId="0C259B7B" w14:textId="77777777" w:rsidTr="00164FA9">
        <w:tblPrEx>
          <w:tblW w:w="10075" w:type="dxa"/>
          <w:tblLayout w:type="fixed"/>
          <w:tblLook w:val="04A0"/>
        </w:tblPrEx>
        <w:tc>
          <w:tcPr>
            <w:tcW w:w="1525" w:type="dxa"/>
            <w:vMerge/>
            <w:shd w:val="clear" w:color="auto" w:fill="FFFFFF"/>
          </w:tcPr>
          <w:p w:rsidR="00C121BC" w:rsidRPr="0077497D" w:rsidP="00605F92" w14:paraId="05F15F5F"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17E466C7"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Capability 15</w:t>
            </w:r>
          </w:p>
        </w:tc>
        <w:tc>
          <w:tcPr>
            <w:tcW w:w="1530" w:type="dxa"/>
            <w:shd w:val="clear" w:color="auto" w:fill="FFFFFF"/>
          </w:tcPr>
          <w:p w:rsidR="00C121BC" w:rsidRPr="0077497D" w:rsidP="00605F92" w14:paraId="30479AAA"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46053257"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5069117D"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75/60</w:t>
            </w:r>
          </w:p>
        </w:tc>
        <w:tc>
          <w:tcPr>
            <w:tcW w:w="1080" w:type="dxa"/>
            <w:shd w:val="clear" w:color="auto" w:fill="FFFFFF"/>
          </w:tcPr>
          <w:p w:rsidR="00C121BC" w:rsidRPr="0077497D" w:rsidP="00605F92" w14:paraId="69D0D91A"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78</w:t>
            </w:r>
          </w:p>
        </w:tc>
      </w:tr>
      <w:tr w14:paraId="6D28B702" w14:textId="77777777" w:rsidTr="00164FA9">
        <w:tblPrEx>
          <w:tblW w:w="10075" w:type="dxa"/>
          <w:tblLayout w:type="fixed"/>
          <w:tblLook w:val="04A0"/>
        </w:tblPrEx>
        <w:tc>
          <w:tcPr>
            <w:tcW w:w="1525" w:type="dxa"/>
            <w:vMerge/>
            <w:shd w:val="clear" w:color="auto" w:fill="FFFFFF"/>
          </w:tcPr>
          <w:p w:rsidR="00C121BC" w:rsidRPr="0077497D" w:rsidP="00605F92" w14:paraId="19CA79C7"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07AE94B3" w14:textId="77777777">
            <w:pPr>
              <w:jc w:val="right"/>
              <w:rPr>
                <w:rFonts w:ascii="Times New Roman" w:eastAsia="Calibri" w:hAnsi="Times New Roman" w:cs="Times New Roman"/>
                <w:b/>
                <w:bCs/>
                <w:sz w:val="24"/>
                <w:szCs w:val="24"/>
              </w:rPr>
            </w:pPr>
            <w:r w:rsidRPr="0077497D">
              <w:rPr>
                <w:rFonts w:ascii="Times New Roman" w:eastAsia="Calibri" w:hAnsi="Times New Roman" w:cs="Times New Roman"/>
                <w:b/>
                <w:bCs/>
                <w:sz w:val="24"/>
                <w:szCs w:val="24"/>
              </w:rPr>
              <w:t>Subtotal, Module 2</w:t>
            </w:r>
          </w:p>
        </w:tc>
        <w:tc>
          <w:tcPr>
            <w:tcW w:w="1530" w:type="dxa"/>
            <w:shd w:val="clear" w:color="auto" w:fill="FFFFFF"/>
          </w:tcPr>
          <w:p w:rsidR="00C121BC" w:rsidRPr="0077497D" w:rsidP="00605F92" w14:paraId="4F8B3C7E" w14:textId="77777777">
            <w:pPr>
              <w:jc w:val="right"/>
              <w:rPr>
                <w:rFonts w:ascii="Times New Roman" w:eastAsia="Calibri" w:hAnsi="Times New Roman" w:cs="Times New Roman"/>
                <w:b/>
                <w:bCs/>
                <w:sz w:val="24"/>
                <w:szCs w:val="24"/>
              </w:rPr>
            </w:pPr>
            <w:r w:rsidRPr="0077497D">
              <w:rPr>
                <w:rFonts w:ascii="Times New Roman" w:eastAsia="Calibri" w:hAnsi="Times New Roman" w:cs="Times New Roman"/>
                <w:b/>
                <w:bCs/>
                <w:sz w:val="24"/>
                <w:szCs w:val="24"/>
              </w:rPr>
              <w:t>62</w:t>
            </w:r>
          </w:p>
        </w:tc>
        <w:tc>
          <w:tcPr>
            <w:tcW w:w="1440" w:type="dxa"/>
            <w:shd w:val="clear" w:color="auto" w:fill="FFFFFF"/>
          </w:tcPr>
          <w:p w:rsidR="00C121BC" w:rsidRPr="0077497D" w:rsidP="00605F92" w14:paraId="2B9C80B8" w14:textId="77777777">
            <w:pPr>
              <w:jc w:val="right"/>
              <w:rPr>
                <w:rFonts w:ascii="Times New Roman" w:eastAsia="Calibri" w:hAnsi="Times New Roman" w:cs="Times New Roman"/>
                <w:b/>
                <w:bCs/>
                <w:sz w:val="24"/>
                <w:szCs w:val="24"/>
              </w:rPr>
            </w:pPr>
          </w:p>
        </w:tc>
        <w:tc>
          <w:tcPr>
            <w:tcW w:w="1350" w:type="dxa"/>
            <w:shd w:val="clear" w:color="auto" w:fill="FFFFFF"/>
          </w:tcPr>
          <w:p w:rsidR="00C121BC" w:rsidRPr="0077497D" w:rsidP="00605F92" w14:paraId="2E02EF9B" w14:textId="77777777">
            <w:pPr>
              <w:jc w:val="center"/>
              <w:rPr>
                <w:rFonts w:ascii="Times New Roman" w:eastAsia="Calibri" w:hAnsi="Times New Roman" w:cs="Times New Roman"/>
                <w:b/>
                <w:bCs/>
                <w:sz w:val="24"/>
                <w:szCs w:val="24"/>
              </w:rPr>
            </w:pPr>
          </w:p>
        </w:tc>
        <w:tc>
          <w:tcPr>
            <w:tcW w:w="1080" w:type="dxa"/>
            <w:shd w:val="clear" w:color="auto" w:fill="FFFFFF"/>
          </w:tcPr>
          <w:p w:rsidR="00C121BC" w:rsidRPr="0077497D" w:rsidP="00605F92" w14:paraId="41AEE234" w14:textId="77777777">
            <w:pPr>
              <w:jc w:val="right"/>
              <w:rPr>
                <w:rFonts w:ascii="Times New Roman" w:eastAsia="Calibri" w:hAnsi="Times New Roman" w:cs="Times New Roman"/>
                <w:b/>
                <w:bCs/>
                <w:sz w:val="24"/>
                <w:szCs w:val="24"/>
              </w:rPr>
            </w:pPr>
            <w:r w:rsidRPr="0077497D">
              <w:rPr>
                <w:rFonts w:ascii="Times New Roman" w:eastAsia="Calibri" w:hAnsi="Times New Roman" w:cs="Times New Roman"/>
                <w:b/>
                <w:bCs/>
                <w:sz w:val="24"/>
                <w:szCs w:val="24"/>
              </w:rPr>
              <w:t>1,70</w:t>
            </w:r>
            <w:r>
              <w:rPr>
                <w:rFonts w:ascii="Times New Roman" w:eastAsia="Calibri" w:hAnsi="Times New Roman" w:cs="Times New Roman"/>
                <w:b/>
                <w:bCs/>
                <w:sz w:val="24"/>
                <w:szCs w:val="24"/>
              </w:rPr>
              <w:t>6</w:t>
            </w:r>
          </w:p>
        </w:tc>
      </w:tr>
      <w:tr w14:paraId="3501A177" w14:textId="77777777" w:rsidTr="00164FA9">
        <w:tblPrEx>
          <w:tblW w:w="10075" w:type="dxa"/>
          <w:tblLayout w:type="fixed"/>
          <w:tblLook w:val="04A0"/>
        </w:tblPrEx>
        <w:tc>
          <w:tcPr>
            <w:tcW w:w="1525" w:type="dxa"/>
            <w:vMerge w:val="restart"/>
            <w:shd w:val="clear" w:color="auto" w:fill="FFFFFF"/>
          </w:tcPr>
          <w:p w:rsidR="00C121BC" w:rsidRPr="0077497D" w:rsidP="00605F92" w14:paraId="4E01CAED"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All PHEP Awardees: State, local, territorial, and metropolitan area jurisdictions</w:t>
            </w:r>
          </w:p>
        </w:tc>
        <w:tc>
          <w:tcPr>
            <w:tcW w:w="3150" w:type="dxa"/>
            <w:shd w:val="clear" w:color="auto" w:fill="FFFFFF"/>
          </w:tcPr>
          <w:p w:rsidR="00C121BC" w:rsidRPr="0077497D" w:rsidP="00605F92" w14:paraId="35D2C209"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Ops 1</w:t>
            </w:r>
          </w:p>
        </w:tc>
        <w:tc>
          <w:tcPr>
            <w:tcW w:w="1530" w:type="dxa"/>
            <w:shd w:val="clear" w:color="auto" w:fill="FFFFFF"/>
          </w:tcPr>
          <w:p w:rsidR="00C121BC" w:rsidRPr="0077497D" w:rsidP="00605F92" w14:paraId="716AA83C"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23C50540"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3</w:t>
            </w:r>
          </w:p>
        </w:tc>
        <w:tc>
          <w:tcPr>
            <w:tcW w:w="1350" w:type="dxa"/>
            <w:shd w:val="clear" w:color="auto" w:fill="FFFFFF"/>
          </w:tcPr>
          <w:p w:rsidR="00C121BC" w:rsidRPr="0077497D" w:rsidP="00605F92" w14:paraId="5867410A"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20/60</w:t>
            </w:r>
          </w:p>
        </w:tc>
        <w:tc>
          <w:tcPr>
            <w:tcW w:w="1080" w:type="dxa"/>
            <w:shd w:val="clear" w:color="auto" w:fill="FFFFFF"/>
          </w:tcPr>
          <w:p w:rsidR="00C121BC" w:rsidRPr="0077497D" w:rsidP="00605F92" w14:paraId="0C36FFD7"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r>
      <w:tr w14:paraId="38FF1340" w14:textId="77777777" w:rsidTr="00164FA9">
        <w:tblPrEx>
          <w:tblW w:w="10075" w:type="dxa"/>
          <w:tblLayout w:type="fixed"/>
          <w:tblLook w:val="04A0"/>
        </w:tblPrEx>
        <w:tc>
          <w:tcPr>
            <w:tcW w:w="1525" w:type="dxa"/>
            <w:vMerge/>
            <w:shd w:val="clear" w:color="auto" w:fill="FFFFFF"/>
          </w:tcPr>
          <w:p w:rsidR="00C121BC" w:rsidRPr="0077497D" w:rsidP="00605F92" w14:paraId="1A9C1B37"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71CCBD4E"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Ops 2</w:t>
            </w:r>
          </w:p>
        </w:tc>
        <w:tc>
          <w:tcPr>
            <w:tcW w:w="1530" w:type="dxa"/>
            <w:shd w:val="clear" w:color="auto" w:fill="FFFFFF"/>
          </w:tcPr>
          <w:p w:rsidR="00C121BC" w:rsidRPr="0077497D" w:rsidP="00605F92" w14:paraId="56875F9B"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226BAA55"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3</w:t>
            </w:r>
          </w:p>
        </w:tc>
        <w:tc>
          <w:tcPr>
            <w:tcW w:w="1350" w:type="dxa"/>
            <w:shd w:val="clear" w:color="auto" w:fill="FFFFFF"/>
          </w:tcPr>
          <w:p w:rsidR="00C121BC" w:rsidRPr="0077497D" w:rsidP="00605F92" w14:paraId="17723D5F"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15/60</w:t>
            </w:r>
          </w:p>
        </w:tc>
        <w:tc>
          <w:tcPr>
            <w:tcW w:w="1080" w:type="dxa"/>
            <w:shd w:val="clear" w:color="auto" w:fill="FFFFFF"/>
          </w:tcPr>
          <w:p w:rsidR="00C121BC" w:rsidRPr="0077497D" w:rsidP="00605F92" w14:paraId="14A92BB9"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47</w:t>
            </w:r>
          </w:p>
        </w:tc>
      </w:tr>
      <w:tr w14:paraId="37265CFF" w14:textId="77777777" w:rsidTr="00164FA9">
        <w:tblPrEx>
          <w:tblW w:w="10075" w:type="dxa"/>
          <w:tblLayout w:type="fixed"/>
          <w:tblLook w:val="04A0"/>
        </w:tblPrEx>
        <w:tc>
          <w:tcPr>
            <w:tcW w:w="1525" w:type="dxa"/>
            <w:vMerge/>
            <w:shd w:val="clear" w:color="auto" w:fill="FFFFFF"/>
          </w:tcPr>
          <w:p w:rsidR="00C121BC" w:rsidRPr="0077497D" w:rsidP="00605F92" w14:paraId="2C925D30"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060DB33D"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Tabletop exercise (TTX)</w:t>
            </w:r>
          </w:p>
        </w:tc>
        <w:tc>
          <w:tcPr>
            <w:tcW w:w="1530" w:type="dxa"/>
            <w:shd w:val="clear" w:color="auto" w:fill="FFFFFF"/>
          </w:tcPr>
          <w:p w:rsidR="00C121BC" w:rsidRPr="0077497D" w:rsidP="00605F92" w14:paraId="56A1D27F"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191539D7"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5E58AF91"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1.5</w:t>
            </w:r>
          </w:p>
        </w:tc>
        <w:tc>
          <w:tcPr>
            <w:tcW w:w="1080" w:type="dxa"/>
            <w:shd w:val="clear" w:color="auto" w:fill="FFFFFF"/>
          </w:tcPr>
          <w:p w:rsidR="00C121BC" w:rsidRPr="0077497D" w:rsidP="00605F92" w14:paraId="0B542BF0"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93</w:t>
            </w:r>
          </w:p>
        </w:tc>
      </w:tr>
      <w:tr w14:paraId="659BF483" w14:textId="77777777" w:rsidTr="00164FA9">
        <w:tblPrEx>
          <w:tblW w:w="10075" w:type="dxa"/>
          <w:tblLayout w:type="fixed"/>
          <w:tblLook w:val="04A0"/>
        </w:tblPrEx>
        <w:tc>
          <w:tcPr>
            <w:tcW w:w="1525" w:type="dxa"/>
            <w:vMerge/>
            <w:shd w:val="clear" w:color="auto" w:fill="FFFFFF"/>
          </w:tcPr>
          <w:p w:rsidR="00C121BC" w:rsidRPr="0077497D" w:rsidP="00605F92" w14:paraId="55CA6F10"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52139D24"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Partner role (Par1)</w:t>
            </w:r>
          </w:p>
        </w:tc>
        <w:tc>
          <w:tcPr>
            <w:tcW w:w="1530" w:type="dxa"/>
            <w:shd w:val="clear" w:color="auto" w:fill="FFFFFF"/>
          </w:tcPr>
          <w:p w:rsidR="00C121BC" w:rsidRPr="0077497D" w:rsidP="00605F92" w14:paraId="5580503C"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3692E5B0"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3C826D40"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15/60</w:t>
            </w:r>
          </w:p>
        </w:tc>
        <w:tc>
          <w:tcPr>
            <w:tcW w:w="1080" w:type="dxa"/>
            <w:shd w:val="clear" w:color="auto" w:fill="FFFFFF"/>
          </w:tcPr>
          <w:p w:rsidR="00C121BC" w:rsidRPr="0077497D" w:rsidP="00605F92" w14:paraId="72A601B2"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16</w:t>
            </w:r>
          </w:p>
        </w:tc>
      </w:tr>
      <w:tr w14:paraId="39815BB6" w14:textId="77777777" w:rsidTr="00164FA9">
        <w:tblPrEx>
          <w:tblW w:w="10075" w:type="dxa"/>
          <w:tblLayout w:type="fixed"/>
          <w:tblLook w:val="04A0"/>
        </w:tblPrEx>
        <w:tc>
          <w:tcPr>
            <w:tcW w:w="1525" w:type="dxa"/>
            <w:vMerge/>
            <w:shd w:val="clear" w:color="auto" w:fill="FFFFFF"/>
          </w:tcPr>
          <w:p w:rsidR="00C121BC" w:rsidRPr="0077497D" w:rsidP="00605F92" w14:paraId="2B002054"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3EE50F15"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Access and functional needs exercise accommodations or actions (Par2)</w:t>
            </w:r>
          </w:p>
        </w:tc>
        <w:tc>
          <w:tcPr>
            <w:tcW w:w="1530" w:type="dxa"/>
            <w:shd w:val="clear" w:color="auto" w:fill="FFFFFF"/>
          </w:tcPr>
          <w:p w:rsidR="00C121BC" w:rsidRPr="0077497D" w:rsidP="00605F92" w14:paraId="748066ED"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7CF98B2E"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0C5D51EF"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0.5</w:t>
            </w:r>
          </w:p>
        </w:tc>
        <w:tc>
          <w:tcPr>
            <w:tcW w:w="1080" w:type="dxa"/>
            <w:shd w:val="clear" w:color="auto" w:fill="FFFFFF"/>
          </w:tcPr>
          <w:p w:rsidR="00C121BC" w:rsidRPr="0077497D" w:rsidP="00605F92" w14:paraId="731CF8CA"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31</w:t>
            </w:r>
          </w:p>
        </w:tc>
      </w:tr>
      <w:tr w14:paraId="735C1224" w14:textId="77777777" w:rsidTr="00164FA9">
        <w:tblPrEx>
          <w:tblW w:w="10075" w:type="dxa"/>
          <w:tblLayout w:type="fixed"/>
          <w:tblLook w:val="04A0"/>
        </w:tblPrEx>
        <w:tc>
          <w:tcPr>
            <w:tcW w:w="1525" w:type="dxa"/>
            <w:vMerge/>
            <w:shd w:val="clear" w:color="auto" w:fill="FFFFFF"/>
          </w:tcPr>
          <w:p w:rsidR="00C121BC" w:rsidRPr="0077497D" w:rsidP="00605F92" w14:paraId="32A8388C"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7A8E2E1E"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Joint exercise with emergency management and health care coalitions (Par3)</w:t>
            </w:r>
          </w:p>
        </w:tc>
        <w:tc>
          <w:tcPr>
            <w:tcW w:w="1530" w:type="dxa"/>
            <w:shd w:val="clear" w:color="auto" w:fill="FFFFFF"/>
          </w:tcPr>
          <w:p w:rsidR="00C121BC" w:rsidRPr="0077497D" w:rsidP="00605F92" w14:paraId="3B8C3E3E"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0E3CA86B"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4815C6D2"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6/60</w:t>
            </w:r>
          </w:p>
        </w:tc>
        <w:tc>
          <w:tcPr>
            <w:tcW w:w="1080" w:type="dxa"/>
            <w:shd w:val="clear" w:color="auto" w:fill="FFFFFF"/>
          </w:tcPr>
          <w:p w:rsidR="00C121BC" w:rsidRPr="0077497D" w:rsidP="00605F92" w14:paraId="067937BD"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w:t>
            </w:r>
          </w:p>
        </w:tc>
      </w:tr>
      <w:tr w14:paraId="26E9149F" w14:textId="77777777" w:rsidTr="00164FA9">
        <w:tblPrEx>
          <w:tblW w:w="10075" w:type="dxa"/>
          <w:tblLayout w:type="fixed"/>
          <w:tblLook w:val="04A0"/>
        </w:tblPrEx>
        <w:tc>
          <w:tcPr>
            <w:tcW w:w="1525" w:type="dxa"/>
            <w:vMerge/>
            <w:shd w:val="clear" w:color="auto" w:fill="FFFFFF"/>
          </w:tcPr>
          <w:p w:rsidR="00C121BC" w:rsidRPr="0077497D" w:rsidP="00605F92" w14:paraId="2E30F008"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26752D9D"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Vaccination of critical workforce (functional exercise, full-scale exercise, or incident)</w:t>
            </w:r>
          </w:p>
        </w:tc>
        <w:tc>
          <w:tcPr>
            <w:tcW w:w="1530" w:type="dxa"/>
            <w:shd w:val="clear" w:color="auto" w:fill="FFFFFF"/>
          </w:tcPr>
          <w:p w:rsidR="00C121BC" w:rsidRPr="0077497D" w:rsidP="00605F92" w14:paraId="7863972E"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1FABB3ED"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19225A73"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12/60</w:t>
            </w:r>
          </w:p>
        </w:tc>
        <w:tc>
          <w:tcPr>
            <w:tcW w:w="1080" w:type="dxa"/>
            <w:shd w:val="clear" w:color="auto" w:fill="FFFFFF"/>
          </w:tcPr>
          <w:p w:rsidR="00C121BC" w:rsidRPr="0077497D" w:rsidP="00605F92" w14:paraId="55F4AEF7"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12</w:t>
            </w:r>
          </w:p>
        </w:tc>
      </w:tr>
      <w:tr w14:paraId="4492AB74" w14:textId="77777777" w:rsidTr="00164FA9">
        <w:tblPrEx>
          <w:tblW w:w="10075" w:type="dxa"/>
          <w:tblLayout w:type="fixed"/>
          <w:tblLook w:val="04A0"/>
        </w:tblPrEx>
        <w:tc>
          <w:tcPr>
            <w:tcW w:w="1525" w:type="dxa"/>
            <w:vMerge/>
            <w:shd w:val="clear" w:color="auto" w:fill="FFFFFF"/>
          </w:tcPr>
          <w:p w:rsidR="00C121BC" w:rsidRPr="0077497D" w:rsidP="00605F92" w14:paraId="56C8D7E6"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720F7EF9"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Vaccination of critical workforce (point of dispensing/ dispensing/vaccination clinic setup)</w:t>
            </w:r>
          </w:p>
        </w:tc>
        <w:tc>
          <w:tcPr>
            <w:tcW w:w="1530" w:type="dxa"/>
            <w:shd w:val="clear" w:color="auto" w:fill="FFFFFF"/>
          </w:tcPr>
          <w:p w:rsidR="00C121BC" w:rsidRPr="0077497D" w:rsidP="00605F92" w14:paraId="5787104A"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7388CE35"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625BB399"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12/60</w:t>
            </w:r>
          </w:p>
        </w:tc>
        <w:tc>
          <w:tcPr>
            <w:tcW w:w="1080" w:type="dxa"/>
            <w:shd w:val="clear" w:color="auto" w:fill="FFFFFF"/>
          </w:tcPr>
          <w:p w:rsidR="00C121BC" w:rsidRPr="0077497D" w:rsidP="00605F92" w14:paraId="7305E798"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12</w:t>
            </w:r>
          </w:p>
        </w:tc>
      </w:tr>
      <w:tr w14:paraId="727FD2B9" w14:textId="77777777" w:rsidTr="00164FA9">
        <w:tblPrEx>
          <w:tblW w:w="10075" w:type="dxa"/>
          <w:tblLayout w:type="fixed"/>
          <w:tblLook w:val="04A0"/>
        </w:tblPrEx>
        <w:tc>
          <w:tcPr>
            <w:tcW w:w="1525" w:type="dxa"/>
            <w:vMerge/>
            <w:shd w:val="clear" w:color="auto" w:fill="FFFFFF"/>
          </w:tcPr>
          <w:p w:rsidR="00C121BC" w:rsidRPr="0077497D" w:rsidP="00605F92" w14:paraId="49C85715"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25C1A795"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Vaccination of critical workforce (immunization information system)</w:t>
            </w:r>
          </w:p>
        </w:tc>
        <w:tc>
          <w:tcPr>
            <w:tcW w:w="1530" w:type="dxa"/>
            <w:shd w:val="clear" w:color="auto" w:fill="FFFFFF"/>
          </w:tcPr>
          <w:p w:rsidR="00C121BC" w:rsidRPr="0077497D" w:rsidP="00605F92" w14:paraId="1146C8A3"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638BCFF5"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05B5D36F"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12/60</w:t>
            </w:r>
          </w:p>
        </w:tc>
        <w:tc>
          <w:tcPr>
            <w:tcW w:w="1080" w:type="dxa"/>
            <w:shd w:val="clear" w:color="auto" w:fill="FFFFFF"/>
          </w:tcPr>
          <w:p w:rsidR="00C121BC" w:rsidRPr="0077497D" w:rsidP="00605F92" w14:paraId="2B7CEC3E"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12</w:t>
            </w:r>
          </w:p>
        </w:tc>
      </w:tr>
      <w:tr w14:paraId="5A10F15F" w14:textId="77777777" w:rsidTr="00164FA9">
        <w:tblPrEx>
          <w:tblW w:w="10075" w:type="dxa"/>
          <w:tblLayout w:type="fixed"/>
          <w:tblLook w:val="04A0"/>
        </w:tblPrEx>
        <w:tc>
          <w:tcPr>
            <w:tcW w:w="1525" w:type="dxa"/>
            <w:vMerge/>
            <w:shd w:val="clear" w:color="auto" w:fill="FFFFFF"/>
          </w:tcPr>
          <w:p w:rsidR="002C7C9A" w:rsidRPr="0077497D" w:rsidP="00605F92" w14:paraId="0F47EFA5" w14:textId="77777777">
            <w:pPr>
              <w:rPr>
                <w:rFonts w:ascii="Times New Roman" w:eastAsia="Calibri" w:hAnsi="Times New Roman" w:cs="Times New Roman"/>
                <w:b/>
                <w:bCs/>
                <w:sz w:val="24"/>
                <w:szCs w:val="24"/>
              </w:rPr>
            </w:pPr>
          </w:p>
        </w:tc>
        <w:tc>
          <w:tcPr>
            <w:tcW w:w="3150" w:type="dxa"/>
            <w:shd w:val="clear" w:color="auto" w:fill="FFFFFF"/>
          </w:tcPr>
          <w:p w:rsidR="002C7C9A" w:rsidRPr="0077497D" w:rsidP="00605F92" w14:paraId="55C13E65" w14:textId="792F556B">
            <w:pPr>
              <w:rPr>
                <w:rFonts w:ascii="Times New Roman" w:eastAsia="Calibri" w:hAnsi="Times New Roman" w:cs="Times New Roman"/>
                <w:sz w:val="24"/>
                <w:szCs w:val="24"/>
              </w:rPr>
            </w:pPr>
            <w:r w:rsidRPr="002C7C9A">
              <w:rPr>
                <w:rFonts w:ascii="Times New Roman" w:eastAsia="Calibri" w:hAnsi="Times New Roman" w:cs="Times New Roman"/>
                <w:sz w:val="24"/>
                <w:szCs w:val="24"/>
              </w:rPr>
              <w:t>Vaccination for Critical Workforce Groups and Disproportionately Impacted Populations (VAC)</w:t>
            </w:r>
          </w:p>
        </w:tc>
        <w:tc>
          <w:tcPr>
            <w:tcW w:w="1530" w:type="dxa"/>
            <w:shd w:val="clear" w:color="auto" w:fill="FFFFFF"/>
          </w:tcPr>
          <w:p w:rsidR="002C7C9A" w:rsidRPr="0077497D" w:rsidP="00605F92" w14:paraId="71837E08" w14:textId="700F9B49">
            <w:pPr>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1440" w:type="dxa"/>
            <w:shd w:val="clear" w:color="auto" w:fill="FFFFFF"/>
          </w:tcPr>
          <w:p w:rsidR="002C7C9A" w:rsidRPr="0077497D" w:rsidP="00605F92" w14:paraId="5C86F4D6" w14:textId="325455F1">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350" w:type="dxa"/>
            <w:shd w:val="clear" w:color="auto" w:fill="FFFFFF"/>
          </w:tcPr>
          <w:p w:rsidR="002C7C9A" w:rsidRPr="0077497D" w:rsidP="00605F92" w14:paraId="406BA05E" w14:textId="77C9EF60">
            <w:pPr>
              <w:rPr>
                <w:rFonts w:ascii="Times New Roman" w:eastAsia="Calibri" w:hAnsi="Times New Roman" w:cs="Times New Roman"/>
                <w:sz w:val="24"/>
                <w:szCs w:val="24"/>
              </w:rPr>
            </w:pPr>
            <w:r>
              <w:rPr>
                <w:rFonts w:ascii="Times New Roman" w:eastAsia="Calibri" w:hAnsi="Times New Roman" w:cs="Times New Roman"/>
                <w:sz w:val="24"/>
                <w:szCs w:val="24"/>
              </w:rPr>
              <w:t>138/60</w:t>
            </w:r>
          </w:p>
        </w:tc>
        <w:tc>
          <w:tcPr>
            <w:tcW w:w="1080" w:type="dxa"/>
            <w:shd w:val="clear" w:color="auto" w:fill="FFFFFF"/>
          </w:tcPr>
          <w:p w:rsidR="002C7C9A" w:rsidRPr="0077497D" w:rsidP="00605F92" w14:paraId="7BF3FBD4" w14:textId="515631AF">
            <w:pPr>
              <w:rPr>
                <w:rFonts w:ascii="Times New Roman" w:eastAsia="Calibri" w:hAnsi="Times New Roman" w:cs="Times New Roman"/>
                <w:sz w:val="24"/>
                <w:szCs w:val="24"/>
              </w:rPr>
            </w:pPr>
            <w:r>
              <w:rPr>
                <w:rFonts w:ascii="Times New Roman" w:eastAsia="Calibri" w:hAnsi="Times New Roman" w:cs="Times New Roman"/>
                <w:sz w:val="24"/>
                <w:szCs w:val="24"/>
              </w:rPr>
              <w:t>143</w:t>
            </w:r>
          </w:p>
        </w:tc>
      </w:tr>
      <w:tr w14:paraId="719DF86F" w14:textId="77777777" w:rsidTr="00164FA9">
        <w:tblPrEx>
          <w:tblW w:w="10075" w:type="dxa"/>
          <w:tblLayout w:type="fixed"/>
          <w:tblLook w:val="04A0"/>
        </w:tblPrEx>
        <w:tc>
          <w:tcPr>
            <w:tcW w:w="1525" w:type="dxa"/>
            <w:vMerge/>
            <w:shd w:val="clear" w:color="auto" w:fill="FFFFFF"/>
          </w:tcPr>
          <w:p w:rsidR="00C121BC" w:rsidRPr="0077497D" w:rsidP="00605F92" w14:paraId="2CC3F8FF"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753416CA"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Five-year distribution FSE OR five-year pandemic influenza full-scale exercise</w:t>
            </w:r>
          </w:p>
        </w:tc>
        <w:tc>
          <w:tcPr>
            <w:tcW w:w="1530" w:type="dxa"/>
            <w:shd w:val="clear" w:color="auto" w:fill="FFFFFF"/>
          </w:tcPr>
          <w:p w:rsidR="00C121BC" w:rsidRPr="0077497D" w:rsidP="00605F92" w14:paraId="6A5B4083"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62</w:t>
            </w:r>
          </w:p>
        </w:tc>
        <w:tc>
          <w:tcPr>
            <w:tcW w:w="1440" w:type="dxa"/>
            <w:shd w:val="clear" w:color="auto" w:fill="FFFFFF"/>
          </w:tcPr>
          <w:p w:rsidR="00C121BC" w:rsidRPr="0077497D" w:rsidP="00605F92" w14:paraId="49C6C89E"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6A0B25DF"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0.5</w:t>
            </w:r>
          </w:p>
        </w:tc>
        <w:tc>
          <w:tcPr>
            <w:tcW w:w="1080" w:type="dxa"/>
            <w:shd w:val="clear" w:color="auto" w:fill="FFFFFF"/>
          </w:tcPr>
          <w:p w:rsidR="00C121BC" w:rsidRPr="0077497D" w:rsidP="00605F92" w14:paraId="48B8B8FF"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31</w:t>
            </w:r>
          </w:p>
        </w:tc>
      </w:tr>
      <w:tr w14:paraId="1B1A531A" w14:textId="77777777" w:rsidTr="00164FA9">
        <w:tblPrEx>
          <w:tblW w:w="10075" w:type="dxa"/>
          <w:tblLayout w:type="fixed"/>
          <w:tblLook w:val="04A0"/>
        </w:tblPrEx>
        <w:tc>
          <w:tcPr>
            <w:tcW w:w="1525" w:type="dxa"/>
            <w:vMerge/>
            <w:shd w:val="clear" w:color="auto" w:fill="FFFFFF"/>
          </w:tcPr>
          <w:p w:rsidR="002C7C9A" w:rsidRPr="0077497D" w:rsidP="00605F92" w14:paraId="4185DBEE" w14:textId="77777777">
            <w:pPr>
              <w:rPr>
                <w:rFonts w:ascii="Times New Roman" w:eastAsia="Calibri" w:hAnsi="Times New Roman" w:cs="Times New Roman"/>
                <w:b/>
                <w:bCs/>
                <w:sz w:val="24"/>
                <w:szCs w:val="24"/>
              </w:rPr>
            </w:pPr>
          </w:p>
        </w:tc>
        <w:tc>
          <w:tcPr>
            <w:tcW w:w="3150" w:type="dxa"/>
            <w:shd w:val="clear" w:color="auto" w:fill="FFFFFF"/>
          </w:tcPr>
          <w:p w:rsidR="002C7C9A" w:rsidRPr="0077497D" w:rsidP="00605F92" w14:paraId="47531F5D" w14:textId="2DE44C6C">
            <w:pPr>
              <w:rPr>
                <w:rFonts w:ascii="Times New Roman" w:eastAsia="Calibri" w:hAnsi="Times New Roman" w:cs="Times New Roman"/>
                <w:sz w:val="24"/>
                <w:szCs w:val="24"/>
              </w:rPr>
            </w:pPr>
            <w:r w:rsidRPr="002C7C9A">
              <w:rPr>
                <w:rFonts w:ascii="Times New Roman" w:eastAsia="Calibri" w:hAnsi="Times New Roman" w:cs="Times New Roman"/>
                <w:sz w:val="24"/>
                <w:szCs w:val="24"/>
              </w:rPr>
              <w:t>COVID-19 Pandemic Response (RSP)</w:t>
            </w:r>
          </w:p>
        </w:tc>
        <w:tc>
          <w:tcPr>
            <w:tcW w:w="1530" w:type="dxa"/>
            <w:shd w:val="clear" w:color="auto" w:fill="FFFFFF"/>
          </w:tcPr>
          <w:p w:rsidR="002C7C9A" w:rsidRPr="0077497D" w:rsidP="00605F92" w14:paraId="5AE70DD2" w14:textId="0D113DB8">
            <w:pPr>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1440" w:type="dxa"/>
            <w:shd w:val="clear" w:color="auto" w:fill="FFFFFF"/>
          </w:tcPr>
          <w:p w:rsidR="002C7C9A" w:rsidRPr="0077497D" w:rsidP="00605F92" w14:paraId="6D0A25BA" w14:textId="280747F7">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350" w:type="dxa"/>
            <w:shd w:val="clear" w:color="auto" w:fill="FFFFFF"/>
          </w:tcPr>
          <w:p w:rsidR="002C7C9A" w:rsidRPr="0077497D" w:rsidP="00605F92" w14:paraId="395634C0" w14:textId="53DAE813">
            <w:pPr>
              <w:rPr>
                <w:rFonts w:ascii="Times New Roman" w:eastAsia="Calibri" w:hAnsi="Times New Roman" w:cs="Times New Roman"/>
                <w:sz w:val="24"/>
                <w:szCs w:val="24"/>
              </w:rPr>
            </w:pPr>
            <w:r>
              <w:rPr>
                <w:rFonts w:ascii="Times New Roman" w:eastAsia="Calibri" w:hAnsi="Times New Roman" w:cs="Times New Roman"/>
                <w:sz w:val="24"/>
                <w:szCs w:val="24"/>
              </w:rPr>
              <w:t>73/60</w:t>
            </w:r>
          </w:p>
        </w:tc>
        <w:tc>
          <w:tcPr>
            <w:tcW w:w="1080" w:type="dxa"/>
            <w:shd w:val="clear" w:color="auto" w:fill="FFFFFF"/>
          </w:tcPr>
          <w:p w:rsidR="002C7C9A" w:rsidRPr="0077497D" w:rsidP="00605F92" w14:paraId="3B327E0C" w14:textId="7A580BF1">
            <w:pPr>
              <w:rPr>
                <w:rFonts w:ascii="Times New Roman" w:eastAsia="Calibri" w:hAnsi="Times New Roman" w:cs="Times New Roman"/>
                <w:sz w:val="24"/>
                <w:szCs w:val="24"/>
              </w:rPr>
            </w:pPr>
            <w:r>
              <w:rPr>
                <w:rFonts w:ascii="Times New Roman" w:eastAsia="Calibri" w:hAnsi="Times New Roman" w:cs="Times New Roman"/>
                <w:sz w:val="24"/>
                <w:szCs w:val="24"/>
              </w:rPr>
              <w:t>75</w:t>
            </w:r>
          </w:p>
        </w:tc>
      </w:tr>
      <w:tr w14:paraId="585972D5" w14:textId="77777777" w:rsidTr="00164FA9">
        <w:tblPrEx>
          <w:tblW w:w="10075" w:type="dxa"/>
          <w:tblLayout w:type="fixed"/>
          <w:tblLook w:val="04A0"/>
        </w:tblPrEx>
        <w:tc>
          <w:tcPr>
            <w:tcW w:w="1525" w:type="dxa"/>
            <w:vMerge/>
            <w:shd w:val="clear" w:color="auto" w:fill="FFFFFF"/>
          </w:tcPr>
          <w:p w:rsidR="00C121BC" w:rsidRPr="0077497D" w:rsidP="00605F92" w14:paraId="5450A672"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350E4173" w14:textId="77777777">
            <w:pPr>
              <w:jc w:val="right"/>
              <w:rPr>
                <w:rFonts w:ascii="Times New Roman" w:eastAsia="Calibri" w:hAnsi="Times New Roman" w:cs="Times New Roman"/>
                <w:b/>
                <w:bCs/>
                <w:sz w:val="24"/>
                <w:szCs w:val="24"/>
              </w:rPr>
            </w:pPr>
            <w:r w:rsidRPr="0077497D">
              <w:rPr>
                <w:rFonts w:ascii="Times New Roman" w:eastAsia="Calibri" w:hAnsi="Times New Roman" w:cs="Times New Roman"/>
                <w:b/>
                <w:bCs/>
                <w:sz w:val="24"/>
                <w:szCs w:val="24"/>
              </w:rPr>
              <w:t>Subtotal, Module 3</w:t>
            </w:r>
          </w:p>
        </w:tc>
        <w:tc>
          <w:tcPr>
            <w:tcW w:w="1530" w:type="dxa"/>
            <w:shd w:val="clear" w:color="auto" w:fill="FFFFFF"/>
          </w:tcPr>
          <w:p w:rsidR="00C121BC" w:rsidRPr="0077497D" w:rsidP="00605F92" w14:paraId="7EF1B10A" w14:textId="77777777">
            <w:pPr>
              <w:jc w:val="right"/>
              <w:rPr>
                <w:rFonts w:ascii="Times New Roman" w:eastAsia="Calibri" w:hAnsi="Times New Roman" w:cs="Times New Roman"/>
                <w:b/>
                <w:bCs/>
                <w:sz w:val="24"/>
                <w:szCs w:val="24"/>
              </w:rPr>
            </w:pPr>
            <w:r w:rsidRPr="0077497D">
              <w:rPr>
                <w:rFonts w:ascii="Times New Roman" w:eastAsia="Calibri" w:hAnsi="Times New Roman" w:cs="Times New Roman"/>
                <w:b/>
                <w:bCs/>
                <w:sz w:val="24"/>
                <w:szCs w:val="24"/>
              </w:rPr>
              <w:t>62</w:t>
            </w:r>
          </w:p>
        </w:tc>
        <w:tc>
          <w:tcPr>
            <w:tcW w:w="1440" w:type="dxa"/>
            <w:shd w:val="clear" w:color="auto" w:fill="FFFFFF"/>
          </w:tcPr>
          <w:p w:rsidR="00C121BC" w:rsidRPr="0077497D" w:rsidP="00605F92" w14:paraId="1921CBCA" w14:textId="77777777">
            <w:pPr>
              <w:jc w:val="right"/>
              <w:rPr>
                <w:rFonts w:ascii="Times New Roman" w:eastAsia="Calibri" w:hAnsi="Times New Roman" w:cs="Times New Roman"/>
                <w:b/>
                <w:bCs/>
                <w:sz w:val="24"/>
                <w:szCs w:val="24"/>
              </w:rPr>
            </w:pPr>
          </w:p>
        </w:tc>
        <w:tc>
          <w:tcPr>
            <w:tcW w:w="1350" w:type="dxa"/>
            <w:shd w:val="clear" w:color="auto" w:fill="FFFFFF"/>
          </w:tcPr>
          <w:p w:rsidR="00C121BC" w:rsidRPr="0077497D" w:rsidP="00605F92" w14:paraId="4093C14D" w14:textId="77777777">
            <w:pPr>
              <w:rPr>
                <w:rFonts w:ascii="Times New Roman" w:eastAsia="Calibri" w:hAnsi="Times New Roman" w:cs="Times New Roman"/>
                <w:b/>
                <w:bCs/>
                <w:sz w:val="24"/>
                <w:szCs w:val="24"/>
              </w:rPr>
            </w:pPr>
          </w:p>
        </w:tc>
        <w:tc>
          <w:tcPr>
            <w:tcW w:w="1080" w:type="dxa"/>
            <w:shd w:val="clear" w:color="auto" w:fill="FFFFFF"/>
          </w:tcPr>
          <w:p w:rsidR="00C121BC" w:rsidRPr="0077497D" w:rsidP="00605F92" w14:paraId="7F6B744C" w14:textId="22F4FC93">
            <w:pPr>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526</w:t>
            </w:r>
          </w:p>
        </w:tc>
      </w:tr>
      <w:tr w14:paraId="6165ADC3" w14:textId="77777777" w:rsidTr="00164FA9">
        <w:tblPrEx>
          <w:tblW w:w="10075" w:type="dxa"/>
          <w:tblLayout w:type="fixed"/>
          <w:tblLook w:val="04A0"/>
        </w:tblPrEx>
        <w:tc>
          <w:tcPr>
            <w:tcW w:w="1525" w:type="dxa"/>
            <w:vMerge w:val="restart"/>
            <w:shd w:val="clear" w:color="auto" w:fill="FFFFFF"/>
          </w:tcPr>
          <w:p w:rsidR="00C121BC" w:rsidRPr="0077497D" w:rsidP="00605F92" w14:paraId="7A972C84" w14:textId="77777777">
            <w:pPr>
              <w:rPr>
                <w:rFonts w:ascii="Times New Roman" w:eastAsia="Calibri" w:hAnsi="Times New Roman" w:cs="Times New Roman"/>
                <w:sz w:val="24"/>
                <w:szCs w:val="24"/>
              </w:rPr>
            </w:pPr>
            <w:r w:rsidRPr="0077497D">
              <w:rPr>
                <w:rFonts w:ascii="Times New Roman" w:eastAsia="Calibri" w:hAnsi="Times New Roman" w:cs="Times New Roman"/>
                <w:sz w:val="24"/>
                <w:szCs w:val="24"/>
              </w:rPr>
              <w:t>PHEP Awardees: Major Metropolitan Area Jurisdictions</w:t>
            </w:r>
          </w:p>
        </w:tc>
        <w:tc>
          <w:tcPr>
            <w:tcW w:w="3150" w:type="dxa"/>
            <w:shd w:val="clear" w:color="auto" w:fill="FFFFFF"/>
          </w:tcPr>
          <w:p w:rsidR="00C121BC" w:rsidRPr="0077497D" w:rsidP="00605F92" w14:paraId="1493CDAD"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Facility setup drill</w:t>
            </w:r>
          </w:p>
        </w:tc>
        <w:tc>
          <w:tcPr>
            <w:tcW w:w="1530" w:type="dxa"/>
            <w:shd w:val="clear" w:color="auto" w:fill="FFFFFF"/>
          </w:tcPr>
          <w:p w:rsidR="00C121BC" w:rsidRPr="0077497D" w:rsidP="00605F92" w14:paraId="054613EF"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4</w:t>
            </w:r>
          </w:p>
        </w:tc>
        <w:tc>
          <w:tcPr>
            <w:tcW w:w="1440" w:type="dxa"/>
            <w:shd w:val="clear" w:color="auto" w:fill="FFFFFF"/>
          </w:tcPr>
          <w:p w:rsidR="00C121BC" w:rsidRPr="0077497D" w:rsidP="00605F92" w14:paraId="6C776022"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3AAFEDEA"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45/60</w:t>
            </w:r>
          </w:p>
        </w:tc>
        <w:tc>
          <w:tcPr>
            <w:tcW w:w="1080" w:type="dxa"/>
            <w:shd w:val="clear" w:color="auto" w:fill="FFFFFF"/>
          </w:tcPr>
          <w:p w:rsidR="00C121BC" w:rsidRPr="0077497D" w:rsidP="00605F92" w14:paraId="0A4703B3"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3</w:t>
            </w:r>
          </w:p>
        </w:tc>
      </w:tr>
      <w:tr w14:paraId="3CAA7C4D" w14:textId="77777777" w:rsidTr="00164FA9">
        <w:tblPrEx>
          <w:tblW w:w="10075" w:type="dxa"/>
          <w:tblLayout w:type="fixed"/>
          <w:tblLook w:val="04A0"/>
        </w:tblPrEx>
        <w:tc>
          <w:tcPr>
            <w:tcW w:w="1525" w:type="dxa"/>
            <w:vMerge/>
            <w:shd w:val="clear" w:color="auto" w:fill="FFFFFF"/>
          </w:tcPr>
          <w:p w:rsidR="00C121BC" w:rsidRPr="0077497D" w:rsidP="00605F92" w14:paraId="14C7F379"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55D4366F"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Site activation drill</w:t>
            </w:r>
          </w:p>
        </w:tc>
        <w:tc>
          <w:tcPr>
            <w:tcW w:w="1530" w:type="dxa"/>
            <w:shd w:val="clear" w:color="auto" w:fill="FFFFFF"/>
          </w:tcPr>
          <w:p w:rsidR="00C121BC" w:rsidRPr="0077497D" w:rsidP="00605F92" w14:paraId="4939131F"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4</w:t>
            </w:r>
          </w:p>
        </w:tc>
        <w:tc>
          <w:tcPr>
            <w:tcW w:w="1440" w:type="dxa"/>
            <w:shd w:val="clear" w:color="auto" w:fill="FFFFFF"/>
          </w:tcPr>
          <w:p w:rsidR="00C121BC" w:rsidRPr="0077497D" w:rsidP="00605F92" w14:paraId="2D9F5B16"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350" w:type="dxa"/>
            <w:shd w:val="clear" w:color="auto" w:fill="FFFFFF"/>
          </w:tcPr>
          <w:p w:rsidR="00C121BC" w:rsidRPr="0077497D" w:rsidP="00605F92" w14:paraId="55763821"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1</w:t>
            </w:r>
          </w:p>
        </w:tc>
        <w:tc>
          <w:tcPr>
            <w:tcW w:w="1080" w:type="dxa"/>
            <w:shd w:val="clear" w:color="auto" w:fill="FFFFFF"/>
          </w:tcPr>
          <w:p w:rsidR="00C121BC" w:rsidRPr="0077497D" w:rsidP="00605F92" w14:paraId="33541B5D" w14:textId="77777777">
            <w:pPr>
              <w:rPr>
                <w:rFonts w:ascii="Times New Roman" w:eastAsia="Calibri" w:hAnsi="Times New Roman" w:cs="Times New Roman"/>
                <w:b/>
                <w:bCs/>
                <w:sz w:val="24"/>
                <w:szCs w:val="24"/>
              </w:rPr>
            </w:pPr>
            <w:r w:rsidRPr="0077497D">
              <w:rPr>
                <w:rFonts w:ascii="Times New Roman" w:eastAsia="Calibri" w:hAnsi="Times New Roman" w:cs="Times New Roman"/>
                <w:sz w:val="24"/>
                <w:szCs w:val="24"/>
              </w:rPr>
              <w:t>4</w:t>
            </w:r>
          </w:p>
        </w:tc>
      </w:tr>
      <w:tr w14:paraId="1A8394F8" w14:textId="77777777" w:rsidTr="00D9655C">
        <w:tblPrEx>
          <w:tblW w:w="10075" w:type="dxa"/>
          <w:tblLayout w:type="fixed"/>
          <w:tblLook w:val="04A0"/>
        </w:tblPrEx>
        <w:tc>
          <w:tcPr>
            <w:tcW w:w="1525" w:type="dxa"/>
            <w:vMerge/>
            <w:shd w:val="clear" w:color="auto" w:fill="FFFFFF"/>
          </w:tcPr>
          <w:p w:rsidR="00C121BC" w:rsidRPr="0077497D" w:rsidP="00605F92" w14:paraId="736F74AE" w14:textId="77777777">
            <w:pPr>
              <w:rPr>
                <w:rFonts w:ascii="Times New Roman" w:eastAsia="Calibri" w:hAnsi="Times New Roman" w:cs="Times New Roman"/>
                <w:b/>
                <w:bCs/>
                <w:sz w:val="24"/>
                <w:szCs w:val="24"/>
              </w:rPr>
            </w:pPr>
          </w:p>
        </w:tc>
        <w:tc>
          <w:tcPr>
            <w:tcW w:w="3150" w:type="dxa"/>
            <w:shd w:val="clear" w:color="auto" w:fill="auto"/>
          </w:tcPr>
          <w:p w:rsidR="00C121BC" w:rsidRPr="00D9655C" w:rsidP="00605F92" w14:paraId="15DC27D5" w14:textId="77777777">
            <w:pPr>
              <w:rPr>
                <w:rFonts w:ascii="Times New Roman" w:eastAsia="Calibri" w:hAnsi="Times New Roman" w:cs="Times New Roman"/>
                <w:b/>
                <w:bCs/>
                <w:sz w:val="24"/>
                <w:szCs w:val="24"/>
              </w:rPr>
            </w:pPr>
            <w:r w:rsidRPr="00D9655C">
              <w:rPr>
                <w:rFonts w:ascii="Times New Roman" w:eastAsia="Calibri" w:hAnsi="Times New Roman" w:cs="Times New Roman"/>
                <w:sz w:val="24"/>
                <w:szCs w:val="24"/>
              </w:rPr>
              <w:t>Staff notification and assembly drill</w:t>
            </w:r>
          </w:p>
        </w:tc>
        <w:tc>
          <w:tcPr>
            <w:tcW w:w="1530" w:type="dxa"/>
            <w:shd w:val="clear" w:color="auto" w:fill="auto"/>
          </w:tcPr>
          <w:p w:rsidR="00C121BC" w:rsidRPr="00D9655C" w:rsidP="00605F92" w14:paraId="39F0CA28" w14:textId="77777777">
            <w:pPr>
              <w:rPr>
                <w:rFonts w:ascii="Times New Roman" w:eastAsia="Calibri" w:hAnsi="Times New Roman" w:cs="Times New Roman"/>
                <w:b/>
                <w:bCs/>
                <w:sz w:val="24"/>
                <w:szCs w:val="24"/>
              </w:rPr>
            </w:pPr>
            <w:r w:rsidRPr="00D9655C">
              <w:rPr>
                <w:rFonts w:ascii="Times New Roman" w:eastAsia="Calibri" w:hAnsi="Times New Roman" w:cs="Times New Roman"/>
                <w:sz w:val="24"/>
                <w:szCs w:val="24"/>
              </w:rPr>
              <w:t>4</w:t>
            </w:r>
          </w:p>
        </w:tc>
        <w:tc>
          <w:tcPr>
            <w:tcW w:w="1440" w:type="dxa"/>
            <w:shd w:val="clear" w:color="auto" w:fill="auto"/>
          </w:tcPr>
          <w:p w:rsidR="00C121BC" w:rsidRPr="00D9655C" w:rsidP="00605F92" w14:paraId="658827B6" w14:textId="77777777">
            <w:pPr>
              <w:rPr>
                <w:rFonts w:ascii="Times New Roman" w:eastAsia="Calibri" w:hAnsi="Times New Roman" w:cs="Times New Roman"/>
                <w:b/>
                <w:bCs/>
                <w:sz w:val="24"/>
                <w:szCs w:val="24"/>
              </w:rPr>
            </w:pPr>
            <w:r w:rsidRPr="00D9655C">
              <w:rPr>
                <w:rFonts w:ascii="Times New Roman" w:eastAsia="Calibri" w:hAnsi="Times New Roman" w:cs="Times New Roman"/>
                <w:sz w:val="24"/>
                <w:szCs w:val="24"/>
              </w:rPr>
              <w:t>1</w:t>
            </w:r>
          </w:p>
        </w:tc>
        <w:tc>
          <w:tcPr>
            <w:tcW w:w="1350" w:type="dxa"/>
            <w:shd w:val="clear" w:color="auto" w:fill="auto"/>
          </w:tcPr>
          <w:p w:rsidR="00C121BC" w:rsidRPr="00D9655C" w:rsidP="00605F92" w14:paraId="33686063" w14:textId="77777777">
            <w:pPr>
              <w:rPr>
                <w:rFonts w:ascii="Times New Roman" w:eastAsia="Calibri" w:hAnsi="Times New Roman" w:cs="Times New Roman"/>
                <w:b/>
                <w:bCs/>
                <w:sz w:val="24"/>
                <w:szCs w:val="24"/>
              </w:rPr>
            </w:pPr>
            <w:r w:rsidRPr="00D9655C">
              <w:rPr>
                <w:rFonts w:ascii="Times New Roman" w:eastAsia="Calibri" w:hAnsi="Times New Roman" w:cs="Times New Roman"/>
                <w:sz w:val="24"/>
                <w:szCs w:val="24"/>
              </w:rPr>
              <w:t>1</w:t>
            </w:r>
          </w:p>
        </w:tc>
        <w:tc>
          <w:tcPr>
            <w:tcW w:w="1080" w:type="dxa"/>
            <w:shd w:val="clear" w:color="auto" w:fill="auto"/>
          </w:tcPr>
          <w:p w:rsidR="00C121BC" w:rsidRPr="00D9655C" w:rsidP="00605F92" w14:paraId="464685B0" w14:textId="77777777">
            <w:pPr>
              <w:rPr>
                <w:rFonts w:ascii="Times New Roman" w:eastAsia="Calibri" w:hAnsi="Times New Roman" w:cs="Times New Roman"/>
                <w:b/>
                <w:bCs/>
                <w:sz w:val="24"/>
                <w:szCs w:val="24"/>
              </w:rPr>
            </w:pPr>
            <w:r w:rsidRPr="00D9655C">
              <w:rPr>
                <w:rFonts w:ascii="Times New Roman" w:eastAsia="Calibri" w:hAnsi="Times New Roman" w:cs="Times New Roman"/>
                <w:sz w:val="24"/>
                <w:szCs w:val="24"/>
              </w:rPr>
              <w:t>4</w:t>
            </w:r>
          </w:p>
        </w:tc>
      </w:tr>
      <w:tr w14:paraId="4161D646" w14:textId="77777777" w:rsidTr="00D9655C">
        <w:tblPrEx>
          <w:tblW w:w="10075" w:type="dxa"/>
          <w:tblLayout w:type="fixed"/>
          <w:tblLook w:val="04A0"/>
        </w:tblPrEx>
        <w:tc>
          <w:tcPr>
            <w:tcW w:w="1525" w:type="dxa"/>
            <w:vMerge/>
            <w:shd w:val="clear" w:color="auto" w:fill="FFFFFF"/>
          </w:tcPr>
          <w:p w:rsidR="00C121BC" w:rsidRPr="0077497D" w:rsidP="00605F92" w14:paraId="44F6B460" w14:textId="77777777">
            <w:pPr>
              <w:rPr>
                <w:rFonts w:ascii="Times New Roman" w:eastAsia="Calibri" w:hAnsi="Times New Roman" w:cs="Times New Roman"/>
                <w:b/>
                <w:bCs/>
                <w:sz w:val="24"/>
                <w:szCs w:val="24"/>
              </w:rPr>
            </w:pPr>
          </w:p>
        </w:tc>
        <w:tc>
          <w:tcPr>
            <w:tcW w:w="3150" w:type="dxa"/>
            <w:shd w:val="clear" w:color="auto" w:fill="auto"/>
          </w:tcPr>
          <w:p w:rsidR="00C121BC" w:rsidRPr="00D9655C" w:rsidP="00605F92" w14:paraId="4772AF40" w14:textId="77777777">
            <w:pPr>
              <w:rPr>
                <w:rFonts w:ascii="Times New Roman" w:eastAsia="Calibri" w:hAnsi="Times New Roman" w:cs="Times New Roman"/>
                <w:b/>
                <w:bCs/>
                <w:sz w:val="24"/>
                <w:szCs w:val="24"/>
              </w:rPr>
            </w:pPr>
            <w:r w:rsidRPr="00D9655C">
              <w:rPr>
                <w:rFonts w:ascii="Times New Roman" w:eastAsia="Calibri" w:hAnsi="Times New Roman" w:cs="Times New Roman"/>
                <w:sz w:val="24"/>
                <w:szCs w:val="24"/>
              </w:rPr>
              <w:t>Dispensing throughput drill</w:t>
            </w:r>
          </w:p>
        </w:tc>
        <w:tc>
          <w:tcPr>
            <w:tcW w:w="1530" w:type="dxa"/>
            <w:shd w:val="clear" w:color="auto" w:fill="auto"/>
          </w:tcPr>
          <w:p w:rsidR="00C121BC" w:rsidRPr="00D9655C" w:rsidP="00605F92" w14:paraId="15BA0511" w14:textId="77777777">
            <w:pPr>
              <w:rPr>
                <w:rFonts w:ascii="Times New Roman" w:eastAsia="Calibri" w:hAnsi="Times New Roman" w:cs="Times New Roman"/>
                <w:b/>
                <w:bCs/>
                <w:sz w:val="24"/>
                <w:szCs w:val="24"/>
              </w:rPr>
            </w:pPr>
            <w:r w:rsidRPr="00D9655C">
              <w:rPr>
                <w:rFonts w:ascii="Times New Roman" w:eastAsia="Calibri" w:hAnsi="Times New Roman" w:cs="Times New Roman"/>
                <w:sz w:val="24"/>
                <w:szCs w:val="24"/>
              </w:rPr>
              <w:t>4</w:t>
            </w:r>
          </w:p>
        </w:tc>
        <w:tc>
          <w:tcPr>
            <w:tcW w:w="1440" w:type="dxa"/>
            <w:shd w:val="clear" w:color="auto" w:fill="auto"/>
          </w:tcPr>
          <w:p w:rsidR="00C121BC" w:rsidRPr="00D9655C" w:rsidP="00605F92" w14:paraId="1C611659" w14:textId="77777777">
            <w:pPr>
              <w:rPr>
                <w:rFonts w:ascii="Times New Roman" w:eastAsia="Calibri" w:hAnsi="Times New Roman" w:cs="Times New Roman"/>
                <w:b/>
                <w:bCs/>
                <w:sz w:val="24"/>
                <w:szCs w:val="24"/>
              </w:rPr>
            </w:pPr>
            <w:r w:rsidRPr="00D9655C">
              <w:rPr>
                <w:rFonts w:ascii="Times New Roman" w:eastAsia="Calibri" w:hAnsi="Times New Roman" w:cs="Times New Roman"/>
                <w:sz w:val="24"/>
                <w:szCs w:val="24"/>
              </w:rPr>
              <w:t>1</w:t>
            </w:r>
          </w:p>
        </w:tc>
        <w:tc>
          <w:tcPr>
            <w:tcW w:w="1350" w:type="dxa"/>
            <w:shd w:val="clear" w:color="auto" w:fill="auto"/>
          </w:tcPr>
          <w:p w:rsidR="00C121BC" w:rsidRPr="00D9655C" w:rsidP="00605F92" w14:paraId="53A31E83" w14:textId="77777777">
            <w:pPr>
              <w:rPr>
                <w:rFonts w:ascii="Times New Roman" w:eastAsia="Calibri" w:hAnsi="Times New Roman" w:cs="Times New Roman"/>
                <w:b/>
                <w:bCs/>
                <w:sz w:val="24"/>
                <w:szCs w:val="24"/>
              </w:rPr>
            </w:pPr>
            <w:r w:rsidRPr="00D9655C">
              <w:rPr>
                <w:rFonts w:ascii="Times New Roman" w:eastAsia="Calibri" w:hAnsi="Times New Roman" w:cs="Times New Roman"/>
                <w:sz w:val="24"/>
                <w:szCs w:val="24"/>
              </w:rPr>
              <w:t>12/60</w:t>
            </w:r>
          </w:p>
        </w:tc>
        <w:tc>
          <w:tcPr>
            <w:tcW w:w="1080" w:type="dxa"/>
            <w:shd w:val="clear" w:color="auto" w:fill="auto"/>
          </w:tcPr>
          <w:p w:rsidR="00C121BC" w:rsidRPr="00D9655C" w:rsidP="00605F92" w14:paraId="33D65AB0" w14:textId="77777777">
            <w:pPr>
              <w:rPr>
                <w:rFonts w:ascii="Times New Roman" w:eastAsia="Calibri" w:hAnsi="Times New Roman" w:cs="Times New Roman"/>
                <w:b/>
                <w:bCs/>
                <w:sz w:val="24"/>
                <w:szCs w:val="24"/>
              </w:rPr>
            </w:pPr>
            <w:r w:rsidRPr="00D9655C">
              <w:rPr>
                <w:rFonts w:ascii="Times New Roman" w:eastAsia="Calibri" w:hAnsi="Times New Roman" w:cs="Times New Roman"/>
                <w:sz w:val="24"/>
                <w:szCs w:val="24"/>
              </w:rPr>
              <w:t>1</w:t>
            </w:r>
          </w:p>
        </w:tc>
      </w:tr>
      <w:tr w14:paraId="0AAAF0C0" w14:textId="77777777" w:rsidTr="00D9655C">
        <w:tblPrEx>
          <w:tblW w:w="10075" w:type="dxa"/>
          <w:tblLayout w:type="fixed"/>
          <w:tblLook w:val="04A0"/>
        </w:tblPrEx>
        <w:tc>
          <w:tcPr>
            <w:tcW w:w="1525" w:type="dxa"/>
            <w:vMerge/>
            <w:shd w:val="clear" w:color="auto" w:fill="FFFFFF"/>
          </w:tcPr>
          <w:p w:rsidR="00C121BC" w:rsidRPr="0077497D" w:rsidP="00605F92" w14:paraId="61660814" w14:textId="77777777">
            <w:pPr>
              <w:rPr>
                <w:rFonts w:ascii="Times New Roman" w:eastAsia="Calibri" w:hAnsi="Times New Roman" w:cs="Times New Roman"/>
                <w:b/>
                <w:bCs/>
                <w:sz w:val="24"/>
                <w:szCs w:val="24"/>
              </w:rPr>
            </w:pPr>
          </w:p>
        </w:tc>
        <w:tc>
          <w:tcPr>
            <w:tcW w:w="3150" w:type="dxa"/>
            <w:shd w:val="clear" w:color="auto" w:fill="auto"/>
          </w:tcPr>
          <w:p w:rsidR="00C121BC" w:rsidRPr="00D9655C" w:rsidP="00605F92" w14:paraId="2250E080" w14:textId="77777777">
            <w:pPr>
              <w:rPr>
                <w:rFonts w:ascii="Times New Roman" w:eastAsia="Calibri" w:hAnsi="Times New Roman" w:cs="Times New Roman"/>
                <w:b/>
                <w:bCs/>
                <w:sz w:val="24"/>
                <w:szCs w:val="24"/>
              </w:rPr>
            </w:pPr>
            <w:r w:rsidRPr="00D9655C">
              <w:rPr>
                <w:rFonts w:ascii="Times New Roman" w:eastAsia="Calibri" w:hAnsi="Times New Roman" w:cs="Times New Roman"/>
                <w:sz w:val="24"/>
                <w:szCs w:val="24"/>
              </w:rPr>
              <w:t>Five-year dispensing full-scale exercise or incident</w:t>
            </w:r>
          </w:p>
        </w:tc>
        <w:tc>
          <w:tcPr>
            <w:tcW w:w="1530" w:type="dxa"/>
            <w:shd w:val="clear" w:color="auto" w:fill="auto"/>
          </w:tcPr>
          <w:p w:rsidR="00C121BC" w:rsidRPr="00D9655C" w:rsidP="00605F92" w14:paraId="13C1644C" w14:textId="77777777">
            <w:pPr>
              <w:rPr>
                <w:rFonts w:ascii="Times New Roman" w:eastAsia="Calibri" w:hAnsi="Times New Roman" w:cs="Times New Roman"/>
                <w:b/>
                <w:bCs/>
                <w:sz w:val="24"/>
                <w:szCs w:val="24"/>
              </w:rPr>
            </w:pPr>
            <w:r w:rsidRPr="00D9655C">
              <w:rPr>
                <w:rFonts w:ascii="Times New Roman" w:eastAsia="Calibri" w:hAnsi="Times New Roman" w:cs="Times New Roman"/>
                <w:sz w:val="24"/>
                <w:szCs w:val="24"/>
              </w:rPr>
              <w:t>4</w:t>
            </w:r>
          </w:p>
        </w:tc>
        <w:tc>
          <w:tcPr>
            <w:tcW w:w="1440" w:type="dxa"/>
            <w:shd w:val="clear" w:color="auto" w:fill="auto"/>
          </w:tcPr>
          <w:p w:rsidR="00C121BC" w:rsidRPr="00D9655C" w:rsidP="00605F92" w14:paraId="7D316A42" w14:textId="77777777">
            <w:pPr>
              <w:rPr>
                <w:rFonts w:ascii="Times New Roman" w:eastAsia="Calibri" w:hAnsi="Times New Roman" w:cs="Times New Roman"/>
                <w:b/>
                <w:bCs/>
                <w:sz w:val="24"/>
                <w:szCs w:val="24"/>
              </w:rPr>
            </w:pPr>
            <w:r w:rsidRPr="00D9655C">
              <w:rPr>
                <w:rFonts w:ascii="Times New Roman" w:eastAsia="Calibri" w:hAnsi="Times New Roman" w:cs="Times New Roman"/>
                <w:sz w:val="24"/>
                <w:szCs w:val="24"/>
              </w:rPr>
              <w:t>1</w:t>
            </w:r>
          </w:p>
        </w:tc>
        <w:tc>
          <w:tcPr>
            <w:tcW w:w="1350" w:type="dxa"/>
            <w:shd w:val="clear" w:color="auto" w:fill="auto"/>
          </w:tcPr>
          <w:p w:rsidR="00C121BC" w:rsidRPr="00D9655C" w:rsidP="00605F92" w14:paraId="6BC65E16" w14:textId="77777777">
            <w:pPr>
              <w:rPr>
                <w:rFonts w:ascii="Times New Roman" w:eastAsia="Calibri" w:hAnsi="Times New Roman" w:cs="Times New Roman"/>
                <w:b/>
                <w:bCs/>
                <w:sz w:val="24"/>
                <w:szCs w:val="24"/>
              </w:rPr>
            </w:pPr>
            <w:r w:rsidRPr="00D9655C">
              <w:rPr>
                <w:rFonts w:ascii="Times New Roman" w:eastAsia="Calibri" w:hAnsi="Times New Roman" w:cs="Times New Roman"/>
                <w:sz w:val="24"/>
                <w:szCs w:val="24"/>
              </w:rPr>
              <w:t>6/60</w:t>
            </w:r>
          </w:p>
        </w:tc>
        <w:tc>
          <w:tcPr>
            <w:tcW w:w="1080" w:type="dxa"/>
            <w:shd w:val="clear" w:color="auto" w:fill="auto"/>
          </w:tcPr>
          <w:p w:rsidR="00C121BC" w:rsidRPr="00D9655C" w:rsidP="00605F92" w14:paraId="3414526D" w14:textId="2B8A46BB">
            <w:pPr>
              <w:rPr>
                <w:rFonts w:ascii="Times New Roman" w:eastAsia="Calibri" w:hAnsi="Times New Roman" w:cs="Times New Roman"/>
                <w:b/>
                <w:bCs/>
                <w:sz w:val="24"/>
                <w:szCs w:val="24"/>
              </w:rPr>
            </w:pPr>
            <w:r w:rsidRPr="00D9655C">
              <w:rPr>
                <w:rFonts w:ascii="Times New Roman" w:eastAsia="Calibri" w:hAnsi="Times New Roman" w:cs="Times New Roman"/>
                <w:sz w:val="24"/>
                <w:szCs w:val="24"/>
              </w:rPr>
              <w:t>0</w:t>
            </w:r>
          </w:p>
        </w:tc>
      </w:tr>
      <w:tr w14:paraId="101C428F" w14:textId="77777777" w:rsidTr="00D9655C">
        <w:tblPrEx>
          <w:tblW w:w="10075" w:type="dxa"/>
          <w:tblLayout w:type="fixed"/>
          <w:tblLook w:val="04A0"/>
        </w:tblPrEx>
        <w:tc>
          <w:tcPr>
            <w:tcW w:w="1525" w:type="dxa"/>
            <w:vMerge/>
            <w:shd w:val="clear" w:color="auto" w:fill="FFFFFF"/>
          </w:tcPr>
          <w:p w:rsidR="00C121BC" w:rsidRPr="0077497D" w:rsidP="00605F92" w14:paraId="5AE29E5C" w14:textId="77777777">
            <w:pPr>
              <w:rPr>
                <w:rFonts w:ascii="Times New Roman" w:eastAsia="Calibri" w:hAnsi="Times New Roman" w:cs="Times New Roman"/>
                <w:b/>
                <w:bCs/>
                <w:sz w:val="24"/>
                <w:szCs w:val="24"/>
              </w:rPr>
            </w:pPr>
          </w:p>
        </w:tc>
        <w:tc>
          <w:tcPr>
            <w:tcW w:w="3150" w:type="dxa"/>
            <w:shd w:val="clear" w:color="auto" w:fill="auto"/>
          </w:tcPr>
          <w:p w:rsidR="00C121BC" w:rsidRPr="00D9655C" w:rsidP="00605F92" w14:paraId="42E21A7F" w14:textId="77777777">
            <w:pPr>
              <w:rPr>
                <w:rFonts w:ascii="Times New Roman" w:eastAsia="Calibri" w:hAnsi="Times New Roman" w:cs="Times New Roman"/>
                <w:b/>
                <w:bCs/>
                <w:sz w:val="24"/>
                <w:szCs w:val="24"/>
              </w:rPr>
            </w:pPr>
            <w:r w:rsidRPr="00D9655C">
              <w:rPr>
                <w:rFonts w:ascii="Times New Roman" w:eastAsia="Calibri" w:hAnsi="Times New Roman" w:cs="Times New Roman"/>
                <w:sz w:val="24"/>
                <w:szCs w:val="24"/>
              </w:rPr>
              <w:t>Five-year dispensing full-scale exercise for each point of dispensing site exercised</w:t>
            </w:r>
          </w:p>
        </w:tc>
        <w:tc>
          <w:tcPr>
            <w:tcW w:w="1530" w:type="dxa"/>
            <w:shd w:val="clear" w:color="auto" w:fill="auto"/>
          </w:tcPr>
          <w:p w:rsidR="00C121BC" w:rsidRPr="00D9655C" w:rsidP="00605F92" w14:paraId="771F4344" w14:textId="77777777">
            <w:pPr>
              <w:rPr>
                <w:rFonts w:ascii="Times New Roman" w:eastAsia="Calibri" w:hAnsi="Times New Roman" w:cs="Times New Roman"/>
                <w:b/>
                <w:bCs/>
                <w:sz w:val="24"/>
                <w:szCs w:val="24"/>
              </w:rPr>
            </w:pPr>
            <w:r w:rsidRPr="00D9655C">
              <w:rPr>
                <w:rFonts w:ascii="Times New Roman" w:eastAsia="Calibri" w:hAnsi="Times New Roman" w:cs="Times New Roman"/>
                <w:sz w:val="24"/>
                <w:szCs w:val="24"/>
              </w:rPr>
              <w:t>4</w:t>
            </w:r>
          </w:p>
        </w:tc>
        <w:tc>
          <w:tcPr>
            <w:tcW w:w="1440" w:type="dxa"/>
            <w:shd w:val="clear" w:color="auto" w:fill="auto"/>
          </w:tcPr>
          <w:p w:rsidR="00C121BC" w:rsidRPr="00D9655C" w:rsidP="00605F92" w14:paraId="05646C56" w14:textId="77777777">
            <w:pPr>
              <w:rPr>
                <w:rFonts w:ascii="Times New Roman" w:eastAsia="Calibri" w:hAnsi="Times New Roman" w:cs="Times New Roman"/>
                <w:b/>
                <w:bCs/>
                <w:sz w:val="24"/>
                <w:szCs w:val="24"/>
              </w:rPr>
            </w:pPr>
            <w:r w:rsidRPr="00D9655C">
              <w:rPr>
                <w:rFonts w:ascii="Times New Roman" w:eastAsia="Calibri" w:hAnsi="Times New Roman" w:cs="Times New Roman"/>
                <w:sz w:val="24"/>
                <w:szCs w:val="24"/>
              </w:rPr>
              <w:t>1</w:t>
            </w:r>
          </w:p>
        </w:tc>
        <w:tc>
          <w:tcPr>
            <w:tcW w:w="1350" w:type="dxa"/>
            <w:shd w:val="clear" w:color="auto" w:fill="auto"/>
          </w:tcPr>
          <w:p w:rsidR="00C121BC" w:rsidRPr="00D9655C" w:rsidP="00605F92" w14:paraId="789CD09E" w14:textId="77777777">
            <w:pPr>
              <w:rPr>
                <w:rFonts w:ascii="Times New Roman" w:eastAsia="Calibri" w:hAnsi="Times New Roman" w:cs="Times New Roman"/>
                <w:b/>
                <w:bCs/>
                <w:sz w:val="24"/>
                <w:szCs w:val="24"/>
              </w:rPr>
            </w:pPr>
            <w:r w:rsidRPr="00D9655C">
              <w:rPr>
                <w:rFonts w:ascii="Times New Roman" w:eastAsia="Calibri" w:hAnsi="Times New Roman" w:cs="Times New Roman"/>
                <w:sz w:val="24"/>
                <w:szCs w:val="24"/>
              </w:rPr>
              <w:t>6/60</w:t>
            </w:r>
          </w:p>
        </w:tc>
        <w:tc>
          <w:tcPr>
            <w:tcW w:w="1080" w:type="dxa"/>
            <w:shd w:val="clear" w:color="auto" w:fill="auto"/>
          </w:tcPr>
          <w:p w:rsidR="00C121BC" w:rsidRPr="00D9655C" w:rsidP="00605F92" w14:paraId="32FC3223" w14:textId="060C7CC2">
            <w:pPr>
              <w:rPr>
                <w:rFonts w:ascii="Times New Roman" w:eastAsia="Calibri" w:hAnsi="Times New Roman" w:cs="Times New Roman"/>
                <w:b/>
                <w:bCs/>
                <w:sz w:val="24"/>
                <w:szCs w:val="24"/>
              </w:rPr>
            </w:pPr>
            <w:r w:rsidRPr="00D9655C">
              <w:rPr>
                <w:rFonts w:ascii="Times New Roman" w:eastAsia="Calibri" w:hAnsi="Times New Roman" w:cs="Times New Roman"/>
                <w:sz w:val="24"/>
                <w:szCs w:val="24"/>
              </w:rPr>
              <w:t>0</w:t>
            </w:r>
          </w:p>
        </w:tc>
      </w:tr>
      <w:tr w14:paraId="69CB750D" w14:textId="77777777" w:rsidTr="00164FA9">
        <w:tblPrEx>
          <w:tblW w:w="10075" w:type="dxa"/>
          <w:tblLayout w:type="fixed"/>
          <w:tblLook w:val="04A0"/>
        </w:tblPrEx>
        <w:tc>
          <w:tcPr>
            <w:tcW w:w="1525" w:type="dxa"/>
            <w:vMerge/>
            <w:shd w:val="clear" w:color="auto" w:fill="FFFFFF"/>
          </w:tcPr>
          <w:p w:rsidR="00C121BC" w:rsidRPr="0077497D" w:rsidP="00605F92" w14:paraId="27321342"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4719A45E" w14:textId="77777777">
            <w:pPr>
              <w:jc w:val="right"/>
              <w:rPr>
                <w:rFonts w:ascii="Times New Roman" w:eastAsia="Calibri" w:hAnsi="Times New Roman" w:cs="Times New Roman"/>
                <w:b/>
                <w:bCs/>
                <w:sz w:val="24"/>
                <w:szCs w:val="24"/>
              </w:rPr>
            </w:pPr>
            <w:r w:rsidRPr="0077497D">
              <w:rPr>
                <w:rFonts w:ascii="Times New Roman" w:eastAsia="Calibri" w:hAnsi="Times New Roman" w:cs="Times New Roman"/>
                <w:b/>
                <w:bCs/>
                <w:sz w:val="24"/>
                <w:szCs w:val="24"/>
              </w:rPr>
              <w:t>Subtotal, Module 3, Additional reporting</w:t>
            </w:r>
          </w:p>
        </w:tc>
        <w:tc>
          <w:tcPr>
            <w:tcW w:w="1530" w:type="dxa"/>
            <w:shd w:val="clear" w:color="auto" w:fill="FFFFFF"/>
          </w:tcPr>
          <w:p w:rsidR="00C121BC" w:rsidRPr="0077497D" w:rsidP="00605F92" w14:paraId="3DC37860" w14:textId="77777777">
            <w:pPr>
              <w:rPr>
                <w:rFonts w:ascii="Times New Roman" w:eastAsia="Calibri" w:hAnsi="Times New Roman" w:cs="Times New Roman"/>
                <w:b/>
                <w:bCs/>
                <w:sz w:val="24"/>
                <w:szCs w:val="24"/>
              </w:rPr>
            </w:pPr>
            <w:r w:rsidRPr="0077497D">
              <w:rPr>
                <w:rFonts w:ascii="Times New Roman" w:eastAsia="Calibri" w:hAnsi="Times New Roman" w:cs="Times New Roman"/>
                <w:b/>
                <w:bCs/>
                <w:sz w:val="24"/>
                <w:szCs w:val="24"/>
              </w:rPr>
              <w:t>4</w:t>
            </w:r>
          </w:p>
        </w:tc>
        <w:tc>
          <w:tcPr>
            <w:tcW w:w="1440" w:type="dxa"/>
            <w:shd w:val="clear" w:color="auto" w:fill="FFFFFF"/>
          </w:tcPr>
          <w:p w:rsidR="00C121BC" w:rsidRPr="0077497D" w:rsidP="00605F92" w14:paraId="0EEDC6A1" w14:textId="77777777">
            <w:pPr>
              <w:rPr>
                <w:rFonts w:ascii="Times New Roman" w:eastAsia="Calibri" w:hAnsi="Times New Roman" w:cs="Times New Roman"/>
                <w:b/>
                <w:bCs/>
                <w:sz w:val="24"/>
                <w:szCs w:val="24"/>
              </w:rPr>
            </w:pPr>
          </w:p>
        </w:tc>
        <w:tc>
          <w:tcPr>
            <w:tcW w:w="1350" w:type="dxa"/>
            <w:shd w:val="clear" w:color="auto" w:fill="FFFFFF"/>
          </w:tcPr>
          <w:p w:rsidR="00C121BC" w:rsidRPr="0077497D" w:rsidP="00605F92" w14:paraId="52E9DA77" w14:textId="77777777">
            <w:pPr>
              <w:rPr>
                <w:rFonts w:ascii="Times New Roman" w:eastAsia="Calibri" w:hAnsi="Times New Roman" w:cs="Times New Roman"/>
                <w:b/>
                <w:bCs/>
                <w:sz w:val="24"/>
                <w:szCs w:val="24"/>
              </w:rPr>
            </w:pPr>
          </w:p>
        </w:tc>
        <w:tc>
          <w:tcPr>
            <w:tcW w:w="1080" w:type="dxa"/>
            <w:shd w:val="clear" w:color="auto" w:fill="FFFFFF"/>
          </w:tcPr>
          <w:p w:rsidR="00C121BC" w:rsidRPr="0077497D" w:rsidP="00605F92" w14:paraId="706EE81C" w14:textId="281AC5AA">
            <w:pPr>
              <w:jc w:val="right"/>
              <w:rPr>
                <w:rFonts w:ascii="Times New Roman" w:eastAsia="Calibri" w:hAnsi="Times New Roman" w:cs="Times New Roman"/>
                <w:b/>
                <w:bCs/>
                <w:sz w:val="24"/>
                <w:szCs w:val="24"/>
              </w:rPr>
            </w:pPr>
            <w:r w:rsidRPr="0077497D">
              <w:rPr>
                <w:rFonts w:ascii="Times New Roman" w:eastAsia="Calibri" w:hAnsi="Times New Roman" w:cs="Times New Roman"/>
                <w:b/>
                <w:bCs/>
                <w:sz w:val="24"/>
                <w:szCs w:val="24"/>
              </w:rPr>
              <w:t>1</w:t>
            </w:r>
            <w:r w:rsidR="002C7C9A">
              <w:rPr>
                <w:rFonts w:ascii="Times New Roman" w:eastAsia="Calibri" w:hAnsi="Times New Roman" w:cs="Times New Roman"/>
                <w:b/>
                <w:bCs/>
                <w:sz w:val="24"/>
                <w:szCs w:val="24"/>
              </w:rPr>
              <w:t>2</w:t>
            </w:r>
          </w:p>
        </w:tc>
      </w:tr>
      <w:tr w14:paraId="110BF8BF" w14:textId="77777777" w:rsidTr="00164FA9">
        <w:tblPrEx>
          <w:tblW w:w="10075" w:type="dxa"/>
          <w:tblLayout w:type="fixed"/>
          <w:tblLook w:val="04A0"/>
        </w:tblPrEx>
        <w:tc>
          <w:tcPr>
            <w:tcW w:w="1525" w:type="dxa"/>
            <w:shd w:val="clear" w:color="auto" w:fill="FFFFFF"/>
          </w:tcPr>
          <w:p w:rsidR="00C121BC" w:rsidRPr="0077497D" w:rsidP="00605F92" w14:paraId="3D566FBB" w14:textId="77777777">
            <w:pPr>
              <w:rPr>
                <w:rFonts w:ascii="Times New Roman" w:eastAsia="Calibri" w:hAnsi="Times New Roman" w:cs="Times New Roman"/>
                <w:b/>
                <w:bCs/>
                <w:sz w:val="24"/>
                <w:szCs w:val="24"/>
              </w:rPr>
            </w:pPr>
          </w:p>
        </w:tc>
        <w:tc>
          <w:tcPr>
            <w:tcW w:w="3150" w:type="dxa"/>
            <w:shd w:val="clear" w:color="auto" w:fill="FFFFFF"/>
          </w:tcPr>
          <w:p w:rsidR="00C121BC" w:rsidRPr="0077497D" w:rsidP="00605F92" w14:paraId="38092403" w14:textId="77777777">
            <w:pPr>
              <w:jc w:val="center"/>
              <w:rPr>
                <w:rFonts w:ascii="Times New Roman" w:eastAsia="Calibri" w:hAnsi="Times New Roman" w:cs="Times New Roman"/>
                <w:b/>
                <w:bCs/>
                <w:sz w:val="24"/>
                <w:szCs w:val="24"/>
              </w:rPr>
            </w:pPr>
            <w:r w:rsidRPr="0077497D">
              <w:rPr>
                <w:rFonts w:ascii="Times New Roman" w:eastAsia="Calibri" w:hAnsi="Times New Roman" w:cs="Times New Roman"/>
                <w:b/>
                <w:bCs/>
                <w:sz w:val="24"/>
                <w:szCs w:val="24"/>
              </w:rPr>
              <w:t>Grand Total</w:t>
            </w:r>
          </w:p>
        </w:tc>
        <w:tc>
          <w:tcPr>
            <w:tcW w:w="1530" w:type="dxa"/>
            <w:shd w:val="clear" w:color="auto" w:fill="FFFFFF"/>
          </w:tcPr>
          <w:p w:rsidR="00C121BC" w:rsidRPr="0077497D" w:rsidP="00605F92" w14:paraId="51B76114" w14:textId="77777777">
            <w:pPr>
              <w:rPr>
                <w:rFonts w:ascii="Times New Roman" w:eastAsia="Calibri" w:hAnsi="Times New Roman" w:cs="Times New Roman"/>
                <w:b/>
                <w:bCs/>
                <w:sz w:val="24"/>
                <w:szCs w:val="24"/>
              </w:rPr>
            </w:pPr>
          </w:p>
        </w:tc>
        <w:tc>
          <w:tcPr>
            <w:tcW w:w="1440" w:type="dxa"/>
            <w:shd w:val="clear" w:color="auto" w:fill="FFFFFF"/>
          </w:tcPr>
          <w:p w:rsidR="00C121BC" w:rsidRPr="0077497D" w:rsidP="00605F92" w14:paraId="03141BE1" w14:textId="77777777">
            <w:pPr>
              <w:rPr>
                <w:rFonts w:ascii="Times New Roman" w:eastAsia="Calibri" w:hAnsi="Times New Roman" w:cs="Times New Roman"/>
                <w:b/>
                <w:bCs/>
                <w:sz w:val="24"/>
                <w:szCs w:val="24"/>
              </w:rPr>
            </w:pPr>
          </w:p>
        </w:tc>
        <w:tc>
          <w:tcPr>
            <w:tcW w:w="1350" w:type="dxa"/>
            <w:shd w:val="clear" w:color="auto" w:fill="FFFFFF"/>
          </w:tcPr>
          <w:p w:rsidR="00C121BC" w:rsidRPr="0077497D" w:rsidP="00605F92" w14:paraId="357E3186" w14:textId="77777777">
            <w:pPr>
              <w:rPr>
                <w:rFonts w:ascii="Times New Roman" w:eastAsia="Calibri" w:hAnsi="Times New Roman" w:cs="Times New Roman"/>
                <w:b/>
                <w:bCs/>
                <w:sz w:val="24"/>
                <w:szCs w:val="24"/>
              </w:rPr>
            </w:pPr>
          </w:p>
        </w:tc>
        <w:tc>
          <w:tcPr>
            <w:tcW w:w="1080" w:type="dxa"/>
            <w:shd w:val="clear" w:color="auto" w:fill="FFFFFF"/>
          </w:tcPr>
          <w:p w:rsidR="00C121BC" w:rsidRPr="0077497D" w:rsidP="00605F92" w14:paraId="453EB0A8" w14:textId="63D4B362">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w:t>
            </w:r>
            <w:r w:rsidR="002C7C9A">
              <w:rPr>
                <w:rFonts w:ascii="Times New Roman" w:eastAsia="Calibri" w:hAnsi="Times New Roman" w:cs="Times New Roman"/>
                <w:b/>
                <w:bCs/>
                <w:sz w:val="24"/>
                <w:szCs w:val="24"/>
              </w:rPr>
              <w:t>271</w:t>
            </w:r>
          </w:p>
        </w:tc>
      </w:tr>
    </w:tbl>
    <w:p w:rsidR="00874675" w:rsidRPr="00431C29" w:rsidP="00D31636" w14:paraId="0DA33BD5" w14:textId="77777777">
      <w:pPr>
        <w:rPr>
          <w:rFonts w:ascii="Times New Roman" w:hAnsi="Times New Roman" w:cs="Times New Roman"/>
          <w:bCs/>
          <w:sz w:val="24"/>
          <w:szCs w:val="24"/>
        </w:rPr>
      </w:pPr>
    </w:p>
    <w:p w:rsidR="001F2018" w:rsidP="001641FB" w14:paraId="45802BF8" w14:textId="2994DB41">
      <w:pPr>
        <w:spacing w:after="0"/>
        <w:rPr>
          <w:rFonts w:ascii="Times New Roman" w:hAnsi="Times New Roman" w:cs="Times New Roman"/>
          <w:sz w:val="24"/>
          <w:szCs w:val="24"/>
        </w:rPr>
      </w:pPr>
      <w:r>
        <w:rPr>
          <w:rFonts w:ascii="Times New Roman" w:hAnsi="Times New Roman" w:cs="Times New Roman"/>
          <w:sz w:val="24"/>
          <w:szCs w:val="24"/>
        </w:rPr>
        <w:t>*Required for four directly funded localities, not state recipients</w:t>
      </w:r>
    </w:p>
    <w:p w:rsidR="001641FB" w:rsidP="001641FB" w14:paraId="155BF359" w14:textId="77777777">
      <w:pPr>
        <w:spacing w:after="0"/>
        <w:rPr>
          <w:rFonts w:ascii="Times New Roman" w:hAnsi="Times New Roman" w:cs="Times New Roman"/>
          <w:sz w:val="24"/>
          <w:szCs w:val="24"/>
        </w:rPr>
      </w:pPr>
    </w:p>
    <w:p w:rsidR="00431C29" w:rsidP="001F2018" w14:paraId="1F826F34" w14:textId="1BDF0FD2">
      <w:pPr>
        <w:rPr>
          <w:rFonts w:ascii="Times New Roman" w:hAnsi="Times New Roman" w:cs="Times New Roman"/>
          <w:sz w:val="24"/>
          <w:szCs w:val="24"/>
        </w:rPr>
      </w:pPr>
      <w:r>
        <w:rPr>
          <w:rFonts w:ascii="Times New Roman" w:hAnsi="Times New Roman" w:cs="Times New Roman"/>
          <w:sz w:val="24"/>
          <w:szCs w:val="24"/>
        </w:rPr>
        <w:t xml:space="preserve">B. The total </w:t>
      </w:r>
      <w:r w:rsidR="005E1036">
        <w:rPr>
          <w:rFonts w:ascii="Times New Roman" w:hAnsi="Times New Roman" w:cs="Times New Roman"/>
          <w:sz w:val="24"/>
          <w:szCs w:val="24"/>
        </w:rPr>
        <w:t xml:space="preserve">annualized </w:t>
      </w:r>
      <w:r>
        <w:rPr>
          <w:rFonts w:ascii="Times New Roman" w:hAnsi="Times New Roman" w:cs="Times New Roman"/>
          <w:sz w:val="24"/>
          <w:szCs w:val="24"/>
        </w:rPr>
        <w:t xml:space="preserve">cost burden requested is </w:t>
      </w:r>
      <w:r w:rsidRPr="00AB3ED6" w:rsidR="006F65DC">
        <w:rPr>
          <w:rFonts w:ascii="Times New Roman" w:hAnsi="Times New Roman" w:cs="Times New Roman"/>
          <w:sz w:val="24"/>
          <w:szCs w:val="24"/>
        </w:rPr>
        <w:t>$</w:t>
      </w:r>
      <w:r w:rsidR="000318F0">
        <w:rPr>
          <w:rFonts w:ascii="Times New Roman" w:hAnsi="Times New Roman" w:cs="Times New Roman"/>
          <w:sz w:val="24"/>
          <w:szCs w:val="24"/>
        </w:rPr>
        <w:t>96,8</w:t>
      </w:r>
      <w:r w:rsidR="006E13FC">
        <w:rPr>
          <w:rFonts w:ascii="Times New Roman" w:hAnsi="Times New Roman" w:cs="Times New Roman"/>
          <w:sz w:val="24"/>
          <w:szCs w:val="24"/>
        </w:rPr>
        <w:t>43.50</w:t>
      </w:r>
      <w:r w:rsidR="000318F0">
        <w:rPr>
          <w:rFonts w:ascii="Times New Roman" w:hAnsi="Times New Roman" w:cs="Times New Roman"/>
          <w:sz w:val="24"/>
          <w:szCs w:val="24"/>
        </w:rPr>
        <w:t xml:space="preserve">. </w:t>
      </w:r>
      <w:r>
        <w:rPr>
          <w:rFonts w:ascii="Times New Roman" w:hAnsi="Times New Roman" w:cs="Times New Roman"/>
          <w:sz w:val="24"/>
          <w:szCs w:val="24"/>
        </w:rPr>
        <w:t xml:space="preserve">Estimates of the annualized cost burden to respondents for the collection of information are based on the Department of Labor Bureau of Labor Statistics “May 2018 National Occupational Employment and Wage Estimates, United States” (see </w:t>
      </w:r>
      <w:hyperlink r:id="rId6" w:history="1">
        <w:r w:rsidRPr="00D10122" w:rsidR="003E61FC">
          <w:rPr>
            <w:rStyle w:val="Hyperlink"/>
            <w:rFonts w:ascii="Times New Roman" w:hAnsi="Times New Roman" w:cs="Times New Roman"/>
            <w:sz w:val="24"/>
            <w:szCs w:val="24"/>
          </w:rPr>
          <w:t>www.bls.gov/oes/current/oes_nat.htm#19-0000</w:t>
        </w:r>
      </w:hyperlink>
      <w:r>
        <w:rPr>
          <w:rFonts w:ascii="Times New Roman" w:hAnsi="Times New Roman" w:cs="Times New Roman"/>
          <w:sz w:val="24"/>
          <w:szCs w:val="24"/>
        </w:rPr>
        <w:t xml:space="preserve">). </w:t>
      </w:r>
      <w:r w:rsidR="0041309C">
        <w:rPr>
          <w:rFonts w:ascii="Times New Roman" w:hAnsi="Times New Roman" w:cs="Times New Roman"/>
          <w:sz w:val="24"/>
          <w:szCs w:val="24"/>
        </w:rPr>
        <w:t>The</w:t>
      </w:r>
      <w:r w:rsidR="00CC42A7">
        <w:rPr>
          <w:rFonts w:ascii="Times New Roman" w:hAnsi="Times New Roman" w:cs="Times New Roman"/>
          <w:sz w:val="24"/>
          <w:szCs w:val="24"/>
        </w:rPr>
        <w:t xml:space="preserve"> occupation</w:t>
      </w:r>
      <w:r w:rsidR="0041309C">
        <w:rPr>
          <w:rFonts w:ascii="Times New Roman" w:hAnsi="Times New Roman" w:cs="Times New Roman"/>
          <w:sz w:val="24"/>
          <w:szCs w:val="24"/>
        </w:rPr>
        <w:t xml:space="preserve"> title and </w:t>
      </w:r>
      <w:r w:rsidR="00CC42A7">
        <w:rPr>
          <w:rFonts w:ascii="Times New Roman" w:hAnsi="Times New Roman" w:cs="Times New Roman"/>
          <w:sz w:val="24"/>
          <w:szCs w:val="24"/>
        </w:rPr>
        <w:t xml:space="preserve">hourly </w:t>
      </w:r>
      <w:r w:rsidR="0041309C">
        <w:rPr>
          <w:rFonts w:ascii="Times New Roman" w:hAnsi="Times New Roman" w:cs="Times New Roman"/>
          <w:sz w:val="24"/>
          <w:szCs w:val="24"/>
        </w:rPr>
        <w:t xml:space="preserve">wage of employees who will complete the information collection varies by jurisdiction. For the purpose of this cost burden analysis, a proxy </w:t>
      </w:r>
      <w:r w:rsidR="00CC42A7">
        <w:rPr>
          <w:rFonts w:ascii="Times New Roman" w:hAnsi="Times New Roman" w:cs="Times New Roman"/>
          <w:sz w:val="24"/>
          <w:szCs w:val="24"/>
        </w:rPr>
        <w:t xml:space="preserve">occupation was used to represent the average employee involved in the information collection. </w:t>
      </w:r>
      <w:r>
        <w:rPr>
          <w:rFonts w:ascii="Times New Roman" w:hAnsi="Times New Roman" w:cs="Times New Roman"/>
          <w:sz w:val="24"/>
          <w:szCs w:val="24"/>
        </w:rPr>
        <w:t xml:space="preserve">The mean hourly wage for PHEP cooperative agreement </w:t>
      </w:r>
      <w:r w:rsidR="003E61FC">
        <w:rPr>
          <w:rFonts w:ascii="Times New Roman" w:hAnsi="Times New Roman" w:cs="Times New Roman"/>
          <w:sz w:val="24"/>
          <w:szCs w:val="24"/>
        </w:rPr>
        <w:t>recipients</w:t>
      </w:r>
      <w:r>
        <w:rPr>
          <w:rFonts w:ascii="Times New Roman" w:hAnsi="Times New Roman" w:cs="Times New Roman"/>
          <w:sz w:val="24"/>
          <w:szCs w:val="24"/>
        </w:rPr>
        <w:t>, classified as</w:t>
      </w:r>
      <w:r w:rsidR="0041309C">
        <w:rPr>
          <w:rFonts w:ascii="Times New Roman" w:hAnsi="Times New Roman" w:cs="Times New Roman"/>
          <w:sz w:val="24"/>
          <w:szCs w:val="24"/>
        </w:rPr>
        <w:t xml:space="preserve"> Emergency Management Directors, is $</w:t>
      </w:r>
      <w:r w:rsidR="006526F6">
        <w:rPr>
          <w:rFonts w:ascii="Times New Roman" w:hAnsi="Times New Roman" w:cs="Times New Roman"/>
          <w:sz w:val="24"/>
          <w:szCs w:val="24"/>
        </w:rPr>
        <w:t>45.05</w:t>
      </w:r>
      <w:r w:rsidR="0041309C">
        <w:rPr>
          <w:rFonts w:ascii="Times New Roman" w:hAnsi="Times New Roman" w:cs="Times New Roman"/>
          <w:sz w:val="24"/>
          <w:szCs w:val="24"/>
        </w:rPr>
        <w:t>.</w:t>
      </w:r>
    </w:p>
    <w:p w:rsidR="00431C29" w:rsidP="001F2018" w14:paraId="0F7112C2" w14:textId="76A732F8">
      <w:pPr>
        <w:rPr>
          <w:rFonts w:ascii="Times New Roman" w:hAnsi="Times New Roman" w:cs="Times New Roman"/>
          <w:sz w:val="24"/>
          <w:szCs w:val="24"/>
        </w:rPr>
      </w:pPr>
      <w:bookmarkStart w:id="1" w:name="_Hlk34746937"/>
      <w:r>
        <w:rPr>
          <w:rFonts w:ascii="Times New Roman" w:hAnsi="Times New Roman" w:cs="Times New Roman"/>
          <w:sz w:val="24"/>
          <w:szCs w:val="24"/>
        </w:rPr>
        <w:t xml:space="preserve">Table A.12.2. Hourly Wage Estimates for PHEP Cooperative Agreement </w:t>
      </w:r>
      <w:r w:rsidR="003E61FC">
        <w:rPr>
          <w:rFonts w:ascii="Times New Roman" w:hAnsi="Times New Roman" w:cs="Times New Roman"/>
          <w:sz w:val="24"/>
          <w:szCs w:val="24"/>
        </w:rPr>
        <w:t>Recipients</w:t>
      </w:r>
    </w:p>
    <w:tbl>
      <w:tblPr>
        <w:tblStyle w:val="TableGrid"/>
        <w:tblW w:w="0" w:type="auto"/>
        <w:tblLook w:val="04A0"/>
      </w:tblPr>
      <w:tblGrid>
        <w:gridCol w:w="3116"/>
        <w:gridCol w:w="3117"/>
        <w:gridCol w:w="3117"/>
      </w:tblGrid>
      <w:tr w14:paraId="628330A8" w14:textId="77777777" w:rsidTr="00431C29">
        <w:tblPrEx>
          <w:tblW w:w="0" w:type="auto"/>
          <w:tblLook w:val="04A0"/>
        </w:tblPrEx>
        <w:tc>
          <w:tcPr>
            <w:tcW w:w="3116" w:type="dxa"/>
          </w:tcPr>
          <w:p w:rsidR="00431C29" w:rsidRPr="00431C29" w:rsidP="001F2018" w14:paraId="528EF196" w14:textId="2088DFE1">
            <w:pPr>
              <w:rPr>
                <w:rFonts w:ascii="Times New Roman" w:hAnsi="Times New Roman" w:cs="Times New Roman"/>
                <w:b/>
                <w:bCs/>
                <w:sz w:val="24"/>
                <w:szCs w:val="24"/>
              </w:rPr>
            </w:pPr>
            <w:r w:rsidRPr="00431C29">
              <w:rPr>
                <w:rFonts w:ascii="Times New Roman" w:hAnsi="Times New Roman" w:cs="Times New Roman"/>
                <w:b/>
                <w:bCs/>
                <w:sz w:val="24"/>
                <w:szCs w:val="24"/>
              </w:rPr>
              <w:t>Occupation Code</w:t>
            </w:r>
          </w:p>
        </w:tc>
        <w:tc>
          <w:tcPr>
            <w:tcW w:w="3117" w:type="dxa"/>
          </w:tcPr>
          <w:p w:rsidR="00431C29" w:rsidRPr="00431C29" w:rsidP="001F2018" w14:paraId="50D6FC3B" w14:textId="15BA06B1">
            <w:pPr>
              <w:rPr>
                <w:rFonts w:ascii="Times New Roman" w:hAnsi="Times New Roman" w:cs="Times New Roman"/>
                <w:b/>
                <w:bCs/>
                <w:sz w:val="24"/>
                <w:szCs w:val="24"/>
              </w:rPr>
            </w:pPr>
            <w:r w:rsidRPr="00431C29">
              <w:rPr>
                <w:rFonts w:ascii="Times New Roman" w:hAnsi="Times New Roman" w:cs="Times New Roman"/>
                <w:b/>
                <w:bCs/>
                <w:sz w:val="24"/>
                <w:szCs w:val="24"/>
              </w:rPr>
              <w:t>Occupation Title</w:t>
            </w:r>
          </w:p>
        </w:tc>
        <w:tc>
          <w:tcPr>
            <w:tcW w:w="3117" w:type="dxa"/>
          </w:tcPr>
          <w:p w:rsidR="00431C29" w:rsidRPr="00431C29" w:rsidP="001F2018" w14:paraId="62975420" w14:textId="7192FFFC">
            <w:pPr>
              <w:rPr>
                <w:rFonts w:ascii="Times New Roman" w:hAnsi="Times New Roman" w:cs="Times New Roman"/>
                <w:b/>
                <w:bCs/>
                <w:sz w:val="24"/>
                <w:szCs w:val="24"/>
              </w:rPr>
            </w:pPr>
            <w:r w:rsidRPr="00431C29">
              <w:rPr>
                <w:rFonts w:ascii="Times New Roman" w:hAnsi="Times New Roman" w:cs="Times New Roman"/>
                <w:b/>
                <w:bCs/>
                <w:sz w:val="24"/>
                <w:szCs w:val="24"/>
              </w:rPr>
              <w:t>Mean Hourly Wage</w:t>
            </w:r>
          </w:p>
        </w:tc>
      </w:tr>
      <w:tr w14:paraId="61C8CD46" w14:textId="77777777" w:rsidTr="00431C29">
        <w:tblPrEx>
          <w:tblW w:w="0" w:type="auto"/>
          <w:tblLook w:val="04A0"/>
        </w:tblPrEx>
        <w:tc>
          <w:tcPr>
            <w:tcW w:w="3116" w:type="dxa"/>
          </w:tcPr>
          <w:p w:rsidR="00431C29" w:rsidP="001F2018" w14:paraId="5DEE7F7C" w14:textId="2C67E508">
            <w:pPr>
              <w:rPr>
                <w:rFonts w:ascii="Times New Roman" w:hAnsi="Times New Roman" w:cs="Times New Roman"/>
                <w:sz w:val="24"/>
                <w:szCs w:val="24"/>
              </w:rPr>
            </w:pPr>
            <w:r>
              <w:rPr>
                <w:rFonts w:ascii="Times New Roman" w:hAnsi="Times New Roman" w:cs="Times New Roman"/>
                <w:sz w:val="24"/>
                <w:szCs w:val="24"/>
              </w:rPr>
              <w:t>11-9161</w:t>
            </w:r>
          </w:p>
        </w:tc>
        <w:tc>
          <w:tcPr>
            <w:tcW w:w="3117" w:type="dxa"/>
          </w:tcPr>
          <w:p w:rsidR="00431C29" w:rsidP="001F2018" w14:paraId="219DABD0" w14:textId="01BEA3E3">
            <w:pPr>
              <w:rPr>
                <w:rFonts w:ascii="Times New Roman" w:hAnsi="Times New Roman" w:cs="Times New Roman"/>
                <w:sz w:val="24"/>
                <w:szCs w:val="24"/>
              </w:rPr>
            </w:pPr>
            <w:r>
              <w:rPr>
                <w:rFonts w:ascii="Times New Roman" w:hAnsi="Times New Roman" w:cs="Times New Roman"/>
                <w:sz w:val="24"/>
                <w:szCs w:val="24"/>
              </w:rPr>
              <w:t>Emergency Management Directors</w:t>
            </w:r>
          </w:p>
        </w:tc>
        <w:tc>
          <w:tcPr>
            <w:tcW w:w="3117" w:type="dxa"/>
          </w:tcPr>
          <w:p w:rsidR="00431C29" w:rsidP="001F2018" w14:paraId="38D51664" w14:textId="576EB4A5">
            <w:pPr>
              <w:rPr>
                <w:rFonts w:ascii="Times New Roman" w:hAnsi="Times New Roman" w:cs="Times New Roman"/>
                <w:sz w:val="24"/>
                <w:szCs w:val="24"/>
              </w:rPr>
            </w:pPr>
            <w:r>
              <w:rPr>
                <w:rFonts w:ascii="Times New Roman" w:hAnsi="Times New Roman" w:cs="Times New Roman"/>
                <w:sz w:val="24"/>
                <w:szCs w:val="24"/>
              </w:rPr>
              <w:t>$</w:t>
            </w:r>
            <w:r w:rsidR="006526F6">
              <w:rPr>
                <w:rFonts w:ascii="Times New Roman" w:hAnsi="Times New Roman" w:cs="Times New Roman"/>
                <w:sz w:val="24"/>
                <w:szCs w:val="24"/>
              </w:rPr>
              <w:t>45.05</w:t>
            </w:r>
          </w:p>
        </w:tc>
      </w:tr>
      <w:tr w14:paraId="630837FB" w14:textId="77777777" w:rsidTr="00431C29">
        <w:tblPrEx>
          <w:tblW w:w="0" w:type="auto"/>
          <w:tblLook w:val="04A0"/>
        </w:tblPrEx>
        <w:tc>
          <w:tcPr>
            <w:tcW w:w="3116" w:type="dxa"/>
          </w:tcPr>
          <w:p w:rsidR="001A3256" w:rsidP="001F2018" w14:paraId="08D4DFEB" w14:textId="4D14F11D">
            <w:pPr>
              <w:rPr>
                <w:rFonts w:ascii="Times New Roman" w:hAnsi="Times New Roman" w:cs="Times New Roman"/>
                <w:sz w:val="24"/>
                <w:szCs w:val="24"/>
              </w:rPr>
            </w:pPr>
          </w:p>
        </w:tc>
        <w:tc>
          <w:tcPr>
            <w:tcW w:w="3117" w:type="dxa"/>
          </w:tcPr>
          <w:p w:rsidR="001A3256" w:rsidP="001F2018" w14:paraId="699EE261" w14:textId="3772B0D7">
            <w:pPr>
              <w:rPr>
                <w:rFonts w:ascii="Times New Roman" w:hAnsi="Times New Roman" w:cs="Times New Roman"/>
                <w:sz w:val="24"/>
                <w:szCs w:val="24"/>
              </w:rPr>
            </w:pPr>
          </w:p>
        </w:tc>
        <w:tc>
          <w:tcPr>
            <w:tcW w:w="3117" w:type="dxa"/>
          </w:tcPr>
          <w:p w:rsidR="001A3256" w:rsidP="001F2018" w14:paraId="0F5FA34B" w14:textId="2D7A7076">
            <w:pPr>
              <w:rPr>
                <w:rFonts w:ascii="Times New Roman" w:hAnsi="Times New Roman" w:cs="Times New Roman"/>
                <w:sz w:val="24"/>
                <w:szCs w:val="24"/>
              </w:rPr>
            </w:pPr>
          </w:p>
        </w:tc>
      </w:tr>
    </w:tbl>
    <w:p w:rsidR="00431C29" w:rsidP="001F2018" w14:paraId="4948CF6C" w14:textId="2F73682D">
      <w:pPr>
        <w:rPr>
          <w:rFonts w:ascii="Times New Roman" w:hAnsi="Times New Roman" w:cs="Times New Roman"/>
          <w:sz w:val="24"/>
          <w:szCs w:val="24"/>
        </w:rPr>
      </w:pPr>
    </w:p>
    <w:p w:rsidR="00431C29" w:rsidP="001F2018" w14:paraId="7970431C" w14:textId="7DCBBE5B">
      <w:pPr>
        <w:rPr>
          <w:rFonts w:ascii="Times New Roman" w:hAnsi="Times New Roman" w:cs="Times New Roman"/>
          <w:sz w:val="24"/>
          <w:szCs w:val="24"/>
        </w:rPr>
      </w:pPr>
      <w:r>
        <w:rPr>
          <w:rFonts w:ascii="Times New Roman" w:hAnsi="Times New Roman" w:cs="Times New Roman"/>
          <w:sz w:val="24"/>
          <w:szCs w:val="24"/>
        </w:rPr>
        <w:t>Table A.12.3. Estimated Annualized Burden Costs</w:t>
      </w:r>
    </w:p>
    <w:tbl>
      <w:tblPr>
        <w:tblW w:w="9350" w:type="dxa"/>
        <w:tblLook w:val="04A0"/>
      </w:tblPr>
      <w:tblGrid>
        <w:gridCol w:w="1470"/>
        <w:gridCol w:w="3097"/>
        <w:gridCol w:w="1119"/>
        <w:gridCol w:w="1443"/>
        <w:gridCol w:w="2221"/>
      </w:tblGrid>
      <w:tr w14:paraId="295D57B9" w14:textId="77777777" w:rsidTr="005C5EFE">
        <w:tblPrEx>
          <w:tblW w:w="9350" w:type="dxa"/>
          <w:tblLook w:val="04A0"/>
        </w:tblPrEx>
        <w:trPr>
          <w:trHeight w:val="1275"/>
        </w:trPr>
        <w:tc>
          <w:tcPr>
            <w:tcW w:w="14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0481" w:rsidRPr="00D60481" w:rsidP="00D60481" w14:paraId="5B5C4B65" w14:textId="77777777">
            <w:pPr>
              <w:spacing w:after="0" w:line="240" w:lineRule="auto"/>
              <w:jc w:val="center"/>
              <w:rPr>
                <w:rFonts w:ascii="Times New Roman" w:eastAsia="Times New Roman" w:hAnsi="Times New Roman" w:cs="Times New Roman"/>
                <w:b/>
                <w:bCs/>
                <w:color w:val="000000"/>
                <w:sz w:val="24"/>
                <w:szCs w:val="24"/>
              </w:rPr>
            </w:pPr>
            <w:r w:rsidRPr="00D60481">
              <w:rPr>
                <w:rFonts w:ascii="Times New Roman" w:eastAsia="Times New Roman" w:hAnsi="Times New Roman" w:cs="Times New Roman"/>
                <w:b/>
                <w:bCs/>
                <w:color w:val="000000"/>
                <w:sz w:val="24"/>
                <w:szCs w:val="24"/>
              </w:rPr>
              <w:t>Type of Respondent</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0481" w:rsidRPr="00D60481" w:rsidP="00D60481" w14:paraId="7EC548E7" w14:textId="77777777">
            <w:pPr>
              <w:spacing w:after="0" w:line="240" w:lineRule="auto"/>
              <w:jc w:val="center"/>
              <w:rPr>
                <w:rFonts w:ascii="Times New Roman" w:eastAsia="Times New Roman" w:hAnsi="Times New Roman" w:cs="Times New Roman"/>
                <w:b/>
                <w:bCs/>
                <w:color w:val="000000"/>
                <w:sz w:val="24"/>
                <w:szCs w:val="24"/>
              </w:rPr>
            </w:pPr>
            <w:r w:rsidRPr="00D60481">
              <w:rPr>
                <w:rFonts w:ascii="Times New Roman" w:eastAsia="Times New Roman" w:hAnsi="Times New Roman" w:cs="Times New Roman"/>
                <w:b/>
                <w:bCs/>
                <w:sz w:val="24"/>
                <w:szCs w:val="24"/>
              </w:rPr>
              <w:t>Form Name</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0481" w:rsidRPr="00D60481" w:rsidP="00D60481" w14:paraId="718ABAF4" w14:textId="77777777">
            <w:pPr>
              <w:spacing w:after="0" w:line="240" w:lineRule="auto"/>
              <w:jc w:val="center"/>
              <w:rPr>
                <w:rFonts w:ascii="Times New Roman" w:eastAsia="Times New Roman" w:hAnsi="Times New Roman" w:cs="Times New Roman"/>
                <w:b/>
                <w:bCs/>
                <w:color w:val="000000"/>
                <w:sz w:val="24"/>
                <w:szCs w:val="24"/>
              </w:rPr>
            </w:pPr>
            <w:r w:rsidRPr="00D60481">
              <w:rPr>
                <w:rFonts w:ascii="Times New Roman" w:eastAsia="Times New Roman" w:hAnsi="Times New Roman" w:cs="Times New Roman"/>
                <w:b/>
                <w:bCs/>
                <w:sz w:val="24"/>
                <w:szCs w:val="24"/>
              </w:rPr>
              <w:t>Total Burden (in hrs.)</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481" w:rsidRPr="00D60481" w:rsidP="00D60481" w14:paraId="7233185A" w14:textId="77777777">
            <w:pPr>
              <w:spacing w:after="0" w:line="240" w:lineRule="auto"/>
              <w:jc w:val="center"/>
              <w:rPr>
                <w:rFonts w:ascii="Times New Roman" w:eastAsia="Times New Roman" w:hAnsi="Times New Roman" w:cs="Times New Roman"/>
                <w:b/>
                <w:bCs/>
                <w:color w:val="000000"/>
                <w:sz w:val="24"/>
                <w:szCs w:val="24"/>
              </w:rPr>
            </w:pPr>
            <w:r w:rsidRPr="00D60481">
              <w:rPr>
                <w:rFonts w:ascii="Times New Roman" w:eastAsia="Times New Roman" w:hAnsi="Times New Roman" w:cs="Times New Roman"/>
                <w:b/>
                <w:bCs/>
                <w:color w:val="000000"/>
                <w:sz w:val="24"/>
                <w:szCs w:val="24"/>
              </w:rPr>
              <w:t>Hourly Wage Rate</w:t>
            </w:r>
          </w:p>
        </w:tc>
        <w:tc>
          <w:tcPr>
            <w:tcW w:w="22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481" w:rsidRPr="00D60481" w:rsidP="00D60481" w14:paraId="2D3A1C53" w14:textId="77777777">
            <w:pPr>
              <w:spacing w:after="0" w:line="240" w:lineRule="auto"/>
              <w:jc w:val="center"/>
              <w:rPr>
                <w:rFonts w:ascii="Times New Roman" w:eastAsia="Times New Roman" w:hAnsi="Times New Roman" w:cs="Times New Roman"/>
                <w:b/>
                <w:bCs/>
                <w:color w:val="000000"/>
                <w:sz w:val="24"/>
                <w:szCs w:val="24"/>
              </w:rPr>
            </w:pPr>
            <w:r w:rsidRPr="00D60481">
              <w:rPr>
                <w:rFonts w:ascii="Times New Roman" w:eastAsia="Times New Roman" w:hAnsi="Times New Roman" w:cs="Times New Roman"/>
                <w:b/>
                <w:bCs/>
                <w:color w:val="000000"/>
                <w:sz w:val="24"/>
                <w:szCs w:val="24"/>
              </w:rPr>
              <w:t>Total Respondent Costs</w:t>
            </w:r>
          </w:p>
        </w:tc>
      </w:tr>
      <w:tr w14:paraId="2154FFDB" w14:textId="77777777" w:rsidTr="008633C6">
        <w:tblPrEx>
          <w:tblW w:w="9350" w:type="dxa"/>
          <w:tblLook w:val="04A0"/>
        </w:tblPrEx>
        <w:trPr>
          <w:trHeight w:val="315"/>
        </w:trPr>
        <w:tc>
          <w:tcPr>
            <w:tcW w:w="1470" w:type="dxa"/>
            <w:vMerge w:val="restart"/>
            <w:tcBorders>
              <w:top w:val="single" w:sz="4" w:space="0" w:color="auto"/>
              <w:left w:val="single" w:sz="8" w:space="0" w:color="auto"/>
              <w:bottom w:val="single" w:sz="8" w:space="0" w:color="000000"/>
              <w:right w:val="nil"/>
            </w:tcBorders>
            <w:shd w:val="clear" w:color="000000" w:fill="FFFFFF"/>
            <w:vAlign w:val="center"/>
            <w:hideMark/>
          </w:tcPr>
          <w:p w:rsidR="00FE5560" w:rsidRPr="00D60481" w:rsidP="00FE5560" w14:paraId="7CFB1731" w14:textId="77777777">
            <w:pPr>
              <w:spacing w:after="0" w:line="240" w:lineRule="auto"/>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All PHEP Awardees: State, local, territorial, and metropolitan area jurisdictions</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5560" w:rsidRPr="00D60481" w:rsidP="00FE5560" w14:paraId="47B59B7A"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Jurisdictional structure sheet</w:t>
            </w:r>
          </w:p>
        </w:tc>
        <w:tc>
          <w:tcPr>
            <w:tcW w:w="1119" w:type="dxa"/>
            <w:tcBorders>
              <w:top w:val="single" w:sz="4" w:space="0" w:color="auto"/>
              <w:left w:val="nil"/>
              <w:bottom w:val="single" w:sz="4" w:space="0" w:color="auto"/>
              <w:right w:val="single" w:sz="4" w:space="0" w:color="auto"/>
            </w:tcBorders>
            <w:shd w:val="clear" w:color="000000" w:fill="FFFFFF"/>
            <w:vAlign w:val="center"/>
            <w:hideMark/>
          </w:tcPr>
          <w:p w:rsidR="00FE5560" w:rsidRPr="00D60481" w:rsidP="00FE5560" w14:paraId="1D1A67B9"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186</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rsidR="00FE5560" w:rsidRPr="00D60481" w:rsidP="00FE5560" w14:paraId="1909D3DD" w14:textId="4D393123">
            <w:pPr>
              <w:spacing w:after="0" w:line="240" w:lineRule="auto"/>
              <w:jc w:val="center"/>
              <w:rPr>
                <w:rFonts w:ascii="Calibri" w:eastAsia="Times New Roman" w:hAnsi="Calibri" w:cs="Calibri"/>
                <w:color w:val="000000"/>
              </w:rPr>
            </w:pPr>
            <w:r w:rsidRPr="00D60481">
              <w:rPr>
                <w:rFonts w:ascii="Calibri" w:eastAsia="Times New Roman" w:hAnsi="Calibri" w:cs="Calibri"/>
                <w:color w:val="000000"/>
              </w:rPr>
              <w:t>$</w:t>
            </w:r>
            <w:r>
              <w:rPr>
                <w:rFonts w:ascii="Calibri" w:eastAsia="Times New Roman" w:hAnsi="Calibri" w:cs="Calibri"/>
                <w:color w:val="000000"/>
              </w:rPr>
              <w:t>45.05</w:t>
            </w:r>
          </w:p>
        </w:tc>
        <w:tc>
          <w:tcPr>
            <w:tcW w:w="2221" w:type="dxa"/>
            <w:tcBorders>
              <w:top w:val="single" w:sz="4" w:space="0" w:color="auto"/>
              <w:left w:val="nil"/>
              <w:bottom w:val="single" w:sz="4" w:space="0" w:color="auto"/>
              <w:right w:val="single" w:sz="8" w:space="0" w:color="auto"/>
            </w:tcBorders>
            <w:shd w:val="clear" w:color="auto" w:fill="auto"/>
            <w:noWrap/>
            <w:hideMark/>
          </w:tcPr>
          <w:p w:rsidR="00FE5560" w:rsidRPr="00D60481" w:rsidP="00FE5560" w14:paraId="29118CD8" w14:textId="261EF67D">
            <w:pPr>
              <w:spacing w:after="0" w:line="240" w:lineRule="auto"/>
              <w:jc w:val="center"/>
              <w:rPr>
                <w:rFonts w:ascii="Calibri" w:eastAsia="Times New Roman" w:hAnsi="Calibri" w:cs="Calibri"/>
                <w:color w:val="000000"/>
              </w:rPr>
            </w:pPr>
            <w:r w:rsidRPr="002C34B8">
              <w:t>8379.30</w:t>
            </w:r>
          </w:p>
        </w:tc>
      </w:tr>
      <w:tr w14:paraId="4D8C49CB" w14:textId="77777777" w:rsidTr="008633C6">
        <w:tblPrEx>
          <w:tblW w:w="9350" w:type="dxa"/>
          <w:tblLook w:val="04A0"/>
        </w:tblPrEx>
        <w:trPr>
          <w:trHeight w:val="630"/>
        </w:trPr>
        <w:tc>
          <w:tcPr>
            <w:tcW w:w="1470" w:type="dxa"/>
            <w:vMerge/>
            <w:tcBorders>
              <w:top w:val="single" w:sz="8" w:space="0" w:color="auto"/>
              <w:left w:val="single" w:sz="8" w:space="0" w:color="auto"/>
              <w:bottom w:val="single" w:sz="8" w:space="0" w:color="000000"/>
              <w:right w:val="nil"/>
            </w:tcBorders>
            <w:vAlign w:val="center"/>
            <w:hideMark/>
          </w:tcPr>
          <w:p w:rsidR="00FE5560" w:rsidRPr="00D60481" w:rsidP="00FE5560" w14:paraId="54E82FAD"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FE5560" w:rsidRPr="00D60481" w:rsidP="00FE5560" w14:paraId="6A79E5BF"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Critical contact sheet (CCS)</w:t>
            </w:r>
          </w:p>
        </w:tc>
        <w:tc>
          <w:tcPr>
            <w:tcW w:w="1119" w:type="dxa"/>
            <w:tcBorders>
              <w:top w:val="nil"/>
              <w:left w:val="nil"/>
              <w:bottom w:val="single" w:sz="4" w:space="0" w:color="auto"/>
              <w:right w:val="single" w:sz="4" w:space="0" w:color="auto"/>
            </w:tcBorders>
            <w:shd w:val="clear" w:color="000000" w:fill="FFFFFF"/>
            <w:vAlign w:val="center"/>
            <w:hideMark/>
          </w:tcPr>
          <w:p w:rsidR="00FE5560" w:rsidRPr="00D60481" w:rsidP="00FE5560" w14:paraId="616FD1C9"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83</w:t>
            </w:r>
          </w:p>
        </w:tc>
        <w:tc>
          <w:tcPr>
            <w:tcW w:w="1443" w:type="dxa"/>
            <w:tcBorders>
              <w:top w:val="nil"/>
              <w:left w:val="nil"/>
              <w:bottom w:val="single" w:sz="4" w:space="0" w:color="auto"/>
              <w:right w:val="single" w:sz="4" w:space="0" w:color="auto"/>
            </w:tcBorders>
            <w:shd w:val="clear" w:color="auto" w:fill="auto"/>
            <w:noWrap/>
          </w:tcPr>
          <w:p w:rsidR="00FE5560" w:rsidRPr="00D60481" w:rsidP="00FE5560" w14:paraId="19D00076" w14:textId="0CE2ED09">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FE5560" w:rsidRPr="00D60481" w:rsidP="00FE5560" w14:paraId="5BAE6CAF" w14:textId="78AC1AA7">
            <w:pPr>
              <w:spacing w:after="0" w:line="240" w:lineRule="auto"/>
              <w:jc w:val="center"/>
              <w:rPr>
                <w:rFonts w:ascii="Calibri" w:eastAsia="Times New Roman" w:hAnsi="Calibri" w:cs="Calibri"/>
                <w:color w:val="000000"/>
              </w:rPr>
            </w:pPr>
            <w:r w:rsidRPr="002C34B8">
              <w:t>3724.13</w:t>
            </w:r>
          </w:p>
        </w:tc>
      </w:tr>
      <w:tr w14:paraId="6A0A9E03" w14:textId="77777777" w:rsidTr="008633C6">
        <w:tblPrEx>
          <w:tblW w:w="9350" w:type="dxa"/>
          <w:tblLook w:val="04A0"/>
        </w:tblPrEx>
        <w:trPr>
          <w:trHeight w:val="630"/>
        </w:trPr>
        <w:tc>
          <w:tcPr>
            <w:tcW w:w="1470" w:type="dxa"/>
            <w:vMerge/>
            <w:tcBorders>
              <w:top w:val="single" w:sz="8" w:space="0" w:color="auto"/>
              <w:left w:val="single" w:sz="8" w:space="0" w:color="auto"/>
              <w:bottom w:val="single" w:sz="8" w:space="0" w:color="000000"/>
              <w:right w:val="nil"/>
            </w:tcBorders>
            <w:vAlign w:val="center"/>
            <w:hideMark/>
          </w:tcPr>
          <w:p w:rsidR="00FE5560" w:rsidRPr="00D60481" w:rsidP="00FE5560" w14:paraId="19F7D0E2"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FE5560" w:rsidRPr="00D60481" w:rsidP="00FE5560" w14:paraId="5315234D"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 xml:space="preserve">Jurisdictional data sheet (JDS) </w:t>
            </w:r>
          </w:p>
        </w:tc>
        <w:tc>
          <w:tcPr>
            <w:tcW w:w="1119" w:type="dxa"/>
            <w:tcBorders>
              <w:top w:val="nil"/>
              <w:left w:val="nil"/>
              <w:bottom w:val="single" w:sz="4" w:space="0" w:color="auto"/>
              <w:right w:val="single" w:sz="4" w:space="0" w:color="auto"/>
            </w:tcBorders>
            <w:shd w:val="clear" w:color="000000" w:fill="FFFFFF"/>
            <w:vAlign w:val="center"/>
            <w:hideMark/>
          </w:tcPr>
          <w:p w:rsidR="00FE5560" w:rsidRPr="00D60481" w:rsidP="00FE5560" w14:paraId="6CF81976"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155</w:t>
            </w:r>
          </w:p>
        </w:tc>
        <w:tc>
          <w:tcPr>
            <w:tcW w:w="1443" w:type="dxa"/>
            <w:tcBorders>
              <w:top w:val="nil"/>
              <w:left w:val="nil"/>
              <w:bottom w:val="single" w:sz="4" w:space="0" w:color="auto"/>
              <w:right w:val="single" w:sz="4" w:space="0" w:color="auto"/>
            </w:tcBorders>
            <w:shd w:val="clear" w:color="auto" w:fill="auto"/>
            <w:noWrap/>
          </w:tcPr>
          <w:p w:rsidR="00FE5560" w:rsidRPr="00D60481" w:rsidP="00FE5560" w14:paraId="04F5B191" w14:textId="7D877532">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FE5560" w:rsidRPr="00D60481" w:rsidP="00FE5560" w14:paraId="60A9B827" w14:textId="50A7FB2B">
            <w:pPr>
              <w:spacing w:after="0" w:line="240" w:lineRule="auto"/>
              <w:jc w:val="center"/>
              <w:rPr>
                <w:rFonts w:ascii="Calibri" w:eastAsia="Times New Roman" w:hAnsi="Calibri" w:cs="Calibri"/>
                <w:color w:val="000000"/>
              </w:rPr>
            </w:pPr>
            <w:r w:rsidRPr="002C34B8">
              <w:t>6982.75</w:t>
            </w:r>
          </w:p>
        </w:tc>
      </w:tr>
      <w:tr w14:paraId="40B04B6C" w14:textId="77777777" w:rsidTr="008633C6">
        <w:tblPrEx>
          <w:tblW w:w="9350" w:type="dxa"/>
          <w:tblLook w:val="04A0"/>
        </w:tblPrEx>
        <w:trPr>
          <w:trHeight w:val="315"/>
        </w:trPr>
        <w:tc>
          <w:tcPr>
            <w:tcW w:w="1470" w:type="dxa"/>
            <w:vMerge/>
            <w:tcBorders>
              <w:top w:val="single" w:sz="8" w:space="0" w:color="auto"/>
              <w:left w:val="single" w:sz="8" w:space="0" w:color="auto"/>
              <w:bottom w:val="single" w:sz="8" w:space="0" w:color="000000"/>
              <w:right w:val="nil"/>
            </w:tcBorders>
            <w:vAlign w:val="center"/>
            <w:hideMark/>
          </w:tcPr>
          <w:p w:rsidR="00FE5560" w:rsidRPr="00D60481" w:rsidP="00FE5560" w14:paraId="345CBDDF"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FE5560" w:rsidRPr="00D60481" w:rsidP="00FE5560" w14:paraId="64ECD340"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Partner planning sheet</w:t>
            </w:r>
          </w:p>
        </w:tc>
        <w:tc>
          <w:tcPr>
            <w:tcW w:w="1119" w:type="dxa"/>
            <w:tcBorders>
              <w:top w:val="nil"/>
              <w:left w:val="nil"/>
              <w:bottom w:val="single" w:sz="4" w:space="0" w:color="auto"/>
              <w:right w:val="single" w:sz="4" w:space="0" w:color="auto"/>
            </w:tcBorders>
            <w:shd w:val="clear" w:color="000000" w:fill="FFFFFF"/>
            <w:vAlign w:val="center"/>
            <w:hideMark/>
          </w:tcPr>
          <w:p w:rsidR="00FE5560" w:rsidRPr="00D60481" w:rsidP="00FE5560" w14:paraId="6C7123C7"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496</w:t>
            </w:r>
          </w:p>
        </w:tc>
        <w:tc>
          <w:tcPr>
            <w:tcW w:w="1443" w:type="dxa"/>
            <w:tcBorders>
              <w:top w:val="nil"/>
              <w:left w:val="nil"/>
              <w:bottom w:val="single" w:sz="4" w:space="0" w:color="auto"/>
              <w:right w:val="single" w:sz="4" w:space="0" w:color="auto"/>
            </w:tcBorders>
            <w:shd w:val="clear" w:color="auto" w:fill="auto"/>
            <w:noWrap/>
          </w:tcPr>
          <w:p w:rsidR="00FE5560" w:rsidRPr="00D60481" w:rsidP="00FE5560" w14:paraId="4B7667DA" w14:textId="575B9223">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FE5560" w:rsidRPr="00D60481" w:rsidP="00FE5560" w14:paraId="187AF907" w14:textId="6F0229AB">
            <w:pPr>
              <w:spacing w:after="0" w:line="240" w:lineRule="auto"/>
              <w:jc w:val="center"/>
              <w:rPr>
                <w:rFonts w:ascii="Calibri" w:eastAsia="Times New Roman" w:hAnsi="Calibri" w:cs="Calibri"/>
                <w:color w:val="000000"/>
              </w:rPr>
            </w:pPr>
            <w:r w:rsidRPr="002C34B8">
              <w:t>22344.80</w:t>
            </w:r>
          </w:p>
        </w:tc>
      </w:tr>
      <w:tr w14:paraId="70F1B3EA" w14:textId="77777777" w:rsidTr="008633C6">
        <w:tblPrEx>
          <w:tblW w:w="9350" w:type="dxa"/>
          <w:tblLook w:val="04A0"/>
        </w:tblPrEx>
        <w:trPr>
          <w:trHeight w:val="630"/>
        </w:trPr>
        <w:tc>
          <w:tcPr>
            <w:tcW w:w="1470" w:type="dxa"/>
            <w:vMerge/>
            <w:tcBorders>
              <w:top w:val="single" w:sz="8" w:space="0" w:color="auto"/>
              <w:left w:val="single" w:sz="8" w:space="0" w:color="auto"/>
              <w:bottom w:val="single" w:sz="8" w:space="0" w:color="000000"/>
              <w:right w:val="nil"/>
            </w:tcBorders>
            <w:vAlign w:val="center"/>
            <w:hideMark/>
          </w:tcPr>
          <w:p w:rsidR="00FE5560" w:rsidRPr="00D60481" w:rsidP="00FE5560" w14:paraId="464A4BD2"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FE5560" w:rsidRPr="00D60481" w:rsidP="00FE5560" w14:paraId="2B4B8C1C"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Workforce development and training</w:t>
            </w:r>
          </w:p>
        </w:tc>
        <w:tc>
          <w:tcPr>
            <w:tcW w:w="1119" w:type="dxa"/>
            <w:tcBorders>
              <w:top w:val="nil"/>
              <w:left w:val="nil"/>
              <w:bottom w:val="single" w:sz="4" w:space="0" w:color="auto"/>
              <w:right w:val="single" w:sz="4" w:space="0" w:color="auto"/>
            </w:tcBorders>
            <w:shd w:val="clear" w:color="000000" w:fill="FFFFFF"/>
            <w:vAlign w:val="center"/>
            <w:hideMark/>
          </w:tcPr>
          <w:p w:rsidR="00FE5560" w:rsidRPr="00D60481" w:rsidP="00FE5560" w14:paraId="0C4AD954"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93</w:t>
            </w:r>
          </w:p>
        </w:tc>
        <w:tc>
          <w:tcPr>
            <w:tcW w:w="1443" w:type="dxa"/>
            <w:tcBorders>
              <w:top w:val="nil"/>
              <w:left w:val="nil"/>
              <w:bottom w:val="single" w:sz="4" w:space="0" w:color="auto"/>
              <w:right w:val="single" w:sz="4" w:space="0" w:color="auto"/>
            </w:tcBorders>
            <w:shd w:val="clear" w:color="auto" w:fill="auto"/>
            <w:noWrap/>
          </w:tcPr>
          <w:p w:rsidR="00FE5560" w:rsidRPr="00D60481" w:rsidP="00FE5560" w14:paraId="2E80261C" w14:textId="410586F9">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FE5560" w:rsidRPr="00D60481" w:rsidP="00FE5560" w14:paraId="0542DBAA" w14:textId="0C17D00F">
            <w:pPr>
              <w:spacing w:after="0" w:line="240" w:lineRule="auto"/>
              <w:jc w:val="center"/>
              <w:rPr>
                <w:rFonts w:ascii="Calibri" w:eastAsia="Times New Roman" w:hAnsi="Calibri" w:cs="Calibri"/>
                <w:color w:val="000000"/>
              </w:rPr>
            </w:pPr>
            <w:r w:rsidRPr="002C34B8">
              <w:t>4189.65</w:t>
            </w:r>
          </w:p>
        </w:tc>
      </w:tr>
      <w:tr w14:paraId="602F9046" w14:textId="77777777" w:rsidTr="008633C6">
        <w:tblPrEx>
          <w:tblW w:w="9350" w:type="dxa"/>
          <w:tblLook w:val="04A0"/>
        </w:tblPrEx>
        <w:trPr>
          <w:trHeight w:val="330"/>
        </w:trPr>
        <w:tc>
          <w:tcPr>
            <w:tcW w:w="1470" w:type="dxa"/>
            <w:vMerge/>
            <w:tcBorders>
              <w:top w:val="single" w:sz="8" w:space="0" w:color="auto"/>
              <w:left w:val="single" w:sz="8" w:space="0" w:color="auto"/>
              <w:bottom w:val="single" w:sz="8" w:space="0" w:color="000000"/>
              <w:right w:val="nil"/>
            </w:tcBorders>
            <w:vAlign w:val="center"/>
            <w:hideMark/>
          </w:tcPr>
          <w:p w:rsidR="006526F6" w:rsidRPr="00D60481" w:rsidP="006526F6" w14:paraId="039009D4"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8" w:space="0" w:color="auto"/>
              <w:right w:val="single" w:sz="4" w:space="0" w:color="auto"/>
            </w:tcBorders>
            <w:shd w:val="clear" w:color="000000" w:fill="FFFFFF"/>
            <w:vAlign w:val="center"/>
            <w:hideMark/>
          </w:tcPr>
          <w:p w:rsidR="006526F6" w:rsidRPr="00D60481" w:rsidP="006526F6" w14:paraId="47D5BA32" w14:textId="77777777">
            <w:pPr>
              <w:spacing w:after="0" w:line="240" w:lineRule="auto"/>
              <w:jc w:val="center"/>
              <w:rPr>
                <w:rFonts w:ascii="Times New Roman" w:eastAsia="Times New Roman" w:hAnsi="Times New Roman" w:cs="Times New Roman"/>
                <w:b/>
                <w:bCs/>
                <w:color w:val="000000"/>
                <w:sz w:val="24"/>
                <w:szCs w:val="24"/>
              </w:rPr>
            </w:pPr>
            <w:r w:rsidRPr="00D60481">
              <w:rPr>
                <w:rFonts w:ascii="Times New Roman" w:eastAsia="Times New Roman" w:hAnsi="Times New Roman" w:cs="Times New Roman"/>
                <w:b/>
                <w:bCs/>
                <w:sz w:val="24"/>
                <w:szCs w:val="24"/>
              </w:rPr>
              <w:t>Subtotal, Module 1</w:t>
            </w:r>
          </w:p>
        </w:tc>
        <w:tc>
          <w:tcPr>
            <w:tcW w:w="1119" w:type="dxa"/>
            <w:tcBorders>
              <w:top w:val="nil"/>
              <w:left w:val="nil"/>
              <w:bottom w:val="single" w:sz="8" w:space="0" w:color="auto"/>
              <w:right w:val="single" w:sz="4" w:space="0" w:color="auto"/>
            </w:tcBorders>
            <w:shd w:val="clear" w:color="000000" w:fill="FFFFFF"/>
            <w:vAlign w:val="center"/>
            <w:hideMark/>
          </w:tcPr>
          <w:p w:rsidR="006526F6" w:rsidRPr="00D60481" w:rsidP="006526F6" w14:paraId="6D54E222" w14:textId="77777777">
            <w:pPr>
              <w:spacing w:after="0" w:line="240" w:lineRule="auto"/>
              <w:jc w:val="center"/>
              <w:rPr>
                <w:rFonts w:ascii="Times New Roman" w:eastAsia="Times New Roman" w:hAnsi="Times New Roman" w:cs="Times New Roman"/>
                <w:b/>
                <w:bCs/>
                <w:color w:val="000000"/>
                <w:sz w:val="24"/>
                <w:szCs w:val="24"/>
              </w:rPr>
            </w:pPr>
            <w:r w:rsidRPr="00D60481">
              <w:rPr>
                <w:rFonts w:ascii="Times New Roman" w:eastAsia="Times New Roman" w:hAnsi="Times New Roman" w:cs="Times New Roman"/>
                <w:b/>
                <w:bCs/>
                <w:sz w:val="24"/>
                <w:szCs w:val="24"/>
              </w:rPr>
              <w:t>1,013</w:t>
            </w:r>
          </w:p>
        </w:tc>
        <w:tc>
          <w:tcPr>
            <w:tcW w:w="1443" w:type="dxa"/>
            <w:tcBorders>
              <w:top w:val="nil"/>
              <w:left w:val="nil"/>
              <w:bottom w:val="single" w:sz="8" w:space="0" w:color="auto"/>
              <w:right w:val="single" w:sz="4" w:space="0" w:color="auto"/>
            </w:tcBorders>
            <w:shd w:val="clear" w:color="auto" w:fill="auto"/>
            <w:noWrap/>
          </w:tcPr>
          <w:p w:rsidR="006526F6" w:rsidRPr="00D60481" w:rsidP="006526F6" w14:paraId="6C74279D" w14:textId="08957B83">
            <w:pPr>
              <w:spacing w:after="0" w:line="240" w:lineRule="auto"/>
              <w:jc w:val="center"/>
              <w:rPr>
                <w:rFonts w:ascii="Calibri" w:eastAsia="Times New Roman" w:hAnsi="Calibri" w:cs="Calibri"/>
                <w:color w:val="000000"/>
              </w:rPr>
            </w:pPr>
          </w:p>
        </w:tc>
        <w:tc>
          <w:tcPr>
            <w:tcW w:w="2221" w:type="dxa"/>
            <w:tcBorders>
              <w:top w:val="nil"/>
              <w:left w:val="nil"/>
              <w:bottom w:val="single" w:sz="8" w:space="0" w:color="auto"/>
              <w:right w:val="single" w:sz="8" w:space="0" w:color="auto"/>
            </w:tcBorders>
            <w:shd w:val="clear" w:color="auto" w:fill="auto"/>
            <w:noWrap/>
            <w:vAlign w:val="center"/>
            <w:hideMark/>
          </w:tcPr>
          <w:p w:rsidR="006526F6" w:rsidRPr="00D60481" w:rsidP="006526F6" w14:paraId="3F209637" w14:textId="69AFFC92">
            <w:pPr>
              <w:spacing w:after="0" w:line="240" w:lineRule="auto"/>
              <w:jc w:val="center"/>
              <w:rPr>
                <w:rFonts w:ascii="Calibri" w:eastAsia="Times New Roman" w:hAnsi="Calibri" w:cs="Calibri"/>
                <w:color w:val="000000"/>
              </w:rPr>
            </w:pPr>
            <w:r w:rsidRPr="00D60481">
              <w:rPr>
                <w:rFonts w:ascii="Calibri" w:eastAsia="Times New Roman" w:hAnsi="Calibri" w:cs="Calibri"/>
                <w:color w:val="000000"/>
              </w:rPr>
              <w:t>$</w:t>
            </w:r>
            <w:r w:rsidRPr="00FE5560" w:rsidR="00FE5560">
              <w:rPr>
                <w:rFonts w:ascii="Calibri" w:eastAsia="Times New Roman" w:hAnsi="Calibri" w:cs="Calibri"/>
                <w:color w:val="000000"/>
              </w:rPr>
              <w:t>45620.63</w:t>
            </w:r>
          </w:p>
        </w:tc>
      </w:tr>
      <w:tr w14:paraId="30DA921B" w14:textId="77777777" w:rsidTr="008633C6">
        <w:tblPrEx>
          <w:tblW w:w="9350" w:type="dxa"/>
          <w:tblLook w:val="04A0"/>
        </w:tblPrEx>
        <w:trPr>
          <w:trHeight w:val="315"/>
        </w:trPr>
        <w:tc>
          <w:tcPr>
            <w:tcW w:w="1470" w:type="dxa"/>
            <w:vMerge w:val="restart"/>
            <w:tcBorders>
              <w:top w:val="nil"/>
              <w:left w:val="single" w:sz="8" w:space="0" w:color="auto"/>
              <w:bottom w:val="single" w:sz="8" w:space="0" w:color="000000"/>
              <w:right w:val="nil"/>
            </w:tcBorders>
            <w:shd w:val="clear" w:color="000000" w:fill="FFFFFF"/>
            <w:vAlign w:val="center"/>
            <w:hideMark/>
          </w:tcPr>
          <w:p w:rsidR="00FE5560" w:rsidRPr="00D60481" w:rsidP="00FE5560" w14:paraId="1BBEB489" w14:textId="77777777">
            <w:pPr>
              <w:spacing w:after="0" w:line="240" w:lineRule="auto"/>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All PHEP Awardees: State, local, territorial, and metropolitan area jurisdictions</w:t>
            </w: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FE5560" w:rsidRPr="00D60481" w:rsidP="00FE5560" w14:paraId="7E209CD8"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Capability 1</w:t>
            </w:r>
          </w:p>
        </w:tc>
        <w:tc>
          <w:tcPr>
            <w:tcW w:w="1119" w:type="dxa"/>
            <w:tcBorders>
              <w:top w:val="nil"/>
              <w:left w:val="nil"/>
              <w:bottom w:val="single" w:sz="4" w:space="0" w:color="auto"/>
              <w:right w:val="single" w:sz="4" w:space="0" w:color="auto"/>
            </w:tcBorders>
            <w:shd w:val="clear" w:color="000000" w:fill="FFFFFF"/>
            <w:vAlign w:val="center"/>
            <w:hideMark/>
          </w:tcPr>
          <w:p w:rsidR="00FE5560" w:rsidRPr="00D60481" w:rsidP="00FE5560" w14:paraId="442E09B2"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62</w:t>
            </w:r>
          </w:p>
        </w:tc>
        <w:tc>
          <w:tcPr>
            <w:tcW w:w="1443" w:type="dxa"/>
            <w:tcBorders>
              <w:top w:val="nil"/>
              <w:left w:val="nil"/>
              <w:bottom w:val="single" w:sz="4" w:space="0" w:color="auto"/>
              <w:right w:val="single" w:sz="4" w:space="0" w:color="auto"/>
            </w:tcBorders>
            <w:shd w:val="clear" w:color="auto" w:fill="auto"/>
            <w:noWrap/>
          </w:tcPr>
          <w:p w:rsidR="00FE5560" w:rsidRPr="00D60481" w:rsidP="00FE5560" w14:paraId="3536DBFD" w14:textId="1F795EC8">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FE5560" w:rsidRPr="00D60481" w:rsidP="00FE5560" w14:paraId="14A24916" w14:textId="0E35EE29">
            <w:pPr>
              <w:spacing w:after="0" w:line="240" w:lineRule="auto"/>
              <w:jc w:val="center"/>
              <w:rPr>
                <w:rFonts w:ascii="Calibri" w:eastAsia="Times New Roman" w:hAnsi="Calibri" w:cs="Calibri"/>
                <w:color w:val="000000"/>
              </w:rPr>
            </w:pPr>
            <w:r w:rsidRPr="00812EF1">
              <w:t>$2,793.10</w:t>
            </w:r>
          </w:p>
        </w:tc>
      </w:tr>
      <w:tr w14:paraId="6FE41413" w14:textId="77777777" w:rsidTr="008633C6">
        <w:tblPrEx>
          <w:tblW w:w="9350" w:type="dxa"/>
          <w:tblLook w:val="04A0"/>
        </w:tblPrEx>
        <w:trPr>
          <w:trHeight w:val="315"/>
        </w:trPr>
        <w:tc>
          <w:tcPr>
            <w:tcW w:w="1470" w:type="dxa"/>
            <w:vMerge/>
            <w:tcBorders>
              <w:top w:val="nil"/>
              <w:left w:val="single" w:sz="8" w:space="0" w:color="auto"/>
              <w:bottom w:val="single" w:sz="8" w:space="0" w:color="000000"/>
              <w:right w:val="nil"/>
            </w:tcBorders>
            <w:vAlign w:val="center"/>
            <w:hideMark/>
          </w:tcPr>
          <w:p w:rsidR="00FE5560" w:rsidRPr="00D60481" w:rsidP="00FE5560" w14:paraId="4C23E9BA"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FE5560" w:rsidRPr="00D60481" w:rsidP="00FE5560" w14:paraId="18CA6F32"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Capability 2</w:t>
            </w:r>
          </w:p>
        </w:tc>
        <w:tc>
          <w:tcPr>
            <w:tcW w:w="1119" w:type="dxa"/>
            <w:tcBorders>
              <w:top w:val="nil"/>
              <w:left w:val="nil"/>
              <w:bottom w:val="single" w:sz="4" w:space="0" w:color="auto"/>
              <w:right w:val="single" w:sz="4" w:space="0" w:color="auto"/>
            </w:tcBorders>
            <w:shd w:val="clear" w:color="000000" w:fill="FFFFFF"/>
            <w:vAlign w:val="center"/>
            <w:hideMark/>
          </w:tcPr>
          <w:p w:rsidR="00FE5560" w:rsidRPr="00D60481" w:rsidP="00FE5560" w14:paraId="291896D9"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62</w:t>
            </w:r>
          </w:p>
        </w:tc>
        <w:tc>
          <w:tcPr>
            <w:tcW w:w="1443" w:type="dxa"/>
            <w:tcBorders>
              <w:top w:val="nil"/>
              <w:left w:val="nil"/>
              <w:bottom w:val="single" w:sz="4" w:space="0" w:color="auto"/>
              <w:right w:val="single" w:sz="4" w:space="0" w:color="auto"/>
            </w:tcBorders>
            <w:shd w:val="clear" w:color="auto" w:fill="auto"/>
            <w:noWrap/>
          </w:tcPr>
          <w:p w:rsidR="00FE5560" w:rsidRPr="00D60481" w:rsidP="00FE5560" w14:paraId="2F5FD9D3" w14:textId="45FE43A8">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FE5560" w:rsidRPr="00D60481" w:rsidP="00FE5560" w14:paraId="0B344913" w14:textId="467656AD">
            <w:pPr>
              <w:spacing w:after="0" w:line="240" w:lineRule="auto"/>
              <w:jc w:val="center"/>
              <w:rPr>
                <w:rFonts w:ascii="Calibri" w:eastAsia="Times New Roman" w:hAnsi="Calibri" w:cs="Calibri"/>
                <w:color w:val="000000"/>
              </w:rPr>
            </w:pPr>
            <w:r w:rsidRPr="00812EF1">
              <w:t>$2,793.10</w:t>
            </w:r>
          </w:p>
        </w:tc>
      </w:tr>
      <w:tr w14:paraId="735612F2" w14:textId="77777777" w:rsidTr="008633C6">
        <w:tblPrEx>
          <w:tblW w:w="9350" w:type="dxa"/>
          <w:tblLook w:val="04A0"/>
        </w:tblPrEx>
        <w:trPr>
          <w:trHeight w:val="315"/>
        </w:trPr>
        <w:tc>
          <w:tcPr>
            <w:tcW w:w="1470" w:type="dxa"/>
            <w:vMerge/>
            <w:tcBorders>
              <w:top w:val="nil"/>
              <w:left w:val="single" w:sz="8" w:space="0" w:color="auto"/>
              <w:bottom w:val="single" w:sz="8" w:space="0" w:color="000000"/>
              <w:right w:val="nil"/>
            </w:tcBorders>
            <w:vAlign w:val="center"/>
            <w:hideMark/>
          </w:tcPr>
          <w:p w:rsidR="00FE5560" w:rsidRPr="00D60481" w:rsidP="00FE5560" w14:paraId="1BE30342"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FE5560" w:rsidRPr="00D60481" w:rsidP="00FE5560" w14:paraId="6F00B33F"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Capability 3</w:t>
            </w:r>
          </w:p>
        </w:tc>
        <w:tc>
          <w:tcPr>
            <w:tcW w:w="1119" w:type="dxa"/>
            <w:tcBorders>
              <w:top w:val="nil"/>
              <w:left w:val="nil"/>
              <w:bottom w:val="single" w:sz="4" w:space="0" w:color="auto"/>
              <w:right w:val="single" w:sz="4" w:space="0" w:color="auto"/>
            </w:tcBorders>
            <w:shd w:val="clear" w:color="000000" w:fill="FFFFFF"/>
            <w:vAlign w:val="center"/>
            <w:hideMark/>
          </w:tcPr>
          <w:p w:rsidR="00FE5560" w:rsidRPr="00D60481" w:rsidP="00FE5560" w14:paraId="08E9618A"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124</w:t>
            </w:r>
          </w:p>
        </w:tc>
        <w:tc>
          <w:tcPr>
            <w:tcW w:w="1443" w:type="dxa"/>
            <w:tcBorders>
              <w:top w:val="nil"/>
              <w:left w:val="nil"/>
              <w:bottom w:val="single" w:sz="4" w:space="0" w:color="auto"/>
              <w:right w:val="single" w:sz="4" w:space="0" w:color="auto"/>
            </w:tcBorders>
            <w:shd w:val="clear" w:color="auto" w:fill="auto"/>
            <w:noWrap/>
          </w:tcPr>
          <w:p w:rsidR="00FE5560" w:rsidRPr="00D60481" w:rsidP="00FE5560" w14:paraId="7C4FA31A" w14:textId="44E81219">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FE5560" w:rsidRPr="00D60481" w:rsidP="00FE5560" w14:paraId="16311096" w14:textId="160B2E77">
            <w:pPr>
              <w:spacing w:after="0" w:line="240" w:lineRule="auto"/>
              <w:jc w:val="center"/>
              <w:rPr>
                <w:rFonts w:ascii="Calibri" w:eastAsia="Times New Roman" w:hAnsi="Calibri" w:cs="Calibri"/>
                <w:color w:val="000000"/>
              </w:rPr>
            </w:pPr>
            <w:r w:rsidRPr="00812EF1">
              <w:t>$5,586.20</w:t>
            </w:r>
          </w:p>
        </w:tc>
      </w:tr>
      <w:tr w14:paraId="0B5E2F74" w14:textId="77777777" w:rsidTr="008633C6">
        <w:tblPrEx>
          <w:tblW w:w="9350" w:type="dxa"/>
          <w:tblLook w:val="04A0"/>
        </w:tblPrEx>
        <w:trPr>
          <w:trHeight w:val="315"/>
        </w:trPr>
        <w:tc>
          <w:tcPr>
            <w:tcW w:w="1470" w:type="dxa"/>
            <w:vMerge/>
            <w:tcBorders>
              <w:top w:val="nil"/>
              <w:left w:val="single" w:sz="8" w:space="0" w:color="auto"/>
              <w:bottom w:val="single" w:sz="8" w:space="0" w:color="000000"/>
              <w:right w:val="nil"/>
            </w:tcBorders>
            <w:vAlign w:val="center"/>
            <w:hideMark/>
          </w:tcPr>
          <w:p w:rsidR="00FE5560" w:rsidRPr="00D60481" w:rsidP="00FE5560" w14:paraId="4821C08E"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FE5560" w:rsidRPr="00D60481" w:rsidP="00FE5560" w14:paraId="51E4DE21"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Capability 4</w:t>
            </w:r>
          </w:p>
        </w:tc>
        <w:tc>
          <w:tcPr>
            <w:tcW w:w="1119" w:type="dxa"/>
            <w:tcBorders>
              <w:top w:val="nil"/>
              <w:left w:val="nil"/>
              <w:bottom w:val="single" w:sz="4" w:space="0" w:color="auto"/>
              <w:right w:val="single" w:sz="4" w:space="0" w:color="auto"/>
            </w:tcBorders>
            <w:shd w:val="clear" w:color="000000" w:fill="FFFFFF"/>
            <w:vAlign w:val="center"/>
            <w:hideMark/>
          </w:tcPr>
          <w:p w:rsidR="00FE5560" w:rsidRPr="00D60481" w:rsidP="00FE5560" w14:paraId="542A69F5"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93</w:t>
            </w:r>
          </w:p>
        </w:tc>
        <w:tc>
          <w:tcPr>
            <w:tcW w:w="1443" w:type="dxa"/>
            <w:tcBorders>
              <w:top w:val="nil"/>
              <w:left w:val="nil"/>
              <w:bottom w:val="single" w:sz="4" w:space="0" w:color="auto"/>
              <w:right w:val="single" w:sz="4" w:space="0" w:color="auto"/>
            </w:tcBorders>
            <w:shd w:val="clear" w:color="auto" w:fill="auto"/>
            <w:noWrap/>
          </w:tcPr>
          <w:p w:rsidR="00FE5560" w:rsidRPr="00D60481" w:rsidP="00FE5560" w14:paraId="7A2FD143" w14:textId="4602357D">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FE5560" w:rsidRPr="00D60481" w:rsidP="00FE5560" w14:paraId="177C01CF" w14:textId="5DCAE755">
            <w:pPr>
              <w:spacing w:after="0" w:line="240" w:lineRule="auto"/>
              <w:jc w:val="center"/>
              <w:rPr>
                <w:rFonts w:ascii="Calibri" w:eastAsia="Times New Roman" w:hAnsi="Calibri" w:cs="Calibri"/>
                <w:color w:val="000000"/>
              </w:rPr>
            </w:pPr>
            <w:r w:rsidRPr="00812EF1">
              <w:t>$4,189.65</w:t>
            </w:r>
          </w:p>
        </w:tc>
      </w:tr>
      <w:tr w14:paraId="3C65CB38" w14:textId="77777777" w:rsidTr="008633C6">
        <w:tblPrEx>
          <w:tblW w:w="9350" w:type="dxa"/>
          <w:tblLook w:val="04A0"/>
        </w:tblPrEx>
        <w:trPr>
          <w:trHeight w:val="315"/>
        </w:trPr>
        <w:tc>
          <w:tcPr>
            <w:tcW w:w="1470" w:type="dxa"/>
            <w:vMerge/>
            <w:tcBorders>
              <w:top w:val="nil"/>
              <w:left w:val="single" w:sz="8" w:space="0" w:color="auto"/>
              <w:bottom w:val="single" w:sz="8" w:space="0" w:color="000000"/>
              <w:right w:val="nil"/>
            </w:tcBorders>
            <w:vAlign w:val="center"/>
            <w:hideMark/>
          </w:tcPr>
          <w:p w:rsidR="00FE5560" w:rsidRPr="00D60481" w:rsidP="00FE5560" w14:paraId="374F3308"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FE5560" w:rsidRPr="00D60481" w:rsidP="00FE5560" w14:paraId="74659517"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Capability 5</w:t>
            </w:r>
          </w:p>
        </w:tc>
        <w:tc>
          <w:tcPr>
            <w:tcW w:w="1119" w:type="dxa"/>
            <w:tcBorders>
              <w:top w:val="nil"/>
              <w:left w:val="nil"/>
              <w:bottom w:val="single" w:sz="4" w:space="0" w:color="auto"/>
              <w:right w:val="single" w:sz="4" w:space="0" w:color="auto"/>
            </w:tcBorders>
            <w:shd w:val="clear" w:color="000000" w:fill="FFFFFF"/>
            <w:vAlign w:val="center"/>
            <w:hideMark/>
          </w:tcPr>
          <w:p w:rsidR="00FE5560" w:rsidRPr="00D60481" w:rsidP="00FE5560" w14:paraId="781595BA"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155</w:t>
            </w:r>
          </w:p>
        </w:tc>
        <w:tc>
          <w:tcPr>
            <w:tcW w:w="1443" w:type="dxa"/>
            <w:tcBorders>
              <w:top w:val="nil"/>
              <w:left w:val="nil"/>
              <w:bottom w:val="single" w:sz="4" w:space="0" w:color="auto"/>
              <w:right w:val="single" w:sz="4" w:space="0" w:color="auto"/>
            </w:tcBorders>
            <w:shd w:val="clear" w:color="auto" w:fill="auto"/>
            <w:noWrap/>
          </w:tcPr>
          <w:p w:rsidR="00FE5560" w:rsidRPr="00D60481" w:rsidP="00FE5560" w14:paraId="6F1E02DE" w14:textId="4C19896F">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FE5560" w:rsidRPr="00D60481" w:rsidP="00FE5560" w14:paraId="6D60FA0E" w14:textId="0ABA5433">
            <w:pPr>
              <w:spacing w:after="0" w:line="240" w:lineRule="auto"/>
              <w:jc w:val="center"/>
              <w:rPr>
                <w:rFonts w:ascii="Calibri" w:eastAsia="Times New Roman" w:hAnsi="Calibri" w:cs="Calibri"/>
                <w:color w:val="000000"/>
              </w:rPr>
            </w:pPr>
            <w:r w:rsidRPr="00812EF1">
              <w:t>$6,982.75</w:t>
            </w:r>
          </w:p>
        </w:tc>
      </w:tr>
      <w:tr w14:paraId="181A2346" w14:textId="77777777" w:rsidTr="008633C6">
        <w:tblPrEx>
          <w:tblW w:w="9350" w:type="dxa"/>
          <w:tblLook w:val="04A0"/>
        </w:tblPrEx>
        <w:trPr>
          <w:trHeight w:val="315"/>
        </w:trPr>
        <w:tc>
          <w:tcPr>
            <w:tcW w:w="1470" w:type="dxa"/>
            <w:vMerge/>
            <w:tcBorders>
              <w:top w:val="nil"/>
              <w:left w:val="single" w:sz="8" w:space="0" w:color="auto"/>
              <w:bottom w:val="single" w:sz="8" w:space="0" w:color="000000"/>
              <w:right w:val="nil"/>
            </w:tcBorders>
            <w:vAlign w:val="center"/>
            <w:hideMark/>
          </w:tcPr>
          <w:p w:rsidR="00FE5560" w:rsidRPr="00D60481" w:rsidP="00FE5560" w14:paraId="2831FEFC"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FE5560" w:rsidRPr="00D60481" w:rsidP="00FE5560" w14:paraId="210FC2A5"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Capability 6</w:t>
            </w:r>
          </w:p>
        </w:tc>
        <w:tc>
          <w:tcPr>
            <w:tcW w:w="1119" w:type="dxa"/>
            <w:tcBorders>
              <w:top w:val="nil"/>
              <w:left w:val="nil"/>
              <w:bottom w:val="single" w:sz="4" w:space="0" w:color="auto"/>
              <w:right w:val="single" w:sz="4" w:space="0" w:color="auto"/>
            </w:tcBorders>
            <w:shd w:val="clear" w:color="000000" w:fill="FFFFFF"/>
            <w:vAlign w:val="center"/>
            <w:hideMark/>
          </w:tcPr>
          <w:p w:rsidR="00FE5560" w:rsidRPr="00D60481" w:rsidP="00FE5560" w14:paraId="74AAF726"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62</w:t>
            </w:r>
          </w:p>
        </w:tc>
        <w:tc>
          <w:tcPr>
            <w:tcW w:w="1443" w:type="dxa"/>
            <w:tcBorders>
              <w:top w:val="nil"/>
              <w:left w:val="nil"/>
              <w:bottom w:val="single" w:sz="4" w:space="0" w:color="auto"/>
              <w:right w:val="single" w:sz="4" w:space="0" w:color="auto"/>
            </w:tcBorders>
            <w:shd w:val="clear" w:color="auto" w:fill="auto"/>
            <w:noWrap/>
          </w:tcPr>
          <w:p w:rsidR="00FE5560" w:rsidRPr="00D60481" w:rsidP="00FE5560" w14:paraId="5DD86A62" w14:textId="293CD915">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FE5560" w:rsidRPr="00D60481" w:rsidP="00FE5560" w14:paraId="52761BED" w14:textId="1E60C915">
            <w:pPr>
              <w:spacing w:after="0" w:line="240" w:lineRule="auto"/>
              <w:jc w:val="center"/>
              <w:rPr>
                <w:rFonts w:ascii="Calibri" w:eastAsia="Times New Roman" w:hAnsi="Calibri" w:cs="Calibri"/>
                <w:color w:val="000000"/>
              </w:rPr>
            </w:pPr>
            <w:r w:rsidRPr="00812EF1">
              <w:t>$2,793.10</w:t>
            </w:r>
          </w:p>
        </w:tc>
      </w:tr>
      <w:tr w14:paraId="5E1F97C2" w14:textId="77777777" w:rsidTr="008633C6">
        <w:tblPrEx>
          <w:tblW w:w="9350" w:type="dxa"/>
          <w:tblLook w:val="04A0"/>
        </w:tblPrEx>
        <w:trPr>
          <w:trHeight w:val="315"/>
        </w:trPr>
        <w:tc>
          <w:tcPr>
            <w:tcW w:w="1470" w:type="dxa"/>
            <w:vMerge/>
            <w:tcBorders>
              <w:top w:val="nil"/>
              <w:left w:val="single" w:sz="8" w:space="0" w:color="auto"/>
              <w:bottom w:val="single" w:sz="8" w:space="0" w:color="000000"/>
              <w:right w:val="nil"/>
            </w:tcBorders>
            <w:vAlign w:val="center"/>
            <w:hideMark/>
          </w:tcPr>
          <w:p w:rsidR="00FE5560" w:rsidRPr="00D60481" w:rsidP="00FE5560" w14:paraId="3DC7F58B"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FE5560" w:rsidRPr="00D60481" w:rsidP="00FE5560" w14:paraId="3B23A96B"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Capability 7</w:t>
            </w:r>
          </w:p>
        </w:tc>
        <w:tc>
          <w:tcPr>
            <w:tcW w:w="1119" w:type="dxa"/>
            <w:tcBorders>
              <w:top w:val="nil"/>
              <w:left w:val="nil"/>
              <w:bottom w:val="single" w:sz="4" w:space="0" w:color="auto"/>
              <w:right w:val="single" w:sz="4" w:space="0" w:color="auto"/>
            </w:tcBorders>
            <w:shd w:val="clear" w:color="000000" w:fill="FFFFFF"/>
            <w:vAlign w:val="center"/>
            <w:hideMark/>
          </w:tcPr>
          <w:p w:rsidR="00FE5560" w:rsidRPr="00D60481" w:rsidP="00FE5560" w14:paraId="62273221"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124</w:t>
            </w:r>
          </w:p>
        </w:tc>
        <w:tc>
          <w:tcPr>
            <w:tcW w:w="1443" w:type="dxa"/>
            <w:tcBorders>
              <w:top w:val="nil"/>
              <w:left w:val="nil"/>
              <w:bottom w:val="single" w:sz="4" w:space="0" w:color="auto"/>
              <w:right w:val="single" w:sz="4" w:space="0" w:color="auto"/>
            </w:tcBorders>
            <w:shd w:val="clear" w:color="auto" w:fill="auto"/>
            <w:noWrap/>
          </w:tcPr>
          <w:p w:rsidR="00FE5560" w:rsidRPr="00D60481" w:rsidP="00FE5560" w14:paraId="14BB080A" w14:textId="020EE4ED">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FE5560" w:rsidRPr="00D60481" w:rsidP="00FE5560" w14:paraId="66301842" w14:textId="107117B7">
            <w:pPr>
              <w:spacing w:after="0" w:line="240" w:lineRule="auto"/>
              <w:jc w:val="center"/>
              <w:rPr>
                <w:rFonts w:ascii="Calibri" w:eastAsia="Times New Roman" w:hAnsi="Calibri" w:cs="Calibri"/>
                <w:color w:val="000000"/>
              </w:rPr>
            </w:pPr>
            <w:r w:rsidRPr="00812EF1">
              <w:t>$5,586.20</w:t>
            </w:r>
          </w:p>
        </w:tc>
      </w:tr>
      <w:tr w14:paraId="008ABFC7" w14:textId="77777777" w:rsidTr="008633C6">
        <w:tblPrEx>
          <w:tblW w:w="9350" w:type="dxa"/>
          <w:tblLook w:val="04A0"/>
        </w:tblPrEx>
        <w:trPr>
          <w:trHeight w:val="315"/>
        </w:trPr>
        <w:tc>
          <w:tcPr>
            <w:tcW w:w="1470" w:type="dxa"/>
            <w:vMerge/>
            <w:tcBorders>
              <w:top w:val="nil"/>
              <w:left w:val="single" w:sz="8" w:space="0" w:color="auto"/>
              <w:bottom w:val="single" w:sz="8" w:space="0" w:color="000000"/>
              <w:right w:val="nil"/>
            </w:tcBorders>
            <w:vAlign w:val="center"/>
            <w:hideMark/>
          </w:tcPr>
          <w:p w:rsidR="00FE5560" w:rsidRPr="00D60481" w:rsidP="00FE5560" w14:paraId="7D0DCA02"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FE5560" w:rsidRPr="00D60481" w:rsidP="00FE5560" w14:paraId="150BBB72"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Capability 8</w:t>
            </w:r>
          </w:p>
        </w:tc>
        <w:tc>
          <w:tcPr>
            <w:tcW w:w="1119" w:type="dxa"/>
            <w:tcBorders>
              <w:top w:val="nil"/>
              <w:left w:val="nil"/>
              <w:bottom w:val="single" w:sz="4" w:space="0" w:color="auto"/>
              <w:right w:val="single" w:sz="4" w:space="0" w:color="auto"/>
            </w:tcBorders>
            <w:shd w:val="clear" w:color="000000" w:fill="FFFFFF"/>
            <w:vAlign w:val="center"/>
            <w:hideMark/>
          </w:tcPr>
          <w:p w:rsidR="00FE5560" w:rsidRPr="00D60481" w:rsidP="00FE5560" w14:paraId="7E22BCAF"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186</w:t>
            </w:r>
          </w:p>
        </w:tc>
        <w:tc>
          <w:tcPr>
            <w:tcW w:w="1443" w:type="dxa"/>
            <w:tcBorders>
              <w:top w:val="nil"/>
              <w:left w:val="nil"/>
              <w:bottom w:val="single" w:sz="4" w:space="0" w:color="auto"/>
              <w:right w:val="single" w:sz="4" w:space="0" w:color="auto"/>
            </w:tcBorders>
            <w:shd w:val="clear" w:color="auto" w:fill="auto"/>
            <w:noWrap/>
          </w:tcPr>
          <w:p w:rsidR="00FE5560" w:rsidRPr="00D60481" w:rsidP="00FE5560" w14:paraId="15AD6F3A" w14:textId="5DA78320">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FE5560" w:rsidRPr="00D60481" w:rsidP="00FE5560" w14:paraId="3990BC0B" w14:textId="7E5E4394">
            <w:pPr>
              <w:spacing w:after="0" w:line="240" w:lineRule="auto"/>
              <w:jc w:val="center"/>
              <w:rPr>
                <w:rFonts w:ascii="Calibri" w:eastAsia="Times New Roman" w:hAnsi="Calibri" w:cs="Calibri"/>
                <w:color w:val="000000"/>
              </w:rPr>
            </w:pPr>
            <w:r w:rsidRPr="00812EF1">
              <w:t>$8,379.30</w:t>
            </w:r>
          </w:p>
        </w:tc>
      </w:tr>
      <w:tr w14:paraId="7DBBE64C" w14:textId="77777777" w:rsidTr="008633C6">
        <w:tblPrEx>
          <w:tblW w:w="9350" w:type="dxa"/>
          <w:tblLook w:val="04A0"/>
        </w:tblPrEx>
        <w:trPr>
          <w:trHeight w:val="315"/>
        </w:trPr>
        <w:tc>
          <w:tcPr>
            <w:tcW w:w="1470" w:type="dxa"/>
            <w:vMerge/>
            <w:tcBorders>
              <w:top w:val="nil"/>
              <w:left w:val="single" w:sz="8" w:space="0" w:color="auto"/>
              <w:bottom w:val="single" w:sz="8" w:space="0" w:color="000000"/>
              <w:right w:val="nil"/>
            </w:tcBorders>
            <w:vAlign w:val="center"/>
            <w:hideMark/>
          </w:tcPr>
          <w:p w:rsidR="00FE5560" w:rsidRPr="00D60481" w:rsidP="00FE5560" w14:paraId="65EBD73C"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FE5560" w:rsidRPr="00D60481" w:rsidP="00FE5560" w14:paraId="23ACFD81"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Capability 9</w:t>
            </w:r>
          </w:p>
        </w:tc>
        <w:tc>
          <w:tcPr>
            <w:tcW w:w="1119" w:type="dxa"/>
            <w:tcBorders>
              <w:top w:val="nil"/>
              <w:left w:val="nil"/>
              <w:bottom w:val="single" w:sz="4" w:space="0" w:color="auto"/>
              <w:right w:val="single" w:sz="4" w:space="0" w:color="auto"/>
            </w:tcBorders>
            <w:shd w:val="clear" w:color="000000" w:fill="FFFFFF"/>
            <w:vAlign w:val="center"/>
            <w:hideMark/>
          </w:tcPr>
          <w:p w:rsidR="00FE5560" w:rsidRPr="00D60481" w:rsidP="00FE5560" w14:paraId="3E860199"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202</w:t>
            </w:r>
          </w:p>
        </w:tc>
        <w:tc>
          <w:tcPr>
            <w:tcW w:w="1443" w:type="dxa"/>
            <w:tcBorders>
              <w:top w:val="nil"/>
              <w:left w:val="nil"/>
              <w:bottom w:val="single" w:sz="4" w:space="0" w:color="auto"/>
              <w:right w:val="single" w:sz="4" w:space="0" w:color="auto"/>
            </w:tcBorders>
            <w:shd w:val="clear" w:color="auto" w:fill="auto"/>
            <w:noWrap/>
          </w:tcPr>
          <w:p w:rsidR="00FE5560" w:rsidRPr="00D60481" w:rsidP="00FE5560" w14:paraId="35F82C37" w14:textId="0153869F">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FE5560" w:rsidRPr="00D60481" w:rsidP="00FE5560" w14:paraId="0CC50776" w14:textId="7C602CFE">
            <w:pPr>
              <w:spacing w:after="0" w:line="240" w:lineRule="auto"/>
              <w:jc w:val="center"/>
              <w:rPr>
                <w:rFonts w:ascii="Calibri" w:eastAsia="Times New Roman" w:hAnsi="Calibri" w:cs="Calibri"/>
                <w:color w:val="000000"/>
              </w:rPr>
            </w:pPr>
            <w:r w:rsidRPr="00812EF1">
              <w:t>$9,100.10</w:t>
            </w:r>
          </w:p>
        </w:tc>
      </w:tr>
      <w:tr w14:paraId="611E2752" w14:textId="77777777" w:rsidTr="008633C6">
        <w:tblPrEx>
          <w:tblW w:w="9350" w:type="dxa"/>
          <w:tblLook w:val="04A0"/>
        </w:tblPrEx>
        <w:trPr>
          <w:trHeight w:val="315"/>
        </w:trPr>
        <w:tc>
          <w:tcPr>
            <w:tcW w:w="1470" w:type="dxa"/>
            <w:vMerge/>
            <w:tcBorders>
              <w:top w:val="nil"/>
              <w:left w:val="single" w:sz="8" w:space="0" w:color="auto"/>
              <w:bottom w:val="single" w:sz="8" w:space="0" w:color="000000"/>
              <w:right w:val="nil"/>
            </w:tcBorders>
            <w:vAlign w:val="center"/>
            <w:hideMark/>
          </w:tcPr>
          <w:p w:rsidR="00FE5560" w:rsidRPr="00D60481" w:rsidP="00FE5560" w14:paraId="2C7EE6CC"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FE5560" w:rsidRPr="00D60481" w:rsidP="00FE5560" w14:paraId="1B68FD3F"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Capability 10</w:t>
            </w:r>
          </w:p>
        </w:tc>
        <w:tc>
          <w:tcPr>
            <w:tcW w:w="1119" w:type="dxa"/>
            <w:tcBorders>
              <w:top w:val="nil"/>
              <w:left w:val="nil"/>
              <w:bottom w:val="single" w:sz="4" w:space="0" w:color="auto"/>
              <w:right w:val="single" w:sz="4" w:space="0" w:color="auto"/>
            </w:tcBorders>
            <w:shd w:val="clear" w:color="000000" w:fill="FFFFFF"/>
            <w:vAlign w:val="center"/>
            <w:hideMark/>
          </w:tcPr>
          <w:p w:rsidR="00FE5560" w:rsidRPr="00D60481" w:rsidP="00FE5560" w14:paraId="25C82B43"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124</w:t>
            </w:r>
          </w:p>
        </w:tc>
        <w:tc>
          <w:tcPr>
            <w:tcW w:w="1443" w:type="dxa"/>
            <w:tcBorders>
              <w:top w:val="nil"/>
              <w:left w:val="nil"/>
              <w:bottom w:val="single" w:sz="4" w:space="0" w:color="auto"/>
              <w:right w:val="single" w:sz="4" w:space="0" w:color="auto"/>
            </w:tcBorders>
            <w:shd w:val="clear" w:color="auto" w:fill="auto"/>
            <w:noWrap/>
          </w:tcPr>
          <w:p w:rsidR="00FE5560" w:rsidRPr="00D60481" w:rsidP="00FE5560" w14:paraId="0B3066DC" w14:textId="10AB0510">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FE5560" w:rsidRPr="00D60481" w:rsidP="00FE5560" w14:paraId="5AE6BE44" w14:textId="0BEDEE56">
            <w:pPr>
              <w:spacing w:after="0" w:line="240" w:lineRule="auto"/>
              <w:jc w:val="center"/>
              <w:rPr>
                <w:rFonts w:ascii="Calibri" w:eastAsia="Times New Roman" w:hAnsi="Calibri" w:cs="Calibri"/>
                <w:color w:val="000000"/>
              </w:rPr>
            </w:pPr>
            <w:r w:rsidRPr="00812EF1">
              <w:t>$5,586.20</w:t>
            </w:r>
          </w:p>
        </w:tc>
      </w:tr>
      <w:tr w14:paraId="1A0EC4C7" w14:textId="77777777" w:rsidTr="008633C6">
        <w:tblPrEx>
          <w:tblW w:w="9350" w:type="dxa"/>
          <w:tblLook w:val="04A0"/>
        </w:tblPrEx>
        <w:trPr>
          <w:trHeight w:val="315"/>
        </w:trPr>
        <w:tc>
          <w:tcPr>
            <w:tcW w:w="1470" w:type="dxa"/>
            <w:vMerge/>
            <w:tcBorders>
              <w:top w:val="nil"/>
              <w:left w:val="single" w:sz="8" w:space="0" w:color="auto"/>
              <w:bottom w:val="single" w:sz="8" w:space="0" w:color="000000"/>
              <w:right w:val="nil"/>
            </w:tcBorders>
            <w:vAlign w:val="center"/>
            <w:hideMark/>
          </w:tcPr>
          <w:p w:rsidR="00FE5560" w:rsidRPr="00D60481" w:rsidP="00FE5560" w14:paraId="5CD74EDA"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FE5560" w:rsidRPr="00D60481" w:rsidP="00FE5560" w14:paraId="4AF8E7C6"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Capability 11</w:t>
            </w:r>
          </w:p>
        </w:tc>
        <w:tc>
          <w:tcPr>
            <w:tcW w:w="1119" w:type="dxa"/>
            <w:tcBorders>
              <w:top w:val="nil"/>
              <w:left w:val="nil"/>
              <w:bottom w:val="single" w:sz="4" w:space="0" w:color="auto"/>
              <w:right w:val="single" w:sz="4" w:space="0" w:color="auto"/>
            </w:tcBorders>
            <w:shd w:val="clear" w:color="000000" w:fill="FFFFFF"/>
            <w:vAlign w:val="center"/>
            <w:hideMark/>
          </w:tcPr>
          <w:p w:rsidR="00FE5560" w:rsidRPr="00D60481" w:rsidP="00FE5560" w14:paraId="49E063F5"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93</w:t>
            </w:r>
          </w:p>
        </w:tc>
        <w:tc>
          <w:tcPr>
            <w:tcW w:w="1443" w:type="dxa"/>
            <w:tcBorders>
              <w:top w:val="nil"/>
              <w:left w:val="nil"/>
              <w:bottom w:val="single" w:sz="4" w:space="0" w:color="auto"/>
              <w:right w:val="single" w:sz="4" w:space="0" w:color="auto"/>
            </w:tcBorders>
            <w:shd w:val="clear" w:color="auto" w:fill="auto"/>
            <w:noWrap/>
          </w:tcPr>
          <w:p w:rsidR="00FE5560" w:rsidRPr="00D60481" w:rsidP="00FE5560" w14:paraId="40677D5A" w14:textId="41DD2392">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FE5560" w:rsidRPr="00D60481" w:rsidP="00FE5560" w14:paraId="5D40CD3F" w14:textId="5BAA7912">
            <w:pPr>
              <w:spacing w:after="0" w:line="240" w:lineRule="auto"/>
              <w:jc w:val="center"/>
              <w:rPr>
                <w:rFonts w:ascii="Calibri" w:eastAsia="Times New Roman" w:hAnsi="Calibri" w:cs="Calibri"/>
                <w:color w:val="000000"/>
              </w:rPr>
            </w:pPr>
            <w:r w:rsidRPr="00812EF1">
              <w:t>$4,189.65</w:t>
            </w:r>
          </w:p>
        </w:tc>
      </w:tr>
      <w:tr w14:paraId="590FC792" w14:textId="77777777" w:rsidTr="008633C6">
        <w:tblPrEx>
          <w:tblW w:w="9350" w:type="dxa"/>
          <w:tblLook w:val="04A0"/>
        </w:tblPrEx>
        <w:trPr>
          <w:trHeight w:val="315"/>
        </w:trPr>
        <w:tc>
          <w:tcPr>
            <w:tcW w:w="1470" w:type="dxa"/>
            <w:vMerge/>
            <w:tcBorders>
              <w:top w:val="nil"/>
              <w:left w:val="single" w:sz="8" w:space="0" w:color="auto"/>
              <w:bottom w:val="single" w:sz="8" w:space="0" w:color="000000"/>
              <w:right w:val="nil"/>
            </w:tcBorders>
            <w:vAlign w:val="center"/>
            <w:hideMark/>
          </w:tcPr>
          <w:p w:rsidR="00FE5560" w:rsidRPr="00D60481" w:rsidP="00FE5560" w14:paraId="439FC66F"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FE5560" w:rsidRPr="00D60481" w:rsidP="00FE5560" w14:paraId="638C5661"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Capability 12</w:t>
            </w:r>
          </w:p>
        </w:tc>
        <w:tc>
          <w:tcPr>
            <w:tcW w:w="1119" w:type="dxa"/>
            <w:tcBorders>
              <w:top w:val="nil"/>
              <w:left w:val="nil"/>
              <w:bottom w:val="single" w:sz="4" w:space="0" w:color="auto"/>
              <w:right w:val="single" w:sz="4" w:space="0" w:color="auto"/>
            </w:tcBorders>
            <w:shd w:val="clear" w:color="000000" w:fill="FFFFFF"/>
            <w:vAlign w:val="center"/>
            <w:hideMark/>
          </w:tcPr>
          <w:p w:rsidR="00FE5560" w:rsidRPr="00D60481" w:rsidP="00FE5560" w14:paraId="19DAC113"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93</w:t>
            </w:r>
          </w:p>
        </w:tc>
        <w:tc>
          <w:tcPr>
            <w:tcW w:w="1443" w:type="dxa"/>
            <w:tcBorders>
              <w:top w:val="nil"/>
              <w:left w:val="nil"/>
              <w:bottom w:val="single" w:sz="4" w:space="0" w:color="auto"/>
              <w:right w:val="single" w:sz="4" w:space="0" w:color="auto"/>
            </w:tcBorders>
            <w:shd w:val="clear" w:color="auto" w:fill="auto"/>
            <w:noWrap/>
          </w:tcPr>
          <w:p w:rsidR="00FE5560" w:rsidRPr="00D60481" w:rsidP="00FE5560" w14:paraId="782DB6B6" w14:textId="35F389FF">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FE5560" w:rsidRPr="00D60481" w:rsidP="00FE5560" w14:paraId="0CC768E5" w14:textId="5B01C909">
            <w:pPr>
              <w:spacing w:after="0" w:line="240" w:lineRule="auto"/>
              <w:jc w:val="center"/>
              <w:rPr>
                <w:rFonts w:ascii="Calibri" w:eastAsia="Times New Roman" w:hAnsi="Calibri" w:cs="Calibri"/>
                <w:color w:val="000000"/>
              </w:rPr>
            </w:pPr>
            <w:r w:rsidRPr="00812EF1">
              <w:t>$4,189.65</w:t>
            </w:r>
          </w:p>
        </w:tc>
      </w:tr>
      <w:tr w14:paraId="1BFCEA72" w14:textId="77777777" w:rsidTr="008633C6">
        <w:tblPrEx>
          <w:tblW w:w="9350" w:type="dxa"/>
          <w:tblLook w:val="04A0"/>
        </w:tblPrEx>
        <w:trPr>
          <w:trHeight w:val="315"/>
        </w:trPr>
        <w:tc>
          <w:tcPr>
            <w:tcW w:w="1470" w:type="dxa"/>
            <w:vMerge/>
            <w:tcBorders>
              <w:top w:val="nil"/>
              <w:left w:val="single" w:sz="8" w:space="0" w:color="auto"/>
              <w:bottom w:val="single" w:sz="8" w:space="0" w:color="000000"/>
              <w:right w:val="nil"/>
            </w:tcBorders>
            <w:vAlign w:val="center"/>
            <w:hideMark/>
          </w:tcPr>
          <w:p w:rsidR="00FE5560" w:rsidRPr="00D60481" w:rsidP="00FE5560" w14:paraId="4D681696"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FE5560" w:rsidRPr="00D60481" w:rsidP="00FE5560" w14:paraId="2D375D92"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Capability 13</w:t>
            </w:r>
          </w:p>
        </w:tc>
        <w:tc>
          <w:tcPr>
            <w:tcW w:w="1119" w:type="dxa"/>
            <w:tcBorders>
              <w:top w:val="nil"/>
              <w:left w:val="nil"/>
              <w:bottom w:val="single" w:sz="4" w:space="0" w:color="auto"/>
              <w:right w:val="single" w:sz="4" w:space="0" w:color="auto"/>
            </w:tcBorders>
            <w:shd w:val="clear" w:color="000000" w:fill="FFFFFF"/>
            <w:vAlign w:val="center"/>
            <w:hideMark/>
          </w:tcPr>
          <w:p w:rsidR="00FE5560" w:rsidRPr="00D60481" w:rsidP="00FE5560" w14:paraId="400D8527"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155</w:t>
            </w:r>
          </w:p>
        </w:tc>
        <w:tc>
          <w:tcPr>
            <w:tcW w:w="1443" w:type="dxa"/>
            <w:tcBorders>
              <w:top w:val="nil"/>
              <w:left w:val="nil"/>
              <w:bottom w:val="single" w:sz="4" w:space="0" w:color="auto"/>
              <w:right w:val="single" w:sz="4" w:space="0" w:color="auto"/>
            </w:tcBorders>
            <w:shd w:val="clear" w:color="auto" w:fill="auto"/>
            <w:noWrap/>
          </w:tcPr>
          <w:p w:rsidR="00FE5560" w:rsidRPr="00D60481" w:rsidP="00FE5560" w14:paraId="61B9FE36" w14:textId="6E8A5075">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FE5560" w:rsidRPr="00D60481" w:rsidP="00FE5560" w14:paraId="375A3DAD" w14:textId="4B3D91D0">
            <w:pPr>
              <w:spacing w:after="0" w:line="240" w:lineRule="auto"/>
              <w:jc w:val="center"/>
              <w:rPr>
                <w:rFonts w:ascii="Calibri" w:eastAsia="Times New Roman" w:hAnsi="Calibri" w:cs="Calibri"/>
                <w:color w:val="000000"/>
              </w:rPr>
            </w:pPr>
            <w:r w:rsidRPr="00812EF1">
              <w:t>$6,982.75</w:t>
            </w:r>
          </w:p>
        </w:tc>
      </w:tr>
      <w:tr w14:paraId="0908E5A0" w14:textId="77777777" w:rsidTr="008633C6">
        <w:tblPrEx>
          <w:tblW w:w="9350" w:type="dxa"/>
          <w:tblLook w:val="04A0"/>
        </w:tblPrEx>
        <w:trPr>
          <w:trHeight w:val="315"/>
        </w:trPr>
        <w:tc>
          <w:tcPr>
            <w:tcW w:w="1470" w:type="dxa"/>
            <w:vMerge/>
            <w:tcBorders>
              <w:top w:val="nil"/>
              <w:left w:val="single" w:sz="8" w:space="0" w:color="auto"/>
              <w:bottom w:val="single" w:sz="8" w:space="0" w:color="000000"/>
              <w:right w:val="nil"/>
            </w:tcBorders>
            <w:vAlign w:val="center"/>
            <w:hideMark/>
          </w:tcPr>
          <w:p w:rsidR="00FE5560" w:rsidRPr="00D60481" w:rsidP="00FE5560" w14:paraId="50BACDA9"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FE5560" w:rsidRPr="00D60481" w:rsidP="00FE5560" w14:paraId="2970B9B7"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Capability 14</w:t>
            </w:r>
          </w:p>
        </w:tc>
        <w:tc>
          <w:tcPr>
            <w:tcW w:w="1119" w:type="dxa"/>
            <w:tcBorders>
              <w:top w:val="nil"/>
              <w:left w:val="nil"/>
              <w:bottom w:val="single" w:sz="4" w:space="0" w:color="auto"/>
              <w:right w:val="single" w:sz="4" w:space="0" w:color="auto"/>
            </w:tcBorders>
            <w:shd w:val="clear" w:color="000000" w:fill="FFFFFF"/>
            <w:vAlign w:val="center"/>
            <w:hideMark/>
          </w:tcPr>
          <w:p w:rsidR="00FE5560" w:rsidRPr="00D60481" w:rsidP="00FE5560" w14:paraId="64917BD8"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93</w:t>
            </w:r>
          </w:p>
        </w:tc>
        <w:tc>
          <w:tcPr>
            <w:tcW w:w="1443" w:type="dxa"/>
            <w:tcBorders>
              <w:top w:val="nil"/>
              <w:left w:val="nil"/>
              <w:bottom w:val="single" w:sz="4" w:space="0" w:color="auto"/>
              <w:right w:val="single" w:sz="4" w:space="0" w:color="auto"/>
            </w:tcBorders>
            <w:shd w:val="clear" w:color="auto" w:fill="auto"/>
            <w:noWrap/>
          </w:tcPr>
          <w:p w:rsidR="00FE5560" w:rsidRPr="00D60481" w:rsidP="00FE5560" w14:paraId="3C48E98E" w14:textId="140FB567">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FE5560" w:rsidRPr="00D60481" w:rsidP="00FE5560" w14:paraId="5434CF7E" w14:textId="39AEE5EB">
            <w:pPr>
              <w:spacing w:after="0" w:line="240" w:lineRule="auto"/>
              <w:jc w:val="center"/>
              <w:rPr>
                <w:rFonts w:ascii="Calibri" w:eastAsia="Times New Roman" w:hAnsi="Calibri" w:cs="Calibri"/>
                <w:color w:val="000000"/>
              </w:rPr>
            </w:pPr>
            <w:r w:rsidRPr="00812EF1">
              <w:t>$4,189.65</w:t>
            </w:r>
          </w:p>
        </w:tc>
      </w:tr>
      <w:tr w14:paraId="316BB2EA" w14:textId="77777777" w:rsidTr="008633C6">
        <w:tblPrEx>
          <w:tblW w:w="9350" w:type="dxa"/>
          <w:tblLook w:val="04A0"/>
        </w:tblPrEx>
        <w:trPr>
          <w:trHeight w:val="315"/>
        </w:trPr>
        <w:tc>
          <w:tcPr>
            <w:tcW w:w="1470" w:type="dxa"/>
            <w:vMerge/>
            <w:tcBorders>
              <w:top w:val="nil"/>
              <w:left w:val="single" w:sz="8" w:space="0" w:color="auto"/>
              <w:bottom w:val="single" w:sz="8" w:space="0" w:color="000000"/>
              <w:right w:val="nil"/>
            </w:tcBorders>
            <w:vAlign w:val="center"/>
            <w:hideMark/>
          </w:tcPr>
          <w:p w:rsidR="00FE5560" w:rsidRPr="00D60481" w:rsidP="00FE5560" w14:paraId="355DDE3A"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FE5560" w:rsidRPr="00D60481" w:rsidP="00FE5560" w14:paraId="6D232C43"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Capability 15</w:t>
            </w:r>
          </w:p>
        </w:tc>
        <w:tc>
          <w:tcPr>
            <w:tcW w:w="1119" w:type="dxa"/>
            <w:tcBorders>
              <w:top w:val="nil"/>
              <w:left w:val="nil"/>
              <w:bottom w:val="single" w:sz="4" w:space="0" w:color="auto"/>
              <w:right w:val="single" w:sz="4" w:space="0" w:color="auto"/>
            </w:tcBorders>
            <w:shd w:val="clear" w:color="000000" w:fill="FFFFFF"/>
            <w:vAlign w:val="center"/>
            <w:hideMark/>
          </w:tcPr>
          <w:p w:rsidR="00FE5560" w:rsidRPr="00D60481" w:rsidP="00FE5560" w14:paraId="7965F455"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78</w:t>
            </w:r>
          </w:p>
        </w:tc>
        <w:tc>
          <w:tcPr>
            <w:tcW w:w="1443" w:type="dxa"/>
            <w:tcBorders>
              <w:top w:val="nil"/>
              <w:left w:val="nil"/>
              <w:bottom w:val="single" w:sz="4" w:space="0" w:color="auto"/>
              <w:right w:val="single" w:sz="4" w:space="0" w:color="auto"/>
            </w:tcBorders>
            <w:shd w:val="clear" w:color="auto" w:fill="auto"/>
            <w:noWrap/>
          </w:tcPr>
          <w:p w:rsidR="00FE5560" w:rsidRPr="00D60481" w:rsidP="00FE5560" w14:paraId="575B5398" w14:textId="05B73660">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FE5560" w:rsidRPr="00D60481" w:rsidP="00FE5560" w14:paraId="65A2CBA7" w14:textId="60ADB7B9">
            <w:pPr>
              <w:spacing w:after="0" w:line="240" w:lineRule="auto"/>
              <w:jc w:val="center"/>
              <w:rPr>
                <w:rFonts w:ascii="Calibri" w:eastAsia="Times New Roman" w:hAnsi="Calibri" w:cs="Calibri"/>
                <w:color w:val="000000"/>
              </w:rPr>
            </w:pPr>
            <w:r w:rsidRPr="00812EF1">
              <w:t>$3,513.90</w:t>
            </w:r>
          </w:p>
        </w:tc>
      </w:tr>
      <w:tr w14:paraId="6D77A3F1" w14:textId="77777777" w:rsidTr="008633C6">
        <w:tblPrEx>
          <w:tblW w:w="9350" w:type="dxa"/>
          <w:tblLook w:val="04A0"/>
        </w:tblPrEx>
        <w:trPr>
          <w:trHeight w:val="330"/>
        </w:trPr>
        <w:tc>
          <w:tcPr>
            <w:tcW w:w="1470" w:type="dxa"/>
            <w:vMerge/>
            <w:tcBorders>
              <w:top w:val="nil"/>
              <w:left w:val="single" w:sz="8" w:space="0" w:color="auto"/>
              <w:bottom w:val="single" w:sz="8" w:space="0" w:color="000000"/>
              <w:right w:val="nil"/>
            </w:tcBorders>
            <w:vAlign w:val="center"/>
            <w:hideMark/>
          </w:tcPr>
          <w:p w:rsidR="006526F6" w:rsidRPr="00D60481" w:rsidP="006526F6" w14:paraId="0BBB8E68"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8" w:space="0" w:color="auto"/>
              <w:right w:val="single" w:sz="4" w:space="0" w:color="auto"/>
            </w:tcBorders>
            <w:shd w:val="clear" w:color="000000" w:fill="FFFFFF"/>
            <w:vAlign w:val="center"/>
            <w:hideMark/>
          </w:tcPr>
          <w:p w:rsidR="006526F6" w:rsidRPr="00D60481" w:rsidP="006526F6" w14:paraId="3552E5A0" w14:textId="77777777">
            <w:pPr>
              <w:spacing w:after="0" w:line="240" w:lineRule="auto"/>
              <w:jc w:val="center"/>
              <w:rPr>
                <w:rFonts w:ascii="Times New Roman" w:eastAsia="Times New Roman" w:hAnsi="Times New Roman" w:cs="Times New Roman"/>
                <w:b/>
                <w:bCs/>
                <w:color w:val="000000"/>
                <w:sz w:val="24"/>
                <w:szCs w:val="24"/>
              </w:rPr>
            </w:pPr>
            <w:r w:rsidRPr="00D60481">
              <w:rPr>
                <w:rFonts w:ascii="Times New Roman" w:eastAsia="Times New Roman" w:hAnsi="Times New Roman" w:cs="Times New Roman"/>
                <w:b/>
                <w:bCs/>
                <w:sz w:val="24"/>
                <w:szCs w:val="24"/>
              </w:rPr>
              <w:t>Subtotal, Module 2</w:t>
            </w:r>
          </w:p>
        </w:tc>
        <w:tc>
          <w:tcPr>
            <w:tcW w:w="1119" w:type="dxa"/>
            <w:tcBorders>
              <w:top w:val="nil"/>
              <w:left w:val="nil"/>
              <w:bottom w:val="single" w:sz="8" w:space="0" w:color="auto"/>
              <w:right w:val="single" w:sz="4" w:space="0" w:color="auto"/>
            </w:tcBorders>
            <w:shd w:val="clear" w:color="000000" w:fill="FFFFFF"/>
            <w:vAlign w:val="center"/>
            <w:hideMark/>
          </w:tcPr>
          <w:p w:rsidR="006526F6" w:rsidRPr="00D60481" w:rsidP="006526F6" w14:paraId="48400DA8" w14:textId="77777777">
            <w:pPr>
              <w:spacing w:after="0" w:line="240" w:lineRule="auto"/>
              <w:jc w:val="center"/>
              <w:rPr>
                <w:rFonts w:ascii="Times New Roman" w:eastAsia="Times New Roman" w:hAnsi="Times New Roman" w:cs="Times New Roman"/>
                <w:b/>
                <w:bCs/>
                <w:color w:val="000000"/>
                <w:sz w:val="24"/>
                <w:szCs w:val="24"/>
              </w:rPr>
            </w:pPr>
            <w:r w:rsidRPr="00D60481">
              <w:rPr>
                <w:rFonts w:ascii="Times New Roman" w:eastAsia="Times New Roman" w:hAnsi="Times New Roman" w:cs="Times New Roman"/>
                <w:b/>
                <w:bCs/>
                <w:sz w:val="24"/>
                <w:szCs w:val="24"/>
              </w:rPr>
              <w:t>1,706</w:t>
            </w:r>
          </w:p>
        </w:tc>
        <w:tc>
          <w:tcPr>
            <w:tcW w:w="1443" w:type="dxa"/>
            <w:tcBorders>
              <w:top w:val="nil"/>
              <w:left w:val="nil"/>
              <w:bottom w:val="single" w:sz="8" w:space="0" w:color="auto"/>
              <w:right w:val="single" w:sz="4" w:space="0" w:color="auto"/>
            </w:tcBorders>
            <w:shd w:val="clear" w:color="auto" w:fill="auto"/>
            <w:noWrap/>
          </w:tcPr>
          <w:p w:rsidR="006526F6" w:rsidRPr="00D60481" w:rsidP="006526F6" w14:paraId="5C58BA66" w14:textId="036E0C8D">
            <w:pPr>
              <w:spacing w:after="0" w:line="240" w:lineRule="auto"/>
              <w:jc w:val="center"/>
              <w:rPr>
                <w:rFonts w:ascii="Calibri" w:eastAsia="Times New Roman" w:hAnsi="Calibri" w:cs="Calibri"/>
                <w:color w:val="000000"/>
              </w:rPr>
            </w:pPr>
          </w:p>
        </w:tc>
        <w:tc>
          <w:tcPr>
            <w:tcW w:w="2221" w:type="dxa"/>
            <w:tcBorders>
              <w:top w:val="nil"/>
              <w:left w:val="nil"/>
              <w:bottom w:val="single" w:sz="8" w:space="0" w:color="auto"/>
              <w:right w:val="single" w:sz="8" w:space="0" w:color="auto"/>
            </w:tcBorders>
            <w:shd w:val="clear" w:color="auto" w:fill="auto"/>
            <w:noWrap/>
            <w:vAlign w:val="center"/>
            <w:hideMark/>
          </w:tcPr>
          <w:p w:rsidR="006526F6" w:rsidRPr="00D60481" w:rsidP="006526F6" w14:paraId="52F3C920" w14:textId="2FE4369E">
            <w:pPr>
              <w:spacing w:after="0" w:line="240" w:lineRule="auto"/>
              <w:jc w:val="center"/>
              <w:rPr>
                <w:rFonts w:ascii="Calibri" w:eastAsia="Times New Roman" w:hAnsi="Calibri" w:cs="Calibri"/>
                <w:color w:val="000000"/>
              </w:rPr>
            </w:pPr>
            <w:r w:rsidRPr="00D60481">
              <w:rPr>
                <w:rFonts w:ascii="Calibri" w:eastAsia="Times New Roman" w:hAnsi="Calibri" w:cs="Calibri"/>
                <w:color w:val="000000"/>
              </w:rPr>
              <w:t>$</w:t>
            </w:r>
            <w:r w:rsidRPr="00FE5560" w:rsidR="00FE5560">
              <w:rPr>
                <w:rFonts w:ascii="Calibri" w:eastAsia="Times New Roman" w:hAnsi="Calibri" w:cs="Calibri"/>
                <w:color w:val="000000"/>
              </w:rPr>
              <w:t>76855.30</w:t>
            </w:r>
          </w:p>
        </w:tc>
      </w:tr>
      <w:tr w14:paraId="2D6CC7AC" w14:textId="77777777" w:rsidTr="008633C6">
        <w:tblPrEx>
          <w:tblW w:w="9350" w:type="dxa"/>
          <w:tblLook w:val="04A0"/>
        </w:tblPrEx>
        <w:trPr>
          <w:trHeight w:val="315"/>
        </w:trPr>
        <w:tc>
          <w:tcPr>
            <w:tcW w:w="1470" w:type="dxa"/>
            <w:vMerge w:val="restart"/>
            <w:tcBorders>
              <w:top w:val="nil"/>
              <w:left w:val="single" w:sz="8" w:space="0" w:color="auto"/>
              <w:bottom w:val="single" w:sz="8" w:space="0" w:color="000000"/>
              <w:right w:val="nil"/>
            </w:tcBorders>
            <w:shd w:val="clear" w:color="000000" w:fill="FFFFFF"/>
            <w:vAlign w:val="center"/>
            <w:hideMark/>
          </w:tcPr>
          <w:p w:rsidR="005C5EFE" w:rsidRPr="00D60481" w:rsidP="005C5EFE" w14:paraId="21D95428" w14:textId="77777777">
            <w:pPr>
              <w:spacing w:after="0" w:line="240" w:lineRule="auto"/>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 xml:space="preserve">All PHEP Awardees: State, local, </w:t>
            </w:r>
            <w:r w:rsidRPr="00D60481">
              <w:rPr>
                <w:rFonts w:ascii="Times New Roman" w:eastAsia="Times New Roman" w:hAnsi="Times New Roman" w:cs="Times New Roman"/>
                <w:sz w:val="24"/>
                <w:szCs w:val="24"/>
              </w:rPr>
              <w:t>territorial, and metropolitan area jurisdictions</w:t>
            </w: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5C5EFE" w:rsidRPr="00D60481" w:rsidP="005C5EFE" w14:paraId="297E42E5"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Ops 1</w:t>
            </w:r>
          </w:p>
        </w:tc>
        <w:tc>
          <w:tcPr>
            <w:tcW w:w="1119" w:type="dxa"/>
            <w:tcBorders>
              <w:top w:val="nil"/>
              <w:left w:val="nil"/>
              <w:bottom w:val="single" w:sz="4" w:space="0" w:color="auto"/>
              <w:right w:val="single" w:sz="4" w:space="0" w:color="auto"/>
            </w:tcBorders>
            <w:shd w:val="clear" w:color="000000" w:fill="FFFFFF"/>
            <w:vAlign w:val="center"/>
            <w:hideMark/>
          </w:tcPr>
          <w:p w:rsidR="005C5EFE" w:rsidRPr="00D60481" w:rsidP="005C5EFE" w14:paraId="6BD92627"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62</w:t>
            </w:r>
          </w:p>
        </w:tc>
        <w:tc>
          <w:tcPr>
            <w:tcW w:w="1443" w:type="dxa"/>
            <w:tcBorders>
              <w:top w:val="nil"/>
              <w:left w:val="nil"/>
              <w:bottom w:val="single" w:sz="4" w:space="0" w:color="auto"/>
              <w:right w:val="single" w:sz="4" w:space="0" w:color="auto"/>
            </w:tcBorders>
            <w:shd w:val="clear" w:color="auto" w:fill="auto"/>
            <w:noWrap/>
          </w:tcPr>
          <w:p w:rsidR="005C5EFE" w:rsidRPr="00D60481" w:rsidP="005C5EFE" w14:paraId="049993A4" w14:textId="61102A7B">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5C5EFE" w:rsidRPr="00D60481" w:rsidP="005C5EFE" w14:paraId="12C1BC98" w14:textId="443A9DC7">
            <w:pPr>
              <w:spacing w:after="0" w:line="240" w:lineRule="auto"/>
              <w:jc w:val="center"/>
              <w:rPr>
                <w:rFonts w:ascii="Calibri" w:eastAsia="Times New Roman" w:hAnsi="Calibri" w:cs="Calibri"/>
                <w:color w:val="000000"/>
              </w:rPr>
            </w:pPr>
            <w:r w:rsidRPr="009C5279">
              <w:t>$2,793.10</w:t>
            </w:r>
          </w:p>
        </w:tc>
      </w:tr>
      <w:tr w14:paraId="4F6AD1A3" w14:textId="77777777" w:rsidTr="008633C6">
        <w:tblPrEx>
          <w:tblW w:w="9350" w:type="dxa"/>
          <w:tblLook w:val="04A0"/>
        </w:tblPrEx>
        <w:trPr>
          <w:trHeight w:val="315"/>
        </w:trPr>
        <w:tc>
          <w:tcPr>
            <w:tcW w:w="1470" w:type="dxa"/>
            <w:vMerge/>
            <w:tcBorders>
              <w:top w:val="nil"/>
              <w:left w:val="single" w:sz="8" w:space="0" w:color="auto"/>
              <w:bottom w:val="single" w:sz="8" w:space="0" w:color="000000"/>
              <w:right w:val="nil"/>
            </w:tcBorders>
            <w:vAlign w:val="center"/>
            <w:hideMark/>
          </w:tcPr>
          <w:p w:rsidR="005C5EFE" w:rsidRPr="00D60481" w:rsidP="005C5EFE" w14:paraId="4134CAA8"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5C5EFE" w:rsidRPr="00D60481" w:rsidP="005C5EFE" w14:paraId="214F5936"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Ops 2</w:t>
            </w:r>
          </w:p>
        </w:tc>
        <w:tc>
          <w:tcPr>
            <w:tcW w:w="1119" w:type="dxa"/>
            <w:tcBorders>
              <w:top w:val="nil"/>
              <w:left w:val="nil"/>
              <w:bottom w:val="single" w:sz="4" w:space="0" w:color="auto"/>
              <w:right w:val="single" w:sz="4" w:space="0" w:color="auto"/>
            </w:tcBorders>
            <w:shd w:val="clear" w:color="000000" w:fill="FFFFFF"/>
            <w:vAlign w:val="center"/>
            <w:hideMark/>
          </w:tcPr>
          <w:p w:rsidR="005C5EFE" w:rsidRPr="00D60481" w:rsidP="005C5EFE" w14:paraId="7C1E3FB6"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47</w:t>
            </w:r>
          </w:p>
        </w:tc>
        <w:tc>
          <w:tcPr>
            <w:tcW w:w="1443" w:type="dxa"/>
            <w:tcBorders>
              <w:top w:val="nil"/>
              <w:left w:val="nil"/>
              <w:bottom w:val="single" w:sz="4" w:space="0" w:color="auto"/>
              <w:right w:val="single" w:sz="4" w:space="0" w:color="auto"/>
            </w:tcBorders>
            <w:shd w:val="clear" w:color="auto" w:fill="auto"/>
            <w:noWrap/>
          </w:tcPr>
          <w:p w:rsidR="005C5EFE" w:rsidRPr="00D60481" w:rsidP="005C5EFE" w14:paraId="2F7F13D1" w14:textId="17C3C71E">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5C5EFE" w:rsidRPr="00D60481" w:rsidP="005C5EFE" w14:paraId="39280594" w14:textId="4CBA8BFC">
            <w:pPr>
              <w:spacing w:after="0" w:line="240" w:lineRule="auto"/>
              <w:jc w:val="center"/>
              <w:rPr>
                <w:rFonts w:ascii="Calibri" w:eastAsia="Times New Roman" w:hAnsi="Calibri" w:cs="Calibri"/>
                <w:color w:val="000000"/>
              </w:rPr>
            </w:pPr>
            <w:r w:rsidRPr="009C5279">
              <w:t>$2,117.35</w:t>
            </w:r>
          </w:p>
        </w:tc>
      </w:tr>
      <w:tr w14:paraId="134310D6" w14:textId="77777777" w:rsidTr="008633C6">
        <w:tblPrEx>
          <w:tblW w:w="9350" w:type="dxa"/>
          <w:tblLook w:val="04A0"/>
        </w:tblPrEx>
        <w:trPr>
          <w:trHeight w:val="315"/>
        </w:trPr>
        <w:tc>
          <w:tcPr>
            <w:tcW w:w="1470" w:type="dxa"/>
            <w:vMerge/>
            <w:tcBorders>
              <w:top w:val="nil"/>
              <w:left w:val="single" w:sz="8" w:space="0" w:color="auto"/>
              <w:bottom w:val="single" w:sz="8" w:space="0" w:color="000000"/>
              <w:right w:val="nil"/>
            </w:tcBorders>
            <w:vAlign w:val="center"/>
            <w:hideMark/>
          </w:tcPr>
          <w:p w:rsidR="006526F6" w:rsidRPr="00D60481" w:rsidP="006526F6" w14:paraId="4FF93002"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6526F6" w:rsidRPr="00D60481" w:rsidP="006526F6" w14:paraId="25B395BE"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Tabletop exercise (TTX)</w:t>
            </w:r>
          </w:p>
        </w:tc>
        <w:tc>
          <w:tcPr>
            <w:tcW w:w="1119" w:type="dxa"/>
            <w:tcBorders>
              <w:top w:val="nil"/>
              <w:left w:val="nil"/>
              <w:bottom w:val="single" w:sz="4" w:space="0" w:color="auto"/>
              <w:right w:val="single" w:sz="4" w:space="0" w:color="auto"/>
            </w:tcBorders>
            <w:shd w:val="clear" w:color="000000" w:fill="FFFFFF"/>
            <w:vAlign w:val="center"/>
            <w:hideMark/>
          </w:tcPr>
          <w:p w:rsidR="006526F6" w:rsidRPr="00D60481" w:rsidP="006526F6" w14:paraId="75846BC4"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93</w:t>
            </w:r>
          </w:p>
        </w:tc>
        <w:tc>
          <w:tcPr>
            <w:tcW w:w="1443" w:type="dxa"/>
            <w:tcBorders>
              <w:top w:val="nil"/>
              <w:left w:val="nil"/>
              <w:bottom w:val="single" w:sz="4" w:space="0" w:color="auto"/>
              <w:right w:val="single" w:sz="4" w:space="0" w:color="auto"/>
            </w:tcBorders>
            <w:shd w:val="clear" w:color="auto" w:fill="auto"/>
            <w:noWrap/>
          </w:tcPr>
          <w:p w:rsidR="006526F6" w:rsidRPr="00D60481" w:rsidP="006526F6" w14:paraId="742744EC" w14:textId="2B992454">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vAlign w:val="center"/>
            <w:hideMark/>
          </w:tcPr>
          <w:p w:rsidR="006526F6" w:rsidRPr="00D60481" w:rsidP="006526F6" w14:paraId="218C025B" w14:textId="2D1385EE">
            <w:pPr>
              <w:spacing w:after="0" w:line="240" w:lineRule="auto"/>
              <w:jc w:val="center"/>
              <w:rPr>
                <w:rFonts w:ascii="Calibri" w:eastAsia="Times New Roman" w:hAnsi="Calibri" w:cs="Calibri"/>
                <w:color w:val="000000"/>
              </w:rPr>
            </w:pPr>
            <w:r w:rsidRPr="006770AC">
              <w:rPr>
                <w:rFonts w:ascii="Calibri" w:eastAsia="Times New Roman" w:hAnsi="Calibri" w:cs="Calibri"/>
                <w:color w:val="000000"/>
              </w:rPr>
              <w:t>$4,189.65</w:t>
            </w:r>
          </w:p>
        </w:tc>
      </w:tr>
      <w:tr w14:paraId="3A4EF63E" w14:textId="77777777" w:rsidTr="008633C6">
        <w:tblPrEx>
          <w:tblW w:w="9350" w:type="dxa"/>
          <w:tblLook w:val="04A0"/>
        </w:tblPrEx>
        <w:trPr>
          <w:trHeight w:val="315"/>
        </w:trPr>
        <w:tc>
          <w:tcPr>
            <w:tcW w:w="1470" w:type="dxa"/>
            <w:vMerge/>
            <w:tcBorders>
              <w:top w:val="nil"/>
              <w:left w:val="single" w:sz="8" w:space="0" w:color="auto"/>
              <w:bottom w:val="single" w:sz="8" w:space="0" w:color="000000"/>
              <w:right w:val="nil"/>
            </w:tcBorders>
            <w:vAlign w:val="center"/>
            <w:hideMark/>
          </w:tcPr>
          <w:p w:rsidR="005C5EFE" w:rsidRPr="00D60481" w:rsidP="005C5EFE" w14:paraId="0EE9A8ED"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5C5EFE" w:rsidRPr="00D60481" w:rsidP="005C5EFE" w14:paraId="35025501"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Partner role (Par1)</w:t>
            </w:r>
          </w:p>
        </w:tc>
        <w:tc>
          <w:tcPr>
            <w:tcW w:w="1119" w:type="dxa"/>
            <w:tcBorders>
              <w:top w:val="nil"/>
              <w:left w:val="nil"/>
              <w:bottom w:val="single" w:sz="4" w:space="0" w:color="auto"/>
              <w:right w:val="single" w:sz="4" w:space="0" w:color="auto"/>
            </w:tcBorders>
            <w:shd w:val="clear" w:color="000000" w:fill="FFFFFF"/>
            <w:vAlign w:val="center"/>
            <w:hideMark/>
          </w:tcPr>
          <w:p w:rsidR="005C5EFE" w:rsidRPr="00D60481" w:rsidP="005C5EFE" w14:paraId="3583D717"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16</w:t>
            </w:r>
          </w:p>
        </w:tc>
        <w:tc>
          <w:tcPr>
            <w:tcW w:w="1443" w:type="dxa"/>
            <w:tcBorders>
              <w:top w:val="nil"/>
              <w:left w:val="nil"/>
              <w:bottom w:val="single" w:sz="4" w:space="0" w:color="auto"/>
              <w:right w:val="single" w:sz="4" w:space="0" w:color="auto"/>
            </w:tcBorders>
            <w:shd w:val="clear" w:color="auto" w:fill="auto"/>
            <w:noWrap/>
          </w:tcPr>
          <w:p w:rsidR="005C5EFE" w:rsidRPr="00D60481" w:rsidP="005C5EFE" w14:paraId="1DDF4B06" w14:textId="6105C603">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5C5EFE" w:rsidRPr="00D60481" w:rsidP="005C5EFE" w14:paraId="1A4DEB77" w14:textId="358A5707">
            <w:pPr>
              <w:spacing w:after="0" w:line="240" w:lineRule="auto"/>
              <w:jc w:val="center"/>
              <w:rPr>
                <w:rFonts w:ascii="Calibri" w:eastAsia="Times New Roman" w:hAnsi="Calibri" w:cs="Calibri"/>
                <w:color w:val="000000"/>
              </w:rPr>
            </w:pPr>
            <w:r w:rsidRPr="005C08DF">
              <w:t>$720.80</w:t>
            </w:r>
          </w:p>
        </w:tc>
      </w:tr>
      <w:tr w14:paraId="1AFE5352" w14:textId="77777777" w:rsidTr="008633C6">
        <w:tblPrEx>
          <w:tblW w:w="9350" w:type="dxa"/>
          <w:tblLook w:val="04A0"/>
        </w:tblPrEx>
        <w:trPr>
          <w:trHeight w:val="1260"/>
        </w:trPr>
        <w:tc>
          <w:tcPr>
            <w:tcW w:w="1470" w:type="dxa"/>
            <w:vMerge/>
            <w:tcBorders>
              <w:top w:val="nil"/>
              <w:left w:val="single" w:sz="8" w:space="0" w:color="auto"/>
              <w:bottom w:val="single" w:sz="8" w:space="0" w:color="000000"/>
              <w:right w:val="nil"/>
            </w:tcBorders>
            <w:vAlign w:val="center"/>
            <w:hideMark/>
          </w:tcPr>
          <w:p w:rsidR="005C5EFE" w:rsidRPr="00D60481" w:rsidP="005C5EFE" w14:paraId="02498357"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5C5EFE" w:rsidRPr="00D60481" w:rsidP="005C5EFE" w14:paraId="594059C6"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Access and functional needs exercise accommodations or actions (Par2)</w:t>
            </w:r>
          </w:p>
        </w:tc>
        <w:tc>
          <w:tcPr>
            <w:tcW w:w="1119" w:type="dxa"/>
            <w:tcBorders>
              <w:top w:val="nil"/>
              <w:left w:val="nil"/>
              <w:bottom w:val="single" w:sz="4" w:space="0" w:color="auto"/>
              <w:right w:val="single" w:sz="4" w:space="0" w:color="auto"/>
            </w:tcBorders>
            <w:shd w:val="clear" w:color="000000" w:fill="FFFFFF"/>
            <w:vAlign w:val="center"/>
            <w:hideMark/>
          </w:tcPr>
          <w:p w:rsidR="005C5EFE" w:rsidRPr="00D60481" w:rsidP="005C5EFE" w14:paraId="14C0F17A"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31</w:t>
            </w:r>
          </w:p>
        </w:tc>
        <w:tc>
          <w:tcPr>
            <w:tcW w:w="1443" w:type="dxa"/>
            <w:tcBorders>
              <w:top w:val="nil"/>
              <w:left w:val="nil"/>
              <w:bottom w:val="single" w:sz="4" w:space="0" w:color="auto"/>
              <w:right w:val="single" w:sz="4" w:space="0" w:color="auto"/>
            </w:tcBorders>
            <w:shd w:val="clear" w:color="auto" w:fill="auto"/>
            <w:noWrap/>
          </w:tcPr>
          <w:p w:rsidR="005C5EFE" w:rsidRPr="00D60481" w:rsidP="005C5EFE" w14:paraId="48FC990E" w14:textId="17397DA3">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5C5EFE" w:rsidRPr="00D60481" w:rsidP="005C5EFE" w14:paraId="1D888FB8" w14:textId="1395A4BE">
            <w:pPr>
              <w:spacing w:after="0" w:line="240" w:lineRule="auto"/>
              <w:jc w:val="center"/>
              <w:rPr>
                <w:rFonts w:ascii="Calibri" w:eastAsia="Times New Roman" w:hAnsi="Calibri" w:cs="Calibri"/>
                <w:color w:val="000000"/>
              </w:rPr>
            </w:pPr>
            <w:r w:rsidRPr="005C08DF">
              <w:t>$1,396.55</w:t>
            </w:r>
          </w:p>
        </w:tc>
      </w:tr>
      <w:tr w14:paraId="51F3B6ED" w14:textId="77777777" w:rsidTr="008633C6">
        <w:tblPrEx>
          <w:tblW w:w="9350" w:type="dxa"/>
          <w:tblLook w:val="04A0"/>
        </w:tblPrEx>
        <w:trPr>
          <w:trHeight w:val="430"/>
        </w:trPr>
        <w:tc>
          <w:tcPr>
            <w:tcW w:w="1470" w:type="dxa"/>
            <w:vMerge/>
            <w:tcBorders>
              <w:top w:val="nil"/>
              <w:left w:val="single" w:sz="8" w:space="0" w:color="auto"/>
              <w:bottom w:val="single" w:sz="8" w:space="0" w:color="000000"/>
              <w:right w:val="nil"/>
            </w:tcBorders>
            <w:vAlign w:val="center"/>
            <w:hideMark/>
          </w:tcPr>
          <w:p w:rsidR="005C5EFE" w:rsidRPr="00D60481" w:rsidP="005C5EFE" w14:paraId="29CF4396"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5C5EFE" w:rsidRPr="00D60481" w:rsidP="005C5EFE" w14:paraId="0F60A052"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Joint exercise with emergency management and health care coalitions (Par3)</w:t>
            </w:r>
          </w:p>
        </w:tc>
        <w:tc>
          <w:tcPr>
            <w:tcW w:w="1119" w:type="dxa"/>
            <w:tcBorders>
              <w:top w:val="nil"/>
              <w:left w:val="nil"/>
              <w:bottom w:val="single" w:sz="4" w:space="0" w:color="auto"/>
              <w:right w:val="single" w:sz="4" w:space="0" w:color="auto"/>
            </w:tcBorders>
            <w:shd w:val="clear" w:color="000000" w:fill="FFFFFF"/>
            <w:vAlign w:val="center"/>
            <w:hideMark/>
          </w:tcPr>
          <w:p w:rsidR="005C5EFE" w:rsidRPr="00D60481" w:rsidP="005C5EFE" w14:paraId="08F32091"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6</w:t>
            </w:r>
          </w:p>
        </w:tc>
        <w:tc>
          <w:tcPr>
            <w:tcW w:w="1443" w:type="dxa"/>
            <w:tcBorders>
              <w:top w:val="nil"/>
              <w:left w:val="nil"/>
              <w:bottom w:val="single" w:sz="4" w:space="0" w:color="auto"/>
              <w:right w:val="single" w:sz="4" w:space="0" w:color="auto"/>
            </w:tcBorders>
            <w:shd w:val="clear" w:color="auto" w:fill="auto"/>
            <w:noWrap/>
          </w:tcPr>
          <w:p w:rsidR="005C5EFE" w:rsidRPr="00D60481" w:rsidP="005C5EFE" w14:paraId="723505AF" w14:textId="6EDDCE49">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5C5EFE" w:rsidRPr="00D60481" w:rsidP="005C5EFE" w14:paraId="7727EE73" w14:textId="4E3FA860">
            <w:pPr>
              <w:spacing w:after="0" w:line="240" w:lineRule="auto"/>
              <w:jc w:val="center"/>
              <w:rPr>
                <w:rFonts w:ascii="Calibri" w:eastAsia="Times New Roman" w:hAnsi="Calibri" w:cs="Calibri"/>
                <w:color w:val="000000"/>
              </w:rPr>
            </w:pPr>
            <w:r w:rsidRPr="005C08DF">
              <w:t>$270.30</w:t>
            </w:r>
          </w:p>
        </w:tc>
      </w:tr>
      <w:tr w14:paraId="2C6226DC" w14:textId="77777777" w:rsidTr="008633C6">
        <w:tblPrEx>
          <w:tblW w:w="9350" w:type="dxa"/>
          <w:tblLook w:val="04A0"/>
        </w:tblPrEx>
        <w:trPr>
          <w:trHeight w:val="1260"/>
        </w:trPr>
        <w:tc>
          <w:tcPr>
            <w:tcW w:w="1470" w:type="dxa"/>
            <w:vMerge/>
            <w:tcBorders>
              <w:top w:val="nil"/>
              <w:left w:val="single" w:sz="8" w:space="0" w:color="auto"/>
              <w:bottom w:val="single" w:sz="8" w:space="0" w:color="000000"/>
              <w:right w:val="nil"/>
            </w:tcBorders>
            <w:vAlign w:val="center"/>
            <w:hideMark/>
          </w:tcPr>
          <w:p w:rsidR="005C5EFE" w:rsidRPr="00D60481" w:rsidP="005C5EFE" w14:paraId="0DBD7366"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5C5EFE" w:rsidRPr="00D60481" w:rsidP="005C5EFE" w14:paraId="3800C69A"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Vaccination of critical workforce (functional exercise, full-scale exercise, or incident)</w:t>
            </w:r>
          </w:p>
        </w:tc>
        <w:tc>
          <w:tcPr>
            <w:tcW w:w="1119" w:type="dxa"/>
            <w:tcBorders>
              <w:top w:val="nil"/>
              <w:left w:val="nil"/>
              <w:bottom w:val="single" w:sz="4" w:space="0" w:color="auto"/>
              <w:right w:val="single" w:sz="4" w:space="0" w:color="auto"/>
            </w:tcBorders>
            <w:shd w:val="clear" w:color="000000" w:fill="FFFFFF"/>
            <w:vAlign w:val="center"/>
            <w:hideMark/>
          </w:tcPr>
          <w:p w:rsidR="005C5EFE" w:rsidRPr="00D60481" w:rsidP="005C5EFE" w14:paraId="10CFE4C7"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12</w:t>
            </w:r>
          </w:p>
        </w:tc>
        <w:tc>
          <w:tcPr>
            <w:tcW w:w="1443" w:type="dxa"/>
            <w:tcBorders>
              <w:top w:val="nil"/>
              <w:left w:val="nil"/>
              <w:bottom w:val="single" w:sz="4" w:space="0" w:color="auto"/>
              <w:right w:val="single" w:sz="4" w:space="0" w:color="auto"/>
            </w:tcBorders>
            <w:shd w:val="clear" w:color="auto" w:fill="auto"/>
            <w:noWrap/>
          </w:tcPr>
          <w:p w:rsidR="005C5EFE" w:rsidRPr="00D60481" w:rsidP="005C5EFE" w14:paraId="1288702D" w14:textId="7B2B4D67">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5C5EFE" w:rsidRPr="00D60481" w:rsidP="005C5EFE" w14:paraId="17442593" w14:textId="47456327">
            <w:pPr>
              <w:spacing w:after="0" w:line="240" w:lineRule="auto"/>
              <w:jc w:val="center"/>
              <w:rPr>
                <w:rFonts w:ascii="Calibri" w:eastAsia="Times New Roman" w:hAnsi="Calibri" w:cs="Calibri"/>
                <w:color w:val="000000"/>
              </w:rPr>
            </w:pPr>
            <w:r w:rsidRPr="005C08DF">
              <w:t>$540.60</w:t>
            </w:r>
          </w:p>
        </w:tc>
      </w:tr>
      <w:tr w14:paraId="14CD40C3" w14:textId="77777777" w:rsidTr="008633C6">
        <w:tblPrEx>
          <w:tblW w:w="9350" w:type="dxa"/>
          <w:tblLook w:val="04A0"/>
        </w:tblPrEx>
        <w:trPr>
          <w:trHeight w:val="1575"/>
        </w:trPr>
        <w:tc>
          <w:tcPr>
            <w:tcW w:w="1470" w:type="dxa"/>
            <w:vMerge/>
            <w:tcBorders>
              <w:top w:val="nil"/>
              <w:left w:val="single" w:sz="8" w:space="0" w:color="auto"/>
              <w:bottom w:val="single" w:sz="8" w:space="0" w:color="000000"/>
              <w:right w:val="nil"/>
            </w:tcBorders>
            <w:vAlign w:val="center"/>
            <w:hideMark/>
          </w:tcPr>
          <w:p w:rsidR="005C5EFE" w:rsidRPr="00D60481" w:rsidP="005C5EFE" w14:paraId="4C799113"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5C5EFE" w:rsidRPr="00D60481" w:rsidP="005C5EFE" w14:paraId="6EBF66DB"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Vaccination of critical workforce (point of dispensing/ dispensing/vaccination clinic setup)</w:t>
            </w:r>
          </w:p>
        </w:tc>
        <w:tc>
          <w:tcPr>
            <w:tcW w:w="1119" w:type="dxa"/>
            <w:tcBorders>
              <w:top w:val="nil"/>
              <w:left w:val="nil"/>
              <w:bottom w:val="single" w:sz="4" w:space="0" w:color="auto"/>
              <w:right w:val="single" w:sz="4" w:space="0" w:color="auto"/>
            </w:tcBorders>
            <w:shd w:val="clear" w:color="000000" w:fill="FFFFFF"/>
            <w:vAlign w:val="center"/>
            <w:hideMark/>
          </w:tcPr>
          <w:p w:rsidR="005C5EFE" w:rsidRPr="00D60481" w:rsidP="005C5EFE" w14:paraId="3FD9E169"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12</w:t>
            </w:r>
          </w:p>
        </w:tc>
        <w:tc>
          <w:tcPr>
            <w:tcW w:w="1443" w:type="dxa"/>
            <w:tcBorders>
              <w:top w:val="nil"/>
              <w:left w:val="nil"/>
              <w:bottom w:val="single" w:sz="4" w:space="0" w:color="auto"/>
              <w:right w:val="single" w:sz="4" w:space="0" w:color="auto"/>
            </w:tcBorders>
            <w:shd w:val="clear" w:color="auto" w:fill="auto"/>
            <w:noWrap/>
          </w:tcPr>
          <w:p w:rsidR="005C5EFE" w:rsidRPr="00D60481" w:rsidP="005C5EFE" w14:paraId="24A94ABE" w14:textId="4BF99706">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5C5EFE" w:rsidRPr="00D60481" w:rsidP="005C5EFE" w14:paraId="0DA52D73" w14:textId="4123A270">
            <w:pPr>
              <w:spacing w:after="0" w:line="240" w:lineRule="auto"/>
              <w:jc w:val="center"/>
              <w:rPr>
                <w:rFonts w:ascii="Calibri" w:eastAsia="Times New Roman" w:hAnsi="Calibri" w:cs="Calibri"/>
                <w:color w:val="000000"/>
              </w:rPr>
            </w:pPr>
            <w:r w:rsidRPr="005C08DF">
              <w:t>$540.60</w:t>
            </w:r>
          </w:p>
        </w:tc>
      </w:tr>
      <w:tr w14:paraId="4040B705" w14:textId="77777777" w:rsidTr="008633C6">
        <w:tblPrEx>
          <w:tblW w:w="9350" w:type="dxa"/>
          <w:tblLook w:val="04A0"/>
        </w:tblPrEx>
        <w:trPr>
          <w:trHeight w:val="945"/>
        </w:trPr>
        <w:tc>
          <w:tcPr>
            <w:tcW w:w="1470" w:type="dxa"/>
            <w:vMerge/>
            <w:tcBorders>
              <w:top w:val="nil"/>
              <w:left w:val="single" w:sz="8" w:space="0" w:color="auto"/>
              <w:bottom w:val="single" w:sz="8" w:space="0" w:color="000000"/>
              <w:right w:val="nil"/>
            </w:tcBorders>
            <w:vAlign w:val="center"/>
            <w:hideMark/>
          </w:tcPr>
          <w:p w:rsidR="005C5EFE" w:rsidRPr="00D60481" w:rsidP="005C5EFE" w14:paraId="213A4438"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5C5EFE" w:rsidRPr="00D60481" w:rsidP="005C5EFE" w14:paraId="5357E7D8"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Vaccination of critical workforce (immunization information system)</w:t>
            </w:r>
          </w:p>
        </w:tc>
        <w:tc>
          <w:tcPr>
            <w:tcW w:w="1119" w:type="dxa"/>
            <w:tcBorders>
              <w:top w:val="nil"/>
              <w:left w:val="nil"/>
              <w:bottom w:val="single" w:sz="4" w:space="0" w:color="auto"/>
              <w:right w:val="single" w:sz="4" w:space="0" w:color="auto"/>
            </w:tcBorders>
            <w:shd w:val="clear" w:color="000000" w:fill="FFFFFF"/>
            <w:vAlign w:val="center"/>
            <w:hideMark/>
          </w:tcPr>
          <w:p w:rsidR="005C5EFE" w:rsidRPr="00D60481" w:rsidP="005C5EFE" w14:paraId="6E661897"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12</w:t>
            </w:r>
          </w:p>
        </w:tc>
        <w:tc>
          <w:tcPr>
            <w:tcW w:w="1443" w:type="dxa"/>
            <w:tcBorders>
              <w:top w:val="nil"/>
              <w:left w:val="nil"/>
              <w:bottom w:val="single" w:sz="4" w:space="0" w:color="auto"/>
              <w:right w:val="single" w:sz="4" w:space="0" w:color="auto"/>
            </w:tcBorders>
            <w:shd w:val="clear" w:color="auto" w:fill="auto"/>
            <w:noWrap/>
          </w:tcPr>
          <w:p w:rsidR="005C5EFE" w:rsidRPr="00D60481" w:rsidP="005C5EFE" w14:paraId="5DCA51DD" w14:textId="0F1B73B0">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5C5EFE" w:rsidRPr="00D60481" w:rsidP="005C5EFE" w14:paraId="35B3729D" w14:textId="2B31E7FA">
            <w:pPr>
              <w:spacing w:after="0" w:line="240" w:lineRule="auto"/>
              <w:jc w:val="center"/>
              <w:rPr>
                <w:rFonts w:ascii="Calibri" w:eastAsia="Times New Roman" w:hAnsi="Calibri" w:cs="Calibri"/>
                <w:color w:val="000000"/>
              </w:rPr>
            </w:pPr>
            <w:r w:rsidRPr="005C08DF">
              <w:t>$540.60</w:t>
            </w:r>
          </w:p>
        </w:tc>
      </w:tr>
      <w:tr w14:paraId="079740AD" w14:textId="77777777" w:rsidTr="008633C6">
        <w:tblPrEx>
          <w:tblW w:w="9350" w:type="dxa"/>
          <w:tblLook w:val="04A0"/>
        </w:tblPrEx>
        <w:trPr>
          <w:trHeight w:val="945"/>
        </w:trPr>
        <w:tc>
          <w:tcPr>
            <w:tcW w:w="1470" w:type="dxa"/>
            <w:vMerge/>
            <w:tcBorders>
              <w:top w:val="nil"/>
              <w:left w:val="single" w:sz="8" w:space="0" w:color="auto"/>
              <w:bottom w:val="single" w:sz="8" w:space="0" w:color="000000"/>
              <w:right w:val="nil"/>
            </w:tcBorders>
            <w:vAlign w:val="center"/>
          </w:tcPr>
          <w:p w:rsidR="00C77815" w:rsidRPr="00D60481" w:rsidP="005C5EFE" w14:paraId="32C022A7"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tcPr>
          <w:p w:rsidR="00C77815" w:rsidRPr="00D60481" w:rsidP="005C5EFE" w14:paraId="0FFE412E" w14:textId="7A82595E">
            <w:pPr>
              <w:spacing w:after="0" w:line="240" w:lineRule="auto"/>
              <w:jc w:val="center"/>
              <w:rPr>
                <w:rFonts w:ascii="Times New Roman" w:eastAsia="Times New Roman" w:hAnsi="Times New Roman" w:cs="Times New Roman"/>
                <w:sz w:val="24"/>
                <w:szCs w:val="24"/>
              </w:rPr>
            </w:pPr>
            <w:r w:rsidRPr="00C77815">
              <w:rPr>
                <w:rFonts w:ascii="Times New Roman" w:eastAsia="Times New Roman" w:hAnsi="Times New Roman" w:cs="Times New Roman"/>
                <w:sz w:val="24"/>
                <w:szCs w:val="24"/>
              </w:rPr>
              <w:t>Vaccination for Critical Workforce Groups and Disproportionately Impacted Populations (VAC)</w:t>
            </w:r>
          </w:p>
        </w:tc>
        <w:tc>
          <w:tcPr>
            <w:tcW w:w="1119" w:type="dxa"/>
            <w:tcBorders>
              <w:top w:val="nil"/>
              <w:left w:val="nil"/>
              <w:bottom w:val="single" w:sz="4" w:space="0" w:color="auto"/>
              <w:right w:val="single" w:sz="4" w:space="0" w:color="auto"/>
            </w:tcBorders>
            <w:shd w:val="clear" w:color="000000" w:fill="FFFFFF"/>
            <w:vAlign w:val="center"/>
          </w:tcPr>
          <w:p w:rsidR="00C77815" w:rsidRPr="00D60481" w:rsidP="005C5EFE" w14:paraId="28173364" w14:textId="08BE62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1443" w:type="dxa"/>
            <w:tcBorders>
              <w:top w:val="nil"/>
              <w:left w:val="nil"/>
              <w:bottom w:val="single" w:sz="4" w:space="0" w:color="auto"/>
              <w:right w:val="single" w:sz="4" w:space="0" w:color="auto"/>
            </w:tcBorders>
            <w:shd w:val="clear" w:color="auto" w:fill="auto"/>
            <w:noWrap/>
          </w:tcPr>
          <w:p w:rsidR="00C77815" w:rsidRPr="009D728A" w:rsidP="005C5EFE" w14:paraId="1D1B4737" w14:textId="0303DD4C">
            <w:pPr>
              <w:spacing w:after="0" w:line="240" w:lineRule="auto"/>
              <w:jc w:val="center"/>
            </w:pPr>
            <w:r>
              <w:t>$45.05</w:t>
            </w:r>
          </w:p>
        </w:tc>
        <w:tc>
          <w:tcPr>
            <w:tcW w:w="2221" w:type="dxa"/>
            <w:tcBorders>
              <w:top w:val="nil"/>
              <w:left w:val="nil"/>
              <w:bottom w:val="single" w:sz="4" w:space="0" w:color="auto"/>
              <w:right w:val="single" w:sz="8" w:space="0" w:color="auto"/>
            </w:tcBorders>
            <w:shd w:val="clear" w:color="auto" w:fill="auto"/>
            <w:noWrap/>
          </w:tcPr>
          <w:p w:rsidR="00C77815" w:rsidRPr="005C08DF" w:rsidP="00D9655C" w14:paraId="3A87D230" w14:textId="0393318E">
            <w:pPr>
              <w:spacing w:after="0" w:line="240" w:lineRule="auto"/>
            </w:pPr>
            <w:r>
              <w:t>$6442.15</w:t>
            </w:r>
          </w:p>
        </w:tc>
      </w:tr>
      <w:tr w14:paraId="14E20632" w14:textId="77777777" w:rsidTr="008633C6">
        <w:tblPrEx>
          <w:tblW w:w="9350" w:type="dxa"/>
          <w:tblLook w:val="04A0"/>
        </w:tblPrEx>
        <w:trPr>
          <w:trHeight w:val="945"/>
        </w:trPr>
        <w:tc>
          <w:tcPr>
            <w:tcW w:w="1470" w:type="dxa"/>
            <w:vMerge/>
            <w:tcBorders>
              <w:top w:val="nil"/>
              <w:left w:val="single" w:sz="8" w:space="0" w:color="auto"/>
              <w:bottom w:val="single" w:sz="8" w:space="0" w:color="000000"/>
              <w:right w:val="nil"/>
            </w:tcBorders>
            <w:vAlign w:val="center"/>
            <w:hideMark/>
          </w:tcPr>
          <w:p w:rsidR="005C5EFE" w:rsidRPr="00D60481" w:rsidP="005C5EFE" w14:paraId="0DBA0752"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5C5EFE" w:rsidRPr="00D60481" w:rsidP="005C5EFE" w14:paraId="34B799B9"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Five-year distribution FSE OR five-year pandemic influenza full-scale exercise</w:t>
            </w:r>
          </w:p>
        </w:tc>
        <w:tc>
          <w:tcPr>
            <w:tcW w:w="1119" w:type="dxa"/>
            <w:tcBorders>
              <w:top w:val="nil"/>
              <w:left w:val="nil"/>
              <w:bottom w:val="single" w:sz="4" w:space="0" w:color="auto"/>
              <w:right w:val="single" w:sz="4" w:space="0" w:color="auto"/>
            </w:tcBorders>
            <w:shd w:val="clear" w:color="000000" w:fill="FFFFFF"/>
            <w:vAlign w:val="center"/>
            <w:hideMark/>
          </w:tcPr>
          <w:p w:rsidR="005C5EFE" w:rsidRPr="00D60481" w:rsidP="005C5EFE" w14:paraId="02912C3F"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31</w:t>
            </w:r>
          </w:p>
        </w:tc>
        <w:tc>
          <w:tcPr>
            <w:tcW w:w="1443" w:type="dxa"/>
            <w:tcBorders>
              <w:top w:val="nil"/>
              <w:left w:val="nil"/>
              <w:bottom w:val="single" w:sz="4" w:space="0" w:color="auto"/>
              <w:right w:val="single" w:sz="4" w:space="0" w:color="auto"/>
            </w:tcBorders>
            <w:shd w:val="clear" w:color="auto" w:fill="auto"/>
            <w:noWrap/>
          </w:tcPr>
          <w:p w:rsidR="005C5EFE" w:rsidRPr="00D60481" w:rsidP="005C5EFE" w14:paraId="165B1ECB" w14:textId="349D2EC6">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5C5EFE" w:rsidRPr="00D60481" w:rsidP="005C5EFE" w14:paraId="40B9042D" w14:textId="0D182A50">
            <w:pPr>
              <w:spacing w:after="0" w:line="240" w:lineRule="auto"/>
              <w:jc w:val="center"/>
              <w:rPr>
                <w:rFonts w:ascii="Calibri" w:eastAsia="Times New Roman" w:hAnsi="Calibri" w:cs="Calibri"/>
                <w:color w:val="000000"/>
              </w:rPr>
            </w:pPr>
            <w:r w:rsidRPr="005C08DF">
              <w:t>$1,396.55</w:t>
            </w:r>
          </w:p>
        </w:tc>
      </w:tr>
      <w:tr w14:paraId="64EBE5C5" w14:textId="77777777" w:rsidTr="008633C6">
        <w:tblPrEx>
          <w:tblW w:w="9350" w:type="dxa"/>
          <w:tblLook w:val="04A0"/>
        </w:tblPrEx>
        <w:trPr>
          <w:trHeight w:val="945"/>
        </w:trPr>
        <w:tc>
          <w:tcPr>
            <w:tcW w:w="1470" w:type="dxa"/>
            <w:vMerge/>
            <w:tcBorders>
              <w:top w:val="nil"/>
              <w:left w:val="single" w:sz="8" w:space="0" w:color="auto"/>
              <w:bottom w:val="single" w:sz="8" w:space="0" w:color="000000"/>
              <w:right w:val="nil"/>
            </w:tcBorders>
            <w:vAlign w:val="center"/>
          </w:tcPr>
          <w:p w:rsidR="00C77815" w:rsidRPr="00D60481" w:rsidP="005C5EFE" w14:paraId="1ABA16CB"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tcPr>
          <w:p w:rsidR="00C77815" w:rsidRPr="00D60481" w:rsidP="005C5EFE" w14:paraId="70093472" w14:textId="5B222461">
            <w:pPr>
              <w:spacing w:after="0" w:line="240" w:lineRule="auto"/>
              <w:jc w:val="center"/>
              <w:rPr>
                <w:rFonts w:ascii="Times New Roman" w:eastAsia="Times New Roman" w:hAnsi="Times New Roman" w:cs="Times New Roman"/>
                <w:sz w:val="24"/>
                <w:szCs w:val="24"/>
              </w:rPr>
            </w:pPr>
            <w:r w:rsidRPr="00C77815">
              <w:rPr>
                <w:rFonts w:ascii="Times New Roman" w:eastAsia="Times New Roman" w:hAnsi="Times New Roman" w:cs="Times New Roman"/>
                <w:sz w:val="24"/>
                <w:szCs w:val="24"/>
              </w:rPr>
              <w:t>COVID-19 Pandemic Response (RSP)</w:t>
            </w:r>
          </w:p>
        </w:tc>
        <w:tc>
          <w:tcPr>
            <w:tcW w:w="1119" w:type="dxa"/>
            <w:tcBorders>
              <w:top w:val="nil"/>
              <w:left w:val="nil"/>
              <w:bottom w:val="single" w:sz="4" w:space="0" w:color="auto"/>
              <w:right w:val="single" w:sz="4" w:space="0" w:color="auto"/>
            </w:tcBorders>
            <w:shd w:val="clear" w:color="000000" w:fill="FFFFFF"/>
            <w:vAlign w:val="center"/>
          </w:tcPr>
          <w:p w:rsidR="00C77815" w:rsidRPr="00D60481" w:rsidP="005C5EFE" w14:paraId="2C2DFD4A" w14:textId="272F2F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443" w:type="dxa"/>
            <w:tcBorders>
              <w:top w:val="nil"/>
              <w:left w:val="nil"/>
              <w:bottom w:val="single" w:sz="4" w:space="0" w:color="auto"/>
              <w:right w:val="single" w:sz="4" w:space="0" w:color="auto"/>
            </w:tcBorders>
            <w:shd w:val="clear" w:color="auto" w:fill="auto"/>
            <w:noWrap/>
          </w:tcPr>
          <w:p w:rsidR="00C77815" w:rsidRPr="009D728A" w:rsidP="005C5EFE" w14:paraId="7B5ACDBB" w14:textId="777922A2">
            <w:pPr>
              <w:spacing w:after="0" w:line="240" w:lineRule="auto"/>
              <w:jc w:val="center"/>
            </w:pPr>
            <w:r>
              <w:t>$45.05</w:t>
            </w:r>
          </w:p>
        </w:tc>
        <w:tc>
          <w:tcPr>
            <w:tcW w:w="2221" w:type="dxa"/>
            <w:tcBorders>
              <w:top w:val="nil"/>
              <w:left w:val="nil"/>
              <w:bottom w:val="single" w:sz="4" w:space="0" w:color="auto"/>
              <w:right w:val="single" w:sz="8" w:space="0" w:color="auto"/>
            </w:tcBorders>
            <w:shd w:val="clear" w:color="auto" w:fill="auto"/>
            <w:noWrap/>
          </w:tcPr>
          <w:p w:rsidR="00C77815" w:rsidRPr="005C08DF" w:rsidP="005C5EFE" w14:paraId="65937492" w14:textId="416DD2DB">
            <w:pPr>
              <w:spacing w:after="0" w:line="240" w:lineRule="auto"/>
              <w:jc w:val="center"/>
            </w:pPr>
            <w:r>
              <w:t>$3378.75</w:t>
            </w:r>
          </w:p>
        </w:tc>
      </w:tr>
      <w:tr w14:paraId="7E412C93" w14:textId="77777777" w:rsidTr="008633C6">
        <w:tblPrEx>
          <w:tblW w:w="9350" w:type="dxa"/>
          <w:tblLook w:val="04A0"/>
        </w:tblPrEx>
        <w:trPr>
          <w:trHeight w:val="330"/>
        </w:trPr>
        <w:tc>
          <w:tcPr>
            <w:tcW w:w="1470" w:type="dxa"/>
            <w:vMerge/>
            <w:tcBorders>
              <w:top w:val="nil"/>
              <w:left w:val="single" w:sz="8" w:space="0" w:color="auto"/>
              <w:bottom w:val="single" w:sz="8" w:space="0" w:color="000000"/>
              <w:right w:val="nil"/>
            </w:tcBorders>
            <w:vAlign w:val="center"/>
            <w:hideMark/>
          </w:tcPr>
          <w:p w:rsidR="006526F6" w:rsidRPr="00D60481" w:rsidP="006526F6" w14:paraId="3E146975"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8" w:space="0" w:color="auto"/>
              <w:right w:val="single" w:sz="4" w:space="0" w:color="auto"/>
            </w:tcBorders>
            <w:shd w:val="clear" w:color="000000" w:fill="FFFFFF"/>
            <w:vAlign w:val="center"/>
            <w:hideMark/>
          </w:tcPr>
          <w:p w:rsidR="006526F6" w:rsidRPr="00D60481" w:rsidP="006526F6" w14:paraId="301E774F" w14:textId="77777777">
            <w:pPr>
              <w:spacing w:after="0" w:line="240" w:lineRule="auto"/>
              <w:jc w:val="center"/>
              <w:rPr>
                <w:rFonts w:ascii="Times New Roman" w:eastAsia="Times New Roman" w:hAnsi="Times New Roman" w:cs="Times New Roman"/>
                <w:b/>
                <w:bCs/>
                <w:color w:val="000000"/>
                <w:sz w:val="24"/>
                <w:szCs w:val="24"/>
              </w:rPr>
            </w:pPr>
            <w:r w:rsidRPr="00D60481">
              <w:rPr>
                <w:rFonts w:ascii="Times New Roman" w:eastAsia="Times New Roman" w:hAnsi="Times New Roman" w:cs="Times New Roman"/>
                <w:b/>
                <w:bCs/>
                <w:sz w:val="24"/>
                <w:szCs w:val="24"/>
              </w:rPr>
              <w:t>Subtotal, Module 3</w:t>
            </w:r>
          </w:p>
        </w:tc>
        <w:tc>
          <w:tcPr>
            <w:tcW w:w="1119" w:type="dxa"/>
            <w:tcBorders>
              <w:top w:val="nil"/>
              <w:left w:val="nil"/>
              <w:bottom w:val="single" w:sz="8" w:space="0" w:color="auto"/>
              <w:right w:val="single" w:sz="4" w:space="0" w:color="auto"/>
            </w:tcBorders>
            <w:shd w:val="clear" w:color="000000" w:fill="FFFFFF"/>
            <w:vAlign w:val="center"/>
            <w:hideMark/>
          </w:tcPr>
          <w:p w:rsidR="006526F6" w:rsidRPr="00D60481" w:rsidP="006526F6" w14:paraId="1BD3E852" w14:textId="77777777">
            <w:pPr>
              <w:spacing w:after="0" w:line="240" w:lineRule="auto"/>
              <w:jc w:val="center"/>
              <w:rPr>
                <w:rFonts w:ascii="Times New Roman" w:eastAsia="Times New Roman" w:hAnsi="Times New Roman" w:cs="Times New Roman"/>
                <w:b/>
                <w:bCs/>
                <w:color w:val="000000"/>
                <w:sz w:val="24"/>
                <w:szCs w:val="24"/>
              </w:rPr>
            </w:pPr>
            <w:r w:rsidRPr="00D60481">
              <w:rPr>
                <w:rFonts w:ascii="Times New Roman" w:eastAsia="Times New Roman" w:hAnsi="Times New Roman" w:cs="Times New Roman"/>
                <w:b/>
                <w:bCs/>
                <w:sz w:val="24"/>
                <w:szCs w:val="24"/>
              </w:rPr>
              <w:t>322</w:t>
            </w:r>
          </w:p>
        </w:tc>
        <w:tc>
          <w:tcPr>
            <w:tcW w:w="1443" w:type="dxa"/>
            <w:tcBorders>
              <w:top w:val="nil"/>
              <w:left w:val="nil"/>
              <w:bottom w:val="single" w:sz="8" w:space="0" w:color="auto"/>
              <w:right w:val="single" w:sz="4" w:space="0" w:color="auto"/>
            </w:tcBorders>
            <w:shd w:val="clear" w:color="auto" w:fill="auto"/>
            <w:noWrap/>
          </w:tcPr>
          <w:p w:rsidR="006526F6" w:rsidRPr="00D60481" w:rsidP="006526F6" w14:paraId="2B84445E" w14:textId="731C045E">
            <w:pPr>
              <w:spacing w:after="0" w:line="240" w:lineRule="auto"/>
              <w:jc w:val="center"/>
              <w:rPr>
                <w:rFonts w:ascii="Calibri" w:eastAsia="Times New Roman" w:hAnsi="Calibri" w:cs="Calibri"/>
                <w:color w:val="000000"/>
              </w:rPr>
            </w:pPr>
          </w:p>
        </w:tc>
        <w:tc>
          <w:tcPr>
            <w:tcW w:w="2221" w:type="dxa"/>
            <w:tcBorders>
              <w:top w:val="nil"/>
              <w:left w:val="nil"/>
              <w:bottom w:val="single" w:sz="8" w:space="0" w:color="auto"/>
              <w:right w:val="single" w:sz="8" w:space="0" w:color="auto"/>
            </w:tcBorders>
            <w:shd w:val="clear" w:color="auto" w:fill="auto"/>
            <w:noWrap/>
            <w:vAlign w:val="center"/>
            <w:hideMark/>
          </w:tcPr>
          <w:p w:rsidR="006526F6" w:rsidRPr="00D60481" w:rsidP="006526F6" w14:paraId="0C3F94EE" w14:textId="14E08B07">
            <w:pPr>
              <w:spacing w:after="0" w:line="240" w:lineRule="auto"/>
              <w:jc w:val="center"/>
              <w:rPr>
                <w:rFonts w:ascii="Calibri" w:eastAsia="Times New Roman" w:hAnsi="Calibri" w:cs="Calibri"/>
                <w:color w:val="000000"/>
              </w:rPr>
            </w:pPr>
            <w:r w:rsidRPr="005C5EFE">
              <w:rPr>
                <w:rFonts w:ascii="Calibri" w:eastAsia="Times New Roman" w:hAnsi="Calibri" w:cs="Calibri"/>
                <w:color w:val="000000"/>
              </w:rPr>
              <w:t>$14,506.10</w:t>
            </w:r>
          </w:p>
        </w:tc>
      </w:tr>
      <w:tr w14:paraId="12F4EE9E" w14:textId="77777777" w:rsidTr="008633C6">
        <w:tblPrEx>
          <w:tblW w:w="9350" w:type="dxa"/>
          <w:tblLook w:val="04A0"/>
        </w:tblPrEx>
        <w:trPr>
          <w:trHeight w:val="315"/>
        </w:trPr>
        <w:tc>
          <w:tcPr>
            <w:tcW w:w="1470" w:type="dxa"/>
            <w:vMerge w:val="restart"/>
            <w:tcBorders>
              <w:top w:val="nil"/>
              <w:left w:val="single" w:sz="8" w:space="0" w:color="auto"/>
              <w:bottom w:val="nil"/>
              <w:right w:val="nil"/>
            </w:tcBorders>
            <w:shd w:val="clear" w:color="000000" w:fill="FFFFFF"/>
            <w:vAlign w:val="center"/>
            <w:hideMark/>
          </w:tcPr>
          <w:p w:rsidR="005C5EFE" w:rsidRPr="00D60481" w:rsidP="005C5EFE" w14:paraId="2557F37F" w14:textId="77777777">
            <w:pPr>
              <w:spacing w:after="0" w:line="240" w:lineRule="auto"/>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PHEP Awardees: Major Metropolitan Area Jurisdictions</w:t>
            </w: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5C5EFE" w:rsidRPr="00D60481" w:rsidP="005C5EFE" w14:paraId="3A251EC9"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Facility setup drill</w:t>
            </w:r>
          </w:p>
        </w:tc>
        <w:tc>
          <w:tcPr>
            <w:tcW w:w="1119" w:type="dxa"/>
            <w:tcBorders>
              <w:top w:val="nil"/>
              <w:left w:val="nil"/>
              <w:bottom w:val="single" w:sz="4" w:space="0" w:color="auto"/>
              <w:right w:val="single" w:sz="4" w:space="0" w:color="auto"/>
            </w:tcBorders>
            <w:shd w:val="clear" w:color="000000" w:fill="FFFFFF"/>
            <w:vAlign w:val="center"/>
            <w:hideMark/>
          </w:tcPr>
          <w:p w:rsidR="005C5EFE" w:rsidRPr="00D60481" w:rsidP="005C5EFE" w14:paraId="3D1AE215"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3</w:t>
            </w:r>
          </w:p>
        </w:tc>
        <w:tc>
          <w:tcPr>
            <w:tcW w:w="1443" w:type="dxa"/>
            <w:tcBorders>
              <w:top w:val="nil"/>
              <w:left w:val="nil"/>
              <w:bottom w:val="single" w:sz="4" w:space="0" w:color="auto"/>
              <w:right w:val="single" w:sz="4" w:space="0" w:color="auto"/>
            </w:tcBorders>
            <w:shd w:val="clear" w:color="auto" w:fill="auto"/>
            <w:noWrap/>
          </w:tcPr>
          <w:p w:rsidR="005C5EFE" w:rsidRPr="00D60481" w:rsidP="005C5EFE" w14:paraId="4B600A08" w14:textId="05424F35">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5C5EFE" w:rsidRPr="00D60481" w:rsidP="005C5EFE" w14:paraId="3E6DBCE8" w14:textId="5BE5588D">
            <w:pPr>
              <w:spacing w:after="0" w:line="240" w:lineRule="auto"/>
              <w:jc w:val="center"/>
              <w:rPr>
                <w:rFonts w:ascii="Calibri" w:eastAsia="Times New Roman" w:hAnsi="Calibri" w:cs="Calibri"/>
                <w:color w:val="000000"/>
              </w:rPr>
            </w:pPr>
            <w:r w:rsidRPr="00BC5494">
              <w:t>$135.15</w:t>
            </w:r>
          </w:p>
        </w:tc>
      </w:tr>
      <w:tr w14:paraId="32EF1EB1" w14:textId="77777777" w:rsidTr="008633C6">
        <w:tblPrEx>
          <w:tblW w:w="9350" w:type="dxa"/>
          <w:tblLook w:val="04A0"/>
        </w:tblPrEx>
        <w:trPr>
          <w:trHeight w:val="315"/>
        </w:trPr>
        <w:tc>
          <w:tcPr>
            <w:tcW w:w="1470" w:type="dxa"/>
            <w:vMerge/>
            <w:tcBorders>
              <w:top w:val="nil"/>
              <w:left w:val="single" w:sz="8" w:space="0" w:color="auto"/>
              <w:bottom w:val="nil"/>
              <w:right w:val="nil"/>
            </w:tcBorders>
            <w:vAlign w:val="center"/>
            <w:hideMark/>
          </w:tcPr>
          <w:p w:rsidR="005C5EFE" w:rsidRPr="00D60481" w:rsidP="005C5EFE" w14:paraId="5972F12C"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5C5EFE" w:rsidRPr="00D60481" w:rsidP="005C5EFE" w14:paraId="299B13A8"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Site activation drill</w:t>
            </w:r>
          </w:p>
        </w:tc>
        <w:tc>
          <w:tcPr>
            <w:tcW w:w="1119" w:type="dxa"/>
            <w:tcBorders>
              <w:top w:val="nil"/>
              <w:left w:val="nil"/>
              <w:bottom w:val="single" w:sz="4" w:space="0" w:color="auto"/>
              <w:right w:val="single" w:sz="4" w:space="0" w:color="auto"/>
            </w:tcBorders>
            <w:shd w:val="clear" w:color="000000" w:fill="FFFFFF"/>
            <w:vAlign w:val="center"/>
            <w:hideMark/>
          </w:tcPr>
          <w:p w:rsidR="005C5EFE" w:rsidRPr="00D60481" w:rsidP="005C5EFE" w14:paraId="3D4DD25F"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4</w:t>
            </w:r>
          </w:p>
        </w:tc>
        <w:tc>
          <w:tcPr>
            <w:tcW w:w="1443" w:type="dxa"/>
            <w:tcBorders>
              <w:top w:val="nil"/>
              <w:left w:val="nil"/>
              <w:bottom w:val="single" w:sz="4" w:space="0" w:color="auto"/>
              <w:right w:val="single" w:sz="4" w:space="0" w:color="auto"/>
            </w:tcBorders>
            <w:shd w:val="clear" w:color="auto" w:fill="auto"/>
            <w:noWrap/>
          </w:tcPr>
          <w:p w:rsidR="005C5EFE" w:rsidRPr="00D60481" w:rsidP="005C5EFE" w14:paraId="6D8C6525" w14:textId="08831130">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5C5EFE" w:rsidRPr="00D60481" w:rsidP="005C5EFE" w14:paraId="3E112617" w14:textId="27370A7F">
            <w:pPr>
              <w:spacing w:after="0" w:line="240" w:lineRule="auto"/>
              <w:jc w:val="center"/>
              <w:rPr>
                <w:rFonts w:ascii="Calibri" w:eastAsia="Times New Roman" w:hAnsi="Calibri" w:cs="Calibri"/>
                <w:color w:val="000000"/>
              </w:rPr>
            </w:pPr>
            <w:r w:rsidRPr="00BC5494">
              <w:t>$180.20</w:t>
            </w:r>
          </w:p>
        </w:tc>
      </w:tr>
      <w:tr w14:paraId="374C4066" w14:textId="77777777" w:rsidTr="008633C6">
        <w:tblPrEx>
          <w:tblW w:w="9350" w:type="dxa"/>
          <w:tblLook w:val="04A0"/>
        </w:tblPrEx>
        <w:trPr>
          <w:trHeight w:val="630"/>
        </w:trPr>
        <w:tc>
          <w:tcPr>
            <w:tcW w:w="1470" w:type="dxa"/>
            <w:vMerge/>
            <w:tcBorders>
              <w:top w:val="nil"/>
              <w:left w:val="single" w:sz="8" w:space="0" w:color="auto"/>
              <w:bottom w:val="nil"/>
              <w:right w:val="nil"/>
            </w:tcBorders>
            <w:vAlign w:val="center"/>
            <w:hideMark/>
          </w:tcPr>
          <w:p w:rsidR="005C5EFE" w:rsidRPr="00D60481" w:rsidP="005C5EFE" w14:paraId="1A793A14"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5C5EFE" w:rsidRPr="00D60481" w:rsidP="005C5EFE" w14:paraId="37B5D992"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Staff notification and assembly drill</w:t>
            </w:r>
          </w:p>
        </w:tc>
        <w:tc>
          <w:tcPr>
            <w:tcW w:w="1119" w:type="dxa"/>
            <w:tcBorders>
              <w:top w:val="nil"/>
              <w:left w:val="nil"/>
              <w:bottom w:val="single" w:sz="4" w:space="0" w:color="auto"/>
              <w:right w:val="single" w:sz="4" w:space="0" w:color="auto"/>
            </w:tcBorders>
            <w:shd w:val="clear" w:color="000000" w:fill="FFFFFF"/>
            <w:vAlign w:val="center"/>
            <w:hideMark/>
          </w:tcPr>
          <w:p w:rsidR="005C5EFE" w:rsidRPr="00D60481" w:rsidP="005C5EFE" w14:paraId="56689ABE"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4</w:t>
            </w:r>
          </w:p>
        </w:tc>
        <w:tc>
          <w:tcPr>
            <w:tcW w:w="1443" w:type="dxa"/>
            <w:tcBorders>
              <w:top w:val="nil"/>
              <w:left w:val="nil"/>
              <w:bottom w:val="single" w:sz="4" w:space="0" w:color="auto"/>
              <w:right w:val="single" w:sz="4" w:space="0" w:color="auto"/>
            </w:tcBorders>
            <w:shd w:val="clear" w:color="auto" w:fill="auto"/>
            <w:noWrap/>
          </w:tcPr>
          <w:p w:rsidR="005C5EFE" w:rsidRPr="00D60481" w:rsidP="005C5EFE" w14:paraId="060549A9" w14:textId="059A7C7D">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5C5EFE" w:rsidRPr="00D60481" w:rsidP="005C5EFE" w14:paraId="13E79BAF" w14:textId="12A66C6E">
            <w:pPr>
              <w:spacing w:after="0" w:line="240" w:lineRule="auto"/>
              <w:jc w:val="center"/>
              <w:rPr>
                <w:rFonts w:ascii="Calibri" w:eastAsia="Times New Roman" w:hAnsi="Calibri" w:cs="Calibri"/>
                <w:color w:val="000000"/>
              </w:rPr>
            </w:pPr>
            <w:r w:rsidRPr="00BC5494">
              <w:t>$180.20</w:t>
            </w:r>
          </w:p>
        </w:tc>
      </w:tr>
      <w:tr w14:paraId="32F4FAE9" w14:textId="77777777" w:rsidTr="008633C6">
        <w:tblPrEx>
          <w:tblW w:w="9350" w:type="dxa"/>
          <w:tblLook w:val="04A0"/>
        </w:tblPrEx>
        <w:trPr>
          <w:trHeight w:val="315"/>
        </w:trPr>
        <w:tc>
          <w:tcPr>
            <w:tcW w:w="1470" w:type="dxa"/>
            <w:vMerge/>
            <w:tcBorders>
              <w:top w:val="nil"/>
              <w:left w:val="single" w:sz="8" w:space="0" w:color="auto"/>
              <w:bottom w:val="nil"/>
              <w:right w:val="nil"/>
            </w:tcBorders>
            <w:vAlign w:val="center"/>
            <w:hideMark/>
          </w:tcPr>
          <w:p w:rsidR="005C5EFE" w:rsidRPr="00D60481" w:rsidP="005C5EFE" w14:paraId="034F48E6"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5C5EFE" w:rsidRPr="00D60481" w:rsidP="005C5EFE" w14:paraId="13AC49BE"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Dispensing throughput drill</w:t>
            </w:r>
          </w:p>
        </w:tc>
        <w:tc>
          <w:tcPr>
            <w:tcW w:w="1119" w:type="dxa"/>
            <w:tcBorders>
              <w:top w:val="nil"/>
              <w:left w:val="nil"/>
              <w:bottom w:val="single" w:sz="4" w:space="0" w:color="auto"/>
              <w:right w:val="single" w:sz="4" w:space="0" w:color="auto"/>
            </w:tcBorders>
            <w:shd w:val="clear" w:color="000000" w:fill="FFFFFF"/>
            <w:vAlign w:val="center"/>
            <w:hideMark/>
          </w:tcPr>
          <w:p w:rsidR="005C5EFE" w:rsidRPr="00D60481" w:rsidP="005C5EFE" w14:paraId="5395BB9E"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1</w:t>
            </w:r>
          </w:p>
        </w:tc>
        <w:tc>
          <w:tcPr>
            <w:tcW w:w="1443" w:type="dxa"/>
            <w:tcBorders>
              <w:top w:val="nil"/>
              <w:left w:val="nil"/>
              <w:bottom w:val="single" w:sz="4" w:space="0" w:color="auto"/>
              <w:right w:val="single" w:sz="4" w:space="0" w:color="auto"/>
            </w:tcBorders>
            <w:shd w:val="clear" w:color="auto" w:fill="auto"/>
            <w:noWrap/>
          </w:tcPr>
          <w:p w:rsidR="005C5EFE" w:rsidRPr="00D60481" w:rsidP="005C5EFE" w14:paraId="324B72B8" w14:textId="159A6119">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5C5EFE" w:rsidRPr="00D60481" w:rsidP="005C5EFE" w14:paraId="137CB9EA" w14:textId="5E8BCB34">
            <w:pPr>
              <w:spacing w:after="0" w:line="240" w:lineRule="auto"/>
              <w:jc w:val="center"/>
              <w:rPr>
                <w:rFonts w:ascii="Calibri" w:eastAsia="Times New Roman" w:hAnsi="Calibri" w:cs="Calibri"/>
                <w:color w:val="000000"/>
              </w:rPr>
            </w:pPr>
            <w:r w:rsidRPr="00BC5494">
              <w:t>$45.05</w:t>
            </w:r>
          </w:p>
        </w:tc>
      </w:tr>
      <w:tr w14:paraId="2EB0D22F" w14:textId="77777777" w:rsidTr="008633C6">
        <w:tblPrEx>
          <w:tblW w:w="9350" w:type="dxa"/>
          <w:tblLook w:val="04A0"/>
        </w:tblPrEx>
        <w:trPr>
          <w:trHeight w:val="630"/>
        </w:trPr>
        <w:tc>
          <w:tcPr>
            <w:tcW w:w="1470" w:type="dxa"/>
            <w:vMerge/>
            <w:tcBorders>
              <w:top w:val="nil"/>
              <w:left w:val="single" w:sz="8" w:space="0" w:color="auto"/>
              <w:bottom w:val="nil"/>
              <w:right w:val="nil"/>
            </w:tcBorders>
            <w:vAlign w:val="center"/>
            <w:hideMark/>
          </w:tcPr>
          <w:p w:rsidR="005C5EFE" w:rsidRPr="00D60481" w:rsidP="005C5EFE" w14:paraId="7B4A7942"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5C5EFE" w:rsidRPr="00D60481" w:rsidP="005C5EFE" w14:paraId="731AD727"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Five-year dispensing full-scale exercise or incident</w:t>
            </w:r>
          </w:p>
        </w:tc>
        <w:tc>
          <w:tcPr>
            <w:tcW w:w="1119" w:type="dxa"/>
            <w:tcBorders>
              <w:top w:val="nil"/>
              <w:left w:val="nil"/>
              <w:bottom w:val="single" w:sz="4" w:space="0" w:color="auto"/>
              <w:right w:val="single" w:sz="4" w:space="0" w:color="auto"/>
            </w:tcBorders>
            <w:shd w:val="clear" w:color="000000" w:fill="FFFFFF"/>
            <w:vAlign w:val="center"/>
            <w:hideMark/>
          </w:tcPr>
          <w:p w:rsidR="005C5EFE" w:rsidRPr="00D60481" w:rsidP="005C5EFE" w14:paraId="67BCEEDF" w14:textId="2971F93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0</w:t>
            </w:r>
          </w:p>
        </w:tc>
        <w:tc>
          <w:tcPr>
            <w:tcW w:w="1443" w:type="dxa"/>
            <w:tcBorders>
              <w:top w:val="nil"/>
              <w:left w:val="nil"/>
              <w:bottom w:val="single" w:sz="4" w:space="0" w:color="auto"/>
              <w:right w:val="single" w:sz="4" w:space="0" w:color="auto"/>
            </w:tcBorders>
            <w:shd w:val="clear" w:color="auto" w:fill="auto"/>
            <w:noWrap/>
          </w:tcPr>
          <w:p w:rsidR="005C5EFE" w:rsidRPr="00D60481" w:rsidP="005C5EFE" w14:paraId="5624DD04" w14:textId="33FF82E7">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5C5EFE" w:rsidRPr="00D60481" w:rsidP="005C5EFE" w14:paraId="5F3FD3E5" w14:textId="0F32BB9D">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r>
      <w:tr w14:paraId="5A0F8B56" w14:textId="77777777" w:rsidTr="008633C6">
        <w:tblPrEx>
          <w:tblW w:w="9350" w:type="dxa"/>
          <w:tblLook w:val="04A0"/>
        </w:tblPrEx>
        <w:trPr>
          <w:trHeight w:val="1260"/>
        </w:trPr>
        <w:tc>
          <w:tcPr>
            <w:tcW w:w="1470" w:type="dxa"/>
            <w:vMerge/>
            <w:tcBorders>
              <w:top w:val="nil"/>
              <w:left w:val="single" w:sz="8" w:space="0" w:color="auto"/>
              <w:bottom w:val="nil"/>
              <w:right w:val="nil"/>
            </w:tcBorders>
            <w:vAlign w:val="center"/>
            <w:hideMark/>
          </w:tcPr>
          <w:p w:rsidR="005C5EFE" w:rsidRPr="00D60481" w:rsidP="005C5EFE" w14:paraId="507C0E52"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5C5EFE" w:rsidRPr="00D60481" w:rsidP="005C5EFE" w14:paraId="423E30F0" w14:textId="77777777">
            <w:pPr>
              <w:spacing w:after="0" w:line="240" w:lineRule="auto"/>
              <w:jc w:val="center"/>
              <w:rPr>
                <w:rFonts w:ascii="Times New Roman" w:eastAsia="Times New Roman" w:hAnsi="Times New Roman" w:cs="Times New Roman"/>
                <w:color w:val="000000"/>
                <w:sz w:val="24"/>
                <w:szCs w:val="24"/>
              </w:rPr>
            </w:pPr>
            <w:r w:rsidRPr="00D60481">
              <w:rPr>
                <w:rFonts w:ascii="Times New Roman" w:eastAsia="Times New Roman" w:hAnsi="Times New Roman" w:cs="Times New Roman"/>
                <w:sz w:val="24"/>
                <w:szCs w:val="24"/>
              </w:rPr>
              <w:t>Five-year dispensing full-scale exercise for each point of dispensing site exercised</w:t>
            </w:r>
          </w:p>
        </w:tc>
        <w:tc>
          <w:tcPr>
            <w:tcW w:w="1119" w:type="dxa"/>
            <w:tcBorders>
              <w:top w:val="nil"/>
              <w:left w:val="nil"/>
              <w:bottom w:val="single" w:sz="4" w:space="0" w:color="auto"/>
              <w:right w:val="single" w:sz="4" w:space="0" w:color="auto"/>
            </w:tcBorders>
            <w:shd w:val="clear" w:color="000000" w:fill="FFFFFF"/>
            <w:vAlign w:val="center"/>
            <w:hideMark/>
          </w:tcPr>
          <w:p w:rsidR="005C5EFE" w:rsidRPr="00D60481" w:rsidP="005C5EFE" w14:paraId="66E83629" w14:textId="09B1611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0</w:t>
            </w:r>
          </w:p>
        </w:tc>
        <w:tc>
          <w:tcPr>
            <w:tcW w:w="1443" w:type="dxa"/>
            <w:tcBorders>
              <w:top w:val="nil"/>
              <w:left w:val="nil"/>
              <w:bottom w:val="single" w:sz="4" w:space="0" w:color="auto"/>
              <w:right w:val="single" w:sz="4" w:space="0" w:color="auto"/>
            </w:tcBorders>
            <w:shd w:val="clear" w:color="auto" w:fill="auto"/>
            <w:noWrap/>
          </w:tcPr>
          <w:p w:rsidR="005C5EFE" w:rsidRPr="00D60481" w:rsidP="005C5EFE" w14:paraId="7572ADF7" w14:textId="77EBFC36">
            <w:pPr>
              <w:spacing w:after="0" w:line="240" w:lineRule="auto"/>
              <w:jc w:val="center"/>
              <w:rPr>
                <w:rFonts w:ascii="Calibri" w:eastAsia="Times New Roman" w:hAnsi="Calibri" w:cs="Calibri"/>
                <w:color w:val="000000"/>
              </w:rPr>
            </w:pPr>
            <w:r w:rsidRPr="009D728A">
              <w:t>$45.05</w:t>
            </w:r>
          </w:p>
        </w:tc>
        <w:tc>
          <w:tcPr>
            <w:tcW w:w="2221" w:type="dxa"/>
            <w:tcBorders>
              <w:top w:val="nil"/>
              <w:left w:val="nil"/>
              <w:bottom w:val="single" w:sz="4" w:space="0" w:color="auto"/>
              <w:right w:val="single" w:sz="8" w:space="0" w:color="auto"/>
            </w:tcBorders>
            <w:shd w:val="clear" w:color="auto" w:fill="auto"/>
            <w:noWrap/>
            <w:hideMark/>
          </w:tcPr>
          <w:p w:rsidR="005C5EFE" w:rsidRPr="00D60481" w:rsidP="005C5EFE" w14:paraId="4B88CC39" w14:textId="4568C90D">
            <w:pPr>
              <w:spacing w:after="0" w:line="240" w:lineRule="auto"/>
              <w:jc w:val="center"/>
              <w:rPr>
                <w:rFonts w:ascii="Calibri" w:eastAsia="Times New Roman" w:hAnsi="Calibri" w:cs="Calibri"/>
                <w:color w:val="000000"/>
              </w:rPr>
            </w:pPr>
            <w:r>
              <w:t>$0</w:t>
            </w:r>
          </w:p>
        </w:tc>
      </w:tr>
      <w:tr w14:paraId="24306C29" w14:textId="77777777" w:rsidTr="005C5EFE">
        <w:tblPrEx>
          <w:tblW w:w="9350" w:type="dxa"/>
          <w:tblLook w:val="04A0"/>
        </w:tblPrEx>
        <w:trPr>
          <w:trHeight w:val="630"/>
        </w:trPr>
        <w:tc>
          <w:tcPr>
            <w:tcW w:w="1470" w:type="dxa"/>
            <w:vMerge/>
            <w:tcBorders>
              <w:top w:val="nil"/>
              <w:left w:val="single" w:sz="8" w:space="0" w:color="auto"/>
              <w:bottom w:val="nil"/>
              <w:right w:val="nil"/>
            </w:tcBorders>
            <w:vAlign w:val="center"/>
            <w:hideMark/>
          </w:tcPr>
          <w:p w:rsidR="00D60481" w:rsidRPr="00D60481" w:rsidP="00D60481" w14:paraId="216139E9" w14:textId="77777777">
            <w:pPr>
              <w:spacing w:after="0" w:line="240" w:lineRule="auto"/>
              <w:rPr>
                <w:rFonts w:ascii="Times New Roman" w:eastAsia="Times New Roman" w:hAnsi="Times New Roman" w:cs="Times New Roman"/>
                <w:color w:val="000000"/>
                <w:sz w:val="24"/>
                <w:szCs w:val="24"/>
              </w:rPr>
            </w:pPr>
          </w:p>
        </w:tc>
        <w:tc>
          <w:tcPr>
            <w:tcW w:w="3097" w:type="dxa"/>
            <w:tcBorders>
              <w:top w:val="nil"/>
              <w:left w:val="single" w:sz="4" w:space="0" w:color="auto"/>
              <w:bottom w:val="single" w:sz="4" w:space="0" w:color="auto"/>
              <w:right w:val="single" w:sz="4" w:space="0" w:color="auto"/>
            </w:tcBorders>
            <w:shd w:val="clear" w:color="000000" w:fill="FFFFFF"/>
            <w:vAlign w:val="center"/>
            <w:hideMark/>
          </w:tcPr>
          <w:p w:rsidR="00D60481" w:rsidRPr="00D60481" w:rsidP="00D60481" w14:paraId="29F7670E" w14:textId="77777777">
            <w:pPr>
              <w:spacing w:after="0" w:line="240" w:lineRule="auto"/>
              <w:jc w:val="center"/>
              <w:rPr>
                <w:rFonts w:ascii="Times New Roman" w:eastAsia="Times New Roman" w:hAnsi="Times New Roman" w:cs="Times New Roman"/>
                <w:b/>
                <w:bCs/>
                <w:color w:val="000000"/>
                <w:sz w:val="24"/>
                <w:szCs w:val="24"/>
              </w:rPr>
            </w:pPr>
            <w:r w:rsidRPr="00D60481">
              <w:rPr>
                <w:rFonts w:ascii="Times New Roman" w:eastAsia="Times New Roman" w:hAnsi="Times New Roman" w:cs="Times New Roman"/>
                <w:b/>
                <w:bCs/>
                <w:sz w:val="24"/>
                <w:szCs w:val="24"/>
              </w:rPr>
              <w:t>Subtotal, Module 3, Additional reporting</w:t>
            </w:r>
          </w:p>
        </w:tc>
        <w:tc>
          <w:tcPr>
            <w:tcW w:w="1119" w:type="dxa"/>
            <w:tcBorders>
              <w:top w:val="nil"/>
              <w:left w:val="nil"/>
              <w:bottom w:val="single" w:sz="4" w:space="0" w:color="auto"/>
              <w:right w:val="single" w:sz="4" w:space="0" w:color="auto"/>
            </w:tcBorders>
            <w:shd w:val="clear" w:color="000000" w:fill="FFFFFF"/>
            <w:vAlign w:val="center"/>
            <w:hideMark/>
          </w:tcPr>
          <w:p w:rsidR="00D60481" w:rsidRPr="00D60481" w:rsidP="00D60481" w14:paraId="13393B89" w14:textId="75E50889">
            <w:pPr>
              <w:spacing w:after="0" w:line="240" w:lineRule="auto"/>
              <w:jc w:val="center"/>
              <w:rPr>
                <w:rFonts w:ascii="Times New Roman" w:eastAsia="Times New Roman" w:hAnsi="Times New Roman" w:cs="Times New Roman"/>
                <w:b/>
                <w:bCs/>
                <w:color w:val="000000"/>
                <w:sz w:val="24"/>
                <w:szCs w:val="24"/>
              </w:rPr>
            </w:pPr>
            <w:r w:rsidRPr="00D60481">
              <w:rPr>
                <w:rFonts w:ascii="Times New Roman" w:eastAsia="Times New Roman" w:hAnsi="Times New Roman" w:cs="Times New Roman"/>
                <w:b/>
                <w:bCs/>
                <w:sz w:val="24"/>
                <w:szCs w:val="24"/>
              </w:rPr>
              <w:t>1</w:t>
            </w:r>
            <w:r w:rsidR="007235B8">
              <w:rPr>
                <w:rFonts w:ascii="Times New Roman" w:eastAsia="Times New Roman" w:hAnsi="Times New Roman" w:cs="Times New Roman"/>
                <w:b/>
                <w:bCs/>
                <w:sz w:val="24"/>
                <w:szCs w:val="24"/>
              </w:rPr>
              <w:t>2</w:t>
            </w:r>
          </w:p>
        </w:tc>
        <w:tc>
          <w:tcPr>
            <w:tcW w:w="1443" w:type="dxa"/>
            <w:tcBorders>
              <w:top w:val="nil"/>
              <w:left w:val="nil"/>
              <w:bottom w:val="single" w:sz="4" w:space="0" w:color="auto"/>
              <w:right w:val="single" w:sz="4" w:space="0" w:color="auto"/>
            </w:tcBorders>
            <w:shd w:val="clear" w:color="auto" w:fill="auto"/>
            <w:noWrap/>
            <w:vAlign w:val="center"/>
            <w:hideMark/>
          </w:tcPr>
          <w:p w:rsidR="00D60481" w:rsidRPr="00D60481" w:rsidP="00D60481" w14:paraId="15ADBA22" w14:textId="77777777">
            <w:pPr>
              <w:spacing w:after="0" w:line="240" w:lineRule="auto"/>
              <w:jc w:val="center"/>
              <w:rPr>
                <w:rFonts w:ascii="Calibri" w:eastAsia="Times New Roman" w:hAnsi="Calibri" w:cs="Calibri"/>
                <w:color w:val="000000"/>
              </w:rPr>
            </w:pPr>
            <w:r w:rsidRPr="00D60481">
              <w:rPr>
                <w:rFonts w:ascii="Calibri" w:eastAsia="Times New Roman" w:hAnsi="Calibri" w:cs="Calibri"/>
                <w:color w:val="000000"/>
              </w:rPr>
              <w:t> </w:t>
            </w:r>
          </w:p>
        </w:tc>
        <w:tc>
          <w:tcPr>
            <w:tcW w:w="2221" w:type="dxa"/>
            <w:tcBorders>
              <w:top w:val="nil"/>
              <w:left w:val="nil"/>
              <w:bottom w:val="single" w:sz="4" w:space="0" w:color="auto"/>
              <w:right w:val="single" w:sz="8" w:space="0" w:color="auto"/>
            </w:tcBorders>
            <w:shd w:val="clear" w:color="auto" w:fill="auto"/>
            <w:noWrap/>
            <w:vAlign w:val="center"/>
            <w:hideMark/>
          </w:tcPr>
          <w:p w:rsidR="00D60481" w:rsidRPr="00D60481" w:rsidP="00D60481" w14:paraId="44CA6924" w14:textId="3451E3DC">
            <w:pPr>
              <w:spacing w:after="0" w:line="240" w:lineRule="auto"/>
              <w:jc w:val="center"/>
              <w:rPr>
                <w:rFonts w:ascii="Calibri" w:eastAsia="Times New Roman" w:hAnsi="Calibri" w:cs="Calibri"/>
                <w:color w:val="000000"/>
              </w:rPr>
            </w:pPr>
            <w:r w:rsidRPr="005C5EFE">
              <w:rPr>
                <w:rFonts w:ascii="Calibri" w:eastAsia="Times New Roman" w:hAnsi="Calibri" w:cs="Calibri"/>
                <w:color w:val="000000"/>
              </w:rPr>
              <w:t>$</w:t>
            </w:r>
            <w:r w:rsidR="00C51363">
              <w:rPr>
                <w:rFonts w:ascii="Calibri" w:eastAsia="Times New Roman" w:hAnsi="Calibri" w:cs="Calibri"/>
                <w:color w:val="000000"/>
              </w:rPr>
              <w:t>540.60</w:t>
            </w:r>
          </w:p>
        </w:tc>
      </w:tr>
      <w:tr w14:paraId="0750056F" w14:textId="77777777" w:rsidTr="005C5EFE">
        <w:tblPrEx>
          <w:tblW w:w="9350" w:type="dxa"/>
          <w:tblLook w:val="04A0"/>
        </w:tblPrEx>
        <w:trPr>
          <w:trHeight w:val="330"/>
        </w:trPr>
        <w:tc>
          <w:tcPr>
            <w:tcW w:w="1470" w:type="dxa"/>
            <w:tcBorders>
              <w:top w:val="single" w:sz="4" w:space="0" w:color="auto"/>
              <w:left w:val="single" w:sz="8" w:space="0" w:color="auto"/>
              <w:bottom w:val="single" w:sz="8" w:space="0" w:color="auto"/>
              <w:right w:val="single" w:sz="4" w:space="0" w:color="auto"/>
            </w:tcBorders>
            <w:shd w:val="clear" w:color="000000" w:fill="FFFFFF"/>
            <w:vAlign w:val="center"/>
            <w:hideMark/>
          </w:tcPr>
          <w:p w:rsidR="00D60481" w:rsidRPr="00D60481" w:rsidP="00D60481" w14:paraId="70B231D0" w14:textId="77777777">
            <w:pPr>
              <w:spacing w:after="0" w:line="240" w:lineRule="auto"/>
              <w:rPr>
                <w:rFonts w:ascii="Times New Roman" w:eastAsia="Times New Roman" w:hAnsi="Times New Roman" w:cs="Times New Roman"/>
                <w:b/>
                <w:bCs/>
                <w:color w:val="000000"/>
                <w:sz w:val="24"/>
                <w:szCs w:val="24"/>
              </w:rPr>
            </w:pPr>
            <w:r w:rsidRPr="00D60481">
              <w:rPr>
                <w:rFonts w:ascii="Times New Roman" w:eastAsia="Times New Roman" w:hAnsi="Times New Roman" w:cs="Times New Roman"/>
                <w:b/>
                <w:bCs/>
                <w:color w:val="000000"/>
                <w:sz w:val="24"/>
                <w:szCs w:val="24"/>
              </w:rPr>
              <w:t> </w:t>
            </w:r>
          </w:p>
        </w:tc>
        <w:tc>
          <w:tcPr>
            <w:tcW w:w="3097" w:type="dxa"/>
            <w:tcBorders>
              <w:top w:val="nil"/>
              <w:left w:val="nil"/>
              <w:bottom w:val="single" w:sz="8" w:space="0" w:color="auto"/>
              <w:right w:val="single" w:sz="4" w:space="0" w:color="auto"/>
            </w:tcBorders>
            <w:shd w:val="clear" w:color="000000" w:fill="FFFFFF"/>
            <w:vAlign w:val="center"/>
            <w:hideMark/>
          </w:tcPr>
          <w:p w:rsidR="00D60481" w:rsidRPr="00D60481" w:rsidP="00D60481" w14:paraId="7F2DFF5B" w14:textId="77777777">
            <w:pPr>
              <w:spacing w:after="0" w:line="240" w:lineRule="auto"/>
              <w:jc w:val="center"/>
              <w:rPr>
                <w:rFonts w:ascii="Times New Roman" w:eastAsia="Times New Roman" w:hAnsi="Times New Roman" w:cs="Times New Roman"/>
                <w:b/>
                <w:bCs/>
                <w:color w:val="000000"/>
                <w:sz w:val="24"/>
                <w:szCs w:val="24"/>
              </w:rPr>
            </w:pPr>
            <w:r w:rsidRPr="00D60481">
              <w:rPr>
                <w:rFonts w:ascii="Times New Roman" w:eastAsia="Times New Roman" w:hAnsi="Times New Roman" w:cs="Times New Roman"/>
                <w:b/>
                <w:bCs/>
                <w:sz w:val="24"/>
                <w:szCs w:val="24"/>
              </w:rPr>
              <w:t>Grand Total</w:t>
            </w:r>
          </w:p>
        </w:tc>
        <w:tc>
          <w:tcPr>
            <w:tcW w:w="1119" w:type="dxa"/>
            <w:tcBorders>
              <w:top w:val="nil"/>
              <w:left w:val="nil"/>
              <w:bottom w:val="single" w:sz="8" w:space="0" w:color="auto"/>
              <w:right w:val="single" w:sz="4" w:space="0" w:color="auto"/>
            </w:tcBorders>
            <w:shd w:val="clear" w:color="000000" w:fill="FFFFFF"/>
            <w:vAlign w:val="center"/>
            <w:hideMark/>
          </w:tcPr>
          <w:p w:rsidR="00D60481" w:rsidRPr="00D60481" w:rsidP="00D60481" w14:paraId="22AA3D92" w14:textId="2210B608">
            <w:pPr>
              <w:spacing w:after="0" w:line="240" w:lineRule="auto"/>
              <w:jc w:val="center"/>
              <w:rPr>
                <w:rFonts w:ascii="Times New Roman" w:eastAsia="Times New Roman" w:hAnsi="Times New Roman" w:cs="Times New Roman"/>
                <w:b/>
                <w:bCs/>
                <w:color w:val="000000"/>
                <w:sz w:val="24"/>
                <w:szCs w:val="24"/>
              </w:rPr>
            </w:pPr>
          </w:p>
        </w:tc>
        <w:tc>
          <w:tcPr>
            <w:tcW w:w="1443" w:type="dxa"/>
            <w:tcBorders>
              <w:top w:val="nil"/>
              <w:left w:val="nil"/>
              <w:bottom w:val="single" w:sz="8" w:space="0" w:color="auto"/>
              <w:right w:val="single" w:sz="4" w:space="0" w:color="auto"/>
            </w:tcBorders>
            <w:shd w:val="clear" w:color="auto" w:fill="auto"/>
            <w:noWrap/>
            <w:vAlign w:val="center"/>
            <w:hideMark/>
          </w:tcPr>
          <w:p w:rsidR="00D60481" w:rsidRPr="00D60481" w:rsidP="00D60481" w14:paraId="7808D916" w14:textId="77777777">
            <w:pPr>
              <w:spacing w:after="0" w:line="240" w:lineRule="auto"/>
              <w:jc w:val="center"/>
              <w:rPr>
                <w:rFonts w:ascii="Calibri" w:eastAsia="Times New Roman" w:hAnsi="Calibri" w:cs="Calibri"/>
                <w:color w:val="000000"/>
              </w:rPr>
            </w:pPr>
            <w:r w:rsidRPr="00D60481">
              <w:rPr>
                <w:rFonts w:ascii="Calibri" w:eastAsia="Times New Roman" w:hAnsi="Calibri" w:cs="Calibri"/>
                <w:color w:val="000000"/>
              </w:rPr>
              <w:t> </w:t>
            </w:r>
          </w:p>
        </w:tc>
        <w:tc>
          <w:tcPr>
            <w:tcW w:w="2221" w:type="dxa"/>
            <w:tcBorders>
              <w:top w:val="nil"/>
              <w:left w:val="nil"/>
              <w:bottom w:val="single" w:sz="8" w:space="0" w:color="auto"/>
              <w:right w:val="single" w:sz="8" w:space="0" w:color="auto"/>
            </w:tcBorders>
            <w:shd w:val="clear" w:color="auto" w:fill="auto"/>
            <w:noWrap/>
            <w:vAlign w:val="center"/>
            <w:hideMark/>
          </w:tcPr>
          <w:p w:rsidR="00D60481" w:rsidRPr="00D60481" w:rsidP="00D60481" w14:paraId="067D1309" w14:textId="04AD6ED7">
            <w:pPr>
              <w:spacing w:after="0" w:line="240" w:lineRule="auto"/>
              <w:jc w:val="center"/>
              <w:rPr>
                <w:rFonts w:ascii="Calibri" w:eastAsia="Times New Roman" w:hAnsi="Calibri" w:cs="Calibri"/>
                <w:color w:val="000000"/>
              </w:rPr>
            </w:pPr>
            <w:r w:rsidRPr="005C5EFE">
              <w:rPr>
                <w:rFonts w:ascii="Calibri" w:eastAsia="Times New Roman" w:hAnsi="Calibri" w:cs="Calibri"/>
                <w:color w:val="000000"/>
              </w:rPr>
              <w:t>$</w:t>
            </w:r>
            <w:r w:rsidR="00C77815">
              <w:rPr>
                <w:rFonts w:ascii="Calibri" w:eastAsia="Times New Roman" w:hAnsi="Calibri" w:cs="Calibri"/>
                <w:color w:val="000000"/>
              </w:rPr>
              <w:t>1</w:t>
            </w:r>
            <w:r w:rsidR="002213CE">
              <w:rPr>
                <w:rFonts w:ascii="Calibri" w:eastAsia="Times New Roman" w:hAnsi="Calibri" w:cs="Calibri"/>
                <w:color w:val="000000"/>
              </w:rPr>
              <w:t>47</w:t>
            </w:r>
            <w:r w:rsidR="00C77815">
              <w:rPr>
                <w:rFonts w:ascii="Calibri" w:eastAsia="Times New Roman" w:hAnsi="Calibri" w:cs="Calibri"/>
                <w:color w:val="000000"/>
              </w:rPr>
              <w:t>,</w:t>
            </w:r>
            <w:r w:rsidR="00C51363">
              <w:rPr>
                <w:rFonts w:ascii="Calibri" w:eastAsia="Times New Roman" w:hAnsi="Calibri" w:cs="Calibri"/>
                <w:color w:val="000000"/>
              </w:rPr>
              <w:t>357</w:t>
            </w:r>
            <w:r w:rsidR="00C77815">
              <w:rPr>
                <w:rFonts w:ascii="Calibri" w:eastAsia="Times New Roman" w:hAnsi="Calibri" w:cs="Calibri"/>
                <w:color w:val="000000"/>
              </w:rPr>
              <w:t>.65</w:t>
            </w:r>
          </w:p>
        </w:tc>
      </w:tr>
    </w:tbl>
    <w:p w:rsidR="00D60481" w:rsidP="001F2018" w14:paraId="0C52957C" w14:textId="77777777">
      <w:pPr>
        <w:rPr>
          <w:rFonts w:ascii="Times New Roman" w:hAnsi="Times New Roman" w:cs="Times New Roman"/>
          <w:sz w:val="24"/>
          <w:szCs w:val="24"/>
        </w:rPr>
      </w:pPr>
    </w:p>
    <w:bookmarkEnd w:id="1"/>
    <w:p w:rsidR="00FA3A67" w:rsidRPr="0002613E" w:rsidP="00FA3A67" w14:paraId="4A167F77" w14:textId="77777777">
      <w:pPr>
        <w:rPr>
          <w:rFonts w:ascii="Times New Roman" w:hAnsi="Times New Roman" w:cs="Times New Roman"/>
        </w:rPr>
      </w:pPr>
    </w:p>
    <w:p w:rsidR="0078419B" w:rsidRPr="00D31636" w:rsidP="00D31636" w14:paraId="6123A195" w14:textId="77777777">
      <w:pPr>
        <w:rPr>
          <w:rFonts w:ascii="Times New Roman" w:hAnsi="Times New Roman" w:cs="Times New Roman"/>
          <w:b/>
          <w:sz w:val="24"/>
          <w:szCs w:val="24"/>
        </w:rPr>
      </w:pPr>
      <w:r>
        <w:rPr>
          <w:rFonts w:ascii="Times New Roman" w:hAnsi="Times New Roman" w:cs="Times New Roman"/>
          <w:b/>
          <w:sz w:val="24"/>
          <w:szCs w:val="24"/>
        </w:rPr>
        <w:t xml:space="preserve">A.13. </w:t>
      </w:r>
      <w:r w:rsidRPr="00D31636">
        <w:rPr>
          <w:rFonts w:ascii="Times New Roman" w:hAnsi="Times New Roman" w:cs="Times New Roman"/>
          <w:b/>
          <w:sz w:val="24"/>
          <w:szCs w:val="24"/>
        </w:rPr>
        <w:t>Estimates of Other Total Annual Cost Burden to Respondents or Record Keepers</w:t>
      </w:r>
    </w:p>
    <w:p w:rsidR="00EE7B52" w:rsidRPr="003C2EF6" w:rsidP="003C2EF6" w14:paraId="64777B7E" w14:textId="2282434E">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There will be no direct costs to the respondents other than their time to participate in each information collection. </w:t>
      </w:r>
      <w:r w:rsidR="006674A4">
        <w:rPr>
          <w:rFonts w:ascii="Times New Roman" w:hAnsi="Times New Roman" w:cs="Times New Roman"/>
          <w:sz w:val="24"/>
          <w:szCs w:val="24"/>
        </w:rPr>
        <w:t xml:space="preserve">Capital and start-up costs will not be required for this </w:t>
      </w:r>
      <w:r w:rsidR="005B72D9">
        <w:rPr>
          <w:rFonts w:ascii="Times New Roman" w:hAnsi="Times New Roman" w:cs="Times New Roman"/>
          <w:sz w:val="24"/>
          <w:szCs w:val="24"/>
        </w:rPr>
        <w:t>information</w:t>
      </w:r>
      <w:r w:rsidR="006674A4">
        <w:rPr>
          <w:rFonts w:ascii="Times New Roman" w:hAnsi="Times New Roman" w:cs="Times New Roman"/>
          <w:sz w:val="24"/>
          <w:szCs w:val="24"/>
        </w:rPr>
        <w:t xml:space="preserve"> collection. </w:t>
      </w:r>
    </w:p>
    <w:p w:rsidR="0078419B" w:rsidRPr="00D31636" w:rsidP="005453DD" w14:paraId="56C97E9E" w14:textId="3E77DC2F">
      <w:pPr>
        <w:tabs>
          <w:tab w:val="left" w:pos="4980"/>
        </w:tabs>
        <w:rPr>
          <w:rFonts w:ascii="Times New Roman" w:hAnsi="Times New Roman" w:cs="Times New Roman"/>
          <w:b/>
          <w:sz w:val="24"/>
          <w:szCs w:val="24"/>
        </w:rPr>
      </w:pPr>
      <w:r>
        <w:rPr>
          <w:rFonts w:ascii="Times New Roman" w:hAnsi="Times New Roman" w:cs="Times New Roman"/>
          <w:b/>
          <w:sz w:val="24"/>
          <w:szCs w:val="24"/>
        </w:rPr>
        <w:t xml:space="preserve">A.14. </w:t>
      </w:r>
      <w:r w:rsidRPr="00D31636">
        <w:rPr>
          <w:rFonts w:ascii="Times New Roman" w:hAnsi="Times New Roman" w:cs="Times New Roman"/>
          <w:b/>
          <w:sz w:val="24"/>
          <w:szCs w:val="24"/>
        </w:rPr>
        <w:t>Annualized Cost to the Government</w:t>
      </w:r>
      <w:r w:rsidR="005453DD">
        <w:rPr>
          <w:rFonts w:ascii="Times New Roman" w:hAnsi="Times New Roman" w:cs="Times New Roman"/>
          <w:b/>
          <w:sz w:val="24"/>
          <w:szCs w:val="24"/>
        </w:rPr>
        <w:tab/>
      </w:r>
    </w:p>
    <w:p w:rsidR="0078419B" w:rsidP="007F0BB2" w14:paraId="0B0B582E" w14:textId="7E009341">
      <w:pPr>
        <w:pStyle w:val="ListParagraph"/>
        <w:ind w:left="0"/>
        <w:rPr>
          <w:rFonts w:ascii="Times New Roman" w:hAnsi="Times New Roman" w:cs="Times New Roman"/>
          <w:bCs/>
          <w:sz w:val="24"/>
          <w:szCs w:val="24"/>
        </w:rPr>
      </w:pPr>
      <w:r>
        <w:rPr>
          <w:rFonts w:ascii="Times New Roman" w:hAnsi="Times New Roman" w:cs="Times New Roman"/>
          <w:bCs/>
          <w:sz w:val="24"/>
          <w:szCs w:val="24"/>
        </w:rPr>
        <w:t xml:space="preserve">The total annualized cost to the </w:t>
      </w:r>
      <w:r w:rsidR="003E61FC">
        <w:rPr>
          <w:rFonts w:ascii="Times New Roman" w:hAnsi="Times New Roman" w:cs="Times New Roman"/>
          <w:bCs/>
          <w:sz w:val="24"/>
          <w:szCs w:val="24"/>
        </w:rPr>
        <w:t>f</w:t>
      </w:r>
      <w:r w:rsidR="007C1EC7">
        <w:rPr>
          <w:rFonts w:ascii="Times New Roman" w:hAnsi="Times New Roman" w:cs="Times New Roman"/>
          <w:bCs/>
          <w:sz w:val="24"/>
          <w:szCs w:val="24"/>
        </w:rPr>
        <w:t xml:space="preserve">ederal </w:t>
      </w:r>
      <w:r w:rsidR="003E61FC">
        <w:rPr>
          <w:rFonts w:ascii="Times New Roman" w:hAnsi="Times New Roman" w:cs="Times New Roman"/>
          <w:bCs/>
          <w:sz w:val="24"/>
          <w:szCs w:val="24"/>
        </w:rPr>
        <w:t>g</w:t>
      </w:r>
      <w:r w:rsidR="007C1EC7">
        <w:rPr>
          <w:rFonts w:ascii="Times New Roman" w:hAnsi="Times New Roman" w:cs="Times New Roman"/>
          <w:bCs/>
          <w:sz w:val="24"/>
          <w:szCs w:val="24"/>
        </w:rPr>
        <w:t>overnment is</w:t>
      </w:r>
      <w:r w:rsidR="00A12448">
        <w:rPr>
          <w:rFonts w:ascii="Times New Roman" w:hAnsi="Times New Roman" w:cs="Times New Roman"/>
          <w:bCs/>
          <w:sz w:val="24"/>
          <w:szCs w:val="24"/>
        </w:rPr>
        <w:t xml:space="preserve"> $612,340,378</w:t>
      </w:r>
      <w:r w:rsidR="007C1EC7">
        <w:rPr>
          <w:rFonts w:ascii="Times New Roman" w:hAnsi="Times New Roman" w:cs="Times New Roman"/>
          <w:bCs/>
          <w:sz w:val="24"/>
          <w:szCs w:val="24"/>
        </w:rPr>
        <w:t xml:space="preserve"> based on the costs itemized below.</w:t>
      </w:r>
    </w:p>
    <w:p w:rsidR="007C1EC7" w:rsidP="007C1EC7" w14:paraId="6DC907D8" w14:textId="77A4D1F5">
      <w:pPr>
        <w:pStyle w:val="ListParagraph"/>
        <w:numPr>
          <w:ilvl w:val="0"/>
          <w:numId w:val="9"/>
        </w:numPr>
        <w:rPr>
          <w:rFonts w:ascii="Times New Roman" w:hAnsi="Times New Roman" w:cs="Times New Roman"/>
          <w:bCs/>
          <w:sz w:val="24"/>
          <w:szCs w:val="24"/>
        </w:rPr>
      </w:pPr>
      <w:r>
        <w:rPr>
          <w:rFonts w:ascii="Times New Roman" w:hAnsi="Times New Roman" w:cs="Times New Roman"/>
          <w:bCs/>
          <w:sz w:val="24"/>
          <w:szCs w:val="24"/>
        </w:rPr>
        <w:t xml:space="preserve">The project funding for the five-year cooperative agreement is </w:t>
      </w:r>
      <w:r w:rsidRPr="00D85151" w:rsidR="00D85151">
        <w:rPr>
          <w:rFonts w:ascii="Times New Roman" w:hAnsi="Times New Roman" w:cs="Times New Roman"/>
          <w:bCs/>
          <w:sz w:val="24"/>
          <w:szCs w:val="24"/>
        </w:rPr>
        <w:t>$3,061,250,000</w:t>
      </w:r>
      <w:r w:rsidR="00D85151">
        <w:rPr>
          <w:rFonts w:ascii="Times New Roman" w:hAnsi="Times New Roman" w:cs="Times New Roman"/>
          <w:bCs/>
          <w:sz w:val="24"/>
          <w:szCs w:val="24"/>
        </w:rPr>
        <w:t>.</w:t>
      </w:r>
      <w:r w:rsidR="00835E63">
        <w:rPr>
          <w:rFonts w:ascii="Times New Roman" w:hAnsi="Times New Roman" w:cs="Times New Roman"/>
          <w:bCs/>
          <w:sz w:val="24"/>
          <w:szCs w:val="24"/>
        </w:rPr>
        <w:t xml:space="preserve"> This is an annualized cost of $612,250,000.</w:t>
      </w:r>
    </w:p>
    <w:p w:rsidR="00866765" w:rsidP="007C1EC7" w14:paraId="4DE72E72" w14:textId="59F5DD91">
      <w:pPr>
        <w:pStyle w:val="ListParagraph"/>
        <w:numPr>
          <w:ilvl w:val="0"/>
          <w:numId w:val="9"/>
        </w:numPr>
        <w:rPr>
          <w:rFonts w:ascii="Times New Roman" w:hAnsi="Times New Roman" w:cs="Times New Roman"/>
          <w:bCs/>
          <w:sz w:val="24"/>
          <w:szCs w:val="24"/>
        </w:rPr>
      </w:pPr>
      <w:r>
        <w:rPr>
          <w:rFonts w:ascii="Times New Roman" w:hAnsi="Times New Roman" w:cs="Times New Roman"/>
          <w:bCs/>
          <w:sz w:val="24"/>
          <w:szCs w:val="24"/>
        </w:rPr>
        <w:t xml:space="preserve">The total cost of development of the </w:t>
      </w:r>
      <w:r w:rsidR="003E61FC">
        <w:rPr>
          <w:rFonts w:ascii="Times New Roman" w:hAnsi="Times New Roman" w:cs="Times New Roman"/>
          <w:bCs/>
          <w:sz w:val="24"/>
          <w:szCs w:val="24"/>
        </w:rPr>
        <w:t xml:space="preserve">PHEP </w:t>
      </w:r>
      <w:r>
        <w:rPr>
          <w:rFonts w:ascii="Times New Roman" w:hAnsi="Times New Roman" w:cs="Times New Roman"/>
          <w:bCs/>
          <w:sz w:val="24"/>
          <w:szCs w:val="24"/>
        </w:rPr>
        <w:t xml:space="preserve">ORR </w:t>
      </w:r>
      <w:r w:rsidR="003E61FC">
        <w:rPr>
          <w:rFonts w:ascii="Times New Roman" w:hAnsi="Times New Roman" w:cs="Times New Roman"/>
          <w:bCs/>
          <w:sz w:val="24"/>
          <w:szCs w:val="24"/>
        </w:rPr>
        <w:t>information technology</w:t>
      </w:r>
      <w:r>
        <w:rPr>
          <w:rFonts w:ascii="Times New Roman" w:hAnsi="Times New Roman" w:cs="Times New Roman"/>
          <w:bCs/>
          <w:sz w:val="24"/>
          <w:szCs w:val="24"/>
        </w:rPr>
        <w:t xml:space="preserve"> system is</w:t>
      </w:r>
      <w:r w:rsidR="0001277B">
        <w:rPr>
          <w:rFonts w:ascii="Times New Roman" w:hAnsi="Times New Roman" w:cs="Times New Roman"/>
          <w:bCs/>
          <w:sz w:val="24"/>
          <w:szCs w:val="24"/>
        </w:rPr>
        <w:t xml:space="preserve"> $451,890.</w:t>
      </w:r>
      <w:r w:rsidR="00C644CF">
        <w:rPr>
          <w:rFonts w:ascii="Times New Roman" w:hAnsi="Times New Roman" w:cs="Times New Roman"/>
          <w:bCs/>
          <w:sz w:val="24"/>
          <w:szCs w:val="24"/>
        </w:rPr>
        <w:t xml:space="preserve"> This is an annualized cost of </w:t>
      </w:r>
      <w:r w:rsidR="00170B3C">
        <w:rPr>
          <w:rFonts w:ascii="Times New Roman" w:hAnsi="Times New Roman" w:cs="Times New Roman"/>
          <w:bCs/>
          <w:sz w:val="24"/>
          <w:szCs w:val="24"/>
        </w:rPr>
        <w:t xml:space="preserve">$90,378 over the </w:t>
      </w:r>
      <w:r w:rsidR="003E61FC">
        <w:rPr>
          <w:rFonts w:ascii="Times New Roman" w:hAnsi="Times New Roman" w:cs="Times New Roman"/>
          <w:bCs/>
          <w:sz w:val="24"/>
          <w:szCs w:val="24"/>
        </w:rPr>
        <w:t>five</w:t>
      </w:r>
      <w:r w:rsidR="00950AD7">
        <w:rPr>
          <w:rFonts w:ascii="Times New Roman" w:hAnsi="Times New Roman" w:cs="Times New Roman"/>
          <w:bCs/>
          <w:sz w:val="24"/>
          <w:szCs w:val="24"/>
        </w:rPr>
        <w:t xml:space="preserve">-year budget </w:t>
      </w:r>
      <w:r w:rsidR="00170B3C">
        <w:rPr>
          <w:rFonts w:ascii="Times New Roman" w:hAnsi="Times New Roman" w:cs="Times New Roman"/>
          <w:bCs/>
          <w:sz w:val="24"/>
          <w:szCs w:val="24"/>
        </w:rPr>
        <w:t>period.</w:t>
      </w:r>
    </w:p>
    <w:p w:rsidR="00835E63" w:rsidP="00835E63" w14:paraId="22B7970B" w14:textId="38AC7E6D">
      <w:pPr>
        <w:spacing w:after="0" w:line="256" w:lineRule="auto"/>
        <w:rPr>
          <w:rFonts w:ascii="Times New Roman" w:hAnsi="Times New Roman" w:cs="Times New Roman"/>
          <w:sz w:val="24"/>
        </w:rPr>
      </w:pPr>
      <w:r>
        <w:rPr>
          <w:rFonts w:ascii="Times New Roman" w:hAnsi="Times New Roman" w:cs="Times New Roman"/>
          <w:sz w:val="24"/>
        </w:rPr>
        <w:t xml:space="preserve">Table A.14.1. </w:t>
      </w:r>
      <w:r w:rsidR="009A23DE">
        <w:rPr>
          <w:rFonts w:ascii="Times New Roman" w:hAnsi="Times New Roman" w:cs="Times New Roman"/>
          <w:sz w:val="24"/>
        </w:rPr>
        <w:t>Cost of Development of the Online ORR System</w:t>
      </w:r>
    </w:p>
    <w:tbl>
      <w:tblPr>
        <w:tblStyle w:val="TableGrid"/>
        <w:tblW w:w="0" w:type="auto"/>
        <w:tblLook w:val="04A0"/>
      </w:tblPr>
      <w:tblGrid>
        <w:gridCol w:w="1870"/>
        <w:gridCol w:w="1870"/>
        <w:gridCol w:w="1870"/>
        <w:gridCol w:w="1870"/>
        <w:gridCol w:w="1870"/>
      </w:tblGrid>
      <w:tr w14:paraId="7BF3CCE3" w14:textId="77777777" w:rsidTr="0072774D">
        <w:tblPrEx>
          <w:tblW w:w="0" w:type="auto"/>
          <w:tblLook w:val="04A0"/>
        </w:tblPrEx>
        <w:tc>
          <w:tcPr>
            <w:tcW w:w="1870" w:type="dxa"/>
          </w:tcPr>
          <w:p w:rsidR="0072774D" w:rsidRPr="00355A97" w:rsidP="00835E63" w14:paraId="7BEC086E" w14:textId="77ED7FD0">
            <w:pPr>
              <w:spacing w:line="256" w:lineRule="auto"/>
              <w:rPr>
                <w:rFonts w:ascii="Times New Roman" w:hAnsi="Times New Roman" w:cs="Times New Roman"/>
                <w:b/>
                <w:bCs/>
                <w:sz w:val="24"/>
              </w:rPr>
            </w:pPr>
            <w:r w:rsidRPr="00355A97">
              <w:rPr>
                <w:rFonts w:ascii="Times New Roman" w:hAnsi="Times New Roman" w:cs="Times New Roman"/>
                <w:b/>
                <w:bCs/>
                <w:sz w:val="24"/>
              </w:rPr>
              <w:t>Aspect of Project</w:t>
            </w:r>
          </w:p>
        </w:tc>
        <w:tc>
          <w:tcPr>
            <w:tcW w:w="1870" w:type="dxa"/>
          </w:tcPr>
          <w:p w:rsidR="0072774D" w:rsidRPr="00355A97" w:rsidP="00835E63" w14:paraId="290C5C5F" w14:textId="0C797EBA">
            <w:pPr>
              <w:spacing w:line="256" w:lineRule="auto"/>
              <w:rPr>
                <w:rFonts w:ascii="Times New Roman" w:hAnsi="Times New Roman" w:cs="Times New Roman"/>
                <w:b/>
                <w:bCs/>
                <w:sz w:val="24"/>
              </w:rPr>
            </w:pPr>
            <w:r w:rsidRPr="00355A97">
              <w:rPr>
                <w:rFonts w:ascii="Times New Roman" w:hAnsi="Times New Roman" w:cs="Times New Roman"/>
                <w:b/>
                <w:bCs/>
                <w:sz w:val="24"/>
              </w:rPr>
              <w:t>Employment Level</w:t>
            </w:r>
          </w:p>
        </w:tc>
        <w:tc>
          <w:tcPr>
            <w:tcW w:w="1870" w:type="dxa"/>
          </w:tcPr>
          <w:p w:rsidR="0072774D" w:rsidRPr="00355A97" w:rsidP="00835E63" w14:paraId="5A407E74" w14:textId="2A7ECA39">
            <w:pPr>
              <w:spacing w:line="256" w:lineRule="auto"/>
              <w:rPr>
                <w:rFonts w:ascii="Times New Roman" w:hAnsi="Times New Roman" w:cs="Times New Roman"/>
                <w:b/>
                <w:bCs/>
                <w:sz w:val="24"/>
              </w:rPr>
            </w:pPr>
            <w:r w:rsidRPr="00355A97">
              <w:rPr>
                <w:rFonts w:ascii="Times New Roman" w:hAnsi="Times New Roman" w:cs="Times New Roman"/>
                <w:b/>
                <w:bCs/>
                <w:sz w:val="24"/>
              </w:rPr>
              <w:t>Hours Worked</w:t>
            </w:r>
          </w:p>
        </w:tc>
        <w:tc>
          <w:tcPr>
            <w:tcW w:w="1870" w:type="dxa"/>
          </w:tcPr>
          <w:p w:rsidR="0072774D" w:rsidRPr="00355A97" w:rsidP="00835E63" w14:paraId="77400F17" w14:textId="7CB515B3">
            <w:pPr>
              <w:spacing w:line="256" w:lineRule="auto"/>
              <w:rPr>
                <w:rFonts w:ascii="Times New Roman" w:hAnsi="Times New Roman" w:cs="Times New Roman"/>
                <w:b/>
                <w:bCs/>
                <w:sz w:val="24"/>
              </w:rPr>
            </w:pPr>
            <w:r w:rsidRPr="00355A97">
              <w:rPr>
                <w:rFonts w:ascii="Times New Roman" w:hAnsi="Times New Roman" w:cs="Times New Roman"/>
                <w:b/>
                <w:bCs/>
                <w:sz w:val="24"/>
              </w:rPr>
              <w:t>Hourly Wage Rate</w:t>
            </w:r>
          </w:p>
        </w:tc>
        <w:tc>
          <w:tcPr>
            <w:tcW w:w="1870" w:type="dxa"/>
          </w:tcPr>
          <w:p w:rsidR="0072774D" w:rsidRPr="00355A97" w:rsidP="00835E63" w14:paraId="6F8FD539" w14:textId="32D3224A">
            <w:pPr>
              <w:spacing w:line="256" w:lineRule="auto"/>
              <w:rPr>
                <w:rFonts w:ascii="Times New Roman" w:hAnsi="Times New Roman" w:cs="Times New Roman"/>
                <w:b/>
                <w:bCs/>
                <w:sz w:val="24"/>
              </w:rPr>
            </w:pPr>
            <w:r w:rsidRPr="00355A97">
              <w:rPr>
                <w:rFonts w:ascii="Times New Roman" w:hAnsi="Times New Roman" w:cs="Times New Roman"/>
                <w:b/>
                <w:bCs/>
                <w:sz w:val="24"/>
              </w:rPr>
              <w:t>Total Cost</w:t>
            </w:r>
          </w:p>
        </w:tc>
      </w:tr>
      <w:tr w14:paraId="75D7BC7A" w14:textId="77777777" w:rsidTr="0072774D">
        <w:tblPrEx>
          <w:tblW w:w="0" w:type="auto"/>
          <w:tblLook w:val="04A0"/>
        </w:tblPrEx>
        <w:tc>
          <w:tcPr>
            <w:tcW w:w="1870" w:type="dxa"/>
            <w:vMerge w:val="restart"/>
          </w:tcPr>
          <w:p w:rsidR="0072774D" w:rsidP="00835E63" w14:paraId="530810EE" w14:textId="10287E73">
            <w:pPr>
              <w:spacing w:line="256" w:lineRule="auto"/>
              <w:rPr>
                <w:rFonts w:ascii="Times New Roman" w:hAnsi="Times New Roman" w:cs="Times New Roman"/>
                <w:sz w:val="24"/>
              </w:rPr>
            </w:pPr>
            <w:r>
              <w:rPr>
                <w:rFonts w:ascii="Times New Roman" w:hAnsi="Times New Roman" w:cs="Times New Roman"/>
                <w:sz w:val="24"/>
              </w:rPr>
              <w:t>Development of content</w:t>
            </w:r>
          </w:p>
        </w:tc>
        <w:tc>
          <w:tcPr>
            <w:tcW w:w="1870" w:type="dxa"/>
          </w:tcPr>
          <w:p w:rsidR="0072774D" w:rsidP="00835E63" w14:paraId="777E6D06" w14:textId="32FB36B7">
            <w:pPr>
              <w:spacing w:line="256" w:lineRule="auto"/>
              <w:rPr>
                <w:rFonts w:ascii="Times New Roman" w:hAnsi="Times New Roman" w:cs="Times New Roman"/>
                <w:sz w:val="24"/>
              </w:rPr>
            </w:pPr>
            <w:r>
              <w:rPr>
                <w:rFonts w:ascii="Times New Roman" w:hAnsi="Times New Roman" w:cs="Times New Roman"/>
                <w:sz w:val="24"/>
              </w:rPr>
              <w:t>GS-14</w:t>
            </w:r>
          </w:p>
        </w:tc>
        <w:tc>
          <w:tcPr>
            <w:tcW w:w="1870" w:type="dxa"/>
          </w:tcPr>
          <w:p w:rsidR="0072774D" w:rsidP="00835E63" w14:paraId="482974F7" w14:textId="12EFBC6D">
            <w:pPr>
              <w:spacing w:line="256" w:lineRule="auto"/>
              <w:rPr>
                <w:rFonts w:ascii="Times New Roman" w:hAnsi="Times New Roman" w:cs="Times New Roman"/>
                <w:sz w:val="24"/>
              </w:rPr>
            </w:pPr>
            <w:r>
              <w:rPr>
                <w:rFonts w:ascii="Times New Roman" w:hAnsi="Times New Roman" w:cs="Times New Roman"/>
                <w:sz w:val="24"/>
              </w:rPr>
              <w:t>1,200 hours</w:t>
            </w:r>
          </w:p>
        </w:tc>
        <w:tc>
          <w:tcPr>
            <w:tcW w:w="1870" w:type="dxa"/>
          </w:tcPr>
          <w:p w:rsidR="0072774D" w:rsidP="00835E63" w14:paraId="7979163F" w14:textId="056A5105">
            <w:pPr>
              <w:spacing w:line="256" w:lineRule="auto"/>
              <w:rPr>
                <w:rFonts w:ascii="Times New Roman" w:hAnsi="Times New Roman" w:cs="Times New Roman"/>
                <w:sz w:val="24"/>
              </w:rPr>
            </w:pPr>
            <w:r>
              <w:rPr>
                <w:rFonts w:ascii="Times New Roman" w:hAnsi="Times New Roman" w:cs="Times New Roman"/>
                <w:sz w:val="24"/>
              </w:rPr>
              <w:t>$65.56</w:t>
            </w:r>
          </w:p>
        </w:tc>
        <w:tc>
          <w:tcPr>
            <w:tcW w:w="1870" w:type="dxa"/>
          </w:tcPr>
          <w:p w:rsidR="0072774D" w:rsidP="00835E63" w14:paraId="35576C05" w14:textId="1054B069">
            <w:pPr>
              <w:spacing w:line="256" w:lineRule="auto"/>
              <w:rPr>
                <w:rFonts w:ascii="Times New Roman" w:hAnsi="Times New Roman" w:cs="Times New Roman"/>
                <w:sz w:val="24"/>
              </w:rPr>
            </w:pPr>
            <w:r>
              <w:rPr>
                <w:rFonts w:ascii="Times New Roman" w:hAnsi="Times New Roman" w:cs="Times New Roman"/>
                <w:sz w:val="24"/>
              </w:rPr>
              <w:t>$78,672</w:t>
            </w:r>
          </w:p>
        </w:tc>
      </w:tr>
      <w:tr w14:paraId="711930B1" w14:textId="77777777" w:rsidTr="0072774D">
        <w:tblPrEx>
          <w:tblW w:w="0" w:type="auto"/>
          <w:tblLook w:val="04A0"/>
        </w:tblPrEx>
        <w:tc>
          <w:tcPr>
            <w:tcW w:w="1870" w:type="dxa"/>
            <w:vMerge/>
          </w:tcPr>
          <w:p w:rsidR="0072774D" w:rsidP="00835E63" w14:paraId="70668B27" w14:textId="77777777">
            <w:pPr>
              <w:spacing w:line="256" w:lineRule="auto"/>
              <w:rPr>
                <w:rFonts w:ascii="Times New Roman" w:hAnsi="Times New Roman" w:cs="Times New Roman"/>
                <w:sz w:val="24"/>
              </w:rPr>
            </w:pPr>
          </w:p>
        </w:tc>
        <w:tc>
          <w:tcPr>
            <w:tcW w:w="1870" w:type="dxa"/>
          </w:tcPr>
          <w:p w:rsidR="0072774D" w:rsidP="00835E63" w14:paraId="28F55AAB" w14:textId="49739DCB">
            <w:pPr>
              <w:spacing w:line="256" w:lineRule="auto"/>
              <w:rPr>
                <w:rFonts w:ascii="Times New Roman" w:hAnsi="Times New Roman" w:cs="Times New Roman"/>
                <w:sz w:val="24"/>
              </w:rPr>
            </w:pPr>
            <w:r>
              <w:rPr>
                <w:rFonts w:ascii="Times New Roman" w:hAnsi="Times New Roman" w:cs="Times New Roman"/>
                <w:sz w:val="24"/>
              </w:rPr>
              <w:t>GS-13</w:t>
            </w:r>
          </w:p>
        </w:tc>
        <w:tc>
          <w:tcPr>
            <w:tcW w:w="1870" w:type="dxa"/>
          </w:tcPr>
          <w:p w:rsidR="0072774D" w:rsidP="00835E63" w14:paraId="67A42391" w14:textId="51D758BE">
            <w:pPr>
              <w:spacing w:line="256" w:lineRule="auto"/>
              <w:rPr>
                <w:rFonts w:ascii="Times New Roman" w:hAnsi="Times New Roman" w:cs="Times New Roman"/>
                <w:sz w:val="24"/>
              </w:rPr>
            </w:pPr>
            <w:r>
              <w:rPr>
                <w:rFonts w:ascii="Times New Roman" w:hAnsi="Times New Roman" w:cs="Times New Roman"/>
                <w:sz w:val="24"/>
              </w:rPr>
              <w:t>2,300 hours</w:t>
            </w:r>
          </w:p>
        </w:tc>
        <w:tc>
          <w:tcPr>
            <w:tcW w:w="1870" w:type="dxa"/>
          </w:tcPr>
          <w:p w:rsidR="0072774D" w:rsidP="00835E63" w14:paraId="1EF55C87" w14:textId="0D87228A">
            <w:pPr>
              <w:spacing w:line="256" w:lineRule="auto"/>
              <w:rPr>
                <w:rFonts w:ascii="Times New Roman" w:hAnsi="Times New Roman" w:cs="Times New Roman"/>
                <w:sz w:val="24"/>
              </w:rPr>
            </w:pPr>
            <w:r>
              <w:rPr>
                <w:rFonts w:ascii="Times New Roman" w:hAnsi="Times New Roman" w:cs="Times New Roman"/>
                <w:sz w:val="24"/>
              </w:rPr>
              <w:t>$50.83</w:t>
            </w:r>
          </w:p>
        </w:tc>
        <w:tc>
          <w:tcPr>
            <w:tcW w:w="1870" w:type="dxa"/>
          </w:tcPr>
          <w:p w:rsidR="0072774D" w:rsidP="00835E63" w14:paraId="45EB5B45" w14:textId="3F3722C9">
            <w:pPr>
              <w:spacing w:line="256" w:lineRule="auto"/>
              <w:rPr>
                <w:rFonts w:ascii="Times New Roman" w:hAnsi="Times New Roman" w:cs="Times New Roman"/>
                <w:sz w:val="24"/>
              </w:rPr>
            </w:pPr>
            <w:r>
              <w:rPr>
                <w:rFonts w:ascii="Times New Roman" w:hAnsi="Times New Roman" w:cs="Times New Roman"/>
                <w:sz w:val="24"/>
              </w:rPr>
              <w:t>$116,909</w:t>
            </w:r>
          </w:p>
        </w:tc>
      </w:tr>
      <w:tr w14:paraId="3F378E32" w14:textId="77777777" w:rsidTr="0072774D">
        <w:tblPrEx>
          <w:tblW w:w="0" w:type="auto"/>
          <w:tblLook w:val="04A0"/>
        </w:tblPrEx>
        <w:tc>
          <w:tcPr>
            <w:tcW w:w="1870" w:type="dxa"/>
            <w:vMerge w:val="restart"/>
          </w:tcPr>
          <w:p w:rsidR="0072774D" w:rsidP="00835E63" w14:paraId="6E6DF334" w14:textId="511378D9">
            <w:pPr>
              <w:spacing w:line="256" w:lineRule="auto"/>
              <w:rPr>
                <w:rFonts w:ascii="Times New Roman" w:hAnsi="Times New Roman" w:cs="Times New Roman"/>
                <w:sz w:val="24"/>
              </w:rPr>
            </w:pPr>
            <w:r>
              <w:rPr>
                <w:rFonts w:ascii="Times New Roman" w:hAnsi="Times New Roman" w:cs="Times New Roman"/>
                <w:sz w:val="24"/>
              </w:rPr>
              <w:t>Development of IT system to collect data</w:t>
            </w:r>
          </w:p>
        </w:tc>
        <w:tc>
          <w:tcPr>
            <w:tcW w:w="1870" w:type="dxa"/>
          </w:tcPr>
          <w:p w:rsidR="0072774D" w:rsidP="00835E63" w14:paraId="0B180A4E" w14:textId="6ED9FC5F">
            <w:pPr>
              <w:spacing w:line="256" w:lineRule="auto"/>
              <w:rPr>
                <w:rFonts w:ascii="Times New Roman" w:hAnsi="Times New Roman" w:cs="Times New Roman"/>
                <w:sz w:val="24"/>
              </w:rPr>
            </w:pPr>
            <w:r>
              <w:rPr>
                <w:rFonts w:ascii="Times New Roman" w:hAnsi="Times New Roman" w:cs="Times New Roman"/>
                <w:sz w:val="24"/>
              </w:rPr>
              <w:t>GS-14</w:t>
            </w:r>
          </w:p>
        </w:tc>
        <w:tc>
          <w:tcPr>
            <w:tcW w:w="1870" w:type="dxa"/>
          </w:tcPr>
          <w:p w:rsidR="0072774D" w:rsidP="00835E63" w14:paraId="345001EB" w14:textId="757BCDCB">
            <w:pPr>
              <w:spacing w:line="256" w:lineRule="auto"/>
              <w:rPr>
                <w:rFonts w:ascii="Times New Roman" w:hAnsi="Times New Roman" w:cs="Times New Roman"/>
                <w:sz w:val="24"/>
              </w:rPr>
            </w:pPr>
            <w:r>
              <w:rPr>
                <w:rFonts w:ascii="Times New Roman" w:hAnsi="Times New Roman" w:cs="Times New Roman"/>
                <w:sz w:val="24"/>
              </w:rPr>
              <w:t>1,100 hours</w:t>
            </w:r>
          </w:p>
        </w:tc>
        <w:tc>
          <w:tcPr>
            <w:tcW w:w="1870" w:type="dxa"/>
          </w:tcPr>
          <w:p w:rsidR="0072774D" w:rsidP="00835E63" w14:paraId="7C6654F5" w14:textId="3298B581">
            <w:pPr>
              <w:spacing w:line="256" w:lineRule="auto"/>
              <w:rPr>
                <w:rFonts w:ascii="Times New Roman" w:hAnsi="Times New Roman" w:cs="Times New Roman"/>
                <w:sz w:val="24"/>
              </w:rPr>
            </w:pPr>
            <w:r>
              <w:rPr>
                <w:rFonts w:ascii="Times New Roman" w:hAnsi="Times New Roman" w:cs="Times New Roman"/>
                <w:sz w:val="24"/>
              </w:rPr>
              <w:t>$65.56</w:t>
            </w:r>
          </w:p>
        </w:tc>
        <w:tc>
          <w:tcPr>
            <w:tcW w:w="1870" w:type="dxa"/>
          </w:tcPr>
          <w:p w:rsidR="0072774D" w:rsidP="00835E63" w14:paraId="7CD62ADE" w14:textId="044E0409">
            <w:pPr>
              <w:spacing w:line="256" w:lineRule="auto"/>
              <w:rPr>
                <w:rFonts w:ascii="Times New Roman" w:hAnsi="Times New Roman" w:cs="Times New Roman"/>
                <w:sz w:val="24"/>
              </w:rPr>
            </w:pPr>
            <w:r>
              <w:rPr>
                <w:rFonts w:ascii="Times New Roman" w:hAnsi="Times New Roman" w:cs="Times New Roman"/>
                <w:sz w:val="24"/>
              </w:rPr>
              <w:t>$72,116</w:t>
            </w:r>
          </w:p>
        </w:tc>
      </w:tr>
      <w:tr w14:paraId="236A3C95" w14:textId="77777777" w:rsidTr="0072774D">
        <w:tblPrEx>
          <w:tblW w:w="0" w:type="auto"/>
          <w:tblLook w:val="04A0"/>
        </w:tblPrEx>
        <w:tc>
          <w:tcPr>
            <w:tcW w:w="1870" w:type="dxa"/>
            <w:vMerge/>
          </w:tcPr>
          <w:p w:rsidR="0072774D" w:rsidP="00835E63" w14:paraId="5156DE44" w14:textId="77777777">
            <w:pPr>
              <w:spacing w:line="256" w:lineRule="auto"/>
              <w:rPr>
                <w:rFonts w:ascii="Times New Roman" w:hAnsi="Times New Roman" w:cs="Times New Roman"/>
                <w:sz w:val="24"/>
              </w:rPr>
            </w:pPr>
          </w:p>
        </w:tc>
        <w:tc>
          <w:tcPr>
            <w:tcW w:w="1870" w:type="dxa"/>
          </w:tcPr>
          <w:p w:rsidR="0072774D" w:rsidP="00835E63" w14:paraId="0C99C932" w14:textId="66584514">
            <w:pPr>
              <w:spacing w:line="256" w:lineRule="auto"/>
              <w:rPr>
                <w:rFonts w:ascii="Times New Roman" w:hAnsi="Times New Roman" w:cs="Times New Roman"/>
                <w:sz w:val="24"/>
              </w:rPr>
            </w:pPr>
            <w:r>
              <w:rPr>
                <w:rFonts w:ascii="Times New Roman" w:hAnsi="Times New Roman" w:cs="Times New Roman"/>
                <w:sz w:val="24"/>
              </w:rPr>
              <w:t xml:space="preserve">GS-13 </w:t>
            </w:r>
          </w:p>
        </w:tc>
        <w:tc>
          <w:tcPr>
            <w:tcW w:w="1870" w:type="dxa"/>
          </w:tcPr>
          <w:p w:rsidR="0072774D" w:rsidP="00835E63" w14:paraId="02C84BA0" w14:textId="2EDD1718">
            <w:pPr>
              <w:spacing w:line="256" w:lineRule="auto"/>
              <w:rPr>
                <w:rFonts w:ascii="Times New Roman" w:hAnsi="Times New Roman" w:cs="Times New Roman"/>
                <w:sz w:val="24"/>
              </w:rPr>
            </w:pPr>
            <w:r>
              <w:rPr>
                <w:rFonts w:ascii="Times New Roman" w:hAnsi="Times New Roman" w:cs="Times New Roman"/>
                <w:sz w:val="24"/>
              </w:rPr>
              <w:t>2,500 hours</w:t>
            </w:r>
          </w:p>
        </w:tc>
        <w:tc>
          <w:tcPr>
            <w:tcW w:w="1870" w:type="dxa"/>
          </w:tcPr>
          <w:p w:rsidR="0072774D" w:rsidP="00835E63" w14:paraId="5909DF0A" w14:textId="779FF891">
            <w:pPr>
              <w:spacing w:line="256" w:lineRule="auto"/>
              <w:rPr>
                <w:rFonts w:ascii="Times New Roman" w:hAnsi="Times New Roman" w:cs="Times New Roman"/>
                <w:sz w:val="24"/>
              </w:rPr>
            </w:pPr>
            <w:r>
              <w:rPr>
                <w:rFonts w:ascii="Times New Roman" w:hAnsi="Times New Roman" w:cs="Times New Roman"/>
                <w:sz w:val="24"/>
              </w:rPr>
              <w:t>$50.83</w:t>
            </w:r>
          </w:p>
        </w:tc>
        <w:tc>
          <w:tcPr>
            <w:tcW w:w="1870" w:type="dxa"/>
          </w:tcPr>
          <w:p w:rsidR="0072774D" w:rsidP="00835E63" w14:paraId="6ABE5906" w14:textId="24187753">
            <w:pPr>
              <w:spacing w:line="256" w:lineRule="auto"/>
              <w:rPr>
                <w:rFonts w:ascii="Times New Roman" w:hAnsi="Times New Roman" w:cs="Times New Roman"/>
                <w:sz w:val="24"/>
              </w:rPr>
            </w:pPr>
            <w:r>
              <w:rPr>
                <w:rFonts w:ascii="Times New Roman" w:hAnsi="Times New Roman" w:cs="Times New Roman"/>
                <w:sz w:val="24"/>
              </w:rPr>
              <w:t>$127,075</w:t>
            </w:r>
          </w:p>
        </w:tc>
      </w:tr>
      <w:tr w14:paraId="14A87771" w14:textId="77777777" w:rsidTr="0072774D">
        <w:tblPrEx>
          <w:tblW w:w="0" w:type="auto"/>
          <w:tblLook w:val="04A0"/>
        </w:tblPrEx>
        <w:tc>
          <w:tcPr>
            <w:tcW w:w="1870" w:type="dxa"/>
            <w:vMerge/>
          </w:tcPr>
          <w:p w:rsidR="0072774D" w:rsidP="00835E63" w14:paraId="3DA2EE34" w14:textId="77777777">
            <w:pPr>
              <w:spacing w:line="256" w:lineRule="auto"/>
              <w:rPr>
                <w:rFonts w:ascii="Times New Roman" w:hAnsi="Times New Roman" w:cs="Times New Roman"/>
                <w:sz w:val="24"/>
              </w:rPr>
            </w:pPr>
          </w:p>
        </w:tc>
        <w:tc>
          <w:tcPr>
            <w:tcW w:w="1870" w:type="dxa"/>
          </w:tcPr>
          <w:p w:rsidR="0072774D" w:rsidP="00835E63" w14:paraId="2E992512" w14:textId="0F9E2972">
            <w:pPr>
              <w:spacing w:line="256" w:lineRule="auto"/>
              <w:rPr>
                <w:rFonts w:ascii="Times New Roman" w:hAnsi="Times New Roman" w:cs="Times New Roman"/>
                <w:sz w:val="24"/>
              </w:rPr>
            </w:pPr>
            <w:r>
              <w:rPr>
                <w:rFonts w:ascii="Times New Roman" w:hAnsi="Times New Roman" w:cs="Times New Roman"/>
                <w:sz w:val="24"/>
              </w:rPr>
              <w:t xml:space="preserve">GS-12 </w:t>
            </w:r>
          </w:p>
        </w:tc>
        <w:tc>
          <w:tcPr>
            <w:tcW w:w="1870" w:type="dxa"/>
          </w:tcPr>
          <w:p w:rsidR="0072774D" w:rsidP="00835E63" w14:paraId="442FF7C2" w14:textId="349A1E7D">
            <w:pPr>
              <w:spacing w:line="256" w:lineRule="auto"/>
              <w:rPr>
                <w:rFonts w:ascii="Times New Roman" w:hAnsi="Times New Roman" w:cs="Times New Roman"/>
                <w:sz w:val="24"/>
              </w:rPr>
            </w:pPr>
            <w:r>
              <w:rPr>
                <w:rFonts w:ascii="Times New Roman" w:hAnsi="Times New Roman" w:cs="Times New Roman"/>
                <w:sz w:val="24"/>
              </w:rPr>
              <w:t>415 hours</w:t>
            </w:r>
          </w:p>
        </w:tc>
        <w:tc>
          <w:tcPr>
            <w:tcW w:w="1870" w:type="dxa"/>
          </w:tcPr>
          <w:p w:rsidR="0072774D" w:rsidP="00835E63" w14:paraId="7F40AD9B" w14:textId="19CC7FE8">
            <w:pPr>
              <w:spacing w:line="256" w:lineRule="auto"/>
              <w:rPr>
                <w:rFonts w:ascii="Times New Roman" w:hAnsi="Times New Roman" w:cs="Times New Roman"/>
                <w:sz w:val="24"/>
              </w:rPr>
            </w:pPr>
            <w:r>
              <w:rPr>
                <w:rFonts w:ascii="Times New Roman" w:hAnsi="Times New Roman" w:cs="Times New Roman"/>
                <w:sz w:val="24"/>
              </w:rPr>
              <w:t>$44.21</w:t>
            </w:r>
          </w:p>
        </w:tc>
        <w:tc>
          <w:tcPr>
            <w:tcW w:w="1870" w:type="dxa"/>
          </w:tcPr>
          <w:p w:rsidR="0072774D" w:rsidP="00835E63" w14:paraId="6F51153B" w14:textId="78C0F916">
            <w:pPr>
              <w:spacing w:line="256" w:lineRule="auto"/>
              <w:rPr>
                <w:rFonts w:ascii="Times New Roman" w:hAnsi="Times New Roman" w:cs="Times New Roman"/>
                <w:sz w:val="24"/>
              </w:rPr>
            </w:pPr>
            <w:r>
              <w:rPr>
                <w:rFonts w:ascii="Times New Roman" w:hAnsi="Times New Roman" w:cs="Times New Roman"/>
                <w:sz w:val="24"/>
              </w:rPr>
              <w:t>$18,347</w:t>
            </w:r>
          </w:p>
        </w:tc>
      </w:tr>
      <w:tr w14:paraId="63A03740" w14:textId="77777777" w:rsidTr="0072774D">
        <w:tblPrEx>
          <w:tblW w:w="0" w:type="auto"/>
          <w:tblLook w:val="04A0"/>
        </w:tblPrEx>
        <w:tc>
          <w:tcPr>
            <w:tcW w:w="1870" w:type="dxa"/>
          </w:tcPr>
          <w:p w:rsidR="0072774D" w:rsidP="00835E63" w14:paraId="5F2C2EA8" w14:textId="65D8E666">
            <w:pPr>
              <w:spacing w:line="256" w:lineRule="auto"/>
              <w:rPr>
                <w:rFonts w:ascii="Times New Roman" w:hAnsi="Times New Roman" w:cs="Times New Roman"/>
                <w:sz w:val="24"/>
              </w:rPr>
            </w:pPr>
            <w:r>
              <w:rPr>
                <w:rFonts w:ascii="Times New Roman" w:hAnsi="Times New Roman" w:cs="Times New Roman"/>
                <w:sz w:val="24"/>
              </w:rPr>
              <w:t>Contract hours</w:t>
            </w:r>
          </w:p>
        </w:tc>
        <w:tc>
          <w:tcPr>
            <w:tcW w:w="1870" w:type="dxa"/>
          </w:tcPr>
          <w:p w:rsidR="0072774D" w:rsidP="00835E63" w14:paraId="3D06DA9E" w14:textId="5B4AE90B">
            <w:pPr>
              <w:spacing w:line="256" w:lineRule="auto"/>
              <w:rPr>
                <w:rFonts w:ascii="Times New Roman" w:hAnsi="Times New Roman" w:cs="Times New Roman"/>
                <w:sz w:val="24"/>
              </w:rPr>
            </w:pPr>
            <w:r>
              <w:rPr>
                <w:rFonts w:ascii="Times New Roman" w:hAnsi="Times New Roman" w:cs="Times New Roman"/>
                <w:sz w:val="24"/>
              </w:rPr>
              <w:t>Deloitte</w:t>
            </w:r>
          </w:p>
        </w:tc>
        <w:tc>
          <w:tcPr>
            <w:tcW w:w="1870" w:type="dxa"/>
          </w:tcPr>
          <w:p w:rsidR="0072774D" w:rsidP="00835E63" w14:paraId="4AFDB557" w14:textId="1D75CA28">
            <w:pPr>
              <w:spacing w:line="256" w:lineRule="auto"/>
              <w:rPr>
                <w:rFonts w:ascii="Times New Roman" w:hAnsi="Times New Roman" w:cs="Times New Roman"/>
                <w:sz w:val="24"/>
              </w:rPr>
            </w:pPr>
            <w:r>
              <w:rPr>
                <w:rFonts w:ascii="Times New Roman" w:hAnsi="Times New Roman" w:cs="Times New Roman"/>
                <w:sz w:val="24"/>
              </w:rPr>
              <w:t>1</w:t>
            </w:r>
            <w:r w:rsidR="003E61FC">
              <w:rPr>
                <w:rFonts w:ascii="Times New Roman" w:hAnsi="Times New Roman" w:cs="Times New Roman"/>
                <w:sz w:val="24"/>
              </w:rPr>
              <w:t>,</w:t>
            </w:r>
            <w:r>
              <w:rPr>
                <w:rFonts w:ascii="Times New Roman" w:hAnsi="Times New Roman" w:cs="Times New Roman"/>
                <w:sz w:val="24"/>
              </w:rPr>
              <w:t>132 hours</w:t>
            </w:r>
          </w:p>
        </w:tc>
        <w:tc>
          <w:tcPr>
            <w:tcW w:w="1870" w:type="dxa"/>
          </w:tcPr>
          <w:p w:rsidR="0072774D" w:rsidP="00835E63" w14:paraId="0222B190" w14:textId="42F0D582">
            <w:pPr>
              <w:spacing w:line="256" w:lineRule="auto"/>
              <w:rPr>
                <w:rFonts w:ascii="Times New Roman" w:hAnsi="Times New Roman" w:cs="Times New Roman"/>
                <w:sz w:val="24"/>
              </w:rPr>
            </w:pPr>
            <w:r>
              <w:rPr>
                <w:rFonts w:ascii="Times New Roman" w:hAnsi="Times New Roman" w:cs="Times New Roman"/>
                <w:sz w:val="24"/>
              </w:rPr>
              <w:t>$34.25</w:t>
            </w:r>
          </w:p>
        </w:tc>
        <w:tc>
          <w:tcPr>
            <w:tcW w:w="1870" w:type="dxa"/>
          </w:tcPr>
          <w:p w:rsidR="0072774D" w:rsidP="00835E63" w14:paraId="08028475" w14:textId="17A2D3F6">
            <w:pPr>
              <w:spacing w:line="256" w:lineRule="auto"/>
              <w:rPr>
                <w:rFonts w:ascii="Times New Roman" w:hAnsi="Times New Roman" w:cs="Times New Roman"/>
                <w:sz w:val="24"/>
              </w:rPr>
            </w:pPr>
            <w:r>
              <w:rPr>
                <w:rFonts w:ascii="Times New Roman" w:hAnsi="Times New Roman" w:cs="Times New Roman"/>
                <w:sz w:val="24"/>
              </w:rPr>
              <w:t>$38,771</w:t>
            </w:r>
          </w:p>
        </w:tc>
      </w:tr>
      <w:tr w14:paraId="1D07FAEA" w14:textId="77777777" w:rsidTr="00236985">
        <w:tblPrEx>
          <w:tblW w:w="0" w:type="auto"/>
          <w:tblLook w:val="04A0"/>
        </w:tblPrEx>
        <w:tc>
          <w:tcPr>
            <w:tcW w:w="1870" w:type="dxa"/>
          </w:tcPr>
          <w:p w:rsidR="00D36B49" w:rsidP="00835E63" w14:paraId="45FE1325" w14:textId="3DC1D19A">
            <w:pPr>
              <w:spacing w:line="256" w:lineRule="auto"/>
              <w:rPr>
                <w:rFonts w:ascii="Times New Roman" w:hAnsi="Times New Roman" w:cs="Times New Roman"/>
                <w:sz w:val="24"/>
              </w:rPr>
            </w:pPr>
            <w:r>
              <w:rPr>
                <w:rFonts w:ascii="Times New Roman" w:hAnsi="Times New Roman" w:cs="Times New Roman"/>
                <w:sz w:val="24"/>
              </w:rPr>
              <w:t>Total</w:t>
            </w:r>
          </w:p>
        </w:tc>
        <w:tc>
          <w:tcPr>
            <w:tcW w:w="5610" w:type="dxa"/>
            <w:gridSpan w:val="3"/>
          </w:tcPr>
          <w:p w:rsidR="00D36B49" w:rsidP="00F469A3" w14:paraId="21F1BC40" w14:textId="77777777">
            <w:pPr>
              <w:spacing w:line="256" w:lineRule="auto"/>
              <w:jc w:val="right"/>
              <w:rPr>
                <w:rFonts w:ascii="Times New Roman" w:hAnsi="Times New Roman" w:cs="Times New Roman"/>
                <w:sz w:val="24"/>
              </w:rPr>
            </w:pPr>
          </w:p>
        </w:tc>
        <w:tc>
          <w:tcPr>
            <w:tcW w:w="1870" w:type="dxa"/>
          </w:tcPr>
          <w:p w:rsidR="00D36B49" w:rsidP="00F469A3" w14:paraId="679D6A68" w14:textId="10394733">
            <w:pPr>
              <w:spacing w:line="256" w:lineRule="auto"/>
              <w:jc w:val="right"/>
              <w:rPr>
                <w:rFonts w:ascii="Times New Roman" w:hAnsi="Times New Roman" w:cs="Times New Roman"/>
                <w:sz w:val="24"/>
              </w:rPr>
            </w:pPr>
            <w:r>
              <w:rPr>
                <w:rFonts w:ascii="Times New Roman" w:hAnsi="Times New Roman" w:cs="Times New Roman"/>
                <w:sz w:val="24"/>
              </w:rPr>
              <w:t>$451,890</w:t>
            </w:r>
          </w:p>
        </w:tc>
      </w:tr>
    </w:tbl>
    <w:p w:rsidR="0072774D" w:rsidP="00835E63" w14:paraId="2F7C656B" w14:textId="524B76DD">
      <w:pPr>
        <w:spacing w:after="0" w:line="256" w:lineRule="auto"/>
        <w:rPr>
          <w:rFonts w:ascii="Times New Roman" w:hAnsi="Times New Roman" w:cs="Times New Roman"/>
          <w:sz w:val="24"/>
        </w:rPr>
      </w:pPr>
    </w:p>
    <w:p w:rsidR="0072774D" w:rsidRPr="00835E63" w:rsidP="00835E63" w14:paraId="341BD095" w14:textId="77777777">
      <w:pPr>
        <w:spacing w:after="0" w:line="256" w:lineRule="auto"/>
        <w:rPr>
          <w:rFonts w:ascii="Times New Roman" w:hAnsi="Times New Roman" w:cs="Times New Roman"/>
          <w:sz w:val="24"/>
        </w:rPr>
      </w:pPr>
    </w:p>
    <w:p w:rsidR="0078419B" w:rsidRPr="00D31636" w:rsidP="00D31636" w14:paraId="4D429BF3" w14:textId="77777777">
      <w:pPr>
        <w:rPr>
          <w:rFonts w:ascii="Times New Roman" w:hAnsi="Times New Roman" w:cs="Times New Roman"/>
          <w:b/>
          <w:sz w:val="24"/>
          <w:szCs w:val="24"/>
        </w:rPr>
      </w:pPr>
      <w:r>
        <w:rPr>
          <w:rFonts w:ascii="Times New Roman" w:hAnsi="Times New Roman" w:cs="Times New Roman"/>
          <w:b/>
          <w:sz w:val="24"/>
          <w:szCs w:val="24"/>
        </w:rPr>
        <w:t xml:space="preserve">A.15. </w:t>
      </w:r>
      <w:r w:rsidRPr="00D31636">
        <w:rPr>
          <w:rFonts w:ascii="Times New Roman" w:hAnsi="Times New Roman" w:cs="Times New Roman"/>
          <w:b/>
          <w:sz w:val="24"/>
          <w:szCs w:val="24"/>
        </w:rPr>
        <w:t>Explanation for Program Changes or Adjustments</w:t>
      </w:r>
    </w:p>
    <w:p w:rsidR="00C821A3" w:rsidRPr="0099242D" w:rsidP="007F0BB2" w14:paraId="488A2365" w14:textId="3AE4F88B">
      <w:pPr>
        <w:rPr>
          <w:rFonts w:ascii="Times New Roman" w:hAnsi="Times New Roman" w:cs="Times New Roman"/>
          <w:sz w:val="24"/>
          <w:szCs w:val="24"/>
        </w:rPr>
      </w:pPr>
      <w:r>
        <w:rPr>
          <w:rFonts w:ascii="Times New Roman" w:hAnsi="Times New Roman" w:cs="Times New Roman"/>
          <w:sz w:val="24"/>
          <w:szCs w:val="24"/>
        </w:rPr>
        <w:t xml:space="preserve">This is a </w:t>
      </w:r>
      <w:r w:rsidR="00644B55">
        <w:rPr>
          <w:rFonts w:ascii="Times New Roman" w:hAnsi="Times New Roman" w:cs="Times New Roman"/>
          <w:sz w:val="24"/>
          <w:szCs w:val="24"/>
        </w:rPr>
        <w:t xml:space="preserve">reinstatement of a previously approved </w:t>
      </w:r>
      <w:r>
        <w:rPr>
          <w:rFonts w:ascii="Times New Roman" w:hAnsi="Times New Roman" w:cs="Times New Roman"/>
          <w:sz w:val="24"/>
          <w:szCs w:val="24"/>
        </w:rPr>
        <w:t>information collection.</w:t>
      </w:r>
    </w:p>
    <w:p w:rsidR="00C51363" w:rsidP="00D31636" w14:paraId="6EC336C5" w14:textId="77777777">
      <w:pPr>
        <w:rPr>
          <w:rFonts w:ascii="Times New Roman" w:hAnsi="Times New Roman" w:cs="Times New Roman"/>
          <w:b/>
          <w:sz w:val="24"/>
          <w:szCs w:val="24"/>
        </w:rPr>
      </w:pPr>
    </w:p>
    <w:p w:rsidR="00C51363" w:rsidP="00D31636" w14:paraId="297B2E85" w14:textId="77777777">
      <w:pPr>
        <w:rPr>
          <w:rFonts w:ascii="Times New Roman" w:hAnsi="Times New Roman" w:cs="Times New Roman"/>
          <w:b/>
          <w:sz w:val="24"/>
          <w:szCs w:val="24"/>
        </w:rPr>
      </w:pPr>
    </w:p>
    <w:p w:rsidR="00C51363" w:rsidP="00D31636" w14:paraId="253C5A07" w14:textId="77777777">
      <w:pPr>
        <w:rPr>
          <w:rFonts w:ascii="Times New Roman" w:hAnsi="Times New Roman" w:cs="Times New Roman"/>
          <w:b/>
          <w:sz w:val="24"/>
          <w:szCs w:val="24"/>
        </w:rPr>
      </w:pPr>
    </w:p>
    <w:p w:rsidR="0078419B" w:rsidRPr="00D31636" w:rsidP="00D31636" w14:paraId="767CBC5E" w14:textId="75B46966">
      <w:pPr>
        <w:rPr>
          <w:rFonts w:ascii="Times New Roman" w:hAnsi="Times New Roman" w:cs="Times New Roman"/>
          <w:b/>
          <w:sz w:val="24"/>
          <w:szCs w:val="24"/>
        </w:rPr>
      </w:pPr>
      <w:r>
        <w:rPr>
          <w:rFonts w:ascii="Times New Roman" w:hAnsi="Times New Roman" w:cs="Times New Roman"/>
          <w:b/>
          <w:sz w:val="24"/>
          <w:szCs w:val="24"/>
        </w:rPr>
        <w:t xml:space="preserve">A.16. </w:t>
      </w:r>
      <w:r w:rsidRPr="00D31636">
        <w:rPr>
          <w:rFonts w:ascii="Times New Roman" w:hAnsi="Times New Roman" w:cs="Times New Roman"/>
          <w:b/>
          <w:sz w:val="24"/>
          <w:szCs w:val="24"/>
        </w:rPr>
        <w:t>Plans for Tabulation and Publication and Project Time Schedule</w:t>
      </w:r>
    </w:p>
    <w:p w:rsidR="0078419B" w:rsidP="0078419B" w14:paraId="5D35B9C0" w14:textId="277E6572">
      <w:pPr>
        <w:pStyle w:val="ListParagraph"/>
        <w:ind w:left="0"/>
        <w:rPr>
          <w:rFonts w:ascii="Times New Roman" w:hAnsi="Times New Roman" w:cs="Times New Roman"/>
          <w:sz w:val="24"/>
          <w:szCs w:val="24"/>
        </w:rPr>
      </w:pPr>
      <w:r w:rsidRPr="008F7F1C">
        <w:rPr>
          <w:rFonts w:ascii="Times New Roman" w:hAnsi="Times New Roman" w:cs="Times New Roman"/>
          <w:sz w:val="24"/>
          <w:szCs w:val="24"/>
        </w:rPr>
        <w:t>Table 16.</w:t>
      </w:r>
      <w:r w:rsidR="008F7F1C">
        <w:rPr>
          <w:rFonts w:ascii="Times New Roman" w:hAnsi="Times New Roman" w:cs="Times New Roman"/>
          <w:sz w:val="24"/>
          <w:szCs w:val="24"/>
        </w:rPr>
        <w:t>A</w:t>
      </w:r>
      <w:r w:rsidRPr="008F7F1C">
        <w:rPr>
          <w:rFonts w:ascii="Times New Roman" w:hAnsi="Times New Roman" w:cs="Times New Roman"/>
          <w:sz w:val="24"/>
          <w:szCs w:val="24"/>
        </w:rPr>
        <w:t>.</w:t>
      </w:r>
      <w:r w:rsidR="008F7F1C">
        <w:rPr>
          <w:rFonts w:ascii="Times New Roman" w:hAnsi="Times New Roman" w:cs="Times New Roman"/>
          <w:sz w:val="24"/>
          <w:szCs w:val="24"/>
        </w:rPr>
        <w:t>1.</w:t>
      </w:r>
      <w:r w:rsidRPr="008F7F1C">
        <w:rPr>
          <w:rFonts w:ascii="Times New Roman" w:hAnsi="Times New Roman" w:cs="Times New Roman"/>
          <w:sz w:val="24"/>
          <w:szCs w:val="24"/>
        </w:rPr>
        <w:t xml:space="preserve"> </w:t>
      </w:r>
      <w:r w:rsidRPr="008F7F1C">
        <w:rPr>
          <w:rFonts w:ascii="Times New Roman" w:hAnsi="Times New Roman" w:cs="Times New Roman"/>
          <w:sz w:val="24"/>
          <w:szCs w:val="24"/>
        </w:rPr>
        <w:t>Project Time Schedule</w:t>
      </w:r>
    </w:p>
    <w:tbl>
      <w:tblPr>
        <w:tblStyle w:val="TableGrid"/>
        <w:tblW w:w="0" w:type="auto"/>
        <w:tblLook w:val="04A0"/>
      </w:tblPr>
      <w:tblGrid>
        <w:gridCol w:w="4675"/>
        <w:gridCol w:w="4675"/>
      </w:tblGrid>
      <w:tr w14:paraId="4723C714" w14:textId="77777777" w:rsidTr="00DA4B02">
        <w:tblPrEx>
          <w:tblW w:w="0" w:type="auto"/>
          <w:tblLook w:val="04A0"/>
        </w:tblPrEx>
        <w:tc>
          <w:tcPr>
            <w:tcW w:w="4675" w:type="dxa"/>
          </w:tcPr>
          <w:p w:rsidR="00DA4B02" w:rsidRPr="00DA4B02" w:rsidP="00DA4B02" w14:paraId="013733A5" w14:textId="0C8766B7">
            <w:pPr>
              <w:pStyle w:val="ListParagraph"/>
              <w:ind w:left="0"/>
              <w:jc w:val="center"/>
              <w:rPr>
                <w:rFonts w:ascii="Times New Roman" w:hAnsi="Times New Roman" w:cs="Times New Roman"/>
                <w:b/>
                <w:sz w:val="24"/>
                <w:szCs w:val="24"/>
              </w:rPr>
            </w:pPr>
            <w:r w:rsidRPr="00DA4B02">
              <w:rPr>
                <w:rFonts w:ascii="Times New Roman" w:hAnsi="Times New Roman" w:cs="Times New Roman"/>
                <w:b/>
                <w:sz w:val="24"/>
                <w:szCs w:val="24"/>
              </w:rPr>
              <w:t>Activity</w:t>
            </w:r>
          </w:p>
        </w:tc>
        <w:tc>
          <w:tcPr>
            <w:tcW w:w="4675" w:type="dxa"/>
          </w:tcPr>
          <w:p w:rsidR="00DA4B02" w:rsidRPr="00DA4B02" w:rsidP="00DA4B02" w14:paraId="3DC4EF79" w14:textId="1995A270">
            <w:pPr>
              <w:pStyle w:val="ListParagraph"/>
              <w:ind w:left="0"/>
              <w:jc w:val="center"/>
              <w:rPr>
                <w:rFonts w:ascii="Times New Roman" w:hAnsi="Times New Roman" w:cs="Times New Roman"/>
                <w:b/>
                <w:sz w:val="24"/>
                <w:szCs w:val="24"/>
              </w:rPr>
            </w:pPr>
            <w:r w:rsidRPr="00DA4B02">
              <w:rPr>
                <w:rFonts w:ascii="Times New Roman" w:hAnsi="Times New Roman" w:cs="Times New Roman"/>
                <w:b/>
                <w:sz w:val="24"/>
                <w:szCs w:val="24"/>
              </w:rPr>
              <w:t>Schedule</w:t>
            </w:r>
          </w:p>
        </w:tc>
      </w:tr>
      <w:tr w14:paraId="28B2E57F" w14:textId="77777777" w:rsidTr="00DA4B02">
        <w:tblPrEx>
          <w:tblW w:w="0" w:type="auto"/>
          <w:tblLook w:val="04A0"/>
        </w:tblPrEx>
        <w:tc>
          <w:tcPr>
            <w:tcW w:w="4675" w:type="dxa"/>
          </w:tcPr>
          <w:p w:rsidR="008B1E25" w:rsidP="0078419B" w14:paraId="48384AD8" w14:textId="707BBBCD">
            <w:pPr>
              <w:pStyle w:val="ListParagraph"/>
              <w:ind w:left="0"/>
              <w:rPr>
                <w:rFonts w:ascii="Times New Roman" w:hAnsi="Times New Roman" w:cs="Times New Roman"/>
                <w:sz w:val="24"/>
                <w:szCs w:val="24"/>
              </w:rPr>
            </w:pPr>
            <w:r>
              <w:rPr>
                <w:rFonts w:ascii="Times New Roman" w:hAnsi="Times New Roman" w:cs="Times New Roman"/>
                <w:sz w:val="24"/>
                <w:szCs w:val="24"/>
              </w:rPr>
              <w:t>Reporting</w:t>
            </w:r>
          </w:p>
        </w:tc>
        <w:tc>
          <w:tcPr>
            <w:tcW w:w="4675" w:type="dxa"/>
          </w:tcPr>
          <w:p w:rsidR="008B1E25" w:rsidP="0078419B" w14:paraId="329C13DD" w14:textId="09D00EFF">
            <w:pPr>
              <w:pStyle w:val="ListParagraph"/>
              <w:ind w:left="0"/>
              <w:rPr>
                <w:rFonts w:ascii="Times New Roman" w:hAnsi="Times New Roman" w:cs="Times New Roman"/>
                <w:sz w:val="24"/>
                <w:szCs w:val="24"/>
              </w:rPr>
            </w:pPr>
            <w:r>
              <w:rPr>
                <w:rFonts w:ascii="Times New Roman" w:hAnsi="Times New Roman" w:cs="Times New Roman"/>
                <w:sz w:val="24"/>
                <w:szCs w:val="24"/>
              </w:rPr>
              <w:t>2024-2027</w:t>
            </w:r>
          </w:p>
        </w:tc>
      </w:tr>
    </w:tbl>
    <w:p w:rsidR="00C41C19" w:rsidP="0078419B" w14:paraId="4A2542CD" w14:textId="0679D51B">
      <w:pPr>
        <w:pStyle w:val="ListParagraph"/>
        <w:ind w:left="0"/>
        <w:rPr>
          <w:rFonts w:ascii="Times New Roman" w:hAnsi="Times New Roman" w:cs="Times New Roman"/>
          <w:sz w:val="24"/>
          <w:szCs w:val="24"/>
        </w:rPr>
      </w:pPr>
    </w:p>
    <w:p w:rsidR="00D85151" w:rsidRPr="0078419B" w:rsidP="0078419B" w14:paraId="0AF11D97" w14:textId="5AE7CC3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 national ORR report will be developed based on the data collected through the system. This will present aggregated national data and specific recipient data. </w:t>
      </w:r>
    </w:p>
    <w:p w:rsidR="0078419B" w:rsidRPr="00D31636" w:rsidP="00D31636" w14:paraId="7123F52E" w14:textId="77777777">
      <w:pPr>
        <w:rPr>
          <w:rFonts w:ascii="Times New Roman" w:hAnsi="Times New Roman" w:cs="Times New Roman"/>
          <w:b/>
          <w:sz w:val="24"/>
          <w:szCs w:val="24"/>
        </w:rPr>
      </w:pPr>
      <w:r>
        <w:rPr>
          <w:rFonts w:ascii="Times New Roman" w:hAnsi="Times New Roman" w:cs="Times New Roman"/>
          <w:b/>
          <w:sz w:val="24"/>
          <w:szCs w:val="24"/>
        </w:rPr>
        <w:t xml:space="preserve">A.17. </w:t>
      </w:r>
      <w:r w:rsidRPr="00D31636">
        <w:rPr>
          <w:rFonts w:ascii="Times New Roman" w:hAnsi="Times New Roman" w:cs="Times New Roman"/>
          <w:b/>
          <w:sz w:val="24"/>
          <w:szCs w:val="24"/>
        </w:rPr>
        <w:t xml:space="preserve">Reason(s) Display of OMB Expiration Date is Inappropriate </w:t>
      </w:r>
    </w:p>
    <w:p w:rsidR="00D601A8" w:rsidRPr="0099242D" w:rsidP="007F0BB2" w14:paraId="61EB173C" w14:textId="099239D1">
      <w:pPr>
        <w:rPr>
          <w:rFonts w:ascii="Times New Roman" w:hAnsi="Times New Roman" w:cs="Times New Roman"/>
          <w:sz w:val="24"/>
          <w:szCs w:val="24"/>
        </w:rPr>
      </w:pPr>
      <w:r>
        <w:rPr>
          <w:rFonts w:ascii="Times New Roman" w:hAnsi="Times New Roman" w:cs="Times New Roman"/>
          <w:sz w:val="24"/>
          <w:szCs w:val="24"/>
        </w:rPr>
        <w:t>The display of OMB expiration date is appropriate.</w:t>
      </w:r>
    </w:p>
    <w:p w:rsidR="0078419B" w:rsidRPr="00D31636" w:rsidP="00D31636" w14:paraId="711A829F" w14:textId="77777777">
      <w:pPr>
        <w:rPr>
          <w:rFonts w:ascii="Times New Roman" w:hAnsi="Times New Roman" w:cs="Times New Roman"/>
          <w:b/>
          <w:sz w:val="24"/>
          <w:szCs w:val="24"/>
        </w:rPr>
      </w:pPr>
      <w:r>
        <w:rPr>
          <w:rFonts w:ascii="Times New Roman" w:hAnsi="Times New Roman" w:cs="Times New Roman"/>
          <w:b/>
          <w:sz w:val="24"/>
          <w:szCs w:val="24"/>
        </w:rPr>
        <w:t xml:space="preserve">A.18. </w:t>
      </w:r>
      <w:r w:rsidRPr="00D31636">
        <w:rPr>
          <w:rFonts w:ascii="Times New Roman" w:hAnsi="Times New Roman" w:cs="Times New Roman"/>
          <w:b/>
          <w:sz w:val="24"/>
          <w:szCs w:val="24"/>
        </w:rPr>
        <w:t xml:space="preserve">Exceptions to Certification for Paperwork Reduction Act Submissions </w:t>
      </w:r>
    </w:p>
    <w:p w:rsidR="0078419B" w:rsidP="00DB7DAB" w14:paraId="2111FE62" w14:textId="7777777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There are no exceptions to the certification. </w:t>
      </w:r>
    </w:p>
    <w:p w:rsidR="00F20BCB" w:rsidRPr="00DB7DAB" w:rsidP="00DB7DAB" w14:paraId="377C3840" w14:textId="77777777">
      <w:pPr>
        <w:pStyle w:val="ListParagraph"/>
        <w:ind w:left="0"/>
        <w:rPr>
          <w:rFonts w:ascii="Times New Roman" w:hAnsi="Times New Roman" w:cs="Times New Roman"/>
          <w:sz w:val="24"/>
          <w:szCs w:val="24"/>
        </w:rPr>
      </w:pPr>
    </w:p>
    <w:p w:rsidR="0078419B" w:rsidP="0078419B" w14:paraId="4666B56C" w14:textId="66ABC2D4">
      <w:pPr>
        <w:rPr>
          <w:rFonts w:ascii="Times New Roman" w:hAnsi="Times New Roman" w:cs="Times New Roman"/>
          <w:b/>
          <w:sz w:val="24"/>
          <w:szCs w:val="24"/>
        </w:rPr>
      </w:pPr>
      <w:r>
        <w:rPr>
          <w:rFonts w:ascii="Times New Roman" w:hAnsi="Times New Roman" w:cs="Times New Roman"/>
          <w:b/>
          <w:sz w:val="24"/>
          <w:szCs w:val="24"/>
        </w:rPr>
        <w:t>LIST OF ATTACHMENTS</w:t>
      </w:r>
      <w:r w:rsidR="00D925E6">
        <w:rPr>
          <w:rFonts w:ascii="Times New Roman" w:hAnsi="Times New Roman" w:cs="Times New Roman"/>
          <w:b/>
          <w:sz w:val="24"/>
          <w:szCs w:val="24"/>
        </w:rPr>
        <w:t xml:space="preserve"> AND APPENDICES</w:t>
      </w:r>
    </w:p>
    <w:p w:rsidR="0078419B" w:rsidP="0078419B" w14:paraId="6D4AB923" w14:textId="5368AAF5">
      <w:pPr>
        <w:rPr>
          <w:rFonts w:ascii="Times New Roman" w:hAnsi="Times New Roman" w:cs="Times New Roman"/>
          <w:sz w:val="24"/>
          <w:szCs w:val="24"/>
        </w:rPr>
      </w:pPr>
      <w:r>
        <w:rPr>
          <w:rFonts w:ascii="Times New Roman" w:hAnsi="Times New Roman" w:cs="Times New Roman"/>
          <w:sz w:val="24"/>
          <w:szCs w:val="24"/>
        </w:rPr>
        <w:t xml:space="preserve">Attachment 1 – </w:t>
      </w:r>
      <w:r w:rsidR="00AC323E">
        <w:rPr>
          <w:rFonts w:ascii="Times New Roman" w:hAnsi="Times New Roman" w:cs="Times New Roman"/>
          <w:sz w:val="24"/>
          <w:szCs w:val="24"/>
        </w:rPr>
        <w:t>Authorizing Legislation</w:t>
      </w:r>
    </w:p>
    <w:p w:rsidR="0074644D" w:rsidP="0078419B" w14:paraId="415D180E" w14:textId="1573B041">
      <w:pPr>
        <w:rPr>
          <w:rFonts w:ascii="Times New Roman" w:hAnsi="Times New Roman" w:cs="Times New Roman"/>
          <w:sz w:val="24"/>
          <w:szCs w:val="24"/>
        </w:rPr>
      </w:pPr>
      <w:r>
        <w:rPr>
          <w:rFonts w:ascii="Times New Roman" w:hAnsi="Times New Roman" w:cs="Times New Roman"/>
          <w:sz w:val="24"/>
          <w:szCs w:val="24"/>
        </w:rPr>
        <w:t>Attachment 2 – 60-day F</w:t>
      </w:r>
      <w:r w:rsidR="00AC323E">
        <w:rPr>
          <w:rFonts w:ascii="Times New Roman" w:hAnsi="Times New Roman" w:cs="Times New Roman"/>
          <w:sz w:val="24"/>
          <w:szCs w:val="24"/>
        </w:rPr>
        <w:t xml:space="preserve">ederal Register Notice </w:t>
      </w:r>
    </w:p>
    <w:p w:rsidR="00F53E87" w:rsidP="000804E9" w14:paraId="12C508ED" w14:textId="5F09E7A7">
      <w:pPr>
        <w:rPr>
          <w:rFonts w:ascii="Times New Roman" w:hAnsi="Times New Roman" w:cs="Times New Roman"/>
          <w:sz w:val="24"/>
          <w:szCs w:val="24"/>
        </w:rPr>
      </w:pPr>
      <w:r>
        <w:rPr>
          <w:rFonts w:ascii="Times New Roman" w:hAnsi="Times New Roman" w:cs="Times New Roman"/>
          <w:sz w:val="24"/>
          <w:szCs w:val="24"/>
        </w:rPr>
        <w:t xml:space="preserve">Attachment 3 – </w:t>
      </w:r>
      <w:r w:rsidR="000804E9">
        <w:rPr>
          <w:rFonts w:ascii="Times New Roman" w:hAnsi="Times New Roman" w:cs="Times New Roman"/>
          <w:sz w:val="24"/>
          <w:szCs w:val="24"/>
        </w:rPr>
        <w:t xml:space="preserve">Code of Federal Regulations </w:t>
      </w:r>
      <w:r w:rsidRPr="000804E9" w:rsidR="000804E9">
        <w:rPr>
          <w:rFonts w:ascii="Times New Roman" w:hAnsi="Times New Roman" w:cs="Times New Roman"/>
          <w:sz w:val="24"/>
          <w:szCs w:val="24"/>
        </w:rPr>
        <w:t>Title 13</w:t>
      </w:r>
      <w:r w:rsidR="000804E9">
        <w:rPr>
          <w:rFonts w:ascii="Times New Roman" w:hAnsi="Times New Roman" w:cs="Times New Roman"/>
          <w:sz w:val="24"/>
          <w:szCs w:val="24"/>
        </w:rPr>
        <w:t xml:space="preserve"> </w:t>
      </w:r>
      <w:r w:rsidRPr="000804E9" w:rsidR="000804E9">
        <w:rPr>
          <w:rFonts w:ascii="Times New Roman" w:hAnsi="Times New Roman" w:cs="Times New Roman"/>
          <w:sz w:val="24"/>
          <w:szCs w:val="24"/>
        </w:rPr>
        <w:t>Business Credit and Assistance</w:t>
      </w:r>
    </w:p>
    <w:p w:rsidR="00663579" w:rsidP="0078419B" w14:paraId="7103922C" w14:textId="21744EBC">
      <w:pPr>
        <w:rPr>
          <w:rFonts w:ascii="Times New Roman" w:hAnsi="Times New Roman" w:cs="Times New Roman"/>
          <w:sz w:val="24"/>
          <w:szCs w:val="24"/>
        </w:rPr>
      </w:pPr>
      <w:r>
        <w:rPr>
          <w:rFonts w:ascii="Times New Roman" w:hAnsi="Times New Roman" w:cs="Times New Roman"/>
          <w:sz w:val="24"/>
          <w:szCs w:val="24"/>
        </w:rPr>
        <w:t>Attachment 4 –</w:t>
      </w:r>
      <w:r w:rsidR="005B72D9">
        <w:rPr>
          <w:rFonts w:ascii="Times New Roman" w:hAnsi="Times New Roman" w:cs="Times New Roman"/>
          <w:sz w:val="24"/>
          <w:szCs w:val="24"/>
        </w:rPr>
        <w:t xml:space="preserve"> </w:t>
      </w:r>
      <w:r>
        <w:rPr>
          <w:rFonts w:ascii="Times New Roman" w:hAnsi="Times New Roman" w:cs="Times New Roman"/>
          <w:sz w:val="24"/>
          <w:szCs w:val="24"/>
        </w:rPr>
        <w:t>PHEP Cooperative Agreement Funding Opportunity Announcement (CDC-RFA-TP19-1901)</w:t>
      </w:r>
    </w:p>
    <w:p w:rsidR="00CF14EC" w:rsidRPr="0074644D" w:rsidP="00CF14EC" w14:paraId="3AD7A4A5" w14:textId="6A12CA16">
      <w:pPr>
        <w:rPr>
          <w:rFonts w:ascii="Times New Roman" w:hAnsi="Times New Roman" w:cs="Times New Roman"/>
          <w:sz w:val="24"/>
          <w:szCs w:val="24"/>
        </w:rPr>
      </w:pPr>
      <w:r>
        <w:rPr>
          <w:rFonts w:ascii="Times New Roman" w:hAnsi="Times New Roman" w:cs="Times New Roman"/>
          <w:sz w:val="24"/>
          <w:szCs w:val="24"/>
        </w:rPr>
        <w:t xml:space="preserve">Attachment 5 – </w:t>
      </w:r>
      <w:r w:rsidR="00D925E6">
        <w:rPr>
          <w:rFonts w:ascii="Times New Roman" w:hAnsi="Times New Roman" w:cs="Times New Roman"/>
          <w:sz w:val="24"/>
          <w:szCs w:val="24"/>
        </w:rPr>
        <w:t xml:space="preserve">Non-Research Determination </w:t>
      </w:r>
    </w:p>
    <w:p w:rsidR="002474EE" w:rsidP="0078419B" w14:paraId="06EFBB86" w14:textId="5091D557">
      <w:pPr>
        <w:rPr>
          <w:rFonts w:ascii="Times New Roman" w:hAnsi="Times New Roman" w:cs="Times New Roman"/>
          <w:sz w:val="24"/>
          <w:szCs w:val="24"/>
        </w:rPr>
      </w:pPr>
      <w:r>
        <w:rPr>
          <w:rFonts w:ascii="Times New Roman" w:hAnsi="Times New Roman" w:cs="Times New Roman"/>
          <w:sz w:val="24"/>
          <w:szCs w:val="24"/>
        </w:rPr>
        <w:t xml:space="preserve">Attachment </w:t>
      </w:r>
      <w:r>
        <w:rPr>
          <w:rFonts w:ascii="Times New Roman" w:hAnsi="Times New Roman" w:cs="Times New Roman"/>
          <w:sz w:val="24"/>
          <w:szCs w:val="24"/>
        </w:rPr>
        <w:t xml:space="preserve">6 - </w:t>
      </w:r>
      <w:r w:rsidRPr="002474EE">
        <w:rPr>
          <w:rFonts w:ascii="Times New Roman" w:hAnsi="Times New Roman" w:cs="Times New Roman"/>
          <w:sz w:val="24"/>
          <w:szCs w:val="24"/>
        </w:rPr>
        <w:t>Jurisdictional Structure Sheet</w:t>
      </w:r>
    </w:p>
    <w:p w:rsidR="002474EE" w:rsidP="0078419B" w14:paraId="1B2C2DEB" w14:textId="7ED9A4C4">
      <w:pPr>
        <w:rPr>
          <w:rFonts w:ascii="Times New Roman" w:hAnsi="Times New Roman" w:cs="Times New Roman"/>
          <w:sz w:val="24"/>
          <w:szCs w:val="24"/>
        </w:rPr>
      </w:pPr>
      <w:r>
        <w:rPr>
          <w:rFonts w:ascii="Times New Roman" w:hAnsi="Times New Roman" w:cs="Times New Roman"/>
          <w:sz w:val="24"/>
          <w:szCs w:val="24"/>
        </w:rPr>
        <w:t xml:space="preserve">Attachment 7 – </w:t>
      </w:r>
      <w:r w:rsidRPr="002474EE">
        <w:rPr>
          <w:rFonts w:ascii="Times New Roman" w:hAnsi="Times New Roman" w:cs="Times New Roman"/>
          <w:sz w:val="24"/>
          <w:szCs w:val="24"/>
        </w:rPr>
        <w:t>Critical Contact Sheet</w:t>
      </w:r>
    </w:p>
    <w:p w:rsidR="002474EE" w:rsidP="0078419B" w14:paraId="0DC95952" w14:textId="5F7DFC62">
      <w:pPr>
        <w:rPr>
          <w:rFonts w:ascii="Times New Roman" w:hAnsi="Times New Roman" w:cs="Times New Roman"/>
          <w:sz w:val="24"/>
          <w:szCs w:val="24"/>
        </w:rPr>
      </w:pPr>
      <w:r>
        <w:rPr>
          <w:rFonts w:ascii="Times New Roman" w:hAnsi="Times New Roman" w:cs="Times New Roman"/>
          <w:sz w:val="24"/>
          <w:szCs w:val="24"/>
        </w:rPr>
        <w:t xml:space="preserve">Attachment 8 – </w:t>
      </w:r>
      <w:r w:rsidRPr="002474EE">
        <w:rPr>
          <w:rFonts w:ascii="Times New Roman" w:hAnsi="Times New Roman" w:cs="Times New Roman"/>
          <w:sz w:val="24"/>
          <w:szCs w:val="24"/>
        </w:rPr>
        <w:t>Jurisdictional Data Sheet</w:t>
      </w:r>
    </w:p>
    <w:p w:rsidR="002474EE" w:rsidP="0078419B" w14:paraId="3434E731" w14:textId="4DF0FDCE">
      <w:pPr>
        <w:rPr>
          <w:rFonts w:ascii="Times New Roman" w:hAnsi="Times New Roman" w:cs="Times New Roman"/>
          <w:sz w:val="24"/>
          <w:szCs w:val="24"/>
        </w:rPr>
      </w:pPr>
      <w:r>
        <w:rPr>
          <w:rFonts w:ascii="Times New Roman" w:hAnsi="Times New Roman" w:cs="Times New Roman"/>
          <w:sz w:val="24"/>
          <w:szCs w:val="24"/>
        </w:rPr>
        <w:t xml:space="preserve">Attachment 9 - </w:t>
      </w:r>
      <w:r w:rsidRPr="002474EE">
        <w:rPr>
          <w:rFonts w:ascii="Times New Roman" w:hAnsi="Times New Roman" w:cs="Times New Roman"/>
          <w:sz w:val="24"/>
          <w:szCs w:val="24"/>
        </w:rPr>
        <w:t>Partner Planning Sheet</w:t>
      </w:r>
    </w:p>
    <w:p w:rsidR="002474EE" w:rsidP="0078419B" w14:paraId="3145B994" w14:textId="1E66B872">
      <w:pPr>
        <w:rPr>
          <w:rFonts w:ascii="Times New Roman" w:hAnsi="Times New Roman" w:cs="Times New Roman"/>
          <w:sz w:val="24"/>
          <w:szCs w:val="24"/>
        </w:rPr>
      </w:pPr>
      <w:r>
        <w:rPr>
          <w:rFonts w:ascii="Times New Roman" w:hAnsi="Times New Roman" w:cs="Times New Roman"/>
          <w:sz w:val="24"/>
          <w:szCs w:val="24"/>
        </w:rPr>
        <w:t>Attachment 10- Workforce Development and Training</w:t>
      </w:r>
    </w:p>
    <w:p w:rsidR="002474EE" w:rsidP="0078419B" w14:paraId="65BEA037" w14:textId="4FB34515">
      <w:pPr>
        <w:rPr>
          <w:rFonts w:ascii="Times New Roman" w:hAnsi="Times New Roman" w:cs="Times New Roman"/>
          <w:sz w:val="24"/>
          <w:szCs w:val="24"/>
        </w:rPr>
      </w:pPr>
      <w:r>
        <w:rPr>
          <w:rFonts w:ascii="Times New Roman" w:hAnsi="Times New Roman" w:cs="Times New Roman"/>
          <w:sz w:val="24"/>
          <w:szCs w:val="24"/>
        </w:rPr>
        <w:t xml:space="preserve">Attachment 11 – </w:t>
      </w:r>
      <w:r w:rsidR="00CF4698">
        <w:rPr>
          <w:rFonts w:ascii="Times New Roman" w:hAnsi="Times New Roman" w:cs="Times New Roman"/>
          <w:sz w:val="24"/>
          <w:szCs w:val="24"/>
        </w:rPr>
        <w:t>Capability 1</w:t>
      </w:r>
    </w:p>
    <w:p w:rsidR="002474EE" w:rsidP="002474EE" w14:paraId="2C87AB79" w14:textId="6A655279">
      <w:pPr>
        <w:rPr>
          <w:rFonts w:ascii="Times New Roman" w:hAnsi="Times New Roman" w:cs="Times New Roman"/>
          <w:sz w:val="24"/>
          <w:szCs w:val="24"/>
        </w:rPr>
      </w:pPr>
      <w:r>
        <w:rPr>
          <w:rFonts w:ascii="Times New Roman" w:hAnsi="Times New Roman" w:cs="Times New Roman"/>
          <w:sz w:val="24"/>
          <w:szCs w:val="24"/>
        </w:rPr>
        <w:t xml:space="preserve">Attachment 12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2</w:t>
      </w:r>
    </w:p>
    <w:p w:rsidR="002474EE" w:rsidP="002474EE" w14:paraId="6BCA140D" w14:textId="15E7F7DE">
      <w:pPr>
        <w:rPr>
          <w:rFonts w:ascii="Times New Roman" w:hAnsi="Times New Roman" w:cs="Times New Roman"/>
          <w:sz w:val="24"/>
          <w:szCs w:val="24"/>
        </w:rPr>
      </w:pPr>
      <w:r>
        <w:rPr>
          <w:rFonts w:ascii="Times New Roman" w:hAnsi="Times New Roman" w:cs="Times New Roman"/>
          <w:sz w:val="24"/>
          <w:szCs w:val="24"/>
        </w:rPr>
        <w:t xml:space="preserve">Attachment 13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3</w:t>
      </w:r>
    </w:p>
    <w:p w:rsidR="002474EE" w:rsidP="002474EE" w14:paraId="4270216C" w14:textId="430B57F2">
      <w:pPr>
        <w:rPr>
          <w:rFonts w:ascii="Times New Roman" w:hAnsi="Times New Roman" w:cs="Times New Roman"/>
          <w:sz w:val="24"/>
          <w:szCs w:val="24"/>
        </w:rPr>
      </w:pPr>
      <w:r>
        <w:rPr>
          <w:rFonts w:ascii="Times New Roman" w:hAnsi="Times New Roman" w:cs="Times New Roman"/>
          <w:sz w:val="24"/>
          <w:szCs w:val="24"/>
        </w:rPr>
        <w:t xml:space="preserve">Attachment 14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4</w:t>
      </w:r>
    </w:p>
    <w:p w:rsidR="002474EE" w:rsidP="002474EE" w14:paraId="62BEF8E2" w14:textId="3B2D03CB">
      <w:pPr>
        <w:rPr>
          <w:rFonts w:ascii="Times New Roman" w:hAnsi="Times New Roman" w:cs="Times New Roman"/>
          <w:sz w:val="24"/>
          <w:szCs w:val="24"/>
        </w:rPr>
      </w:pPr>
      <w:r>
        <w:rPr>
          <w:rFonts w:ascii="Times New Roman" w:hAnsi="Times New Roman" w:cs="Times New Roman"/>
          <w:sz w:val="24"/>
          <w:szCs w:val="24"/>
        </w:rPr>
        <w:t xml:space="preserve">Attachment 15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5</w:t>
      </w:r>
    </w:p>
    <w:p w:rsidR="002474EE" w:rsidP="002474EE" w14:paraId="535EEF56" w14:textId="33F9B94D">
      <w:pPr>
        <w:rPr>
          <w:rFonts w:ascii="Times New Roman" w:hAnsi="Times New Roman" w:cs="Times New Roman"/>
          <w:sz w:val="24"/>
          <w:szCs w:val="24"/>
        </w:rPr>
      </w:pPr>
      <w:r>
        <w:rPr>
          <w:rFonts w:ascii="Times New Roman" w:hAnsi="Times New Roman" w:cs="Times New Roman"/>
          <w:sz w:val="24"/>
          <w:szCs w:val="24"/>
        </w:rPr>
        <w:t xml:space="preserve">Attachment 16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 xml:space="preserve">Capability 6 </w:t>
      </w:r>
    </w:p>
    <w:p w:rsidR="002474EE" w:rsidP="002474EE" w14:paraId="7C108C08" w14:textId="17A66AA2">
      <w:pPr>
        <w:rPr>
          <w:rFonts w:ascii="Times New Roman" w:hAnsi="Times New Roman" w:cs="Times New Roman"/>
          <w:sz w:val="24"/>
          <w:szCs w:val="24"/>
        </w:rPr>
      </w:pPr>
      <w:r>
        <w:rPr>
          <w:rFonts w:ascii="Times New Roman" w:hAnsi="Times New Roman" w:cs="Times New Roman"/>
          <w:sz w:val="24"/>
          <w:szCs w:val="24"/>
        </w:rPr>
        <w:t xml:space="preserve">Attachment 17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7</w:t>
      </w:r>
    </w:p>
    <w:p w:rsidR="002474EE" w:rsidP="002474EE" w14:paraId="21D90E49" w14:textId="4574949D">
      <w:pPr>
        <w:rPr>
          <w:rFonts w:ascii="Times New Roman" w:hAnsi="Times New Roman" w:cs="Times New Roman"/>
          <w:sz w:val="24"/>
          <w:szCs w:val="24"/>
        </w:rPr>
      </w:pPr>
      <w:r>
        <w:rPr>
          <w:rFonts w:ascii="Times New Roman" w:hAnsi="Times New Roman" w:cs="Times New Roman"/>
          <w:sz w:val="24"/>
          <w:szCs w:val="24"/>
        </w:rPr>
        <w:t xml:space="preserve">Attachment 18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8</w:t>
      </w:r>
    </w:p>
    <w:p w:rsidR="002474EE" w:rsidP="002474EE" w14:paraId="1F05D845" w14:textId="53957CEA">
      <w:pPr>
        <w:rPr>
          <w:rFonts w:ascii="Times New Roman" w:hAnsi="Times New Roman" w:cs="Times New Roman"/>
          <w:sz w:val="24"/>
          <w:szCs w:val="24"/>
        </w:rPr>
      </w:pPr>
      <w:r>
        <w:rPr>
          <w:rFonts w:ascii="Times New Roman" w:hAnsi="Times New Roman" w:cs="Times New Roman"/>
          <w:sz w:val="24"/>
          <w:szCs w:val="24"/>
        </w:rPr>
        <w:t xml:space="preserve">Attachment 19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9</w:t>
      </w:r>
    </w:p>
    <w:p w:rsidR="002474EE" w:rsidP="002474EE" w14:paraId="3E468910" w14:textId="31F75E6F">
      <w:pPr>
        <w:rPr>
          <w:rFonts w:ascii="Times New Roman" w:hAnsi="Times New Roman" w:cs="Times New Roman"/>
          <w:sz w:val="24"/>
          <w:szCs w:val="24"/>
        </w:rPr>
      </w:pPr>
      <w:r>
        <w:rPr>
          <w:rFonts w:ascii="Times New Roman" w:hAnsi="Times New Roman" w:cs="Times New Roman"/>
          <w:sz w:val="24"/>
          <w:szCs w:val="24"/>
        </w:rPr>
        <w:t xml:space="preserve">Attachment 20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10</w:t>
      </w:r>
    </w:p>
    <w:p w:rsidR="002474EE" w:rsidP="002474EE" w14:paraId="3304F4EB" w14:textId="434C7BD4">
      <w:pPr>
        <w:rPr>
          <w:rFonts w:ascii="Times New Roman" w:hAnsi="Times New Roman" w:cs="Times New Roman"/>
          <w:sz w:val="24"/>
          <w:szCs w:val="24"/>
        </w:rPr>
      </w:pPr>
      <w:r>
        <w:rPr>
          <w:rFonts w:ascii="Times New Roman" w:hAnsi="Times New Roman" w:cs="Times New Roman"/>
          <w:sz w:val="24"/>
          <w:szCs w:val="24"/>
        </w:rPr>
        <w:t xml:space="preserve">Attachment 21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11</w:t>
      </w:r>
    </w:p>
    <w:p w:rsidR="00CF4698" w:rsidP="002474EE" w14:paraId="599830D0" w14:textId="71F3D650">
      <w:pPr>
        <w:rPr>
          <w:rFonts w:ascii="Times New Roman" w:hAnsi="Times New Roman" w:cs="Times New Roman"/>
          <w:sz w:val="24"/>
          <w:szCs w:val="24"/>
        </w:rPr>
      </w:pPr>
      <w:r>
        <w:rPr>
          <w:rFonts w:ascii="Times New Roman" w:hAnsi="Times New Roman" w:cs="Times New Roman"/>
          <w:sz w:val="24"/>
          <w:szCs w:val="24"/>
        </w:rPr>
        <w:t xml:space="preserve">Attachment 22 - </w:t>
      </w:r>
      <w:r>
        <w:rPr>
          <w:rFonts w:ascii="Times New Roman" w:hAnsi="Times New Roman" w:cs="Times New Roman"/>
          <w:sz w:val="24"/>
          <w:szCs w:val="24"/>
        </w:rPr>
        <w:t>Capability 12</w:t>
      </w:r>
    </w:p>
    <w:p w:rsidR="002474EE" w:rsidP="002474EE" w14:paraId="5F0AA1F4" w14:textId="325E97D7">
      <w:pPr>
        <w:rPr>
          <w:rFonts w:ascii="Times New Roman" w:hAnsi="Times New Roman" w:cs="Times New Roman"/>
          <w:sz w:val="24"/>
          <w:szCs w:val="24"/>
        </w:rPr>
      </w:pPr>
      <w:r>
        <w:rPr>
          <w:rFonts w:ascii="Times New Roman" w:hAnsi="Times New Roman" w:cs="Times New Roman"/>
          <w:sz w:val="24"/>
          <w:szCs w:val="24"/>
        </w:rPr>
        <w:t xml:space="preserve">Attachment 23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13</w:t>
      </w:r>
    </w:p>
    <w:p w:rsidR="002474EE" w:rsidP="002474EE" w14:paraId="35F40048" w14:textId="14091B4D">
      <w:pPr>
        <w:rPr>
          <w:rFonts w:ascii="Times New Roman" w:hAnsi="Times New Roman" w:cs="Times New Roman"/>
          <w:sz w:val="24"/>
          <w:szCs w:val="24"/>
        </w:rPr>
      </w:pPr>
      <w:r>
        <w:rPr>
          <w:rFonts w:ascii="Times New Roman" w:hAnsi="Times New Roman" w:cs="Times New Roman"/>
          <w:sz w:val="24"/>
          <w:szCs w:val="24"/>
        </w:rPr>
        <w:t xml:space="preserve">Attachment 24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14</w:t>
      </w:r>
    </w:p>
    <w:p w:rsidR="002474EE" w:rsidP="002474EE" w14:paraId="6CBBA08C" w14:textId="12B6303E">
      <w:pPr>
        <w:rPr>
          <w:rFonts w:ascii="Times New Roman" w:hAnsi="Times New Roman" w:cs="Times New Roman"/>
          <w:sz w:val="24"/>
          <w:szCs w:val="24"/>
        </w:rPr>
      </w:pPr>
      <w:r>
        <w:rPr>
          <w:rFonts w:ascii="Times New Roman" w:hAnsi="Times New Roman" w:cs="Times New Roman"/>
          <w:sz w:val="24"/>
          <w:szCs w:val="24"/>
        </w:rPr>
        <w:t xml:space="preserve">Attachment 25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15</w:t>
      </w:r>
    </w:p>
    <w:p w:rsidR="002474EE" w:rsidP="002474EE" w14:paraId="750B0541" w14:textId="001AB571">
      <w:pPr>
        <w:rPr>
          <w:rFonts w:ascii="Times New Roman" w:hAnsi="Times New Roman" w:cs="Times New Roman"/>
          <w:sz w:val="24"/>
          <w:szCs w:val="24"/>
        </w:rPr>
      </w:pPr>
      <w:r>
        <w:rPr>
          <w:rFonts w:ascii="Times New Roman" w:hAnsi="Times New Roman" w:cs="Times New Roman"/>
          <w:sz w:val="24"/>
          <w:szCs w:val="24"/>
        </w:rPr>
        <w:t xml:space="preserve">Attachment 26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 xml:space="preserve">Ops 1 </w:t>
      </w:r>
    </w:p>
    <w:p w:rsidR="002474EE" w:rsidP="002474EE" w14:paraId="42D58C1E" w14:textId="651E35E1">
      <w:pPr>
        <w:rPr>
          <w:rFonts w:ascii="Times New Roman" w:hAnsi="Times New Roman" w:cs="Times New Roman"/>
          <w:sz w:val="24"/>
          <w:szCs w:val="24"/>
        </w:rPr>
      </w:pPr>
      <w:r>
        <w:rPr>
          <w:rFonts w:ascii="Times New Roman" w:hAnsi="Times New Roman" w:cs="Times New Roman"/>
          <w:sz w:val="24"/>
          <w:szCs w:val="24"/>
        </w:rPr>
        <w:t xml:space="preserve">Attachment 27- </w:t>
      </w:r>
      <w:r w:rsidR="00CF4698">
        <w:rPr>
          <w:rFonts w:ascii="Times New Roman" w:hAnsi="Times New Roman" w:cs="Times New Roman"/>
          <w:sz w:val="24"/>
          <w:szCs w:val="24"/>
        </w:rPr>
        <w:t xml:space="preserve">Ops 2 </w:t>
      </w:r>
    </w:p>
    <w:p w:rsidR="002474EE" w:rsidP="002474EE" w14:paraId="156D3E55" w14:textId="42820CCB">
      <w:pPr>
        <w:rPr>
          <w:rFonts w:ascii="Times New Roman" w:hAnsi="Times New Roman" w:cs="Times New Roman"/>
          <w:sz w:val="24"/>
          <w:szCs w:val="24"/>
        </w:rPr>
      </w:pPr>
      <w:r>
        <w:rPr>
          <w:rFonts w:ascii="Times New Roman" w:hAnsi="Times New Roman" w:cs="Times New Roman"/>
          <w:sz w:val="24"/>
          <w:szCs w:val="24"/>
        </w:rPr>
        <w:t xml:space="preserve">Attachment 28- </w:t>
      </w:r>
      <w:r w:rsidRPr="00CF4698" w:rsidR="00CF4698">
        <w:rPr>
          <w:rFonts w:ascii="Times New Roman" w:hAnsi="Times New Roman" w:cs="Times New Roman"/>
          <w:sz w:val="24"/>
          <w:szCs w:val="24"/>
        </w:rPr>
        <w:t>Facility Setup Drill</w:t>
      </w:r>
    </w:p>
    <w:p w:rsidR="002474EE" w:rsidP="002474EE" w14:paraId="1AFCF7C8" w14:textId="362D7628">
      <w:pPr>
        <w:rPr>
          <w:rFonts w:ascii="Times New Roman" w:hAnsi="Times New Roman" w:cs="Times New Roman"/>
          <w:sz w:val="24"/>
          <w:szCs w:val="24"/>
        </w:rPr>
      </w:pPr>
      <w:r>
        <w:rPr>
          <w:rFonts w:ascii="Times New Roman" w:hAnsi="Times New Roman" w:cs="Times New Roman"/>
          <w:sz w:val="24"/>
          <w:szCs w:val="24"/>
        </w:rPr>
        <w:t xml:space="preserve">Attachment 29- </w:t>
      </w:r>
      <w:r w:rsidRPr="00CF4698" w:rsidR="00CF4698">
        <w:rPr>
          <w:rFonts w:ascii="Times New Roman" w:hAnsi="Times New Roman" w:cs="Times New Roman"/>
          <w:sz w:val="24"/>
          <w:szCs w:val="24"/>
        </w:rPr>
        <w:t>Site Activation Drill</w:t>
      </w:r>
    </w:p>
    <w:p w:rsidR="002474EE" w:rsidP="002474EE" w14:paraId="1FCB1EEA" w14:textId="0249E12D">
      <w:pPr>
        <w:rPr>
          <w:rFonts w:ascii="Times New Roman" w:hAnsi="Times New Roman" w:cs="Times New Roman"/>
          <w:sz w:val="24"/>
          <w:szCs w:val="24"/>
        </w:rPr>
      </w:pPr>
      <w:r>
        <w:rPr>
          <w:rFonts w:ascii="Times New Roman" w:hAnsi="Times New Roman" w:cs="Times New Roman"/>
          <w:sz w:val="24"/>
          <w:szCs w:val="24"/>
        </w:rPr>
        <w:t xml:space="preserve">Attachment 30- </w:t>
      </w:r>
      <w:r w:rsidRPr="00CF4698" w:rsidR="00CF4698">
        <w:rPr>
          <w:rFonts w:ascii="Times New Roman" w:hAnsi="Times New Roman" w:cs="Times New Roman"/>
          <w:sz w:val="24"/>
          <w:szCs w:val="24"/>
        </w:rPr>
        <w:t>Staff Notification and Assembly Drill</w:t>
      </w:r>
    </w:p>
    <w:p w:rsidR="002474EE" w:rsidP="002474EE" w14:paraId="4E6DC48F" w14:textId="4453630A">
      <w:pPr>
        <w:rPr>
          <w:rFonts w:ascii="Times New Roman" w:hAnsi="Times New Roman" w:cs="Times New Roman"/>
          <w:sz w:val="24"/>
          <w:szCs w:val="24"/>
        </w:rPr>
      </w:pPr>
      <w:r>
        <w:rPr>
          <w:rFonts w:ascii="Times New Roman" w:hAnsi="Times New Roman" w:cs="Times New Roman"/>
          <w:sz w:val="24"/>
          <w:szCs w:val="24"/>
        </w:rPr>
        <w:t xml:space="preserve">Attachment 31- </w:t>
      </w:r>
      <w:r w:rsidRPr="00CF4698" w:rsidR="00CF4698">
        <w:rPr>
          <w:rFonts w:ascii="Times New Roman" w:hAnsi="Times New Roman" w:cs="Times New Roman"/>
          <w:sz w:val="24"/>
          <w:szCs w:val="24"/>
        </w:rPr>
        <w:t>Dispensing Throughput Drill</w:t>
      </w:r>
    </w:p>
    <w:p w:rsidR="002474EE" w:rsidP="002474EE" w14:paraId="641A7BB6" w14:textId="253DB56F">
      <w:pPr>
        <w:rPr>
          <w:rFonts w:ascii="Times New Roman" w:hAnsi="Times New Roman" w:cs="Times New Roman"/>
          <w:sz w:val="24"/>
          <w:szCs w:val="24"/>
        </w:rPr>
      </w:pPr>
      <w:bookmarkStart w:id="2" w:name="_Hlk71052973"/>
      <w:r>
        <w:rPr>
          <w:rFonts w:ascii="Times New Roman" w:hAnsi="Times New Roman" w:cs="Times New Roman"/>
          <w:sz w:val="24"/>
          <w:szCs w:val="24"/>
        </w:rPr>
        <w:t xml:space="preserve">Attachment 32- </w:t>
      </w:r>
      <w:r w:rsidRPr="00CF4698" w:rsidR="00CF4698">
        <w:rPr>
          <w:rFonts w:ascii="Times New Roman" w:hAnsi="Times New Roman" w:cs="Times New Roman"/>
          <w:sz w:val="24"/>
          <w:szCs w:val="24"/>
        </w:rPr>
        <w:t>Tabletop Exercise (TTX)</w:t>
      </w:r>
    </w:p>
    <w:p w:rsidR="002474EE" w:rsidP="002474EE" w14:paraId="6708E62F" w14:textId="55E2300A">
      <w:pPr>
        <w:rPr>
          <w:rFonts w:ascii="Times New Roman" w:hAnsi="Times New Roman" w:cs="Times New Roman"/>
          <w:sz w:val="24"/>
          <w:szCs w:val="24"/>
        </w:rPr>
      </w:pPr>
      <w:r>
        <w:rPr>
          <w:rFonts w:ascii="Times New Roman" w:hAnsi="Times New Roman" w:cs="Times New Roman"/>
          <w:sz w:val="24"/>
          <w:szCs w:val="24"/>
        </w:rPr>
        <w:t xml:space="preserve">Attachment 33- </w:t>
      </w:r>
      <w:r w:rsidRPr="00CF4698" w:rsidR="00CF4698">
        <w:rPr>
          <w:rFonts w:ascii="Times New Roman" w:hAnsi="Times New Roman" w:cs="Times New Roman"/>
          <w:sz w:val="24"/>
          <w:szCs w:val="24"/>
        </w:rPr>
        <w:t>Partner role (Par1)</w:t>
      </w:r>
    </w:p>
    <w:p w:rsidR="002474EE" w:rsidP="002474EE" w14:paraId="5B737695" w14:textId="57B9D356">
      <w:pPr>
        <w:rPr>
          <w:rFonts w:ascii="Times New Roman" w:hAnsi="Times New Roman" w:cs="Times New Roman"/>
          <w:sz w:val="24"/>
          <w:szCs w:val="24"/>
        </w:rPr>
      </w:pPr>
      <w:r>
        <w:rPr>
          <w:rFonts w:ascii="Times New Roman" w:hAnsi="Times New Roman" w:cs="Times New Roman"/>
          <w:sz w:val="24"/>
          <w:szCs w:val="24"/>
        </w:rPr>
        <w:t xml:space="preserve">Attachment 34- </w:t>
      </w:r>
      <w:r w:rsidRPr="00CF4698" w:rsidR="00CF4698">
        <w:rPr>
          <w:rFonts w:ascii="Times New Roman" w:hAnsi="Times New Roman" w:cs="Times New Roman"/>
          <w:sz w:val="24"/>
          <w:szCs w:val="24"/>
        </w:rPr>
        <w:t>AFN exercise accommodations or actions (Par2)</w:t>
      </w:r>
    </w:p>
    <w:p w:rsidR="002474EE" w:rsidP="002474EE" w14:paraId="77992657" w14:textId="5F71D9C1">
      <w:pPr>
        <w:rPr>
          <w:rFonts w:ascii="Times New Roman" w:hAnsi="Times New Roman" w:cs="Times New Roman"/>
          <w:sz w:val="24"/>
          <w:szCs w:val="24"/>
        </w:rPr>
      </w:pPr>
      <w:r>
        <w:rPr>
          <w:rFonts w:ascii="Times New Roman" w:hAnsi="Times New Roman" w:cs="Times New Roman"/>
          <w:sz w:val="24"/>
          <w:szCs w:val="24"/>
        </w:rPr>
        <w:t xml:space="preserve">Attachment 35- </w:t>
      </w:r>
      <w:r w:rsidR="00CF4698">
        <w:rPr>
          <w:rFonts w:ascii="Times New Roman" w:hAnsi="Times New Roman" w:cs="Times New Roman"/>
          <w:sz w:val="24"/>
          <w:szCs w:val="24"/>
        </w:rPr>
        <w:t>J</w:t>
      </w:r>
      <w:r w:rsidRPr="00CF4698" w:rsidR="00CF4698">
        <w:rPr>
          <w:rFonts w:ascii="Times New Roman" w:hAnsi="Times New Roman" w:cs="Times New Roman"/>
          <w:sz w:val="24"/>
          <w:szCs w:val="24"/>
        </w:rPr>
        <w:t>oint exercise with emergency management and HCC (Par3)</w:t>
      </w:r>
    </w:p>
    <w:p w:rsidR="002474EE" w:rsidP="002474EE" w14:paraId="4960CD3E" w14:textId="565E5214">
      <w:pPr>
        <w:rPr>
          <w:rFonts w:ascii="Times New Roman" w:hAnsi="Times New Roman" w:cs="Times New Roman"/>
          <w:sz w:val="24"/>
          <w:szCs w:val="24"/>
        </w:rPr>
      </w:pPr>
      <w:r>
        <w:rPr>
          <w:rFonts w:ascii="Times New Roman" w:hAnsi="Times New Roman" w:cs="Times New Roman"/>
          <w:sz w:val="24"/>
          <w:szCs w:val="24"/>
        </w:rPr>
        <w:t xml:space="preserve">Attachment 36- </w:t>
      </w:r>
      <w:r w:rsidRPr="00CF4698" w:rsidR="00CF4698">
        <w:rPr>
          <w:rFonts w:ascii="Times New Roman" w:hAnsi="Times New Roman" w:cs="Times New Roman"/>
          <w:sz w:val="24"/>
          <w:szCs w:val="24"/>
        </w:rPr>
        <w:t>Vaccination of Critical Workforce (FE, FSE, or incident)</w:t>
      </w:r>
    </w:p>
    <w:p w:rsidR="002474EE" w:rsidP="002474EE" w14:paraId="21AEA442" w14:textId="58675661">
      <w:pPr>
        <w:rPr>
          <w:rFonts w:ascii="Times New Roman" w:hAnsi="Times New Roman" w:cs="Times New Roman"/>
          <w:sz w:val="24"/>
          <w:szCs w:val="24"/>
        </w:rPr>
      </w:pPr>
      <w:r>
        <w:rPr>
          <w:rFonts w:ascii="Times New Roman" w:hAnsi="Times New Roman" w:cs="Times New Roman"/>
          <w:sz w:val="24"/>
          <w:szCs w:val="24"/>
        </w:rPr>
        <w:t xml:space="preserve">Attachment 37- </w:t>
      </w:r>
      <w:r w:rsidRPr="00CF4698" w:rsidR="00CF4698">
        <w:rPr>
          <w:rFonts w:ascii="Times New Roman" w:hAnsi="Times New Roman" w:cs="Times New Roman"/>
          <w:sz w:val="24"/>
          <w:szCs w:val="24"/>
        </w:rPr>
        <w:t>Vaccination of Critical Workforce (POD/ DVC setup)</w:t>
      </w:r>
    </w:p>
    <w:p w:rsidR="00CF4698" w:rsidP="002474EE" w14:paraId="0F69BD07" w14:textId="0E35C0C4">
      <w:pPr>
        <w:rPr>
          <w:rFonts w:ascii="Times New Roman" w:hAnsi="Times New Roman" w:cs="Times New Roman"/>
          <w:sz w:val="24"/>
          <w:szCs w:val="24"/>
        </w:rPr>
      </w:pPr>
      <w:r>
        <w:rPr>
          <w:rFonts w:ascii="Times New Roman" w:hAnsi="Times New Roman" w:cs="Times New Roman"/>
          <w:sz w:val="24"/>
          <w:szCs w:val="24"/>
        </w:rPr>
        <w:t xml:space="preserve">Attachment 38 - </w:t>
      </w:r>
      <w:r w:rsidRPr="00CF4698">
        <w:rPr>
          <w:rFonts w:ascii="Times New Roman" w:hAnsi="Times New Roman" w:cs="Times New Roman"/>
          <w:sz w:val="24"/>
          <w:szCs w:val="24"/>
        </w:rPr>
        <w:t>Vaccination of Critical Workforce (Immunization information system)</w:t>
      </w:r>
    </w:p>
    <w:p w:rsidR="002474EE" w:rsidP="002474EE" w14:paraId="43E03E8F" w14:textId="6A51E1E5">
      <w:pPr>
        <w:rPr>
          <w:rFonts w:ascii="Times New Roman" w:hAnsi="Times New Roman" w:cs="Times New Roman"/>
          <w:sz w:val="24"/>
          <w:szCs w:val="24"/>
        </w:rPr>
      </w:pPr>
      <w:r>
        <w:rPr>
          <w:rFonts w:ascii="Times New Roman" w:hAnsi="Times New Roman" w:cs="Times New Roman"/>
          <w:sz w:val="24"/>
          <w:szCs w:val="24"/>
        </w:rPr>
        <w:t xml:space="preserve">Attachment </w:t>
      </w:r>
      <w:r w:rsidR="00CF4698">
        <w:rPr>
          <w:rFonts w:ascii="Times New Roman" w:hAnsi="Times New Roman" w:cs="Times New Roman"/>
          <w:sz w:val="24"/>
          <w:szCs w:val="24"/>
        </w:rPr>
        <w:t>39 –</w:t>
      </w:r>
      <w:r>
        <w:rPr>
          <w:rFonts w:ascii="Times New Roman" w:hAnsi="Times New Roman" w:cs="Times New Roman"/>
          <w:sz w:val="24"/>
          <w:szCs w:val="24"/>
        </w:rPr>
        <w:t xml:space="preserve"> </w:t>
      </w:r>
      <w:r w:rsidRPr="00CF4698" w:rsidR="00CF4698">
        <w:rPr>
          <w:rFonts w:ascii="Times New Roman" w:hAnsi="Times New Roman" w:cs="Times New Roman"/>
          <w:sz w:val="24"/>
          <w:szCs w:val="24"/>
        </w:rPr>
        <w:t>Five-year Distribution Full-Scale Exercise</w:t>
      </w:r>
    </w:p>
    <w:p w:rsidR="00CF4698" w:rsidP="002474EE" w14:paraId="3241A6BF" w14:textId="3D90A8D2">
      <w:pPr>
        <w:rPr>
          <w:rFonts w:ascii="Times New Roman" w:hAnsi="Times New Roman" w:cs="Times New Roman"/>
          <w:sz w:val="24"/>
          <w:szCs w:val="24"/>
        </w:rPr>
      </w:pPr>
      <w:r>
        <w:rPr>
          <w:rFonts w:ascii="Times New Roman" w:hAnsi="Times New Roman" w:cs="Times New Roman"/>
          <w:sz w:val="24"/>
          <w:szCs w:val="24"/>
        </w:rPr>
        <w:t xml:space="preserve">Attachment 40 - </w:t>
      </w:r>
      <w:r w:rsidRPr="00CF4698">
        <w:rPr>
          <w:rFonts w:ascii="Times New Roman" w:hAnsi="Times New Roman" w:cs="Times New Roman"/>
          <w:sz w:val="24"/>
          <w:szCs w:val="24"/>
        </w:rPr>
        <w:t>Five-year Pan-flu Full-Scale Exercise or Incident</w:t>
      </w:r>
    </w:p>
    <w:p w:rsidR="00CF4698" w:rsidP="002474EE" w14:paraId="7664ADCC" w14:textId="5A882499">
      <w:pPr>
        <w:rPr>
          <w:rFonts w:ascii="Times New Roman" w:hAnsi="Times New Roman" w:cs="Times New Roman"/>
          <w:sz w:val="24"/>
          <w:szCs w:val="24"/>
        </w:rPr>
      </w:pPr>
      <w:r>
        <w:rPr>
          <w:rFonts w:ascii="Times New Roman" w:hAnsi="Times New Roman" w:cs="Times New Roman"/>
          <w:sz w:val="24"/>
          <w:szCs w:val="24"/>
        </w:rPr>
        <w:t xml:space="preserve">Attachment 41 - </w:t>
      </w:r>
      <w:r w:rsidRPr="00CF4698">
        <w:rPr>
          <w:rFonts w:ascii="Times New Roman" w:hAnsi="Times New Roman" w:cs="Times New Roman"/>
          <w:sz w:val="24"/>
          <w:szCs w:val="24"/>
        </w:rPr>
        <w:t>Five-year Dispensing Full-Scale Exercise or Incident</w:t>
      </w:r>
    </w:p>
    <w:p w:rsidR="00CF4698" w:rsidP="002474EE" w14:paraId="60FA4EDD" w14:textId="107FB3AE">
      <w:pPr>
        <w:rPr>
          <w:rFonts w:ascii="Times New Roman" w:hAnsi="Times New Roman" w:cs="Times New Roman"/>
          <w:sz w:val="24"/>
          <w:szCs w:val="24"/>
        </w:rPr>
      </w:pPr>
      <w:r>
        <w:rPr>
          <w:rFonts w:ascii="Times New Roman" w:hAnsi="Times New Roman" w:cs="Times New Roman"/>
          <w:sz w:val="24"/>
          <w:szCs w:val="24"/>
        </w:rPr>
        <w:t xml:space="preserve">Attachment 42 - </w:t>
      </w:r>
      <w:r w:rsidRPr="00CF4698">
        <w:rPr>
          <w:rFonts w:ascii="Times New Roman" w:hAnsi="Times New Roman" w:cs="Times New Roman"/>
          <w:sz w:val="24"/>
          <w:szCs w:val="24"/>
        </w:rPr>
        <w:t xml:space="preserve">Five-year Dispensing Full-Scale Exercise for each POD </w:t>
      </w:r>
      <w:r w:rsidRPr="00CF4698">
        <w:rPr>
          <w:rFonts w:ascii="Times New Roman" w:hAnsi="Times New Roman" w:cs="Times New Roman"/>
          <w:sz w:val="24"/>
          <w:szCs w:val="24"/>
        </w:rPr>
        <w:t>exercised</w:t>
      </w:r>
    </w:p>
    <w:p w:rsidR="00375ED1" w:rsidP="002474EE" w14:paraId="600F20A7" w14:textId="7CA18E61">
      <w:pPr>
        <w:rPr>
          <w:rFonts w:ascii="Times New Roman" w:hAnsi="Times New Roman" w:cs="Times New Roman"/>
          <w:sz w:val="24"/>
          <w:szCs w:val="24"/>
        </w:rPr>
      </w:pPr>
      <w:r>
        <w:rPr>
          <w:rFonts w:ascii="Times New Roman" w:hAnsi="Times New Roman" w:cs="Times New Roman"/>
          <w:sz w:val="24"/>
          <w:szCs w:val="24"/>
        </w:rPr>
        <w:t xml:space="preserve">Attachment 43 – </w:t>
      </w:r>
      <w:r w:rsidRPr="00375ED1">
        <w:rPr>
          <w:rFonts w:ascii="Times New Roman" w:hAnsi="Times New Roman" w:cs="Times New Roman"/>
          <w:sz w:val="24"/>
          <w:szCs w:val="24"/>
        </w:rPr>
        <w:t>Vaccination for Critical Workforce Groups and Disproportionately Impacted Populations (VAC)</w:t>
      </w:r>
    </w:p>
    <w:p w:rsidR="00375ED1" w:rsidP="002474EE" w14:paraId="5DB8886B" w14:textId="3E487440">
      <w:pPr>
        <w:rPr>
          <w:rFonts w:ascii="Times New Roman" w:hAnsi="Times New Roman" w:cs="Times New Roman"/>
          <w:sz w:val="24"/>
          <w:szCs w:val="24"/>
        </w:rPr>
      </w:pPr>
      <w:r>
        <w:rPr>
          <w:rFonts w:ascii="Times New Roman" w:hAnsi="Times New Roman" w:cs="Times New Roman"/>
          <w:sz w:val="24"/>
          <w:szCs w:val="24"/>
        </w:rPr>
        <w:t xml:space="preserve">Attachment 44 - </w:t>
      </w:r>
      <w:r w:rsidRPr="00375ED1">
        <w:rPr>
          <w:rFonts w:ascii="Times New Roman" w:hAnsi="Times New Roman" w:cs="Times New Roman"/>
          <w:sz w:val="24"/>
          <w:szCs w:val="24"/>
        </w:rPr>
        <w:t>COVID-19 Pandemic Response (RSP)</w:t>
      </w:r>
    </w:p>
    <w:bookmarkEnd w:id="2"/>
    <w:p w:rsidR="008F2EFA" w:rsidP="0078419B" w14:paraId="26DCBAE4" w14:textId="0FA9C1EC">
      <w:pPr>
        <w:rPr>
          <w:rFonts w:ascii="Times New Roman" w:hAnsi="Times New Roman" w:cs="Times New Roman"/>
          <w:b/>
          <w:sz w:val="24"/>
          <w:szCs w:val="24"/>
        </w:rPr>
      </w:pPr>
      <w:r>
        <w:rPr>
          <w:rFonts w:ascii="Times New Roman" w:hAnsi="Times New Roman" w:cs="Times New Roman"/>
          <w:b/>
          <w:sz w:val="24"/>
          <w:szCs w:val="24"/>
        </w:rPr>
        <w:t xml:space="preserve">Appendix 1 – PHEP ORR 2.0 Guidance </w:t>
      </w:r>
    </w:p>
    <w:p w:rsidR="008F2EFA" w:rsidP="0078419B" w14:paraId="32174AF4" w14:textId="42A33B19">
      <w:pPr>
        <w:rPr>
          <w:rFonts w:ascii="Times New Roman" w:hAnsi="Times New Roman" w:cs="Times New Roman"/>
          <w:b/>
          <w:sz w:val="24"/>
          <w:szCs w:val="24"/>
        </w:rPr>
      </w:pPr>
    </w:p>
    <w:p w:rsidR="000E5A2C" w:rsidP="0078419B" w14:paraId="1445D21D" w14:textId="77777777">
      <w:pPr>
        <w:rPr>
          <w:rFonts w:ascii="Times New Roman" w:hAnsi="Times New Roman" w:cs="Times New Roman"/>
          <w:b/>
          <w:sz w:val="24"/>
          <w:szCs w:val="24"/>
        </w:rPr>
      </w:pPr>
    </w:p>
    <w:p w:rsidR="0018764F" w14:paraId="7163177E" w14:textId="77777777">
      <w:pPr>
        <w:rPr>
          <w:rFonts w:ascii="Times New Roman" w:hAnsi="Times New Roman" w:cs="Times New Roman"/>
          <w:b/>
          <w:sz w:val="24"/>
          <w:szCs w:val="24"/>
        </w:rPr>
      </w:pPr>
      <w:r>
        <w:rPr>
          <w:rFonts w:ascii="Times New Roman" w:hAnsi="Times New Roman" w:cs="Times New Roman"/>
          <w:b/>
          <w:sz w:val="24"/>
          <w:szCs w:val="24"/>
        </w:rPr>
        <w:br w:type="page"/>
      </w:r>
    </w:p>
    <w:p w:rsidR="0078419B" w:rsidP="0078419B" w14:paraId="66AD69CD" w14:textId="0008EC6F">
      <w:pPr>
        <w:rPr>
          <w:rFonts w:ascii="Times New Roman" w:hAnsi="Times New Roman" w:cs="Times New Roman"/>
          <w:b/>
          <w:sz w:val="24"/>
          <w:szCs w:val="24"/>
        </w:rPr>
      </w:pPr>
      <w:r>
        <w:rPr>
          <w:rFonts w:ascii="Times New Roman" w:hAnsi="Times New Roman" w:cs="Times New Roman"/>
          <w:b/>
          <w:sz w:val="24"/>
          <w:szCs w:val="24"/>
        </w:rPr>
        <w:t>REFERENCE LIST</w:t>
      </w:r>
    </w:p>
    <w:p w:rsidR="00DE4199" w:rsidRPr="00DE4199" w:rsidP="00DE4199" w14:paraId="3D82E0D5" w14:textId="77777777">
      <w:pPr>
        <w:ind w:left="720" w:hanging="720"/>
        <w:rPr>
          <w:rFonts w:ascii="Times New Roman" w:hAnsi="Times New Roman" w:cs="Times New Roman"/>
          <w:sz w:val="24"/>
          <w:szCs w:val="24"/>
        </w:rPr>
      </w:pPr>
      <w:r w:rsidRPr="00DE4199">
        <w:rPr>
          <w:rFonts w:ascii="Times New Roman" w:hAnsi="Times New Roman" w:cs="Times New Roman"/>
          <w:sz w:val="24"/>
          <w:szCs w:val="24"/>
        </w:rPr>
        <w:t xml:space="preserve">Centers for Disease Control and Prevention. (March 27, 2020). </w:t>
      </w:r>
      <w:r w:rsidRPr="00DE4199">
        <w:rPr>
          <w:rFonts w:ascii="Times New Roman" w:hAnsi="Times New Roman" w:cs="Times New Roman"/>
          <w:i/>
          <w:iCs/>
          <w:sz w:val="24"/>
          <w:szCs w:val="24"/>
        </w:rPr>
        <w:t>Public Health Emergency Preparedness (PHEP) Cooperative Agreement.</w:t>
      </w:r>
      <w:r w:rsidRPr="00DE4199">
        <w:rPr>
          <w:rFonts w:ascii="Times New Roman" w:hAnsi="Times New Roman" w:cs="Times New Roman"/>
          <w:sz w:val="24"/>
          <w:szCs w:val="24"/>
        </w:rPr>
        <w:t xml:space="preserve"> </w:t>
      </w:r>
      <w:hyperlink r:id="rId7" w:history="1">
        <w:r w:rsidRPr="00DE4199">
          <w:rPr>
            <w:rStyle w:val="Hyperlink"/>
            <w:rFonts w:ascii="Times New Roman" w:hAnsi="Times New Roman" w:cs="Times New Roman"/>
            <w:sz w:val="24"/>
            <w:szCs w:val="24"/>
          </w:rPr>
          <w:t>https://www.cdc.gov/cpr/readiness/phep.htm</w:t>
        </w:r>
      </w:hyperlink>
      <w:r w:rsidRPr="00DE4199">
        <w:rPr>
          <w:rFonts w:ascii="Times New Roman" w:hAnsi="Times New Roman" w:cs="Times New Roman"/>
          <w:sz w:val="24"/>
          <w:szCs w:val="24"/>
        </w:rPr>
        <w:t xml:space="preserve"> </w:t>
      </w:r>
    </w:p>
    <w:p w:rsidR="00DE4199" w:rsidP="002E334F" w14:paraId="42367066" w14:textId="0C705F14">
      <w:pPr>
        <w:ind w:left="720" w:hanging="720"/>
        <w:rPr>
          <w:rFonts w:ascii="Times New Roman" w:hAnsi="Times New Roman" w:cs="Times New Roman"/>
          <w:sz w:val="24"/>
          <w:szCs w:val="24"/>
        </w:rPr>
      </w:pPr>
    </w:p>
    <w:p w:rsidR="00370CFA" w:rsidRPr="00BB5919" w:rsidP="00370CFA" w14:paraId="40C70DD7" w14:textId="77777777">
      <w:pPr>
        <w:ind w:left="720" w:hanging="720"/>
        <w:rPr>
          <w:rFonts w:ascii="Times New Roman" w:hAnsi="Times New Roman" w:cs="Times New Roman"/>
          <w:sz w:val="24"/>
          <w:szCs w:val="24"/>
        </w:rPr>
      </w:pPr>
      <w:r>
        <w:rPr>
          <w:rFonts w:ascii="Times New Roman" w:hAnsi="Times New Roman" w:cs="Times New Roman"/>
          <w:sz w:val="24"/>
          <w:szCs w:val="24"/>
        </w:rPr>
        <w:t xml:space="preserve">Centers for Disease Control and Prevention. (October 15, 2018). </w:t>
      </w:r>
      <w:r>
        <w:rPr>
          <w:rFonts w:ascii="Times New Roman" w:hAnsi="Times New Roman" w:cs="Times New Roman"/>
          <w:i/>
          <w:iCs/>
          <w:sz w:val="24"/>
          <w:szCs w:val="24"/>
        </w:rPr>
        <w:t>Operational Readiness Review.</w:t>
      </w:r>
      <w:r>
        <w:rPr>
          <w:rFonts w:ascii="Times New Roman" w:hAnsi="Times New Roman" w:cs="Times New Roman"/>
          <w:sz w:val="24"/>
          <w:szCs w:val="24"/>
        </w:rPr>
        <w:t xml:space="preserve"> </w:t>
      </w:r>
      <w:hyperlink r:id="rId8" w:history="1">
        <w:r w:rsidRPr="00E618DD">
          <w:rPr>
            <w:rStyle w:val="Hyperlink"/>
            <w:rFonts w:ascii="Times New Roman" w:hAnsi="Times New Roman" w:cs="Times New Roman"/>
            <w:sz w:val="24"/>
            <w:szCs w:val="24"/>
          </w:rPr>
          <w:t>https://www.cdc.gov/cpr/readiness/orr.html</w:t>
        </w:r>
      </w:hyperlink>
      <w:r>
        <w:rPr>
          <w:rFonts w:ascii="Times New Roman" w:hAnsi="Times New Roman" w:cs="Times New Roman"/>
          <w:sz w:val="24"/>
          <w:szCs w:val="24"/>
        </w:rPr>
        <w:t xml:space="preserve"> </w:t>
      </w:r>
    </w:p>
    <w:p w:rsidR="00370CFA" w:rsidRPr="00370CFA" w:rsidP="002E334F" w14:paraId="4DFC3C56" w14:textId="18102A65">
      <w:pPr>
        <w:ind w:left="720" w:hanging="720"/>
        <w:rPr>
          <w:rFonts w:ascii="Times New Roman" w:hAnsi="Times New Roman" w:cs="Times New Roman"/>
          <w:sz w:val="24"/>
          <w:szCs w:val="24"/>
        </w:rPr>
      </w:pPr>
    </w:p>
    <w:p w:rsidR="002E334F" w:rsidRPr="002E334F" w:rsidP="002E334F" w14:paraId="459D0E1F" w14:textId="74A03C4E">
      <w:pPr>
        <w:ind w:left="720" w:hanging="720"/>
        <w:rPr>
          <w:rFonts w:ascii="Times New Roman" w:hAnsi="Times New Roman" w:cs="Times New Roman"/>
          <w:sz w:val="24"/>
          <w:szCs w:val="24"/>
        </w:rPr>
      </w:pPr>
      <w:r w:rsidRPr="002E334F">
        <w:rPr>
          <w:rFonts w:ascii="Times New Roman" w:hAnsi="Times New Roman" w:cs="Times New Roman"/>
          <w:sz w:val="24"/>
          <w:szCs w:val="24"/>
        </w:rPr>
        <w:t xml:space="preserve">Centers for Disease Control and Prevention, Center for Preparedness and Response. (October 2018). </w:t>
      </w:r>
      <w:r w:rsidRPr="002E334F">
        <w:rPr>
          <w:rFonts w:ascii="Times New Roman" w:hAnsi="Times New Roman" w:cs="Times New Roman"/>
          <w:i/>
          <w:iCs/>
          <w:sz w:val="24"/>
          <w:szCs w:val="24"/>
        </w:rPr>
        <w:t xml:space="preserve">Public Health Emergency Preparedness and Response Capabilities: National Standards for State, Local, Tribal, and Territorial Public Health. </w:t>
      </w:r>
      <w:hyperlink r:id="rId9" w:history="1">
        <w:r w:rsidRPr="002E334F">
          <w:rPr>
            <w:rStyle w:val="Hyperlink"/>
            <w:rFonts w:ascii="Times New Roman" w:hAnsi="Times New Roman" w:cs="Times New Roman"/>
            <w:sz w:val="24"/>
            <w:szCs w:val="24"/>
          </w:rPr>
          <w:t>https://www.cdc.gov/cpr/readiness/00_docs/CDC_PreparednesResponseCapabilities_October2018_Final_508.pdf</w:t>
        </w:r>
      </w:hyperlink>
    </w:p>
    <w:p w:rsidR="002E334F" w:rsidP="002E334F" w14:paraId="3AED8892" w14:textId="77777777">
      <w:pPr>
        <w:ind w:left="720" w:hanging="720"/>
        <w:rPr>
          <w:rFonts w:ascii="Times New Roman" w:hAnsi="Times New Roman" w:cs="Times New Roman"/>
          <w:bCs/>
          <w:sz w:val="24"/>
          <w:szCs w:val="24"/>
        </w:rPr>
      </w:pPr>
    </w:p>
    <w:p w:rsidR="00762E66" w:rsidRPr="002E334F" w:rsidP="002E334F" w14:paraId="70624537" w14:textId="18B38B23">
      <w:pPr>
        <w:ind w:left="720" w:hanging="720"/>
        <w:rPr>
          <w:rFonts w:ascii="Times New Roman" w:hAnsi="Times New Roman" w:cs="Times New Roman"/>
          <w:bCs/>
          <w:sz w:val="24"/>
          <w:szCs w:val="24"/>
        </w:rPr>
      </w:pPr>
      <w:r>
        <w:rPr>
          <w:rFonts w:ascii="Times New Roman" w:hAnsi="Times New Roman" w:cs="Times New Roman"/>
          <w:bCs/>
          <w:sz w:val="24"/>
          <w:szCs w:val="24"/>
        </w:rPr>
        <w:t>Centers for Disease Control and Prevention, Office of Public Health Preparedness and Response. (2019).</w:t>
      </w:r>
      <w:r w:rsidRPr="002E334F">
        <w:rPr>
          <w:rFonts w:ascii="Times New Roman" w:hAnsi="Times New Roman" w:cs="Times New Roman"/>
          <w:bCs/>
          <w:i/>
          <w:iCs/>
          <w:sz w:val="24"/>
          <w:szCs w:val="24"/>
        </w:rPr>
        <w:t xml:space="preserve"> Public Health Emergency Preparedness Cooperative Agreement, CDC-RFA-TP19-1901. </w:t>
      </w:r>
      <w:hyperlink r:id="rId10" w:history="1">
        <w:r w:rsidRPr="00E618DD">
          <w:rPr>
            <w:rStyle w:val="Hyperlink"/>
            <w:rFonts w:ascii="Times New Roman" w:hAnsi="Times New Roman" w:cs="Times New Roman"/>
            <w:sz w:val="24"/>
            <w:szCs w:val="24"/>
          </w:rPr>
          <w:t>https://esp.cdc.gov/sites/ophpr/DSLR/PSB/PODM/Resources/CDC-RFA-TP19-1901%20NOFO.pdf</w:t>
        </w:r>
      </w:hyperlink>
    </w:p>
    <w:p w:rsidR="00FE3BC7" w:rsidP="00762E66" w14:paraId="2403F5CA" w14:textId="3F5E917B">
      <w:pPr>
        <w:rPr>
          <w:rFonts w:ascii="Times New Roman" w:hAnsi="Times New Roman" w:cs="Times New Roman"/>
          <w:sz w:val="24"/>
          <w:szCs w:val="24"/>
        </w:rPr>
      </w:pP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FA9" w14:paraId="468D86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2449624"/>
      <w:docPartObj>
        <w:docPartGallery w:val="Page Numbers (Bottom of Page)"/>
        <w:docPartUnique/>
      </w:docPartObj>
    </w:sdtPr>
    <w:sdtContent>
      <w:sdt>
        <w:sdtPr>
          <w:id w:val="-1769616900"/>
          <w:docPartObj>
            <w:docPartGallery w:val="Page Numbers (Top of Page)"/>
            <w:docPartUnique/>
          </w:docPartObj>
        </w:sdtPr>
        <w:sdtContent>
          <w:p w:rsidR="00164FA9" w14:paraId="4D0B539E"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164FA9" w14:paraId="4693B7D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FA9" w14:paraId="308120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FA9" w14:paraId="44FDF3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FA9" w14:paraId="45665FB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FA9" w14:paraId="322608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573F37"/>
    <w:multiLevelType w:val="hybridMultilevel"/>
    <w:tmpl w:val="87BA615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ED6E73"/>
    <w:multiLevelType w:val="hybridMultilevel"/>
    <w:tmpl w:val="0D828F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1A0E9A"/>
    <w:multiLevelType w:val="hybridMultilevel"/>
    <w:tmpl w:val="A262101A"/>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D9362C"/>
    <w:multiLevelType w:val="hybridMultilevel"/>
    <w:tmpl w:val="93ACC5A2"/>
    <w:lvl w:ilvl="0">
      <w:start w:val="0"/>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2024595"/>
    <w:multiLevelType w:val="hybridMultilevel"/>
    <w:tmpl w:val="446A27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B683C70"/>
    <w:multiLevelType w:val="hybridMultilevel"/>
    <w:tmpl w:val="672692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DC6DC0"/>
    <w:multiLevelType w:val="hybridMultilevel"/>
    <w:tmpl w:val="24D433AC"/>
    <w:lvl w:ilvl="0">
      <w:start w:val="0"/>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F7D3B4B"/>
    <w:multiLevelType w:val="hybridMultilevel"/>
    <w:tmpl w:val="0FACBC8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43E0AF6"/>
    <w:multiLevelType w:val="hybridMultilevel"/>
    <w:tmpl w:val="566A9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A1E09FA"/>
    <w:multiLevelType w:val="hybridMultilevel"/>
    <w:tmpl w:val="40382B0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BA2B2A"/>
    <w:multiLevelType w:val="hybridMultilevel"/>
    <w:tmpl w:val="E59E70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2FD2442"/>
    <w:multiLevelType w:val="hybridMultilevel"/>
    <w:tmpl w:val="50F413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40072AA"/>
    <w:multiLevelType w:val="hybridMultilevel"/>
    <w:tmpl w:val="593830B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757751583">
    <w:abstractNumId w:val="1"/>
  </w:num>
  <w:num w:numId="2" w16cid:durableId="2131043927">
    <w:abstractNumId w:val="11"/>
  </w:num>
  <w:num w:numId="3" w16cid:durableId="2026248772">
    <w:abstractNumId w:val="5"/>
  </w:num>
  <w:num w:numId="4" w16cid:durableId="878978175">
    <w:abstractNumId w:val="7"/>
  </w:num>
  <w:num w:numId="5" w16cid:durableId="1537040488">
    <w:abstractNumId w:val="10"/>
  </w:num>
  <w:num w:numId="6" w16cid:durableId="726104653">
    <w:abstractNumId w:val="9"/>
  </w:num>
  <w:num w:numId="7" w16cid:durableId="1278487297">
    <w:abstractNumId w:val="2"/>
  </w:num>
  <w:num w:numId="8" w16cid:durableId="251933101">
    <w:abstractNumId w:val="6"/>
  </w:num>
  <w:num w:numId="9" w16cid:durableId="558201952">
    <w:abstractNumId w:val="8"/>
  </w:num>
  <w:num w:numId="10" w16cid:durableId="406732812">
    <w:abstractNumId w:val="3"/>
  </w:num>
  <w:num w:numId="11" w16cid:durableId="1623681891">
    <w:abstractNumId w:val="0"/>
  </w:num>
  <w:num w:numId="12" w16cid:durableId="33039686">
    <w:abstractNumId w:val="4"/>
  </w:num>
  <w:num w:numId="13" w16cid:durableId="1859271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19"/>
    <w:rsid w:val="00003A7F"/>
    <w:rsid w:val="00003FC2"/>
    <w:rsid w:val="0000645E"/>
    <w:rsid w:val="0001277B"/>
    <w:rsid w:val="00013079"/>
    <w:rsid w:val="00014F2E"/>
    <w:rsid w:val="00015836"/>
    <w:rsid w:val="000174C5"/>
    <w:rsid w:val="0002363E"/>
    <w:rsid w:val="0002613E"/>
    <w:rsid w:val="000318F0"/>
    <w:rsid w:val="00033776"/>
    <w:rsid w:val="00034AFC"/>
    <w:rsid w:val="00036EE3"/>
    <w:rsid w:val="000450AA"/>
    <w:rsid w:val="00046DA3"/>
    <w:rsid w:val="00052D53"/>
    <w:rsid w:val="00053947"/>
    <w:rsid w:val="00064E08"/>
    <w:rsid w:val="00075E64"/>
    <w:rsid w:val="000804E9"/>
    <w:rsid w:val="00083E65"/>
    <w:rsid w:val="00090C90"/>
    <w:rsid w:val="000920C5"/>
    <w:rsid w:val="00094ADE"/>
    <w:rsid w:val="00096DD0"/>
    <w:rsid w:val="000A298D"/>
    <w:rsid w:val="000A3344"/>
    <w:rsid w:val="000A71E4"/>
    <w:rsid w:val="000B4112"/>
    <w:rsid w:val="000C08C9"/>
    <w:rsid w:val="000C0C4F"/>
    <w:rsid w:val="000E12CA"/>
    <w:rsid w:val="000E4C40"/>
    <w:rsid w:val="000E5A2C"/>
    <w:rsid w:val="000F0B77"/>
    <w:rsid w:val="000F1337"/>
    <w:rsid w:val="000F42EE"/>
    <w:rsid w:val="00106FB0"/>
    <w:rsid w:val="00113EB0"/>
    <w:rsid w:val="001142B8"/>
    <w:rsid w:val="001160B0"/>
    <w:rsid w:val="00125669"/>
    <w:rsid w:val="00143748"/>
    <w:rsid w:val="001641FB"/>
    <w:rsid w:val="00164FA9"/>
    <w:rsid w:val="00170B3C"/>
    <w:rsid w:val="00172C45"/>
    <w:rsid w:val="0017543B"/>
    <w:rsid w:val="00183229"/>
    <w:rsid w:val="001837D7"/>
    <w:rsid w:val="001861F4"/>
    <w:rsid w:val="0018764F"/>
    <w:rsid w:val="00187766"/>
    <w:rsid w:val="00191618"/>
    <w:rsid w:val="001953E2"/>
    <w:rsid w:val="00195BFF"/>
    <w:rsid w:val="001A3256"/>
    <w:rsid w:val="001B04A6"/>
    <w:rsid w:val="001C036C"/>
    <w:rsid w:val="001C29A5"/>
    <w:rsid w:val="001C3FDA"/>
    <w:rsid w:val="001D0764"/>
    <w:rsid w:val="001E6D1A"/>
    <w:rsid w:val="001F0D4F"/>
    <w:rsid w:val="001F2018"/>
    <w:rsid w:val="001F4BD3"/>
    <w:rsid w:val="001F52B1"/>
    <w:rsid w:val="001F6E15"/>
    <w:rsid w:val="00203BBE"/>
    <w:rsid w:val="00214FEB"/>
    <w:rsid w:val="00215AFE"/>
    <w:rsid w:val="00216EC2"/>
    <w:rsid w:val="0022138B"/>
    <w:rsid w:val="002213CE"/>
    <w:rsid w:val="002222B9"/>
    <w:rsid w:val="00222B2E"/>
    <w:rsid w:val="0022537F"/>
    <w:rsid w:val="002263CF"/>
    <w:rsid w:val="002277EC"/>
    <w:rsid w:val="002307C2"/>
    <w:rsid w:val="002358DF"/>
    <w:rsid w:val="00236985"/>
    <w:rsid w:val="00237640"/>
    <w:rsid w:val="002430BC"/>
    <w:rsid w:val="002474EE"/>
    <w:rsid w:val="002504AF"/>
    <w:rsid w:val="00250D92"/>
    <w:rsid w:val="00254820"/>
    <w:rsid w:val="0026244E"/>
    <w:rsid w:val="0026304D"/>
    <w:rsid w:val="002823A1"/>
    <w:rsid w:val="00287A9A"/>
    <w:rsid w:val="0029677C"/>
    <w:rsid w:val="002A1C93"/>
    <w:rsid w:val="002A4CA0"/>
    <w:rsid w:val="002A635F"/>
    <w:rsid w:val="002A75EF"/>
    <w:rsid w:val="002B0F1B"/>
    <w:rsid w:val="002B4608"/>
    <w:rsid w:val="002C34B8"/>
    <w:rsid w:val="002C7C9A"/>
    <w:rsid w:val="002D3001"/>
    <w:rsid w:val="002E334F"/>
    <w:rsid w:val="002E3BA0"/>
    <w:rsid w:val="002F0287"/>
    <w:rsid w:val="00301195"/>
    <w:rsid w:val="00302338"/>
    <w:rsid w:val="00304896"/>
    <w:rsid w:val="00305653"/>
    <w:rsid w:val="00307A22"/>
    <w:rsid w:val="0032133D"/>
    <w:rsid w:val="00347338"/>
    <w:rsid w:val="00350DFB"/>
    <w:rsid w:val="00351622"/>
    <w:rsid w:val="003554E6"/>
    <w:rsid w:val="00355A97"/>
    <w:rsid w:val="0035697E"/>
    <w:rsid w:val="00361FD8"/>
    <w:rsid w:val="003626E6"/>
    <w:rsid w:val="003634D6"/>
    <w:rsid w:val="0036453B"/>
    <w:rsid w:val="0036718C"/>
    <w:rsid w:val="00370CFA"/>
    <w:rsid w:val="00372750"/>
    <w:rsid w:val="00374459"/>
    <w:rsid w:val="00375ED1"/>
    <w:rsid w:val="00381005"/>
    <w:rsid w:val="00384CB6"/>
    <w:rsid w:val="00386E7C"/>
    <w:rsid w:val="0039122C"/>
    <w:rsid w:val="00392D2B"/>
    <w:rsid w:val="00393BF4"/>
    <w:rsid w:val="003A178A"/>
    <w:rsid w:val="003A5590"/>
    <w:rsid w:val="003A5A7B"/>
    <w:rsid w:val="003A6DEA"/>
    <w:rsid w:val="003B0E8C"/>
    <w:rsid w:val="003B6A2E"/>
    <w:rsid w:val="003C2EF6"/>
    <w:rsid w:val="003C4CD9"/>
    <w:rsid w:val="003D0B5A"/>
    <w:rsid w:val="003D19C8"/>
    <w:rsid w:val="003D33A6"/>
    <w:rsid w:val="003D70AE"/>
    <w:rsid w:val="003E61FC"/>
    <w:rsid w:val="003F7155"/>
    <w:rsid w:val="004027B9"/>
    <w:rsid w:val="00402E10"/>
    <w:rsid w:val="0041309C"/>
    <w:rsid w:val="00413FB3"/>
    <w:rsid w:val="004175ED"/>
    <w:rsid w:val="004243C4"/>
    <w:rsid w:val="004311C5"/>
    <w:rsid w:val="00431C29"/>
    <w:rsid w:val="00433C34"/>
    <w:rsid w:val="00462EB0"/>
    <w:rsid w:val="004632F1"/>
    <w:rsid w:val="004753E2"/>
    <w:rsid w:val="00485C10"/>
    <w:rsid w:val="00490E4B"/>
    <w:rsid w:val="004916E0"/>
    <w:rsid w:val="004930D6"/>
    <w:rsid w:val="0049403E"/>
    <w:rsid w:val="00496334"/>
    <w:rsid w:val="004A22E6"/>
    <w:rsid w:val="004A5683"/>
    <w:rsid w:val="004B70F2"/>
    <w:rsid w:val="004D0C97"/>
    <w:rsid w:val="004D2BF9"/>
    <w:rsid w:val="004D53FB"/>
    <w:rsid w:val="004E0BAA"/>
    <w:rsid w:val="004E764A"/>
    <w:rsid w:val="004F026B"/>
    <w:rsid w:val="004F6C2C"/>
    <w:rsid w:val="00501A6E"/>
    <w:rsid w:val="005025C5"/>
    <w:rsid w:val="00502636"/>
    <w:rsid w:val="00507599"/>
    <w:rsid w:val="005156AF"/>
    <w:rsid w:val="00523729"/>
    <w:rsid w:val="00534287"/>
    <w:rsid w:val="0053567D"/>
    <w:rsid w:val="005364BD"/>
    <w:rsid w:val="00536D67"/>
    <w:rsid w:val="00537F77"/>
    <w:rsid w:val="00542FFE"/>
    <w:rsid w:val="005453DD"/>
    <w:rsid w:val="005570DF"/>
    <w:rsid w:val="005700EF"/>
    <w:rsid w:val="00576D59"/>
    <w:rsid w:val="00593D8B"/>
    <w:rsid w:val="00597418"/>
    <w:rsid w:val="00597E96"/>
    <w:rsid w:val="005B235B"/>
    <w:rsid w:val="005B3865"/>
    <w:rsid w:val="005B6267"/>
    <w:rsid w:val="005B68E7"/>
    <w:rsid w:val="005B72D9"/>
    <w:rsid w:val="005B7CFF"/>
    <w:rsid w:val="005C08DF"/>
    <w:rsid w:val="005C5ADC"/>
    <w:rsid w:val="005C5EFE"/>
    <w:rsid w:val="005D0CC9"/>
    <w:rsid w:val="005D179C"/>
    <w:rsid w:val="005D1B0C"/>
    <w:rsid w:val="005E1036"/>
    <w:rsid w:val="005E1949"/>
    <w:rsid w:val="005F1E6F"/>
    <w:rsid w:val="005F634A"/>
    <w:rsid w:val="005F65F2"/>
    <w:rsid w:val="00605F92"/>
    <w:rsid w:val="0061043A"/>
    <w:rsid w:val="00612B26"/>
    <w:rsid w:val="00613EE4"/>
    <w:rsid w:val="00621E63"/>
    <w:rsid w:val="00624DC8"/>
    <w:rsid w:val="00632EC1"/>
    <w:rsid w:val="00633B88"/>
    <w:rsid w:val="00641BC1"/>
    <w:rsid w:val="00644B55"/>
    <w:rsid w:val="006526F6"/>
    <w:rsid w:val="00653C2F"/>
    <w:rsid w:val="00655DCE"/>
    <w:rsid w:val="0065651B"/>
    <w:rsid w:val="00657951"/>
    <w:rsid w:val="006603C9"/>
    <w:rsid w:val="00663579"/>
    <w:rsid w:val="00665533"/>
    <w:rsid w:val="006674A4"/>
    <w:rsid w:val="006770AC"/>
    <w:rsid w:val="006800C4"/>
    <w:rsid w:val="00682D4F"/>
    <w:rsid w:val="0068445B"/>
    <w:rsid w:val="00685F06"/>
    <w:rsid w:val="00693B44"/>
    <w:rsid w:val="006A1102"/>
    <w:rsid w:val="006A4A4E"/>
    <w:rsid w:val="006B46E4"/>
    <w:rsid w:val="006B6F05"/>
    <w:rsid w:val="006C21B7"/>
    <w:rsid w:val="006C2C30"/>
    <w:rsid w:val="006C6A27"/>
    <w:rsid w:val="006D549A"/>
    <w:rsid w:val="006D63E2"/>
    <w:rsid w:val="006D6E92"/>
    <w:rsid w:val="006E13FC"/>
    <w:rsid w:val="006E166C"/>
    <w:rsid w:val="006E48F6"/>
    <w:rsid w:val="006E5B22"/>
    <w:rsid w:val="006E7D7F"/>
    <w:rsid w:val="006F65DC"/>
    <w:rsid w:val="00707E4E"/>
    <w:rsid w:val="007129FD"/>
    <w:rsid w:val="007222DD"/>
    <w:rsid w:val="007223A3"/>
    <w:rsid w:val="007235B8"/>
    <w:rsid w:val="007247B1"/>
    <w:rsid w:val="0072699F"/>
    <w:rsid w:val="0072774D"/>
    <w:rsid w:val="00727B14"/>
    <w:rsid w:val="007304FE"/>
    <w:rsid w:val="00730623"/>
    <w:rsid w:val="007314A3"/>
    <w:rsid w:val="00737F77"/>
    <w:rsid w:val="00741273"/>
    <w:rsid w:val="007447C2"/>
    <w:rsid w:val="0074644D"/>
    <w:rsid w:val="00750BE0"/>
    <w:rsid w:val="00751CD2"/>
    <w:rsid w:val="007522B1"/>
    <w:rsid w:val="00753A75"/>
    <w:rsid w:val="00756577"/>
    <w:rsid w:val="00762E66"/>
    <w:rsid w:val="00764322"/>
    <w:rsid w:val="00767A6E"/>
    <w:rsid w:val="00770896"/>
    <w:rsid w:val="00771843"/>
    <w:rsid w:val="0077497D"/>
    <w:rsid w:val="00775F12"/>
    <w:rsid w:val="0078419B"/>
    <w:rsid w:val="007864AD"/>
    <w:rsid w:val="007905E8"/>
    <w:rsid w:val="0079196C"/>
    <w:rsid w:val="00792F8F"/>
    <w:rsid w:val="007A0562"/>
    <w:rsid w:val="007A46E9"/>
    <w:rsid w:val="007B7D18"/>
    <w:rsid w:val="007C082C"/>
    <w:rsid w:val="007C1EC7"/>
    <w:rsid w:val="007C5B3E"/>
    <w:rsid w:val="007D7A55"/>
    <w:rsid w:val="007D7F9E"/>
    <w:rsid w:val="007F008C"/>
    <w:rsid w:val="007F0BB2"/>
    <w:rsid w:val="008035CA"/>
    <w:rsid w:val="00812EF1"/>
    <w:rsid w:val="008168A9"/>
    <w:rsid w:val="00817446"/>
    <w:rsid w:val="0082458C"/>
    <w:rsid w:val="008252E0"/>
    <w:rsid w:val="00825798"/>
    <w:rsid w:val="008260C7"/>
    <w:rsid w:val="00833039"/>
    <w:rsid w:val="00833C6D"/>
    <w:rsid w:val="00835E63"/>
    <w:rsid w:val="008363AB"/>
    <w:rsid w:val="008375BA"/>
    <w:rsid w:val="008505D6"/>
    <w:rsid w:val="00851C2F"/>
    <w:rsid w:val="008558B3"/>
    <w:rsid w:val="00857A48"/>
    <w:rsid w:val="00860A82"/>
    <w:rsid w:val="00860B60"/>
    <w:rsid w:val="008633C6"/>
    <w:rsid w:val="00864C4E"/>
    <w:rsid w:val="00866765"/>
    <w:rsid w:val="00867558"/>
    <w:rsid w:val="008718DD"/>
    <w:rsid w:val="00874675"/>
    <w:rsid w:val="00876BF6"/>
    <w:rsid w:val="00876FB7"/>
    <w:rsid w:val="00883517"/>
    <w:rsid w:val="00883772"/>
    <w:rsid w:val="00891292"/>
    <w:rsid w:val="00893015"/>
    <w:rsid w:val="00893737"/>
    <w:rsid w:val="00893801"/>
    <w:rsid w:val="0089535B"/>
    <w:rsid w:val="008A4D08"/>
    <w:rsid w:val="008B1E25"/>
    <w:rsid w:val="008B29EA"/>
    <w:rsid w:val="008B3E29"/>
    <w:rsid w:val="008B4413"/>
    <w:rsid w:val="008B4A58"/>
    <w:rsid w:val="008C3FAA"/>
    <w:rsid w:val="008D2BED"/>
    <w:rsid w:val="008F2EFA"/>
    <w:rsid w:val="008F7F1C"/>
    <w:rsid w:val="00902F70"/>
    <w:rsid w:val="009121A0"/>
    <w:rsid w:val="00913B77"/>
    <w:rsid w:val="00922727"/>
    <w:rsid w:val="009340F9"/>
    <w:rsid w:val="009367A9"/>
    <w:rsid w:val="00946E58"/>
    <w:rsid w:val="00950AD7"/>
    <w:rsid w:val="00953014"/>
    <w:rsid w:val="00955BBD"/>
    <w:rsid w:val="009604C2"/>
    <w:rsid w:val="00960599"/>
    <w:rsid w:val="00966562"/>
    <w:rsid w:val="009709EC"/>
    <w:rsid w:val="0099242D"/>
    <w:rsid w:val="009927C7"/>
    <w:rsid w:val="009A134E"/>
    <w:rsid w:val="009A23DE"/>
    <w:rsid w:val="009A4AEF"/>
    <w:rsid w:val="009A6598"/>
    <w:rsid w:val="009B0339"/>
    <w:rsid w:val="009B42E7"/>
    <w:rsid w:val="009C09C8"/>
    <w:rsid w:val="009C33E9"/>
    <w:rsid w:val="009C5279"/>
    <w:rsid w:val="009D4EC7"/>
    <w:rsid w:val="009D728A"/>
    <w:rsid w:val="009D7E21"/>
    <w:rsid w:val="009E5848"/>
    <w:rsid w:val="00A01108"/>
    <w:rsid w:val="00A1061E"/>
    <w:rsid w:val="00A12448"/>
    <w:rsid w:val="00A13EBC"/>
    <w:rsid w:val="00A161A4"/>
    <w:rsid w:val="00A17DC2"/>
    <w:rsid w:val="00A429D6"/>
    <w:rsid w:val="00A46174"/>
    <w:rsid w:val="00A5447B"/>
    <w:rsid w:val="00A574FC"/>
    <w:rsid w:val="00A73C2A"/>
    <w:rsid w:val="00A74D20"/>
    <w:rsid w:val="00A74FDA"/>
    <w:rsid w:val="00A81396"/>
    <w:rsid w:val="00A86C4D"/>
    <w:rsid w:val="00A86FD5"/>
    <w:rsid w:val="00A908A2"/>
    <w:rsid w:val="00A97CD2"/>
    <w:rsid w:val="00AA1D60"/>
    <w:rsid w:val="00AB1D33"/>
    <w:rsid w:val="00AB2C6C"/>
    <w:rsid w:val="00AB3ED6"/>
    <w:rsid w:val="00AB519B"/>
    <w:rsid w:val="00AB51B1"/>
    <w:rsid w:val="00AB74BF"/>
    <w:rsid w:val="00AB7C24"/>
    <w:rsid w:val="00AC323E"/>
    <w:rsid w:val="00AC388D"/>
    <w:rsid w:val="00AF3139"/>
    <w:rsid w:val="00AF51C2"/>
    <w:rsid w:val="00B01EF9"/>
    <w:rsid w:val="00B06364"/>
    <w:rsid w:val="00B1411D"/>
    <w:rsid w:val="00B161D3"/>
    <w:rsid w:val="00B16BD5"/>
    <w:rsid w:val="00B176CC"/>
    <w:rsid w:val="00B24E7E"/>
    <w:rsid w:val="00B36057"/>
    <w:rsid w:val="00B3739A"/>
    <w:rsid w:val="00B55C52"/>
    <w:rsid w:val="00B71122"/>
    <w:rsid w:val="00B743F6"/>
    <w:rsid w:val="00B965F2"/>
    <w:rsid w:val="00B96B2A"/>
    <w:rsid w:val="00BA2783"/>
    <w:rsid w:val="00BA53FA"/>
    <w:rsid w:val="00BB5919"/>
    <w:rsid w:val="00BC2167"/>
    <w:rsid w:val="00BC29FF"/>
    <w:rsid w:val="00BC2CA9"/>
    <w:rsid w:val="00BC5494"/>
    <w:rsid w:val="00BD303D"/>
    <w:rsid w:val="00BD48F2"/>
    <w:rsid w:val="00BD56C7"/>
    <w:rsid w:val="00BE05BC"/>
    <w:rsid w:val="00BF7EEF"/>
    <w:rsid w:val="00C01E07"/>
    <w:rsid w:val="00C121BC"/>
    <w:rsid w:val="00C13779"/>
    <w:rsid w:val="00C151C7"/>
    <w:rsid w:val="00C201EF"/>
    <w:rsid w:val="00C20E7C"/>
    <w:rsid w:val="00C25122"/>
    <w:rsid w:val="00C27C92"/>
    <w:rsid w:val="00C30799"/>
    <w:rsid w:val="00C4012E"/>
    <w:rsid w:val="00C41C19"/>
    <w:rsid w:val="00C472C2"/>
    <w:rsid w:val="00C51363"/>
    <w:rsid w:val="00C53104"/>
    <w:rsid w:val="00C60D0B"/>
    <w:rsid w:val="00C6191B"/>
    <w:rsid w:val="00C619D2"/>
    <w:rsid w:val="00C6226F"/>
    <w:rsid w:val="00C644CF"/>
    <w:rsid w:val="00C656D1"/>
    <w:rsid w:val="00C671DF"/>
    <w:rsid w:val="00C71A76"/>
    <w:rsid w:val="00C74FD2"/>
    <w:rsid w:val="00C75911"/>
    <w:rsid w:val="00C77815"/>
    <w:rsid w:val="00C813E3"/>
    <w:rsid w:val="00C821A3"/>
    <w:rsid w:val="00C83C95"/>
    <w:rsid w:val="00C87BB5"/>
    <w:rsid w:val="00C97CF9"/>
    <w:rsid w:val="00CB2F40"/>
    <w:rsid w:val="00CC42A7"/>
    <w:rsid w:val="00CD3368"/>
    <w:rsid w:val="00CF14EC"/>
    <w:rsid w:val="00CF4698"/>
    <w:rsid w:val="00CF65A1"/>
    <w:rsid w:val="00CF7689"/>
    <w:rsid w:val="00D10122"/>
    <w:rsid w:val="00D10930"/>
    <w:rsid w:val="00D1280F"/>
    <w:rsid w:val="00D15967"/>
    <w:rsid w:val="00D220C7"/>
    <w:rsid w:val="00D23256"/>
    <w:rsid w:val="00D255EB"/>
    <w:rsid w:val="00D258F0"/>
    <w:rsid w:val="00D31636"/>
    <w:rsid w:val="00D33C7F"/>
    <w:rsid w:val="00D344C6"/>
    <w:rsid w:val="00D355E9"/>
    <w:rsid w:val="00D36B49"/>
    <w:rsid w:val="00D407C4"/>
    <w:rsid w:val="00D41E4E"/>
    <w:rsid w:val="00D4202F"/>
    <w:rsid w:val="00D42FDD"/>
    <w:rsid w:val="00D43935"/>
    <w:rsid w:val="00D45374"/>
    <w:rsid w:val="00D53FB5"/>
    <w:rsid w:val="00D601A8"/>
    <w:rsid w:val="00D60481"/>
    <w:rsid w:val="00D64573"/>
    <w:rsid w:val="00D658EF"/>
    <w:rsid w:val="00D65F15"/>
    <w:rsid w:val="00D71238"/>
    <w:rsid w:val="00D75321"/>
    <w:rsid w:val="00D8342A"/>
    <w:rsid w:val="00D85151"/>
    <w:rsid w:val="00D915A6"/>
    <w:rsid w:val="00D91D16"/>
    <w:rsid w:val="00D925E6"/>
    <w:rsid w:val="00D9655C"/>
    <w:rsid w:val="00DA4B02"/>
    <w:rsid w:val="00DA7E75"/>
    <w:rsid w:val="00DB262E"/>
    <w:rsid w:val="00DB7DAB"/>
    <w:rsid w:val="00DC09CC"/>
    <w:rsid w:val="00DC427E"/>
    <w:rsid w:val="00DC533E"/>
    <w:rsid w:val="00DC56B7"/>
    <w:rsid w:val="00DC6E5C"/>
    <w:rsid w:val="00DD5210"/>
    <w:rsid w:val="00DE3495"/>
    <w:rsid w:val="00DE4199"/>
    <w:rsid w:val="00DF0A32"/>
    <w:rsid w:val="00DF6144"/>
    <w:rsid w:val="00E067AB"/>
    <w:rsid w:val="00E128D5"/>
    <w:rsid w:val="00E1581A"/>
    <w:rsid w:val="00E236B7"/>
    <w:rsid w:val="00E325AA"/>
    <w:rsid w:val="00E3574A"/>
    <w:rsid w:val="00E35DCA"/>
    <w:rsid w:val="00E373E7"/>
    <w:rsid w:val="00E45B3F"/>
    <w:rsid w:val="00E46432"/>
    <w:rsid w:val="00E464D5"/>
    <w:rsid w:val="00E4754D"/>
    <w:rsid w:val="00E51ED6"/>
    <w:rsid w:val="00E53DC7"/>
    <w:rsid w:val="00E604FE"/>
    <w:rsid w:val="00E618DD"/>
    <w:rsid w:val="00E677C5"/>
    <w:rsid w:val="00E72ACF"/>
    <w:rsid w:val="00E804E4"/>
    <w:rsid w:val="00E81FC8"/>
    <w:rsid w:val="00E904BB"/>
    <w:rsid w:val="00E91C07"/>
    <w:rsid w:val="00E93439"/>
    <w:rsid w:val="00E96A84"/>
    <w:rsid w:val="00EA395F"/>
    <w:rsid w:val="00EA517D"/>
    <w:rsid w:val="00EB7F54"/>
    <w:rsid w:val="00EC09A9"/>
    <w:rsid w:val="00ED2DAF"/>
    <w:rsid w:val="00ED7667"/>
    <w:rsid w:val="00ED781E"/>
    <w:rsid w:val="00EE1A0F"/>
    <w:rsid w:val="00EE28F7"/>
    <w:rsid w:val="00EE7B52"/>
    <w:rsid w:val="00EF268D"/>
    <w:rsid w:val="00EF6EFC"/>
    <w:rsid w:val="00EF747A"/>
    <w:rsid w:val="00F03DA6"/>
    <w:rsid w:val="00F049AB"/>
    <w:rsid w:val="00F07DE6"/>
    <w:rsid w:val="00F07F55"/>
    <w:rsid w:val="00F104FE"/>
    <w:rsid w:val="00F20BCB"/>
    <w:rsid w:val="00F2137D"/>
    <w:rsid w:val="00F22374"/>
    <w:rsid w:val="00F25445"/>
    <w:rsid w:val="00F42620"/>
    <w:rsid w:val="00F469A3"/>
    <w:rsid w:val="00F53E87"/>
    <w:rsid w:val="00F5743C"/>
    <w:rsid w:val="00F5762F"/>
    <w:rsid w:val="00F639E4"/>
    <w:rsid w:val="00F70C64"/>
    <w:rsid w:val="00F71FC9"/>
    <w:rsid w:val="00F77CBF"/>
    <w:rsid w:val="00F80B55"/>
    <w:rsid w:val="00F852D3"/>
    <w:rsid w:val="00F91ACF"/>
    <w:rsid w:val="00F9553A"/>
    <w:rsid w:val="00FA21C3"/>
    <w:rsid w:val="00FA3A67"/>
    <w:rsid w:val="00FB0DEB"/>
    <w:rsid w:val="00FB31CC"/>
    <w:rsid w:val="00FD590A"/>
    <w:rsid w:val="00FE3BC7"/>
    <w:rsid w:val="00FE3D6A"/>
    <w:rsid w:val="00FE5560"/>
    <w:rsid w:val="00FF48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1061C7"/>
  <w15:chartTrackingRefBased/>
  <w15:docId w15:val="{BC06D80C-3AB9-4566-84C4-E18007D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C4F"/>
  </w:style>
  <w:style w:type="paragraph" w:styleId="Heading1">
    <w:name w:val="heading 1"/>
    <w:basedOn w:val="Normal"/>
    <w:next w:val="Normal"/>
    <w:link w:val="Heading1Char"/>
    <w:uiPriority w:val="9"/>
    <w:qFormat/>
    <w:rsid w:val="00B711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919"/>
    <w:pPr>
      <w:ind w:left="720"/>
      <w:contextualSpacing/>
    </w:pPr>
  </w:style>
  <w:style w:type="paragraph" w:styleId="Header">
    <w:name w:val="header"/>
    <w:basedOn w:val="Normal"/>
    <w:link w:val="HeaderChar"/>
    <w:uiPriority w:val="99"/>
    <w:unhideWhenUsed/>
    <w:rsid w:val="00535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67D"/>
  </w:style>
  <w:style w:type="paragraph" w:styleId="Footer">
    <w:name w:val="footer"/>
    <w:basedOn w:val="Normal"/>
    <w:link w:val="FooterChar"/>
    <w:uiPriority w:val="99"/>
    <w:unhideWhenUsed/>
    <w:rsid w:val="00535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67D"/>
  </w:style>
  <w:style w:type="character" w:styleId="CommentReference">
    <w:name w:val="annotation reference"/>
    <w:basedOn w:val="DefaultParagraphFont"/>
    <w:uiPriority w:val="99"/>
    <w:semiHidden/>
    <w:unhideWhenUsed/>
    <w:rsid w:val="00015836"/>
    <w:rPr>
      <w:sz w:val="16"/>
      <w:szCs w:val="16"/>
    </w:rPr>
  </w:style>
  <w:style w:type="paragraph" w:styleId="CommentText">
    <w:name w:val="annotation text"/>
    <w:basedOn w:val="Normal"/>
    <w:link w:val="CommentTextChar"/>
    <w:uiPriority w:val="99"/>
    <w:unhideWhenUsed/>
    <w:rsid w:val="00015836"/>
    <w:pPr>
      <w:spacing w:line="240" w:lineRule="auto"/>
    </w:pPr>
    <w:rPr>
      <w:sz w:val="20"/>
      <w:szCs w:val="20"/>
    </w:rPr>
  </w:style>
  <w:style w:type="character" w:customStyle="1" w:styleId="CommentTextChar">
    <w:name w:val="Comment Text Char"/>
    <w:basedOn w:val="DefaultParagraphFont"/>
    <w:link w:val="CommentText"/>
    <w:uiPriority w:val="99"/>
    <w:rsid w:val="00015836"/>
    <w:rPr>
      <w:sz w:val="20"/>
      <w:szCs w:val="20"/>
    </w:rPr>
  </w:style>
  <w:style w:type="paragraph" w:styleId="CommentSubject">
    <w:name w:val="annotation subject"/>
    <w:basedOn w:val="CommentText"/>
    <w:next w:val="CommentText"/>
    <w:link w:val="CommentSubjectChar"/>
    <w:uiPriority w:val="99"/>
    <w:semiHidden/>
    <w:unhideWhenUsed/>
    <w:rsid w:val="00015836"/>
    <w:rPr>
      <w:b/>
      <w:bCs/>
    </w:rPr>
  </w:style>
  <w:style w:type="character" w:customStyle="1" w:styleId="CommentSubjectChar">
    <w:name w:val="Comment Subject Char"/>
    <w:basedOn w:val="CommentTextChar"/>
    <w:link w:val="CommentSubject"/>
    <w:uiPriority w:val="99"/>
    <w:semiHidden/>
    <w:rsid w:val="00015836"/>
    <w:rPr>
      <w:b/>
      <w:bCs/>
      <w:sz w:val="20"/>
      <w:szCs w:val="20"/>
    </w:rPr>
  </w:style>
  <w:style w:type="paragraph" w:styleId="BalloonText">
    <w:name w:val="Balloon Text"/>
    <w:basedOn w:val="Normal"/>
    <w:link w:val="BalloonTextChar"/>
    <w:uiPriority w:val="99"/>
    <w:semiHidden/>
    <w:unhideWhenUsed/>
    <w:rsid w:val="00015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836"/>
    <w:rPr>
      <w:rFonts w:ascii="Segoe UI" w:hAnsi="Segoe UI" w:cs="Segoe UI"/>
      <w:sz w:val="18"/>
      <w:szCs w:val="18"/>
    </w:rPr>
  </w:style>
  <w:style w:type="table" w:styleId="TableGrid">
    <w:name w:val="Table Grid"/>
    <w:basedOn w:val="TableNormal"/>
    <w:uiPriority w:val="39"/>
    <w:rsid w:val="00DD5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0C97"/>
    <w:pPr>
      <w:spacing w:after="0" w:line="240" w:lineRule="auto"/>
    </w:pPr>
  </w:style>
  <w:style w:type="character" w:styleId="Hyperlink">
    <w:name w:val="Hyperlink"/>
    <w:basedOn w:val="DefaultParagraphFont"/>
    <w:uiPriority w:val="99"/>
    <w:unhideWhenUsed/>
    <w:rsid w:val="005D1B0C"/>
    <w:rPr>
      <w:color w:val="0563C1"/>
      <w:u w:val="single"/>
    </w:rPr>
  </w:style>
  <w:style w:type="character" w:styleId="UnresolvedMention">
    <w:name w:val="Unresolved Mention"/>
    <w:basedOn w:val="DefaultParagraphFont"/>
    <w:uiPriority w:val="99"/>
    <w:semiHidden/>
    <w:unhideWhenUsed/>
    <w:rsid w:val="00E53DC7"/>
    <w:rPr>
      <w:color w:val="605E5C"/>
      <w:shd w:val="clear" w:color="auto" w:fill="E1DFDD"/>
    </w:rPr>
  </w:style>
  <w:style w:type="character" w:customStyle="1" w:styleId="Heading1Char">
    <w:name w:val="Heading 1 Char"/>
    <w:basedOn w:val="DefaultParagraphFont"/>
    <w:link w:val="Heading1"/>
    <w:uiPriority w:val="9"/>
    <w:rsid w:val="00B7112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71122"/>
    <w:pPr>
      <w:outlineLvl w:val="9"/>
    </w:pPr>
  </w:style>
  <w:style w:type="paragraph" w:styleId="TOC2">
    <w:name w:val="toc 2"/>
    <w:basedOn w:val="Normal"/>
    <w:next w:val="Normal"/>
    <w:autoRedefine/>
    <w:uiPriority w:val="39"/>
    <w:unhideWhenUsed/>
    <w:rsid w:val="00B71122"/>
    <w:pPr>
      <w:spacing w:after="100"/>
      <w:ind w:left="220"/>
    </w:pPr>
    <w:rPr>
      <w:rFonts w:eastAsiaTheme="minorEastAsia" w:cs="Times New Roman"/>
    </w:rPr>
  </w:style>
  <w:style w:type="paragraph" w:styleId="TOC1">
    <w:name w:val="toc 1"/>
    <w:basedOn w:val="Normal"/>
    <w:next w:val="Normal"/>
    <w:autoRedefine/>
    <w:uiPriority w:val="39"/>
    <w:unhideWhenUsed/>
    <w:rsid w:val="0000645E"/>
    <w:pPr>
      <w:spacing w:after="100"/>
    </w:pPr>
    <w:rPr>
      <w:rFonts w:eastAsiaTheme="minorEastAsia" w:cs="Times New Roman"/>
    </w:rPr>
  </w:style>
  <w:style w:type="paragraph" w:styleId="TOC3">
    <w:name w:val="toc 3"/>
    <w:basedOn w:val="Normal"/>
    <w:next w:val="Normal"/>
    <w:autoRedefine/>
    <w:uiPriority w:val="39"/>
    <w:unhideWhenUsed/>
    <w:rsid w:val="00B71122"/>
    <w:pPr>
      <w:spacing w:after="100"/>
      <w:ind w:left="440"/>
    </w:pPr>
    <w:rPr>
      <w:rFonts w:eastAsiaTheme="minorEastAsia" w:cs="Times New Roman"/>
    </w:rPr>
  </w:style>
  <w:style w:type="paragraph" w:customStyle="1" w:styleId="Default">
    <w:name w:val="Default"/>
    <w:rsid w:val="00597E9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sp.cdc.gov/sites/ophpr/DSLR/PSB/PODM/Resources/CDC-RFA-TP19-1901%20NOFO.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file:///C:\Users\fvi8\AppData\Local\Microsoft\Windows\INetCache\Content.Outlook\8BF38NDN\www.bls.gov\oes\current\oes_nat.htm" TargetMode="External" /><Relationship Id="rId7" Type="http://schemas.openxmlformats.org/officeDocument/2006/relationships/hyperlink" Target="https://www.cdc.gov/cpr/readiness/phep.htm" TargetMode="External" /><Relationship Id="rId8" Type="http://schemas.openxmlformats.org/officeDocument/2006/relationships/hyperlink" Target="https://www.cdc.gov/cpr/readiness/orr.html" TargetMode="External" /><Relationship Id="rId9" Type="http://schemas.openxmlformats.org/officeDocument/2006/relationships/hyperlink" Target="https://www.cdc.gov/cpr/readiness/00_docs/CDC_PreparednesResponseCapabilities_October2018_Final_5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C6B8C-3BE9-418C-9CB7-05FD09827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4294</Words>
  <Characters>24477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Sanborn, Molly (CDC/DDPHSIS/CPR/DSLR)</dc:creator>
  <cp:lastModifiedBy>Sims, Thelma (CDC/OD/OS)</cp:lastModifiedBy>
  <cp:revision>3</cp:revision>
  <cp:lastPrinted>2020-03-11T15:02:00Z</cp:lastPrinted>
  <dcterms:created xsi:type="dcterms:W3CDTF">2024-12-12T17:24:00Z</dcterms:created>
  <dcterms:modified xsi:type="dcterms:W3CDTF">2024-12-13T20:37:00Z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7e1e82b0-a8a9-410b-ac09-e75cc002880b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2020-11-02T20:17:38Z</vt:lpwstr>
  </property>
  <property fmtid="{D5CDD505-2E9C-101B-9397-08002B2CF9AE}" pid="8" name="MSIP_Label_7b94a7b8-f06c-4dfe-bdcc-9b548fd58c31_SiteId">
    <vt:lpwstr>9ce70869-60db-44fd-abe8-d2767077fc8f</vt:lpwstr>
  </property>
</Properties>
</file>