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20D6C" w:rsidRPr="005B6DB5" w:rsidP="00366952" w14:paraId="1F0EA1A5" w14:textId="77777777">
      <w:pPr>
        <w:spacing w:after="0"/>
        <w:jc w:val="center"/>
        <w:rPr>
          <w:rFonts w:ascii="Times New Roman" w:hAnsi="Times New Roman" w:cs="Times New Roman"/>
          <w:sz w:val="24"/>
          <w:szCs w:val="24"/>
        </w:rPr>
      </w:pPr>
      <w:r w:rsidRPr="005B6DB5">
        <w:rPr>
          <w:rFonts w:ascii="Times New Roman" w:hAnsi="Times New Roman" w:cs="Times New Roman"/>
          <w:sz w:val="24"/>
          <w:szCs w:val="24"/>
        </w:rPr>
        <w:t>Attachment 1 – Authorizing Legislation</w:t>
      </w:r>
    </w:p>
    <w:p w:rsidR="000131BD" w:rsidP="005B6DB5" w14:paraId="0F5BF296" w14:textId="77777777">
      <w:pPr>
        <w:spacing w:before="240" w:after="0"/>
        <w:rPr>
          <w:rFonts w:ascii="Times New Roman" w:hAnsi="Times New Roman" w:cs="Times New Roman"/>
          <w:sz w:val="24"/>
          <w:szCs w:val="20"/>
        </w:rPr>
      </w:pPr>
    </w:p>
    <w:p w:rsidR="005B6DB5" w:rsidRPr="005B6DB5" w:rsidP="005B6DB5" w14:paraId="55762E72" w14:textId="192E40D1">
      <w:pPr>
        <w:spacing w:before="240" w:after="0"/>
        <w:rPr>
          <w:rFonts w:ascii="Times New Roman" w:hAnsi="Times New Roman" w:cs="Times New Roman"/>
          <w:sz w:val="24"/>
          <w:szCs w:val="20"/>
        </w:rPr>
      </w:pPr>
      <w:r w:rsidRPr="005B6DB5">
        <w:rPr>
          <w:rFonts w:ascii="Times New Roman" w:hAnsi="Times New Roman" w:cs="Times New Roman"/>
          <w:sz w:val="24"/>
          <w:szCs w:val="20"/>
        </w:rPr>
        <w:t>Section 319C-1 of the Public Health Service (PHS) Act (4</w:t>
      </w:r>
      <w:r w:rsidR="005A40FE">
        <w:rPr>
          <w:rFonts w:ascii="Times New Roman" w:hAnsi="Times New Roman" w:cs="Times New Roman"/>
          <w:sz w:val="24"/>
          <w:szCs w:val="20"/>
        </w:rPr>
        <w:t>2</w:t>
      </w:r>
      <w:r w:rsidRPr="005B6DB5">
        <w:rPr>
          <w:rFonts w:ascii="Times New Roman" w:hAnsi="Times New Roman" w:cs="Times New Roman"/>
          <w:sz w:val="24"/>
          <w:szCs w:val="20"/>
        </w:rPr>
        <w:t xml:space="preserve"> USC § 247d-3a)</w:t>
      </w:r>
    </w:p>
    <w:p w:rsidR="005B6DB5" w:rsidP="005B6DB5" w14:paraId="31E0AFF8" w14:textId="77777777">
      <w:pPr>
        <w:spacing w:after="0"/>
        <w:rPr>
          <w:rFonts w:ascii="Times New Roman" w:hAnsi="Times New Roman" w:cs="Times New Roman"/>
          <w:sz w:val="24"/>
          <w:szCs w:val="24"/>
        </w:rPr>
      </w:pPr>
      <w:hyperlink r:id="rId4" w:history="1">
        <w:r w:rsidRPr="00832F93">
          <w:rPr>
            <w:rStyle w:val="Hyperlink"/>
            <w:rFonts w:ascii="Times New Roman" w:hAnsi="Times New Roman" w:cs="Times New Roman"/>
            <w:sz w:val="24"/>
            <w:szCs w:val="24"/>
          </w:rPr>
          <w:t>https://www.law.cornell.edu/uscode/text/42/247d-3a</w:t>
        </w:r>
      </w:hyperlink>
      <w:r>
        <w:rPr>
          <w:rFonts w:ascii="Times New Roman" w:hAnsi="Times New Roman" w:cs="Times New Roman"/>
          <w:sz w:val="24"/>
          <w:szCs w:val="24"/>
        </w:rPr>
        <w:t xml:space="preserve"> </w:t>
      </w:r>
    </w:p>
    <w:p w:rsidR="005B6DB5" w:rsidP="005B6DB5" w14:paraId="13CB8DCB" w14:textId="77777777">
      <w:pPr>
        <w:spacing w:after="0"/>
        <w:rPr>
          <w:rFonts w:ascii="Times New Roman" w:hAnsi="Times New Roman" w:cs="Times New Roman"/>
          <w:sz w:val="24"/>
          <w:szCs w:val="24"/>
        </w:rPr>
      </w:pPr>
    </w:p>
    <w:p w:rsidR="004854B5" w:rsidRPr="00FB4471" w:rsidP="005B6DB5" w14:paraId="030B7047" w14:textId="77777777">
      <w:pPr>
        <w:spacing w:after="0"/>
        <w:rPr>
          <w:rStyle w:val="heading2"/>
          <w:rFonts w:ascii="Times New Roman" w:hAnsi="Times New Roman" w:cs="Times New Roman"/>
          <w:sz w:val="24"/>
          <w:szCs w:val="24"/>
          <w:lang w:val="en"/>
        </w:rPr>
      </w:pPr>
      <w:r w:rsidRPr="00FB4471">
        <w:rPr>
          <w:rStyle w:val="heading2"/>
          <w:rFonts w:ascii="Times New Roman" w:hAnsi="Times New Roman" w:cs="Times New Roman"/>
          <w:sz w:val="24"/>
          <w:szCs w:val="24"/>
          <w:lang w:val="en"/>
        </w:rPr>
        <w:t>42 U.S. Code</w:t>
      </w:r>
      <w:r w:rsidRPr="00FB4471">
        <w:rPr>
          <w:rFonts w:ascii="Times New Roman" w:hAnsi="Times New Roman" w:cs="Times New Roman"/>
          <w:sz w:val="24"/>
          <w:szCs w:val="24"/>
          <w:lang w:val="en"/>
        </w:rPr>
        <w:t xml:space="preserve"> </w:t>
      </w:r>
      <w:r w:rsidRPr="00FB4471">
        <w:rPr>
          <w:rStyle w:val="num2"/>
          <w:rFonts w:ascii="Times New Roman" w:hAnsi="Times New Roman" w:cs="Times New Roman"/>
          <w:sz w:val="24"/>
          <w:szCs w:val="24"/>
          <w:lang w:val="en"/>
        </w:rPr>
        <w:t>§ 247d–3a.</w:t>
      </w:r>
      <w:r w:rsidRPr="00FB4471">
        <w:rPr>
          <w:rFonts w:ascii="Times New Roman" w:hAnsi="Times New Roman" w:cs="Times New Roman"/>
          <w:sz w:val="24"/>
          <w:szCs w:val="24"/>
          <w:lang w:val="en"/>
        </w:rPr>
        <w:t xml:space="preserve"> </w:t>
      </w:r>
      <w:r w:rsidRPr="00FB4471">
        <w:rPr>
          <w:rStyle w:val="heading2"/>
          <w:rFonts w:ascii="Times New Roman" w:hAnsi="Times New Roman" w:cs="Times New Roman"/>
          <w:sz w:val="24"/>
          <w:szCs w:val="24"/>
          <w:lang w:val="en"/>
        </w:rPr>
        <w:t>Improving State and local public health security</w:t>
      </w:r>
    </w:p>
    <w:p w:rsidR="00FB4471" w:rsidP="005B6DB5" w14:paraId="68DF0ADD" w14:textId="77777777">
      <w:pPr>
        <w:spacing w:after="0"/>
        <w:rPr>
          <w:rStyle w:val="heading2"/>
          <w:lang w:val="en"/>
        </w:rPr>
      </w:pPr>
    </w:p>
    <w:p w:rsidR="004854B5" w:rsidRPr="004854B5" w:rsidP="004854B5" w14:paraId="4FB0AD88" w14:textId="77777777">
      <w:pPr>
        <w:pStyle w:val="ListParagraph"/>
        <w:numPr>
          <w:ilvl w:val="0"/>
          <w:numId w:val="2"/>
        </w:numPr>
        <w:autoSpaceDE w:val="0"/>
        <w:autoSpaceDN w:val="0"/>
        <w:spacing w:after="0" w:line="240" w:lineRule="auto"/>
        <w:ind w:left="360"/>
        <w:rPr>
          <w:rFonts w:ascii="Times New Roman" w:eastAsia="Times New Roman" w:hAnsi="Times New Roman" w:cs="Times New Roman"/>
          <w:b/>
          <w:bCs/>
          <w:color w:val="000000"/>
          <w:sz w:val="24"/>
          <w:szCs w:val="24"/>
          <w:lang w:val="en"/>
        </w:rPr>
      </w:pPr>
      <w:bookmarkStart w:id="0" w:name="a"/>
      <w:bookmarkEnd w:id="0"/>
      <w:r w:rsidRPr="004854B5">
        <w:rPr>
          <w:rFonts w:ascii="Times New Roman" w:eastAsia="Times New Roman" w:hAnsi="Times New Roman" w:cs="Times New Roman"/>
          <w:b/>
          <w:bCs/>
          <w:color w:val="000000"/>
          <w:sz w:val="24"/>
          <w:szCs w:val="24"/>
          <w:lang w:val="en"/>
        </w:rPr>
        <w:t xml:space="preserve">In general </w:t>
      </w:r>
    </w:p>
    <w:p w:rsidR="004854B5" w:rsidRPr="004854B5" w:rsidP="004854B5" w14:paraId="47FE24CE" w14:textId="77777777">
      <w:pPr>
        <w:pStyle w:val="ListParagraph"/>
        <w:autoSpaceDE w:val="0"/>
        <w:autoSpaceDN w:val="0"/>
        <w:spacing w:after="0" w:line="240" w:lineRule="auto"/>
        <w:rPr>
          <w:rFonts w:ascii="Times New Roman" w:eastAsia="Times New Roman" w:hAnsi="Times New Roman" w:cs="Times New Roman"/>
          <w:color w:val="000000"/>
          <w:sz w:val="24"/>
          <w:szCs w:val="24"/>
          <w:lang w:val="en"/>
        </w:rPr>
      </w:pPr>
      <w:r w:rsidRPr="004854B5">
        <w:rPr>
          <w:rFonts w:ascii="Times New Roman" w:eastAsia="Times New Roman" w:hAnsi="Times New Roman" w:cs="Times New Roman"/>
          <w:color w:val="000000"/>
          <w:sz w:val="24"/>
          <w:szCs w:val="24"/>
          <w:lang w:val="en"/>
        </w:rPr>
        <w:t xml:space="preserve">To enhance the security of the United States with respect to public health emergencies, the </w:t>
      </w:r>
      <w:hyperlink r:id="rId5" w:history="1">
        <w:r w:rsidRPr="004854B5">
          <w:rPr>
            <w:rFonts w:ascii="Times New Roman" w:eastAsia="Times New Roman" w:hAnsi="Times New Roman" w:cs="Times New Roman"/>
            <w:color w:val="0068AC"/>
            <w:sz w:val="24"/>
            <w:szCs w:val="24"/>
            <w:lang w:val="en"/>
          </w:rPr>
          <w:t>Secretary</w:t>
        </w:r>
      </w:hyperlink>
      <w:r w:rsidRPr="004854B5">
        <w:rPr>
          <w:rFonts w:ascii="Times New Roman" w:eastAsia="Times New Roman" w:hAnsi="Times New Roman" w:cs="Times New Roman"/>
          <w:color w:val="000000"/>
          <w:sz w:val="24"/>
          <w:szCs w:val="24"/>
          <w:lang w:val="en"/>
        </w:rPr>
        <w:t>, acting through the Director of the Centers for Disease Control and Prevention, shall award cooperative agreements to eligible entities to enable such entities to conduct the activities described in subsection (d).</w:t>
      </w:r>
    </w:p>
    <w:p w:rsidR="005B6DB5" w:rsidP="005B6DB5" w14:paraId="7BD6C9F9" w14:textId="77777777">
      <w:pPr>
        <w:spacing w:after="0"/>
        <w:rPr>
          <w:rFonts w:ascii="Times New Roman" w:hAnsi="Times New Roman" w:cs="Times New Roman"/>
          <w:sz w:val="24"/>
          <w:szCs w:val="24"/>
        </w:rPr>
      </w:pPr>
    </w:p>
    <w:p w:rsidR="004854B5" w:rsidP="005B6DB5" w14:paraId="7A0F5F2C" w14:textId="77777777">
      <w:pPr>
        <w:spacing w:after="0"/>
        <w:rPr>
          <w:rFonts w:ascii="Times New Roman" w:hAnsi="Times New Roman" w:cs="Times New Roman"/>
          <w:sz w:val="24"/>
          <w:szCs w:val="24"/>
        </w:rPr>
      </w:pPr>
    </w:p>
    <w:p w:rsidR="004854B5" w:rsidRPr="004854B5" w:rsidP="004854B5" w14:paraId="3AC315CB" w14:textId="77777777">
      <w:pPr>
        <w:autoSpaceDE w:val="0"/>
        <w:autoSpaceDN w:val="0"/>
        <w:spacing w:after="0" w:line="240" w:lineRule="auto"/>
        <w:rPr>
          <w:rFonts w:ascii="Times New Roman" w:eastAsia="Times New Roman" w:hAnsi="Times New Roman" w:cs="Times New Roman"/>
          <w:b/>
          <w:bCs/>
          <w:color w:val="000000"/>
          <w:sz w:val="24"/>
          <w:szCs w:val="24"/>
          <w:lang w:val="en"/>
        </w:rPr>
      </w:pPr>
      <w:bookmarkStart w:id="1" w:name="k"/>
      <w:bookmarkEnd w:id="1"/>
      <w:r w:rsidRPr="004854B5">
        <w:rPr>
          <w:rFonts w:ascii="Times New Roman" w:eastAsia="Times New Roman" w:hAnsi="Times New Roman" w:cs="Times New Roman"/>
          <w:b/>
          <w:bCs/>
          <w:color w:val="000000"/>
          <w:sz w:val="24"/>
          <w:szCs w:val="24"/>
          <w:lang w:val="en"/>
        </w:rPr>
        <w:t xml:space="preserve">(k) Evaluation </w:t>
      </w:r>
    </w:p>
    <w:p w:rsidR="004854B5" w:rsidP="004854B5" w14:paraId="6927DB7E" w14:textId="77777777">
      <w:pPr>
        <w:autoSpaceDE w:val="0"/>
        <w:autoSpaceDN w:val="0"/>
        <w:spacing w:after="0" w:line="240" w:lineRule="auto"/>
        <w:ind w:firstLine="720"/>
        <w:rPr>
          <w:rFonts w:ascii="Times New Roman" w:eastAsia="Times New Roman" w:hAnsi="Times New Roman" w:cs="Times New Roman"/>
          <w:b/>
          <w:bCs/>
          <w:color w:val="000000"/>
          <w:sz w:val="24"/>
          <w:szCs w:val="24"/>
          <w:lang w:val="en"/>
        </w:rPr>
      </w:pPr>
      <w:bookmarkStart w:id="2" w:name="k_1"/>
      <w:bookmarkEnd w:id="2"/>
      <w:r w:rsidRPr="004854B5">
        <w:rPr>
          <w:rFonts w:ascii="Times New Roman" w:eastAsia="Times New Roman" w:hAnsi="Times New Roman" w:cs="Times New Roman"/>
          <w:b/>
          <w:bCs/>
          <w:color w:val="000000"/>
          <w:sz w:val="24"/>
          <w:szCs w:val="24"/>
          <w:lang w:val="en"/>
        </w:rPr>
        <w:t xml:space="preserve">(1) In general </w:t>
      </w:r>
    </w:p>
    <w:p w:rsidR="004854B5" w:rsidRPr="004854B5" w:rsidP="004854B5" w14:paraId="391C6D4E" w14:textId="77777777">
      <w:pPr>
        <w:autoSpaceDE w:val="0"/>
        <w:autoSpaceDN w:val="0"/>
        <w:spacing w:after="0" w:line="240" w:lineRule="auto"/>
        <w:ind w:left="720"/>
        <w:rPr>
          <w:rFonts w:ascii="Times New Roman" w:eastAsia="Times New Roman" w:hAnsi="Times New Roman" w:cs="Times New Roman"/>
          <w:color w:val="000000"/>
          <w:sz w:val="24"/>
          <w:szCs w:val="24"/>
          <w:lang w:val="en"/>
        </w:rPr>
      </w:pPr>
      <w:r w:rsidRPr="004854B5">
        <w:rPr>
          <w:rFonts w:ascii="Times New Roman" w:eastAsia="Times New Roman" w:hAnsi="Times New Roman" w:cs="Times New Roman"/>
          <w:color w:val="000000"/>
          <w:sz w:val="24"/>
          <w:szCs w:val="24"/>
          <w:lang w:val="en"/>
        </w:rPr>
        <w:t>Not later than 2 years after June 24, 2019, and every 2 years thereafter, the</w:t>
      </w:r>
      <w:hyperlink r:id="rId5" w:history="1">
        <w:r w:rsidRPr="004854B5">
          <w:rPr>
            <w:rFonts w:ascii="Times New Roman" w:eastAsia="Times New Roman" w:hAnsi="Times New Roman" w:cs="Times New Roman"/>
            <w:color w:val="0068AC"/>
            <w:sz w:val="24"/>
            <w:szCs w:val="24"/>
            <w:lang w:val="en"/>
          </w:rPr>
          <w:t xml:space="preserve"> Secretary </w:t>
        </w:r>
      </w:hyperlink>
      <w:r w:rsidRPr="004854B5">
        <w:rPr>
          <w:rFonts w:ascii="Times New Roman" w:eastAsia="Times New Roman" w:hAnsi="Times New Roman" w:cs="Times New Roman"/>
          <w:color w:val="000000"/>
          <w:sz w:val="24"/>
          <w:szCs w:val="24"/>
          <w:lang w:val="en"/>
        </w:rPr>
        <w:t xml:space="preserve">shall conduct an evaluation of the evidence-based benchmarks and objective standards required under subsection (g). Such evaluation shall be submitted to the congressional committees of jurisdiction together with the National Health Security Strategy under </w:t>
      </w:r>
      <w:hyperlink r:id="rId6" w:history="1">
        <w:r w:rsidRPr="004854B5">
          <w:rPr>
            <w:rFonts w:ascii="Times New Roman" w:eastAsia="Times New Roman" w:hAnsi="Times New Roman" w:cs="Times New Roman"/>
            <w:color w:val="0068AC"/>
            <w:sz w:val="24"/>
            <w:szCs w:val="24"/>
            <w:lang w:val="en"/>
          </w:rPr>
          <w:t>section 300hh–1 of this title</w:t>
        </w:r>
      </w:hyperlink>
      <w:r w:rsidRPr="004854B5">
        <w:rPr>
          <w:rFonts w:ascii="Times New Roman" w:eastAsia="Times New Roman" w:hAnsi="Times New Roman" w:cs="Times New Roman"/>
          <w:color w:val="000000"/>
          <w:sz w:val="24"/>
          <w:szCs w:val="24"/>
          <w:lang w:val="en"/>
        </w:rPr>
        <w:t>, at such time as such strategy is submitted.</w:t>
      </w:r>
    </w:p>
    <w:p w:rsidR="004854B5" w:rsidRPr="004854B5" w:rsidP="004854B5" w14:paraId="129A1ED5" w14:textId="77777777">
      <w:pPr>
        <w:autoSpaceDE w:val="0"/>
        <w:autoSpaceDN w:val="0"/>
        <w:spacing w:after="0" w:line="240" w:lineRule="auto"/>
        <w:ind w:left="720"/>
        <w:rPr>
          <w:rFonts w:ascii="Times New Roman" w:eastAsia="Times New Roman" w:hAnsi="Times New Roman" w:cs="Times New Roman"/>
          <w:b/>
          <w:bCs/>
          <w:color w:val="000000"/>
          <w:sz w:val="24"/>
          <w:szCs w:val="24"/>
          <w:lang w:val="en"/>
        </w:rPr>
      </w:pPr>
    </w:p>
    <w:p w:rsidR="004854B5" w:rsidRPr="004854B5" w:rsidP="004854B5" w14:paraId="3D9D8E85" w14:textId="77777777">
      <w:pPr>
        <w:autoSpaceDE w:val="0"/>
        <w:autoSpaceDN w:val="0"/>
        <w:spacing w:after="0" w:line="240" w:lineRule="auto"/>
        <w:ind w:firstLine="720"/>
        <w:rPr>
          <w:rFonts w:ascii="Times New Roman" w:eastAsia="Times New Roman" w:hAnsi="Times New Roman" w:cs="Times New Roman"/>
          <w:b/>
          <w:bCs/>
          <w:color w:val="000000"/>
          <w:sz w:val="24"/>
          <w:szCs w:val="24"/>
          <w:lang w:val="en"/>
        </w:rPr>
      </w:pPr>
      <w:bookmarkStart w:id="3" w:name="k_2"/>
      <w:bookmarkEnd w:id="3"/>
      <w:r w:rsidRPr="004854B5">
        <w:rPr>
          <w:rFonts w:ascii="Times New Roman" w:eastAsia="Times New Roman" w:hAnsi="Times New Roman" w:cs="Times New Roman"/>
          <w:b/>
          <w:bCs/>
          <w:color w:val="000000"/>
          <w:sz w:val="24"/>
          <w:szCs w:val="24"/>
          <w:lang w:val="en"/>
        </w:rPr>
        <w:t>(2) Content</w:t>
      </w:r>
      <w:r>
        <w:rPr>
          <w:rFonts w:ascii="Times New Roman" w:eastAsia="Times New Roman" w:hAnsi="Times New Roman" w:cs="Times New Roman"/>
          <w:b/>
          <w:bCs/>
          <w:color w:val="000000"/>
          <w:sz w:val="24"/>
          <w:szCs w:val="24"/>
          <w:lang w:val="en"/>
        </w:rPr>
        <w:t xml:space="preserve"> </w:t>
      </w:r>
      <w:r w:rsidRPr="004854B5">
        <w:rPr>
          <w:rFonts w:ascii="Times New Roman" w:eastAsia="Times New Roman" w:hAnsi="Times New Roman" w:cs="Times New Roman"/>
          <w:color w:val="000000"/>
          <w:sz w:val="24"/>
          <w:szCs w:val="24"/>
          <w:lang w:val="en"/>
        </w:rPr>
        <w:t>The evaluation under this paragraph shall include—</w:t>
      </w:r>
      <w:r w:rsidRPr="004854B5">
        <w:rPr>
          <w:rFonts w:ascii="Times New Roman" w:eastAsia="Times New Roman" w:hAnsi="Times New Roman" w:cs="Times New Roman"/>
          <w:b/>
          <w:bCs/>
          <w:color w:val="000000"/>
          <w:sz w:val="24"/>
          <w:szCs w:val="24"/>
          <w:lang w:val="en"/>
        </w:rPr>
        <w:t xml:space="preserve"> </w:t>
      </w:r>
    </w:p>
    <w:p w:rsidR="004854B5" w:rsidRPr="004854B5" w:rsidP="004854B5" w14:paraId="6071668C" w14:textId="77777777">
      <w:pPr>
        <w:autoSpaceDE w:val="0"/>
        <w:autoSpaceDN w:val="0"/>
        <w:spacing w:after="0" w:line="240" w:lineRule="auto"/>
        <w:ind w:left="1440"/>
        <w:rPr>
          <w:rFonts w:ascii="Times New Roman" w:eastAsia="Times New Roman" w:hAnsi="Times New Roman" w:cs="Times New Roman"/>
          <w:b/>
          <w:bCs/>
          <w:color w:val="000000"/>
          <w:sz w:val="24"/>
          <w:szCs w:val="24"/>
          <w:lang w:val="en"/>
        </w:rPr>
      </w:pPr>
      <w:bookmarkStart w:id="4" w:name="k_2_A"/>
      <w:bookmarkEnd w:id="4"/>
      <w:r w:rsidRPr="004854B5">
        <w:rPr>
          <w:rFonts w:ascii="Times New Roman" w:eastAsia="Times New Roman" w:hAnsi="Times New Roman" w:cs="Times New Roman"/>
          <w:b/>
          <w:bCs/>
          <w:color w:val="000000"/>
          <w:sz w:val="24"/>
          <w:szCs w:val="24"/>
          <w:lang w:val="en"/>
        </w:rPr>
        <w:t xml:space="preserve">(A) </w:t>
      </w:r>
      <w:r w:rsidRPr="004854B5">
        <w:rPr>
          <w:rFonts w:ascii="Times New Roman" w:eastAsia="Times New Roman" w:hAnsi="Times New Roman" w:cs="Times New Roman"/>
          <w:color w:val="000000"/>
          <w:sz w:val="24"/>
          <w:szCs w:val="24"/>
          <w:lang w:val="en"/>
        </w:rPr>
        <w:t>a review of evidence-based benchmarks and objective standards, and associated metrics and targets;</w:t>
      </w:r>
    </w:p>
    <w:p w:rsidR="004854B5" w:rsidRPr="004854B5" w:rsidP="004854B5" w14:paraId="7977E7B7" w14:textId="77777777">
      <w:pPr>
        <w:autoSpaceDE w:val="0"/>
        <w:autoSpaceDN w:val="0"/>
        <w:spacing w:after="0" w:line="240" w:lineRule="auto"/>
        <w:ind w:left="1440"/>
        <w:rPr>
          <w:rFonts w:ascii="Times New Roman" w:eastAsia="Times New Roman" w:hAnsi="Times New Roman" w:cs="Times New Roman"/>
          <w:b/>
          <w:bCs/>
          <w:color w:val="000000"/>
          <w:sz w:val="24"/>
          <w:szCs w:val="24"/>
          <w:lang w:val="en"/>
        </w:rPr>
      </w:pPr>
      <w:bookmarkStart w:id="5" w:name="k_2_B"/>
      <w:bookmarkEnd w:id="5"/>
      <w:r w:rsidRPr="004854B5">
        <w:rPr>
          <w:rFonts w:ascii="Times New Roman" w:eastAsia="Times New Roman" w:hAnsi="Times New Roman" w:cs="Times New Roman"/>
          <w:b/>
          <w:bCs/>
          <w:color w:val="000000"/>
          <w:sz w:val="24"/>
          <w:szCs w:val="24"/>
          <w:lang w:val="en"/>
        </w:rPr>
        <w:t xml:space="preserve">(B) </w:t>
      </w:r>
      <w:r w:rsidRPr="004854B5">
        <w:rPr>
          <w:rFonts w:ascii="Times New Roman" w:eastAsia="Times New Roman" w:hAnsi="Times New Roman" w:cs="Times New Roman"/>
          <w:color w:val="000000"/>
          <w:sz w:val="24"/>
          <w:szCs w:val="24"/>
          <w:lang w:val="en"/>
        </w:rPr>
        <w:t xml:space="preserve">a discussion of changes to any evidence-based benchmarks and objective standards, and the effect of such changes on the ability to track whether entities are meeting or making progress toward the goals under this section and, to the extent practicable, the applicable goals of the National Health Security Strategy under </w:t>
      </w:r>
      <w:hyperlink r:id="rId6" w:history="1">
        <w:r w:rsidRPr="004854B5">
          <w:rPr>
            <w:rFonts w:ascii="Times New Roman" w:eastAsia="Times New Roman" w:hAnsi="Times New Roman" w:cs="Times New Roman"/>
            <w:color w:val="0068AC"/>
            <w:sz w:val="24"/>
            <w:szCs w:val="24"/>
            <w:lang w:val="en"/>
          </w:rPr>
          <w:t>section 300hh–1 of this title</w:t>
        </w:r>
      </w:hyperlink>
      <w:r w:rsidRPr="004854B5">
        <w:rPr>
          <w:rFonts w:ascii="Times New Roman" w:eastAsia="Times New Roman" w:hAnsi="Times New Roman" w:cs="Times New Roman"/>
          <w:color w:val="000000"/>
          <w:sz w:val="24"/>
          <w:szCs w:val="24"/>
          <w:lang w:val="en"/>
        </w:rPr>
        <w:t>;</w:t>
      </w:r>
    </w:p>
    <w:p w:rsidR="004854B5" w:rsidRPr="004854B5" w:rsidP="004854B5" w14:paraId="0801560A" w14:textId="77777777">
      <w:pPr>
        <w:autoSpaceDE w:val="0"/>
        <w:autoSpaceDN w:val="0"/>
        <w:spacing w:after="0" w:line="240" w:lineRule="auto"/>
        <w:ind w:left="1440"/>
        <w:rPr>
          <w:rFonts w:ascii="Times New Roman" w:eastAsia="Times New Roman" w:hAnsi="Times New Roman" w:cs="Times New Roman"/>
          <w:b/>
          <w:bCs/>
          <w:color w:val="000000"/>
          <w:sz w:val="24"/>
          <w:szCs w:val="24"/>
          <w:lang w:val="en"/>
        </w:rPr>
      </w:pPr>
      <w:bookmarkStart w:id="6" w:name="k_2_C"/>
      <w:bookmarkEnd w:id="6"/>
      <w:r w:rsidRPr="004854B5">
        <w:rPr>
          <w:rFonts w:ascii="Times New Roman" w:eastAsia="Times New Roman" w:hAnsi="Times New Roman" w:cs="Times New Roman"/>
          <w:b/>
          <w:bCs/>
          <w:color w:val="000000"/>
          <w:sz w:val="24"/>
          <w:szCs w:val="24"/>
          <w:lang w:val="en"/>
        </w:rPr>
        <w:t xml:space="preserve">(C) </w:t>
      </w:r>
      <w:r w:rsidRPr="004854B5">
        <w:rPr>
          <w:rFonts w:ascii="Times New Roman" w:eastAsia="Times New Roman" w:hAnsi="Times New Roman" w:cs="Times New Roman"/>
          <w:color w:val="000000"/>
          <w:sz w:val="24"/>
          <w:szCs w:val="24"/>
          <w:lang w:val="en"/>
        </w:rPr>
        <w:t xml:space="preserve">a description of amounts received by eligible entities described in subsection (b) and </w:t>
      </w:r>
      <w:hyperlink r:id="rId7" w:anchor="b" w:history="1">
        <w:r w:rsidRPr="004854B5">
          <w:rPr>
            <w:rFonts w:ascii="Times New Roman" w:eastAsia="Times New Roman" w:hAnsi="Times New Roman" w:cs="Times New Roman"/>
            <w:color w:val="0068AC"/>
            <w:sz w:val="24"/>
            <w:szCs w:val="24"/>
            <w:lang w:val="en"/>
          </w:rPr>
          <w:t>section 247d–3b(b) of this title</w:t>
        </w:r>
      </w:hyperlink>
      <w:r w:rsidRPr="004854B5">
        <w:rPr>
          <w:rFonts w:ascii="Times New Roman" w:eastAsia="Times New Roman" w:hAnsi="Times New Roman" w:cs="Times New Roman"/>
          <w:color w:val="000000"/>
          <w:sz w:val="24"/>
          <w:szCs w:val="24"/>
          <w:lang w:val="en"/>
        </w:rPr>
        <w:t>, and amounts received by subrecipients and the effect of such funding on meeting evidence-based benchmarks and objective standards; and</w:t>
      </w:r>
    </w:p>
    <w:p w:rsidR="004854B5" w:rsidRPr="004854B5" w:rsidP="004854B5" w14:paraId="364E692B" w14:textId="77777777">
      <w:pPr>
        <w:autoSpaceDE w:val="0"/>
        <w:autoSpaceDN w:val="0"/>
        <w:spacing w:after="0" w:line="240" w:lineRule="auto"/>
        <w:ind w:left="1440"/>
        <w:rPr>
          <w:rFonts w:ascii="Times New Roman" w:eastAsia="Times New Roman" w:hAnsi="Times New Roman" w:cs="Times New Roman"/>
          <w:b/>
          <w:bCs/>
          <w:color w:val="000000"/>
          <w:sz w:val="24"/>
          <w:szCs w:val="24"/>
          <w:lang w:val="en"/>
        </w:rPr>
      </w:pPr>
      <w:bookmarkStart w:id="7" w:name="k_2_D"/>
      <w:bookmarkEnd w:id="7"/>
      <w:r w:rsidRPr="004854B5">
        <w:rPr>
          <w:rFonts w:ascii="Times New Roman" w:eastAsia="Times New Roman" w:hAnsi="Times New Roman" w:cs="Times New Roman"/>
          <w:b/>
          <w:bCs/>
          <w:color w:val="000000"/>
          <w:sz w:val="24"/>
          <w:szCs w:val="24"/>
          <w:lang w:val="en"/>
        </w:rPr>
        <w:t xml:space="preserve">(D) </w:t>
      </w:r>
      <w:r w:rsidRPr="004854B5">
        <w:rPr>
          <w:rFonts w:ascii="Times New Roman" w:eastAsia="Times New Roman" w:hAnsi="Times New Roman" w:cs="Times New Roman"/>
          <w:color w:val="000000"/>
          <w:sz w:val="24"/>
          <w:szCs w:val="24"/>
          <w:lang w:val="en"/>
        </w:rPr>
        <w:t xml:space="preserve">recommendations, as applicable and appropriate, to improve evidence-based benchmarks and objective standards to more accurately assess the ability of entities receiving awards under this section to better achieve the goals under this section and </w:t>
      </w:r>
      <w:hyperlink r:id="rId6" w:history="1">
        <w:r w:rsidRPr="004854B5">
          <w:rPr>
            <w:rFonts w:ascii="Times New Roman" w:eastAsia="Times New Roman" w:hAnsi="Times New Roman" w:cs="Times New Roman"/>
            <w:color w:val="0068AC"/>
            <w:sz w:val="24"/>
            <w:szCs w:val="24"/>
            <w:lang w:val="en"/>
          </w:rPr>
          <w:t>section 300hh–1 of this title</w:t>
        </w:r>
      </w:hyperlink>
      <w:r w:rsidRPr="004854B5">
        <w:rPr>
          <w:rFonts w:ascii="Times New Roman" w:eastAsia="Times New Roman" w:hAnsi="Times New Roman" w:cs="Times New Roman"/>
          <w:color w:val="000000"/>
          <w:sz w:val="24"/>
          <w:szCs w:val="24"/>
          <w:lang w:val="en"/>
        </w:rPr>
        <w:t>.</w:t>
      </w:r>
    </w:p>
    <w:p w:rsidR="004854B5" w:rsidRPr="005B6DB5" w:rsidP="005B6DB5" w14:paraId="79255E8D" w14:textId="77777777">
      <w:pPr>
        <w:spacing w:after="0"/>
        <w:rPr>
          <w:rFonts w:ascii="Times New Roman" w:hAnsi="Times New Roman" w:cs="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51A0E9A"/>
    <w:multiLevelType w:val="hybridMultilevel"/>
    <w:tmpl w:val="A262101A"/>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A8A526C"/>
    <w:multiLevelType w:val="hybridMultilevel"/>
    <w:tmpl w:val="4AA8834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B5"/>
    <w:rsid w:val="000131BD"/>
    <w:rsid w:val="00366952"/>
    <w:rsid w:val="004854B5"/>
    <w:rsid w:val="005A40FE"/>
    <w:rsid w:val="005B6DB5"/>
    <w:rsid w:val="00832F93"/>
    <w:rsid w:val="00B20D6C"/>
    <w:rsid w:val="00FB44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8E1BBA"/>
  <w15:chartTrackingRefBased/>
  <w15:docId w15:val="{20079406-5253-4954-B4BF-3DB122EFC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DB5"/>
    <w:pPr>
      <w:ind w:left="720"/>
      <w:contextualSpacing/>
    </w:pPr>
  </w:style>
  <w:style w:type="paragraph" w:styleId="BalloonText">
    <w:name w:val="Balloon Text"/>
    <w:basedOn w:val="Normal"/>
    <w:link w:val="BalloonTextChar"/>
    <w:uiPriority w:val="99"/>
    <w:semiHidden/>
    <w:unhideWhenUsed/>
    <w:rsid w:val="005B6D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DB5"/>
    <w:rPr>
      <w:rFonts w:ascii="Segoe UI" w:hAnsi="Segoe UI" w:cs="Segoe UI"/>
      <w:sz w:val="18"/>
      <w:szCs w:val="18"/>
    </w:rPr>
  </w:style>
  <w:style w:type="character" w:styleId="Hyperlink">
    <w:name w:val="Hyperlink"/>
    <w:basedOn w:val="DefaultParagraphFont"/>
    <w:uiPriority w:val="99"/>
    <w:unhideWhenUsed/>
    <w:rsid w:val="005B6DB5"/>
    <w:rPr>
      <w:color w:val="0563C1" w:themeColor="hyperlink"/>
      <w:u w:val="single"/>
    </w:rPr>
  </w:style>
  <w:style w:type="character" w:styleId="UnresolvedMention">
    <w:name w:val="Unresolved Mention"/>
    <w:basedOn w:val="DefaultParagraphFont"/>
    <w:uiPriority w:val="99"/>
    <w:semiHidden/>
    <w:unhideWhenUsed/>
    <w:rsid w:val="005B6DB5"/>
    <w:rPr>
      <w:color w:val="605E5C"/>
      <w:shd w:val="clear" w:color="auto" w:fill="E1DFDD"/>
    </w:rPr>
  </w:style>
  <w:style w:type="character" w:customStyle="1" w:styleId="heading2">
    <w:name w:val="heading2"/>
    <w:basedOn w:val="DefaultParagraphFont"/>
    <w:rsid w:val="004854B5"/>
  </w:style>
  <w:style w:type="character" w:customStyle="1" w:styleId="num2">
    <w:name w:val="num2"/>
    <w:basedOn w:val="DefaultParagraphFont"/>
    <w:rsid w:val="004854B5"/>
  </w:style>
  <w:style w:type="paragraph" w:styleId="NormalWeb">
    <w:name w:val="Normal (Web)"/>
    <w:basedOn w:val="Normal"/>
    <w:uiPriority w:val="99"/>
    <w:semiHidden/>
    <w:unhideWhenUsed/>
    <w:rsid w:val="004854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4854B5"/>
  </w:style>
  <w:style w:type="character" w:customStyle="1" w:styleId="chapeau">
    <w:name w:val="chapeau"/>
    <w:basedOn w:val="DefaultParagraphFont"/>
    <w:rsid w:val="00485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law.cornell.edu/uscode/text/42/247d-3a" TargetMode="External" /><Relationship Id="rId5" Type="http://schemas.openxmlformats.org/officeDocument/2006/relationships/hyperlink" Target="https://www.law.cornell.edu/definitions/uscode.php?width=840&amp;height=800&amp;iframe=true&amp;def_id=42-USC-1264422296-1342391138&amp;term_occur=999&amp;term_src=" TargetMode="External" /><Relationship Id="rId6" Type="http://schemas.openxmlformats.org/officeDocument/2006/relationships/hyperlink" Target="https://www.law.cornell.edu/uscode/text/42/300hh&#8211;1" TargetMode="External" /><Relationship Id="rId7" Type="http://schemas.openxmlformats.org/officeDocument/2006/relationships/hyperlink" Target="https://www.law.cornell.edu/uscode/text/42/247d&#8211;3b"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410</Words>
  <Characters>2343</Characters>
  <Application>Microsoft Office Word</Application>
  <DocSecurity>0</DocSecurity>
  <Lines>19</Lines>
  <Paragraphs>5</Paragraphs>
  <ScaleCrop>false</ScaleCrop>
  <Company>Centers for Disease Control and Prevention</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Sanborn, Molly (CDC/DDPHSIS/CPR/DSLR)</dc:creator>
  <cp:lastModifiedBy>Macaluso, Renita (CDC/DDPHSS/OS/OSI)</cp:lastModifiedBy>
  <cp:revision>7</cp:revision>
  <dcterms:created xsi:type="dcterms:W3CDTF">2020-04-09T19:12:00Z</dcterms:created>
  <dcterms:modified xsi:type="dcterms:W3CDTF">2021-06-07T13:54:00Z</dcterms:modified>
</cp:coreProperties>
</file>