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500" w:rsidRPr="00C83133" w:rsidP="00DF5500" w14:paraId="224D19A3" w14:textId="4075933B">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7C752DA3-1755-4C21-A732-B5358EFB139A}"/>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14:textId="77777777">
                            <w:pPr>
                              <w:spacing w:after="160" w:line="256" w:lineRule="auto"/>
                              <w:rPr>
                                <w:sz w:val="24"/>
                                <w:szCs w:val="24"/>
                              </w:rPr>
                            </w:pPr>
                            <w:r>
                              <w:rPr>
                                <w:sz w:val="22"/>
                              </w:rPr>
                              <w:t>Form Approved</w:t>
                            </w:r>
                          </w:p>
                          <w:p w:rsidR="00DF5500" w:rsidP="00DF5500" w14:textId="75C37059">
                            <w:pPr>
                              <w:spacing w:after="160" w:line="256" w:lineRule="auto"/>
                            </w:pPr>
                            <w:r>
                              <w:rPr>
                                <w:sz w:val="22"/>
                              </w:rPr>
                              <w:t>OMB Approval No. 0920-</w:t>
                            </w:r>
                            <w:r w:rsidR="00EF1996">
                              <w:rPr>
                                <w:sz w:val="22"/>
                              </w:rPr>
                              <w:t>1352</w:t>
                            </w:r>
                          </w:p>
                          <w:p w:rsidR="00DF5500" w:rsidP="00DF5500" w14:textId="56D9C0EC">
                            <w:pPr>
                              <w:spacing w:after="160" w:line="256" w:lineRule="auto"/>
                            </w:pPr>
                            <w:r>
                              <w:rPr>
                                <w:sz w:val="22"/>
                              </w:rPr>
                              <w:t xml:space="preserve">Expiration Date: </w:t>
                            </w:r>
                            <w:r w:rsidR="0074614F">
                              <w:rPr>
                                <w:sz w:val="22"/>
                              </w:rPr>
                              <w:t>xx/xx/</w:t>
                            </w:r>
                            <w:r w:rsidR="00EF1996">
                              <w:rPr>
                                <w:sz w:val="22"/>
                              </w:rPr>
                              <w:t>20</w:t>
                            </w:r>
                            <w:r w:rsidR="0074614F">
                              <w:rPr>
                                <w:sz w:val="22"/>
                              </w:rPr>
                              <w:t>xx</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6pt;margin-left:316.5pt;mso-position-horizontal-relative:margin;mso-wrap-distance-bottom:0;mso-wrap-distance-left:9pt;mso-wrap-distance-right:9pt;mso-wrap-distance-top:0;mso-wrap-style:square;position:absolute;visibility:visible;v-text-anchor:top;z-index:251659264">
                <v:textbox>
                  <w:txbxContent>
                    <w:p w:rsidR="00DF5500" w:rsidP="00DF5500" w14:paraId="59A58EF0" w14:textId="77777777">
                      <w:pPr>
                        <w:spacing w:after="160" w:line="256" w:lineRule="auto"/>
                        <w:rPr>
                          <w:sz w:val="24"/>
                          <w:szCs w:val="24"/>
                        </w:rPr>
                      </w:pPr>
                      <w:r>
                        <w:rPr>
                          <w:sz w:val="22"/>
                        </w:rPr>
                        <w:t>Form Approved</w:t>
                      </w:r>
                    </w:p>
                    <w:p w:rsidR="00DF5500" w:rsidP="00DF5500" w14:paraId="3F6983B9" w14:textId="75C37059">
                      <w:pPr>
                        <w:spacing w:after="160" w:line="256" w:lineRule="auto"/>
                      </w:pPr>
                      <w:r>
                        <w:rPr>
                          <w:sz w:val="22"/>
                        </w:rPr>
                        <w:t>OMB Approval No. 0920-</w:t>
                      </w:r>
                      <w:r w:rsidR="00EF1996">
                        <w:rPr>
                          <w:sz w:val="22"/>
                        </w:rPr>
                        <w:t>1352</w:t>
                      </w:r>
                    </w:p>
                    <w:p w:rsidR="00DF5500" w:rsidP="00DF5500" w14:paraId="4DEF37AF" w14:textId="56D9C0EC">
                      <w:pPr>
                        <w:spacing w:after="160" w:line="256" w:lineRule="auto"/>
                      </w:pPr>
                      <w:r>
                        <w:rPr>
                          <w:sz w:val="22"/>
                        </w:rPr>
                        <w:t xml:space="preserve">Expiration Date: </w:t>
                      </w:r>
                      <w:r w:rsidR="0074614F">
                        <w:rPr>
                          <w:sz w:val="22"/>
                        </w:rPr>
                        <w:t>xx/xx/</w:t>
                      </w:r>
                      <w:r w:rsidR="00EF1996">
                        <w:rPr>
                          <w:sz w:val="22"/>
                        </w:rPr>
                        <w:t>20</w:t>
                      </w:r>
                      <w:r w:rsidR="0074614F">
                        <w:rPr>
                          <w:sz w:val="22"/>
                        </w:rPr>
                        <w:t>xx</w:t>
                      </w:r>
                    </w:p>
                  </w:txbxContent>
                </v:textbox>
                <w10:wrap anchorx="margin"/>
              </v:shape>
            </w:pict>
          </mc:Fallback>
        </mc:AlternateContent>
      </w:r>
      <w:r w:rsidR="007F1106">
        <w:rPr>
          <w:rFonts w:asciiTheme="minorHAnsi" w:hAnsiTheme="minorHAnsi" w:cstheme="minorHAnsi"/>
          <w:b/>
          <w:sz w:val="24"/>
          <w:szCs w:val="24"/>
        </w:rPr>
        <w:t xml:space="preserve">Capability </w:t>
      </w:r>
      <w:r w:rsidR="00B50AB4">
        <w:rPr>
          <w:rFonts w:asciiTheme="minorHAnsi" w:hAnsiTheme="minorHAnsi" w:cstheme="minorHAnsi"/>
          <w:b/>
          <w:sz w:val="24"/>
          <w:szCs w:val="24"/>
        </w:rPr>
        <w:t>1</w:t>
      </w:r>
      <w:r w:rsidR="00E45F8A">
        <w:rPr>
          <w:rFonts w:asciiTheme="minorHAnsi" w:hAnsiTheme="minorHAnsi" w:cstheme="minorHAnsi"/>
          <w:b/>
          <w:sz w:val="24"/>
          <w:szCs w:val="24"/>
        </w:rPr>
        <w:t>2</w:t>
      </w:r>
    </w:p>
    <w:p w:rsidR="007F1106" w:rsidP="007F1106" w14:paraId="3C639567" w14:textId="1D7A9C86">
      <w:pPr>
        <w:rPr>
          <w:rFonts w:asciiTheme="minorHAnsi" w:hAnsiTheme="minorHAnsi" w:cstheme="minorHAnsi"/>
          <w:color w:val="000000"/>
          <w:sz w:val="24"/>
          <w:szCs w:val="24"/>
        </w:rPr>
      </w:pPr>
    </w:p>
    <w:p w:rsidR="00460DBC" w:rsidP="00E82E3C" w14:paraId="11CC6527" w14:textId="77777777">
      <w:pPr>
        <w:rPr>
          <w:rFonts w:asciiTheme="minorHAnsi" w:hAnsiTheme="minorHAnsi" w:cstheme="minorHAnsi"/>
          <w:color w:val="000000"/>
          <w:sz w:val="24"/>
          <w:szCs w:val="24"/>
        </w:rPr>
      </w:pPr>
    </w:p>
    <w:p w:rsidR="00E45F8A" w:rsidRPr="00E45F8A" w:rsidP="00E45F8A" w14:paraId="21ED370A"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(States, NYC, LA, DC)</w:t>
      </w:r>
    </w:p>
    <w:p w:rsidR="00E45F8A" w:rsidP="00E45F8A" w14:paraId="246534EE" w14:textId="611B734C">
      <w:pPr>
        <w:rPr>
          <w:rFonts w:asciiTheme="minorHAnsi" w:hAnsiTheme="minorHAnsi" w:cstheme="minorHAnsi"/>
          <w:color w:val="000000"/>
          <w:sz w:val="24"/>
          <w:szCs w:val="24"/>
        </w:rPr>
      </w:pPr>
      <w:r w:rsidRPr="00E45F8A">
        <w:rPr>
          <w:rFonts w:asciiTheme="minorHAnsi" w:hAnsiTheme="minorHAnsi" w:cstheme="minorHAnsi"/>
          <w:color w:val="000000"/>
          <w:sz w:val="24"/>
          <w:szCs w:val="24"/>
        </w:rPr>
        <w:t>To the extent possible, planning data is prepopulated with the latest relevant survey data received from the Association of Public Health Laboratories (APHL) annual assessment of state and large local public health laboratory preparedness and APHL’s public health laboratory database for equipment and test result details. No new elements are assigned for review to the state and DFL recipients</w:t>
      </w:r>
    </w:p>
    <w:p w:rsidR="00E45F8A" w:rsidRPr="00E45F8A" w:rsidP="00E45F8A" w14:paraId="7523262A" w14:textId="77777777">
      <w:pPr>
        <w:rPr>
          <w:rFonts w:asciiTheme="minorHAnsi" w:hAnsiTheme="minorHAnsi" w:cstheme="minorHAnsi"/>
          <w:color w:val="000000"/>
          <w:sz w:val="24"/>
          <w:szCs w:val="24"/>
        </w:rPr>
      </w:pPr>
    </w:p>
    <w:p w:rsidR="00E45F8A" w:rsidP="00E45F8A" w14:paraId="59AC4E13" w14:textId="607C0740">
      <w:pPr>
        <w:rPr>
          <w:rFonts w:asciiTheme="minorHAnsi" w:hAnsiTheme="minorHAnsi" w:cstheme="minorHAnsi"/>
          <w:color w:val="000000"/>
          <w:sz w:val="24"/>
          <w:szCs w:val="24"/>
        </w:rPr>
      </w:pPr>
      <w:r w:rsidRPr="00E45F8A">
        <w:rPr>
          <w:rFonts w:asciiTheme="minorHAnsi" w:hAnsiTheme="minorHAnsi" w:cstheme="minorHAnsi"/>
          <w:color w:val="000000"/>
          <w:sz w:val="24"/>
          <w:szCs w:val="24"/>
        </w:rPr>
        <w:t>(Local planning jurisdictions) The plan contains evidence of the database and protocol for management/flow of laboratory data and sample testing information.</w:t>
      </w:r>
    </w:p>
    <w:p w:rsidR="00E45F8A" w:rsidRPr="00E45F8A" w:rsidP="00E45F8A" w14:paraId="112F14F8" w14:textId="77777777">
      <w:pPr>
        <w:rPr>
          <w:rFonts w:asciiTheme="minorHAnsi" w:hAnsiTheme="minorHAnsi" w:cstheme="minorHAnsi"/>
          <w:color w:val="000000"/>
          <w:sz w:val="24"/>
          <w:szCs w:val="24"/>
        </w:rPr>
      </w:pPr>
    </w:p>
    <w:p w:rsidR="00E45F8A" w:rsidP="00E45F8A" w14:paraId="423C10E9" w14:textId="5644251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(States, NYC, LA, DC) Staff has received training on the following topics</w:t>
      </w:r>
    </w:p>
    <w:p w:rsidR="00E45F8A" w:rsidRPr="00E45F8A" w:rsidP="00E45F8A" w14:paraId="1561849A"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a. BSL-2 standard and special practices (fundamentals of biological materials safety practices, excluding bloodborne pathogen training)</w:t>
      </w:r>
    </w:p>
    <w:p w:rsidR="00E45F8A" w:rsidRPr="00E45F8A" w:rsidP="00E45F8A" w14:paraId="5928C622"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b. Certification in packaging and</w:t>
      </w:r>
    </w:p>
    <w:p w:rsidR="00E45F8A" w:rsidRPr="00E45F8A" w:rsidP="00E45F8A" w14:paraId="0C45FD6B"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shipping of Division 6.2 infectious</w:t>
      </w:r>
    </w:p>
    <w:p w:rsidR="00E45F8A" w:rsidRPr="00E45F8A" w:rsidP="00E45F8A" w14:paraId="74179708"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substances (including Category A)</w:t>
      </w:r>
    </w:p>
    <w:p w:rsidR="00E45F8A" w:rsidP="00E45F8A" w14:paraId="480A11B4" w14:textId="02F7235F">
      <w:pPr>
        <w:rPr>
          <w:rFonts w:asciiTheme="minorHAnsi" w:hAnsiTheme="minorHAnsi" w:cstheme="minorHAnsi"/>
          <w:color w:val="000000"/>
          <w:sz w:val="24"/>
          <w:szCs w:val="24"/>
        </w:rPr>
      </w:pPr>
      <w:r w:rsidRPr="00E45F8A">
        <w:rPr>
          <w:rFonts w:asciiTheme="minorHAnsi" w:hAnsiTheme="minorHAnsi" w:cstheme="minorHAnsi"/>
          <w:color w:val="000000"/>
          <w:sz w:val="24"/>
          <w:szCs w:val="24"/>
        </w:rPr>
        <w:t>c.  BSL-3 standard and special practices</w:t>
      </w:r>
    </w:p>
    <w:p w:rsidR="00E45F8A" w:rsidRPr="00E45F8A" w:rsidP="00E45F8A" w14:paraId="5E14ACFB" w14:textId="77777777">
      <w:pPr>
        <w:rPr>
          <w:rFonts w:asciiTheme="minorHAnsi" w:hAnsiTheme="minorHAnsi" w:cstheme="minorHAnsi"/>
          <w:color w:val="000000"/>
          <w:sz w:val="24"/>
          <w:szCs w:val="24"/>
        </w:rPr>
      </w:pPr>
    </w:p>
    <w:p w:rsidR="00E45F8A" w:rsidRPr="00E45F8A" w:rsidP="00E45F8A" w14:paraId="455613B6"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(local planning jurisdictions)</w:t>
      </w:r>
    </w:p>
    <w:p w:rsidR="00E45F8A" w:rsidRPr="00E45F8A" w:rsidP="00E45F8A" w14:paraId="123F077C"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a. The plan describes current packaging and shipping regulations on transporting infectious and potentially hazardous substances to labs that can test for biological/ chemical/radiological agents</w:t>
      </w:r>
    </w:p>
    <w:p w:rsidR="00E45F8A" w:rsidRPr="00E45F8A" w:rsidP="00E45F8A" w14:paraId="170ED5C6"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b. The plan describes the process for transporting specimens/samples to a confirmatory reference lab at any time</w:t>
      </w:r>
    </w:p>
    <w:p w:rsidR="00E45F8A" w:rsidRPr="00E45F8A" w:rsidP="00E45F8A" w14:paraId="2F2BC979"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c. The plan describes the process of contacting the proper lab to notify them of what specimens to expect and, if applicable, special directions</w:t>
      </w:r>
    </w:p>
    <w:p w:rsidR="00E82E3C" w:rsidP="00E45F8A" w14:paraId="51A33A3E" w14:textId="5A3CFF3D">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(states, NYC, LA, DC) Laboratory has a biosafety officer</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7DC" w14:paraId="7FF7D0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0034E625" w14:textId="588F09B8">
    <w:pPr>
      <w:pStyle w:val="Footer"/>
    </w:pPr>
    <w:r w:rsidRPr="00C83133">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xmlns:a="http://schemas.openxmlformats.org/drawingml/2006/main" uri="{FF2B5EF4-FFF2-40B4-BE49-F238E27FC236}">
                    <a16:creationId xmlns:a16="http://schemas.microsoft.com/office/drawing/2014/main" id="{47B44CAE-9C74-470D-8AF3-FDDE1891DB46}"/>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rsidR="004A7167" w:rsidP="004A7167" w14:textId="5C5C0BFA">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141DB7">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r>
                            <w:rPr>
                              <w:rFonts w:eastAsia="Arial Unicode MS" w:cstheme="minorBidi"/>
                              <w:sz w:val="14"/>
                              <w:szCs w:val="14"/>
                            </w:rPr>
                            <w:t>gathering</w:t>
                          </w:r>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A7167" w:rsidP="004A7167" w14:textId="77777777">
                          <w:pPr>
                            <w:spacing w:line="256" w:lineRule="auto"/>
                          </w:pPr>
                          <w:r>
                            <w:rPr>
                              <w:rFonts w:eastAsia="Arial Unicode MS" w:cstheme="minorBidi"/>
                            </w:rPr>
                            <w:t> </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49.55pt;height:55.5pt;margin-top:-17.9pt;margin-left:-24.75pt;mso-height-percent:0;mso-height-relative:margin;mso-position-horizontal-relative:margin;mso-wrap-distance-bottom:0;mso-wrap-distance-left:9pt;mso-wrap-distance-right:9pt;mso-wrap-distance-top:0;mso-wrap-style:square;position:absolute;visibility:visible;v-text-anchor:top;z-index:251659264">
              <v:textbox>
                <w:txbxContent>
                  <w:p w:rsidR="004A7167" w:rsidP="004A7167" w14:paraId="7F5116CC" w14:textId="5C5C0BFA">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141DB7">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r>
                      <w:rPr>
                        <w:rFonts w:eastAsia="Arial Unicode MS" w:cstheme="minorBidi"/>
                        <w:sz w:val="14"/>
                        <w:szCs w:val="14"/>
                      </w:rPr>
                      <w:t>gathering</w:t>
                    </w:r>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A7167" w:rsidP="004A7167" w14:paraId="64E48525" w14:textId="7777777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7DC" w14:paraId="174C59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7DC" w14:paraId="4C120E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7DC" w14:paraId="77875F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7DC" w14:paraId="5E63C7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C30C2F"/>
    <w:multiLevelType w:val="hybridMultilevel"/>
    <w:tmpl w:val="34761C7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08A364E"/>
    <w:multiLevelType w:val="hybridMultilevel"/>
    <w:tmpl w:val="06589842"/>
    <w:lvl w:ilvl="0">
      <w:start w:val="1"/>
      <w:numFmt w:val="lowerLetter"/>
      <w:lvlText w:val="%1."/>
      <w:lvlJc w:val="left"/>
      <w:pPr>
        <w:ind w:left="360" w:hanging="360"/>
      </w:pPr>
      <w:rPr>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1989064">
    <w:abstractNumId w:val="1"/>
  </w:num>
  <w:num w:numId="2" w16cid:durableId="153330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1DB7"/>
    <w:rsid w:val="00144059"/>
    <w:rsid w:val="00183FE4"/>
    <w:rsid w:val="00197477"/>
    <w:rsid w:val="00234B57"/>
    <w:rsid w:val="002A2B72"/>
    <w:rsid w:val="004211A8"/>
    <w:rsid w:val="00460DBC"/>
    <w:rsid w:val="004A7167"/>
    <w:rsid w:val="004D1B79"/>
    <w:rsid w:val="00512624"/>
    <w:rsid w:val="005127B6"/>
    <w:rsid w:val="005554C8"/>
    <w:rsid w:val="0074614F"/>
    <w:rsid w:val="007F1106"/>
    <w:rsid w:val="008746B8"/>
    <w:rsid w:val="0089125B"/>
    <w:rsid w:val="008C6C3E"/>
    <w:rsid w:val="008F082C"/>
    <w:rsid w:val="0091426B"/>
    <w:rsid w:val="009F0666"/>
    <w:rsid w:val="00AA17DC"/>
    <w:rsid w:val="00B25499"/>
    <w:rsid w:val="00B50AB4"/>
    <w:rsid w:val="00C83133"/>
    <w:rsid w:val="00D807F5"/>
    <w:rsid w:val="00DF490A"/>
    <w:rsid w:val="00DF5500"/>
    <w:rsid w:val="00E45F8A"/>
    <w:rsid w:val="00E75902"/>
    <w:rsid w:val="00E82E3C"/>
    <w:rsid w:val="00EF1996"/>
    <w:rsid w:val="00F970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Albert (CDC/DDPHSIS/CPR/OD)</dc:creator>
  <cp:lastModifiedBy>Sims, Thelma (CDC/OD/OS)</cp:lastModifiedBy>
  <cp:revision>7</cp:revision>
  <dcterms:created xsi:type="dcterms:W3CDTF">2021-04-27T19:01:00Z</dcterms:created>
  <dcterms:modified xsi:type="dcterms:W3CDTF">2024-12-13T20:14:00Z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8d1e9273-8071-40fa-83fd-33b6a57606cf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2021-04-23T19:11:26Z</vt:lpwstr>
  </property>
  <property fmtid="{D5CDD505-2E9C-101B-9397-08002B2CF9AE}" pid="8" name="MSIP_Label_7b94a7b8-f06c-4dfe-bdcc-9b548fd58c31_SiteId">
    <vt:lpwstr>9ce70869-60db-44fd-abe8-d2767077fc8f</vt:lpwstr>
  </property>
</Properties>
</file>