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498" w:rsidP="00796E57" w14:paraId="765E7A80" w14:textId="77777777">
      <w:pPr>
        <w:jc w:val="center"/>
        <w:rPr>
          <w:b/>
        </w:rPr>
      </w:pPr>
    </w:p>
    <w:p w:rsidR="00796E57" w:rsidRPr="008F7801" w:rsidP="00796E57" w14:paraId="218E692D" w14:textId="77777777">
      <w:pPr>
        <w:jc w:val="center"/>
        <w:rPr>
          <w:b/>
        </w:rPr>
      </w:pPr>
      <w:r w:rsidRPr="008F7801">
        <w:rPr>
          <w:b/>
        </w:rPr>
        <w:t xml:space="preserve">Supporting Statement (Part A: Justification) of the </w:t>
      </w:r>
    </w:p>
    <w:p w:rsidR="00796E57" w:rsidRPr="008F7801" w:rsidP="00796E57" w14:paraId="6F65B3BE" w14:textId="77777777">
      <w:pPr>
        <w:jc w:val="center"/>
        <w:rPr>
          <w:b/>
        </w:rPr>
      </w:pPr>
      <w:r w:rsidRPr="008F7801">
        <w:rPr>
          <w:b/>
        </w:rPr>
        <w:t>Request for OMB Review and Approval of</w:t>
      </w:r>
    </w:p>
    <w:p w:rsidR="00796E57" w:rsidRPr="008F7801" w:rsidP="00796E57" w14:paraId="2BAD7C68" w14:textId="77777777">
      <w:pPr>
        <w:jc w:val="center"/>
        <w:rPr>
          <w:b/>
        </w:rPr>
      </w:pPr>
    </w:p>
    <w:p w:rsidR="00796E57" w:rsidRPr="008F7801" w:rsidP="00796E57" w14:paraId="398A6957" w14:textId="77777777">
      <w:pPr>
        <w:jc w:val="center"/>
        <w:rPr>
          <w:b/>
        </w:rPr>
      </w:pPr>
      <w:bookmarkStart w:id="0" w:name="_Hlk63160987"/>
      <w:r w:rsidRPr="008F7801">
        <w:rPr>
          <w:b/>
        </w:rPr>
        <w:t>Environmental Health Specialists Network (EHS-Net) Program</w:t>
      </w:r>
    </w:p>
    <w:bookmarkEnd w:id="0"/>
    <w:p w:rsidR="00796E57" w:rsidRPr="008F7801" w:rsidP="00796E57" w14:paraId="0DF7F3FE" w14:textId="77777777">
      <w:pPr>
        <w:jc w:val="center"/>
        <w:rPr>
          <w:b/>
        </w:rPr>
      </w:pPr>
    </w:p>
    <w:p w:rsidR="00796E57" w:rsidRPr="008F7801" w:rsidP="00796E57" w14:paraId="7C581263" w14:textId="77777777">
      <w:pPr>
        <w:jc w:val="center"/>
        <w:rPr>
          <w:b/>
        </w:rPr>
      </w:pPr>
      <w:r w:rsidRPr="008F7801">
        <w:rPr>
          <w:b/>
        </w:rPr>
        <w:t>Re</w:t>
      </w:r>
      <w:r w:rsidRPr="008F7801" w:rsidR="00213E62">
        <w:rPr>
          <w:b/>
        </w:rPr>
        <w:t>vision</w:t>
      </w:r>
    </w:p>
    <w:p w:rsidR="00172712" w:rsidRPr="008F7801" w:rsidP="00607B34" w14:paraId="59C66C3B" w14:textId="77777777">
      <w:pPr>
        <w:jc w:val="center"/>
        <w:rPr>
          <w:b/>
          <w:sz w:val="22"/>
          <w:szCs w:val="22"/>
        </w:rPr>
      </w:pPr>
    </w:p>
    <w:p w:rsidR="00172712" w:rsidRPr="008F7801" w:rsidP="00607B34" w14:paraId="2C32EE79" w14:textId="77777777">
      <w:pPr>
        <w:jc w:val="center"/>
        <w:rPr>
          <w:b/>
          <w:sz w:val="22"/>
          <w:szCs w:val="22"/>
        </w:rPr>
      </w:pPr>
    </w:p>
    <w:p w:rsidR="00172712" w:rsidRPr="008F7801" w:rsidP="00612FED" w14:paraId="38F36608" w14:textId="77777777">
      <w:pPr>
        <w:jc w:val="right"/>
        <w:rPr>
          <w:b/>
          <w:sz w:val="22"/>
          <w:szCs w:val="22"/>
        </w:rPr>
      </w:pPr>
    </w:p>
    <w:p w:rsidR="00A96937" w:rsidRPr="008F7801" w:rsidP="00B46498" w14:paraId="6C9E2515" w14:textId="77777777">
      <w:pPr>
        <w:rPr>
          <w:b/>
        </w:rPr>
      </w:pPr>
    </w:p>
    <w:p w:rsidR="004F05B4" w:rsidRPr="008F7801" w:rsidP="00796E57" w14:paraId="0A019137" w14:textId="77777777">
      <w:pPr>
        <w:jc w:val="center"/>
        <w:rPr>
          <w:b/>
          <w:sz w:val="22"/>
          <w:szCs w:val="22"/>
        </w:rPr>
      </w:pPr>
      <w:r w:rsidRPr="008F7801">
        <w:rPr>
          <w:b/>
          <w:sz w:val="22"/>
          <w:szCs w:val="22"/>
        </w:rPr>
        <w:t>OMB No. 0920-0792</w:t>
      </w:r>
    </w:p>
    <w:p w:rsidR="00887651" w:rsidRPr="008F7801" w:rsidP="001D05F5" w14:paraId="792CA4BF" w14:textId="2E2E8F80">
      <w:pPr>
        <w:jc w:val="center"/>
        <w:rPr>
          <w:b/>
          <w:sz w:val="22"/>
          <w:szCs w:val="22"/>
        </w:rPr>
      </w:pPr>
      <w:r w:rsidRPr="008F7801">
        <w:rPr>
          <w:b/>
          <w:sz w:val="22"/>
          <w:szCs w:val="22"/>
        </w:rPr>
        <w:t>Expiration</w:t>
      </w:r>
      <w:r w:rsidRPr="008F7801" w:rsidR="00172712">
        <w:rPr>
          <w:b/>
          <w:sz w:val="22"/>
          <w:szCs w:val="22"/>
        </w:rPr>
        <w:t xml:space="preserve"> Date: </w:t>
      </w:r>
      <w:r w:rsidRPr="008F7801">
        <w:rPr>
          <w:b/>
          <w:sz w:val="22"/>
          <w:szCs w:val="22"/>
        </w:rPr>
        <w:t xml:space="preserve"> </w:t>
      </w:r>
      <w:r w:rsidR="00E1569F">
        <w:rPr>
          <w:b/>
          <w:sz w:val="22"/>
          <w:szCs w:val="22"/>
        </w:rPr>
        <w:t xml:space="preserve"> 01/31/2025</w:t>
      </w:r>
    </w:p>
    <w:p w:rsidR="00830DD9" w:rsidRPr="008F7801" w:rsidP="00796E57" w14:paraId="40B93550" w14:textId="77777777">
      <w:pPr>
        <w:jc w:val="center"/>
        <w:rPr>
          <w:sz w:val="22"/>
          <w:szCs w:val="22"/>
        </w:rPr>
      </w:pPr>
      <w:r w:rsidRPr="008F7801">
        <w:rPr>
          <w:sz w:val="22"/>
          <w:szCs w:val="22"/>
        </w:rPr>
        <w:t xml:space="preserve"> </w:t>
      </w:r>
    </w:p>
    <w:p w:rsidR="0034639A" w:rsidRPr="008F7801" w:rsidP="0034639A" w14:paraId="1C3F16B5" w14:textId="77777777">
      <w:pPr>
        <w:jc w:val="center"/>
        <w:rPr>
          <w:b/>
          <w:bCs/>
          <w:sz w:val="22"/>
          <w:szCs w:val="22"/>
        </w:rPr>
      </w:pPr>
    </w:p>
    <w:p w:rsidR="0034639A" w:rsidRPr="008F7801" w:rsidP="0034639A" w14:paraId="3B56CCA9" w14:textId="77777777">
      <w:pPr>
        <w:jc w:val="center"/>
        <w:rPr>
          <w:b/>
          <w:bCs/>
          <w:sz w:val="22"/>
          <w:szCs w:val="22"/>
        </w:rPr>
      </w:pPr>
    </w:p>
    <w:p w:rsidR="0034639A" w:rsidRPr="008F7801" w:rsidP="0034639A" w14:paraId="0BF63DFF" w14:textId="77777777">
      <w:pPr>
        <w:jc w:val="center"/>
        <w:rPr>
          <w:b/>
          <w:bCs/>
          <w:sz w:val="22"/>
          <w:szCs w:val="22"/>
        </w:rPr>
      </w:pPr>
    </w:p>
    <w:p w:rsidR="008971BD" w:rsidRPr="008F7801" w:rsidP="0034639A" w14:paraId="00B527DF" w14:textId="6189B2A0">
      <w:pPr>
        <w:jc w:val="center"/>
        <w:rPr>
          <w:b/>
          <w:bCs/>
          <w:sz w:val="22"/>
          <w:szCs w:val="22"/>
        </w:rPr>
      </w:pPr>
      <w:r>
        <w:rPr>
          <w:b/>
          <w:bCs/>
          <w:sz w:val="22"/>
          <w:szCs w:val="22"/>
        </w:rPr>
        <w:t>November 4</w:t>
      </w:r>
      <w:r w:rsidRPr="00F4594E" w:rsidR="00E87DDE">
        <w:rPr>
          <w:b/>
          <w:bCs/>
          <w:sz w:val="22"/>
          <w:szCs w:val="22"/>
        </w:rPr>
        <w:t>, 2024</w:t>
      </w:r>
    </w:p>
    <w:p w:rsidR="008971BD" w:rsidRPr="008F7801" w:rsidP="0034639A" w14:paraId="40C74D62" w14:textId="77777777">
      <w:pPr>
        <w:jc w:val="center"/>
        <w:rPr>
          <w:b/>
          <w:bCs/>
          <w:sz w:val="22"/>
          <w:szCs w:val="22"/>
        </w:rPr>
      </w:pPr>
    </w:p>
    <w:p w:rsidR="008971BD" w:rsidRPr="008F7801" w:rsidP="0034639A" w14:paraId="38F08B5C" w14:textId="77777777">
      <w:pPr>
        <w:jc w:val="center"/>
        <w:rPr>
          <w:b/>
          <w:bCs/>
          <w:sz w:val="22"/>
          <w:szCs w:val="22"/>
        </w:rPr>
      </w:pPr>
    </w:p>
    <w:p w:rsidR="008971BD" w:rsidRPr="008F7801" w:rsidP="0034639A" w14:paraId="7F1F16CB" w14:textId="77777777">
      <w:pPr>
        <w:jc w:val="center"/>
        <w:rPr>
          <w:b/>
          <w:bCs/>
          <w:sz w:val="22"/>
          <w:szCs w:val="22"/>
        </w:rPr>
      </w:pPr>
    </w:p>
    <w:p w:rsidR="008971BD" w:rsidRPr="008F7801" w:rsidP="0034639A" w14:paraId="66BA69CC" w14:textId="77777777">
      <w:pPr>
        <w:jc w:val="center"/>
        <w:rPr>
          <w:b/>
          <w:bCs/>
          <w:sz w:val="22"/>
          <w:szCs w:val="22"/>
        </w:rPr>
      </w:pPr>
    </w:p>
    <w:p w:rsidR="008971BD" w:rsidRPr="008F7801" w:rsidP="0034639A" w14:paraId="1879A149" w14:textId="77777777">
      <w:pPr>
        <w:jc w:val="center"/>
        <w:rPr>
          <w:b/>
          <w:bCs/>
          <w:sz w:val="22"/>
          <w:szCs w:val="22"/>
        </w:rPr>
      </w:pPr>
    </w:p>
    <w:p w:rsidR="008971BD" w:rsidRPr="008F7801" w:rsidP="0034639A" w14:paraId="0D2D2FC2" w14:textId="77777777">
      <w:pPr>
        <w:jc w:val="center"/>
        <w:rPr>
          <w:b/>
          <w:bCs/>
          <w:sz w:val="22"/>
          <w:szCs w:val="22"/>
        </w:rPr>
      </w:pPr>
    </w:p>
    <w:p w:rsidR="008971BD" w:rsidRPr="008F7801" w:rsidP="0034639A" w14:paraId="198DEED6" w14:textId="77777777">
      <w:pPr>
        <w:jc w:val="center"/>
        <w:rPr>
          <w:b/>
          <w:bCs/>
          <w:sz w:val="22"/>
          <w:szCs w:val="22"/>
        </w:rPr>
      </w:pPr>
    </w:p>
    <w:p w:rsidR="008971BD" w:rsidRPr="008F7801" w:rsidP="0034639A" w14:paraId="7510348C" w14:textId="77777777">
      <w:pPr>
        <w:jc w:val="center"/>
        <w:rPr>
          <w:b/>
          <w:bCs/>
          <w:sz w:val="22"/>
          <w:szCs w:val="22"/>
        </w:rPr>
      </w:pPr>
    </w:p>
    <w:p w:rsidR="008971BD" w:rsidRPr="008F7801" w:rsidP="0034639A" w14:paraId="09BCD087" w14:textId="77777777">
      <w:pPr>
        <w:jc w:val="center"/>
        <w:rPr>
          <w:b/>
          <w:bCs/>
          <w:sz w:val="22"/>
          <w:szCs w:val="22"/>
        </w:rPr>
      </w:pPr>
    </w:p>
    <w:p w:rsidR="00CD76C5" w:rsidRPr="008F7801" w:rsidP="009108E5" w14:paraId="2B9893A6" w14:textId="77777777">
      <w:pPr>
        <w:rPr>
          <w:b/>
          <w:bCs/>
          <w:sz w:val="22"/>
          <w:szCs w:val="22"/>
        </w:rPr>
      </w:pPr>
    </w:p>
    <w:p w:rsidR="008971BD" w:rsidRPr="008F7801" w:rsidP="00DE6B3E" w14:paraId="17652185" w14:textId="77777777">
      <w:pPr>
        <w:rPr>
          <w:b/>
          <w:bCs/>
          <w:sz w:val="22"/>
          <w:szCs w:val="22"/>
        </w:rPr>
      </w:pPr>
      <w:r w:rsidRPr="008F7801">
        <w:rPr>
          <w:b/>
          <w:bCs/>
          <w:sz w:val="22"/>
          <w:szCs w:val="22"/>
        </w:rPr>
        <w:t>Laura Brown</w:t>
      </w:r>
      <w:r w:rsidRPr="008F7801" w:rsidR="00C53D80">
        <w:rPr>
          <w:b/>
          <w:bCs/>
          <w:sz w:val="22"/>
          <w:szCs w:val="22"/>
        </w:rPr>
        <w:t>, Ph.D.</w:t>
      </w:r>
    </w:p>
    <w:p w:rsidR="00DE6B3E" w:rsidRPr="008F7801" w:rsidP="00DE6B3E" w14:paraId="1DC3B978" w14:textId="77777777">
      <w:pPr>
        <w:rPr>
          <w:b/>
          <w:bCs/>
          <w:sz w:val="22"/>
          <w:szCs w:val="22"/>
        </w:rPr>
      </w:pPr>
      <w:r w:rsidRPr="008F7801">
        <w:rPr>
          <w:b/>
          <w:bCs/>
          <w:sz w:val="22"/>
          <w:szCs w:val="22"/>
        </w:rPr>
        <w:t>EHS-Net</w:t>
      </w:r>
    </w:p>
    <w:p w:rsidR="0034639A" w:rsidRPr="008F7801" w:rsidP="008971BD" w14:paraId="78AEF560" w14:textId="77777777">
      <w:pPr>
        <w:rPr>
          <w:b/>
          <w:bCs/>
          <w:sz w:val="22"/>
          <w:szCs w:val="22"/>
        </w:rPr>
      </w:pPr>
      <w:r w:rsidRPr="008F7801">
        <w:rPr>
          <w:b/>
          <w:bCs/>
          <w:sz w:val="22"/>
          <w:szCs w:val="22"/>
        </w:rPr>
        <w:t>Centers for Disease Control and Prevention</w:t>
      </w:r>
    </w:p>
    <w:p w:rsidR="00D23157" w:rsidP="008971BD" w14:paraId="6B085A56" w14:textId="77777777">
      <w:pPr>
        <w:rPr>
          <w:b/>
          <w:bCs/>
          <w:sz w:val="22"/>
          <w:szCs w:val="22"/>
        </w:rPr>
      </w:pPr>
      <w:r w:rsidRPr="008F7801">
        <w:rPr>
          <w:b/>
          <w:bCs/>
          <w:sz w:val="22"/>
          <w:szCs w:val="22"/>
        </w:rPr>
        <w:t>National Center for Environmental Health</w:t>
      </w:r>
    </w:p>
    <w:p w:rsidR="00386260" w:rsidRPr="008F7801" w:rsidP="008971BD" w14:paraId="1499B415" w14:textId="7A4AD717">
      <w:pPr>
        <w:rPr>
          <w:b/>
          <w:bCs/>
          <w:sz w:val="22"/>
          <w:szCs w:val="22"/>
        </w:rPr>
      </w:pPr>
      <w:r>
        <w:rPr>
          <w:b/>
          <w:bCs/>
          <w:sz w:val="22"/>
          <w:szCs w:val="22"/>
        </w:rPr>
        <w:t>Division of Environmental Health Science and Practice</w:t>
      </w:r>
    </w:p>
    <w:p w:rsidR="0034639A" w:rsidRPr="008F7801" w:rsidP="008971BD" w14:paraId="207AFEBD" w14:textId="047A02B4">
      <w:pPr>
        <w:rPr>
          <w:b/>
          <w:bCs/>
          <w:sz w:val="22"/>
          <w:szCs w:val="22"/>
        </w:rPr>
      </w:pPr>
      <w:r>
        <w:rPr>
          <w:b/>
          <w:bCs/>
          <w:sz w:val="22"/>
          <w:szCs w:val="22"/>
        </w:rPr>
        <w:t xml:space="preserve">Water, Food, and </w:t>
      </w:r>
      <w:r w:rsidRPr="008F7801">
        <w:rPr>
          <w:b/>
          <w:bCs/>
          <w:sz w:val="22"/>
          <w:szCs w:val="22"/>
        </w:rPr>
        <w:t>Environmental Health Services Branch</w:t>
      </w:r>
    </w:p>
    <w:p w:rsidR="0034639A" w:rsidRPr="008F7801" w:rsidP="008971BD" w14:paraId="298B5F65" w14:textId="77777777">
      <w:pPr>
        <w:rPr>
          <w:b/>
          <w:bCs/>
          <w:sz w:val="22"/>
          <w:szCs w:val="22"/>
        </w:rPr>
      </w:pPr>
      <w:r w:rsidRPr="008F7801">
        <w:rPr>
          <w:b/>
          <w:bCs/>
          <w:sz w:val="22"/>
          <w:szCs w:val="22"/>
        </w:rPr>
        <w:t>4770 Buford Highway</w:t>
      </w:r>
    </w:p>
    <w:p w:rsidR="0034639A" w:rsidRPr="008F7801" w:rsidP="008971BD" w14:paraId="62D76B26" w14:textId="77777777">
      <w:pPr>
        <w:rPr>
          <w:b/>
          <w:bCs/>
          <w:sz w:val="22"/>
          <w:szCs w:val="22"/>
        </w:rPr>
      </w:pPr>
      <w:r w:rsidRPr="008F7801">
        <w:rPr>
          <w:b/>
          <w:bCs/>
          <w:sz w:val="22"/>
          <w:szCs w:val="22"/>
        </w:rPr>
        <w:t>Atlanta, GA 30341-3724</w:t>
      </w:r>
    </w:p>
    <w:p w:rsidR="00DE6B3E" w:rsidRPr="008F7801" w:rsidP="00DE6B3E" w14:paraId="7D367940" w14:textId="77777777">
      <w:pPr>
        <w:rPr>
          <w:b/>
          <w:bCs/>
          <w:sz w:val="22"/>
          <w:szCs w:val="22"/>
        </w:rPr>
      </w:pPr>
      <w:hyperlink r:id="rId8" w:history="1">
        <w:r w:rsidRPr="008F7801" w:rsidR="00A749EF">
          <w:rPr>
            <w:rStyle w:val="Hyperlink"/>
            <w:b/>
            <w:bCs/>
            <w:color w:val="auto"/>
            <w:sz w:val="22"/>
            <w:szCs w:val="22"/>
            <w:u w:val="none"/>
          </w:rPr>
          <w:t>lrg0@cdc.gov</w:t>
        </w:r>
      </w:hyperlink>
    </w:p>
    <w:p w:rsidR="00DE6B3E" w:rsidRPr="008F7801" w:rsidP="00DE6B3E" w14:paraId="2DD69465" w14:textId="77777777">
      <w:pPr>
        <w:rPr>
          <w:b/>
          <w:bCs/>
          <w:sz w:val="22"/>
          <w:szCs w:val="22"/>
        </w:rPr>
      </w:pPr>
      <w:r w:rsidRPr="008F7801">
        <w:rPr>
          <w:b/>
          <w:bCs/>
          <w:sz w:val="22"/>
          <w:szCs w:val="22"/>
        </w:rPr>
        <w:t>770-488-433</w:t>
      </w:r>
      <w:r w:rsidRPr="008F7801">
        <w:rPr>
          <w:b/>
          <w:bCs/>
          <w:sz w:val="22"/>
          <w:szCs w:val="22"/>
        </w:rPr>
        <w:t>2</w:t>
      </w:r>
    </w:p>
    <w:p w:rsidR="00DE6B3E" w:rsidRPr="008F7801" w:rsidP="00DE6B3E" w14:paraId="1C07C22E" w14:textId="77777777">
      <w:pPr>
        <w:jc w:val="center"/>
        <w:rPr>
          <w:b/>
          <w:bCs/>
          <w:sz w:val="22"/>
          <w:szCs w:val="22"/>
        </w:rPr>
      </w:pPr>
    </w:p>
    <w:p w:rsidR="00B267B6" w:rsidRPr="008F7801" w:rsidP="0085083C" w14:paraId="70B1303B" w14:textId="3CCAEF93">
      <w:pPr>
        <w:jc w:val="center"/>
        <w:rPr>
          <w:b/>
          <w:sz w:val="22"/>
          <w:szCs w:val="22"/>
        </w:rPr>
      </w:pPr>
      <w:r w:rsidRPr="008F7801">
        <w:rPr>
          <w:sz w:val="22"/>
          <w:szCs w:val="22"/>
        </w:rPr>
        <w:br w:type="page"/>
      </w:r>
      <w:r w:rsidRPr="008F7801" w:rsidR="00D21239">
        <w:rPr>
          <w:b/>
          <w:sz w:val="22"/>
          <w:szCs w:val="22"/>
        </w:rPr>
        <w:t>Table of Contents</w:t>
      </w:r>
    </w:p>
    <w:tbl>
      <w:tblPr>
        <w:tblW w:w="10007" w:type="dxa"/>
        <w:tblInd w:w="-166" w:type="dxa"/>
        <w:tblLook w:val="01E0"/>
      </w:tblPr>
      <w:tblGrid>
        <w:gridCol w:w="9014"/>
        <w:gridCol w:w="993"/>
      </w:tblGrid>
      <w:tr w14:paraId="47F497B8" w14:textId="77777777" w:rsidTr="64F7B2F5">
        <w:tblPrEx>
          <w:tblW w:w="10007" w:type="dxa"/>
          <w:tblInd w:w="-166" w:type="dxa"/>
          <w:tblLook w:val="01E0"/>
        </w:tblPrEx>
        <w:tc>
          <w:tcPr>
            <w:tcW w:w="9014" w:type="dxa"/>
            <w:tcMar>
              <w:left w:w="14" w:type="dxa"/>
              <w:right w:w="14" w:type="dxa"/>
            </w:tcMar>
          </w:tcPr>
          <w:p w:rsidR="00D21239" w:rsidRPr="006467A4" w:rsidP="00D21239" w14:paraId="58943940" w14:textId="77777777">
            <w:pPr>
              <w:rPr>
                <w:sz w:val="22"/>
                <w:szCs w:val="22"/>
              </w:rPr>
            </w:pPr>
            <w:r w:rsidRPr="006467A4">
              <w:rPr>
                <w:sz w:val="22"/>
                <w:szCs w:val="22"/>
              </w:rPr>
              <w:t>A.</w:t>
            </w:r>
            <w:r w:rsidRPr="006467A4">
              <w:rPr>
                <w:sz w:val="22"/>
                <w:szCs w:val="22"/>
              </w:rPr>
              <w:t xml:space="preserve"> Justification</w:t>
            </w:r>
            <w:r w:rsidRPr="006467A4">
              <w:rPr>
                <w:sz w:val="22"/>
                <w:szCs w:val="22"/>
              </w:rPr>
              <w:t>………………………………………………………………………...</w:t>
            </w:r>
            <w:r w:rsidRPr="006467A4" w:rsidR="002F2275">
              <w:rPr>
                <w:sz w:val="22"/>
                <w:szCs w:val="22"/>
              </w:rPr>
              <w:t>............</w:t>
            </w:r>
            <w:r w:rsidRPr="006467A4" w:rsidR="003A5442">
              <w:rPr>
                <w:sz w:val="22"/>
                <w:szCs w:val="22"/>
              </w:rPr>
              <w:t>.</w:t>
            </w:r>
          </w:p>
        </w:tc>
        <w:tc>
          <w:tcPr>
            <w:tcW w:w="993" w:type="dxa"/>
            <w:tcMar>
              <w:left w:w="14" w:type="dxa"/>
              <w:right w:w="14" w:type="dxa"/>
            </w:tcMar>
          </w:tcPr>
          <w:p w:rsidR="00D21239" w:rsidRPr="006467A4" w:rsidP="00D21239" w14:paraId="496522CB" w14:textId="43037F75">
            <w:pPr>
              <w:rPr>
                <w:sz w:val="22"/>
                <w:szCs w:val="22"/>
              </w:rPr>
            </w:pPr>
            <w:r w:rsidRPr="006467A4">
              <w:rPr>
                <w:sz w:val="22"/>
                <w:szCs w:val="22"/>
              </w:rPr>
              <w:t>5</w:t>
            </w:r>
          </w:p>
        </w:tc>
      </w:tr>
      <w:tr w14:paraId="10F6A43E" w14:textId="77777777" w:rsidTr="64F7B2F5">
        <w:tblPrEx>
          <w:tblW w:w="10007" w:type="dxa"/>
          <w:tblInd w:w="-166" w:type="dxa"/>
          <w:tblLook w:val="01E0"/>
        </w:tblPrEx>
        <w:tc>
          <w:tcPr>
            <w:tcW w:w="9014" w:type="dxa"/>
            <w:tcMar>
              <w:left w:w="14" w:type="dxa"/>
              <w:right w:w="14" w:type="dxa"/>
            </w:tcMar>
          </w:tcPr>
          <w:p w:rsidR="00D21239" w:rsidRPr="006467A4" w:rsidP="007B144E" w14:paraId="0D6D3CBF" w14:textId="77777777">
            <w:pPr>
              <w:ind w:left="360"/>
              <w:rPr>
                <w:sz w:val="22"/>
                <w:szCs w:val="22"/>
              </w:rPr>
            </w:pPr>
            <w:r w:rsidRPr="006467A4">
              <w:rPr>
                <w:sz w:val="22"/>
                <w:szCs w:val="22"/>
              </w:rPr>
              <w:t>1. Circumstances Making the Collection of Information Necessary</w:t>
            </w:r>
            <w:r w:rsidRPr="006467A4" w:rsidR="00E527D8">
              <w:rPr>
                <w:sz w:val="22"/>
                <w:szCs w:val="22"/>
              </w:rPr>
              <w:t>……………………....</w:t>
            </w:r>
          </w:p>
        </w:tc>
        <w:tc>
          <w:tcPr>
            <w:tcW w:w="993" w:type="dxa"/>
            <w:tcMar>
              <w:left w:w="14" w:type="dxa"/>
              <w:right w:w="14" w:type="dxa"/>
            </w:tcMar>
          </w:tcPr>
          <w:p w:rsidR="00D21239" w:rsidRPr="006467A4" w:rsidP="00D21239" w14:paraId="32C02921" w14:textId="15B59721">
            <w:pPr>
              <w:rPr>
                <w:sz w:val="22"/>
                <w:szCs w:val="22"/>
              </w:rPr>
            </w:pPr>
            <w:r w:rsidRPr="006467A4">
              <w:rPr>
                <w:sz w:val="22"/>
                <w:szCs w:val="22"/>
              </w:rPr>
              <w:t>7</w:t>
            </w:r>
          </w:p>
        </w:tc>
      </w:tr>
      <w:tr w14:paraId="69CBADAC" w14:textId="77777777" w:rsidTr="64F7B2F5">
        <w:tblPrEx>
          <w:tblW w:w="10007" w:type="dxa"/>
          <w:tblInd w:w="-166" w:type="dxa"/>
          <w:tblLook w:val="01E0"/>
        </w:tblPrEx>
        <w:tc>
          <w:tcPr>
            <w:tcW w:w="9014" w:type="dxa"/>
            <w:tcMar>
              <w:left w:w="14" w:type="dxa"/>
              <w:right w:w="14" w:type="dxa"/>
            </w:tcMar>
          </w:tcPr>
          <w:p w:rsidR="00D21239" w:rsidRPr="006467A4" w:rsidP="007B144E" w14:paraId="61079C6A" w14:textId="77777777">
            <w:pPr>
              <w:ind w:left="360"/>
              <w:rPr>
                <w:sz w:val="22"/>
                <w:szCs w:val="22"/>
              </w:rPr>
            </w:pPr>
            <w:r w:rsidRPr="006467A4">
              <w:rPr>
                <w:sz w:val="22"/>
                <w:szCs w:val="22"/>
              </w:rPr>
              <w:t>2. Purpose and Use of Information Collection</w:t>
            </w:r>
            <w:r w:rsidRPr="006467A4" w:rsidR="00E527D8">
              <w:rPr>
                <w:sz w:val="22"/>
                <w:szCs w:val="22"/>
              </w:rPr>
              <w:t>…………………………………………</w:t>
            </w:r>
            <w:r w:rsidRPr="006467A4" w:rsidR="00E527D8">
              <w:rPr>
                <w:sz w:val="22"/>
                <w:szCs w:val="22"/>
              </w:rPr>
              <w:t>…..</w:t>
            </w:r>
          </w:p>
        </w:tc>
        <w:tc>
          <w:tcPr>
            <w:tcW w:w="993" w:type="dxa"/>
            <w:tcMar>
              <w:left w:w="14" w:type="dxa"/>
              <w:right w:w="14" w:type="dxa"/>
            </w:tcMar>
          </w:tcPr>
          <w:p w:rsidR="00D21239" w:rsidRPr="006467A4" w:rsidP="00D21239" w14:paraId="7C0869B1" w14:textId="1C58A435">
            <w:pPr>
              <w:rPr>
                <w:sz w:val="22"/>
                <w:szCs w:val="22"/>
              </w:rPr>
            </w:pPr>
            <w:r w:rsidRPr="006467A4">
              <w:rPr>
                <w:sz w:val="22"/>
                <w:szCs w:val="22"/>
              </w:rPr>
              <w:t>8</w:t>
            </w:r>
          </w:p>
        </w:tc>
      </w:tr>
      <w:tr w14:paraId="4C1C7300" w14:textId="77777777" w:rsidTr="64F7B2F5">
        <w:tblPrEx>
          <w:tblW w:w="10007" w:type="dxa"/>
          <w:tblInd w:w="-166" w:type="dxa"/>
          <w:tblLook w:val="01E0"/>
        </w:tblPrEx>
        <w:tc>
          <w:tcPr>
            <w:tcW w:w="9014" w:type="dxa"/>
            <w:tcMar>
              <w:left w:w="14" w:type="dxa"/>
              <w:right w:w="14" w:type="dxa"/>
            </w:tcMar>
          </w:tcPr>
          <w:p w:rsidR="00D21239" w:rsidRPr="006467A4" w:rsidP="007B144E" w14:paraId="45D2A1C9" w14:textId="77777777">
            <w:pPr>
              <w:ind w:left="360"/>
              <w:rPr>
                <w:sz w:val="22"/>
                <w:szCs w:val="22"/>
              </w:rPr>
            </w:pPr>
            <w:r w:rsidRPr="006467A4">
              <w:rPr>
                <w:sz w:val="22"/>
                <w:szCs w:val="22"/>
              </w:rPr>
              <w:t>3. Use of Improved Information Technology and Burden Reduction</w:t>
            </w:r>
            <w:r w:rsidRPr="006467A4" w:rsidR="00E527D8">
              <w:rPr>
                <w:sz w:val="22"/>
                <w:szCs w:val="22"/>
              </w:rPr>
              <w:t>…………………</w:t>
            </w:r>
            <w:r w:rsidRPr="006467A4" w:rsidR="00E527D8">
              <w:rPr>
                <w:sz w:val="22"/>
                <w:szCs w:val="22"/>
              </w:rPr>
              <w:t>…..</w:t>
            </w:r>
          </w:p>
        </w:tc>
        <w:tc>
          <w:tcPr>
            <w:tcW w:w="993" w:type="dxa"/>
            <w:tcMar>
              <w:left w:w="14" w:type="dxa"/>
              <w:right w:w="14" w:type="dxa"/>
            </w:tcMar>
          </w:tcPr>
          <w:p w:rsidR="00D21239" w:rsidRPr="006467A4" w:rsidP="00D21239" w14:paraId="3C9570FD" w14:textId="7036473B">
            <w:pPr>
              <w:rPr>
                <w:sz w:val="22"/>
                <w:szCs w:val="22"/>
              </w:rPr>
            </w:pPr>
            <w:r w:rsidRPr="006467A4">
              <w:rPr>
                <w:sz w:val="22"/>
                <w:szCs w:val="22"/>
              </w:rPr>
              <w:t>9</w:t>
            </w:r>
          </w:p>
        </w:tc>
      </w:tr>
      <w:tr w14:paraId="536E5C66" w14:textId="77777777" w:rsidTr="64F7B2F5">
        <w:tblPrEx>
          <w:tblW w:w="10007" w:type="dxa"/>
          <w:tblInd w:w="-166" w:type="dxa"/>
          <w:tblLook w:val="01E0"/>
        </w:tblPrEx>
        <w:tc>
          <w:tcPr>
            <w:tcW w:w="9014" w:type="dxa"/>
            <w:tcMar>
              <w:left w:w="14" w:type="dxa"/>
              <w:right w:w="14" w:type="dxa"/>
            </w:tcMar>
          </w:tcPr>
          <w:p w:rsidR="00D21239" w:rsidRPr="006467A4" w:rsidP="007B144E" w14:paraId="7A749FB6" w14:textId="77777777">
            <w:pPr>
              <w:ind w:left="360"/>
              <w:rPr>
                <w:sz w:val="22"/>
                <w:szCs w:val="22"/>
              </w:rPr>
            </w:pPr>
            <w:r w:rsidRPr="006467A4">
              <w:rPr>
                <w:sz w:val="22"/>
                <w:szCs w:val="22"/>
              </w:rPr>
              <w:t>4. Efforts to Identify Duplication and Use of Similar Information</w:t>
            </w:r>
            <w:r w:rsidRPr="006467A4" w:rsidR="00E527D8">
              <w:rPr>
                <w:sz w:val="22"/>
                <w:szCs w:val="22"/>
              </w:rPr>
              <w:t>………………………...</w:t>
            </w:r>
          </w:p>
        </w:tc>
        <w:tc>
          <w:tcPr>
            <w:tcW w:w="993" w:type="dxa"/>
            <w:tcMar>
              <w:left w:w="14" w:type="dxa"/>
              <w:right w:w="14" w:type="dxa"/>
            </w:tcMar>
          </w:tcPr>
          <w:p w:rsidR="00D21239" w:rsidRPr="006467A4" w:rsidP="00D21239" w14:paraId="67200BB7" w14:textId="75293DCB">
            <w:pPr>
              <w:rPr>
                <w:sz w:val="22"/>
                <w:szCs w:val="22"/>
              </w:rPr>
            </w:pPr>
            <w:r w:rsidRPr="006467A4">
              <w:rPr>
                <w:sz w:val="22"/>
                <w:szCs w:val="22"/>
              </w:rPr>
              <w:t>9</w:t>
            </w:r>
          </w:p>
        </w:tc>
      </w:tr>
      <w:tr w14:paraId="0FE324A8" w14:textId="77777777" w:rsidTr="64F7B2F5">
        <w:tblPrEx>
          <w:tblW w:w="10007" w:type="dxa"/>
          <w:tblInd w:w="-166" w:type="dxa"/>
          <w:tblLook w:val="01E0"/>
        </w:tblPrEx>
        <w:tc>
          <w:tcPr>
            <w:tcW w:w="9014" w:type="dxa"/>
            <w:tcMar>
              <w:left w:w="14" w:type="dxa"/>
              <w:right w:w="14" w:type="dxa"/>
            </w:tcMar>
          </w:tcPr>
          <w:p w:rsidR="00D21239" w:rsidRPr="006467A4" w:rsidP="007B144E" w14:paraId="4BDB84A1" w14:textId="77777777">
            <w:pPr>
              <w:ind w:left="360"/>
              <w:rPr>
                <w:sz w:val="22"/>
                <w:szCs w:val="22"/>
              </w:rPr>
            </w:pPr>
            <w:r w:rsidRPr="006467A4">
              <w:rPr>
                <w:sz w:val="22"/>
                <w:szCs w:val="22"/>
              </w:rPr>
              <w:t>5. Impact on Small Businesses or Other Small Entities</w:t>
            </w:r>
            <w:r w:rsidRPr="006467A4" w:rsidR="00E527D8">
              <w:rPr>
                <w:sz w:val="22"/>
                <w:szCs w:val="22"/>
              </w:rPr>
              <w:t>……………………………………</w:t>
            </w:r>
          </w:p>
        </w:tc>
        <w:tc>
          <w:tcPr>
            <w:tcW w:w="993" w:type="dxa"/>
            <w:tcMar>
              <w:left w:w="14" w:type="dxa"/>
              <w:right w:w="14" w:type="dxa"/>
            </w:tcMar>
          </w:tcPr>
          <w:p w:rsidR="00D21239" w:rsidRPr="006467A4" w:rsidP="00D21239" w14:paraId="3F7BEA95" w14:textId="31A1FE7E">
            <w:pPr>
              <w:rPr>
                <w:sz w:val="22"/>
                <w:szCs w:val="22"/>
              </w:rPr>
            </w:pPr>
            <w:r>
              <w:rPr>
                <w:sz w:val="22"/>
                <w:szCs w:val="22"/>
              </w:rPr>
              <w:t>9</w:t>
            </w:r>
          </w:p>
        </w:tc>
      </w:tr>
      <w:tr w14:paraId="5A7B9CD3" w14:textId="77777777" w:rsidTr="64F7B2F5">
        <w:tblPrEx>
          <w:tblW w:w="10007" w:type="dxa"/>
          <w:tblInd w:w="-166" w:type="dxa"/>
          <w:tblLook w:val="01E0"/>
        </w:tblPrEx>
        <w:tc>
          <w:tcPr>
            <w:tcW w:w="9014" w:type="dxa"/>
            <w:tcMar>
              <w:left w:w="14" w:type="dxa"/>
              <w:right w:w="14" w:type="dxa"/>
            </w:tcMar>
          </w:tcPr>
          <w:p w:rsidR="00D21239" w:rsidRPr="006467A4" w:rsidP="007B144E" w14:paraId="1802024C" w14:textId="77777777">
            <w:pPr>
              <w:ind w:left="360"/>
              <w:rPr>
                <w:sz w:val="22"/>
                <w:szCs w:val="22"/>
              </w:rPr>
            </w:pPr>
            <w:r w:rsidRPr="006467A4">
              <w:rPr>
                <w:sz w:val="22"/>
                <w:szCs w:val="22"/>
              </w:rPr>
              <w:t>6. Consequences of Collecting the Information Less Frequently</w:t>
            </w:r>
            <w:r w:rsidRPr="006467A4" w:rsidR="00E527D8">
              <w:rPr>
                <w:sz w:val="22"/>
                <w:szCs w:val="22"/>
              </w:rPr>
              <w:t>………………………….</w:t>
            </w:r>
          </w:p>
        </w:tc>
        <w:tc>
          <w:tcPr>
            <w:tcW w:w="993" w:type="dxa"/>
            <w:tcMar>
              <w:left w:w="14" w:type="dxa"/>
              <w:right w:w="14" w:type="dxa"/>
            </w:tcMar>
          </w:tcPr>
          <w:p w:rsidR="00D21239" w:rsidRPr="006467A4" w:rsidP="00D21239" w14:paraId="201ED91B" w14:textId="6EF97BD6">
            <w:pPr>
              <w:rPr>
                <w:sz w:val="22"/>
                <w:szCs w:val="22"/>
              </w:rPr>
            </w:pPr>
            <w:r w:rsidRPr="006467A4">
              <w:rPr>
                <w:sz w:val="22"/>
                <w:szCs w:val="22"/>
              </w:rPr>
              <w:t>10</w:t>
            </w:r>
          </w:p>
        </w:tc>
      </w:tr>
      <w:tr w14:paraId="4296E024" w14:textId="77777777" w:rsidTr="64F7B2F5">
        <w:tblPrEx>
          <w:tblW w:w="10007" w:type="dxa"/>
          <w:tblInd w:w="-166" w:type="dxa"/>
          <w:tblLook w:val="01E0"/>
        </w:tblPrEx>
        <w:tc>
          <w:tcPr>
            <w:tcW w:w="9014" w:type="dxa"/>
            <w:tcMar>
              <w:left w:w="14" w:type="dxa"/>
              <w:right w:w="14" w:type="dxa"/>
            </w:tcMar>
          </w:tcPr>
          <w:p w:rsidR="00D21239" w:rsidRPr="006467A4" w:rsidP="007B144E" w14:paraId="533C3773" w14:textId="77777777">
            <w:pPr>
              <w:ind w:left="360"/>
              <w:rPr>
                <w:sz w:val="22"/>
                <w:szCs w:val="22"/>
              </w:rPr>
            </w:pPr>
            <w:r w:rsidRPr="006467A4">
              <w:rPr>
                <w:sz w:val="22"/>
                <w:szCs w:val="22"/>
              </w:rPr>
              <w:t>7. Special Circumstances Related to the Guidelines of 5 CFR 1320.5</w:t>
            </w:r>
            <w:r w:rsidRPr="006467A4" w:rsidR="00E527D8">
              <w:rPr>
                <w:sz w:val="22"/>
                <w:szCs w:val="22"/>
              </w:rPr>
              <w:t>…………………….</w:t>
            </w:r>
          </w:p>
        </w:tc>
        <w:tc>
          <w:tcPr>
            <w:tcW w:w="993" w:type="dxa"/>
            <w:tcMar>
              <w:left w:w="14" w:type="dxa"/>
              <w:right w:w="14" w:type="dxa"/>
            </w:tcMar>
          </w:tcPr>
          <w:p w:rsidR="00D21239" w:rsidRPr="006467A4" w:rsidP="00D21239" w14:paraId="482806BA" w14:textId="34F0CDC3">
            <w:pPr>
              <w:rPr>
                <w:sz w:val="22"/>
                <w:szCs w:val="22"/>
              </w:rPr>
            </w:pPr>
            <w:r w:rsidRPr="006467A4">
              <w:rPr>
                <w:sz w:val="22"/>
                <w:szCs w:val="22"/>
              </w:rPr>
              <w:t>10</w:t>
            </w:r>
          </w:p>
        </w:tc>
      </w:tr>
      <w:tr w14:paraId="6F8A64FB" w14:textId="77777777" w:rsidTr="64F7B2F5">
        <w:tblPrEx>
          <w:tblW w:w="10007" w:type="dxa"/>
          <w:tblInd w:w="-166" w:type="dxa"/>
          <w:tblLook w:val="01E0"/>
        </w:tblPrEx>
        <w:tc>
          <w:tcPr>
            <w:tcW w:w="9014" w:type="dxa"/>
            <w:tcMar>
              <w:left w:w="14" w:type="dxa"/>
              <w:right w:w="14" w:type="dxa"/>
            </w:tcMar>
          </w:tcPr>
          <w:p w:rsidR="00D21239" w:rsidRPr="006467A4" w:rsidP="007B144E" w14:paraId="3121A55D" w14:textId="77777777">
            <w:pPr>
              <w:ind w:left="720" w:hanging="360"/>
              <w:rPr>
                <w:sz w:val="22"/>
                <w:szCs w:val="22"/>
              </w:rPr>
            </w:pPr>
            <w:r w:rsidRPr="006467A4">
              <w:rPr>
                <w:sz w:val="22"/>
                <w:szCs w:val="22"/>
              </w:rPr>
              <w:t>8. Comments in Response to the Federal Register Notice and Efforts to Consult Outside the Agency</w:t>
            </w:r>
            <w:r w:rsidRPr="006467A4" w:rsidR="00E527D8">
              <w:rPr>
                <w:sz w:val="22"/>
                <w:szCs w:val="22"/>
              </w:rPr>
              <w:t>…………………………………………………………………………</w:t>
            </w:r>
            <w:r w:rsidRPr="006467A4" w:rsidR="00E527D8">
              <w:rPr>
                <w:sz w:val="22"/>
                <w:szCs w:val="22"/>
              </w:rPr>
              <w:t>…..</w:t>
            </w:r>
          </w:p>
        </w:tc>
        <w:tc>
          <w:tcPr>
            <w:tcW w:w="993" w:type="dxa"/>
            <w:tcMar>
              <w:left w:w="14" w:type="dxa"/>
              <w:right w:w="14" w:type="dxa"/>
            </w:tcMar>
            <w:vAlign w:val="bottom"/>
          </w:tcPr>
          <w:p w:rsidR="00D21239" w:rsidRPr="006467A4" w:rsidP="00D21239" w14:paraId="72D1A3EB" w14:textId="31C51712">
            <w:pPr>
              <w:rPr>
                <w:sz w:val="22"/>
                <w:szCs w:val="22"/>
              </w:rPr>
            </w:pPr>
            <w:r w:rsidRPr="006467A4">
              <w:rPr>
                <w:sz w:val="22"/>
                <w:szCs w:val="22"/>
              </w:rPr>
              <w:t>10</w:t>
            </w:r>
          </w:p>
        </w:tc>
      </w:tr>
      <w:tr w14:paraId="798E6C46" w14:textId="77777777" w:rsidTr="64F7B2F5">
        <w:tblPrEx>
          <w:tblW w:w="10007" w:type="dxa"/>
          <w:tblInd w:w="-166" w:type="dxa"/>
          <w:tblLook w:val="01E0"/>
        </w:tblPrEx>
        <w:tc>
          <w:tcPr>
            <w:tcW w:w="9014" w:type="dxa"/>
            <w:tcMar>
              <w:left w:w="14" w:type="dxa"/>
              <w:right w:w="14" w:type="dxa"/>
            </w:tcMar>
          </w:tcPr>
          <w:p w:rsidR="00D21239" w:rsidRPr="006467A4" w:rsidP="007B144E" w14:paraId="2B50DFB4" w14:textId="77777777">
            <w:pPr>
              <w:ind w:left="360"/>
              <w:rPr>
                <w:sz w:val="22"/>
                <w:szCs w:val="22"/>
              </w:rPr>
            </w:pPr>
            <w:r w:rsidRPr="006467A4">
              <w:rPr>
                <w:sz w:val="22"/>
                <w:szCs w:val="22"/>
              </w:rPr>
              <w:t>9. Explanation of Any Payment or Gift to Respondents</w:t>
            </w:r>
            <w:r w:rsidRPr="006467A4" w:rsidR="00E527D8">
              <w:rPr>
                <w:sz w:val="22"/>
                <w:szCs w:val="22"/>
              </w:rPr>
              <w:t>…………………………………...</w:t>
            </w:r>
          </w:p>
        </w:tc>
        <w:tc>
          <w:tcPr>
            <w:tcW w:w="993" w:type="dxa"/>
            <w:tcMar>
              <w:left w:w="14" w:type="dxa"/>
              <w:right w:w="14" w:type="dxa"/>
            </w:tcMar>
          </w:tcPr>
          <w:p w:rsidR="00D21239" w:rsidRPr="006467A4" w:rsidP="009B3F1A" w14:paraId="58A2D33B" w14:textId="6CDDBBBA">
            <w:pPr>
              <w:rPr>
                <w:sz w:val="22"/>
                <w:szCs w:val="22"/>
              </w:rPr>
            </w:pPr>
            <w:r w:rsidRPr="006467A4">
              <w:rPr>
                <w:sz w:val="22"/>
                <w:szCs w:val="22"/>
              </w:rPr>
              <w:t>1</w:t>
            </w:r>
            <w:r w:rsidR="00097DF2">
              <w:rPr>
                <w:sz w:val="22"/>
                <w:szCs w:val="22"/>
              </w:rPr>
              <w:t>1</w:t>
            </w:r>
          </w:p>
        </w:tc>
      </w:tr>
      <w:tr w14:paraId="65382AFA" w14:textId="77777777" w:rsidTr="64F7B2F5">
        <w:tblPrEx>
          <w:tblW w:w="10007" w:type="dxa"/>
          <w:tblInd w:w="-166" w:type="dxa"/>
          <w:tblLook w:val="01E0"/>
        </w:tblPrEx>
        <w:tc>
          <w:tcPr>
            <w:tcW w:w="9014" w:type="dxa"/>
            <w:tcMar>
              <w:left w:w="14" w:type="dxa"/>
              <w:right w:w="14" w:type="dxa"/>
            </w:tcMar>
          </w:tcPr>
          <w:p w:rsidR="00D21239" w:rsidRPr="006467A4" w:rsidP="007B144E" w14:paraId="67DCC492" w14:textId="77777777">
            <w:pPr>
              <w:ind w:left="360"/>
              <w:rPr>
                <w:sz w:val="22"/>
                <w:szCs w:val="22"/>
              </w:rPr>
            </w:pPr>
            <w:r w:rsidRPr="006467A4">
              <w:rPr>
                <w:sz w:val="22"/>
                <w:szCs w:val="22"/>
              </w:rPr>
              <w:t>10. Assurance of Confidentiality Provided to Respondents</w:t>
            </w:r>
            <w:r w:rsidRPr="006467A4" w:rsidR="00E527D8">
              <w:rPr>
                <w:sz w:val="22"/>
                <w:szCs w:val="22"/>
              </w:rPr>
              <w:t>……………………………</w:t>
            </w:r>
            <w:r w:rsidRPr="006467A4" w:rsidR="00E527D8">
              <w:rPr>
                <w:sz w:val="22"/>
                <w:szCs w:val="22"/>
              </w:rPr>
              <w:t>…..</w:t>
            </w:r>
          </w:p>
        </w:tc>
        <w:tc>
          <w:tcPr>
            <w:tcW w:w="993" w:type="dxa"/>
            <w:tcMar>
              <w:left w:w="14" w:type="dxa"/>
              <w:right w:w="14" w:type="dxa"/>
            </w:tcMar>
          </w:tcPr>
          <w:p w:rsidR="00D21239" w:rsidRPr="006467A4" w:rsidP="009B3F1A" w14:paraId="1B6DFAB8" w14:textId="1EEACD24">
            <w:pPr>
              <w:rPr>
                <w:sz w:val="22"/>
                <w:szCs w:val="22"/>
              </w:rPr>
            </w:pPr>
            <w:r w:rsidRPr="006467A4">
              <w:rPr>
                <w:sz w:val="22"/>
                <w:szCs w:val="22"/>
              </w:rPr>
              <w:t>1</w:t>
            </w:r>
            <w:r w:rsidRPr="006467A4" w:rsidR="006467A4">
              <w:rPr>
                <w:sz w:val="22"/>
                <w:szCs w:val="22"/>
              </w:rPr>
              <w:t>2</w:t>
            </w:r>
          </w:p>
        </w:tc>
      </w:tr>
      <w:tr w14:paraId="3C15C7B1" w14:textId="77777777" w:rsidTr="64F7B2F5">
        <w:tblPrEx>
          <w:tblW w:w="10007" w:type="dxa"/>
          <w:tblInd w:w="-166" w:type="dxa"/>
          <w:tblLook w:val="01E0"/>
        </w:tblPrEx>
        <w:tc>
          <w:tcPr>
            <w:tcW w:w="9014" w:type="dxa"/>
            <w:tcMar>
              <w:left w:w="14" w:type="dxa"/>
              <w:right w:w="14" w:type="dxa"/>
            </w:tcMar>
          </w:tcPr>
          <w:p w:rsidR="00D21239" w:rsidRPr="006467A4" w:rsidP="007B144E" w14:paraId="36D59342" w14:textId="77777777">
            <w:pPr>
              <w:ind w:left="360"/>
              <w:rPr>
                <w:sz w:val="22"/>
                <w:szCs w:val="22"/>
              </w:rPr>
            </w:pPr>
            <w:r w:rsidRPr="006467A4">
              <w:rPr>
                <w:sz w:val="22"/>
                <w:szCs w:val="22"/>
              </w:rPr>
              <w:t>11. Justification for Sensitive Questions</w:t>
            </w:r>
            <w:r w:rsidRPr="006467A4" w:rsidR="00E527D8">
              <w:rPr>
                <w:sz w:val="22"/>
                <w:szCs w:val="22"/>
              </w:rPr>
              <w:t>…………………………………………………...</w:t>
            </w:r>
          </w:p>
        </w:tc>
        <w:tc>
          <w:tcPr>
            <w:tcW w:w="993" w:type="dxa"/>
            <w:tcMar>
              <w:left w:w="14" w:type="dxa"/>
              <w:right w:w="14" w:type="dxa"/>
            </w:tcMar>
          </w:tcPr>
          <w:p w:rsidR="00D21239" w:rsidRPr="006467A4" w:rsidP="009B3F1A" w14:paraId="3A7F2E08" w14:textId="35432BE0">
            <w:pPr>
              <w:rPr>
                <w:sz w:val="22"/>
                <w:szCs w:val="22"/>
              </w:rPr>
            </w:pPr>
            <w:r w:rsidRPr="006467A4">
              <w:rPr>
                <w:sz w:val="22"/>
                <w:szCs w:val="22"/>
              </w:rPr>
              <w:t>1</w:t>
            </w:r>
            <w:r w:rsidRPr="006467A4" w:rsidR="006467A4">
              <w:rPr>
                <w:sz w:val="22"/>
                <w:szCs w:val="22"/>
              </w:rPr>
              <w:t>3</w:t>
            </w:r>
          </w:p>
        </w:tc>
      </w:tr>
      <w:tr w14:paraId="53D8EEB6" w14:textId="77777777" w:rsidTr="64F7B2F5">
        <w:tblPrEx>
          <w:tblW w:w="10007" w:type="dxa"/>
          <w:tblInd w:w="-166" w:type="dxa"/>
          <w:tblLook w:val="01E0"/>
        </w:tblPrEx>
        <w:tc>
          <w:tcPr>
            <w:tcW w:w="9014" w:type="dxa"/>
            <w:tcMar>
              <w:left w:w="14" w:type="dxa"/>
              <w:right w:w="14" w:type="dxa"/>
            </w:tcMar>
          </w:tcPr>
          <w:p w:rsidR="00D21239" w:rsidRPr="006467A4" w:rsidP="007B144E" w14:paraId="2A9AA286" w14:textId="77777777">
            <w:pPr>
              <w:ind w:left="360"/>
              <w:rPr>
                <w:sz w:val="22"/>
                <w:szCs w:val="22"/>
              </w:rPr>
            </w:pPr>
            <w:r w:rsidRPr="006467A4">
              <w:rPr>
                <w:sz w:val="22"/>
                <w:szCs w:val="22"/>
              </w:rPr>
              <w:t>12. Estimates of Annualized Burden Hours and Costs</w:t>
            </w:r>
            <w:r w:rsidRPr="006467A4" w:rsidR="00E527D8">
              <w:rPr>
                <w:sz w:val="22"/>
                <w:szCs w:val="22"/>
              </w:rPr>
              <w:t>…………………………………….</w:t>
            </w:r>
          </w:p>
        </w:tc>
        <w:tc>
          <w:tcPr>
            <w:tcW w:w="993" w:type="dxa"/>
            <w:tcMar>
              <w:left w:w="14" w:type="dxa"/>
              <w:right w:w="14" w:type="dxa"/>
            </w:tcMar>
          </w:tcPr>
          <w:p w:rsidR="00D21239" w:rsidRPr="006467A4" w:rsidP="009B3F1A" w14:paraId="0959C4A0" w14:textId="27206FEA">
            <w:pPr>
              <w:rPr>
                <w:sz w:val="22"/>
                <w:szCs w:val="22"/>
              </w:rPr>
            </w:pPr>
            <w:r w:rsidRPr="006467A4">
              <w:rPr>
                <w:sz w:val="22"/>
                <w:szCs w:val="22"/>
              </w:rPr>
              <w:t>1</w:t>
            </w:r>
            <w:r w:rsidR="00E571BD">
              <w:rPr>
                <w:sz w:val="22"/>
                <w:szCs w:val="22"/>
              </w:rPr>
              <w:t>5</w:t>
            </w:r>
          </w:p>
        </w:tc>
      </w:tr>
      <w:tr w14:paraId="54C2C717" w14:textId="77777777" w:rsidTr="64F7B2F5">
        <w:tblPrEx>
          <w:tblW w:w="10007" w:type="dxa"/>
          <w:tblInd w:w="-166" w:type="dxa"/>
          <w:tblLook w:val="01E0"/>
        </w:tblPrEx>
        <w:tc>
          <w:tcPr>
            <w:tcW w:w="9014" w:type="dxa"/>
            <w:tcMar>
              <w:left w:w="14" w:type="dxa"/>
              <w:right w:w="14" w:type="dxa"/>
            </w:tcMar>
          </w:tcPr>
          <w:p w:rsidR="00D21239" w:rsidRPr="006A0A4C" w:rsidP="007B144E" w14:paraId="444AABFC" w14:textId="77777777">
            <w:pPr>
              <w:ind w:left="360"/>
              <w:rPr>
                <w:sz w:val="22"/>
                <w:szCs w:val="22"/>
              </w:rPr>
            </w:pPr>
            <w:r w:rsidRPr="006A0A4C">
              <w:rPr>
                <w:sz w:val="22"/>
                <w:szCs w:val="22"/>
              </w:rPr>
              <w:t>13. Estimates of Other Total Annual Cost Burden to Respondents or Record</w:t>
            </w:r>
            <w:r w:rsidRPr="006A0A4C" w:rsidR="00796E57">
              <w:rPr>
                <w:sz w:val="22"/>
                <w:szCs w:val="22"/>
              </w:rPr>
              <w:t xml:space="preserve"> K</w:t>
            </w:r>
            <w:r w:rsidRPr="006A0A4C">
              <w:rPr>
                <w:sz w:val="22"/>
                <w:szCs w:val="22"/>
              </w:rPr>
              <w:t>eepers</w:t>
            </w:r>
            <w:r w:rsidRPr="006A0A4C" w:rsidR="00E527D8">
              <w:rPr>
                <w:sz w:val="22"/>
                <w:szCs w:val="22"/>
              </w:rPr>
              <w:t>…….</w:t>
            </w:r>
          </w:p>
        </w:tc>
        <w:tc>
          <w:tcPr>
            <w:tcW w:w="993" w:type="dxa"/>
            <w:tcMar>
              <w:left w:w="14" w:type="dxa"/>
              <w:right w:w="14" w:type="dxa"/>
            </w:tcMar>
          </w:tcPr>
          <w:p w:rsidR="00D21239" w:rsidRPr="006A0A4C" w:rsidP="005008A8" w14:paraId="7FB4C3A6" w14:textId="5879E71B">
            <w:pPr>
              <w:rPr>
                <w:sz w:val="22"/>
                <w:szCs w:val="22"/>
              </w:rPr>
            </w:pPr>
            <w:r w:rsidRPr="006A0A4C">
              <w:rPr>
                <w:sz w:val="22"/>
                <w:szCs w:val="22"/>
              </w:rPr>
              <w:t>1</w:t>
            </w:r>
            <w:r w:rsidRPr="006A0A4C" w:rsidR="006A0A4C">
              <w:rPr>
                <w:sz w:val="22"/>
                <w:szCs w:val="22"/>
              </w:rPr>
              <w:t>5</w:t>
            </w:r>
          </w:p>
        </w:tc>
      </w:tr>
      <w:tr w14:paraId="11C5F535" w14:textId="77777777" w:rsidTr="64F7B2F5">
        <w:tblPrEx>
          <w:tblW w:w="10007" w:type="dxa"/>
          <w:tblInd w:w="-166" w:type="dxa"/>
          <w:tblLook w:val="01E0"/>
        </w:tblPrEx>
        <w:tc>
          <w:tcPr>
            <w:tcW w:w="9014" w:type="dxa"/>
            <w:tcMar>
              <w:left w:w="14" w:type="dxa"/>
              <w:right w:w="14" w:type="dxa"/>
            </w:tcMar>
          </w:tcPr>
          <w:p w:rsidR="00D21239" w:rsidRPr="006A0A4C" w:rsidP="007B144E" w14:paraId="4F5CAD13" w14:textId="77777777">
            <w:pPr>
              <w:ind w:left="360"/>
              <w:rPr>
                <w:sz w:val="22"/>
                <w:szCs w:val="22"/>
              </w:rPr>
            </w:pPr>
            <w:r w:rsidRPr="006A0A4C">
              <w:rPr>
                <w:sz w:val="22"/>
                <w:szCs w:val="22"/>
              </w:rPr>
              <w:t>14. Annualized Cost to the Federal Government</w:t>
            </w:r>
            <w:r w:rsidRPr="006A0A4C" w:rsidR="00E527D8">
              <w:rPr>
                <w:sz w:val="22"/>
                <w:szCs w:val="22"/>
              </w:rPr>
              <w:t>………………………………………</w:t>
            </w:r>
            <w:r w:rsidRPr="006A0A4C" w:rsidR="00E527D8">
              <w:rPr>
                <w:sz w:val="22"/>
                <w:szCs w:val="22"/>
              </w:rPr>
              <w:t>…..</w:t>
            </w:r>
          </w:p>
        </w:tc>
        <w:tc>
          <w:tcPr>
            <w:tcW w:w="993" w:type="dxa"/>
            <w:tcMar>
              <w:left w:w="14" w:type="dxa"/>
              <w:right w:w="14" w:type="dxa"/>
            </w:tcMar>
          </w:tcPr>
          <w:p w:rsidR="00D21239" w:rsidRPr="006A0A4C" w:rsidP="005008A8" w14:paraId="31688513" w14:textId="441AAFDF">
            <w:pPr>
              <w:rPr>
                <w:sz w:val="22"/>
                <w:szCs w:val="22"/>
              </w:rPr>
            </w:pPr>
            <w:r w:rsidRPr="006A0A4C">
              <w:rPr>
                <w:sz w:val="22"/>
                <w:szCs w:val="22"/>
              </w:rPr>
              <w:t>1</w:t>
            </w:r>
            <w:r w:rsidRPr="006A0A4C" w:rsidR="006A0A4C">
              <w:rPr>
                <w:sz w:val="22"/>
                <w:szCs w:val="22"/>
              </w:rPr>
              <w:t>6</w:t>
            </w:r>
          </w:p>
        </w:tc>
      </w:tr>
      <w:tr w14:paraId="5FBCF70C" w14:textId="77777777" w:rsidTr="64F7B2F5">
        <w:tblPrEx>
          <w:tblW w:w="10007" w:type="dxa"/>
          <w:tblInd w:w="-166" w:type="dxa"/>
          <w:tblLook w:val="01E0"/>
        </w:tblPrEx>
        <w:tc>
          <w:tcPr>
            <w:tcW w:w="9014" w:type="dxa"/>
            <w:tcMar>
              <w:left w:w="14" w:type="dxa"/>
              <w:right w:w="14" w:type="dxa"/>
            </w:tcMar>
          </w:tcPr>
          <w:p w:rsidR="00D21239" w:rsidRPr="006A0A4C" w:rsidP="007B144E" w14:paraId="725CBAC8" w14:textId="77777777">
            <w:pPr>
              <w:ind w:left="360"/>
              <w:rPr>
                <w:sz w:val="22"/>
                <w:szCs w:val="22"/>
              </w:rPr>
            </w:pPr>
            <w:r w:rsidRPr="006A0A4C">
              <w:rPr>
                <w:sz w:val="22"/>
                <w:szCs w:val="22"/>
              </w:rPr>
              <w:t>15. Explanation for Program Changes or Adjustments</w:t>
            </w:r>
            <w:r w:rsidRPr="006A0A4C" w:rsidR="00E527D8">
              <w:rPr>
                <w:sz w:val="22"/>
                <w:szCs w:val="22"/>
              </w:rPr>
              <w:t>…………………………………….</w:t>
            </w:r>
          </w:p>
        </w:tc>
        <w:tc>
          <w:tcPr>
            <w:tcW w:w="993" w:type="dxa"/>
            <w:tcMar>
              <w:left w:w="14" w:type="dxa"/>
              <w:right w:w="14" w:type="dxa"/>
            </w:tcMar>
          </w:tcPr>
          <w:p w:rsidR="00D21239" w:rsidRPr="006A0A4C" w:rsidP="00796E57" w14:paraId="6A768443" w14:textId="0D561643">
            <w:pPr>
              <w:rPr>
                <w:sz w:val="22"/>
                <w:szCs w:val="22"/>
              </w:rPr>
            </w:pPr>
            <w:r w:rsidRPr="006A0A4C">
              <w:rPr>
                <w:sz w:val="22"/>
                <w:szCs w:val="22"/>
              </w:rPr>
              <w:t>1</w:t>
            </w:r>
            <w:r w:rsidRPr="006A0A4C" w:rsidR="006A0A4C">
              <w:rPr>
                <w:sz w:val="22"/>
                <w:szCs w:val="22"/>
              </w:rPr>
              <w:t>6</w:t>
            </w:r>
          </w:p>
        </w:tc>
      </w:tr>
      <w:tr w14:paraId="627C781D" w14:textId="77777777" w:rsidTr="64F7B2F5">
        <w:tblPrEx>
          <w:tblW w:w="10007" w:type="dxa"/>
          <w:tblInd w:w="-166" w:type="dxa"/>
          <w:tblLook w:val="01E0"/>
        </w:tblPrEx>
        <w:tc>
          <w:tcPr>
            <w:tcW w:w="9014" w:type="dxa"/>
            <w:tcMar>
              <w:left w:w="14" w:type="dxa"/>
              <w:right w:w="14" w:type="dxa"/>
            </w:tcMar>
          </w:tcPr>
          <w:p w:rsidR="00D21239" w:rsidRPr="006A0A4C" w:rsidP="007B144E" w14:paraId="6F5E7919" w14:textId="77777777">
            <w:pPr>
              <w:ind w:left="360"/>
              <w:rPr>
                <w:sz w:val="22"/>
                <w:szCs w:val="22"/>
              </w:rPr>
            </w:pPr>
            <w:r w:rsidRPr="006A0A4C">
              <w:rPr>
                <w:sz w:val="22"/>
                <w:szCs w:val="22"/>
              </w:rPr>
              <w:t>16. Plans for Tabulation and Publication and Project Time Schedule</w:t>
            </w:r>
            <w:r w:rsidRPr="006A0A4C" w:rsidR="00E527D8">
              <w:rPr>
                <w:sz w:val="22"/>
                <w:szCs w:val="22"/>
              </w:rPr>
              <w:t>…………………</w:t>
            </w:r>
            <w:r w:rsidRPr="006A0A4C" w:rsidR="00E527D8">
              <w:rPr>
                <w:sz w:val="22"/>
                <w:szCs w:val="22"/>
              </w:rPr>
              <w:t>…..</w:t>
            </w:r>
          </w:p>
        </w:tc>
        <w:tc>
          <w:tcPr>
            <w:tcW w:w="993" w:type="dxa"/>
            <w:tcMar>
              <w:left w:w="14" w:type="dxa"/>
              <w:right w:w="14" w:type="dxa"/>
            </w:tcMar>
          </w:tcPr>
          <w:p w:rsidR="00D21239" w:rsidRPr="006A0A4C" w:rsidP="005008A8" w14:paraId="1658A9F2" w14:textId="42D3984A">
            <w:pPr>
              <w:rPr>
                <w:sz w:val="22"/>
                <w:szCs w:val="22"/>
              </w:rPr>
            </w:pPr>
            <w:r w:rsidRPr="006A0A4C">
              <w:rPr>
                <w:sz w:val="22"/>
                <w:szCs w:val="22"/>
              </w:rPr>
              <w:t>1</w:t>
            </w:r>
            <w:r w:rsidRPr="006A0A4C" w:rsidR="006A0A4C">
              <w:rPr>
                <w:sz w:val="22"/>
                <w:szCs w:val="22"/>
              </w:rPr>
              <w:t>7</w:t>
            </w:r>
          </w:p>
        </w:tc>
      </w:tr>
      <w:tr w14:paraId="05811495" w14:textId="77777777" w:rsidTr="64F7B2F5">
        <w:tblPrEx>
          <w:tblW w:w="10007" w:type="dxa"/>
          <w:tblInd w:w="-166" w:type="dxa"/>
          <w:tblLook w:val="01E0"/>
        </w:tblPrEx>
        <w:tc>
          <w:tcPr>
            <w:tcW w:w="9014" w:type="dxa"/>
            <w:tcMar>
              <w:left w:w="14" w:type="dxa"/>
              <w:right w:w="14" w:type="dxa"/>
            </w:tcMar>
          </w:tcPr>
          <w:p w:rsidR="00D21239" w:rsidRPr="006A0A4C" w:rsidP="007B144E" w14:paraId="5C18CA26" w14:textId="77777777">
            <w:pPr>
              <w:ind w:left="360"/>
              <w:rPr>
                <w:sz w:val="22"/>
                <w:szCs w:val="22"/>
              </w:rPr>
            </w:pPr>
            <w:r w:rsidRPr="006A0A4C">
              <w:rPr>
                <w:sz w:val="22"/>
                <w:szCs w:val="22"/>
              </w:rPr>
              <w:t>17. Reason(s) Display of OMB Expiration Date is Inappropriate</w:t>
            </w:r>
            <w:r w:rsidRPr="006A0A4C" w:rsidR="00E527D8">
              <w:rPr>
                <w:sz w:val="22"/>
                <w:szCs w:val="22"/>
              </w:rPr>
              <w:t>………………………....</w:t>
            </w:r>
          </w:p>
        </w:tc>
        <w:tc>
          <w:tcPr>
            <w:tcW w:w="993" w:type="dxa"/>
            <w:tcMar>
              <w:left w:w="14" w:type="dxa"/>
              <w:right w:w="14" w:type="dxa"/>
            </w:tcMar>
          </w:tcPr>
          <w:p w:rsidR="00D21239" w:rsidRPr="006A0A4C" w:rsidP="005008A8" w14:paraId="3E0FF6EF" w14:textId="7591D19B">
            <w:pPr>
              <w:rPr>
                <w:sz w:val="22"/>
                <w:szCs w:val="22"/>
              </w:rPr>
            </w:pPr>
            <w:r w:rsidRPr="006A0A4C">
              <w:rPr>
                <w:sz w:val="22"/>
                <w:szCs w:val="22"/>
              </w:rPr>
              <w:t>1</w:t>
            </w:r>
            <w:r w:rsidRPr="006A0A4C" w:rsidR="006A0A4C">
              <w:rPr>
                <w:sz w:val="22"/>
                <w:szCs w:val="22"/>
              </w:rPr>
              <w:t>8</w:t>
            </w:r>
          </w:p>
        </w:tc>
      </w:tr>
      <w:tr w14:paraId="68FB0728" w14:textId="77777777" w:rsidTr="64F7B2F5">
        <w:tblPrEx>
          <w:tblW w:w="10007" w:type="dxa"/>
          <w:tblInd w:w="-166" w:type="dxa"/>
          <w:tblLook w:val="01E0"/>
        </w:tblPrEx>
        <w:tc>
          <w:tcPr>
            <w:tcW w:w="9014" w:type="dxa"/>
            <w:tcMar>
              <w:left w:w="14" w:type="dxa"/>
              <w:right w:w="14" w:type="dxa"/>
            </w:tcMar>
          </w:tcPr>
          <w:p w:rsidR="00D21239" w:rsidRPr="006A0A4C" w:rsidP="007B144E" w14:paraId="43FF3EDE" w14:textId="77777777">
            <w:pPr>
              <w:ind w:left="360"/>
              <w:rPr>
                <w:sz w:val="22"/>
                <w:szCs w:val="22"/>
              </w:rPr>
            </w:pPr>
            <w:r w:rsidRPr="006A0A4C">
              <w:rPr>
                <w:sz w:val="22"/>
                <w:szCs w:val="22"/>
              </w:rPr>
              <w:t>18. Exceptions of Certification for Paperwork Reduction Act Submissions</w:t>
            </w:r>
            <w:r w:rsidRPr="006A0A4C" w:rsidR="00E527D8">
              <w:rPr>
                <w:sz w:val="22"/>
                <w:szCs w:val="22"/>
              </w:rPr>
              <w:t>………………</w:t>
            </w:r>
          </w:p>
        </w:tc>
        <w:tc>
          <w:tcPr>
            <w:tcW w:w="993" w:type="dxa"/>
            <w:tcMar>
              <w:left w:w="14" w:type="dxa"/>
              <w:right w:w="14" w:type="dxa"/>
            </w:tcMar>
          </w:tcPr>
          <w:p w:rsidR="00D21239" w:rsidRPr="006A0A4C" w:rsidP="005008A8" w14:paraId="321BA0F8" w14:textId="163165C3">
            <w:pPr>
              <w:rPr>
                <w:sz w:val="22"/>
                <w:szCs w:val="22"/>
              </w:rPr>
            </w:pPr>
            <w:r w:rsidRPr="006A0A4C">
              <w:rPr>
                <w:sz w:val="22"/>
                <w:szCs w:val="22"/>
              </w:rPr>
              <w:t>1</w:t>
            </w:r>
            <w:r w:rsidRPr="006A0A4C" w:rsidR="006A0A4C">
              <w:rPr>
                <w:sz w:val="22"/>
                <w:szCs w:val="22"/>
              </w:rPr>
              <w:t>8</w:t>
            </w:r>
          </w:p>
        </w:tc>
      </w:tr>
    </w:tbl>
    <w:p w:rsidR="00350C2E" w14:paraId="3733E77F" w14:textId="77777777"/>
    <w:p w:rsidR="00561D98" w14:paraId="39636C52" w14:textId="77777777"/>
    <w:p w:rsidR="00561D98" w14:paraId="091DC758" w14:textId="77777777"/>
    <w:p w:rsidR="002020D7" w:rsidP="00D57223" w14:paraId="08B08336" w14:textId="152863FF">
      <w:pPr>
        <w:jc w:val="center"/>
        <w:rPr>
          <w:b/>
          <w:bCs/>
          <w:sz w:val="22"/>
          <w:szCs w:val="22"/>
        </w:rPr>
      </w:pPr>
      <w:r w:rsidRPr="00D57223">
        <w:rPr>
          <w:b/>
          <w:bCs/>
          <w:sz w:val="22"/>
          <w:szCs w:val="22"/>
        </w:rPr>
        <w:t>List of Attachments</w:t>
      </w:r>
      <w:r w:rsidR="00162EC4">
        <w:rPr>
          <w:b/>
          <w:bCs/>
          <w:sz w:val="22"/>
          <w:szCs w:val="22"/>
        </w:rPr>
        <w:t xml:space="preserve"> and Appendices</w:t>
      </w:r>
    </w:p>
    <w:p w:rsidR="00C56EAC" w:rsidRPr="00D57223" w:rsidP="00D57223" w14:paraId="5C04CF19" w14:textId="77777777">
      <w:pPr>
        <w:jc w:val="center"/>
        <w:rPr>
          <w:b/>
          <w:bCs/>
          <w:sz w:val="22"/>
          <w:szCs w:val="22"/>
        </w:rPr>
      </w:pPr>
    </w:p>
    <w:p w:rsidR="00D84AEF" w14:paraId="1DC813BC" w14:textId="27033AF6">
      <w:pPr>
        <w:rPr>
          <w:sz w:val="22"/>
          <w:szCs w:val="22"/>
        </w:rPr>
      </w:pPr>
      <w:r w:rsidRPr="00D57223">
        <w:rPr>
          <w:sz w:val="22"/>
          <w:szCs w:val="22"/>
        </w:rPr>
        <w:t>1.</w:t>
      </w:r>
      <w:r w:rsidR="00761483">
        <w:rPr>
          <w:sz w:val="22"/>
          <w:szCs w:val="22"/>
        </w:rPr>
        <w:t xml:space="preserve"> </w:t>
      </w:r>
      <w:r w:rsidR="00537319">
        <w:rPr>
          <w:sz w:val="22"/>
          <w:szCs w:val="22"/>
        </w:rPr>
        <w:t>A</w:t>
      </w:r>
      <w:r w:rsidR="00E95C7B">
        <w:rPr>
          <w:sz w:val="22"/>
          <w:szCs w:val="22"/>
        </w:rPr>
        <w:t>ttachment 1</w:t>
      </w:r>
      <w:r w:rsidR="00C56EAC">
        <w:rPr>
          <w:sz w:val="22"/>
          <w:szCs w:val="22"/>
        </w:rPr>
        <w:t xml:space="preserve"> EHS-Net Authorizing Legislation</w:t>
      </w:r>
    </w:p>
    <w:p w:rsidR="00537319" w14:paraId="665FD876" w14:textId="28C9E6FA">
      <w:pPr>
        <w:rPr>
          <w:sz w:val="22"/>
          <w:szCs w:val="22"/>
        </w:rPr>
      </w:pPr>
      <w:r w:rsidRPr="64F7B2F5">
        <w:rPr>
          <w:sz w:val="22"/>
          <w:szCs w:val="22"/>
        </w:rPr>
        <w:t xml:space="preserve">2. </w:t>
      </w:r>
      <w:r w:rsidR="00E95C7B">
        <w:rPr>
          <w:sz w:val="22"/>
          <w:szCs w:val="22"/>
        </w:rPr>
        <w:t>Attachment 2</w:t>
      </w:r>
      <w:r w:rsidRPr="64F7B2F5" w:rsidR="00B32666">
        <w:rPr>
          <w:sz w:val="22"/>
          <w:szCs w:val="22"/>
        </w:rPr>
        <w:t xml:space="preserve"> EHS-Net </w:t>
      </w:r>
      <w:r w:rsidRPr="64F7B2F5" w:rsidR="000D2DF7">
        <w:rPr>
          <w:sz w:val="22"/>
          <w:szCs w:val="22"/>
        </w:rPr>
        <w:t>60-Day Federal Register Notice</w:t>
      </w:r>
    </w:p>
    <w:p w:rsidR="00F54B43" w14:paraId="2DB22981" w14:textId="6C0749DC">
      <w:pPr>
        <w:rPr>
          <w:sz w:val="22"/>
          <w:szCs w:val="22"/>
        </w:rPr>
      </w:pPr>
      <w:r>
        <w:rPr>
          <w:sz w:val="22"/>
          <w:szCs w:val="22"/>
        </w:rPr>
        <w:t>3. Attachment 2a EHS-Net Comment 1</w:t>
      </w:r>
    </w:p>
    <w:p w:rsidR="00371494" w14:paraId="45554F80" w14:textId="39650B59">
      <w:pPr>
        <w:rPr>
          <w:sz w:val="22"/>
          <w:szCs w:val="22"/>
        </w:rPr>
      </w:pPr>
      <w:r>
        <w:rPr>
          <w:sz w:val="22"/>
          <w:szCs w:val="22"/>
        </w:rPr>
        <w:t>4. Attachment 2b EHS-Net Comment 2</w:t>
      </w:r>
    </w:p>
    <w:p w:rsidR="00C66902" w14:paraId="1015D11C" w14:textId="6FF92B2D">
      <w:pPr>
        <w:rPr>
          <w:sz w:val="22"/>
          <w:szCs w:val="22"/>
        </w:rPr>
      </w:pPr>
      <w:r>
        <w:rPr>
          <w:sz w:val="22"/>
          <w:szCs w:val="22"/>
        </w:rPr>
        <w:t>5. Attachment 2c EHS-Net Comment 3</w:t>
      </w:r>
    </w:p>
    <w:p w:rsidR="00C66902" w14:paraId="52628D4C" w14:textId="1671DBF6">
      <w:pPr>
        <w:rPr>
          <w:sz w:val="22"/>
          <w:szCs w:val="22"/>
        </w:rPr>
      </w:pPr>
      <w:r>
        <w:rPr>
          <w:sz w:val="22"/>
          <w:szCs w:val="22"/>
        </w:rPr>
        <w:t>6. Attachment 2d EHS-Net Response</w:t>
      </w:r>
    </w:p>
    <w:p w:rsidR="00537319" w14:paraId="42B6F030" w14:textId="66576323">
      <w:pPr>
        <w:rPr>
          <w:sz w:val="22"/>
          <w:szCs w:val="22"/>
        </w:rPr>
      </w:pPr>
      <w:r>
        <w:rPr>
          <w:sz w:val="22"/>
          <w:szCs w:val="22"/>
        </w:rPr>
        <w:t>7</w:t>
      </w:r>
      <w:r>
        <w:rPr>
          <w:sz w:val="22"/>
          <w:szCs w:val="22"/>
        </w:rPr>
        <w:t xml:space="preserve">. </w:t>
      </w:r>
      <w:r w:rsidRPr="007B311C">
        <w:rPr>
          <w:sz w:val="22"/>
          <w:szCs w:val="22"/>
        </w:rPr>
        <w:t>A</w:t>
      </w:r>
      <w:r w:rsidR="00034C1B">
        <w:rPr>
          <w:sz w:val="22"/>
          <w:szCs w:val="22"/>
        </w:rPr>
        <w:t>ttachment</w:t>
      </w:r>
      <w:r w:rsidRPr="007B311C">
        <w:rPr>
          <w:sz w:val="22"/>
          <w:szCs w:val="22"/>
        </w:rPr>
        <w:t xml:space="preserve"> </w:t>
      </w:r>
      <w:r w:rsidR="00E95C7B">
        <w:rPr>
          <w:sz w:val="22"/>
          <w:szCs w:val="22"/>
        </w:rPr>
        <w:t>3</w:t>
      </w:r>
      <w:r w:rsidRPr="007B311C" w:rsidR="00BA3D1B">
        <w:rPr>
          <w:sz w:val="22"/>
          <w:szCs w:val="22"/>
        </w:rPr>
        <w:t xml:space="preserve"> EHS-Net Privacy Impact Assessment</w:t>
      </w:r>
    </w:p>
    <w:p w:rsidR="00537319" w14:paraId="767E755A" w14:textId="56756B96">
      <w:pPr>
        <w:rPr>
          <w:sz w:val="22"/>
          <w:szCs w:val="22"/>
        </w:rPr>
      </w:pPr>
      <w:r>
        <w:rPr>
          <w:sz w:val="22"/>
          <w:szCs w:val="22"/>
        </w:rPr>
        <w:t>8</w:t>
      </w:r>
      <w:r>
        <w:rPr>
          <w:sz w:val="22"/>
          <w:szCs w:val="22"/>
        </w:rPr>
        <w:t xml:space="preserve">. </w:t>
      </w:r>
      <w:r w:rsidRPr="0064745B" w:rsidR="00E95C7B">
        <w:rPr>
          <w:sz w:val="22"/>
          <w:szCs w:val="22"/>
        </w:rPr>
        <w:t>Attachment</w:t>
      </w:r>
      <w:r w:rsidRPr="0064745B">
        <w:rPr>
          <w:sz w:val="22"/>
          <w:szCs w:val="22"/>
        </w:rPr>
        <w:t xml:space="preserve"> </w:t>
      </w:r>
      <w:r w:rsidRPr="0064745B" w:rsidR="00E95C7B">
        <w:rPr>
          <w:sz w:val="22"/>
          <w:szCs w:val="22"/>
        </w:rPr>
        <w:t>4</w:t>
      </w:r>
      <w:r w:rsidRPr="0064745B" w:rsidR="00BA3D1B">
        <w:rPr>
          <w:sz w:val="22"/>
          <w:szCs w:val="22"/>
        </w:rPr>
        <w:t xml:space="preserve"> </w:t>
      </w:r>
      <w:r w:rsidRPr="0064745B" w:rsidR="004E1C8B">
        <w:rPr>
          <w:sz w:val="22"/>
          <w:szCs w:val="22"/>
        </w:rPr>
        <w:t>EHS-Net STARS Determination</w:t>
      </w:r>
    </w:p>
    <w:p w:rsidR="00761483" w:rsidRPr="00D57223" w14:paraId="66F45DDB" w14:textId="4E9080F6">
      <w:pPr>
        <w:rPr>
          <w:sz w:val="22"/>
          <w:szCs w:val="22"/>
        </w:rPr>
      </w:pPr>
      <w:r>
        <w:rPr>
          <w:sz w:val="22"/>
          <w:szCs w:val="22"/>
        </w:rPr>
        <w:t>9</w:t>
      </w:r>
      <w:r w:rsidR="00D84AEF">
        <w:rPr>
          <w:sz w:val="22"/>
          <w:szCs w:val="22"/>
        </w:rPr>
        <w:t xml:space="preserve">. </w:t>
      </w:r>
      <w:r w:rsidR="00E95C7B">
        <w:rPr>
          <w:sz w:val="22"/>
          <w:szCs w:val="22"/>
        </w:rPr>
        <w:t>Appendix</w:t>
      </w:r>
      <w:r>
        <w:rPr>
          <w:sz w:val="22"/>
          <w:szCs w:val="22"/>
        </w:rPr>
        <w:t xml:space="preserve"> 1 EHS-Net Publications</w:t>
      </w:r>
    </w:p>
    <w:p w:rsidR="00761483" w:rsidRPr="00D57223" w14:paraId="1F3BCE7A" w14:textId="4D19225E">
      <w:pPr>
        <w:rPr>
          <w:sz w:val="22"/>
          <w:szCs w:val="22"/>
        </w:rPr>
      </w:pPr>
      <w:r>
        <w:rPr>
          <w:sz w:val="22"/>
          <w:szCs w:val="22"/>
        </w:rPr>
        <w:t>10</w:t>
      </w:r>
      <w:r w:rsidR="00D84AEF">
        <w:rPr>
          <w:sz w:val="22"/>
          <w:szCs w:val="22"/>
        </w:rPr>
        <w:t>.</w:t>
      </w:r>
      <w:r>
        <w:rPr>
          <w:sz w:val="22"/>
          <w:szCs w:val="22"/>
        </w:rPr>
        <w:t xml:space="preserve"> </w:t>
      </w:r>
      <w:r w:rsidR="00E95C7B">
        <w:rPr>
          <w:sz w:val="22"/>
          <w:szCs w:val="22"/>
        </w:rPr>
        <w:t>Appendix</w:t>
      </w:r>
      <w:r>
        <w:rPr>
          <w:sz w:val="22"/>
          <w:szCs w:val="22"/>
        </w:rPr>
        <w:t xml:space="preserve"> 2 Example of EHS-Net Manager Informed Consent</w:t>
      </w:r>
    </w:p>
    <w:p w:rsidR="002020D7" w14:paraId="19B42677" w14:textId="259013DC">
      <w:pPr>
        <w:rPr>
          <w:sz w:val="22"/>
          <w:szCs w:val="22"/>
        </w:rPr>
      </w:pPr>
      <w:r>
        <w:rPr>
          <w:sz w:val="22"/>
          <w:szCs w:val="22"/>
        </w:rPr>
        <w:t>11</w:t>
      </w:r>
      <w:r w:rsidR="00D84AEF">
        <w:rPr>
          <w:sz w:val="22"/>
          <w:szCs w:val="22"/>
        </w:rPr>
        <w:t>.</w:t>
      </w:r>
      <w:r w:rsidR="00761483">
        <w:rPr>
          <w:sz w:val="22"/>
          <w:szCs w:val="22"/>
        </w:rPr>
        <w:t xml:space="preserve"> </w:t>
      </w:r>
      <w:r w:rsidR="00E95C7B">
        <w:rPr>
          <w:sz w:val="22"/>
          <w:szCs w:val="22"/>
        </w:rPr>
        <w:t>Appendix</w:t>
      </w:r>
      <w:r w:rsidR="00761483">
        <w:rPr>
          <w:sz w:val="22"/>
          <w:szCs w:val="22"/>
        </w:rPr>
        <w:t xml:space="preserve"> 3 Example of EHS-Net Worker Recruiting</w:t>
      </w:r>
      <w:r w:rsidR="001859E3">
        <w:rPr>
          <w:sz w:val="22"/>
          <w:szCs w:val="22"/>
        </w:rPr>
        <w:t>-Informed Consent</w:t>
      </w:r>
    </w:p>
    <w:p w:rsidR="001859E3" w14:paraId="12E9B630" w14:textId="1F313357">
      <w:pPr>
        <w:rPr>
          <w:sz w:val="22"/>
          <w:szCs w:val="22"/>
        </w:rPr>
      </w:pPr>
      <w:r>
        <w:rPr>
          <w:sz w:val="22"/>
          <w:szCs w:val="22"/>
        </w:rPr>
        <w:t>12</w:t>
      </w:r>
      <w:r w:rsidR="00D84AEF">
        <w:rPr>
          <w:sz w:val="22"/>
          <w:szCs w:val="22"/>
        </w:rPr>
        <w:t>.</w:t>
      </w:r>
      <w:r>
        <w:rPr>
          <w:sz w:val="22"/>
          <w:szCs w:val="22"/>
        </w:rPr>
        <w:t xml:space="preserve"> </w:t>
      </w:r>
      <w:r w:rsidR="00E95C7B">
        <w:rPr>
          <w:sz w:val="22"/>
          <w:szCs w:val="22"/>
        </w:rPr>
        <w:t>Appendix</w:t>
      </w:r>
      <w:r>
        <w:rPr>
          <w:sz w:val="22"/>
          <w:szCs w:val="22"/>
        </w:rPr>
        <w:t xml:space="preserve"> 4 Example of EHS-Net Manager Recruiting Script</w:t>
      </w:r>
    </w:p>
    <w:p w:rsidR="001859E3" w14:paraId="6C22D1F5" w14:textId="526AC4A7">
      <w:pPr>
        <w:rPr>
          <w:sz w:val="22"/>
          <w:szCs w:val="22"/>
        </w:rPr>
      </w:pPr>
      <w:r>
        <w:rPr>
          <w:sz w:val="22"/>
          <w:szCs w:val="22"/>
        </w:rPr>
        <w:t>1</w:t>
      </w:r>
      <w:r w:rsidR="00DC6E0C">
        <w:rPr>
          <w:sz w:val="22"/>
          <w:szCs w:val="22"/>
        </w:rPr>
        <w:t>3</w:t>
      </w:r>
      <w:r w:rsidR="00D84AEF">
        <w:rPr>
          <w:sz w:val="22"/>
          <w:szCs w:val="22"/>
        </w:rPr>
        <w:t>.</w:t>
      </w:r>
      <w:r>
        <w:rPr>
          <w:sz w:val="22"/>
          <w:szCs w:val="22"/>
        </w:rPr>
        <w:t xml:space="preserve"> </w:t>
      </w:r>
      <w:r w:rsidR="00CE2A09">
        <w:rPr>
          <w:sz w:val="22"/>
          <w:szCs w:val="22"/>
        </w:rPr>
        <w:t>Appendix</w:t>
      </w:r>
      <w:r>
        <w:rPr>
          <w:sz w:val="22"/>
          <w:szCs w:val="22"/>
        </w:rPr>
        <w:t xml:space="preserve"> 5 Example of EHS-Net Manager Interview</w:t>
      </w:r>
    </w:p>
    <w:p w:rsidR="001859E3" w14:paraId="036630FA" w14:textId="5B9F116A">
      <w:pPr>
        <w:rPr>
          <w:sz w:val="22"/>
          <w:szCs w:val="22"/>
        </w:rPr>
      </w:pPr>
      <w:r>
        <w:rPr>
          <w:sz w:val="22"/>
          <w:szCs w:val="22"/>
        </w:rPr>
        <w:t>1</w:t>
      </w:r>
      <w:r w:rsidR="00DC6E0C">
        <w:rPr>
          <w:sz w:val="22"/>
          <w:szCs w:val="22"/>
        </w:rPr>
        <w:t>4</w:t>
      </w:r>
      <w:r>
        <w:rPr>
          <w:sz w:val="22"/>
          <w:szCs w:val="22"/>
        </w:rPr>
        <w:t>.</w:t>
      </w:r>
      <w:r>
        <w:rPr>
          <w:sz w:val="22"/>
          <w:szCs w:val="22"/>
        </w:rPr>
        <w:t xml:space="preserve"> </w:t>
      </w:r>
      <w:r w:rsidR="00CE2A09">
        <w:rPr>
          <w:sz w:val="22"/>
          <w:szCs w:val="22"/>
        </w:rPr>
        <w:t>Appendix</w:t>
      </w:r>
      <w:r>
        <w:rPr>
          <w:sz w:val="22"/>
          <w:szCs w:val="22"/>
        </w:rPr>
        <w:t xml:space="preserve"> 6 Examp</w:t>
      </w:r>
      <w:r w:rsidR="00A265AE">
        <w:rPr>
          <w:sz w:val="22"/>
          <w:szCs w:val="22"/>
        </w:rPr>
        <w:t>le of EHS-Net Worker Interview</w:t>
      </w:r>
    </w:p>
    <w:p w:rsidR="00A265AE" w:rsidRPr="00D57223" w14:paraId="11E337AA" w14:textId="494AF154">
      <w:pPr>
        <w:rPr>
          <w:sz w:val="22"/>
          <w:szCs w:val="22"/>
        </w:rPr>
      </w:pPr>
      <w:r>
        <w:rPr>
          <w:sz w:val="22"/>
          <w:szCs w:val="22"/>
        </w:rPr>
        <w:t>1</w:t>
      </w:r>
      <w:r w:rsidR="00DC6E0C">
        <w:rPr>
          <w:sz w:val="22"/>
          <w:szCs w:val="22"/>
        </w:rPr>
        <w:t>5</w:t>
      </w:r>
      <w:r>
        <w:rPr>
          <w:sz w:val="22"/>
          <w:szCs w:val="22"/>
        </w:rPr>
        <w:t xml:space="preserve">. </w:t>
      </w:r>
      <w:r w:rsidR="00CE2A09">
        <w:rPr>
          <w:sz w:val="22"/>
          <w:szCs w:val="22"/>
        </w:rPr>
        <w:t>Appendix</w:t>
      </w:r>
      <w:r>
        <w:rPr>
          <w:sz w:val="22"/>
          <w:szCs w:val="22"/>
        </w:rPr>
        <w:t xml:space="preserve"> 7 Example of EHS-Net Observation</w:t>
      </w:r>
    </w:p>
    <w:p w:rsidR="00350C2E" w:rsidRPr="00D57223" w14:paraId="7EDD2A43" w14:textId="1CF90EA9">
      <w:pPr>
        <w:rPr>
          <w:b/>
          <w:bCs/>
        </w:rPr>
      </w:pPr>
      <w:r w:rsidRPr="00D57223">
        <w:rPr>
          <w:b/>
          <w:bCs/>
        </w:rPr>
        <w:br w:type="page"/>
      </w:r>
    </w:p>
    <w:p w:rsidR="00206E66" w:rsidRPr="008F7801" w14:paraId="014E8B29" w14:textId="42241F9A">
      <w:r w:rsidRPr="008F7801">
        <w:rPr>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341630</wp:posOffset>
                </wp:positionV>
                <wp:extent cx="5920740" cy="2449195"/>
                <wp:effectExtent l="0" t="0" r="22860" b="2730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0740" cy="2449195"/>
                        </a:xfrm>
                        <a:prstGeom prst="rect">
                          <a:avLst/>
                        </a:prstGeom>
                        <a:solidFill>
                          <a:srgbClr val="FFFFFF"/>
                        </a:solidFill>
                        <a:ln w="9525">
                          <a:solidFill>
                            <a:srgbClr val="000000"/>
                          </a:solidFill>
                          <a:miter lim="800000"/>
                          <a:headEnd/>
                          <a:tailEnd/>
                        </a:ln>
                      </wps:spPr>
                      <wps:txbx>
                        <w:txbxContent>
                          <w:p w:rsidR="00206E66" w:rsidRPr="0054602A" w:rsidP="00206E66" w14:textId="77777777">
                            <w:pPr>
                              <w:autoSpaceDE w:val="0"/>
                              <w:autoSpaceDN w:val="0"/>
                              <w:adjustRightInd w:val="0"/>
                              <w:rPr>
                                <w:sz w:val="22"/>
                                <w:szCs w:val="22"/>
                              </w:rPr>
                            </w:pPr>
                            <w:r w:rsidRPr="0054602A">
                              <w:rPr>
                                <w:b/>
                                <w:sz w:val="22"/>
                                <w:szCs w:val="22"/>
                              </w:rPr>
                              <w:t>Goal of the study:</w:t>
                            </w:r>
                            <w:r w:rsidRPr="0054602A">
                              <w:rPr>
                                <w:sz w:val="22"/>
                                <w:szCs w:val="22"/>
                              </w:rPr>
                              <w:t xml:space="preserve"> The goal of this food safety research program </w:t>
                            </w:r>
                            <w:r>
                              <w:rPr>
                                <w:sz w:val="22"/>
                                <w:szCs w:val="22"/>
                              </w:rPr>
                              <w:t xml:space="preserve">(Environmental Health Specialists Network [EHS-Net]) </w:t>
                            </w:r>
                            <w:r w:rsidRPr="0054602A">
                              <w:rPr>
                                <w:sz w:val="22"/>
                                <w:szCs w:val="22"/>
                              </w:rPr>
                              <w:t>is to collect data in retail food establishments that will identify and help to understand environmental factors (e.g. manager food safety certification, implementation of food safety practices, etc.) associated with retail-related foodborne illness and outbreaks.</w:t>
                            </w:r>
                          </w:p>
                          <w:p w:rsidR="00206E66" w:rsidRPr="0054602A" w:rsidP="00206E66" w14:textId="77777777">
                            <w:pPr>
                              <w:autoSpaceDE w:val="0"/>
                              <w:autoSpaceDN w:val="0"/>
                              <w:adjustRightInd w:val="0"/>
                              <w:rPr>
                                <w:sz w:val="22"/>
                                <w:szCs w:val="22"/>
                              </w:rPr>
                            </w:pPr>
                            <w:r w:rsidRPr="0054602A">
                              <w:rPr>
                                <w:b/>
                                <w:sz w:val="22"/>
                                <w:szCs w:val="22"/>
                              </w:rPr>
                              <w:t>Intended use of the resulting data:</w:t>
                            </w:r>
                            <w:r w:rsidRPr="0054602A">
                              <w:rPr>
                                <w:sz w:val="22"/>
                                <w:szCs w:val="22"/>
                              </w:rPr>
                              <w:t xml:space="preserve"> The information collected from establishments will be used by CDC to develop food safety prevention and intervention recommendations for environmental public health/food safety programs and the retail food establishment industry.</w:t>
                            </w:r>
                          </w:p>
                          <w:p w:rsidR="00206E66" w:rsidRPr="0054602A" w:rsidP="00206E66" w14:textId="0AFFF922">
                            <w:pPr>
                              <w:autoSpaceDE w:val="0"/>
                              <w:autoSpaceDN w:val="0"/>
                              <w:adjustRightInd w:val="0"/>
                              <w:rPr>
                                <w:sz w:val="22"/>
                                <w:szCs w:val="22"/>
                              </w:rPr>
                            </w:pPr>
                            <w:r w:rsidRPr="0054602A">
                              <w:rPr>
                                <w:b/>
                                <w:sz w:val="22"/>
                                <w:szCs w:val="22"/>
                              </w:rPr>
                              <w:t xml:space="preserve">Methods used to collect data: </w:t>
                            </w:r>
                            <w:r w:rsidRPr="0054602A">
                              <w:rPr>
                                <w:sz w:val="22"/>
                                <w:szCs w:val="22"/>
                              </w:rPr>
                              <w:t xml:space="preserve">Data will be collected through interviews or </w:t>
                            </w:r>
                            <w:r w:rsidR="00E94F20">
                              <w:rPr>
                                <w:sz w:val="22"/>
                                <w:szCs w:val="22"/>
                              </w:rPr>
                              <w:t>surveys</w:t>
                            </w:r>
                            <w:r w:rsidRPr="0054602A">
                              <w:rPr>
                                <w:sz w:val="22"/>
                                <w:szCs w:val="22"/>
                              </w:rPr>
                              <w:t>; and observations in random samples of food establishments in the EHS-Net-funded state and local food safety programs.</w:t>
                            </w:r>
                          </w:p>
                          <w:p w:rsidR="00206E66" w:rsidRPr="0054602A" w:rsidP="00206E66" w14:textId="27CCF0F7">
                            <w:pPr>
                              <w:autoSpaceDE w:val="0"/>
                              <w:autoSpaceDN w:val="0"/>
                              <w:adjustRightInd w:val="0"/>
                              <w:rPr>
                                <w:sz w:val="22"/>
                                <w:szCs w:val="22"/>
                              </w:rPr>
                            </w:pPr>
                            <w:r w:rsidRPr="0054602A">
                              <w:rPr>
                                <w:b/>
                                <w:sz w:val="22"/>
                                <w:szCs w:val="22"/>
                              </w:rPr>
                              <w:t>Subpopulation to be studied:</w:t>
                            </w:r>
                            <w:r w:rsidRPr="0054602A">
                              <w:rPr>
                                <w:sz w:val="22"/>
                                <w:szCs w:val="22"/>
                              </w:rPr>
                              <w:t xml:space="preserve"> The population to be studied will be randomly sampled voluntarily participating restaurants in the </w:t>
                            </w:r>
                            <w:r>
                              <w:rPr>
                                <w:sz w:val="22"/>
                                <w:szCs w:val="22"/>
                              </w:rPr>
                              <w:t>EHS-Net funded programs’ jurisdictions</w:t>
                            </w:r>
                            <w:r w:rsidRPr="0054602A">
                              <w:rPr>
                                <w:sz w:val="22"/>
                                <w:szCs w:val="22"/>
                              </w:rPr>
                              <w:t>.</w:t>
                            </w:r>
                          </w:p>
                          <w:p w:rsidR="00206E66" w:rsidRPr="006410BB" w:rsidP="00206E66" w14:textId="77777777">
                            <w:pPr>
                              <w:pStyle w:val="ListParagraph"/>
                              <w:ind w:left="0"/>
                              <w:contextualSpacing/>
                              <w:rPr>
                                <w:sz w:val="22"/>
                                <w:szCs w:val="22"/>
                              </w:rPr>
                            </w:pPr>
                            <w:r w:rsidRPr="0054602A">
                              <w:rPr>
                                <w:b/>
                                <w:sz w:val="22"/>
                                <w:szCs w:val="22"/>
                              </w:rPr>
                              <w:t>How data will be analyzed:</w:t>
                            </w:r>
                            <w:r w:rsidRPr="0054602A">
                              <w:rPr>
                                <w:sz w:val="22"/>
                                <w:szCs w:val="22"/>
                              </w:rPr>
                              <w:t xml:space="preserve"> Initial analyses will typically involve descriptive analyses and tests for association. Additional logistic or multivariable regression will be performed wher</w:t>
                            </w:r>
                            <w:r>
                              <w:t>e appropriate.</w:t>
                            </w:r>
                          </w:p>
                          <w:p w:rsidR="00206E66" w:rsidRPr="006410BB" w:rsidP="00206E66" w14:textId="77777777">
                            <w:pPr>
                              <w:ind w:firstLine="90"/>
                              <w:rPr>
                                <w:sz w:val="22"/>
                                <w:szCs w:val="22"/>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6.2pt;height:192.85pt;margin-top:26.9pt;margin-left:1.3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206E66" w:rsidRPr="0054602A" w:rsidP="00206E66" w14:paraId="1F531BC5" w14:textId="77777777">
                      <w:pPr>
                        <w:autoSpaceDE w:val="0"/>
                        <w:autoSpaceDN w:val="0"/>
                        <w:adjustRightInd w:val="0"/>
                        <w:rPr>
                          <w:sz w:val="22"/>
                          <w:szCs w:val="22"/>
                        </w:rPr>
                      </w:pPr>
                      <w:r w:rsidRPr="0054602A">
                        <w:rPr>
                          <w:b/>
                          <w:sz w:val="22"/>
                          <w:szCs w:val="22"/>
                        </w:rPr>
                        <w:t>Goal of the study:</w:t>
                      </w:r>
                      <w:r w:rsidRPr="0054602A">
                        <w:rPr>
                          <w:sz w:val="22"/>
                          <w:szCs w:val="22"/>
                        </w:rPr>
                        <w:t xml:space="preserve"> The goal of this food safety research program </w:t>
                      </w:r>
                      <w:r>
                        <w:rPr>
                          <w:sz w:val="22"/>
                          <w:szCs w:val="22"/>
                        </w:rPr>
                        <w:t xml:space="preserve">(Environmental Health Specialists Network [EHS-Net]) </w:t>
                      </w:r>
                      <w:r w:rsidRPr="0054602A">
                        <w:rPr>
                          <w:sz w:val="22"/>
                          <w:szCs w:val="22"/>
                        </w:rPr>
                        <w:t>is to collect data in retail food establishments that will identify and help to understand environmental factors (e.g. manager food safety certification, implementation of food safety practices, etc.) associated with retail-related foodborne illness and outbreaks.</w:t>
                      </w:r>
                    </w:p>
                    <w:p w:rsidR="00206E66" w:rsidRPr="0054602A" w:rsidP="00206E66" w14:paraId="525D2650" w14:textId="77777777">
                      <w:pPr>
                        <w:autoSpaceDE w:val="0"/>
                        <w:autoSpaceDN w:val="0"/>
                        <w:adjustRightInd w:val="0"/>
                        <w:rPr>
                          <w:sz w:val="22"/>
                          <w:szCs w:val="22"/>
                        </w:rPr>
                      </w:pPr>
                      <w:r w:rsidRPr="0054602A">
                        <w:rPr>
                          <w:b/>
                          <w:sz w:val="22"/>
                          <w:szCs w:val="22"/>
                        </w:rPr>
                        <w:t>Intended use of the resulting data:</w:t>
                      </w:r>
                      <w:r w:rsidRPr="0054602A">
                        <w:rPr>
                          <w:sz w:val="22"/>
                          <w:szCs w:val="22"/>
                        </w:rPr>
                        <w:t xml:space="preserve"> The information collected from establishments will be used by CDC to develop food safety prevention and intervention recommendations for environmental public health/food safety programs and the retail food establishment industry.</w:t>
                      </w:r>
                    </w:p>
                    <w:p w:rsidR="00206E66" w:rsidRPr="0054602A" w:rsidP="00206E66" w14:paraId="5A93AB6B" w14:textId="0AFFF922">
                      <w:pPr>
                        <w:autoSpaceDE w:val="0"/>
                        <w:autoSpaceDN w:val="0"/>
                        <w:adjustRightInd w:val="0"/>
                        <w:rPr>
                          <w:sz w:val="22"/>
                          <w:szCs w:val="22"/>
                        </w:rPr>
                      </w:pPr>
                      <w:r w:rsidRPr="0054602A">
                        <w:rPr>
                          <w:b/>
                          <w:sz w:val="22"/>
                          <w:szCs w:val="22"/>
                        </w:rPr>
                        <w:t xml:space="preserve">Methods used to collect data: </w:t>
                      </w:r>
                      <w:r w:rsidRPr="0054602A">
                        <w:rPr>
                          <w:sz w:val="22"/>
                          <w:szCs w:val="22"/>
                        </w:rPr>
                        <w:t xml:space="preserve">Data will be collected through interviews or </w:t>
                      </w:r>
                      <w:r w:rsidR="00E94F20">
                        <w:rPr>
                          <w:sz w:val="22"/>
                          <w:szCs w:val="22"/>
                        </w:rPr>
                        <w:t>surveys</w:t>
                      </w:r>
                      <w:r w:rsidRPr="0054602A">
                        <w:rPr>
                          <w:sz w:val="22"/>
                          <w:szCs w:val="22"/>
                        </w:rPr>
                        <w:t>; and observations in random samples of food establishments in the EHS-Net-funded state and local food safety programs.</w:t>
                      </w:r>
                    </w:p>
                    <w:p w:rsidR="00206E66" w:rsidRPr="0054602A" w:rsidP="00206E66" w14:paraId="6E241856" w14:textId="27CCF0F7">
                      <w:pPr>
                        <w:autoSpaceDE w:val="0"/>
                        <w:autoSpaceDN w:val="0"/>
                        <w:adjustRightInd w:val="0"/>
                        <w:rPr>
                          <w:sz w:val="22"/>
                          <w:szCs w:val="22"/>
                        </w:rPr>
                      </w:pPr>
                      <w:r w:rsidRPr="0054602A">
                        <w:rPr>
                          <w:b/>
                          <w:sz w:val="22"/>
                          <w:szCs w:val="22"/>
                        </w:rPr>
                        <w:t>Subpopulation to be studied:</w:t>
                      </w:r>
                      <w:r w:rsidRPr="0054602A">
                        <w:rPr>
                          <w:sz w:val="22"/>
                          <w:szCs w:val="22"/>
                        </w:rPr>
                        <w:t xml:space="preserve"> The population to be studied will be randomly sampled voluntarily participating restaurants in the </w:t>
                      </w:r>
                      <w:r>
                        <w:rPr>
                          <w:sz w:val="22"/>
                          <w:szCs w:val="22"/>
                        </w:rPr>
                        <w:t>EHS-Net funded programs’ jurisdictions</w:t>
                      </w:r>
                      <w:r w:rsidRPr="0054602A">
                        <w:rPr>
                          <w:sz w:val="22"/>
                          <w:szCs w:val="22"/>
                        </w:rPr>
                        <w:t>.</w:t>
                      </w:r>
                    </w:p>
                    <w:p w:rsidR="00206E66" w:rsidRPr="006410BB" w:rsidP="00206E66" w14:paraId="79C68DBB" w14:textId="77777777">
                      <w:pPr>
                        <w:pStyle w:val="ListParagraph"/>
                        <w:ind w:left="0"/>
                        <w:contextualSpacing/>
                        <w:rPr>
                          <w:sz w:val="22"/>
                          <w:szCs w:val="22"/>
                        </w:rPr>
                      </w:pPr>
                      <w:r w:rsidRPr="0054602A">
                        <w:rPr>
                          <w:b/>
                          <w:sz w:val="22"/>
                          <w:szCs w:val="22"/>
                        </w:rPr>
                        <w:t>How data will be analyzed:</w:t>
                      </w:r>
                      <w:r w:rsidRPr="0054602A">
                        <w:rPr>
                          <w:sz w:val="22"/>
                          <w:szCs w:val="22"/>
                        </w:rPr>
                        <w:t xml:space="preserve"> Initial analyses will typically involve descriptive analyses and tests for association. Additional logistic or multivariable regression will be performed wher</w:t>
                      </w:r>
                      <w:r>
                        <w:t>e appropriate.</w:t>
                      </w:r>
                    </w:p>
                    <w:p w:rsidR="00206E66" w:rsidRPr="006410BB" w:rsidP="00206E66" w14:paraId="51382DC0" w14:textId="77777777">
                      <w:pPr>
                        <w:ind w:firstLine="90"/>
                        <w:rPr>
                          <w:sz w:val="22"/>
                          <w:szCs w:val="22"/>
                        </w:rPr>
                      </w:pPr>
                    </w:p>
                  </w:txbxContent>
                </v:textbox>
                <w10:wrap type="square"/>
              </v:shape>
            </w:pict>
          </mc:Fallback>
        </mc:AlternateContent>
      </w:r>
      <w:r w:rsidRPr="008F7801">
        <w:br w:type="page"/>
      </w:r>
    </w:p>
    <w:p w:rsidR="00B46498" w:rsidRPr="008F7801" w:rsidP="0085083C" w14:paraId="3D3D6083" w14:textId="77777777">
      <w:pPr>
        <w:rPr>
          <w:sz w:val="22"/>
          <w:szCs w:val="22"/>
        </w:rPr>
      </w:pPr>
    </w:p>
    <w:p w:rsidR="00513CC9" w14:paraId="6CBE9EC8" w14:textId="77777777">
      <w:pPr>
        <w:rPr>
          <w:b/>
          <w:sz w:val="22"/>
          <w:szCs w:val="22"/>
        </w:rPr>
      </w:pPr>
      <w:r>
        <w:rPr>
          <w:b/>
          <w:sz w:val="22"/>
          <w:szCs w:val="22"/>
        </w:rPr>
        <w:t>List of Substantive Changes</w:t>
      </w:r>
    </w:p>
    <w:p w:rsidR="00513CC9" w14:paraId="57E45B5C" w14:textId="77777777">
      <w:pPr>
        <w:rPr>
          <w:b/>
          <w:sz w:val="22"/>
          <w:szCs w:val="22"/>
        </w:rPr>
      </w:pPr>
    </w:p>
    <w:tbl>
      <w:tblPr>
        <w:tblStyle w:val="TableGrid"/>
        <w:tblW w:w="9715" w:type="dxa"/>
        <w:tblLook w:val="04A0"/>
      </w:tblPr>
      <w:tblGrid>
        <w:gridCol w:w="1525"/>
        <w:gridCol w:w="8190"/>
      </w:tblGrid>
      <w:tr w14:paraId="77A12209" w14:textId="77777777" w:rsidTr="006405AE">
        <w:tblPrEx>
          <w:tblW w:w="9715" w:type="dxa"/>
          <w:tblLook w:val="04A0"/>
        </w:tblPrEx>
        <w:tc>
          <w:tcPr>
            <w:tcW w:w="1525" w:type="dxa"/>
          </w:tcPr>
          <w:p w:rsidR="00513CC9" w:rsidRPr="00513CC9" w14:paraId="5ABFD1C0" w14:textId="275A581D">
            <w:pPr>
              <w:rPr>
                <w:b/>
                <w:sz w:val="22"/>
                <w:szCs w:val="22"/>
              </w:rPr>
            </w:pPr>
            <w:r w:rsidRPr="00513CC9">
              <w:rPr>
                <w:b/>
                <w:sz w:val="22"/>
                <w:szCs w:val="22"/>
              </w:rPr>
              <w:t>Section</w:t>
            </w:r>
          </w:p>
        </w:tc>
        <w:tc>
          <w:tcPr>
            <w:tcW w:w="8190" w:type="dxa"/>
          </w:tcPr>
          <w:p w:rsidR="00513CC9" w:rsidRPr="00C6495E" w14:paraId="0BDEA65E" w14:textId="1F978BE7">
            <w:pPr>
              <w:rPr>
                <w:b/>
                <w:sz w:val="22"/>
                <w:szCs w:val="22"/>
              </w:rPr>
            </w:pPr>
            <w:r w:rsidRPr="00C6495E">
              <w:rPr>
                <w:b/>
                <w:sz w:val="22"/>
                <w:szCs w:val="22"/>
              </w:rPr>
              <w:t>Description of change</w:t>
            </w:r>
          </w:p>
        </w:tc>
      </w:tr>
      <w:tr w14:paraId="4A1A1DDB" w14:textId="77777777" w:rsidTr="006405AE">
        <w:tblPrEx>
          <w:tblW w:w="9715" w:type="dxa"/>
          <w:tblLook w:val="04A0"/>
        </w:tblPrEx>
        <w:tc>
          <w:tcPr>
            <w:tcW w:w="1525" w:type="dxa"/>
          </w:tcPr>
          <w:p w:rsidR="00513CC9" w:rsidRPr="00001DB3" w14:paraId="7BA3B4D1" w14:textId="08A60E5B">
            <w:pPr>
              <w:rPr>
                <w:bCs/>
                <w:sz w:val="22"/>
                <w:szCs w:val="22"/>
              </w:rPr>
            </w:pPr>
            <w:r w:rsidRPr="00001DB3">
              <w:rPr>
                <w:bCs/>
                <w:sz w:val="22"/>
                <w:szCs w:val="22"/>
              </w:rPr>
              <w:t>A</w:t>
            </w:r>
            <w:r>
              <w:rPr>
                <w:bCs/>
                <w:sz w:val="22"/>
                <w:szCs w:val="22"/>
              </w:rPr>
              <w:t>.</w:t>
            </w:r>
          </w:p>
        </w:tc>
        <w:tc>
          <w:tcPr>
            <w:tcW w:w="8190" w:type="dxa"/>
          </w:tcPr>
          <w:p w:rsidR="00513CC9" w:rsidRPr="00001DB3" w14:paraId="525CB860" w14:textId="7C3D929C">
            <w:pPr>
              <w:rPr>
                <w:bCs/>
                <w:sz w:val="22"/>
                <w:szCs w:val="22"/>
              </w:rPr>
            </w:pPr>
            <w:r>
              <w:rPr>
                <w:bCs/>
                <w:sz w:val="22"/>
                <w:szCs w:val="22"/>
              </w:rPr>
              <w:t xml:space="preserve">Updated </w:t>
            </w:r>
            <w:r w:rsidR="009B7487">
              <w:rPr>
                <w:bCs/>
                <w:sz w:val="22"/>
                <w:szCs w:val="22"/>
              </w:rPr>
              <w:t>“</w:t>
            </w:r>
            <w:r>
              <w:rPr>
                <w:bCs/>
                <w:sz w:val="22"/>
                <w:szCs w:val="22"/>
              </w:rPr>
              <w:t>Experience to Date</w:t>
            </w:r>
            <w:r w:rsidR="009B7487">
              <w:rPr>
                <w:bCs/>
                <w:sz w:val="22"/>
                <w:szCs w:val="22"/>
              </w:rPr>
              <w:t>”</w:t>
            </w:r>
            <w:r>
              <w:rPr>
                <w:bCs/>
                <w:sz w:val="22"/>
                <w:szCs w:val="22"/>
              </w:rPr>
              <w:t xml:space="preserve"> section</w:t>
            </w:r>
          </w:p>
        </w:tc>
      </w:tr>
      <w:tr w14:paraId="6211D3E9" w14:textId="77777777" w:rsidTr="006405AE">
        <w:tblPrEx>
          <w:tblW w:w="9715" w:type="dxa"/>
          <w:tblLook w:val="04A0"/>
        </w:tblPrEx>
        <w:tc>
          <w:tcPr>
            <w:tcW w:w="1525" w:type="dxa"/>
          </w:tcPr>
          <w:p w:rsidR="00513CC9" w:rsidRPr="00001DB3" w14:paraId="66F8325F" w14:textId="190E1514">
            <w:pPr>
              <w:rPr>
                <w:bCs/>
                <w:sz w:val="22"/>
                <w:szCs w:val="22"/>
              </w:rPr>
            </w:pPr>
            <w:r>
              <w:rPr>
                <w:bCs/>
                <w:sz w:val="22"/>
                <w:szCs w:val="22"/>
              </w:rPr>
              <w:t>A.</w:t>
            </w:r>
          </w:p>
        </w:tc>
        <w:tc>
          <w:tcPr>
            <w:tcW w:w="8190" w:type="dxa"/>
          </w:tcPr>
          <w:p w:rsidR="00513CC9" w:rsidRPr="00001DB3" w14:paraId="5AB16238" w14:textId="4D14D3F1">
            <w:pPr>
              <w:rPr>
                <w:bCs/>
                <w:sz w:val="22"/>
                <w:szCs w:val="22"/>
              </w:rPr>
            </w:pPr>
            <w:r>
              <w:rPr>
                <w:bCs/>
                <w:sz w:val="22"/>
                <w:szCs w:val="22"/>
              </w:rPr>
              <w:t>Identified two ways current package differs from previous package</w:t>
            </w:r>
          </w:p>
        </w:tc>
      </w:tr>
      <w:tr w14:paraId="582A50F6" w14:textId="77777777" w:rsidTr="006405AE">
        <w:tblPrEx>
          <w:tblW w:w="9715" w:type="dxa"/>
          <w:tblLook w:val="04A0"/>
        </w:tblPrEx>
        <w:tc>
          <w:tcPr>
            <w:tcW w:w="1525" w:type="dxa"/>
          </w:tcPr>
          <w:p w:rsidR="00513CC9" w:rsidRPr="00001DB3" w14:paraId="60FB7C1E" w14:textId="77791A60">
            <w:pPr>
              <w:rPr>
                <w:bCs/>
                <w:sz w:val="22"/>
                <w:szCs w:val="22"/>
              </w:rPr>
            </w:pPr>
            <w:r>
              <w:rPr>
                <w:bCs/>
                <w:sz w:val="22"/>
                <w:szCs w:val="22"/>
              </w:rPr>
              <w:t>A.8</w:t>
            </w:r>
          </w:p>
        </w:tc>
        <w:tc>
          <w:tcPr>
            <w:tcW w:w="8190" w:type="dxa"/>
          </w:tcPr>
          <w:p w:rsidR="00513CC9" w:rsidRPr="00001DB3" w14:paraId="2AD56903" w14:textId="4DA85A0A">
            <w:pPr>
              <w:rPr>
                <w:bCs/>
                <w:sz w:val="22"/>
                <w:szCs w:val="22"/>
              </w:rPr>
            </w:pPr>
            <w:r>
              <w:rPr>
                <w:bCs/>
                <w:sz w:val="22"/>
                <w:szCs w:val="22"/>
              </w:rPr>
              <w:t xml:space="preserve">Responses to </w:t>
            </w:r>
            <w:r w:rsidRPr="3F91BF4A" w:rsidR="192C336B">
              <w:rPr>
                <w:sz w:val="22"/>
                <w:szCs w:val="22"/>
              </w:rPr>
              <w:t>three</w:t>
            </w:r>
            <w:r>
              <w:rPr>
                <w:bCs/>
                <w:sz w:val="22"/>
                <w:szCs w:val="22"/>
              </w:rPr>
              <w:t xml:space="preserve"> comments received to the 60-day FRN</w:t>
            </w:r>
          </w:p>
        </w:tc>
      </w:tr>
      <w:tr w14:paraId="0E6725B0" w14:textId="77777777" w:rsidTr="006405AE">
        <w:tblPrEx>
          <w:tblW w:w="9715" w:type="dxa"/>
          <w:tblLook w:val="04A0"/>
        </w:tblPrEx>
        <w:tc>
          <w:tcPr>
            <w:tcW w:w="1525" w:type="dxa"/>
          </w:tcPr>
          <w:p w:rsidR="00743FED" w14:paraId="38CB2093" w14:textId="7E995D61">
            <w:pPr>
              <w:rPr>
                <w:bCs/>
                <w:sz w:val="22"/>
                <w:szCs w:val="22"/>
              </w:rPr>
            </w:pPr>
            <w:r>
              <w:rPr>
                <w:bCs/>
                <w:sz w:val="22"/>
                <w:szCs w:val="22"/>
              </w:rPr>
              <w:t>A.8</w:t>
            </w:r>
          </w:p>
        </w:tc>
        <w:tc>
          <w:tcPr>
            <w:tcW w:w="8190" w:type="dxa"/>
          </w:tcPr>
          <w:p w:rsidR="00743FED" w14:paraId="63AD6777" w14:textId="2EE69589">
            <w:pPr>
              <w:rPr>
                <w:bCs/>
                <w:sz w:val="22"/>
                <w:szCs w:val="22"/>
              </w:rPr>
            </w:pPr>
            <w:r>
              <w:rPr>
                <w:bCs/>
                <w:sz w:val="22"/>
                <w:szCs w:val="22"/>
              </w:rPr>
              <w:t xml:space="preserve">Edited for </w:t>
            </w:r>
            <w:r w:rsidR="009B7487">
              <w:rPr>
                <w:bCs/>
                <w:sz w:val="22"/>
                <w:szCs w:val="22"/>
              </w:rPr>
              <w:t xml:space="preserve">brevity and </w:t>
            </w:r>
            <w:r>
              <w:rPr>
                <w:bCs/>
                <w:sz w:val="22"/>
                <w:szCs w:val="22"/>
              </w:rPr>
              <w:t>clarity</w:t>
            </w:r>
          </w:p>
        </w:tc>
      </w:tr>
      <w:tr w14:paraId="14F7BCD4" w14:textId="77777777" w:rsidTr="006405AE">
        <w:tblPrEx>
          <w:tblW w:w="9715" w:type="dxa"/>
          <w:tblLook w:val="04A0"/>
        </w:tblPrEx>
        <w:tc>
          <w:tcPr>
            <w:tcW w:w="1525" w:type="dxa"/>
          </w:tcPr>
          <w:p w:rsidR="00513CC9" w:rsidRPr="00001DB3" w14:paraId="4F1FE9A5" w14:textId="0EB0C5C9">
            <w:pPr>
              <w:rPr>
                <w:bCs/>
                <w:sz w:val="22"/>
                <w:szCs w:val="22"/>
              </w:rPr>
            </w:pPr>
            <w:r>
              <w:rPr>
                <w:bCs/>
                <w:sz w:val="22"/>
                <w:szCs w:val="22"/>
              </w:rPr>
              <w:t>Table A.8.1</w:t>
            </w:r>
          </w:p>
        </w:tc>
        <w:tc>
          <w:tcPr>
            <w:tcW w:w="8190" w:type="dxa"/>
          </w:tcPr>
          <w:p w:rsidR="00513CC9" w:rsidRPr="00001DB3" w14:paraId="16534E83" w14:textId="1A91E85B">
            <w:pPr>
              <w:rPr>
                <w:bCs/>
                <w:sz w:val="22"/>
                <w:szCs w:val="22"/>
              </w:rPr>
            </w:pPr>
            <w:r>
              <w:rPr>
                <w:bCs/>
                <w:sz w:val="22"/>
                <w:szCs w:val="22"/>
              </w:rPr>
              <w:t>Updated</w:t>
            </w:r>
            <w:r w:rsidR="00D82AE2">
              <w:rPr>
                <w:bCs/>
                <w:sz w:val="22"/>
                <w:szCs w:val="22"/>
              </w:rPr>
              <w:t xml:space="preserve"> federal consultants and contact information</w:t>
            </w:r>
          </w:p>
        </w:tc>
      </w:tr>
      <w:tr w14:paraId="15521B24" w14:textId="77777777" w:rsidTr="006405AE">
        <w:tblPrEx>
          <w:tblW w:w="9715" w:type="dxa"/>
          <w:tblLook w:val="04A0"/>
        </w:tblPrEx>
        <w:tc>
          <w:tcPr>
            <w:tcW w:w="1525" w:type="dxa"/>
          </w:tcPr>
          <w:p w:rsidR="00513CC9" w:rsidRPr="00D82AE2" w14:paraId="7F13BE32" w14:textId="0D47C9E8">
            <w:pPr>
              <w:rPr>
                <w:bCs/>
                <w:sz w:val="22"/>
                <w:szCs w:val="22"/>
              </w:rPr>
            </w:pPr>
            <w:r w:rsidRPr="00D82AE2">
              <w:rPr>
                <w:bCs/>
                <w:sz w:val="22"/>
                <w:szCs w:val="22"/>
              </w:rPr>
              <w:t>Table A.8.2</w:t>
            </w:r>
          </w:p>
        </w:tc>
        <w:tc>
          <w:tcPr>
            <w:tcW w:w="8190" w:type="dxa"/>
          </w:tcPr>
          <w:p w:rsidR="00513CC9" w:rsidRPr="00D82AE2" w14:paraId="3374724F" w14:textId="7D19C673">
            <w:pPr>
              <w:rPr>
                <w:bCs/>
                <w:sz w:val="22"/>
                <w:szCs w:val="22"/>
              </w:rPr>
            </w:pPr>
            <w:r>
              <w:rPr>
                <w:bCs/>
                <w:sz w:val="22"/>
                <w:szCs w:val="22"/>
              </w:rPr>
              <w:t>Updated state and local consultants and contact information</w:t>
            </w:r>
          </w:p>
        </w:tc>
      </w:tr>
      <w:tr w14:paraId="6C7DC8A9" w14:textId="77777777" w:rsidTr="006405AE">
        <w:tblPrEx>
          <w:tblW w:w="9715" w:type="dxa"/>
          <w:tblLook w:val="04A0"/>
        </w:tblPrEx>
        <w:tc>
          <w:tcPr>
            <w:tcW w:w="1525" w:type="dxa"/>
          </w:tcPr>
          <w:p w:rsidR="00D82AE2" w:rsidRPr="00FF3D9F" w:rsidP="00D82AE2" w14:paraId="562E46E0" w14:textId="28E14606">
            <w:pPr>
              <w:rPr>
                <w:bCs/>
                <w:sz w:val="22"/>
                <w:szCs w:val="22"/>
              </w:rPr>
            </w:pPr>
            <w:r w:rsidRPr="00FF3D9F">
              <w:rPr>
                <w:sz w:val="22"/>
                <w:szCs w:val="22"/>
              </w:rPr>
              <w:t>A.9</w:t>
            </w:r>
          </w:p>
        </w:tc>
        <w:tc>
          <w:tcPr>
            <w:tcW w:w="8190" w:type="dxa"/>
          </w:tcPr>
          <w:p w:rsidR="00D82AE2" w:rsidRPr="00FF3D9F" w:rsidP="00D82AE2" w14:paraId="4861D6E4" w14:textId="5EA50F65">
            <w:pPr>
              <w:rPr>
                <w:bCs/>
                <w:sz w:val="22"/>
                <w:szCs w:val="22"/>
              </w:rPr>
            </w:pPr>
            <w:r w:rsidRPr="00FF3D9F">
              <w:rPr>
                <w:sz w:val="22"/>
                <w:szCs w:val="22"/>
              </w:rPr>
              <w:t xml:space="preserve">Explanation for </w:t>
            </w:r>
            <w:r w:rsidRPr="00FF3D9F" w:rsidR="00ED3929">
              <w:rPr>
                <w:sz w:val="22"/>
                <w:szCs w:val="22"/>
              </w:rPr>
              <w:t>incentives</w:t>
            </w:r>
            <w:r w:rsidRPr="00FF3D9F">
              <w:rPr>
                <w:sz w:val="22"/>
                <w:szCs w:val="22"/>
              </w:rPr>
              <w:t xml:space="preserve"> for participating managers and workers</w:t>
            </w:r>
          </w:p>
        </w:tc>
      </w:tr>
      <w:tr w14:paraId="0A864A3D" w14:textId="77777777" w:rsidTr="006405AE">
        <w:tblPrEx>
          <w:tblW w:w="9715" w:type="dxa"/>
          <w:tblLook w:val="04A0"/>
        </w:tblPrEx>
        <w:tc>
          <w:tcPr>
            <w:tcW w:w="1525" w:type="dxa"/>
          </w:tcPr>
          <w:p w:rsidR="00D82AE2" w:rsidRPr="00D82AE2" w14:paraId="338770E7" w14:textId="11B99AF5">
            <w:pPr>
              <w:rPr>
                <w:bCs/>
                <w:sz w:val="22"/>
                <w:szCs w:val="22"/>
              </w:rPr>
            </w:pPr>
            <w:r>
              <w:rPr>
                <w:bCs/>
                <w:sz w:val="22"/>
                <w:szCs w:val="22"/>
              </w:rPr>
              <w:t>A.12.2</w:t>
            </w:r>
          </w:p>
        </w:tc>
        <w:tc>
          <w:tcPr>
            <w:tcW w:w="8190" w:type="dxa"/>
          </w:tcPr>
          <w:p w:rsidR="00D82AE2" w:rsidRPr="00D82AE2" w14:paraId="6E032A9A" w14:textId="354EC71D">
            <w:pPr>
              <w:rPr>
                <w:bCs/>
                <w:sz w:val="22"/>
                <w:szCs w:val="22"/>
              </w:rPr>
            </w:pPr>
            <w:r>
              <w:rPr>
                <w:bCs/>
                <w:sz w:val="22"/>
                <w:szCs w:val="22"/>
              </w:rPr>
              <w:t xml:space="preserve">Updated estimated annualized </w:t>
            </w:r>
            <w:r w:rsidR="0037174C">
              <w:rPr>
                <w:bCs/>
                <w:sz w:val="22"/>
                <w:szCs w:val="22"/>
              </w:rPr>
              <w:t>burden costs to reflect increased mean hourly wage for managers and workers</w:t>
            </w:r>
          </w:p>
        </w:tc>
      </w:tr>
      <w:tr w14:paraId="7F4E100F" w14:textId="77777777" w:rsidTr="006405AE">
        <w:tblPrEx>
          <w:tblW w:w="9715" w:type="dxa"/>
          <w:tblLook w:val="04A0"/>
        </w:tblPrEx>
        <w:tc>
          <w:tcPr>
            <w:tcW w:w="1525" w:type="dxa"/>
          </w:tcPr>
          <w:p w:rsidR="00D82AE2" w:rsidRPr="00D82AE2" w14:paraId="3B06CA1A" w14:textId="7A7CC22B">
            <w:pPr>
              <w:rPr>
                <w:bCs/>
                <w:sz w:val="22"/>
                <w:szCs w:val="22"/>
              </w:rPr>
            </w:pPr>
            <w:r>
              <w:rPr>
                <w:bCs/>
                <w:sz w:val="22"/>
                <w:szCs w:val="22"/>
              </w:rPr>
              <w:t>A.14</w:t>
            </w:r>
          </w:p>
        </w:tc>
        <w:tc>
          <w:tcPr>
            <w:tcW w:w="8190" w:type="dxa"/>
          </w:tcPr>
          <w:p w:rsidR="00D82AE2" w:rsidRPr="00D82AE2" w14:paraId="0E842A0E" w14:textId="2EBDDB63">
            <w:pPr>
              <w:rPr>
                <w:bCs/>
                <w:sz w:val="22"/>
                <w:szCs w:val="22"/>
              </w:rPr>
            </w:pPr>
            <w:r>
              <w:rPr>
                <w:bCs/>
                <w:sz w:val="22"/>
                <w:szCs w:val="22"/>
              </w:rPr>
              <w:t xml:space="preserve">Explanation of the annualized cost to the federal government </w:t>
            </w:r>
            <w:r w:rsidR="006405AE">
              <w:rPr>
                <w:bCs/>
                <w:sz w:val="22"/>
                <w:szCs w:val="22"/>
              </w:rPr>
              <w:t>for translating interview forms into Spanish</w:t>
            </w:r>
          </w:p>
        </w:tc>
      </w:tr>
      <w:tr w14:paraId="1E0D74BF" w14:textId="77777777" w:rsidTr="006405AE">
        <w:tblPrEx>
          <w:tblW w:w="9715" w:type="dxa"/>
          <w:tblLook w:val="04A0"/>
        </w:tblPrEx>
        <w:tc>
          <w:tcPr>
            <w:tcW w:w="1525" w:type="dxa"/>
          </w:tcPr>
          <w:p w:rsidR="00D82AE2" w:rsidRPr="00D82AE2" w14:paraId="50C00849" w14:textId="1893E44B">
            <w:pPr>
              <w:rPr>
                <w:bCs/>
                <w:sz w:val="22"/>
                <w:szCs w:val="22"/>
              </w:rPr>
            </w:pPr>
            <w:r>
              <w:rPr>
                <w:bCs/>
                <w:sz w:val="22"/>
                <w:szCs w:val="22"/>
              </w:rPr>
              <w:t>Table A.14.1</w:t>
            </w:r>
          </w:p>
        </w:tc>
        <w:tc>
          <w:tcPr>
            <w:tcW w:w="8190" w:type="dxa"/>
          </w:tcPr>
          <w:p w:rsidR="00D82AE2" w:rsidRPr="00D82AE2" w14:paraId="720AA94A" w14:textId="1F76ED21">
            <w:pPr>
              <w:rPr>
                <w:bCs/>
                <w:sz w:val="22"/>
                <w:szCs w:val="22"/>
              </w:rPr>
            </w:pPr>
            <w:r>
              <w:rPr>
                <w:bCs/>
                <w:sz w:val="22"/>
                <w:szCs w:val="22"/>
              </w:rPr>
              <w:t xml:space="preserve">Added </w:t>
            </w:r>
            <w:r w:rsidR="00D85AD8">
              <w:rPr>
                <w:bCs/>
                <w:sz w:val="22"/>
                <w:szCs w:val="22"/>
              </w:rPr>
              <w:t>the estimated annual cost to the federal government for translating interview forms into Spanish</w:t>
            </w:r>
          </w:p>
        </w:tc>
      </w:tr>
      <w:tr w14:paraId="3B711987" w14:textId="77777777" w:rsidTr="006405AE">
        <w:tblPrEx>
          <w:tblW w:w="9715" w:type="dxa"/>
          <w:tblLook w:val="04A0"/>
        </w:tblPrEx>
        <w:tc>
          <w:tcPr>
            <w:tcW w:w="1525" w:type="dxa"/>
          </w:tcPr>
          <w:p w:rsidR="00D85AD8" w14:paraId="1E2C52AA" w14:textId="1EFF042B">
            <w:pPr>
              <w:rPr>
                <w:bCs/>
                <w:sz w:val="22"/>
                <w:szCs w:val="22"/>
              </w:rPr>
            </w:pPr>
            <w:r>
              <w:rPr>
                <w:bCs/>
                <w:sz w:val="22"/>
                <w:szCs w:val="22"/>
              </w:rPr>
              <w:t>A.15</w:t>
            </w:r>
          </w:p>
        </w:tc>
        <w:tc>
          <w:tcPr>
            <w:tcW w:w="8190" w:type="dxa"/>
          </w:tcPr>
          <w:p w:rsidR="00D85AD8" w14:paraId="256C010D" w14:textId="7D5B289E">
            <w:pPr>
              <w:rPr>
                <w:bCs/>
                <w:sz w:val="22"/>
                <w:szCs w:val="22"/>
              </w:rPr>
            </w:pPr>
            <w:r>
              <w:rPr>
                <w:bCs/>
                <w:sz w:val="22"/>
                <w:szCs w:val="22"/>
              </w:rPr>
              <w:t xml:space="preserve">Explanation for program changes, including potential for </w:t>
            </w:r>
            <w:r w:rsidR="00ED3929">
              <w:rPr>
                <w:bCs/>
                <w:sz w:val="22"/>
                <w:szCs w:val="22"/>
              </w:rPr>
              <w:t xml:space="preserve">incentives for participants and </w:t>
            </w:r>
            <w:r w:rsidR="00667B74">
              <w:rPr>
                <w:bCs/>
                <w:sz w:val="22"/>
                <w:szCs w:val="22"/>
              </w:rPr>
              <w:t>translation of interview forms into Spanish</w:t>
            </w:r>
          </w:p>
        </w:tc>
      </w:tr>
      <w:tr w14:paraId="3ED6CE16" w14:textId="77777777" w:rsidTr="006405AE">
        <w:tblPrEx>
          <w:tblW w:w="9715" w:type="dxa"/>
          <w:tblLook w:val="04A0"/>
        </w:tblPrEx>
        <w:tc>
          <w:tcPr>
            <w:tcW w:w="1525" w:type="dxa"/>
          </w:tcPr>
          <w:p w:rsidR="00667B74" w14:paraId="61D55098" w14:textId="77103C82">
            <w:pPr>
              <w:rPr>
                <w:bCs/>
                <w:sz w:val="22"/>
                <w:szCs w:val="22"/>
              </w:rPr>
            </w:pPr>
            <w:r>
              <w:rPr>
                <w:bCs/>
                <w:sz w:val="22"/>
                <w:szCs w:val="22"/>
              </w:rPr>
              <w:t>References</w:t>
            </w:r>
          </w:p>
        </w:tc>
        <w:tc>
          <w:tcPr>
            <w:tcW w:w="8190" w:type="dxa"/>
          </w:tcPr>
          <w:p w:rsidR="00667B74" w14:paraId="4F81BA59" w14:textId="7137E53E">
            <w:pPr>
              <w:rPr>
                <w:bCs/>
                <w:sz w:val="22"/>
                <w:szCs w:val="22"/>
              </w:rPr>
            </w:pPr>
            <w:r>
              <w:rPr>
                <w:bCs/>
                <w:sz w:val="22"/>
                <w:szCs w:val="22"/>
              </w:rPr>
              <w:t xml:space="preserve">Completed </w:t>
            </w:r>
            <w:r w:rsidR="00BC133B">
              <w:rPr>
                <w:bCs/>
                <w:sz w:val="22"/>
                <w:szCs w:val="22"/>
              </w:rPr>
              <w:t xml:space="preserve">the list of </w:t>
            </w:r>
            <w:r>
              <w:rPr>
                <w:bCs/>
                <w:sz w:val="22"/>
                <w:szCs w:val="22"/>
              </w:rPr>
              <w:t>references</w:t>
            </w:r>
          </w:p>
        </w:tc>
      </w:tr>
    </w:tbl>
    <w:p w:rsidR="00513CC9" w14:paraId="09A2299D" w14:textId="67DE580A">
      <w:pPr>
        <w:rPr>
          <w:b/>
          <w:sz w:val="22"/>
          <w:szCs w:val="22"/>
        </w:rPr>
      </w:pPr>
      <w:r>
        <w:rPr>
          <w:b/>
          <w:sz w:val="22"/>
          <w:szCs w:val="22"/>
        </w:rPr>
        <w:br w:type="page"/>
      </w:r>
    </w:p>
    <w:p w:rsidR="00CC3730" w:rsidRPr="008F7801" w:rsidP="0085083C" w14:paraId="76AC5967" w14:textId="24D139C6">
      <w:pPr>
        <w:rPr>
          <w:b/>
          <w:sz w:val="22"/>
          <w:szCs w:val="22"/>
        </w:rPr>
      </w:pPr>
      <w:r w:rsidRPr="008F7801">
        <w:rPr>
          <w:b/>
          <w:sz w:val="22"/>
          <w:szCs w:val="22"/>
        </w:rPr>
        <w:t xml:space="preserve">A. Justification </w:t>
      </w:r>
    </w:p>
    <w:p w:rsidR="00B46498" w:rsidRPr="008F7801" w:rsidP="00A54CD5" w14:paraId="4CEECB97" w14:textId="77777777">
      <w:pPr>
        <w:rPr>
          <w:b/>
          <w:sz w:val="22"/>
          <w:szCs w:val="22"/>
          <w:u w:val="single"/>
        </w:rPr>
      </w:pPr>
    </w:p>
    <w:p w:rsidR="0054602A" w:rsidRPr="008F7801" w:rsidP="0054602A" w14:paraId="00052D69" w14:textId="2C6B253A">
      <w:pPr>
        <w:rPr>
          <w:bCs/>
          <w:sz w:val="22"/>
          <w:szCs w:val="22"/>
        </w:rPr>
      </w:pPr>
      <w:bookmarkStart w:id="1" w:name="_Hlk63161181"/>
      <w:r w:rsidRPr="008F7801">
        <w:rPr>
          <w:sz w:val="22"/>
          <w:szCs w:val="22"/>
        </w:rPr>
        <w:t xml:space="preserve">The National Center for Environmental Health (NCEH), Centers for Disease Control and Prevention (CDC), is requesting a three-year Paperwork Reduction Act (PRA) approval for </w:t>
      </w:r>
      <w:r w:rsidR="00AB3A96">
        <w:rPr>
          <w:sz w:val="22"/>
          <w:szCs w:val="22"/>
        </w:rPr>
        <w:t>a</w:t>
      </w:r>
      <w:r w:rsidRPr="008F7801">
        <w:rPr>
          <w:sz w:val="22"/>
          <w:szCs w:val="22"/>
        </w:rPr>
        <w:t xml:space="preserve"> revision </w:t>
      </w:r>
      <w:r w:rsidR="00560A84">
        <w:rPr>
          <w:sz w:val="22"/>
          <w:szCs w:val="22"/>
        </w:rPr>
        <w:t xml:space="preserve">of this </w:t>
      </w:r>
      <w:r w:rsidRPr="008F7801">
        <w:rPr>
          <w:sz w:val="22"/>
          <w:szCs w:val="22"/>
        </w:rPr>
        <w:t xml:space="preserve">Generic Information Collection (Generic ICR) titled, Environmental Health Specialists </w:t>
      </w:r>
      <w:r w:rsidR="002C7CDC">
        <w:rPr>
          <w:sz w:val="22"/>
          <w:szCs w:val="22"/>
        </w:rPr>
        <w:t xml:space="preserve">Network </w:t>
      </w:r>
      <w:r w:rsidRPr="008F7801">
        <w:rPr>
          <w:sz w:val="22"/>
          <w:szCs w:val="22"/>
        </w:rPr>
        <w:t xml:space="preserve">(EHS-Net) Program (OMB </w:t>
      </w:r>
      <w:r w:rsidRPr="008F7801" w:rsidR="00206E66">
        <w:rPr>
          <w:sz w:val="22"/>
          <w:szCs w:val="22"/>
        </w:rPr>
        <w:t xml:space="preserve">Control </w:t>
      </w:r>
      <w:r w:rsidRPr="008F7801">
        <w:rPr>
          <w:sz w:val="22"/>
          <w:szCs w:val="22"/>
        </w:rPr>
        <w:t xml:space="preserve">No. 0920-0792; </w:t>
      </w:r>
      <w:r w:rsidRPr="008F7801" w:rsidR="00206E66">
        <w:rPr>
          <w:sz w:val="22"/>
          <w:szCs w:val="22"/>
        </w:rPr>
        <w:t>e</w:t>
      </w:r>
      <w:r w:rsidRPr="008F7801">
        <w:rPr>
          <w:sz w:val="22"/>
          <w:szCs w:val="22"/>
        </w:rPr>
        <w:t xml:space="preserve">xp. </w:t>
      </w:r>
      <w:r w:rsidRPr="008F7801" w:rsidR="00206E66">
        <w:rPr>
          <w:sz w:val="22"/>
          <w:szCs w:val="22"/>
        </w:rPr>
        <w:t>d</w:t>
      </w:r>
      <w:r w:rsidRPr="008F7801">
        <w:rPr>
          <w:sz w:val="22"/>
          <w:szCs w:val="22"/>
        </w:rPr>
        <w:t xml:space="preserve">ate: </w:t>
      </w:r>
      <w:r w:rsidR="008A6513">
        <w:rPr>
          <w:sz w:val="22"/>
          <w:szCs w:val="22"/>
        </w:rPr>
        <w:t>01/31/2025</w:t>
      </w:r>
      <w:r w:rsidRPr="008F7801">
        <w:rPr>
          <w:sz w:val="22"/>
          <w:szCs w:val="22"/>
        </w:rPr>
        <w:t>). The EHS-Net program, developed by CDC, conducts studies designed to identify and understand environmental factors associated with foodborne illness outbreaks and other food safety issues (e.g., ill workers). These data are essential to environmental public health regulators’ efforts to respond more effectively to and prevent future outbreaks and food safety-associated events. This data collection is authorized by Section 301 of the Public Health Service Act (42 U.S.C. 241) (</w:t>
      </w:r>
      <w:r w:rsidR="005B7C7E">
        <w:rPr>
          <w:sz w:val="22"/>
          <w:szCs w:val="22"/>
        </w:rPr>
        <w:t>A</w:t>
      </w:r>
      <w:r w:rsidR="005A548A">
        <w:rPr>
          <w:sz w:val="22"/>
          <w:szCs w:val="22"/>
        </w:rPr>
        <w:t>ppendix A</w:t>
      </w:r>
      <w:r w:rsidRPr="00D427F2">
        <w:rPr>
          <w:sz w:val="22"/>
          <w:szCs w:val="22"/>
        </w:rPr>
        <w:t>).</w:t>
      </w:r>
    </w:p>
    <w:p w:rsidR="0054602A" w:rsidRPr="008F7801" w:rsidP="0054602A" w14:paraId="61ABC88B" w14:textId="77777777">
      <w:pPr>
        <w:rPr>
          <w:sz w:val="22"/>
          <w:szCs w:val="22"/>
        </w:rPr>
      </w:pPr>
    </w:p>
    <w:p w:rsidR="0054602A" w:rsidRPr="008F7801" w:rsidP="0054602A" w14:paraId="16396D91" w14:textId="77777777">
      <w:pPr>
        <w:rPr>
          <w:b/>
          <w:sz w:val="22"/>
          <w:szCs w:val="22"/>
          <w:u w:val="single"/>
        </w:rPr>
      </w:pPr>
      <w:r w:rsidRPr="008F7801">
        <w:rPr>
          <w:sz w:val="22"/>
          <w:szCs w:val="22"/>
        </w:rPr>
        <w:t xml:space="preserve">The current request for PRA clearance is a revision, which involves </w:t>
      </w:r>
      <w:r w:rsidRPr="008F7801" w:rsidR="00415C9E">
        <w:rPr>
          <w:sz w:val="22"/>
          <w:szCs w:val="22"/>
        </w:rPr>
        <w:t xml:space="preserve">modest </w:t>
      </w:r>
      <w:r w:rsidRPr="008F7801">
        <w:rPr>
          <w:sz w:val="22"/>
          <w:szCs w:val="22"/>
        </w:rPr>
        <w:t xml:space="preserve">modifications to the Generic ICR. </w:t>
      </w:r>
    </w:p>
    <w:p w:rsidR="0054602A" w:rsidRPr="008F7801" w:rsidP="00A54CD5" w14:paraId="342D18B0" w14:textId="77777777">
      <w:pPr>
        <w:rPr>
          <w:b/>
          <w:sz w:val="22"/>
          <w:szCs w:val="22"/>
          <w:u w:val="single"/>
        </w:rPr>
      </w:pPr>
    </w:p>
    <w:p w:rsidR="0054602A" w:rsidRPr="008F7801" w:rsidP="0054602A" w14:paraId="4118D694" w14:textId="2EE4B271">
      <w:pPr>
        <w:rPr>
          <w:sz w:val="22"/>
          <w:szCs w:val="22"/>
        </w:rPr>
      </w:pPr>
      <w:r w:rsidRPr="008F7801">
        <w:rPr>
          <w:sz w:val="22"/>
          <w:szCs w:val="22"/>
        </w:rPr>
        <w:t>EHS-Net is a collaborative project of the CDC, the U.S. Food and Drug Administration (FDA), the U.S. Department of Agriculture (USDA), and state and local public health departments</w:t>
      </w:r>
      <w:r w:rsidR="00435212">
        <w:rPr>
          <w:sz w:val="22"/>
          <w:szCs w:val="22"/>
        </w:rPr>
        <w:t>.</w:t>
      </w:r>
      <w:r w:rsidRPr="008F7801">
        <w:rPr>
          <w:sz w:val="22"/>
          <w:szCs w:val="22"/>
        </w:rPr>
        <w:t xml:space="preserve"> </w:t>
      </w:r>
      <w:r w:rsidR="008A6D23">
        <w:rPr>
          <w:sz w:val="22"/>
          <w:szCs w:val="22"/>
        </w:rPr>
        <w:t xml:space="preserve">State and local </w:t>
      </w:r>
      <w:r w:rsidRPr="008F7801">
        <w:rPr>
          <w:sz w:val="22"/>
          <w:szCs w:val="22"/>
        </w:rPr>
        <w:t xml:space="preserve">EHS-Net sites are funded through </w:t>
      </w:r>
      <w:r w:rsidR="00514364">
        <w:rPr>
          <w:sz w:val="22"/>
          <w:szCs w:val="22"/>
        </w:rPr>
        <w:t xml:space="preserve">a </w:t>
      </w:r>
      <w:r w:rsidRPr="008F7801">
        <w:rPr>
          <w:sz w:val="22"/>
          <w:szCs w:val="22"/>
        </w:rPr>
        <w:t xml:space="preserve">CDC cooperative agreement. EHS-Net's funding to these state and local health departments enables them to collaborate with CDC on study design, and data collection and analysis. The federal partners provide funding and input into study design, data analysis, and ensuring that research is not overlapping with their own studies. </w:t>
      </w:r>
    </w:p>
    <w:p w:rsidR="0054602A" w:rsidRPr="008F7801" w:rsidP="0054602A" w14:paraId="70ECBFE8" w14:textId="77777777">
      <w:pPr>
        <w:rPr>
          <w:sz w:val="22"/>
          <w:szCs w:val="22"/>
        </w:rPr>
      </w:pPr>
    </w:p>
    <w:p w:rsidR="0054602A" w:rsidRPr="008F7801" w:rsidP="0054602A" w14:paraId="458B26CF" w14:textId="40532BE2">
      <w:pPr>
        <w:rPr>
          <w:sz w:val="22"/>
          <w:szCs w:val="22"/>
        </w:rPr>
      </w:pPr>
      <w:r w:rsidRPr="008F7801">
        <w:rPr>
          <w:sz w:val="22"/>
          <w:szCs w:val="22"/>
        </w:rPr>
        <w:t xml:space="preserve">Foodborne illness is a significant problem in the U.S.—an estimated 48 million cases of domestically acquired foodborne illness in the United States annually, resulting in over 127,000 hospitalizations and, over 3,000 deaths </w:t>
      </w:r>
      <w:r w:rsidRPr="008F7801">
        <w:rPr>
          <w:sz w:val="22"/>
          <w:szCs w:val="22"/>
        </w:rPr>
        <w:fldChar w:fldCharType="begin">
          <w:fldData xml:space="preserve">PEVuZE5vdGU+PENpdGU+PEF1dGhvcj5TY2FsbGFuPC9BdXRob3I+PFllYXI+MjAxMTwvWWVhcj48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</w:fldData>
        </w:fldChar>
      </w:r>
      <w:r w:rsidRPr="008F7801">
        <w:rPr>
          <w:sz w:val="22"/>
          <w:szCs w:val="22"/>
        </w:rPr>
        <w:instrText xml:space="preserve"> ADDIN EN.CITE </w:instrText>
      </w:r>
      <w:r w:rsidRPr="008F7801">
        <w:rPr>
          <w:sz w:val="22"/>
          <w:szCs w:val="22"/>
        </w:rPr>
        <w:fldChar w:fldCharType="begin">
          <w:fldData xml:space="preserve">PEVuZE5vdGU+PENpdGU+PEF1dGhvcj5TY2FsbGFuPC9BdXRob3I+PFllYXI+MjAxMTwvWWVhcj48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</w:fldData>
        </w:fldChar>
      </w:r>
      <w:r w:rsidRPr="008F7801">
        <w:rPr>
          <w:sz w:val="22"/>
          <w:szCs w:val="22"/>
        </w:rPr>
        <w:instrText xml:space="preserve"> ADDIN EN.CITE.DATA </w:instrText>
      </w:r>
      <w:r w:rsidRPr="008F7801">
        <w:rPr>
          <w:sz w:val="22"/>
          <w:szCs w:val="22"/>
        </w:rPr>
        <w:fldChar w:fldCharType="separate"/>
      </w:r>
      <w:r w:rsidRPr="008F7801">
        <w:rPr>
          <w:sz w:val="22"/>
          <w:szCs w:val="22"/>
        </w:rPr>
        <w:fldChar w:fldCharType="end"/>
      </w:r>
      <w:r w:rsidRPr="008F7801">
        <w:rPr>
          <w:sz w:val="22"/>
          <w:szCs w:val="22"/>
        </w:rPr>
        <w:fldChar w:fldCharType="separate"/>
      </w:r>
      <w:r w:rsidRPr="008F7801">
        <w:rPr>
          <w:noProof/>
          <w:sz w:val="22"/>
          <w:szCs w:val="22"/>
        </w:rPr>
        <w:t>(Scallan, Griffin</w:t>
      </w:r>
      <w:r w:rsidR="00953704">
        <w:rPr>
          <w:noProof/>
          <w:sz w:val="22"/>
          <w:szCs w:val="22"/>
        </w:rPr>
        <w:t>,</w:t>
      </w:r>
      <w:r w:rsidR="009A716C">
        <w:rPr>
          <w:noProof/>
          <w:sz w:val="22"/>
          <w:szCs w:val="22"/>
        </w:rPr>
        <w:t xml:space="preserve"> et al</w:t>
      </w:r>
      <w:r w:rsidRPr="008F7801">
        <w:rPr>
          <w:noProof/>
          <w:sz w:val="22"/>
          <w:szCs w:val="22"/>
        </w:rPr>
        <w:t xml:space="preserve"> 2011; Scallan, Hoekstra, et al 2011)</w:t>
      </w:r>
      <w:r w:rsidRPr="008F7801">
        <w:rPr>
          <w:sz w:val="22"/>
          <w:szCs w:val="22"/>
        </w:rPr>
        <w:fldChar w:fldCharType="end"/>
      </w:r>
      <w:r w:rsidRPr="008F7801">
        <w:rPr>
          <w:sz w:val="22"/>
          <w:szCs w:val="22"/>
        </w:rPr>
        <w:t xml:space="preserve">. </w:t>
      </w:r>
      <w:r w:rsidR="00EE3582">
        <w:rPr>
          <w:sz w:val="22"/>
          <w:szCs w:val="22"/>
        </w:rPr>
        <w:t xml:space="preserve">Jones and </w:t>
      </w:r>
      <w:r w:rsidRPr="008F7801">
        <w:rPr>
          <w:sz w:val="22"/>
          <w:szCs w:val="22"/>
        </w:rPr>
        <w:t xml:space="preserve">Angulo </w:t>
      </w:r>
      <w:r w:rsidRPr="008F7801">
        <w:rPr>
          <w:sz w:val="22"/>
          <w:szCs w:val="22"/>
        </w:rPr>
        <w:fldChar w:fldCharType="begin"/>
      </w:r>
      <w:r w:rsidRPr="008F7801">
        <w:rPr>
          <w:sz w:val="22"/>
          <w:szCs w:val="22"/>
        </w:rPr>
        <w:instrText xml:space="preserve"> ADDIN EN.CITE &lt;EndNote&gt;&lt;Cite ExcludeAuth="1"&gt;&lt;Author&gt;Angulo&lt;/Author&gt;&lt;Year&gt;2006&lt;/Year&gt;&lt;RecNum&gt;531&lt;/RecNum&gt;&lt;DisplayText&gt;(2006)&lt;/DisplayText&gt;&lt;record&gt;&lt;rec-number&gt;531&lt;/rec-number&gt;&lt;foreign-keys&gt;&lt;key app="EN" db-id="zxwev2ramt9a0qervzixtt539ptfa2tfdfaf" timestamp="1501785983"&gt;531&lt;/key&gt;&lt;/foreign-keys&gt;&lt;ref-type name="Journal Article"&gt;17&lt;/ref-type&gt;&lt;contributors&gt;&lt;authors&gt;&lt;author&gt;Angulo, Frederick J.&lt;/author&gt;&lt;author&gt;Jones, Timothy F.&lt;/author&gt;&lt;/authors&gt;&lt;/contributors&gt;&lt;titles&gt;&lt;title&gt;Eating in Restaurants: A Risk Factor for Foodborne Disease?&lt;/title&gt;&lt;secondary-title&gt;Clinical Infectious Diseases&lt;/secondary-title&gt;&lt;/titles&gt;&lt;periodical&gt;&lt;full-title&gt;Clinical Infectious Diseases&lt;/full-title&gt;&lt;/periodical&gt;&lt;pages&gt;1324-1328&lt;/pages&gt;&lt;volume&gt;43&lt;/volume&gt;&lt;number&gt;10&lt;/number&gt;&lt;dates&gt;&lt;year&gt;2006&lt;/year&gt;&lt;/dates&gt;&lt;isbn&gt;1058-4838&lt;/isbn&gt;&lt;urls&gt;&lt;related-urls&gt;&lt;url&gt;http://dx.doi.org/10.1086/508540&lt;/url&gt;&lt;url&gt;https://oup.silverchair-cdn.com/oup/backfile/Content_public/Journal/cid/43/10/10.1086/508540/2/43-10-1324.pdf?Expires=1501879600&amp;amp;Signature=TWTDYOdi1pCInJ8f5qbFZEYznBcVZl0FSq7Lfy8f8EuWqSAS7UwyIM796DDRQ8UifxaW1W2drZ9PSNMNjIAvVgut4YDs2oAcSC9kpsXmp3aAaNeTucGPiHsOPRj-5nLc5etub67ZDXDt1ZuDAbit5iPir5xP4v-r99e7M77vaIi3qEoqgo8NhBgL7TSTvTUEI-RlMacOlWYo9kS97sqzceOCxDC7jhggIocowMVG~DEe6ri9GEhkyp8mC7OvamBiSPO1gSKRfgBRCgfcxjKRQx09I3FIGHVEmMX~I6RtHWlld356CqLbrHbV-cfr-fK7y2Yby9~eRAIi~xcD7laCMg__&amp;amp;Key-Pair-Id=APKAIUCZBIA4LVPAVW3Q&lt;/url&gt;&lt;/related-urls&gt;&lt;/urls&gt;&lt;electronic-resource-num&gt;10.1086/508540&lt;/electronic-resource-num&gt;&lt;/record&gt;&lt;/Cite&gt;&lt;/EndNote&gt;</w:instrText>
      </w:r>
      <w:r w:rsidRPr="008F7801">
        <w:rPr>
          <w:sz w:val="22"/>
          <w:szCs w:val="22"/>
        </w:rPr>
        <w:fldChar w:fldCharType="separate"/>
      </w:r>
      <w:r w:rsidRPr="008F7801">
        <w:rPr>
          <w:noProof/>
          <w:sz w:val="22"/>
          <w:szCs w:val="22"/>
        </w:rPr>
        <w:t>(2006)</w:t>
      </w:r>
      <w:r w:rsidRPr="008F7801">
        <w:rPr>
          <w:sz w:val="22"/>
          <w:szCs w:val="22"/>
        </w:rPr>
        <w:fldChar w:fldCharType="end"/>
      </w:r>
      <w:r w:rsidRPr="008F7801">
        <w:rPr>
          <w:sz w:val="22"/>
          <w:szCs w:val="22"/>
        </w:rPr>
        <w:t xml:space="preserve"> reported that over 50% of the reported foodborne outbreaks are attributable to restaurants, making an understanding of the practices implemented in these establishments critical to preventing future cases of foodborne illness</w:t>
      </w:r>
      <w:r w:rsidR="00783781">
        <w:rPr>
          <w:sz w:val="22"/>
          <w:szCs w:val="22"/>
        </w:rPr>
        <w:t xml:space="preserve"> (Jones</w:t>
      </w:r>
      <w:r w:rsidR="006927C8">
        <w:rPr>
          <w:sz w:val="22"/>
          <w:szCs w:val="22"/>
        </w:rPr>
        <w:t xml:space="preserve"> and Angulo, 2006)</w:t>
      </w:r>
      <w:r w:rsidRPr="008F7801">
        <w:rPr>
          <w:sz w:val="22"/>
          <w:szCs w:val="22"/>
        </w:rPr>
        <w:t>. Reducing foodborne illness requires identification and understanding of the environmental factors that allow these illnesses to occur – we need to know how and why food becomes contaminated.</w:t>
      </w:r>
    </w:p>
    <w:p w:rsidR="0054602A" w:rsidRPr="008F7801" w:rsidP="0054602A" w14:paraId="065CB309" w14:textId="77777777">
      <w:pPr>
        <w:rPr>
          <w:sz w:val="22"/>
          <w:szCs w:val="22"/>
        </w:rPr>
      </w:pPr>
    </w:p>
    <w:p w:rsidR="0054602A" w:rsidRPr="008F7801" w:rsidP="0054602A" w14:paraId="2D4D1FF6" w14:textId="79E7BC16">
      <w:pPr>
        <w:pStyle w:val="NormalWeb"/>
        <w:spacing w:before="0" w:beforeAutospacing="0" w:after="0" w:afterAutospacing="0"/>
        <w:rPr>
          <w:rFonts w:ascii="Times New Roman" w:hAnsi="Times New Roman"/>
          <w:sz w:val="22"/>
          <w:szCs w:val="22"/>
        </w:rPr>
      </w:pPr>
      <w:r w:rsidRPr="008F7801">
        <w:rPr>
          <w:rFonts w:ascii="Times New Roman" w:hAnsi="Times New Roman"/>
          <w:sz w:val="22"/>
          <w:szCs w:val="22"/>
        </w:rPr>
        <w:t>Environmental factors associated with foodborne illness include both food safety practices (e.g., inadequate cleaning practices) and the factors in the environment associated with those practices (e.g.</w:t>
      </w:r>
      <w:r w:rsidR="00BF0EC0">
        <w:rPr>
          <w:rFonts w:ascii="Times New Roman" w:hAnsi="Times New Roman"/>
          <w:sz w:val="22"/>
          <w:szCs w:val="22"/>
        </w:rPr>
        <w:t>,</w:t>
      </w:r>
      <w:r w:rsidRPr="008F7801">
        <w:rPr>
          <w:rFonts w:ascii="Times New Roman" w:hAnsi="Times New Roman"/>
          <w:sz w:val="22"/>
          <w:szCs w:val="22"/>
        </w:rPr>
        <w:t xml:space="preserve"> worker </w:t>
      </w:r>
      <w:r w:rsidRPr="008F7801">
        <w:rPr>
          <w:rFonts w:ascii="Times New Roman" w:hAnsi="Times New Roman"/>
          <w:bCs/>
          <w:sz w:val="22"/>
          <w:szCs w:val="22"/>
        </w:rPr>
        <w:t xml:space="preserve">and retail food establishment characteristics). </w:t>
      </w:r>
      <w:r w:rsidRPr="008F7801">
        <w:rPr>
          <w:rFonts w:ascii="Times New Roman" w:hAnsi="Times New Roman"/>
          <w:sz w:val="22"/>
          <w:szCs w:val="22"/>
        </w:rPr>
        <w:t>To understand these factors, we need to collect data from those who prepare food (i.e., food workers) and on the environments in which the food is prepared (i.e.</w:t>
      </w:r>
      <w:r w:rsidR="00BF0EC0">
        <w:rPr>
          <w:rFonts w:ascii="Times New Roman" w:hAnsi="Times New Roman"/>
          <w:sz w:val="22"/>
          <w:szCs w:val="22"/>
        </w:rPr>
        <w:t>,</w:t>
      </w:r>
      <w:r w:rsidRPr="008F7801">
        <w:rPr>
          <w:rFonts w:ascii="Times New Roman" w:hAnsi="Times New Roman"/>
          <w:sz w:val="22"/>
          <w:szCs w:val="22"/>
        </w:rPr>
        <w:t xml:space="preserve"> retail food establishment kitchens). Data collection methods for this generic package </w:t>
      </w:r>
      <w:r w:rsidRPr="008F7801">
        <w:rPr>
          <w:rFonts w:ascii="Times New Roman" w:hAnsi="Times New Roman"/>
          <w:sz w:val="22"/>
          <w:szCs w:val="22"/>
        </w:rPr>
        <w:t>include:</w:t>
      </w:r>
      <w:r w:rsidRPr="008F7801">
        <w:rPr>
          <w:rFonts w:ascii="Times New Roman" w:hAnsi="Times New Roman"/>
          <w:sz w:val="22"/>
          <w:szCs w:val="22"/>
        </w:rPr>
        <w:t xml:space="preserve"> manager and food worker interviews</w:t>
      </w:r>
      <w:r w:rsidR="00DE6F66">
        <w:rPr>
          <w:rFonts w:ascii="Times New Roman" w:hAnsi="Times New Roman"/>
          <w:sz w:val="22"/>
          <w:szCs w:val="22"/>
        </w:rPr>
        <w:t xml:space="preserve"> or </w:t>
      </w:r>
      <w:r w:rsidRPr="008F7801" w:rsidR="00415C9E">
        <w:rPr>
          <w:rFonts w:ascii="Times New Roman" w:hAnsi="Times New Roman"/>
          <w:sz w:val="22"/>
          <w:szCs w:val="22"/>
        </w:rPr>
        <w:t>assessments</w:t>
      </w:r>
      <w:r w:rsidRPr="008F7801">
        <w:rPr>
          <w:rFonts w:ascii="Times New Roman" w:hAnsi="Times New Roman"/>
          <w:sz w:val="22"/>
          <w:szCs w:val="22"/>
        </w:rPr>
        <w:t xml:space="preserve"> and observation of restaurant</w:t>
      </w:r>
      <w:r w:rsidRPr="008F7801" w:rsidR="00BB43D7">
        <w:rPr>
          <w:rFonts w:ascii="Times New Roman" w:hAnsi="Times New Roman"/>
          <w:sz w:val="22"/>
          <w:szCs w:val="22"/>
        </w:rPr>
        <w:t>s</w:t>
      </w:r>
      <w:r w:rsidRPr="008F7801">
        <w:rPr>
          <w:rFonts w:ascii="Times New Roman" w:hAnsi="Times New Roman"/>
          <w:sz w:val="22"/>
          <w:szCs w:val="22"/>
        </w:rPr>
        <w:t xml:space="preserve">. Both methods allow data collection on complementary aspects of the food safety practices and environmental factors associated with those practices. </w:t>
      </w:r>
    </w:p>
    <w:p w:rsidR="0054602A" w:rsidRPr="008F7801" w:rsidP="0054602A" w14:paraId="02CFE2FC" w14:textId="77777777">
      <w:pPr>
        <w:rPr>
          <w:sz w:val="22"/>
          <w:szCs w:val="22"/>
        </w:rPr>
      </w:pPr>
    </w:p>
    <w:p w:rsidR="0054602A" w:rsidRPr="008F7801" w:rsidP="0054602A" w14:paraId="7C437D03" w14:textId="13F215C5">
      <w:pPr>
        <w:rPr>
          <w:sz w:val="22"/>
          <w:szCs w:val="22"/>
        </w:rPr>
      </w:pPr>
      <w:r w:rsidRPr="008F7801">
        <w:rPr>
          <w:sz w:val="22"/>
          <w:szCs w:val="22"/>
        </w:rPr>
        <w:t>This data collection supports the U.S. Department of Health and Human Services’ Healthy People 20</w:t>
      </w:r>
      <w:r w:rsidR="009D2379">
        <w:rPr>
          <w:sz w:val="22"/>
          <w:szCs w:val="22"/>
        </w:rPr>
        <w:t>3</w:t>
      </w:r>
      <w:r w:rsidRPr="008F7801">
        <w:rPr>
          <w:sz w:val="22"/>
          <w:szCs w:val="22"/>
        </w:rPr>
        <w:t>0 Goal</w:t>
      </w:r>
      <w:r w:rsidR="009D2379">
        <w:rPr>
          <w:sz w:val="22"/>
          <w:szCs w:val="22"/>
        </w:rPr>
        <w:t>s</w:t>
      </w:r>
      <w:r w:rsidRPr="008F7801">
        <w:rPr>
          <w:sz w:val="22"/>
          <w:szCs w:val="22"/>
        </w:rPr>
        <w:t xml:space="preserve"> to “Improve </w:t>
      </w:r>
      <w:r w:rsidR="009D2379">
        <w:rPr>
          <w:sz w:val="22"/>
          <w:szCs w:val="22"/>
        </w:rPr>
        <w:t>food handling practices</w:t>
      </w:r>
      <w:r w:rsidRPr="008F7801">
        <w:rPr>
          <w:sz w:val="22"/>
          <w:szCs w:val="22"/>
        </w:rPr>
        <w:t xml:space="preserve"> and reduce foodborne illnesses.” Specifically, these studies can be used to understand the relationship between existing intervention strategies (e.g.</w:t>
      </w:r>
      <w:r w:rsidR="00CB1E95">
        <w:rPr>
          <w:sz w:val="22"/>
          <w:szCs w:val="22"/>
        </w:rPr>
        <w:t>,</w:t>
      </w:r>
      <w:r w:rsidRPr="008F7801">
        <w:rPr>
          <w:sz w:val="22"/>
          <w:szCs w:val="22"/>
        </w:rPr>
        <w:t xml:space="preserve"> procedures and training) and food safety performance. It can also be used to understand current implementation practices of food safety provisions. This knowledge will allow for the development of future interventions that may have a higher efficacy in improving food safety practices.</w:t>
      </w:r>
    </w:p>
    <w:p w:rsidR="0054602A" w:rsidRPr="008F7801" w:rsidP="00A54CD5" w14:paraId="441FE762" w14:textId="77777777">
      <w:pPr>
        <w:rPr>
          <w:b/>
          <w:sz w:val="22"/>
          <w:szCs w:val="22"/>
          <w:u w:val="single"/>
        </w:rPr>
      </w:pPr>
    </w:p>
    <w:p w:rsidR="00986938" w:rsidP="00A54CD5" w14:paraId="0DA88568" w14:textId="77777777">
      <w:pPr>
        <w:rPr>
          <w:b/>
          <w:sz w:val="22"/>
          <w:szCs w:val="22"/>
          <w:u w:val="single"/>
        </w:rPr>
      </w:pPr>
    </w:p>
    <w:p w:rsidR="0031779B" w:rsidP="00A54CD5" w14:paraId="478FBD6D" w14:textId="77777777">
      <w:pPr>
        <w:rPr>
          <w:b/>
          <w:sz w:val="22"/>
          <w:szCs w:val="22"/>
          <w:u w:val="single"/>
        </w:rPr>
      </w:pPr>
    </w:p>
    <w:p w:rsidR="0031779B" w:rsidP="00A54CD5" w14:paraId="1C8EA16C" w14:textId="77777777">
      <w:pPr>
        <w:rPr>
          <w:b/>
          <w:sz w:val="22"/>
          <w:szCs w:val="22"/>
          <w:u w:val="single"/>
        </w:rPr>
      </w:pPr>
    </w:p>
    <w:p w:rsidR="00F70A4F" w14:paraId="604B654E" w14:textId="77777777">
      <w:pPr>
        <w:rPr>
          <w:b/>
          <w:sz w:val="22"/>
          <w:szCs w:val="22"/>
          <w:u w:val="single"/>
        </w:rPr>
      </w:pPr>
      <w:r>
        <w:rPr>
          <w:b/>
          <w:sz w:val="22"/>
          <w:szCs w:val="22"/>
          <w:u w:val="single"/>
        </w:rPr>
        <w:br w:type="page"/>
      </w:r>
    </w:p>
    <w:p w:rsidR="00A54CD5" w:rsidRPr="008F7801" w:rsidP="00A54CD5" w14:paraId="16FC7EC9" w14:textId="0797A96D">
      <w:pPr>
        <w:rPr>
          <w:b/>
          <w:sz w:val="22"/>
          <w:szCs w:val="22"/>
          <w:u w:val="single"/>
        </w:rPr>
      </w:pPr>
      <w:r w:rsidRPr="008F7801">
        <w:rPr>
          <w:b/>
          <w:sz w:val="22"/>
          <w:szCs w:val="22"/>
          <w:u w:val="single"/>
        </w:rPr>
        <w:t>Background</w:t>
      </w:r>
    </w:p>
    <w:p w:rsidR="00162FA0" w:rsidRPr="008F7801" w:rsidP="00CC3730" w14:paraId="6F9892E0" w14:textId="77777777">
      <w:pPr>
        <w:autoSpaceDE w:val="0"/>
        <w:autoSpaceDN w:val="0"/>
        <w:adjustRightInd w:val="0"/>
        <w:rPr>
          <w:b/>
          <w:sz w:val="22"/>
          <w:szCs w:val="22"/>
        </w:rPr>
      </w:pPr>
    </w:p>
    <w:p w:rsidR="00163051" w:rsidRPr="008F7801" w:rsidP="00163051" w14:paraId="4B477B82" w14:textId="7F49FC1F">
      <w:pPr>
        <w:rPr>
          <w:sz w:val="22"/>
          <w:szCs w:val="22"/>
        </w:rPr>
      </w:pPr>
      <w:r w:rsidRPr="008F7801">
        <w:rPr>
          <w:sz w:val="22"/>
          <w:szCs w:val="22"/>
        </w:rPr>
        <w:t>An estimated 47.8 million foodborne illnesses occur annually in the United States, resulting in 127,839 hospitalizations, and 3,037 deaths annually (</w:t>
      </w:r>
      <w:r w:rsidRPr="008F7801">
        <w:rPr>
          <w:sz w:val="22"/>
          <w:szCs w:val="22"/>
        </w:rPr>
        <w:t>Scallan</w:t>
      </w:r>
      <w:r w:rsidRPr="008F7801">
        <w:rPr>
          <w:sz w:val="22"/>
          <w:szCs w:val="22"/>
        </w:rPr>
        <w:t>, Hoekstra</w:t>
      </w:r>
      <w:r w:rsidR="00E72DF6">
        <w:rPr>
          <w:sz w:val="22"/>
          <w:szCs w:val="22"/>
        </w:rPr>
        <w:t>,</w:t>
      </w:r>
      <w:r w:rsidRPr="008F7801">
        <w:rPr>
          <w:sz w:val="22"/>
          <w:szCs w:val="22"/>
        </w:rPr>
        <w:t xml:space="preserve"> et al.</w:t>
      </w:r>
      <w:r w:rsidR="00C2164D">
        <w:rPr>
          <w:sz w:val="22"/>
          <w:szCs w:val="22"/>
        </w:rPr>
        <w:t>,</w:t>
      </w:r>
      <w:r w:rsidRPr="008F7801">
        <w:rPr>
          <w:sz w:val="22"/>
          <w:szCs w:val="22"/>
        </w:rPr>
        <w:t xml:space="preserve"> 2011; </w:t>
      </w:r>
      <w:r w:rsidRPr="008F7801">
        <w:rPr>
          <w:sz w:val="22"/>
          <w:szCs w:val="22"/>
        </w:rPr>
        <w:t>Scallan</w:t>
      </w:r>
      <w:r w:rsidRPr="008F7801">
        <w:rPr>
          <w:sz w:val="22"/>
          <w:szCs w:val="22"/>
        </w:rPr>
        <w:t>, Griffin</w:t>
      </w:r>
      <w:r w:rsidR="00C2164D">
        <w:rPr>
          <w:sz w:val="22"/>
          <w:szCs w:val="22"/>
        </w:rPr>
        <w:t>,</w:t>
      </w:r>
      <w:r w:rsidRPr="008F7801">
        <w:rPr>
          <w:sz w:val="22"/>
          <w:szCs w:val="22"/>
        </w:rPr>
        <w:t xml:space="preserve"> et al.</w:t>
      </w:r>
      <w:r w:rsidR="00C2164D">
        <w:rPr>
          <w:sz w:val="22"/>
          <w:szCs w:val="22"/>
        </w:rPr>
        <w:t>,</w:t>
      </w:r>
      <w:r w:rsidRPr="008F7801">
        <w:rPr>
          <w:sz w:val="22"/>
          <w:szCs w:val="22"/>
        </w:rPr>
        <w:t xml:space="preserve"> 2011). These figures indicate that foodborne illness is a significant problem in the U.S. </w:t>
      </w:r>
    </w:p>
    <w:p w:rsidR="006410BB" w:rsidRPr="008F7801" w:rsidP="00163051" w14:paraId="105A05DE" w14:textId="77777777">
      <w:pPr>
        <w:rPr>
          <w:sz w:val="22"/>
          <w:szCs w:val="22"/>
        </w:rPr>
      </w:pPr>
    </w:p>
    <w:p w:rsidR="00163051" w:rsidRPr="008F7801" w:rsidP="00163051" w14:paraId="689FCEBE" w14:textId="3C2AAB04">
      <w:pPr>
        <w:rPr>
          <w:sz w:val="22"/>
          <w:szCs w:val="22"/>
        </w:rPr>
      </w:pPr>
      <w:r w:rsidRPr="008F7801">
        <w:rPr>
          <w:sz w:val="22"/>
          <w:szCs w:val="22"/>
        </w:rPr>
        <w:t xml:space="preserve">Reducing foodborne illness requires identification and understanding of the environmental factors that cause these illnesses—we need to know how and why food becomes contaminated with foodborne illness pathogens. This information can then be used to determine effective food safety prevention methods. Ultimately, these actions can lead to increased regulatory program effectiveness and decreased foodborne illness. </w:t>
      </w:r>
      <w:r w:rsidRPr="008F7801">
        <w:rPr>
          <w:iCs/>
          <w:sz w:val="22"/>
          <w:szCs w:val="22"/>
        </w:rPr>
        <w:t>The purpose of this food safety research program is</w:t>
      </w:r>
      <w:r w:rsidRPr="008F7801" w:rsidR="004F05B4">
        <w:rPr>
          <w:iCs/>
          <w:sz w:val="22"/>
          <w:szCs w:val="22"/>
        </w:rPr>
        <w:t xml:space="preserve"> to</w:t>
      </w:r>
      <w:r w:rsidRPr="008F7801">
        <w:rPr>
          <w:iCs/>
          <w:sz w:val="22"/>
          <w:szCs w:val="22"/>
        </w:rPr>
        <w:t xml:space="preserve"> </w:t>
      </w:r>
      <w:r w:rsidRPr="008F7801">
        <w:rPr>
          <w:sz w:val="22"/>
          <w:szCs w:val="22"/>
        </w:rPr>
        <w:t xml:space="preserve">identify and understand environmental factors associated with foodborne illness and outbreaks. This program is conducted by the Environmental Health Specialists Network (EHS-Net), a collaborative project of CDC, FDA, USDA, and local and state sites. </w:t>
      </w:r>
    </w:p>
    <w:p w:rsidR="00163051" w:rsidRPr="008F7801" w:rsidP="00163051" w14:paraId="55CB3899" w14:textId="77777777">
      <w:pPr>
        <w:rPr>
          <w:sz w:val="22"/>
          <w:szCs w:val="22"/>
        </w:rPr>
      </w:pPr>
    </w:p>
    <w:p w:rsidR="00163051" w:rsidRPr="008F7801" w:rsidP="00163051" w14:paraId="70471CCC" w14:textId="77777777">
      <w:pPr>
        <w:pStyle w:val="NormalWeb"/>
        <w:spacing w:before="0" w:beforeAutospacing="0" w:after="0" w:afterAutospacing="0"/>
        <w:rPr>
          <w:rFonts w:ascii="Times New Roman" w:hAnsi="Times New Roman"/>
          <w:sz w:val="22"/>
          <w:szCs w:val="22"/>
        </w:rPr>
      </w:pPr>
      <w:r w:rsidRPr="008F7801">
        <w:rPr>
          <w:rFonts w:ascii="Times New Roman" w:hAnsi="Times New Roman"/>
          <w:sz w:val="22"/>
          <w:szCs w:val="22"/>
        </w:rPr>
        <w:t xml:space="preserve">Environmental factors associated with foodborne illness include both food safety practices (e.g., inadequate cleaning practices) and the factors in the environment associated with those practices (e.g., worker </w:t>
      </w:r>
      <w:r w:rsidRPr="008F7801">
        <w:rPr>
          <w:rFonts w:ascii="Times New Roman" w:hAnsi="Times New Roman"/>
          <w:bCs/>
          <w:sz w:val="22"/>
          <w:szCs w:val="22"/>
        </w:rPr>
        <w:t xml:space="preserve">and retail food establishment characteristics). </w:t>
      </w:r>
      <w:r w:rsidRPr="008F7801">
        <w:rPr>
          <w:rFonts w:ascii="Times New Roman" w:hAnsi="Times New Roman"/>
          <w:sz w:val="22"/>
          <w:szCs w:val="22"/>
        </w:rPr>
        <w:t>To understand these factors, we need to collect data from those who prepare food (i.e., food workers) and on the environments in which the food is prepared (i.e., retail food establishment kitchens). Thus, data collection methods for this generic package include: 1) manager and worker interviews/</w:t>
      </w:r>
      <w:r w:rsidRPr="008F7801" w:rsidR="009A65BD">
        <w:rPr>
          <w:rFonts w:ascii="Times New Roman" w:hAnsi="Times New Roman"/>
          <w:sz w:val="22"/>
          <w:szCs w:val="22"/>
        </w:rPr>
        <w:t>information collection instruments</w:t>
      </w:r>
      <w:r w:rsidRPr="008F7801">
        <w:rPr>
          <w:rFonts w:ascii="Times New Roman" w:hAnsi="Times New Roman"/>
          <w:sz w:val="22"/>
          <w:szCs w:val="22"/>
        </w:rPr>
        <w:t>, and 2) observation of kitchen environments. Both methods allow data collection on food safety practices and environmental factors associated with those practices.</w:t>
      </w:r>
    </w:p>
    <w:p w:rsidR="00163051" w:rsidRPr="008F7801" w:rsidP="00163051" w14:paraId="7328A86E" w14:textId="77777777">
      <w:pPr>
        <w:rPr>
          <w:sz w:val="22"/>
          <w:szCs w:val="22"/>
        </w:rPr>
      </w:pPr>
    </w:p>
    <w:p w:rsidR="00163051" w:rsidRPr="008F7801" w:rsidP="00163051" w14:paraId="79D27A92" w14:textId="21DC94E0">
      <w:pPr>
        <w:rPr>
          <w:sz w:val="22"/>
          <w:szCs w:val="22"/>
        </w:rPr>
      </w:pPr>
      <w:bookmarkStart w:id="2" w:name="_Hlk63161312"/>
      <w:r w:rsidRPr="008F7801">
        <w:rPr>
          <w:color w:val="000000"/>
          <w:sz w:val="22"/>
          <w:szCs w:val="22"/>
        </w:rPr>
        <w:t>On October 21, 2008, OMB gave generic clearance to CDC’s EHS-Net program (</w:t>
      </w:r>
      <w:r w:rsidR="00D41F9C">
        <w:rPr>
          <w:color w:val="000000"/>
          <w:sz w:val="22"/>
          <w:szCs w:val="22"/>
        </w:rPr>
        <w:t>N</w:t>
      </w:r>
      <w:r w:rsidRPr="008F7801">
        <w:rPr>
          <w:color w:val="000000"/>
          <w:sz w:val="22"/>
          <w:szCs w:val="22"/>
        </w:rPr>
        <w:t xml:space="preserve">o. 0920-0792). </w:t>
      </w:r>
      <w:r w:rsidRPr="008F7801" w:rsidR="006410BB">
        <w:rPr>
          <w:color w:val="000000"/>
          <w:sz w:val="22"/>
          <w:szCs w:val="22"/>
        </w:rPr>
        <w:t>OMB gave generic clearance to revision</w:t>
      </w:r>
      <w:r w:rsidR="00706098">
        <w:rPr>
          <w:color w:val="000000"/>
          <w:sz w:val="22"/>
          <w:szCs w:val="22"/>
        </w:rPr>
        <w:t>s</w:t>
      </w:r>
      <w:r w:rsidRPr="008F7801" w:rsidR="006410BB">
        <w:rPr>
          <w:color w:val="000000"/>
          <w:sz w:val="22"/>
          <w:szCs w:val="22"/>
        </w:rPr>
        <w:t xml:space="preserve"> of the EHS-Net program o</w:t>
      </w:r>
      <w:r w:rsidRPr="008F7801">
        <w:rPr>
          <w:color w:val="000000"/>
          <w:sz w:val="22"/>
          <w:szCs w:val="22"/>
        </w:rPr>
        <w:t xml:space="preserve">n February 29, 2012, </w:t>
      </w:r>
      <w:r w:rsidRPr="008F7801" w:rsidR="006410BB">
        <w:rPr>
          <w:color w:val="000000"/>
          <w:sz w:val="22"/>
          <w:szCs w:val="22"/>
        </w:rPr>
        <w:t>August 13, 2018</w:t>
      </w:r>
      <w:r w:rsidR="001E2C62">
        <w:rPr>
          <w:color w:val="000000"/>
          <w:sz w:val="22"/>
          <w:szCs w:val="22"/>
        </w:rPr>
        <w:t xml:space="preserve">, and </w:t>
      </w:r>
      <w:r w:rsidRPr="00A4053E" w:rsidR="007D5449">
        <w:rPr>
          <w:color w:val="000000"/>
          <w:sz w:val="22"/>
          <w:szCs w:val="22"/>
        </w:rPr>
        <w:t>January</w:t>
      </w:r>
      <w:r w:rsidRPr="007D5449" w:rsidR="00443236">
        <w:rPr>
          <w:color w:val="000000"/>
          <w:sz w:val="22"/>
          <w:szCs w:val="22"/>
        </w:rPr>
        <w:t xml:space="preserve"> </w:t>
      </w:r>
      <w:r w:rsidRPr="00A4053E" w:rsidR="007D5449">
        <w:rPr>
          <w:color w:val="000000"/>
          <w:sz w:val="22"/>
          <w:szCs w:val="22"/>
        </w:rPr>
        <w:t>26</w:t>
      </w:r>
      <w:r w:rsidRPr="007D5449" w:rsidR="00443236">
        <w:rPr>
          <w:color w:val="000000"/>
          <w:sz w:val="22"/>
          <w:szCs w:val="22"/>
        </w:rPr>
        <w:t xml:space="preserve">, </w:t>
      </w:r>
      <w:r w:rsidRPr="007D5449" w:rsidR="00215ADC">
        <w:rPr>
          <w:color w:val="000000"/>
          <w:sz w:val="22"/>
          <w:szCs w:val="22"/>
        </w:rPr>
        <w:t>202</w:t>
      </w:r>
      <w:r w:rsidRPr="007D5449" w:rsidR="007D5449">
        <w:rPr>
          <w:color w:val="000000"/>
          <w:sz w:val="22"/>
          <w:szCs w:val="22"/>
        </w:rPr>
        <w:t>2</w:t>
      </w:r>
      <w:r w:rsidRPr="008F7801" w:rsidR="006410BB">
        <w:rPr>
          <w:color w:val="000000"/>
          <w:sz w:val="22"/>
          <w:szCs w:val="22"/>
        </w:rPr>
        <w:t xml:space="preserve">. </w:t>
      </w:r>
      <w:r w:rsidRPr="008F7801" w:rsidR="00F35F2C">
        <w:rPr>
          <w:color w:val="000000"/>
          <w:sz w:val="22"/>
          <w:szCs w:val="22"/>
        </w:rPr>
        <w:t>T</w:t>
      </w:r>
      <w:r w:rsidRPr="008F7801">
        <w:rPr>
          <w:color w:val="000000"/>
          <w:sz w:val="22"/>
          <w:szCs w:val="22"/>
        </w:rPr>
        <w:t xml:space="preserve">he current submission requests </w:t>
      </w:r>
      <w:r w:rsidRPr="008F7801" w:rsidR="00EA50E1">
        <w:rPr>
          <w:color w:val="000000"/>
          <w:sz w:val="22"/>
          <w:szCs w:val="22"/>
        </w:rPr>
        <w:t>a re</w:t>
      </w:r>
      <w:r w:rsidRPr="008F7801" w:rsidR="00213E62">
        <w:rPr>
          <w:color w:val="000000"/>
          <w:sz w:val="22"/>
          <w:szCs w:val="22"/>
        </w:rPr>
        <w:t>vision</w:t>
      </w:r>
      <w:r w:rsidRPr="008F7801" w:rsidR="0000053E">
        <w:rPr>
          <w:color w:val="000000"/>
          <w:sz w:val="22"/>
          <w:szCs w:val="22"/>
        </w:rPr>
        <w:t xml:space="preserve"> </w:t>
      </w:r>
      <w:r w:rsidRPr="008F7801">
        <w:rPr>
          <w:color w:val="000000"/>
          <w:sz w:val="22"/>
          <w:szCs w:val="22"/>
        </w:rPr>
        <w:t xml:space="preserve">of </w:t>
      </w:r>
      <w:r w:rsidRPr="008F7801">
        <w:rPr>
          <w:sz w:val="22"/>
          <w:szCs w:val="22"/>
        </w:rPr>
        <w:t xml:space="preserve">this OMB generic clearance. This </w:t>
      </w:r>
      <w:r w:rsidRPr="008F7801" w:rsidR="00213E62">
        <w:rPr>
          <w:sz w:val="22"/>
          <w:szCs w:val="22"/>
        </w:rPr>
        <w:t>revision</w:t>
      </w:r>
      <w:r w:rsidRPr="008F7801" w:rsidR="00EA50E1">
        <w:rPr>
          <w:sz w:val="22"/>
          <w:szCs w:val="22"/>
        </w:rPr>
        <w:t xml:space="preserve"> </w:t>
      </w:r>
      <w:r w:rsidRPr="008F7801">
        <w:rPr>
          <w:sz w:val="22"/>
          <w:szCs w:val="22"/>
        </w:rPr>
        <w:t xml:space="preserve">will provide OMB clearance for EHS-Net data collections conducted in </w:t>
      </w:r>
      <w:r w:rsidRPr="008F7801" w:rsidR="006410BB">
        <w:rPr>
          <w:sz w:val="22"/>
          <w:szCs w:val="22"/>
        </w:rPr>
        <w:t>202</w:t>
      </w:r>
      <w:r w:rsidR="00215ADC">
        <w:rPr>
          <w:sz w:val="22"/>
          <w:szCs w:val="22"/>
        </w:rPr>
        <w:t>5</w:t>
      </w:r>
      <w:r w:rsidRPr="008F7801">
        <w:rPr>
          <w:sz w:val="22"/>
          <w:szCs w:val="22"/>
        </w:rPr>
        <w:t xml:space="preserve"> through </w:t>
      </w:r>
      <w:r w:rsidRPr="008F7801" w:rsidR="002444C4">
        <w:rPr>
          <w:sz w:val="22"/>
          <w:szCs w:val="22"/>
        </w:rPr>
        <w:t>202</w:t>
      </w:r>
      <w:r w:rsidR="00225FCF">
        <w:rPr>
          <w:sz w:val="22"/>
          <w:szCs w:val="22"/>
        </w:rPr>
        <w:t>8</w:t>
      </w:r>
      <w:r w:rsidRPr="008F7801">
        <w:rPr>
          <w:sz w:val="22"/>
          <w:szCs w:val="22"/>
        </w:rPr>
        <w:t>.</w:t>
      </w:r>
    </w:p>
    <w:bookmarkEnd w:id="2"/>
    <w:p w:rsidR="00BB2C1D" w:rsidRPr="008F7801" w:rsidP="00163051" w14:paraId="1AB52190" w14:textId="77777777">
      <w:pPr>
        <w:autoSpaceDE w:val="0"/>
        <w:autoSpaceDN w:val="0"/>
        <w:adjustRightInd w:val="0"/>
        <w:rPr>
          <w:b/>
          <w:sz w:val="22"/>
          <w:szCs w:val="22"/>
          <w:u w:val="single"/>
        </w:rPr>
      </w:pPr>
    </w:p>
    <w:p w:rsidR="00163051" w:rsidRPr="008F7801" w:rsidP="00163051" w14:paraId="31D541CB" w14:textId="77777777">
      <w:pPr>
        <w:autoSpaceDE w:val="0"/>
        <w:autoSpaceDN w:val="0"/>
        <w:adjustRightInd w:val="0"/>
        <w:rPr>
          <w:b/>
          <w:sz w:val="22"/>
          <w:szCs w:val="22"/>
          <w:u w:val="single"/>
        </w:rPr>
      </w:pPr>
      <w:r w:rsidRPr="008F7801">
        <w:rPr>
          <w:b/>
          <w:sz w:val="22"/>
          <w:szCs w:val="22"/>
          <w:u w:val="single"/>
        </w:rPr>
        <w:t>Experience to Date</w:t>
      </w:r>
    </w:p>
    <w:p w:rsidR="00163051" w:rsidRPr="008F7801" w:rsidP="00163051" w14:paraId="5D49D03A" w14:textId="77777777">
      <w:pPr>
        <w:autoSpaceDE w:val="0"/>
        <w:autoSpaceDN w:val="0"/>
        <w:adjustRightInd w:val="0"/>
        <w:rPr>
          <w:sz w:val="22"/>
          <w:szCs w:val="22"/>
        </w:rPr>
      </w:pPr>
    </w:p>
    <w:p w:rsidR="0083345F" w:rsidP="00163051" w14:paraId="0BDB1762" w14:textId="7E19C471">
      <w:pPr>
        <w:autoSpaceDE w:val="0"/>
        <w:autoSpaceDN w:val="0"/>
        <w:adjustRightInd w:val="0"/>
        <w:rPr>
          <w:sz w:val="22"/>
          <w:szCs w:val="22"/>
        </w:rPr>
      </w:pPr>
      <w:r w:rsidRPr="008F7801">
        <w:rPr>
          <w:sz w:val="22"/>
          <w:szCs w:val="22"/>
        </w:rPr>
        <w:t xml:space="preserve">To date, EHS-Net has conducted </w:t>
      </w:r>
      <w:r w:rsidR="00B10B98">
        <w:rPr>
          <w:sz w:val="22"/>
          <w:szCs w:val="22"/>
        </w:rPr>
        <w:t>five</w:t>
      </w:r>
      <w:r w:rsidRPr="008F7801">
        <w:rPr>
          <w:sz w:val="22"/>
          <w:szCs w:val="22"/>
        </w:rPr>
        <w:t xml:space="preserve"> studies under this generic clearance. </w:t>
      </w:r>
    </w:p>
    <w:p w:rsidR="0083345F" w:rsidP="0083345F" w14:paraId="4F7DB31F" w14:textId="77777777">
      <w:pPr>
        <w:autoSpaceDE w:val="0"/>
        <w:autoSpaceDN w:val="0"/>
        <w:adjustRightInd w:val="0"/>
        <w:rPr>
          <w:sz w:val="22"/>
          <w:szCs w:val="22"/>
        </w:rPr>
      </w:pPr>
    </w:p>
    <w:p w:rsidR="0083345F" w:rsidP="007A52DC" w14:paraId="71570200" w14:textId="132D64B8">
      <w:pPr>
        <w:autoSpaceDE w:val="0"/>
        <w:autoSpaceDN w:val="0"/>
        <w:adjustRightInd w:val="0"/>
        <w:rPr>
          <w:color w:val="000000" w:themeColor="text1"/>
          <w:sz w:val="22"/>
          <w:szCs w:val="22"/>
        </w:rPr>
      </w:pPr>
      <w:r>
        <w:rPr>
          <w:sz w:val="22"/>
          <w:szCs w:val="22"/>
        </w:rPr>
        <w:t xml:space="preserve">1. </w:t>
      </w:r>
      <w:r w:rsidRPr="00A4053E" w:rsidR="00163051">
        <w:rPr>
          <w:color w:val="000000" w:themeColor="text1"/>
          <w:sz w:val="22"/>
          <w:szCs w:val="22"/>
        </w:rPr>
        <w:t xml:space="preserve">The </w:t>
      </w:r>
      <w:r w:rsidRPr="0083345F" w:rsidR="00163051">
        <w:rPr>
          <w:color w:val="000000" w:themeColor="text1"/>
          <w:sz w:val="22"/>
          <w:szCs w:val="22"/>
        </w:rPr>
        <w:t>first s</w:t>
      </w:r>
      <w:r w:rsidRPr="00A4053E" w:rsidR="00163051">
        <w:rPr>
          <w:color w:val="000000" w:themeColor="text1"/>
          <w:sz w:val="22"/>
          <w:szCs w:val="22"/>
        </w:rPr>
        <w:t xml:space="preserve">tudy collected data on improper cooling of hot foods, a food handling practice associated with foodborne illness and outbreaks. </w:t>
      </w:r>
    </w:p>
    <w:p w:rsidR="0083345F" w:rsidP="0083345F" w14:paraId="7BB3E672" w14:textId="77777777">
      <w:pPr>
        <w:autoSpaceDE w:val="0"/>
        <w:autoSpaceDN w:val="0"/>
        <w:adjustRightInd w:val="0"/>
        <w:rPr>
          <w:color w:val="000000" w:themeColor="text1"/>
          <w:sz w:val="22"/>
          <w:szCs w:val="22"/>
        </w:rPr>
      </w:pPr>
    </w:p>
    <w:p w:rsidR="0083345F" w:rsidP="007A52DC" w14:paraId="04937026" w14:textId="78F15840">
      <w:pPr>
        <w:autoSpaceDE w:val="0"/>
        <w:autoSpaceDN w:val="0"/>
        <w:adjustRightInd w:val="0"/>
        <w:rPr>
          <w:bCs/>
          <w:color w:val="000000" w:themeColor="text1"/>
          <w:sz w:val="22"/>
          <w:szCs w:val="22"/>
        </w:rPr>
      </w:pPr>
      <w:r>
        <w:rPr>
          <w:color w:val="000000" w:themeColor="text1"/>
          <w:sz w:val="22"/>
          <w:szCs w:val="22"/>
        </w:rPr>
        <w:t xml:space="preserve">2. </w:t>
      </w:r>
      <w:r w:rsidRPr="00A4053E" w:rsidR="00163051">
        <w:rPr>
          <w:color w:val="000000" w:themeColor="text1"/>
          <w:sz w:val="22"/>
          <w:szCs w:val="22"/>
        </w:rPr>
        <w:t>The second study collected data on the relationship between kitchen manager food safety certification and foodborne illness risk factors in restaurants. P</w:t>
      </w:r>
      <w:r w:rsidRPr="00A4053E" w:rsidR="00163051">
        <w:rPr>
          <w:bCs/>
          <w:color w:val="000000" w:themeColor="text1"/>
          <w:sz w:val="22"/>
          <w:szCs w:val="22"/>
        </w:rPr>
        <w:t xml:space="preserve">ublic health agencies are increasingly encouraging or requiring certification as a foodborne illness prevention measure, yet little </w:t>
      </w:r>
      <w:r w:rsidR="002527FC">
        <w:rPr>
          <w:bCs/>
          <w:color w:val="000000" w:themeColor="text1"/>
          <w:sz w:val="22"/>
          <w:szCs w:val="22"/>
        </w:rPr>
        <w:t>was</w:t>
      </w:r>
      <w:r w:rsidRPr="00A4053E" w:rsidR="00163051">
        <w:rPr>
          <w:bCs/>
          <w:color w:val="000000" w:themeColor="text1"/>
          <w:sz w:val="22"/>
          <w:szCs w:val="22"/>
        </w:rPr>
        <w:t xml:space="preserve"> known about its effectiveness.</w:t>
      </w:r>
    </w:p>
    <w:p w:rsidR="0083345F" w:rsidP="007A52DC" w14:paraId="4F130CF2" w14:textId="09B51FD9">
      <w:pPr>
        <w:autoSpaceDE w:val="0"/>
        <w:autoSpaceDN w:val="0"/>
        <w:adjustRightInd w:val="0"/>
        <w:ind w:left="720"/>
        <w:rPr>
          <w:bCs/>
          <w:color w:val="000000" w:themeColor="text1"/>
          <w:sz w:val="22"/>
          <w:szCs w:val="22"/>
        </w:rPr>
      </w:pPr>
      <w:r w:rsidRPr="00A4053E">
        <w:rPr>
          <w:bCs/>
          <w:color w:val="000000" w:themeColor="text1"/>
          <w:sz w:val="22"/>
          <w:szCs w:val="22"/>
        </w:rPr>
        <w:t xml:space="preserve"> </w:t>
      </w:r>
    </w:p>
    <w:p w:rsidR="0083345F" w:rsidP="0083345F" w14:paraId="1D024AAE" w14:textId="7FD63CBB">
      <w:pPr>
        <w:autoSpaceDE w:val="0"/>
        <w:autoSpaceDN w:val="0"/>
        <w:adjustRightInd w:val="0"/>
        <w:rPr>
          <w:color w:val="000000" w:themeColor="text1"/>
          <w:sz w:val="22"/>
          <w:szCs w:val="22"/>
        </w:rPr>
      </w:pPr>
      <w:r>
        <w:rPr>
          <w:bCs/>
          <w:color w:val="000000" w:themeColor="text1"/>
          <w:sz w:val="22"/>
          <w:szCs w:val="22"/>
        </w:rPr>
        <w:t xml:space="preserve">3. </w:t>
      </w:r>
      <w:r w:rsidRPr="00A4053E" w:rsidR="00163051">
        <w:rPr>
          <w:bCs/>
          <w:color w:val="000000" w:themeColor="text1"/>
          <w:sz w:val="22"/>
          <w:szCs w:val="22"/>
        </w:rPr>
        <w:t xml:space="preserve">The third </w:t>
      </w:r>
      <w:r w:rsidRPr="00A4053E" w:rsidR="00163051">
        <w:rPr>
          <w:color w:val="000000" w:themeColor="text1"/>
          <w:sz w:val="22"/>
          <w:szCs w:val="22"/>
        </w:rPr>
        <w:t xml:space="preserve">study collected data on the environmental factors associated with contamination of the retail deli environment with </w:t>
      </w:r>
      <w:r w:rsidRPr="00A4053E" w:rsidR="00163051">
        <w:rPr>
          <w:i/>
          <w:color w:val="000000" w:themeColor="text1"/>
          <w:sz w:val="22"/>
          <w:szCs w:val="22"/>
        </w:rPr>
        <w:t>Listeria</w:t>
      </w:r>
      <w:r w:rsidRPr="00A4053E" w:rsidR="00163051">
        <w:rPr>
          <w:color w:val="000000" w:themeColor="text1"/>
          <w:sz w:val="22"/>
          <w:szCs w:val="22"/>
        </w:rPr>
        <w:t>, a foodborne illness pathogen ranked 3</w:t>
      </w:r>
      <w:r w:rsidRPr="00A4053E" w:rsidR="00163051">
        <w:rPr>
          <w:color w:val="000000" w:themeColor="text1"/>
          <w:sz w:val="22"/>
          <w:szCs w:val="22"/>
          <w:vertAlign w:val="superscript"/>
        </w:rPr>
        <w:t>rd</w:t>
      </w:r>
      <w:r w:rsidRPr="00A4053E" w:rsidR="00163051">
        <w:rPr>
          <w:color w:val="000000" w:themeColor="text1"/>
          <w:sz w:val="22"/>
          <w:szCs w:val="22"/>
        </w:rPr>
        <w:t xml:space="preserve"> in terms of the number of deaths it causes. This study was conducted at the request of and in collaboration with USDA, who use</w:t>
      </w:r>
      <w:r w:rsidR="0054507C">
        <w:rPr>
          <w:color w:val="000000" w:themeColor="text1"/>
          <w:sz w:val="22"/>
          <w:szCs w:val="22"/>
        </w:rPr>
        <w:t>d</w:t>
      </w:r>
      <w:r w:rsidRPr="00A4053E" w:rsidR="00163051">
        <w:rPr>
          <w:color w:val="000000" w:themeColor="text1"/>
          <w:sz w:val="22"/>
          <w:szCs w:val="22"/>
        </w:rPr>
        <w:t xml:space="preserve"> the data to inform their ground-breaking </w:t>
      </w:r>
      <w:r w:rsidRPr="00A4053E" w:rsidR="00163051">
        <w:rPr>
          <w:i/>
          <w:iCs/>
          <w:color w:val="000000" w:themeColor="text1"/>
          <w:sz w:val="22"/>
          <w:szCs w:val="22"/>
        </w:rPr>
        <w:t>Listeria</w:t>
      </w:r>
      <w:r w:rsidRPr="00A4053E" w:rsidR="00163051">
        <w:rPr>
          <w:color w:val="000000" w:themeColor="text1"/>
          <w:sz w:val="22"/>
          <w:szCs w:val="22"/>
        </w:rPr>
        <w:t xml:space="preserve"> risk assessment modeling.</w:t>
      </w:r>
    </w:p>
    <w:p w:rsidR="0083345F" w:rsidP="007A52DC" w14:paraId="03E0AC99" w14:textId="6DC44119">
      <w:pPr>
        <w:autoSpaceDE w:val="0"/>
        <w:autoSpaceDN w:val="0"/>
        <w:adjustRightInd w:val="0"/>
        <w:rPr>
          <w:color w:val="000000" w:themeColor="text1"/>
          <w:sz w:val="22"/>
          <w:szCs w:val="22"/>
        </w:rPr>
      </w:pPr>
      <w:r w:rsidRPr="00A4053E">
        <w:rPr>
          <w:color w:val="000000" w:themeColor="text1"/>
          <w:sz w:val="22"/>
          <w:szCs w:val="22"/>
        </w:rPr>
        <w:t xml:space="preserve"> </w:t>
      </w:r>
    </w:p>
    <w:p w:rsidR="0083345F" w:rsidP="007A52DC" w14:paraId="108952A6" w14:textId="77777777">
      <w:pPr>
        <w:autoSpaceDE w:val="0"/>
        <w:autoSpaceDN w:val="0"/>
        <w:adjustRightInd w:val="0"/>
        <w:rPr>
          <w:color w:val="000000" w:themeColor="text1"/>
          <w:sz w:val="22"/>
          <w:szCs w:val="22"/>
        </w:rPr>
      </w:pPr>
      <w:r>
        <w:rPr>
          <w:color w:val="000000" w:themeColor="text1"/>
          <w:sz w:val="22"/>
          <w:szCs w:val="22"/>
        </w:rPr>
        <w:t xml:space="preserve">4. </w:t>
      </w:r>
      <w:r w:rsidRPr="00A4053E" w:rsidR="00163051">
        <w:rPr>
          <w:color w:val="000000" w:themeColor="text1"/>
          <w:sz w:val="22"/>
          <w:szCs w:val="22"/>
        </w:rPr>
        <w:t>The fourth study collected data on restaurant managers’ and workers’ food allergen knowledge, attitudes, and practices. Food allergens are an important food safety issue for restaurants</w:t>
      </w:r>
      <w:r w:rsidRPr="00A4053E" w:rsidR="003C1C9D">
        <w:rPr>
          <w:color w:val="000000" w:themeColor="text1"/>
          <w:sz w:val="22"/>
          <w:szCs w:val="22"/>
        </w:rPr>
        <w:t xml:space="preserve">. Data indicate that </w:t>
      </w:r>
      <w:r w:rsidRPr="00A4053E" w:rsidR="002E5054">
        <w:rPr>
          <w:color w:val="000000" w:themeColor="text1"/>
          <w:sz w:val="22"/>
          <w:szCs w:val="22"/>
        </w:rPr>
        <w:t xml:space="preserve">severe allergic reactions </w:t>
      </w:r>
      <w:r w:rsidRPr="00A4053E" w:rsidR="003C1C9D">
        <w:rPr>
          <w:color w:val="000000" w:themeColor="text1"/>
          <w:sz w:val="22"/>
          <w:szCs w:val="22"/>
        </w:rPr>
        <w:t>caused by foods account for 50,000-125,00 emergency room visits per year in the U.S. and that food allergic reactions commonly occur in restaurants, with prevalence estimates ranging from 14% to 47%.</w:t>
      </w:r>
      <w:r w:rsidRPr="00A4053E" w:rsidR="00043F0B">
        <w:rPr>
          <w:color w:val="000000" w:themeColor="text1"/>
          <w:sz w:val="22"/>
          <w:szCs w:val="22"/>
        </w:rPr>
        <w:t xml:space="preserve"> </w:t>
      </w:r>
    </w:p>
    <w:p w:rsidR="0083345F" w:rsidP="0083345F" w14:paraId="2D5BCF2A" w14:textId="77777777">
      <w:pPr>
        <w:autoSpaceDE w:val="0"/>
        <w:autoSpaceDN w:val="0"/>
        <w:adjustRightInd w:val="0"/>
        <w:rPr>
          <w:sz w:val="22"/>
          <w:szCs w:val="22"/>
        </w:rPr>
      </w:pPr>
      <w:r>
        <w:rPr>
          <w:color w:val="000000" w:themeColor="text1"/>
          <w:sz w:val="22"/>
          <w:szCs w:val="22"/>
        </w:rPr>
        <w:t xml:space="preserve">5. </w:t>
      </w:r>
      <w:r w:rsidRPr="00A4053E" w:rsidR="00043F0B">
        <w:rPr>
          <w:color w:val="000000" w:themeColor="text1"/>
          <w:sz w:val="22"/>
          <w:szCs w:val="22"/>
        </w:rPr>
        <w:t xml:space="preserve">The fifth study collected data on restaurant managers’ and </w:t>
      </w:r>
      <w:r w:rsidRPr="008F7801" w:rsidR="00043F0B">
        <w:rPr>
          <w:sz w:val="22"/>
          <w:szCs w:val="22"/>
        </w:rPr>
        <w:t xml:space="preserve">workers’ food safety attitudes, beliefs, and practices to assess restaurants’ food safety culture and its relationship to food safety practices. Recent </w:t>
      </w:r>
      <w:r w:rsidRPr="00256789" w:rsidR="00043F0B">
        <w:rPr>
          <w:sz w:val="22"/>
          <w:szCs w:val="22"/>
        </w:rPr>
        <w:t>research indicates that food safety culture may be an important component of restaurant food safety.</w:t>
      </w:r>
    </w:p>
    <w:p w:rsidR="0083345F" w:rsidP="0083345F" w14:paraId="2F3F624C" w14:textId="3B65412F">
      <w:pPr>
        <w:autoSpaceDE w:val="0"/>
        <w:autoSpaceDN w:val="0"/>
        <w:adjustRightInd w:val="0"/>
        <w:rPr>
          <w:sz w:val="22"/>
          <w:szCs w:val="22"/>
        </w:rPr>
      </w:pPr>
      <w:r w:rsidRPr="00256789">
        <w:rPr>
          <w:sz w:val="22"/>
          <w:szCs w:val="22"/>
        </w:rPr>
        <w:t xml:space="preserve"> </w:t>
      </w:r>
    </w:p>
    <w:p w:rsidR="003C1C9D" w:rsidRPr="008F7801" w:rsidP="0083345F" w14:paraId="73C625D9" w14:textId="04144051">
      <w:pPr>
        <w:autoSpaceDE w:val="0"/>
        <w:autoSpaceDN w:val="0"/>
        <w:adjustRightInd w:val="0"/>
        <w:rPr>
          <w:sz w:val="22"/>
          <w:szCs w:val="22"/>
        </w:rPr>
      </w:pPr>
      <w:r w:rsidRPr="00256789">
        <w:rPr>
          <w:sz w:val="22"/>
          <w:szCs w:val="22"/>
        </w:rPr>
        <w:t xml:space="preserve">Finally, </w:t>
      </w:r>
      <w:r w:rsidRPr="00256789" w:rsidR="00852DC3">
        <w:rPr>
          <w:sz w:val="22"/>
          <w:szCs w:val="22"/>
        </w:rPr>
        <w:t xml:space="preserve">EHS-Net recently received OMB clearance </w:t>
      </w:r>
      <w:r w:rsidRPr="00256789" w:rsidR="00953910">
        <w:rPr>
          <w:sz w:val="22"/>
          <w:szCs w:val="22"/>
        </w:rPr>
        <w:t>for a s</w:t>
      </w:r>
      <w:r w:rsidR="00B10B98">
        <w:rPr>
          <w:sz w:val="22"/>
          <w:szCs w:val="22"/>
        </w:rPr>
        <w:t>ixth</w:t>
      </w:r>
      <w:r w:rsidRPr="00256789" w:rsidR="00953910">
        <w:rPr>
          <w:sz w:val="22"/>
          <w:szCs w:val="22"/>
        </w:rPr>
        <w:t xml:space="preserve"> </w:t>
      </w:r>
      <w:r w:rsidRPr="00256789" w:rsidR="00852DC3">
        <w:rPr>
          <w:sz w:val="22"/>
          <w:szCs w:val="22"/>
        </w:rPr>
        <w:t xml:space="preserve">study to </w:t>
      </w:r>
      <w:r w:rsidRPr="00256789" w:rsidR="000A36A7">
        <w:rPr>
          <w:sz w:val="22"/>
          <w:szCs w:val="22"/>
        </w:rPr>
        <w:t>assess restaurants</w:t>
      </w:r>
      <w:r w:rsidRPr="00256789" w:rsidR="00852DC3">
        <w:rPr>
          <w:sz w:val="22"/>
          <w:szCs w:val="22"/>
        </w:rPr>
        <w:t>’</w:t>
      </w:r>
      <w:r w:rsidRPr="00256789" w:rsidR="000A36A7">
        <w:rPr>
          <w:sz w:val="22"/>
          <w:szCs w:val="22"/>
        </w:rPr>
        <w:t xml:space="preserve"> policies and practices regarding outbreak prevention and response</w:t>
      </w:r>
      <w:r w:rsidRPr="00256789" w:rsidR="00953910">
        <w:rPr>
          <w:sz w:val="22"/>
          <w:szCs w:val="22"/>
        </w:rPr>
        <w:t>.</w:t>
      </w:r>
      <w:r w:rsidRPr="008F7801" w:rsidR="00043F0B">
        <w:rPr>
          <w:sz w:val="22"/>
          <w:szCs w:val="22"/>
        </w:rPr>
        <w:t xml:space="preserve"> </w:t>
      </w:r>
    </w:p>
    <w:p w:rsidR="00163051" w:rsidRPr="008F7801" w:rsidP="00163051" w14:paraId="13A6DB70" w14:textId="77777777">
      <w:pPr>
        <w:autoSpaceDE w:val="0"/>
        <w:autoSpaceDN w:val="0"/>
        <w:adjustRightInd w:val="0"/>
        <w:rPr>
          <w:sz w:val="22"/>
          <w:szCs w:val="22"/>
        </w:rPr>
      </w:pPr>
    </w:p>
    <w:p w:rsidR="00163051" w:rsidRPr="008F7801" w:rsidP="00163051" w14:paraId="033D16DB" w14:textId="67AB1273">
      <w:pPr>
        <w:autoSpaceDE w:val="0"/>
        <w:autoSpaceDN w:val="0"/>
        <w:adjustRightInd w:val="0"/>
        <w:rPr>
          <w:bCs/>
          <w:sz w:val="22"/>
          <w:szCs w:val="22"/>
        </w:rPr>
      </w:pPr>
      <w:r w:rsidRPr="008F7801">
        <w:rPr>
          <w:sz w:val="22"/>
          <w:szCs w:val="22"/>
        </w:rPr>
        <w:t xml:space="preserve">The data from </w:t>
      </w:r>
      <w:r w:rsidRPr="008F7801" w:rsidR="009F1F58">
        <w:rPr>
          <w:sz w:val="22"/>
          <w:szCs w:val="22"/>
        </w:rPr>
        <w:t>these</w:t>
      </w:r>
      <w:r w:rsidRPr="008F7801">
        <w:rPr>
          <w:sz w:val="22"/>
          <w:szCs w:val="22"/>
        </w:rPr>
        <w:t xml:space="preserve"> studies have been disseminated to environmental public health/food safety regulatory programs and the food industry </w:t>
      </w:r>
      <w:r w:rsidR="00701FD9">
        <w:rPr>
          <w:sz w:val="22"/>
          <w:szCs w:val="22"/>
        </w:rPr>
        <w:t xml:space="preserve">in </w:t>
      </w:r>
      <w:r w:rsidRPr="008F7801" w:rsidR="00803488">
        <w:rPr>
          <w:sz w:val="22"/>
          <w:szCs w:val="22"/>
        </w:rPr>
        <w:t xml:space="preserve">peer-reviewed scientific journals, </w:t>
      </w:r>
      <w:r w:rsidRPr="008F7801" w:rsidR="009F1F58">
        <w:rPr>
          <w:sz w:val="22"/>
          <w:szCs w:val="22"/>
        </w:rPr>
        <w:t>multiple</w:t>
      </w:r>
      <w:r w:rsidRPr="008F7801" w:rsidR="00803488">
        <w:rPr>
          <w:sz w:val="22"/>
          <w:szCs w:val="22"/>
        </w:rPr>
        <w:t xml:space="preserve"> presentations at national food safety conferences, and on CDC’s website</w:t>
      </w:r>
      <w:r w:rsidRPr="008F7801" w:rsidR="009F1F58">
        <w:rPr>
          <w:sz w:val="22"/>
          <w:szCs w:val="22"/>
        </w:rPr>
        <w:t xml:space="preserve">. </w:t>
      </w:r>
      <w:r w:rsidRPr="008F7801">
        <w:rPr>
          <w:bCs/>
          <w:sz w:val="22"/>
          <w:szCs w:val="22"/>
        </w:rPr>
        <w:t xml:space="preserve">We are still analyzing the data </w:t>
      </w:r>
      <w:r w:rsidRPr="00767DA8">
        <w:rPr>
          <w:bCs/>
          <w:sz w:val="22"/>
          <w:szCs w:val="22"/>
        </w:rPr>
        <w:t>from</w:t>
      </w:r>
      <w:r w:rsidRPr="00767DA8" w:rsidR="009F1F58">
        <w:rPr>
          <w:bCs/>
          <w:sz w:val="22"/>
          <w:szCs w:val="22"/>
        </w:rPr>
        <w:t xml:space="preserve"> </w:t>
      </w:r>
      <w:r w:rsidR="00C410E5">
        <w:rPr>
          <w:bCs/>
          <w:sz w:val="22"/>
          <w:szCs w:val="22"/>
        </w:rPr>
        <w:t>one</w:t>
      </w:r>
      <w:r w:rsidRPr="008F7801" w:rsidR="009F1F58">
        <w:rPr>
          <w:bCs/>
          <w:sz w:val="22"/>
          <w:szCs w:val="22"/>
        </w:rPr>
        <w:t xml:space="preserve"> of these</w:t>
      </w:r>
      <w:r w:rsidRPr="008F7801">
        <w:rPr>
          <w:bCs/>
          <w:sz w:val="22"/>
          <w:szCs w:val="22"/>
        </w:rPr>
        <w:t xml:space="preserve"> studies</w:t>
      </w:r>
      <w:r w:rsidRPr="008F7801" w:rsidR="009F1F58">
        <w:rPr>
          <w:bCs/>
          <w:sz w:val="22"/>
          <w:szCs w:val="22"/>
        </w:rPr>
        <w:t xml:space="preserve"> </w:t>
      </w:r>
      <w:r w:rsidRPr="008F7801">
        <w:rPr>
          <w:bCs/>
          <w:sz w:val="22"/>
          <w:szCs w:val="22"/>
        </w:rPr>
        <w:t xml:space="preserve">and expect that they </w:t>
      </w:r>
      <w:r w:rsidRPr="008F7801">
        <w:rPr>
          <w:sz w:val="22"/>
          <w:szCs w:val="22"/>
        </w:rPr>
        <w:t xml:space="preserve">will continue to provide valuable and useful data about environmental factors associated with foodborne illness outbreaks and food safety issues. We will continue to disseminate the data through presentations at conferences and meetings, publications, and website postings. </w:t>
      </w:r>
    </w:p>
    <w:p w:rsidR="00163051" w:rsidRPr="008F7801" w:rsidP="00EB4488" w14:paraId="59A287C1" w14:textId="77777777">
      <w:pPr>
        <w:autoSpaceDE w:val="0"/>
        <w:autoSpaceDN w:val="0"/>
        <w:adjustRightInd w:val="0"/>
        <w:ind w:left="432" w:hanging="432"/>
        <w:rPr>
          <w:b/>
          <w:sz w:val="22"/>
          <w:szCs w:val="22"/>
        </w:rPr>
      </w:pPr>
    </w:p>
    <w:p w:rsidR="00577283" w:rsidRPr="008F7801" w:rsidP="00577283" w14:paraId="4B3ED9CC" w14:textId="10D4BA5B">
      <w:pPr>
        <w:autoSpaceDE w:val="0"/>
        <w:autoSpaceDN w:val="0"/>
        <w:adjustRightInd w:val="0"/>
        <w:rPr>
          <w:sz w:val="22"/>
          <w:szCs w:val="22"/>
        </w:rPr>
      </w:pPr>
      <w:r w:rsidRPr="008F7801">
        <w:rPr>
          <w:sz w:val="22"/>
          <w:szCs w:val="22"/>
        </w:rPr>
        <w:t xml:space="preserve">The current package differs from the previous package in </w:t>
      </w:r>
      <w:r w:rsidR="005D78A2">
        <w:rPr>
          <w:sz w:val="22"/>
          <w:szCs w:val="22"/>
        </w:rPr>
        <w:t>two</w:t>
      </w:r>
      <w:r w:rsidRPr="008F7801">
        <w:rPr>
          <w:sz w:val="22"/>
          <w:szCs w:val="22"/>
        </w:rPr>
        <w:t xml:space="preserve"> primary ways, described below.</w:t>
      </w:r>
    </w:p>
    <w:p w:rsidR="00577283" w:rsidRPr="008F7801" w:rsidP="00577283" w14:paraId="45363A0E" w14:textId="77777777">
      <w:pPr>
        <w:autoSpaceDE w:val="0"/>
        <w:autoSpaceDN w:val="0"/>
        <w:adjustRightInd w:val="0"/>
        <w:rPr>
          <w:sz w:val="22"/>
          <w:szCs w:val="22"/>
        </w:rPr>
      </w:pPr>
    </w:p>
    <w:p w:rsidR="005D78A2" w:rsidP="005D78A2" w14:paraId="4FEA1AB5" w14:textId="729C8B69">
      <w:pPr>
        <w:pStyle w:val="ListParagraph"/>
        <w:numPr>
          <w:ilvl w:val="0"/>
          <w:numId w:val="15"/>
        </w:numPr>
        <w:spacing w:after="120"/>
        <w:rPr>
          <w:sz w:val="22"/>
          <w:szCs w:val="22"/>
        </w:rPr>
      </w:pPr>
      <w:r w:rsidRPr="005D78A2">
        <w:rPr>
          <w:sz w:val="22"/>
          <w:szCs w:val="22"/>
        </w:rPr>
        <w:t>Potential for i</w:t>
      </w:r>
      <w:r w:rsidRPr="005D78A2" w:rsidR="006F43F8">
        <w:rPr>
          <w:sz w:val="22"/>
          <w:szCs w:val="22"/>
        </w:rPr>
        <w:t xml:space="preserve">nclusion of </w:t>
      </w:r>
      <w:r w:rsidRPr="005D78A2" w:rsidR="00FC5DC4">
        <w:rPr>
          <w:sz w:val="22"/>
          <w:szCs w:val="22"/>
        </w:rPr>
        <w:t xml:space="preserve">incentives </w:t>
      </w:r>
      <w:r w:rsidRPr="005D78A2" w:rsidR="00447CB4">
        <w:rPr>
          <w:sz w:val="22"/>
          <w:szCs w:val="22"/>
        </w:rPr>
        <w:t>for</w:t>
      </w:r>
      <w:r w:rsidRPr="005D78A2" w:rsidR="00FC5DC4">
        <w:rPr>
          <w:sz w:val="22"/>
          <w:szCs w:val="22"/>
        </w:rPr>
        <w:t xml:space="preserve"> participation in </w:t>
      </w:r>
      <w:r w:rsidRPr="005D78A2" w:rsidR="00555900">
        <w:rPr>
          <w:sz w:val="22"/>
          <w:szCs w:val="22"/>
        </w:rPr>
        <w:t>EHS-Net studies</w:t>
      </w:r>
      <w:r w:rsidRPr="005D78A2" w:rsidR="00447CB4">
        <w:rPr>
          <w:sz w:val="22"/>
          <w:szCs w:val="22"/>
        </w:rPr>
        <w:t>.</w:t>
      </w:r>
      <w:r w:rsidRPr="005D78A2" w:rsidR="004F08F9">
        <w:rPr>
          <w:sz w:val="22"/>
          <w:szCs w:val="22"/>
        </w:rPr>
        <w:t xml:space="preserve"> </w:t>
      </w:r>
      <w:r w:rsidRPr="005D78A2" w:rsidR="00D74429">
        <w:rPr>
          <w:sz w:val="22"/>
          <w:szCs w:val="22"/>
        </w:rPr>
        <w:t>Th</w:t>
      </w:r>
      <w:r w:rsidRPr="005D78A2" w:rsidR="00596DD5">
        <w:rPr>
          <w:sz w:val="22"/>
          <w:szCs w:val="22"/>
        </w:rPr>
        <w:t>is will not result in an increased</w:t>
      </w:r>
      <w:r w:rsidRPr="005D78A2" w:rsidR="004F08F9">
        <w:rPr>
          <w:sz w:val="22"/>
          <w:szCs w:val="22"/>
        </w:rPr>
        <w:t xml:space="preserve"> cost to the federal government </w:t>
      </w:r>
      <w:r w:rsidRPr="005D78A2" w:rsidR="00596DD5">
        <w:rPr>
          <w:sz w:val="22"/>
          <w:szCs w:val="22"/>
        </w:rPr>
        <w:t xml:space="preserve">because </w:t>
      </w:r>
      <w:r w:rsidRPr="005D78A2" w:rsidR="0043040F">
        <w:rPr>
          <w:sz w:val="22"/>
          <w:szCs w:val="22"/>
        </w:rPr>
        <w:t>the cost of incentives is included in the</w:t>
      </w:r>
      <w:r w:rsidRPr="005D78A2" w:rsidR="009750B6">
        <w:rPr>
          <w:sz w:val="22"/>
          <w:szCs w:val="22"/>
        </w:rPr>
        <w:t xml:space="preserve"> existing EHS-Net cooperative agreement.</w:t>
      </w:r>
    </w:p>
    <w:p w:rsidR="00A85537" w:rsidRPr="005D78A2" w:rsidP="005D78A2" w14:paraId="3AF0DF40" w14:textId="2B03E80E">
      <w:pPr>
        <w:pStyle w:val="ListParagraph"/>
        <w:numPr>
          <w:ilvl w:val="0"/>
          <w:numId w:val="15"/>
        </w:numPr>
        <w:rPr>
          <w:sz w:val="22"/>
          <w:szCs w:val="22"/>
        </w:rPr>
      </w:pPr>
      <w:r w:rsidRPr="005D78A2">
        <w:rPr>
          <w:sz w:val="22"/>
          <w:szCs w:val="22"/>
        </w:rPr>
        <w:t xml:space="preserve">The annual cost to the </w:t>
      </w:r>
      <w:r w:rsidRPr="005D78A2" w:rsidR="000A2A15">
        <w:rPr>
          <w:sz w:val="22"/>
          <w:szCs w:val="22"/>
        </w:rPr>
        <w:t xml:space="preserve">federal </w:t>
      </w:r>
      <w:r w:rsidRPr="005D78A2">
        <w:rPr>
          <w:sz w:val="22"/>
          <w:szCs w:val="22"/>
        </w:rPr>
        <w:t xml:space="preserve">government has increased by </w:t>
      </w:r>
      <w:r w:rsidRPr="005D78A2" w:rsidR="00B64844">
        <w:rPr>
          <w:sz w:val="22"/>
          <w:szCs w:val="22"/>
        </w:rPr>
        <w:t xml:space="preserve">a maximum of </w:t>
      </w:r>
      <w:r w:rsidRPr="005D78A2">
        <w:rPr>
          <w:sz w:val="22"/>
          <w:szCs w:val="22"/>
        </w:rPr>
        <w:t>$</w:t>
      </w:r>
      <w:r w:rsidRPr="005D78A2" w:rsidR="00B64844">
        <w:rPr>
          <w:sz w:val="22"/>
          <w:szCs w:val="22"/>
        </w:rPr>
        <w:t>614</w:t>
      </w:r>
      <w:r w:rsidRPr="005D78A2">
        <w:rPr>
          <w:sz w:val="22"/>
          <w:szCs w:val="22"/>
        </w:rPr>
        <w:t xml:space="preserve"> per year to </w:t>
      </w:r>
      <w:r w:rsidRPr="005D78A2" w:rsidR="00EB7265">
        <w:rPr>
          <w:sz w:val="22"/>
          <w:szCs w:val="22"/>
        </w:rPr>
        <w:t>cover the cost of</w:t>
      </w:r>
      <w:r w:rsidRPr="005D78A2" w:rsidR="000A2A15">
        <w:rPr>
          <w:sz w:val="22"/>
          <w:szCs w:val="22"/>
        </w:rPr>
        <w:t xml:space="preserve"> Spanish translation of the manager and worker interview forms</w:t>
      </w:r>
      <w:r w:rsidRPr="005D78A2" w:rsidR="00F27CFA">
        <w:rPr>
          <w:sz w:val="22"/>
          <w:szCs w:val="22"/>
        </w:rPr>
        <w:t xml:space="preserve"> by the CDC Multilingual Services Team.</w:t>
      </w:r>
      <w:bookmarkEnd w:id="1"/>
    </w:p>
    <w:p w:rsidR="00A85537" w:rsidRPr="00F27CFA" w:rsidP="005D78A2" w14:paraId="11D13FB8" w14:textId="77777777">
      <w:pPr>
        <w:pStyle w:val="ListParagraph"/>
      </w:pPr>
    </w:p>
    <w:p w:rsidR="00CC3730" w:rsidRPr="008F7801" w:rsidP="00EB4488" w14:paraId="1BB27E94" w14:textId="77777777">
      <w:pPr>
        <w:autoSpaceDE w:val="0"/>
        <w:autoSpaceDN w:val="0"/>
        <w:adjustRightInd w:val="0"/>
        <w:ind w:left="432" w:hanging="432"/>
        <w:rPr>
          <w:b/>
          <w:sz w:val="22"/>
          <w:szCs w:val="22"/>
        </w:rPr>
      </w:pPr>
      <w:r w:rsidRPr="008F7801">
        <w:rPr>
          <w:b/>
          <w:sz w:val="22"/>
          <w:szCs w:val="22"/>
        </w:rPr>
        <w:t>A.</w:t>
      </w:r>
      <w:r w:rsidRPr="008F7801">
        <w:rPr>
          <w:b/>
          <w:sz w:val="22"/>
          <w:szCs w:val="22"/>
        </w:rPr>
        <w:t xml:space="preserve">1. Circumstances Making the Collection of Information Necessary </w:t>
      </w:r>
    </w:p>
    <w:p w:rsidR="00486650" w:rsidRPr="008F7801" w:rsidP="00E51411" w14:paraId="29AEC1EB" w14:textId="77777777">
      <w:pPr>
        <w:rPr>
          <w:sz w:val="22"/>
          <w:szCs w:val="22"/>
        </w:rPr>
      </w:pPr>
      <w:bookmarkStart w:id="3" w:name="OLE_LINK1"/>
      <w:bookmarkStart w:id="4" w:name="OLE_LINK2"/>
    </w:p>
    <w:bookmarkEnd w:id="3"/>
    <w:bookmarkEnd w:id="4"/>
    <w:p w:rsidR="00CD00E7" w:rsidRPr="008F7801" w:rsidP="00EB4488" w14:paraId="30521928" w14:textId="3A028EE7">
      <w:pPr>
        <w:rPr>
          <w:sz w:val="22"/>
          <w:szCs w:val="22"/>
        </w:rPr>
      </w:pPr>
      <w:r w:rsidRPr="008F7801">
        <w:rPr>
          <w:iCs/>
          <w:sz w:val="22"/>
          <w:szCs w:val="22"/>
        </w:rPr>
        <w:t xml:space="preserve">The purpose of </w:t>
      </w:r>
      <w:r w:rsidRPr="008F7801" w:rsidR="00A53CDE">
        <w:rPr>
          <w:iCs/>
          <w:sz w:val="22"/>
          <w:szCs w:val="22"/>
        </w:rPr>
        <w:t xml:space="preserve">the information collection </w:t>
      </w:r>
      <w:r w:rsidRPr="008F7801" w:rsidR="00D322A7">
        <w:rPr>
          <w:iCs/>
          <w:sz w:val="22"/>
          <w:szCs w:val="22"/>
        </w:rPr>
        <w:t xml:space="preserve">is </w:t>
      </w:r>
      <w:r w:rsidRPr="008F7801" w:rsidR="00B32B3A">
        <w:rPr>
          <w:iCs/>
          <w:sz w:val="22"/>
          <w:szCs w:val="22"/>
        </w:rPr>
        <w:t xml:space="preserve">to </w:t>
      </w:r>
      <w:r w:rsidRPr="008F7801">
        <w:rPr>
          <w:sz w:val="22"/>
          <w:szCs w:val="22"/>
        </w:rPr>
        <w:t xml:space="preserve">identify and understand </w:t>
      </w:r>
      <w:r w:rsidR="00DF4082">
        <w:rPr>
          <w:sz w:val="22"/>
          <w:szCs w:val="22"/>
        </w:rPr>
        <w:t xml:space="preserve">the prevalence of </w:t>
      </w:r>
      <w:r w:rsidRPr="008F7801">
        <w:rPr>
          <w:sz w:val="22"/>
          <w:szCs w:val="22"/>
        </w:rPr>
        <w:t>environmental factors associated with foodborne illness</w:t>
      </w:r>
      <w:r w:rsidRPr="008F7801" w:rsidR="00174CDC">
        <w:rPr>
          <w:sz w:val="22"/>
          <w:szCs w:val="22"/>
        </w:rPr>
        <w:t xml:space="preserve"> outbreaks</w:t>
      </w:r>
      <w:r w:rsidRPr="008F7801" w:rsidR="006D6CBB">
        <w:rPr>
          <w:sz w:val="22"/>
          <w:szCs w:val="22"/>
        </w:rPr>
        <w:t>.</w:t>
      </w:r>
      <w:r w:rsidRPr="008F7801" w:rsidR="002F00DB">
        <w:rPr>
          <w:sz w:val="22"/>
          <w:szCs w:val="22"/>
        </w:rPr>
        <w:t xml:space="preserve"> </w:t>
      </w:r>
    </w:p>
    <w:p w:rsidR="00CD00E7" w:rsidRPr="008F7801" w:rsidP="00EB4488" w14:paraId="589BE3A1" w14:textId="77777777">
      <w:pPr>
        <w:rPr>
          <w:sz w:val="22"/>
          <w:szCs w:val="22"/>
        </w:rPr>
      </w:pPr>
    </w:p>
    <w:p w:rsidR="00551480" w:rsidRPr="008F7801" w:rsidP="00551480" w14:paraId="6F7877FE" w14:textId="27F90DB4">
      <w:pPr>
        <w:autoSpaceDE w:val="0"/>
        <w:autoSpaceDN w:val="0"/>
        <w:adjustRightInd w:val="0"/>
        <w:rPr>
          <w:sz w:val="22"/>
          <w:szCs w:val="22"/>
        </w:rPr>
      </w:pPr>
      <w:r w:rsidRPr="008F7801">
        <w:rPr>
          <w:sz w:val="22"/>
          <w:szCs w:val="22"/>
        </w:rPr>
        <w:t>This research program is conducted by the Environmental Health Specialists Network (EHS-Net), a collaborative project of the Centers for Disease Control and Prevention (CDC), the U.S. Food and Drug Administration (FDA), the U.S. Depar</w:t>
      </w:r>
      <w:r w:rsidRPr="008F7801" w:rsidR="005261AD">
        <w:rPr>
          <w:sz w:val="22"/>
          <w:szCs w:val="22"/>
        </w:rPr>
        <w:t xml:space="preserve">tment of Agriculture (USDA), </w:t>
      </w:r>
      <w:r w:rsidRPr="008F7801">
        <w:rPr>
          <w:sz w:val="22"/>
          <w:szCs w:val="22"/>
        </w:rPr>
        <w:t>and</w:t>
      </w:r>
      <w:r w:rsidRPr="008F7801" w:rsidR="009E2F54">
        <w:rPr>
          <w:sz w:val="22"/>
          <w:szCs w:val="22"/>
        </w:rPr>
        <w:t xml:space="preserve"> state and local </w:t>
      </w:r>
      <w:r w:rsidR="001B1569">
        <w:rPr>
          <w:sz w:val="22"/>
          <w:szCs w:val="22"/>
        </w:rPr>
        <w:t>health departments</w:t>
      </w:r>
      <w:r w:rsidRPr="008F7801" w:rsidR="009E2F54">
        <w:rPr>
          <w:sz w:val="22"/>
          <w:szCs w:val="22"/>
        </w:rPr>
        <w:t xml:space="preserve">. </w:t>
      </w:r>
      <w:r w:rsidRPr="008F7801" w:rsidR="00163051">
        <w:rPr>
          <w:sz w:val="22"/>
          <w:szCs w:val="22"/>
        </w:rPr>
        <w:t xml:space="preserve">It is funded by the CDC’s National Center for Environmental Health, </w:t>
      </w:r>
      <w:r w:rsidRPr="008F7801">
        <w:rPr>
          <w:sz w:val="22"/>
          <w:szCs w:val="22"/>
        </w:rPr>
        <w:t xml:space="preserve">Water, Food, and </w:t>
      </w:r>
      <w:r w:rsidRPr="008F7801" w:rsidR="00163051">
        <w:rPr>
          <w:sz w:val="22"/>
          <w:szCs w:val="22"/>
        </w:rPr>
        <w:t xml:space="preserve">Environmental Health Services Branch. </w:t>
      </w:r>
      <w:r w:rsidRPr="008F7801" w:rsidR="009E2F54">
        <w:rPr>
          <w:sz w:val="22"/>
          <w:szCs w:val="22"/>
        </w:rPr>
        <w:t>The federal partners provide funding and input into study design and data analysis. The s</w:t>
      </w:r>
      <w:r w:rsidR="009F3BE8">
        <w:rPr>
          <w:sz w:val="22"/>
          <w:szCs w:val="22"/>
        </w:rPr>
        <w:t>tate and local</w:t>
      </w:r>
      <w:r w:rsidRPr="008F7801" w:rsidR="009E2F54">
        <w:rPr>
          <w:sz w:val="22"/>
          <w:szCs w:val="22"/>
        </w:rPr>
        <w:t xml:space="preserve"> partners, funded by CDC, work with CDC to design studies, and collect and analyze data from these studies. </w:t>
      </w:r>
    </w:p>
    <w:p w:rsidR="009E2F54" w:rsidRPr="008F7801" w:rsidP="00EB4488" w14:paraId="7BA049AD" w14:textId="77777777">
      <w:pPr>
        <w:rPr>
          <w:sz w:val="22"/>
          <w:szCs w:val="22"/>
        </w:rPr>
      </w:pPr>
    </w:p>
    <w:p w:rsidR="004D51F4" w:rsidRPr="008F7801" w:rsidP="00714089" w14:paraId="4F375C2C" w14:textId="2754CF74">
      <w:pPr>
        <w:pStyle w:val="ListParagraph"/>
        <w:ind w:left="0"/>
        <w:contextualSpacing/>
        <w:rPr>
          <w:sz w:val="22"/>
          <w:szCs w:val="22"/>
        </w:rPr>
      </w:pPr>
      <w:r w:rsidRPr="008F7801">
        <w:rPr>
          <w:sz w:val="22"/>
          <w:szCs w:val="22"/>
        </w:rPr>
        <w:t>Research indicates</w:t>
      </w:r>
      <w:r w:rsidRPr="008F7801" w:rsidR="00CD00E7">
        <w:rPr>
          <w:sz w:val="22"/>
          <w:szCs w:val="22"/>
        </w:rPr>
        <w:t xml:space="preserve"> that </w:t>
      </w:r>
      <w:r w:rsidRPr="008F7801" w:rsidR="00881CEC">
        <w:rPr>
          <w:sz w:val="22"/>
          <w:szCs w:val="22"/>
        </w:rPr>
        <w:t>retail food establishments</w:t>
      </w:r>
      <w:r w:rsidRPr="008F7801" w:rsidR="00CD00E7">
        <w:rPr>
          <w:sz w:val="22"/>
          <w:szCs w:val="22"/>
        </w:rPr>
        <w:t xml:space="preserve"> a</w:t>
      </w:r>
      <w:r w:rsidRPr="008F7801" w:rsidR="00D322A7">
        <w:rPr>
          <w:sz w:val="22"/>
          <w:szCs w:val="22"/>
        </w:rPr>
        <w:t>re an important source of food</w:t>
      </w:r>
      <w:r w:rsidRPr="008F7801" w:rsidR="00CD00E7">
        <w:rPr>
          <w:sz w:val="22"/>
          <w:szCs w:val="22"/>
        </w:rPr>
        <w:t>borne illnesses</w:t>
      </w:r>
      <w:r w:rsidRPr="008F7801">
        <w:rPr>
          <w:sz w:val="22"/>
          <w:szCs w:val="22"/>
        </w:rPr>
        <w:t xml:space="preserve"> and outbreaks</w:t>
      </w:r>
      <w:r w:rsidRPr="008F7801" w:rsidR="00CD00E7">
        <w:rPr>
          <w:sz w:val="22"/>
          <w:szCs w:val="22"/>
        </w:rPr>
        <w:t xml:space="preserve">. </w:t>
      </w:r>
      <w:r w:rsidRPr="008F7801" w:rsidR="004239A2">
        <w:rPr>
          <w:sz w:val="22"/>
          <w:szCs w:val="22"/>
        </w:rPr>
        <w:t xml:space="preserve"> </w:t>
      </w:r>
      <w:r w:rsidR="002564D6">
        <w:rPr>
          <w:sz w:val="22"/>
          <w:szCs w:val="22"/>
        </w:rPr>
        <w:t xml:space="preserve">Surveillance for foodborne outbreaks has </w:t>
      </w:r>
      <w:r w:rsidR="006F65E1">
        <w:rPr>
          <w:sz w:val="22"/>
          <w:szCs w:val="22"/>
        </w:rPr>
        <w:t>identified restaurants as the primary setting for single-setting</w:t>
      </w:r>
      <w:r w:rsidR="00047A19">
        <w:rPr>
          <w:sz w:val="22"/>
          <w:szCs w:val="22"/>
        </w:rPr>
        <w:t xml:space="preserve"> foodborne outbreaks </w:t>
      </w:r>
      <w:r w:rsidRPr="008F7801" w:rsidR="004239A2">
        <w:rPr>
          <w:sz w:val="22"/>
          <w:szCs w:val="22"/>
        </w:rPr>
        <w:t>(</w:t>
      </w:r>
      <w:r w:rsidR="0009575D">
        <w:rPr>
          <w:sz w:val="22"/>
          <w:szCs w:val="22"/>
        </w:rPr>
        <w:t xml:space="preserve">White </w:t>
      </w:r>
      <w:r w:rsidR="003836FA">
        <w:rPr>
          <w:sz w:val="22"/>
          <w:szCs w:val="22"/>
        </w:rPr>
        <w:t xml:space="preserve">et al., </w:t>
      </w:r>
      <w:r w:rsidR="0009575D">
        <w:rPr>
          <w:sz w:val="22"/>
          <w:szCs w:val="22"/>
        </w:rPr>
        <w:t>2022</w:t>
      </w:r>
      <w:r w:rsidR="00516F18">
        <w:rPr>
          <w:sz w:val="22"/>
          <w:szCs w:val="22"/>
        </w:rPr>
        <w:t>; Jones and Angulo, 2006</w:t>
      </w:r>
      <w:r w:rsidRPr="008F7801" w:rsidR="004239A2">
        <w:rPr>
          <w:sz w:val="22"/>
          <w:szCs w:val="22"/>
        </w:rPr>
        <w:t xml:space="preserve">). </w:t>
      </w:r>
      <w:r w:rsidRPr="008F7801" w:rsidR="00CD00E7">
        <w:rPr>
          <w:sz w:val="22"/>
          <w:szCs w:val="22"/>
        </w:rPr>
        <w:t xml:space="preserve">Thus, our data collection efforts </w:t>
      </w:r>
      <w:r w:rsidRPr="008F7801" w:rsidR="00B52F23">
        <w:rPr>
          <w:sz w:val="22"/>
          <w:szCs w:val="22"/>
        </w:rPr>
        <w:t xml:space="preserve">have focused </w:t>
      </w:r>
      <w:r w:rsidRPr="008F7801" w:rsidR="00CD00E7">
        <w:rPr>
          <w:sz w:val="22"/>
          <w:szCs w:val="22"/>
        </w:rPr>
        <w:t xml:space="preserve">on retail food establishments. </w:t>
      </w:r>
    </w:p>
    <w:p w:rsidR="004D51F4" w:rsidRPr="008F7801" w:rsidP="00714089" w14:paraId="19D7D43C" w14:textId="77777777">
      <w:pPr>
        <w:pStyle w:val="ListParagraph"/>
        <w:ind w:left="0"/>
        <w:contextualSpacing/>
        <w:rPr>
          <w:sz w:val="22"/>
          <w:szCs w:val="22"/>
        </w:rPr>
      </w:pPr>
    </w:p>
    <w:p w:rsidR="00CD00E7" w:rsidRPr="008F7801" w:rsidP="00965CD1" w14:paraId="07F5C9E2" w14:textId="1BC438DA">
      <w:pPr>
        <w:pStyle w:val="NormalWeb"/>
        <w:spacing w:before="0" w:beforeAutospacing="0" w:after="0" w:afterAutospacing="0"/>
        <w:rPr>
          <w:rFonts w:ascii="Times New Roman" w:hAnsi="Times New Roman"/>
          <w:sz w:val="22"/>
          <w:szCs w:val="22"/>
        </w:rPr>
      </w:pPr>
      <w:r w:rsidRPr="008F7801">
        <w:rPr>
          <w:rFonts w:ascii="Times New Roman" w:hAnsi="Times New Roman"/>
          <w:sz w:val="22"/>
          <w:szCs w:val="22"/>
        </w:rPr>
        <w:t xml:space="preserve">Environmental factors associated with foodborne illness include </w:t>
      </w:r>
      <w:r w:rsidRPr="008F7801" w:rsidR="0038225E">
        <w:rPr>
          <w:rFonts w:ascii="Times New Roman" w:hAnsi="Times New Roman"/>
          <w:sz w:val="22"/>
          <w:szCs w:val="22"/>
        </w:rPr>
        <w:t>both food handling</w:t>
      </w:r>
      <w:r w:rsidR="002C5614">
        <w:rPr>
          <w:rFonts w:ascii="Times New Roman" w:hAnsi="Times New Roman"/>
          <w:sz w:val="22"/>
          <w:szCs w:val="22"/>
        </w:rPr>
        <w:t>,</w:t>
      </w:r>
      <w:r w:rsidRPr="008F7801" w:rsidR="0038225E">
        <w:rPr>
          <w:rFonts w:ascii="Times New Roman" w:hAnsi="Times New Roman"/>
          <w:sz w:val="22"/>
          <w:szCs w:val="22"/>
        </w:rPr>
        <w:t xml:space="preserve"> food safety practices </w:t>
      </w:r>
      <w:r w:rsidRPr="008F7801" w:rsidR="0055338C">
        <w:rPr>
          <w:rFonts w:ascii="Times New Roman" w:hAnsi="Times New Roman"/>
          <w:sz w:val="22"/>
          <w:szCs w:val="22"/>
        </w:rPr>
        <w:t xml:space="preserve">and behaviors </w:t>
      </w:r>
      <w:r w:rsidRPr="008F7801" w:rsidR="0038225E">
        <w:rPr>
          <w:rFonts w:ascii="Times New Roman" w:hAnsi="Times New Roman"/>
          <w:sz w:val="22"/>
          <w:szCs w:val="22"/>
        </w:rPr>
        <w:t>(e.g., inadequate cooking and cleaning practices)</w:t>
      </w:r>
      <w:r w:rsidR="002C5614">
        <w:rPr>
          <w:rFonts w:ascii="Times New Roman" w:hAnsi="Times New Roman"/>
          <w:sz w:val="22"/>
          <w:szCs w:val="22"/>
        </w:rPr>
        <w:t>,</w:t>
      </w:r>
      <w:r w:rsidRPr="008F7801" w:rsidR="0038225E">
        <w:rPr>
          <w:rFonts w:ascii="Times New Roman" w:hAnsi="Times New Roman"/>
          <w:sz w:val="22"/>
          <w:szCs w:val="22"/>
        </w:rPr>
        <w:t xml:space="preserve"> and the factors in the environment associated with those practices (e.g., worker characteristics, </w:t>
      </w:r>
      <w:r w:rsidRPr="008F7801" w:rsidR="008141A9">
        <w:rPr>
          <w:rFonts w:ascii="Times New Roman" w:hAnsi="Times New Roman"/>
          <w:sz w:val="22"/>
          <w:szCs w:val="22"/>
        </w:rPr>
        <w:t xml:space="preserve">such as </w:t>
      </w:r>
      <w:r w:rsidRPr="008F7801" w:rsidR="008141A9">
        <w:rPr>
          <w:rFonts w:ascii="Times New Roman" w:hAnsi="Times New Roman"/>
          <w:bCs/>
          <w:sz w:val="22"/>
          <w:szCs w:val="22"/>
        </w:rPr>
        <w:t xml:space="preserve">lack of </w:t>
      </w:r>
      <w:r w:rsidRPr="008F7801" w:rsidR="007E68A5">
        <w:rPr>
          <w:rFonts w:ascii="Times New Roman" w:hAnsi="Times New Roman"/>
          <w:bCs/>
          <w:sz w:val="22"/>
          <w:szCs w:val="22"/>
        </w:rPr>
        <w:t xml:space="preserve">worker </w:t>
      </w:r>
      <w:r w:rsidRPr="008F7801" w:rsidR="0038225E">
        <w:rPr>
          <w:rFonts w:ascii="Times New Roman" w:hAnsi="Times New Roman"/>
          <w:bCs/>
          <w:sz w:val="22"/>
          <w:szCs w:val="22"/>
        </w:rPr>
        <w:t>food safety knowledge</w:t>
      </w:r>
      <w:r w:rsidRPr="008F7801" w:rsidR="0055338C">
        <w:rPr>
          <w:rFonts w:ascii="Times New Roman" w:hAnsi="Times New Roman"/>
          <w:bCs/>
          <w:sz w:val="22"/>
          <w:szCs w:val="22"/>
        </w:rPr>
        <w:t>;</w:t>
      </w:r>
      <w:r w:rsidRPr="008F7801" w:rsidR="0038225E">
        <w:rPr>
          <w:rFonts w:ascii="Times New Roman" w:hAnsi="Times New Roman"/>
          <w:bCs/>
          <w:sz w:val="22"/>
          <w:szCs w:val="22"/>
        </w:rPr>
        <w:t xml:space="preserve"> and establishment characteristics, such as</w:t>
      </w:r>
      <w:r w:rsidRPr="008F7801" w:rsidR="008141A9">
        <w:rPr>
          <w:rFonts w:ascii="Times New Roman" w:hAnsi="Times New Roman"/>
          <w:bCs/>
          <w:sz w:val="22"/>
          <w:szCs w:val="22"/>
        </w:rPr>
        <w:t xml:space="preserve"> lack of </w:t>
      </w:r>
      <w:r w:rsidRPr="008F7801" w:rsidR="0055338C">
        <w:rPr>
          <w:rFonts w:ascii="Times New Roman" w:hAnsi="Times New Roman"/>
          <w:bCs/>
          <w:sz w:val="22"/>
          <w:szCs w:val="22"/>
        </w:rPr>
        <w:t>food safety</w:t>
      </w:r>
      <w:r w:rsidRPr="008F7801" w:rsidR="007E68A5">
        <w:rPr>
          <w:rFonts w:ascii="Times New Roman" w:hAnsi="Times New Roman"/>
          <w:bCs/>
          <w:sz w:val="22"/>
          <w:szCs w:val="22"/>
        </w:rPr>
        <w:t xml:space="preserve"> </w:t>
      </w:r>
      <w:r w:rsidRPr="008F7801" w:rsidR="008141A9">
        <w:rPr>
          <w:rFonts w:ascii="Times New Roman" w:hAnsi="Times New Roman"/>
          <w:bCs/>
          <w:sz w:val="22"/>
          <w:szCs w:val="22"/>
        </w:rPr>
        <w:t>policies and lack of adequate equipment</w:t>
      </w:r>
      <w:r w:rsidRPr="008F7801" w:rsidR="0055338C">
        <w:rPr>
          <w:rFonts w:ascii="Times New Roman" w:hAnsi="Times New Roman"/>
          <w:bCs/>
          <w:sz w:val="22"/>
          <w:szCs w:val="22"/>
        </w:rPr>
        <w:t>)</w:t>
      </w:r>
      <w:r w:rsidRPr="008F7801" w:rsidR="008141A9">
        <w:rPr>
          <w:rFonts w:ascii="Times New Roman" w:hAnsi="Times New Roman"/>
          <w:bCs/>
          <w:sz w:val="22"/>
          <w:szCs w:val="22"/>
        </w:rPr>
        <w:t>.</w:t>
      </w:r>
      <w:r w:rsidRPr="008F7801" w:rsidR="007E68A5">
        <w:rPr>
          <w:rFonts w:ascii="Times New Roman" w:hAnsi="Times New Roman"/>
          <w:bCs/>
          <w:sz w:val="22"/>
          <w:szCs w:val="22"/>
        </w:rPr>
        <w:t xml:space="preserve"> </w:t>
      </w:r>
      <w:r w:rsidRPr="008F7801">
        <w:rPr>
          <w:rFonts w:ascii="Times New Roman" w:hAnsi="Times New Roman"/>
          <w:sz w:val="22"/>
          <w:szCs w:val="22"/>
        </w:rPr>
        <w:t xml:space="preserve">To </w:t>
      </w:r>
      <w:r w:rsidRPr="008F7801" w:rsidR="007E68A5">
        <w:rPr>
          <w:rFonts w:ascii="Times New Roman" w:hAnsi="Times New Roman"/>
          <w:sz w:val="22"/>
          <w:szCs w:val="22"/>
        </w:rPr>
        <w:t xml:space="preserve">understand these environmental factors, we need to collect data from those who store, </w:t>
      </w:r>
      <w:r w:rsidRPr="008F7801" w:rsidR="007E68A5">
        <w:rPr>
          <w:rFonts w:ascii="Times New Roman" w:hAnsi="Times New Roman"/>
          <w:sz w:val="22"/>
          <w:szCs w:val="22"/>
        </w:rPr>
        <w:t>prepare</w:t>
      </w:r>
      <w:r w:rsidRPr="008F7801" w:rsidR="007E68A5">
        <w:rPr>
          <w:rFonts w:ascii="Times New Roman" w:hAnsi="Times New Roman"/>
          <w:sz w:val="22"/>
          <w:szCs w:val="22"/>
        </w:rPr>
        <w:t xml:space="preserve"> and cook food </w:t>
      </w:r>
      <w:r w:rsidRPr="008F7801" w:rsidR="00965CD1">
        <w:rPr>
          <w:rFonts w:ascii="Times New Roman" w:hAnsi="Times New Roman"/>
          <w:sz w:val="22"/>
          <w:szCs w:val="22"/>
        </w:rPr>
        <w:t xml:space="preserve">(i.e., food workers) </w:t>
      </w:r>
      <w:r w:rsidRPr="008F7801" w:rsidR="007E68A5">
        <w:rPr>
          <w:rFonts w:ascii="Times New Roman" w:hAnsi="Times New Roman"/>
          <w:sz w:val="22"/>
          <w:szCs w:val="22"/>
        </w:rPr>
        <w:t>and on the environments in which the food is stored, prepared, and cooked</w:t>
      </w:r>
      <w:r w:rsidRPr="008F7801" w:rsidR="00965CD1">
        <w:rPr>
          <w:rFonts w:ascii="Times New Roman" w:hAnsi="Times New Roman"/>
          <w:sz w:val="22"/>
          <w:szCs w:val="22"/>
        </w:rPr>
        <w:t xml:space="preserve"> (i.e., retail food establishment kitchens)</w:t>
      </w:r>
      <w:r w:rsidRPr="008F7801" w:rsidR="007E68A5">
        <w:rPr>
          <w:rFonts w:ascii="Times New Roman" w:hAnsi="Times New Roman"/>
          <w:sz w:val="22"/>
          <w:szCs w:val="22"/>
        </w:rPr>
        <w:t xml:space="preserve">. </w:t>
      </w:r>
      <w:r w:rsidRPr="008F7801" w:rsidR="00965CD1">
        <w:rPr>
          <w:rFonts w:ascii="Times New Roman" w:hAnsi="Times New Roman"/>
          <w:sz w:val="22"/>
          <w:szCs w:val="22"/>
        </w:rPr>
        <w:t>Thus, d</w:t>
      </w:r>
      <w:r w:rsidRPr="008F7801" w:rsidR="00714089">
        <w:rPr>
          <w:rFonts w:ascii="Times New Roman" w:hAnsi="Times New Roman"/>
          <w:sz w:val="22"/>
          <w:szCs w:val="22"/>
        </w:rPr>
        <w:t xml:space="preserve">ata collection methods </w:t>
      </w:r>
      <w:r w:rsidRPr="008F7801" w:rsidR="00965CD1">
        <w:rPr>
          <w:rFonts w:ascii="Times New Roman" w:hAnsi="Times New Roman"/>
          <w:sz w:val="22"/>
          <w:szCs w:val="22"/>
        </w:rPr>
        <w:t xml:space="preserve">for this generic package </w:t>
      </w:r>
      <w:r w:rsidRPr="008F7801" w:rsidR="00714089">
        <w:rPr>
          <w:rFonts w:ascii="Times New Roman" w:hAnsi="Times New Roman"/>
          <w:sz w:val="22"/>
          <w:szCs w:val="22"/>
        </w:rPr>
        <w:t xml:space="preserve">include: 1) </w:t>
      </w:r>
      <w:r w:rsidRPr="008F7801" w:rsidR="00174CDC">
        <w:rPr>
          <w:rFonts w:ascii="Times New Roman" w:hAnsi="Times New Roman"/>
          <w:sz w:val="22"/>
          <w:szCs w:val="22"/>
        </w:rPr>
        <w:t xml:space="preserve">manager and </w:t>
      </w:r>
      <w:r w:rsidRPr="008F7801" w:rsidR="00714089">
        <w:rPr>
          <w:rFonts w:ascii="Times New Roman" w:hAnsi="Times New Roman"/>
          <w:sz w:val="22"/>
          <w:szCs w:val="22"/>
        </w:rPr>
        <w:t>worker interviews/</w:t>
      </w:r>
      <w:r w:rsidRPr="008F7801" w:rsidR="0000053E">
        <w:rPr>
          <w:rFonts w:ascii="Times New Roman" w:hAnsi="Times New Roman"/>
          <w:sz w:val="22"/>
          <w:szCs w:val="22"/>
        </w:rPr>
        <w:t xml:space="preserve">pen-and-paper </w:t>
      </w:r>
      <w:r w:rsidRPr="008F7801" w:rsidR="008520EC">
        <w:rPr>
          <w:rFonts w:ascii="Times New Roman" w:hAnsi="Times New Roman"/>
          <w:sz w:val="22"/>
          <w:szCs w:val="22"/>
        </w:rPr>
        <w:t>assessments</w:t>
      </w:r>
      <w:r w:rsidRPr="008F7801" w:rsidR="00714089">
        <w:rPr>
          <w:rFonts w:ascii="Times New Roman" w:hAnsi="Times New Roman"/>
          <w:sz w:val="22"/>
          <w:szCs w:val="22"/>
        </w:rPr>
        <w:t xml:space="preserve">, and 2) observation of kitchen environments. </w:t>
      </w:r>
      <w:r w:rsidRPr="008F7801" w:rsidR="00965CD1">
        <w:rPr>
          <w:rFonts w:ascii="Times New Roman" w:hAnsi="Times New Roman"/>
          <w:sz w:val="22"/>
          <w:szCs w:val="22"/>
        </w:rPr>
        <w:t xml:space="preserve">Both methods allow data collection on </w:t>
      </w:r>
      <w:r w:rsidRPr="008F7801" w:rsidR="0055338C">
        <w:rPr>
          <w:rFonts w:ascii="Times New Roman" w:hAnsi="Times New Roman"/>
          <w:sz w:val="22"/>
          <w:szCs w:val="22"/>
        </w:rPr>
        <w:t xml:space="preserve">food handling and food safety practices and </w:t>
      </w:r>
      <w:r w:rsidRPr="008F7801" w:rsidR="0055338C">
        <w:rPr>
          <w:rFonts w:ascii="Times New Roman" w:hAnsi="Times New Roman"/>
          <w:sz w:val="22"/>
          <w:szCs w:val="22"/>
        </w:rPr>
        <w:t>behaviors and environmental factors associated with those practices, such as worker and establishment characteristics.</w:t>
      </w:r>
    </w:p>
    <w:p w:rsidR="0038225E" w:rsidRPr="008F7801" w:rsidP="004E7589" w14:paraId="7B4E8C89" w14:textId="77777777">
      <w:pPr>
        <w:rPr>
          <w:sz w:val="22"/>
          <w:szCs w:val="22"/>
        </w:rPr>
      </w:pPr>
    </w:p>
    <w:p w:rsidR="004E7589" w:rsidRPr="008F7801" w:rsidP="004E7589" w14:paraId="0F724EC5" w14:textId="4266C403">
      <w:pPr>
        <w:rPr>
          <w:sz w:val="22"/>
          <w:szCs w:val="22"/>
        </w:rPr>
      </w:pPr>
      <w:r w:rsidRPr="008F7801">
        <w:rPr>
          <w:sz w:val="22"/>
          <w:szCs w:val="22"/>
        </w:rPr>
        <w:t>EHS-Net</w:t>
      </w:r>
      <w:r w:rsidR="00E576B9">
        <w:rPr>
          <w:sz w:val="22"/>
          <w:szCs w:val="22"/>
        </w:rPr>
        <w:t xml:space="preserve"> personnel</w:t>
      </w:r>
      <w:r w:rsidRPr="008F7801">
        <w:rPr>
          <w:sz w:val="22"/>
          <w:szCs w:val="22"/>
        </w:rPr>
        <w:t xml:space="preserve"> </w:t>
      </w:r>
      <w:r w:rsidR="00D25FD4">
        <w:rPr>
          <w:sz w:val="22"/>
          <w:szCs w:val="22"/>
        </w:rPr>
        <w:t xml:space="preserve">often collect timely data </w:t>
      </w:r>
      <w:r w:rsidR="00EF43D1">
        <w:rPr>
          <w:sz w:val="22"/>
          <w:szCs w:val="22"/>
        </w:rPr>
        <w:t>on factors that lead to foodborne illness outbreaks</w:t>
      </w:r>
      <w:r w:rsidRPr="008F7801">
        <w:rPr>
          <w:sz w:val="22"/>
          <w:szCs w:val="22"/>
        </w:rPr>
        <w:t xml:space="preserve">. </w:t>
      </w:r>
      <w:r w:rsidR="00EF43D1">
        <w:rPr>
          <w:sz w:val="22"/>
          <w:szCs w:val="22"/>
        </w:rPr>
        <w:t>Such data</w:t>
      </w:r>
      <w:r w:rsidRPr="008F7801">
        <w:rPr>
          <w:sz w:val="22"/>
          <w:szCs w:val="22"/>
        </w:rPr>
        <w:t xml:space="preserve"> are essential to environmental public health regulators’ efforts to </w:t>
      </w:r>
      <w:r w:rsidR="00D002D5">
        <w:rPr>
          <w:sz w:val="22"/>
          <w:szCs w:val="22"/>
        </w:rPr>
        <w:t xml:space="preserve">understand and </w:t>
      </w:r>
      <w:r w:rsidRPr="008F7801">
        <w:rPr>
          <w:sz w:val="22"/>
          <w:szCs w:val="22"/>
        </w:rPr>
        <w:t xml:space="preserve">respond to outbreaks and prevent future, similar outbreaks. </w:t>
      </w:r>
      <w:r w:rsidR="0097549D">
        <w:rPr>
          <w:sz w:val="22"/>
          <w:szCs w:val="22"/>
        </w:rPr>
        <w:t xml:space="preserve">EHS-Net is the best mechanism </w:t>
      </w:r>
      <w:r w:rsidR="00BF5B75">
        <w:rPr>
          <w:sz w:val="22"/>
          <w:szCs w:val="22"/>
        </w:rPr>
        <w:t>to respond to this need, d</w:t>
      </w:r>
      <w:r w:rsidRPr="008F7801">
        <w:rPr>
          <w:sz w:val="22"/>
          <w:szCs w:val="22"/>
        </w:rPr>
        <w:t>ue to its</w:t>
      </w:r>
      <w:r w:rsidRPr="008F7801" w:rsidR="00EE57E5">
        <w:rPr>
          <w:sz w:val="22"/>
          <w:szCs w:val="22"/>
        </w:rPr>
        <w:t xml:space="preserve"> </w:t>
      </w:r>
      <w:r w:rsidRPr="008F7801">
        <w:rPr>
          <w:sz w:val="22"/>
          <w:szCs w:val="22"/>
        </w:rPr>
        <w:t xml:space="preserve">composition of state and federal environmental public health regulators, </w:t>
      </w:r>
      <w:r w:rsidRPr="008F7801" w:rsidR="00EE57E5">
        <w:rPr>
          <w:sz w:val="22"/>
          <w:szCs w:val="22"/>
        </w:rPr>
        <w:t xml:space="preserve">which leads to unique expertise and ability </w:t>
      </w:r>
      <w:r w:rsidR="00E5647C">
        <w:rPr>
          <w:sz w:val="22"/>
          <w:szCs w:val="22"/>
        </w:rPr>
        <w:t>to</w:t>
      </w:r>
      <w:r w:rsidRPr="008F7801" w:rsidR="00EE57E5">
        <w:rPr>
          <w:sz w:val="22"/>
          <w:szCs w:val="22"/>
        </w:rPr>
        <w:t xml:space="preserve"> collect data on environmental factors in retail food establishments</w:t>
      </w:r>
      <w:r w:rsidRPr="008F7801">
        <w:rPr>
          <w:sz w:val="22"/>
          <w:szCs w:val="22"/>
        </w:rPr>
        <w:t>. EHS-Net data collections are designed to provide data on environmental factors associated with foodborne illness outbreaks and answer specific questions related to the causes of outbreaks. This information is then used to assist environmental public health regulatory programs in responding more effectively to outbreaks and in developing effective prevention recommendations and actions to prevent future outbreaks.</w:t>
      </w:r>
    </w:p>
    <w:p w:rsidR="004E7589" w:rsidRPr="008F7801" w:rsidP="004E7589" w14:paraId="2F449DBB" w14:textId="77777777">
      <w:pPr>
        <w:rPr>
          <w:sz w:val="22"/>
          <w:szCs w:val="22"/>
        </w:rPr>
      </w:pPr>
    </w:p>
    <w:p w:rsidR="001A38E5" w:rsidRPr="008F7801" w:rsidP="00EB4488" w14:paraId="7663D151" w14:textId="10829C60">
      <w:pPr>
        <w:rPr>
          <w:sz w:val="22"/>
          <w:szCs w:val="22"/>
        </w:rPr>
      </w:pPr>
      <w:r w:rsidRPr="008F7801">
        <w:rPr>
          <w:sz w:val="22"/>
          <w:szCs w:val="22"/>
        </w:rPr>
        <w:t xml:space="preserve">EHS-Net’s </w:t>
      </w:r>
      <w:r w:rsidRPr="008F7801" w:rsidR="000E39D7">
        <w:rPr>
          <w:sz w:val="22"/>
          <w:szCs w:val="22"/>
        </w:rPr>
        <w:t>tomato</w:t>
      </w:r>
      <w:r w:rsidRPr="008F7801" w:rsidR="005261AD">
        <w:rPr>
          <w:sz w:val="22"/>
          <w:szCs w:val="22"/>
        </w:rPr>
        <w:t xml:space="preserve"> handling practices</w:t>
      </w:r>
      <w:r w:rsidRPr="008F7801" w:rsidR="000E39D7">
        <w:rPr>
          <w:sz w:val="22"/>
          <w:szCs w:val="22"/>
        </w:rPr>
        <w:t xml:space="preserve"> data collection</w:t>
      </w:r>
      <w:r w:rsidRPr="008F7801">
        <w:rPr>
          <w:sz w:val="22"/>
          <w:szCs w:val="22"/>
        </w:rPr>
        <w:t xml:space="preserve"> provide</w:t>
      </w:r>
      <w:r w:rsidRPr="008F7801" w:rsidR="005261AD">
        <w:rPr>
          <w:sz w:val="22"/>
          <w:szCs w:val="22"/>
        </w:rPr>
        <w:t>s</w:t>
      </w:r>
      <w:r w:rsidRPr="008F7801">
        <w:rPr>
          <w:sz w:val="22"/>
          <w:szCs w:val="22"/>
        </w:rPr>
        <w:t xml:space="preserve"> </w:t>
      </w:r>
      <w:r w:rsidRPr="008F7801" w:rsidR="000E39D7">
        <w:rPr>
          <w:sz w:val="22"/>
          <w:szCs w:val="22"/>
        </w:rPr>
        <w:t>an example</w:t>
      </w:r>
      <w:r w:rsidRPr="008F7801">
        <w:rPr>
          <w:sz w:val="22"/>
          <w:szCs w:val="22"/>
        </w:rPr>
        <w:t xml:space="preserve"> of </w:t>
      </w:r>
      <w:r w:rsidRPr="008F7801" w:rsidR="000E39D7">
        <w:rPr>
          <w:sz w:val="22"/>
          <w:szCs w:val="22"/>
        </w:rPr>
        <w:t>a situation</w:t>
      </w:r>
      <w:r w:rsidRPr="008F7801">
        <w:rPr>
          <w:sz w:val="22"/>
          <w:szCs w:val="22"/>
        </w:rPr>
        <w:t xml:space="preserve"> in which EHS-Net was able to quickly collect data essential to environmental public health regulatory programs. </w:t>
      </w:r>
      <w:r w:rsidRPr="008F7801" w:rsidR="00B110A9">
        <w:rPr>
          <w:sz w:val="22"/>
          <w:szCs w:val="22"/>
        </w:rPr>
        <w:t>I</w:t>
      </w:r>
      <w:r w:rsidRPr="008F7801" w:rsidR="006244CD">
        <w:rPr>
          <w:sz w:val="22"/>
          <w:szCs w:val="22"/>
        </w:rPr>
        <w:t xml:space="preserve">n response to several outbreaks associated with tomatoes </w:t>
      </w:r>
      <w:r w:rsidRPr="008F7801" w:rsidR="00661297">
        <w:rPr>
          <w:sz w:val="22"/>
          <w:szCs w:val="22"/>
        </w:rPr>
        <w:t>in restaurants</w:t>
      </w:r>
      <w:r w:rsidRPr="008F7801" w:rsidR="006244CD">
        <w:rPr>
          <w:sz w:val="22"/>
          <w:szCs w:val="22"/>
        </w:rPr>
        <w:t>, EHS-Net collected data on restaurants’ tomato handling policies and practices</w:t>
      </w:r>
      <w:r w:rsidRPr="008F7801" w:rsidR="00BC7345">
        <w:rPr>
          <w:sz w:val="22"/>
          <w:szCs w:val="22"/>
        </w:rPr>
        <w:t xml:space="preserve"> (</w:t>
      </w:r>
      <w:r w:rsidRPr="008F7801" w:rsidR="007633E7">
        <w:rPr>
          <w:sz w:val="22"/>
          <w:szCs w:val="22"/>
        </w:rPr>
        <w:t>Kirkland et al.</w:t>
      </w:r>
      <w:r w:rsidR="000775D3">
        <w:rPr>
          <w:sz w:val="22"/>
          <w:szCs w:val="22"/>
        </w:rPr>
        <w:t>,</w:t>
      </w:r>
      <w:r w:rsidRPr="008F7801" w:rsidR="007633E7">
        <w:rPr>
          <w:sz w:val="22"/>
          <w:szCs w:val="22"/>
        </w:rPr>
        <w:t xml:space="preserve"> 2009</w:t>
      </w:r>
      <w:r w:rsidRPr="008F7801" w:rsidR="00BC7345">
        <w:rPr>
          <w:sz w:val="22"/>
          <w:szCs w:val="22"/>
        </w:rPr>
        <w:t>)</w:t>
      </w:r>
      <w:r w:rsidRPr="008F7801" w:rsidR="006244CD">
        <w:rPr>
          <w:sz w:val="22"/>
          <w:szCs w:val="22"/>
        </w:rPr>
        <w:t xml:space="preserve">. These data </w:t>
      </w:r>
      <w:r w:rsidRPr="008F7801" w:rsidR="00EB4488">
        <w:rPr>
          <w:sz w:val="22"/>
          <w:szCs w:val="22"/>
        </w:rPr>
        <w:t>were used</w:t>
      </w:r>
      <w:r w:rsidRPr="008F7801" w:rsidR="006244CD">
        <w:rPr>
          <w:sz w:val="22"/>
          <w:szCs w:val="22"/>
        </w:rPr>
        <w:t xml:space="preserve"> by CDC and FDA to </w:t>
      </w:r>
      <w:r w:rsidRPr="008F7801" w:rsidR="00EB4488">
        <w:rPr>
          <w:sz w:val="22"/>
          <w:szCs w:val="22"/>
        </w:rPr>
        <w:t xml:space="preserve">determine </w:t>
      </w:r>
      <w:r w:rsidRPr="008F7801" w:rsidR="006244CD">
        <w:rPr>
          <w:sz w:val="22"/>
          <w:szCs w:val="22"/>
        </w:rPr>
        <w:t xml:space="preserve">policies and practices </w:t>
      </w:r>
      <w:r w:rsidRPr="008F7801" w:rsidR="00EB4488">
        <w:rPr>
          <w:sz w:val="22"/>
          <w:szCs w:val="22"/>
        </w:rPr>
        <w:t>that could</w:t>
      </w:r>
      <w:r w:rsidRPr="008F7801" w:rsidR="006244CD">
        <w:rPr>
          <w:sz w:val="22"/>
          <w:szCs w:val="22"/>
        </w:rPr>
        <w:t xml:space="preserve"> be changed to </w:t>
      </w:r>
      <w:r w:rsidRPr="008F7801" w:rsidR="00EB4488">
        <w:rPr>
          <w:sz w:val="22"/>
          <w:szCs w:val="22"/>
        </w:rPr>
        <w:t>reduce</w:t>
      </w:r>
      <w:r w:rsidRPr="008F7801" w:rsidR="006244CD">
        <w:rPr>
          <w:sz w:val="22"/>
          <w:szCs w:val="22"/>
        </w:rPr>
        <w:t xml:space="preserve"> the occurrence of future</w:t>
      </w:r>
      <w:r w:rsidRPr="008F7801">
        <w:rPr>
          <w:sz w:val="22"/>
          <w:szCs w:val="22"/>
        </w:rPr>
        <w:t>, similar</w:t>
      </w:r>
      <w:r w:rsidRPr="008F7801" w:rsidR="006244CD">
        <w:rPr>
          <w:sz w:val="22"/>
          <w:szCs w:val="22"/>
        </w:rPr>
        <w:t xml:space="preserve"> </w:t>
      </w:r>
      <w:r w:rsidRPr="008F7801">
        <w:rPr>
          <w:sz w:val="22"/>
          <w:szCs w:val="22"/>
        </w:rPr>
        <w:t xml:space="preserve">outbreaks. </w:t>
      </w:r>
      <w:r w:rsidRPr="005F0451" w:rsidR="005F0451">
        <w:rPr>
          <w:sz w:val="22"/>
          <w:szCs w:val="22"/>
        </w:rPr>
        <w:t xml:space="preserve">EHS-Net’s findings were </w:t>
      </w:r>
      <w:r w:rsidR="00A7393A">
        <w:rPr>
          <w:sz w:val="22"/>
          <w:szCs w:val="22"/>
        </w:rPr>
        <w:t xml:space="preserve">also </w:t>
      </w:r>
      <w:r w:rsidRPr="005F0451" w:rsidR="005F0451">
        <w:rPr>
          <w:sz w:val="22"/>
          <w:szCs w:val="22"/>
        </w:rPr>
        <w:t xml:space="preserve">used to assess the impact of deli practices on risk of </w:t>
      </w:r>
      <w:r w:rsidR="00870787">
        <w:rPr>
          <w:sz w:val="22"/>
          <w:szCs w:val="22"/>
        </w:rPr>
        <w:t>infection</w:t>
      </w:r>
      <w:r w:rsidRPr="005F0451" w:rsidR="005F0451">
        <w:rPr>
          <w:sz w:val="22"/>
          <w:szCs w:val="22"/>
        </w:rPr>
        <w:t xml:space="preserve"> </w:t>
      </w:r>
      <w:r w:rsidR="00870787">
        <w:rPr>
          <w:sz w:val="22"/>
          <w:szCs w:val="22"/>
        </w:rPr>
        <w:t>with</w:t>
      </w:r>
      <w:r w:rsidRPr="005F0451" w:rsidR="005F0451">
        <w:rPr>
          <w:sz w:val="22"/>
          <w:szCs w:val="22"/>
        </w:rPr>
        <w:t xml:space="preserve"> </w:t>
      </w:r>
      <w:r w:rsidRPr="00870787" w:rsidR="005F0451">
        <w:rPr>
          <w:i/>
          <w:iCs/>
          <w:sz w:val="22"/>
          <w:szCs w:val="22"/>
        </w:rPr>
        <w:t>Listeria</w:t>
      </w:r>
      <w:r w:rsidR="00310AD1">
        <w:rPr>
          <w:i/>
          <w:iCs/>
          <w:sz w:val="22"/>
          <w:szCs w:val="22"/>
        </w:rPr>
        <w:t xml:space="preserve"> </w:t>
      </w:r>
      <w:r w:rsidRPr="00310AD1" w:rsidR="00310AD1">
        <w:rPr>
          <w:sz w:val="22"/>
          <w:szCs w:val="22"/>
        </w:rPr>
        <w:t>species</w:t>
      </w:r>
      <w:r w:rsidR="00310AD1">
        <w:rPr>
          <w:sz w:val="22"/>
          <w:szCs w:val="22"/>
        </w:rPr>
        <w:t xml:space="preserve"> </w:t>
      </w:r>
      <w:r w:rsidR="008F39A0">
        <w:rPr>
          <w:sz w:val="22"/>
          <w:szCs w:val="22"/>
        </w:rPr>
        <w:t>(Brown et al.</w:t>
      </w:r>
      <w:r w:rsidR="000775D3">
        <w:rPr>
          <w:sz w:val="22"/>
          <w:szCs w:val="22"/>
        </w:rPr>
        <w:t>,</w:t>
      </w:r>
      <w:r w:rsidR="008F39A0">
        <w:rPr>
          <w:sz w:val="22"/>
          <w:szCs w:val="22"/>
        </w:rPr>
        <w:t xml:space="preserve"> 2016</w:t>
      </w:r>
      <w:r w:rsidR="00310AD1">
        <w:rPr>
          <w:sz w:val="22"/>
          <w:szCs w:val="22"/>
        </w:rPr>
        <w:t>)</w:t>
      </w:r>
      <w:r w:rsidRPr="005F0451" w:rsidR="005F0451">
        <w:rPr>
          <w:sz w:val="22"/>
          <w:szCs w:val="22"/>
        </w:rPr>
        <w:t>. This assessment was included in USDA’s guidelines on best practices for controlling these harmful bacteria in delis</w:t>
      </w:r>
      <w:r w:rsidR="008A285C">
        <w:rPr>
          <w:sz w:val="22"/>
          <w:szCs w:val="22"/>
        </w:rPr>
        <w:t xml:space="preserve"> (</w:t>
      </w:r>
      <w:r w:rsidR="008F39A0">
        <w:rPr>
          <w:sz w:val="22"/>
          <w:szCs w:val="22"/>
        </w:rPr>
        <w:t>U.S. Department of Agriculture, 2015</w:t>
      </w:r>
      <w:r w:rsidR="008A285C">
        <w:rPr>
          <w:sz w:val="22"/>
          <w:szCs w:val="22"/>
        </w:rPr>
        <w:t>)</w:t>
      </w:r>
      <w:r w:rsidRPr="005F0451" w:rsidR="005F0451">
        <w:rPr>
          <w:sz w:val="22"/>
          <w:szCs w:val="22"/>
        </w:rPr>
        <w:t>.</w:t>
      </w:r>
      <w:r w:rsidR="005F0451">
        <w:rPr>
          <w:sz w:val="22"/>
          <w:szCs w:val="22"/>
        </w:rPr>
        <w:t xml:space="preserve"> </w:t>
      </w:r>
    </w:p>
    <w:p w:rsidR="00EB4488" w:rsidRPr="008F7801" w:rsidP="00EB4488" w14:paraId="6E620E14" w14:textId="77777777">
      <w:pPr>
        <w:rPr>
          <w:sz w:val="22"/>
          <w:szCs w:val="22"/>
        </w:rPr>
      </w:pPr>
    </w:p>
    <w:p w:rsidR="00BC5BEA" w:rsidRPr="008F7801" w:rsidP="00BC5BEA" w14:paraId="42C306A2" w14:textId="77777777">
      <w:pPr>
        <w:autoSpaceDE w:val="0"/>
        <w:autoSpaceDN w:val="0"/>
        <w:adjustRightInd w:val="0"/>
        <w:rPr>
          <w:sz w:val="22"/>
          <w:szCs w:val="22"/>
        </w:rPr>
      </w:pPr>
      <w:r w:rsidRPr="008F7801">
        <w:rPr>
          <w:sz w:val="22"/>
          <w:szCs w:val="22"/>
        </w:rPr>
        <w:t>EHS-Net is the only research program of which we are aware that has the collective expertise and ability to collect high quality data on environmental factors of foodborne illness in retail food establishments. As knowledge about environmental factors is critical to the development of effective foodborne illness prevention and intervention methods, it is important that EHS-Net continue to collect these valuable data.</w:t>
      </w:r>
    </w:p>
    <w:p w:rsidR="00BC5BEA" w:rsidRPr="008F7801" w:rsidP="00280574" w14:paraId="4EE247F2" w14:textId="77777777">
      <w:pPr>
        <w:rPr>
          <w:iCs/>
          <w:sz w:val="22"/>
          <w:szCs w:val="22"/>
        </w:rPr>
      </w:pPr>
    </w:p>
    <w:p w:rsidR="00A30F9C" w:rsidRPr="008F7801" w:rsidP="00206E66" w14:paraId="59EEF99C" w14:textId="2ECE9A49">
      <w:pPr>
        <w:rPr>
          <w:sz w:val="22"/>
          <w:szCs w:val="22"/>
        </w:rPr>
      </w:pPr>
      <w:r w:rsidRPr="008F7801">
        <w:rPr>
          <w:iCs/>
          <w:sz w:val="22"/>
          <w:szCs w:val="22"/>
        </w:rPr>
        <w:t xml:space="preserve">The data collections conducted by the EHS-Net </w:t>
      </w:r>
      <w:r w:rsidRPr="008F7801" w:rsidR="00B57428">
        <w:rPr>
          <w:iCs/>
          <w:sz w:val="22"/>
          <w:szCs w:val="22"/>
        </w:rPr>
        <w:t xml:space="preserve">research </w:t>
      </w:r>
      <w:r w:rsidRPr="008F7801">
        <w:rPr>
          <w:iCs/>
          <w:sz w:val="22"/>
          <w:szCs w:val="22"/>
        </w:rPr>
        <w:t>program</w:t>
      </w:r>
      <w:r w:rsidRPr="008F7801" w:rsidR="00F7107A">
        <w:rPr>
          <w:iCs/>
          <w:sz w:val="22"/>
          <w:szCs w:val="22"/>
        </w:rPr>
        <w:t xml:space="preserve"> </w:t>
      </w:r>
      <w:r w:rsidRPr="008F7801" w:rsidR="00EB6D70">
        <w:rPr>
          <w:sz w:val="22"/>
          <w:szCs w:val="22"/>
        </w:rPr>
        <w:t>support the U.S. Department of Health and Human Services’ Healthy People 20</w:t>
      </w:r>
      <w:r w:rsidR="00EB6D70">
        <w:rPr>
          <w:sz w:val="22"/>
          <w:szCs w:val="22"/>
        </w:rPr>
        <w:t>3</w:t>
      </w:r>
      <w:r w:rsidRPr="008F7801" w:rsidR="00EB6D70">
        <w:rPr>
          <w:sz w:val="22"/>
          <w:szCs w:val="22"/>
        </w:rPr>
        <w:t>0 Goal</w:t>
      </w:r>
      <w:r w:rsidR="00EB6D70">
        <w:rPr>
          <w:sz w:val="22"/>
          <w:szCs w:val="22"/>
        </w:rPr>
        <w:t>s</w:t>
      </w:r>
      <w:r w:rsidRPr="008F7801" w:rsidR="00EB6D70">
        <w:rPr>
          <w:sz w:val="22"/>
          <w:szCs w:val="22"/>
        </w:rPr>
        <w:t xml:space="preserve"> to “Improve </w:t>
      </w:r>
      <w:r w:rsidR="00EB6D70">
        <w:rPr>
          <w:sz w:val="22"/>
          <w:szCs w:val="22"/>
        </w:rPr>
        <w:t>food handling practices</w:t>
      </w:r>
      <w:r w:rsidR="003D211A">
        <w:rPr>
          <w:sz w:val="22"/>
          <w:szCs w:val="22"/>
        </w:rPr>
        <w:t>.</w:t>
      </w:r>
      <w:r w:rsidRPr="008F7801" w:rsidR="00EB6D70">
        <w:rPr>
          <w:sz w:val="22"/>
          <w:szCs w:val="22"/>
        </w:rPr>
        <w:t xml:space="preserve">” </w:t>
      </w:r>
      <w:r w:rsidR="003D211A">
        <w:rPr>
          <w:sz w:val="22"/>
          <w:szCs w:val="22"/>
        </w:rPr>
        <w:t xml:space="preserve">Moreover, they </w:t>
      </w:r>
      <w:r w:rsidRPr="008F7801" w:rsidR="00F7107A">
        <w:rPr>
          <w:iCs/>
          <w:sz w:val="22"/>
          <w:szCs w:val="22"/>
        </w:rPr>
        <w:t>support CDC’</w:t>
      </w:r>
      <w:r w:rsidRPr="008F7801" w:rsidR="00486650">
        <w:rPr>
          <w:iCs/>
          <w:sz w:val="22"/>
          <w:szCs w:val="22"/>
        </w:rPr>
        <w:t xml:space="preserve">s research agenda goal </w:t>
      </w:r>
      <w:r w:rsidRPr="008F7801" w:rsidR="00F7107A">
        <w:rPr>
          <w:iCs/>
          <w:sz w:val="22"/>
          <w:szCs w:val="22"/>
        </w:rPr>
        <w:t>of “</w:t>
      </w:r>
      <w:r w:rsidR="003D211A">
        <w:rPr>
          <w:iCs/>
          <w:sz w:val="22"/>
          <w:szCs w:val="22"/>
        </w:rPr>
        <w:t>d</w:t>
      </w:r>
      <w:r w:rsidRPr="008F7801" w:rsidR="00F7107A">
        <w:rPr>
          <w:iCs/>
          <w:sz w:val="22"/>
          <w:szCs w:val="22"/>
        </w:rPr>
        <w:t>ecreasing health risks from environmental exposures</w:t>
      </w:r>
      <w:r w:rsidRPr="008F7801" w:rsidR="00B3326F">
        <w:rPr>
          <w:iCs/>
          <w:sz w:val="22"/>
          <w:szCs w:val="22"/>
        </w:rPr>
        <w:t>,</w:t>
      </w:r>
      <w:r w:rsidRPr="008F7801" w:rsidR="00F7107A">
        <w:rPr>
          <w:iCs/>
          <w:sz w:val="22"/>
          <w:szCs w:val="22"/>
        </w:rPr>
        <w:t xml:space="preserve">” </w:t>
      </w:r>
      <w:r w:rsidRPr="008F7801" w:rsidR="00FB6001">
        <w:rPr>
          <w:iCs/>
          <w:sz w:val="22"/>
          <w:szCs w:val="22"/>
        </w:rPr>
        <w:t>as food</w:t>
      </w:r>
      <w:r w:rsidRPr="008F7801" w:rsidR="00530995">
        <w:rPr>
          <w:iCs/>
          <w:sz w:val="22"/>
          <w:szCs w:val="22"/>
        </w:rPr>
        <w:t>borne</w:t>
      </w:r>
      <w:r w:rsidRPr="008F7801" w:rsidR="00B3326F">
        <w:rPr>
          <w:iCs/>
          <w:sz w:val="22"/>
          <w:szCs w:val="22"/>
        </w:rPr>
        <w:t xml:space="preserve"> illness </w:t>
      </w:r>
      <w:r w:rsidRPr="008F7801" w:rsidR="00D322A7">
        <w:rPr>
          <w:iCs/>
          <w:sz w:val="22"/>
          <w:szCs w:val="22"/>
        </w:rPr>
        <w:t>is an</w:t>
      </w:r>
      <w:r w:rsidRPr="008F7801" w:rsidR="00B3326F">
        <w:rPr>
          <w:iCs/>
          <w:sz w:val="22"/>
          <w:szCs w:val="22"/>
        </w:rPr>
        <w:t xml:space="preserve"> environmental exposure health risk</w:t>
      </w:r>
      <w:r w:rsidR="003D211A">
        <w:rPr>
          <w:iCs/>
          <w:sz w:val="22"/>
          <w:szCs w:val="22"/>
        </w:rPr>
        <w:t>, and</w:t>
      </w:r>
      <w:r w:rsidRPr="008F7801" w:rsidR="00280574">
        <w:rPr>
          <w:sz w:val="22"/>
          <w:szCs w:val="22"/>
        </w:rPr>
        <w:t xml:space="preserve"> CDC’s winnable battle of reducing foodborne diseases (</w:t>
      </w:r>
      <w:hyperlink r:id="rId9" w:history="1">
        <w:r w:rsidRPr="008F7801" w:rsidR="00280574">
          <w:rPr>
            <w:rStyle w:val="Hyperlink"/>
            <w:color w:val="auto"/>
            <w:sz w:val="22"/>
            <w:szCs w:val="22"/>
            <w:u w:val="none"/>
          </w:rPr>
          <w:t>http://www.cdc.gov/winnablebattles/</w:t>
        </w:r>
      </w:hyperlink>
      <w:r w:rsidRPr="008F7801" w:rsidR="00280574">
        <w:rPr>
          <w:sz w:val="22"/>
          <w:szCs w:val="22"/>
        </w:rPr>
        <w:t xml:space="preserve">foodsafety/index.html). </w:t>
      </w:r>
      <w:r w:rsidRPr="008F7801" w:rsidR="00486650">
        <w:rPr>
          <w:sz w:val="22"/>
          <w:szCs w:val="22"/>
        </w:rPr>
        <w:t xml:space="preserve">Data collection authority is found in </w:t>
      </w:r>
      <w:r w:rsidRPr="00197435" w:rsidR="00486650">
        <w:rPr>
          <w:sz w:val="22"/>
          <w:szCs w:val="22"/>
        </w:rPr>
        <w:t>Section 301 of the Public Health Service Act (42 USC 241) (</w:t>
      </w:r>
      <w:r w:rsidRPr="007E42D3" w:rsidR="00994C82">
        <w:rPr>
          <w:sz w:val="22"/>
          <w:szCs w:val="22"/>
        </w:rPr>
        <w:t>A</w:t>
      </w:r>
      <w:r w:rsidR="005B7C7E">
        <w:rPr>
          <w:sz w:val="22"/>
          <w:szCs w:val="22"/>
        </w:rPr>
        <w:t>ttachment 1</w:t>
      </w:r>
      <w:r w:rsidRPr="007E42D3" w:rsidR="00486650">
        <w:rPr>
          <w:sz w:val="22"/>
          <w:szCs w:val="22"/>
        </w:rPr>
        <w:t>).</w:t>
      </w:r>
      <w:r w:rsidRPr="008F7801" w:rsidR="00486650">
        <w:rPr>
          <w:sz w:val="22"/>
          <w:szCs w:val="22"/>
        </w:rPr>
        <w:t xml:space="preserve"> </w:t>
      </w:r>
    </w:p>
    <w:p w:rsidR="00A30F9C" w:rsidRPr="008F7801" w:rsidP="00EB4488" w14:paraId="3FEAC8B0" w14:textId="77777777">
      <w:pPr>
        <w:autoSpaceDE w:val="0"/>
        <w:autoSpaceDN w:val="0"/>
        <w:adjustRightInd w:val="0"/>
        <w:ind w:left="432" w:hanging="432"/>
        <w:rPr>
          <w:b/>
          <w:sz w:val="22"/>
          <w:szCs w:val="22"/>
        </w:rPr>
      </w:pPr>
    </w:p>
    <w:p w:rsidR="00527DC9" w:rsidRPr="008F7801" w:rsidP="00EB4488" w14:paraId="2D21DACF"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2. Purpose and Use of the Information Collection</w:t>
      </w:r>
    </w:p>
    <w:p w:rsidR="00F225DF" w:rsidRPr="008F7801" w:rsidP="00EB4488" w14:paraId="06D40CFF" w14:textId="77777777">
      <w:pPr>
        <w:autoSpaceDE w:val="0"/>
        <w:autoSpaceDN w:val="0"/>
        <w:adjustRightInd w:val="0"/>
        <w:ind w:left="252"/>
        <w:rPr>
          <w:b/>
          <w:sz w:val="22"/>
          <w:szCs w:val="22"/>
        </w:rPr>
      </w:pPr>
      <w:r w:rsidRPr="008F7801">
        <w:rPr>
          <w:b/>
          <w:sz w:val="22"/>
          <w:szCs w:val="22"/>
        </w:rPr>
        <w:t xml:space="preserve"> </w:t>
      </w:r>
    </w:p>
    <w:p w:rsidR="00B32B3A" w:rsidRPr="008F7801" w:rsidP="00B32B3A" w14:paraId="1003454B" w14:textId="77777777">
      <w:pPr>
        <w:rPr>
          <w:sz w:val="22"/>
          <w:szCs w:val="22"/>
        </w:rPr>
      </w:pPr>
      <w:r w:rsidRPr="008F7801">
        <w:rPr>
          <w:sz w:val="22"/>
          <w:szCs w:val="22"/>
        </w:rPr>
        <w:t xml:space="preserve">The purpose of </w:t>
      </w:r>
      <w:r w:rsidRPr="008F7801" w:rsidR="00A81D18">
        <w:rPr>
          <w:sz w:val="22"/>
          <w:szCs w:val="22"/>
        </w:rPr>
        <w:t>the information collection is to gather</w:t>
      </w:r>
      <w:r w:rsidRPr="008F7801">
        <w:rPr>
          <w:sz w:val="22"/>
          <w:szCs w:val="22"/>
        </w:rPr>
        <w:t xml:space="preserve"> data that will help us identify and understand environmental factors </w:t>
      </w:r>
      <w:r w:rsidRPr="008F7801" w:rsidR="00527BAC">
        <w:rPr>
          <w:sz w:val="22"/>
          <w:szCs w:val="22"/>
        </w:rPr>
        <w:t>associated with</w:t>
      </w:r>
      <w:r w:rsidRPr="008F7801">
        <w:rPr>
          <w:sz w:val="22"/>
          <w:szCs w:val="22"/>
        </w:rPr>
        <w:t xml:space="preserve"> foodborne illness. </w:t>
      </w:r>
    </w:p>
    <w:p w:rsidR="00B32B3A" w:rsidRPr="008F7801" w:rsidP="00B32B3A" w14:paraId="6885F9A1" w14:textId="77777777">
      <w:pPr>
        <w:rPr>
          <w:sz w:val="22"/>
          <w:szCs w:val="22"/>
        </w:rPr>
      </w:pPr>
    </w:p>
    <w:p w:rsidR="00B32B3A" w:rsidP="00B32B3A" w14:paraId="76C675D8" w14:textId="51E782E0">
      <w:pPr>
        <w:rPr>
          <w:sz w:val="22"/>
          <w:szCs w:val="22"/>
        </w:rPr>
      </w:pPr>
      <w:r w:rsidRPr="008F7801">
        <w:rPr>
          <w:sz w:val="22"/>
          <w:szCs w:val="22"/>
        </w:rPr>
        <w:t xml:space="preserve">Specifically, </w:t>
      </w:r>
      <w:r w:rsidRPr="008F7801" w:rsidR="00527BAC">
        <w:rPr>
          <w:sz w:val="22"/>
          <w:szCs w:val="22"/>
        </w:rPr>
        <w:t>the information will be used to</w:t>
      </w:r>
      <w:r w:rsidR="00827D10">
        <w:rPr>
          <w:sz w:val="22"/>
          <w:szCs w:val="22"/>
        </w:rPr>
        <w:t>:</w:t>
      </w:r>
    </w:p>
    <w:p w:rsidR="00827D10" w:rsidRPr="008F7801" w:rsidP="00B32B3A" w14:paraId="6E8F393D" w14:textId="77777777">
      <w:pPr>
        <w:rPr>
          <w:sz w:val="22"/>
          <w:szCs w:val="22"/>
        </w:rPr>
      </w:pPr>
    </w:p>
    <w:p w:rsidR="00B32B3A" w:rsidRPr="008F7801" w:rsidP="009B4EC0" w14:paraId="36A3CFF0" w14:textId="375BCC9E">
      <w:pPr>
        <w:numPr>
          <w:ilvl w:val="3"/>
          <w:numId w:val="4"/>
        </w:numPr>
        <w:ind w:left="540"/>
        <w:rPr>
          <w:sz w:val="22"/>
          <w:szCs w:val="22"/>
        </w:rPr>
      </w:pPr>
      <w:r>
        <w:rPr>
          <w:sz w:val="22"/>
          <w:szCs w:val="22"/>
        </w:rPr>
        <w:t>d</w:t>
      </w:r>
      <w:r w:rsidRPr="008F7801" w:rsidR="00527BAC">
        <w:rPr>
          <w:sz w:val="22"/>
          <w:szCs w:val="22"/>
        </w:rPr>
        <w:t>escribe</w:t>
      </w:r>
      <w:r w:rsidRPr="008F7801" w:rsidR="002641C2">
        <w:rPr>
          <w:sz w:val="22"/>
          <w:szCs w:val="22"/>
        </w:rPr>
        <w:t xml:space="preserve"> retail foo</w:t>
      </w:r>
      <w:r w:rsidRPr="008F7801" w:rsidR="00527BAC">
        <w:rPr>
          <w:sz w:val="22"/>
          <w:szCs w:val="22"/>
        </w:rPr>
        <w:t xml:space="preserve">d establishment </w:t>
      </w:r>
      <w:r w:rsidRPr="008F7801" w:rsidR="005261AD">
        <w:rPr>
          <w:sz w:val="22"/>
          <w:szCs w:val="22"/>
        </w:rPr>
        <w:t xml:space="preserve">food handling and food safety practices </w:t>
      </w:r>
      <w:r w:rsidRPr="008F7801" w:rsidR="00527BAC">
        <w:rPr>
          <w:sz w:val="22"/>
          <w:szCs w:val="22"/>
        </w:rPr>
        <w:t xml:space="preserve">and </w:t>
      </w:r>
      <w:r w:rsidRPr="008F7801" w:rsidR="00174CDC">
        <w:rPr>
          <w:sz w:val="22"/>
          <w:szCs w:val="22"/>
        </w:rPr>
        <w:t>manager/</w:t>
      </w:r>
      <w:r w:rsidRPr="008F7801" w:rsidR="00527BAC">
        <w:rPr>
          <w:sz w:val="22"/>
          <w:szCs w:val="22"/>
        </w:rPr>
        <w:t xml:space="preserve">worker </w:t>
      </w:r>
      <w:r w:rsidRPr="008F7801" w:rsidR="005261AD">
        <w:rPr>
          <w:sz w:val="22"/>
          <w:szCs w:val="22"/>
        </w:rPr>
        <w:t>and establishment characteristics</w:t>
      </w:r>
      <w:r w:rsidRPr="008F7801" w:rsidR="00527BAC">
        <w:rPr>
          <w:sz w:val="22"/>
          <w:szCs w:val="22"/>
        </w:rPr>
        <w:t>.</w:t>
      </w:r>
    </w:p>
    <w:p w:rsidR="00B32B3A" w:rsidRPr="008F7801" w:rsidP="009B4EC0" w14:paraId="456CF664" w14:textId="6AA5A5DC">
      <w:pPr>
        <w:numPr>
          <w:ilvl w:val="3"/>
          <w:numId w:val="4"/>
        </w:numPr>
        <w:ind w:left="540"/>
        <w:rPr>
          <w:sz w:val="22"/>
          <w:szCs w:val="22"/>
        </w:rPr>
      </w:pPr>
      <w:r>
        <w:rPr>
          <w:sz w:val="22"/>
          <w:szCs w:val="22"/>
        </w:rPr>
        <w:t>d</w:t>
      </w:r>
      <w:r w:rsidRPr="008F7801" w:rsidR="00527BAC">
        <w:rPr>
          <w:sz w:val="22"/>
          <w:szCs w:val="22"/>
        </w:rPr>
        <w:t>etermine how</w:t>
      </w:r>
      <w:r w:rsidRPr="008F7801" w:rsidR="002641C2">
        <w:rPr>
          <w:sz w:val="22"/>
          <w:szCs w:val="22"/>
        </w:rPr>
        <w:t xml:space="preserve"> retail food establishment </w:t>
      </w:r>
      <w:r w:rsidRPr="008F7801" w:rsidR="00527BAC">
        <w:rPr>
          <w:sz w:val="22"/>
          <w:szCs w:val="22"/>
        </w:rPr>
        <w:t xml:space="preserve">and </w:t>
      </w:r>
      <w:r w:rsidR="00C154A6">
        <w:rPr>
          <w:sz w:val="22"/>
          <w:szCs w:val="22"/>
        </w:rPr>
        <w:t>manager</w:t>
      </w:r>
      <w:r w:rsidR="00A02D00">
        <w:rPr>
          <w:sz w:val="22"/>
          <w:szCs w:val="22"/>
        </w:rPr>
        <w:t xml:space="preserve"> and </w:t>
      </w:r>
      <w:r w:rsidRPr="008F7801" w:rsidR="00527BAC">
        <w:rPr>
          <w:sz w:val="22"/>
          <w:szCs w:val="22"/>
        </w:rPr>
        <w:t xml:space="preserve">worker </w:t>
      </w:r>
      <w:r w:rsidRPr="008F7801" w:rsidR="002641C2">
        <w:rPr>
          <w:sz w:val="22"/>
          <w:szCs w:val="22"/>
        </w:rPr>
        <w:t xml:space="preserve">characteristics </w:t>
      </w:r>
      <w:r w:rsidRPr="008F7801" w:rsidR="00527BAC">
        <w:rPr>
          <w:sz w:val="22"/>
          <w:szCs w:val="22"/>
        </w:rPr>
        <w:t xml:space="preserve">are </w:t>
      </w:r>
      <w:r w:rsidRPr="008F7801" w:rsidR="002641C2">
        <w:rPr>
          <w:sz w:val="22"/>
          <w:szCs w:val="22"/>
        </w:rPr>
        <w:t>related to food handling and food safety practices</w:t>
      </w:r>
      <w:r w:rsidRPr="008F7801" w:rsidR="00527BAC">
        <w:rPr>
          <w:sz w:val="22"/>
          <w:szCs w:val="22"/>
        </w:rPr>
        <w:t>.</w:t>
      </w:r>
    </w:p>
    <w:p w:rsidR="00B32B3A" w:rsidRPr="008F7801" w:rsidP="00B32B3A" w14:paraId="003529C2" w14:textId="77777777">
      <w:pPr>
        <w:rPr>
          <w:sz w:val="22"/>
          <w:szCs w:val="22"/>
        </w:rPr>
      </w:pPr>
    </w:p>
    <w:p w:rsidR="00432B7F" w:rsidRPr="008F7801" w:rsidP="00EB4488" w14:paraId="128F9946" w14:textId="77777777">
      <w:pPr>
        <w:rPr>
          <w:sz w:val="22"/>
          <w:szCs w:val="22"/>
        </w:rPr>
      </w:pPr>
      <w:r w:rsidRPr="008F7801">
        <w:rPr>
          <w:sz w:val="22"/>
          <w:szCs w:val="22"/>
        </w:rPr>
        <w:t xml:space="preserve">The data </w:t>
      </w:r>
      <w:r w:rsidRPr="008F7801" w:rsidR="002641C2">
        <w:rPr>
          <w:sz w:val="22"/>
          <w:szCs w:val="22"/>
        </w:rPr>
        <w:t>will</w:t>
      </w:r>
      <w:r w:rsidRPr="008F7801">
        <w:rPr>
          <w:sz w:val="22"/>
          <w:szCs w:val="22"/>
        </w:rPr>
        <w:t xml:space="preserve"> be used </w:t>
      </w:r>
      <w:r w:rsidRPr="008F7801" w:rsidR="00A81D18">
        <w:rPr>
          <w:sz w:val="22"/>
          <w:szCs w:val="22"/>
        </w:rPr>
        <w:t xml:space="preserve">to enable </w:t>
      </w:r>
      <w:r w:rsidRPr="008F7801">
        <w:rPr>
          <w:sz w:val="22"/>
          <w:szCs w:val="22"/>
        </w:rPr>
        <w:t xml:space="preserve">CDC to develop food safety prevention and intervention recommendations for </w:t>
      </w:r>
      <w:r w:rsidRPr="008F7801" w:rsidR="00765061">
        <w:rPr>
          <w:sz w:val="22"/>
          <w:szCs w:val="22"/>
        </w:rPr>
        <w:t>environmental public health</w:t>
      </w:r>
      <w:r w:rsidRPr="008F7801" w:rsidR="00B00D10">
        <w:rPr>
          <w:sz w:val="22"/>
          <w:szCs w:val="22"/>
        </w:rPr>
        <w:t>/food safety</w:t>
      </w:r>
      <w:r w:rsidRPr="008F7801">
        <w:rPr>
          <w:sz w:val="22"/>
          <w:szCs w:val="22"/>
        </w:rPr>
        <w:t xml:space="preserve"> programs and the </w:t>
      </w:r>
      <w:r w:rsidRPr="008F7801" w:rsidR="00D0790D">
        <w:rPr>
          <w:sz w:val="22"/>
          <w:szCs w:val="22"/>
        </w:rPr>
        <w:t xml:space="preserve">retail food establishment industry. </w:t>
      </w:r>
      <w:r w:rsidRPr="008F7801" w:rsidR="00C75E31">
        <w:rPr>
          <w:sz w:val="22"/>
          <w:szCs w:val="22"/>
        </w:rPr>
        <w:t xml:space="preserve">For example, if an EHS-Net research project identifies an </w:t>
      </w:r>
      <w:r w:rsidRPr="008F7801" w:rsidR="00D0790D">
        <w:rPr>
          <w:sz w:val="22"/>
          <w:szCs w:val="22"/>
        </w:rPr>
        <w:t>unsafe food handling practice or an environmental factor associated with an unsafe food handling practice</w:t>
      </w:r>
      <w:r w:rsidRPr="008F7801" w:rsidR="00913914">
        <w:rPr>
          <w:sz w:val="22"/>
          <w:szCs w:val="22"/>
        </w:rPr>
        <w:t xml:space="preserve">, </w:t>
      </w:r>
      <w:r w:rsidRPr="008F7801" w:rsidR="00D0790D">
        <w:rPr>
          <w:sz w:val="22"/>
          <w:szCs w:val="22"/>
        </w:rPr>
        <w:t>CDC can develop food safety recommendations addressing it. In turn, e</w:t>
      </w:r>
      <w:r w:rsidRPr="008F7801" w:rsidR="00913914">
        <w:rPr>
          <w:sz w:val="22"/>
          <w:szCs w:val="22"/>
        </w:rPr>
        <w:t xml:space="preserve">nvironmental public health regulatory programs </w:t>
      </w:r>
      <w:r w:rsidRPr="008F7801" w:rsidR="00D0790D">
        <w:rPr>
          <w:sz w:val="22"/>
          <w:szCs w:val="22"/>
        </w:rPr>
        <w:t xml:space="preserve">and the food </w:t>
      </w:r>
      <w:r w:rsidRPr="008F7801" w:rsidR="00D0790D">
        <w:rPr>
          <w:sz w:val="22"/>
          <w:szCs w:val="22"/>
        </w:rPr>
        <w:t>industry can take action to address the recommendation. This process</w:t>
      </w:r>
      <w:r w:rsidRPr="008F7801">
        <w:rPr>
          <w:sz w:val="22"/>
          <w:szCs w:val="22"/>
        </w:rPr>
        <w:t xml:space="preserve"> will lead to increased food safety regulatory program effectiveness, </w:t>
      </w:r>
      <w:r w:rsidRPr="008F7801" w:rsidR="009B1AD2">
        <w:rPr>
          <w:sz w:val="22"/>
          <w:szCs w:val="22"/>
        </w:rPr>
        <w:t xml:space="preserve">increased industry effectiveness, </w:t>
      </w:r>
      <w:r w:rsidRPr="008F7801">
        <w:rPr>
          <w:sz w:val="22"/>
          <w:szCs w:val="22"/>
        </w:rPr>
        <w:t>increased food safety, and decreased foodborne illness.</w:t>
      </w:r>
    </w:p>
    <w:p w:rsidR="00BB2C1D" w:rsidRPr="008F7801" w:rsidP="00EB4488" w14:paraId="29F7C2D6" w14:textId="77777777">
      <w:pPr>
        <w:rPr>
          <w:sz w:val="22"/>
          <w:szCs w:val="22"/>
        </w:rPr>
      </w:pPr>
    </w:p>
    <w:p w:rsidR="00BB2C1D" w:rsidRPr="008F7801" w:rsidP="00BB2C1D" w14:paraId="20FA5AA0" w14:textId="5BC35045">
      <w:pPr>
        <w:rPr>
          <w:sz w:val="22"/>
          <w:szCs w:val="22"/>
        </w:rPr>
      </w:pPr>
      <w:r w:rsidRPr="008F7801">
        <w:rPr>
          <w:sz w:val="22"/>
          <w:szCs w:val="22"/>
        </w:rPr>
        <w:t xml:space="preserve">To date, EHS-Net has summarized its research efforts in </w:t>
      </w:r>
      <w:r w:rsidR="00A7393A">
        <w:rPr>
          <w:sz w:val="22"/>
          <w:szCs w:val="22"/>
        </w:rPr>
        <w:t>over</w:t>
      </w:r>
      <w:r w:rsidR="001760A0">
        <w:rPr>
          <w:sz w:val="22"/>
          <w:szCs w:val="22"/>
        </w:rPr>
        <w:t xml:space="preserve"> </w:t>
      </w:r>
      <w:r w:rsidRPr="00EF0B5F" w:rsidR="00E82F13">
        <w:rPr>
          <w:sz w:val="22"/>
          <w:szCs w:val="22"/>
        </w:rPr>
        <w:t>4</w:t>
      </w:r>
      <w:r w:rsidRPr="00EF0B5F">
        <w:rPr>
          <w:sz w:val="22"/>
          <w:szCs w:val="22"/>
        </w:rPr>
        <w:t>0</w:t>
      </w:r>
      <w:r w:rsidRPr="008F7801">
        <w:rPr>
          <w:sz w:val="22"/>
          <w:szCs w:val="22"/>
        </w:rPr>
        <w:t xml:space="preserve"> </w:t>
      </w:r>
      <w:r w:rsidR="001760A0">
        <w:rPr>
          <w:sz w:val="22"/>
          <w:szCs w:val="22"/>
        </w:rPr>
        <w:t xml:space="preserve">CDC- and partner-authored </w:t>
      </w:r>
      <w:r w:rsidRPr="008F7801">
        <w:rPr>
          <w:sz w:val="22"/>
          <w:szCs w:val="22"/>
        </w:rPr>
        <w:t xml:space="preserve">publications </w:t>
      </w:r>
      <w:r w:rsidR="00A7393A">
        <w:rPr>
          <w:sz w:val="22"/>
          <w:szCs w:val="22"/>
        </w:rPr>
        <w:t>(</w:t>
      </w:r>
      <w:r w:rsidRPr="009E59DA" w:rsidR="00A7393A">
        <w:rPr>
          <w:sz w:val="22"/>
          <w:szCs w:val="22"/>
        </w:rPr>
        <w:t>A</w:t>
      </w:r>
      <w:r w:rsidR="004B7E08">
        <w:rPr>
          <w:sz w:val="22"/>
          <w:szCs w:val="22"/>
        </w:rPr>
        <w:t>ppendix</w:t>
      </w:r>
      <w:r w:rsidRPr="009E59DA" w:rsidR="00A7393A">
        <w:rPr>
          <w:sz w:val="22"/>
          <w:szCs w:val="22"/>
        </w:rPr>
        <w:t xml:space="preserve"> </w:t>
      </w:r>
      <w:r w:rsidRPr="009E59DA" w:rsidR="009E59DA">
        <w:rPr>
          <w:sz w:val="22"/>
          <w:szCs w:val="22"/>
        </w:rPr>
        <w:t>1</w:t>
      </w:r>
      <w:r w:rsidRPr="009E59DA" w:rsidR="00A7393A">
        <w:rPr>
          <w:sz w:val="22"/>
          <w:szCs w:val="22"/>
        </w:rPr>
        <w:t xml:space="preserve">) </w:t>
      </w:r>
      <w:r w:rsidRPr="009E59DA">
        <w:rPr>
          <w:sz w:val="22"/>
          <w:szCs w:val="22"/>
        </w:rPr>
        <w:t>and</w:t>
      </w:r>
      <w:r w:rsidRPr="008F7801">
        <w:rPr>
          <w:sz w:val="22"/>
          <w:szCs w:val="22"/>
        </w:rPr>
        <w:t xml:space="preserve"> has presented its research findings at numerous conferences. Also, CDC and FDA used EHS-Net research to support a change to the 2017 FDA Food Code that requires restaurants to have a Certified Food Protection Manager present during all hours of operation. State and local food codes are based on the FDA Food Code; thus, this change is significant and influential. </w:t>
      </w:r>
    </w:p>
    <w:p w:rsidR="00BB2C1D" w:rsidRPr="008F7801" w:rsidP="00EB4488" w14:paraId="3F7371BC" w14:textId="77777777">
      <w:pPr>
        <w:rPr>
          <w:sz w:val="22"/>
          <w:szCs w:val="22"/>
        </w:rPr>
      </w:pPr>
    </w:p>
    <w:p w:rsidR="00C53D80" w:rsidRPr="008F7801" w:rsidP="00C53D80" w14:paraId="4ADF0952" w14:textId="77777777">
      <w:pPr>
        <w:rPr>
          <w:b/>
          <w:bCs/>
          <w:sz w:val="22"/>
          <w:szCs w:val="22"/>
          <w:u w:val="single"/>
        </w:rPr>
      </w:pPr>
      <w:r w:rsidRPr="008F7801">
        <w:rPr>
          <w:b/>
          <w:bCs/>
          <w:sz w:val="22"/>
          <w:szCs w:val="22"/>
          <w:u w:val="single"/>
        </w:rPr>
        <w:t>Applicability of Results</w:t>
      </w:r>
    </w:p>
    <w:p w:rsidR="00C53D80" w:rsidRPr="008F7801" w:rsidP="00C53D80" w14:paraId="69756853" w14:textId="77777777">
      <w:pPr>
        <w:rPr>
          <w:sz w:val="22"/>
          <w:szCs w:val="22"/>
        </w:rPr>
      </w:pPr>
    </w:p>
    <w:p w:rsidR="00C53D80" w:rsidRPr="008F7801" w:rsidP="00C53D80" w14:paraId="58303AAD" w14:textId="77777777">
      <w:pPr>
        <w:rPr>
          <w:sz w:val="22"/>
          <w:szCs w:val="22"/>
        </w:rPr>
      </w:pPr>
      <w:r w:rsidRPr="008F7801">
        <w:rPr>
          <w:sz w:val="22"/>
          <w:szCs w:val="22"/>
        </w:rPr>
        <w:t>Data will be collected in a random sample</w:t>
      </w:r>
      <w:r w:rsidRPr="008F7801" w:rsidR="002E5054">
        <w:rPr>
          <w:sz w:val="22"/>
          <w:szCs w:val="22"/>
        </w:rPr>
        <w:t xml:space="preserve"> (obtained </w:t>
      </w:r>
      <w:r w:rsidRPr="008F7801" w:rsidR="002E5054">
        <w:rPr>
          <w:sz w:val="22"/>
          <w:szCs w:val="22"/>
        </w:rPr>
        <w:t>through the use of</w:t>
      </w:r>
      <w:r w:rsidRPr="008F7801" w:rsidR="002E5054">
        <w:rPr>
          <w:sz w:val="22"/>
          <w:szCs w:val="22"/>
        </w:rPr>
        <w:t xml:space="preserve"> a statistical software package)</w:t>
      </w:r>
      <w:r w:rsidRPr="008F7801">
        <w:rPr>
          <w:sz w:val="22"/>
          <w:szCs w:val="22"/>
        </w:rPr>
        <w:t xml:space="preserve"> of the</w:t>
      </w:r>
      <w:r w:rsidRPr="008F7801">
        <w:rPr>
          <w:sz w:val="22"/>
          <w:szCs w:val="22"/>
        </w:rPr>
        <w:t xml:space="preserve"> retail food establishments in </w:t>
      </w:r>
      <w:r w:rsidRPr="008F7801" w:rsidR="00CF4F15">
        <w:rPr>
          <w:sz w:val="22"/>
          <w:szCs w:val="22"/>
        </w:rPr>
        <w:t xml:space="preserve">the jurisdictions of the </w:t>
      </w:r>
      <w:r w:rsidRPr="008F7801" w:rsidR="002E5054">
        <w:rPr>
          <w:sz w:val="22"/>
          <w:szCs w:val="22"/>
        </w:rPr>
        <w:t xml:space="preserve">eight </w:t>
      </w:r>
      <w:r w:rsidRPr="008F7801" w:rsidR="00B00D10">
        <w:rPr>
          <w:sz w:val="22"/>
          <w:szCs w:val="22"/>
        </w:rPr>
        <w:t>EHS-Net sites</w:t>
      </w:r>
      <w:r w:rsidRPr="008F7801" w:rsidR="00CF4F15">
        <w:rPr>
          <w:sz w:val="22"/>
          <w:szCs w:val="22"/>
        </w:rPr>
        <w:t xml:space="preserve"> funded through the EHS-Net cooperative agreement</w:t>
      </w:r>
      <w:r w:rsidRPr="008F7801" w:rsidR="00C652E0">
        <w:rPr>
          <w:sz w:val="22"/>
          <w:szCs w:val="22"/>
        </w:rPr>
        <w:t xml:space="preserve">. </w:t>
      </w:r>
      <w:r w:rsidRPr="008F7801" w:rsidR="004239A2">
        <w:rPr>
          <w:sz w:val="22"/>
          <w:szCs w:val="22"/>
        </w:rPr>
        <w:t>These sites are</w:t>
      </w:r>
      <w:r w:rsidRPr="008F7801" w:rsidR="00A2425B">
        <w:rPr>
          <w:sz w:val="22"/>
          <w:szCs w:val="22"/>
        </w:rPr>
        <w:t xml:space="preserve"> </w:t>
      </w:r>
      <w:r w:rsidRPr="008F7801">
        <w:rPr>
          <w:sz w:val="22"/>
          <w:szCs w:val="22"/>
        </w:rPr>
        <w:t>demographically diverse and provide good g</w:t>
      </w:r>
      <w:r w:rsidRPr="008F7801" w:rsidR="002E5054">
        <w:rPr>
          <w:sz w:val="22"/>
          <w:szCs w:val="22"/>
        </w:rPr>
        <w:t>eographical coverage of the U.S</w:t>
      </w:r>
      <w:r w:rsidRPr="008F7801">
        <w:rPr>
          <w:sz w:val="22"/>
          <w:szCs w:val="22"/>
        </w:rPr>
        <w:t xml:space="preserve">. </w:t>
      </w:r>
      <w:r w:rsidRPr="008F7801" w:rsidR="00C652E0">
        <w:rPr>
          <w:sz w:val="22"/>
          <w:szCs w:val="22"/>
        </w:rPr>
        <w:t>Random sampling will allow</w:t>
      </w:r>
      <w:r w:rsidRPr="008F7801">
        <w:rPr>
          <w:sz w:val="22"/>
          <w:szCs w:val="22"/>
        </w:rPr>
        <w:t xml:space="preserve"> the results of collections covered by this generic OMB package </w:t>
      </w:r>
      <w:r w:rsidRPr="008F7801" w:rsidR="00C652E0">
        <w:rPr>
          <w:sz w:val="22"/>
          <w:szCs w:val="22"/>
        </w:rPr>
        <w:t>to</w:t>
      </w:r>
      <w:r w:rsidRPr="008F7801">
        <w:rPr>
          <w:sz w:val="22"/>
          <w:szCs w:val="22"/>
        </w:rPr>
        <w:t xml:space="preserve"> be used to generalize to the population of retail food establishments in </w:t>
      </w:r>
      <w:r w:rsidRPr="008F7801">
        <w:rPr>
          <w:sz w:val="22"/>
          <w:szCs w:val="22"/>
        </w:rPr>
        <w:t xml:space="preserve">the </w:t>
      </w:r>
      <w:r w:rsidRPr="008F7801">
        <w:rPr>
          <w:sz w:val="22"/>
          <w:szCs w:val="22"/>
        </w:rPr>
        <w:t xml:space="preserve">given </w:t>
      </w:r>
      <w:r w:rsidRPr="008F7801">
        <w:rPr>
          <w:sz w:val="22"/>
          <w:szCs w:val="22"/>
        </w:rPr>
        <w:t>EHS-Net site</w:t>
      </w:r>
      <w:r w:rsidRPr="008F7801">
        <w:rPr>
          <w:sz w:val="22"/>
          <w:szCs w:val="22"/>
        </w:rPr>
        <w:t xml:space="preserve">s. Furthermore, the geographic and demographic variability across </w:t>
      </w:r>
      <w:r w:rsidRPr="008F7801">
        <w:rPr>
          <w:sz w:val="22"/>
          <w:szCs w:val="22"/>
        </w:rPr>
        <w:t>the</w:t>
      </w:r>
      <w:r w:rsidRPr="008F7801">
        <w:rPr>
          <w:sz w:val="22"/>
          <w:szCs w:val="22"/>
        </w:rPr>
        <w:t xml:space="preserve"> sites </w:t>
      </w:r>
      <w:r w:rsidRPr="008F7801">
        <w:rPr>
          <w:sz w:val="22"/>
          <w:szCs w:val="22"/>
        </w:rPr>
        <w:t>may make it possible for</w:t>
      </w:r>
      <w:r w:rsidRPr="008F7801">
        <w:rPr>
          <w:sz w:val="22"/>
          <w:szCs w:val="22"/>
        </w:rPr>
        <w:t xml:space="preserve"> CDC to use data collected from these studies to draw conclusions about relationships that are likely relevant to establishments in other parts of the U.S.</w:t>
      </w:r>
    </w:p>
    <w:p w:rsidR="003D57F8" w:rsidRPr="008F7801" w:rsidP="00EB4488" w14:paraId="4D47E8B9" w14:textId="77777777">
      <w:pPr>
        <w:autoSpaceDE w:val="0"/>
        <w:autoSpaceDN w:val="0"/>
        <w:adjustRightInd w:val="0"/>
        <w:ind w:left="432" w:hanging="432"/>
        <w:rPr>
          <w:b/>
          <w:sz w:val="22"/>
          <w:szCs w:val="22"/>
        </w:rPr>
      </w:pPr>
    </w:p>
    <w:p w:rsidR="00CC3730" w:rsidRPr="008F7801" w:rsidP="00EB4488" w14:paraId="5AB7CDEF" w14:textId="77777777">
      <w:pPr>
        <w:autoSpaceDE w:val="0"/>
        <w:autoSpaceDN w:val="0"/>
        <w:adjustRightInd w:val="0"/>
        <w:ind w:left="432" w:hanging="432"/>
        <w:rPr>
          <w:b/>
          <w:sz w:val="22"/>
          <w:szCs w:val="22"/>
        </w:rPr>
      </w:pPr>
      <w:r w:rsidRPr="008F7801">
        <w:rPr>
          <w:b/>
          <w:sz w:val="22"/>
          <w:szCs w:val="22"/>
        </w:rPr>
        <w:t>A.</w:t>
      </w:r>
      <w:r w:rsidRPr="008F7801">
        <w:rPr>
          <w:b/>
          <w:sz w:val="22"/>
          <w:szCs w:val="22"/>
        </w:rPr>
        <w:t xml:space="preserve">3. Use of Improved Information Technology and Burden Reduction </w:t>
      </w:r>
    </w:p>
    <w:p w:rsidR="00527DC9" w:rsidRPr="008F7801" w:rsidP="00EB4488" w14:paraId="586423A9" w14:textId="77777777">
      <w:pPr>
        <w:autoSpaceDE w:val="0"/>
        <w:autoSpaceDN w:val="0"/>
        <w:adjustRightInd w:val="0"/>
        <w:ind w:left="432" w:hanging="432"/>
        <w:rPr>
          <w:b/>
          <w:sz w:val="22"/>
          <w:szCs w:val="22"/>
        </w:rPr>
      </w:pPr>
    </w:p>
    <w:p w:rsidR="00012D17" w:rsidRPr="008F7801" w:rsidP="002641C2" w14:paraId="14B9026F" w14:textId="5161717B">
      <w:pPr>
        <w:autoSpaceDE w:val="0"/>
        <w:autoSpaceDN w:val="0"/>
        <w:adjustRightInd w:val="0"/>
        <w:rPr>
          <w:sz w:val="22"/>
          <w:szCs w:val="22"/>
        </w:rPr>
      </w:pPr>
      <w:r w:rsidRPr="008F7801">
        <w:rPr>
          <w:sz w:val="22"/>
          <w:szCs w:val="22"/>
        </w:rPr>
        <w:t xml:space="preserve">Most </w:t>
      </w:r>
      <w:r w:rsidRPr="008F7801" w:rsidR="00F1784D">
        <w:rPr>
          <w:sz w:val="22"/>
          <w:szCs w:val="22"/>
        </w:rPr>
        <w:t xml:space="preserve">EHS-Net data collections will involve </w:t>
      </w:r>
      <w:r w:rsidRPr="008F7801">
        <w:rPr>
          <w:sz w:val="22"/>
          <w:szCs w:val="22"/>
        </w:rPr>
        <w:t xml:space="preserve">face-to-face </w:t>
      </w:r>
      <w:r w:rsidRPr="008F7801">
        <w:rPr>
          <w:sz w:val="22"/>
          <w:szCs w:val="22"/>
        </w:rPr>
        <w:t xml:space="preserve">or telephone </w:t>
      </w:r>
      <w:r w:rsidRPr="008F7801" w:rsidR="00F1784D">
        <w:rPr>
          <w:sz w:val="22"/>
          <w:szCs w:val="22"/>
        </w:rPr>
        <w:t xml:space="preserve">interviews with respondents. Thus, respondents will provide their responses verbally to interviewers. </w:t>
      </w:r>
      <w:r w:rsidRPr="008F7801">
        <w:rPr>
          <w:sz w:val="22"/>
          <w:szCs w:val="22"/>
        </w:rPr>
        <w:t xml:space="preserve">Verbal responses, compared to typed or hand-written responses, are easier for </w:t>
      </w:r>
      <w:r w:rsidRPr="008F7801" w:rsidR="00B21BB1">
        <w:rPr>
          <w:sz w:val="22"/>
          <w:szCs w:val="22"/>
        </w:rPr>
        <w:t>most</w:t>
      </w:r>
      <w:r w:rsidRPr="008F7801">
        <w:rPr>
          <w:sz w:val="22"/>
          <w:szCs w:val="22"/>
        </w:rPr>
        <w:t xml:space="preserve"> respondents to provide</w:t>
      </w:r>
      <w:r w:rsidRPr="008F7801" w:rsidR="00F1784D">
        <w:rPr>
          <w:sz w:val="22"/>
          <w:szCs w:val="22"/>
        </w:rPr>
        <w:t xml:space="preserve">. </w:t>
      </w:r>
      <w:r w:rsidRPr="008F7801" w:rsidR="00496F3F">
        <w:rPr>
          <w:sz w:val="22"/>
          <w:szCs w:val="22"/>
        </w:rPr>
        <w:t>I</w:t>
      </w:r>
      <w:r w:rsidRPr="008F7801">
        <w:rPr>
          <w:sz w:val="22"/>
          <w:szCs w:val="22"/>
        </w:rPr>
        <w:t xml:space="preserve">n some cases, data collections may also involve a short pen-and-paper assessment. An example would be a food safety knowledge assessment. In these cases, we would ensure that the required written response is easy and simple- circling an answer choice, for example.  </w:t>
      </w:r>
    </w:p>
    <w:p w:rsidR="00012D17" w:rsidRPr="008F7801" w:rsidP="002641C2" w14:paraId="189F0F5A" w14:textId="77777777">
      <w:pPr>
        <w:autoSpaceDE w:val="0"/>
        <w:autoSpaceDN w:val="0"/>
        <w:adjustRightInd w:val="0"/>
        <w:rPr>
          <w:sz w:val="22"/>
          <w:szCs w:val="22"/>
        </w:rPr>
      </w:pPr>
    </w:p>
    <w:p w:rsidR="00A30F9C" w:rsidRPr="008F7801" w:rsidP="00512184" w14:paraId="291CBDEC" w14:textId="1CB9BBA7">
      <w:pPr>
        <w:autoSpaceDE w:val="0"/>
        <w:autoSpaceDN w:val="0"/>
        <w:adjustRightInd w:val="0"/>
        <w:rPr>
          <w:sz w:val="22"/>
          <w:szCs w:val="22"/>
        </w:rPr>
      </w:pPr>
      <w:r w:rsidRPr="008F7801">
        <w:rPr>
          <w:sz w:val="22"/>
          <w:szCs w:val="22"/>
        </w:rPr>
        <w:t>Participation in all EHS-Net data collections is voluntary, and e</w:t>
      </w:r>
      <w:r w:rsidRPr="008F7801" w:rsidR="00F1784D">
        <w:rPr>
          <w:sz w:val="22"/>
          <w:szCs w:val="22"/>
        </w:rPr>
        <w:t xml:space="preserve">very effort will be made to </w:t>
      </w:r>
      <w:r w:rsidRPr="008F7801" w:rsidR="00C91BD3">
        <w:rPr>
          <w:sz w:val="22"/>
          <w:szCs w:val="22"/>
        </w:rPr>
        <w:t>reduce the overall burden on respondents</w:t>
      </w:r>
      <w:r w:rsidR="00CA0374">
        <w:rPr>
          <w:sz w:val="22"/>
          <w:szCs w:val="22"/>
        </w:rPr>
        <w:t xml:space="preserve"> while still</w:t>
      </w:r>
      <w:r w:rsidR="00B21BB1">
        <w:rPr>
          <w:sz w:val="22"/>
          <w:szCs w:val="22"/>
        </w:rPr>
        <w:t xml:space="preserve"> </w:t>
      </w:r>
      <w:r w:rsidRPr="008F7801" w:rsidR="00F1784D">
        <w:rPr>
          <w:sz w:val="22"/>
          <w:szCs w:val="22"/>
        </w:rPr>
        <w:t>meet</w:t>
      </w:r>
      <w:r w:rsidR="00CA0374">
        <w:rPr>
          <w:sz w:val="22"/>
          <w:szCs w:val="22"/>
        </w:rPr>
        <w:t>ing</w:t>
      </w:r>
      <w:r w:rsidRPr="008F7801" w:rsidR="00F1784D">
        <w:rPr>
          <w:sz w:val="22"/>
          <w:szCs w:val="22"/>
        </w:rPr>
        <w:t xml:space="preserve"> the needs of the </w:t>
      </w:r>
      <w:r w:rsidRPr="008F7801" w:rsidR="00E72E7E">
        <w:rPr>
          <w:sz w:val="22"/>
          <w:szCs w:val="22"/>
        </w:rPr>
        <w:t>data collections</w:t>
      </w:r>
      <w:r w:rsidRPr="008F7801" w:rsidR="00F1784D">
        <w:rPr>
          <w:sz w:val="22"/>
          <w:szCs w:val="22"/>
        </w:rPr>
        <w:t xml:space="preserve">. </w:t>
      </w:r>
    </w:p>
    <w:p w:rsidR="00A30F9C" w:rsidRPr="008F7801" w:rsidP="00512184" w14:paraId="4EAED27C" w14:textId="77777777">
      <w:pPr>
        <w:autoSpaceDE w:val="0"/>
        <w:autoSpaceDN w:val="0"/>
        <w:adjustRightInd w:val="0"/>
        <w:rPr>
          <w:b/>
          <w:sz w:val="22"/>
          <w:szCs w:val="22"/>
        </w:rPr>
      </w:pPr>
    </w:p>
    <w:p w:rsidR="00CC3730" w:rsidRPr="008F7801" w:rsidP="00512184" w14:paraId="23CDD164" w14:textId="77777777">
      <w:pPr>
        <w:autoSpaceDE w:val="0"/>
        <w:autoSpaceDN w:val="0"/>
        <w:adjustRightInd w:val="0"/>
        <w:rPr>
          <w:b/>
          <w:sz w:val="22"/>
          <w:szCs w:val="22"/>
        </w:rPr>
      </w:pPr>
      <w:r w:rsidRPr="008F7801">
        <w:rPr>
          <w:b/>
          <w:sz w:val="22"/>
          <w:szCs w:val="22"/>
        </w:rPr>
        <w:t>A.</w:t>
      </w:r>
      <w:r w:rsidRPr="008F7801">
        <w:rPr>
          <w:b/>
          <w:sz w:val="22"/>
          <w:szCs w:val="22"/>
        </w:rPr>
        <w:t xml:space="preserve">4. Efforts to Identify Duplication and Use of Similar Information </w:t>
      </w:r>
    </w:p>
    <w:p w:rsidR="0034639A" w:rsidRPr="008F7801" w:rsidP="00EB4488" w14:paraId="29E6A3D9" w14:textId="77777777">
      <w:pPr>
        <w:ind w:left="252"/>
        <w:rPr>
          <w:sz w:val="20"/>
          <w:szCs w:val="20"/>
        </w:rPr>
      </w:pPr>
    </w:p>
    <w:p w:rsidR="00BB2C1D" w:rsidRPr="008F7801" w:rsidP="00BB2C1D" w14:paraId="1028905B" w14:textId="38EDDFF3">
      <w:pPr>
        <w:autoSpaceDE w:val="0"/>
        <w:autoSpaceDN w:val="0"/>
        <w:adjustRightInd w:val="0"/>
        <w:rPr>
          <w:sz w:val="22"/>
          <w:szCs w:val="22"/>
        </w:rPr>
      </w:pPr>
      <w:r w:rsidRPr="008F7801">
        <w:rPr>
          <w:sz w:val="22"/>
          <w:szCs w:val="22"/>
        </w:rPr>
        <w:t>EHS-Net strives to ensure that the data collections proposed are not a duplication of effort. We search relevant scientific bibliographical databases (e.g., PubMed, Ovid, Agricola), attend national meetings (e.g., National Environmental Health Association, International Association of Food Protection), and consult with other organizations (e.g., FDA, USDA) concerning research on the proposed topics. We have determined that there is little high</w:t>
      </w:r>
      <w:r w:rsidR="00BC5F86">
        <w:rPr>
          <w:sz w:val="22"/>
          <w:szCs w:val="22"/>
        </w:rPr>
        <w:t>-</w:t>
      </w:r>
      <w:r w:rsidRPr="008F7801">
        <w:rPr>
          <w:sz w:val="22"/>
          <w:szCs w:val="22"/>
        </w:rPr>
        <w:t xml:space="preserve">quality data available on retail food worker and establishment characteristics combined with food handling and food safety practices. </w:t>
      </w:r>
      <w:r w:rsidR="00E34D69">
        <w:rPr>
          <w:sz w:val="22"/>
          <w:szCs w:val="22"/>
        </w:rPr>
        <w:t>P</w:t>
      </w:r>
      <w:r w:rsidRPr="008F7801">
        <w:rPr>
          <w:sz w:val="22"/>
          <w:szCs w:val="22"/>
        </w:rPr>
        <w:t>rior to designing each data collection, we will conduct a comprehensive review of the scientific literature to determine if data already exist on the specific topic of interest.</w:t>
      </w:r>
    </w:p>
    <w:p w:rsidR="00867B62" w:rsidRPr="008F7801" w:rsidP="00C769D3" w14:paraId="7F36A256" w14:textId="77777777">
      <w:pPr>
        <w:autoSpaceDE w:val="0"/>
        <w:autoSpaceDN w:val="0"/>
        <w:adjustRightInd w:val="0"/>
        <w:rPr>
          <w:sz w:val="22"/>
          <w:szCs w:val="22"/>
        </w:rPr>
      </w:pPr>
    </w:p>
    <w:p w:rsidR="00CC3730" w:rsidRPr="008F7801" w:rsidP="00C769D3" w14:paraId="6DFEAEAE" w14:textId="77777777">
      <w:pPr>
        <w:autoSpaceDE w:val="0"/>
        <w:autoSpaceDN w:val="0"/>
        <w:adjustRightInd w:val="0"/>
        <w:rPr>
          <w:b/>
          <w:sz w:val="22"/>
          <w:szCs w:val="22"/>
        </w:rPr>
      </w:pPr>
      <w:r w:rsidRPr="008F7801">
        <w:rPr>
          <w:b/>
          <w:sz w:val="22"/>
          <w:szCs w:val="22"/>
        </w:rPr>
        <w:t>A.</w:t>
      </w:r>
      <w:r w:rsidRPr="008F7801">
        <w:rPr>
          <w:b/>
          <w:sz w:val="22"/>
          <w:szCs w:val="22"/>
        </w:rPr>
        <w:t xml:space="preserve">5. Impact on Small Businesses or Other Small Entities </w:t>
      </w:r>
    </w:p>
    <w:p w:rsidR="00527DC9" w:rsidRPr="008F7801" w:rsidP="00EB4488" w14:paraId="5E8049B6" w14:textId="77777777">
      <w:pPr>
        <w:autoSpaceDE w:val="0"/>
        <w:autoSpaceDN w:val="0"/>
        <w:adjustRightInd w:val="0"/>
        <w:ind w:left="432" w:hanging="432"/>
        <w:rPr>
          <w:b/>
          <w:sz w:val="22"/>
          <w:szCs w:val="22"/>
        </w:rPr>
      </w:pPr>
    </w:p>
    <w:p w:rsidR="00BB2C1D" w:rsidRPr="008F7801" w:rsidP="00BB2C1D" w14:paraId="7A98B8BC" w14:textId="6C0BC059">
      <w:pPr>
        <w:autoSpaceDE w:val="0"/>
        <w:autoSpaceDN w:val="0"/>
        <w:adjustRightInd w:val="0"/>
        <w:rPr>
          <w:iCs/>
          <w:sz w:val="22"/>
          <w:szCs w:val="22"/>
        </w:rPr>
      </w:pPr>
      <w:r w:rsidRPr="008F7801">
        <w:rPr>
          <w:sz w:val="22"/>
          <w:szCs w:val="22"/>
        </w:rPr>
        <w:t xml:space="preserve">We expect that about half of the restaurants contacted for participation in </w:t>
      </w:r>
      <w:r w:rsidR="004D4760">
        <w:rPr>
          <w:sz w:val="22"/>
          <w:szCs w:val="22"/>
        </w:rPr>
        <w:t xml:space="preserve">EHS-Net </w:t>
      </w:r>
      <w:r w:rsidRPr="008F7801">
        <w:rPr>
          <w:sz w:val="22"/>
          <w:szCs w:val="22"/>
        </w:rPr>
        <w:t>stud</w:t>
      </w:r>
      <w:r w:rsidR="004D4760">
        <w:rPr>
          <w:sz w:val="22"/>
          <w:szCs w:val="22"/>
        </w:rPr>
        <w:t>ies</w:t>
      </w:r>
      <w:r w:rsidRPr="008F7801">
        <w:rPr>
          <w:sz w:val="22"/>
          <w:szCs w:val="22"/>
        </w:rPr>
        <w:t xml:space="preserve"> will be small businesses. Given that</w:t>
      </w:r>
      <w:r w:rsidRPr="008F7801">
        <w:rPr>
          <w:color w:val="FF0000"/>
          <w:sz w:val="22"/>
          <w:szCs w:val="22"/>
        </w:rPr>
        <w:t xml:space="preserve"> </w:t>
      </w:r>
      <w:r w:rsidRPr="008F7801">
        <w:rPr>
          <w:sz w:val="22"/>
          <w:szCs w:val="22"/>
        </w:rPr>
        <w:t xml:space="preserve">small businesses are likely to have different experiences and practices than larger businesses, it is important that small businesses be included in data collections. </w:t>
      </w:r>
      <w:r w:rsidRPr="008F7801">
        <w:rPr>
          <w:iCs/>
          <w:sz w:val="22"/>
          <w:szCs w:val="22"/>
        </w:rPr>
        <w:t xml:space="preserve">Short forms for small businesses will not be developed. Both large and small businesses will be presented with the same questions, and the results will be assessed for differences by various restaurant characteristics (e.g. seating </w:t>
      </w:r>
      <w:r w:rsidRPr="008F7801">
        <w:rPr>
          <w:iCs/>
          <w:sz w:val="22"/>
          <w:szCs w:val="22"/>
        </w:rPr>
        <w:t>capacity, number of food service workers, level of food</w:t>
      </w:r>
      <w:r w:rsidRPr="008F7801" w:rsidR="000D5439">
        <w:rPr>
          <w:iCs/>
          <w:sz w:val="22"/>
          <w:szCs w:val="22"/>
        </w:rPr>
        <w:t xml:space="preserve"> </w:t>
      </w:r>
      <w:r w:rsidRPr="008F7801">
        <w:rPr>
          <w:iCs/>
          <w:sz w:val="22"/>
          <w:szCs w:val="22"/>
        </w:rPr>
        <w:t xml:space="preserve">handling, etc.). We will, however, strive to hold the number of questions to the minimum needed for the intended use of the data.  </w:t>
      </w:r>
    </w:p>
    <w:p w:rsidR="00527DC9" w:rsidRPr="008F7801" w:rsidP="00EB4488" w14:paraId="4FF3FA88" w14:textId="77777777">
      <w:pPr>
        <w:autoSpaceDE w:val="0"/>
        <w:autoSpaceDN w:val="0"/>
        <w:adjustRightInd w:val="0"/>
        <w:ind w:left="432" w:hanging="432"/>
        <w:rPr>
          <w:b/>
          <w:sz w:val="22"/>
          <w:szCs w:val="22"/>
        </w:rPr>
      </w:pPr>
    </w:p>
    <w:p w:rsidR="00CC3730" w:rsidRPr="008F7801" w:rsidP="00EB4488" w14:paraId="5DDF2585" w14:textId="77777777">
      <w:pPr>
        <w:autoSpaceDE w:val="0"/>
        <w:autoSpaceDN w:val="0"/>
        <w:adjustRightInd w:val="0"/>
        <w:ind w:left="432" w:hanging="432"/>
        <w:rPr>
          <w:b/>
          <w:sz w:val="22"/>
          <w:szCs w:val="22"/>
        </w:rPr>
      </w:pPr>
      <w:r w:rsidRPr="008F7801">
        <w:rPr>
          <w:b/>
          <w:sz w:val="22"/>
          <w:szCs w:val="22"/>
        </w:rPr>
        <w:t>A.</w:t>
      </w:r>
      <w:r w:rsidRPr="008F7801">
        <w:rPr>
          <w:b/>
          <w:sz w:val="22"/>
          <w:szCs w:val="22"/>
        </w:rPr>
        <w:t>6. Consequences of Collecting the Information Less Frequently</w:t>
      </w:r>
      <w:r w:rsidRPr="008F7801" w:rsidR="001331BC">
        <w:rPr>
          <w:b/>
          <w:sz w:val="22"/>
          <w:szCs w:val="22"/>
        </w:rPr>
        <w:t xml:space="preserve"> </w:t>
      </w:r>
    </w:p>
    <w:p w:rsidR="00527DC9" w:rsidRPr="008F7801" w:rsidP="00EB4488" w14:paraId="54AF51A8" w14:textId="77777777">
      <w:pPr>
        <w:autoSpaceDE w:val="0"/>
        <w:autoSpaceDN w:val="0"/>
        <w:adjustRightInd w:val="0"/>
        <w:ind w:left="432" w:hanging="432"/>
        <w:rPr>
          <w:b/>
          <w:sz w:val="22"/>
          <w:szCs w:val="22"/>
        </w:rPr>
      </w:pPr>
    </w:p>
    <w:p w:rsidR="00BB2C1D" w:rsidRPr="008F7801" w:rsidP="00BB2C1D" w14:paraId="64DC7AE9" w14:textId="71FCA959">
      <w:pPr>
        <w:rPr>
          <w:sz w:val="22"/>
          <w:szCs w:val="22"/>
        </w:rPr>
      </w:pPr>
      <w:r w:rsidRPr="008F7801">
        <w:rPr>
          <w:sz w:val="22"/>
          <w:szCs w:val="22"/>
        </w:rPr>
        <w:t xml:space="preserve">Respondents will be asked to respond to each data collection only one time. If this data collection is not conducted, it will be more difficult for CDC, other federal, </w:t>
      </w:r>
      <w:r w:rsidRPr="008F7801">
        <w:rPr>
          <w:sz w:val="22"/>
          <w:szCs w:val="22"/>
        </w:rPr>
        <w:t>state</w:t>
      </w:r>
      <w:r w:rsidRPr="008F7801">
        <w:rPr>
          <w:sz w:val="22"/>
          <w:szCs w:val="22"/>
        </w:rPr>
        <w:t xml:space="preserve"> and local food safety programs, and the food service industry to address the environmental factors that are associated with foodborne illness. In turn, it will be more difficult to decrease the number </w:t>
      </w:r>
      <w:r w:rsidRPr="008F7801">
        <w:rPr>
          <w:iCs/>
          <w:sz w:val="22"/>
          <w:szCs w:val="22"/>
        </w:rPr>
        <w:t xml:space="preserve">of incidents of foodborne illness caused by these factors and for CDC </w:t>
      </w:r>
      <w:r w:rsidRPr="008F7801">
        <w:rPr>
          <w:sz w:val="22"/>
          <w:szCs w:val="22"/>
        </w:rPr>
        <w:t xml:space="preserve">to fully address </w:t>
      </w:r>
      <w:r w:rsidRPr="008F7801">
        <w:rPr>
          <w:iCs/>
          <w:sz w:val="22"/>
          <w:szCs w:val="22"/>
        </w:rPr>
        <w:t xml:space="preserve">the </w:t>
      </w:r>
      <w:r w:rsidRPr="000C1BDF">
        <w:rPr>
          <w:iCs/>
          <w:sz w:val="22"/>
          <w:szCs w:val="22"/>
        </w:rPr>
        <w:t xml:space="preserve">U.S. Department of Health and Human Services’ Healthy People </w:t>
      </w:r>
      <w:r w:rsidRPr="00461DCD">
        <w:rPr>
          <w:iCs/>
          <w:sz w:val="22"/>
          <w:szCs w:val="22"/>
        </w:rPr>
        <w:t>20</w:t>
      </w:r>
      <w:r w:rsidRPr="00C969CF" w:rsidR="000C1BDF">
        <w:rPr>
          <w:iCs/>
          <w:sz w:val="22"/>
          <w:szCs w:val="22"/>
        </w:rPr>
        <w:t>3</w:t>
      </w:r>
      <w:r w:rsidRPr="00461DCD">
        <w:rPr>
          <w:iCs/>
          <w:sz w:val="22"/>
          <w:szCs w:val="22"/>
        </w:rPr>
        <w:t>0 Goal</w:t>
      </w:r>
      <w:r w:rsidRPr="00C969CF" w:rsidR="003C3A00">
        <w:rPr>
          <w:iCs/>
          <w:sz w:val="22"/>
          <w:szCs w:val="22"/>
        </w:rPr>
        <w:t>s</w:t>
      </w:r>
      <w:r w:rsidRPr="00461DCD">
        <w:rPr>
          <w:iCs/>
          <w:sz w:val="22"/>
          <w:szCs w:val="22"/>
        </w:rPr>
        <w:t xml:space="preserve"> to “</w:t>
      </w:r>
      <w:r w:rsidRPr="00461DCD" w:rsidR="003C3A00">
        <w:rPr>
          <w:sz w:val="22"/>
          <w:szCs w:val="22"/>
        </w:rPr>
        <w:t>Improve food handling practices and reduce foodborne illnesses</w:t>
      </w:r>
      <w:r w:rsidRPr="00461DCD">
        <w:rPr>
          <w:iCs/>
          <w:sz w:val="22"/>
          <w:szCs w:val="22"/>
        </w:rPr>
        <w:t xml:space="preserve">.” </w:t>
      </w:r>
      <w:r w:rsidRPr="00461DCD">
        <w:rPr>
          <w:sz w:val="22"/>
          <w:szCs w:val="22"/>
        </w:rPr>
        <w:t>There</w:t>
      </w:r>
      <w:r w:rsidRPr="008F7801">
        <w:rPr>
          <w:sz w:val="22"/>
          <w:szCs w:val="22"/>
        </w:rPr>
        <w:t xml:space="preserve"> are no legal obstacles to reduce the burden.</w:t>
      </w:r>
    </w:p>
    <w:p w:rsidR="00450402" w:rsidRPr="008F7801" w:rsidP="00EB4488" w14:paraId="79643786" w14:textId="77777777">
      <w:pPr>
        <w:autoSpaceDE w:val="0"/>
        <w:autoSpaceDN w:val="0"/>
        <w:adjustRightInd w:val="0"/>
        <w:ind w:left="432" w:hanging="432"/>
        <w:rPr>
          <w:b/>
          <w:sz w:val="22"/>
          <w:szCs w:val="22"/>
        </w:rPr>
      </w:pPr>
    </w:p>
    <w:p w:rsidR="64F7B2F5" w:rsidP="64F7B2F5" w14:paraId="3490B702" w14:textId="334B436E">
      <w:pPr>
        <w:ind w:left="432" w:hanging="432"/>
        <w:rPr>
          <w:b/>
          <w:bCs/>
          <w:sz w:val="22"/>
          <w:szCs w:val="22"/>
        </w:rPr>
      </w:pPr>
    </w:p>
    <w:p w:rsidR="00CC3730" w:rsidRPr="008F7801" w:rsidP="00EB4488" w14:paraId="14B30BB0" w14:textId="77777777">
      <w:pPr>
        <w:autoSpaceDE w:val="0"/>
        <w:autoSpaceDN w:val="0"/>
        <w:adjustRightInd w:val="0"/>
        <w:ind w:left="432" w:hanging="432"/>
        <w:rPr>
          <w:b/>
          <w:sz w:val="22"/>
          <w:szCs w:val="22"/>
        </w:rPr>
      </w:pPr>
      <w:r w:rsidRPr="008F7801">
        <w:rPr>
          <w:b/>
          <w:sz w:val="22"/>
          <w:szCs w:val="22"/>
        </w:rPr>
        <w:t>A.</w:t>
      </w:r>
      <w:r w:rsidRPr="008F7801">
        <w:rPr>
          <w:b/>
          <w:sz w:val="22"/>
          <w:szCs w:val="22"/>
        </w:rPr>
        <w:t xml:space="preserve">7. Special Circumstances Relating to the Guidelines of 5 CFR 1320.5 </w:t>
      </w:r>
    </w:p>
    <w:p w:rsidR="00CA0AA5" w:rsidRPr="008F7801" w:rsidP="00EB4488" w14:paraId="33D42A17" w14:textId="77777777">
      <w:pPr>
        <w:autoSpaceDE w:val="0"/>
        <w:autoSpaceDN w:val="0"/>
        <w:adjustRightInd w:val="0"/>
        <w:ind w:left="432" w:hanging="432"/>
        <w:rPr>
          <w:b/>
          <w:sz w:val="22"/>
          <w:szCs w:val="22"/>
        </w:rPr>
      </w:pPr>
    </w:p>
    <w:p w:rsidR="00CC4D9E" w:rsidRPr="008F7801" w:rsidP="00814657" w14:paraId="6D5F954F" w14:textId="77777777">
      <w:pPr>
        <w:rPr>
          <w:sz w:val="22"/>
          <w:szCs w:val="22"/>
        </w:rPr>
      </w:pPr>
      <w:r w:rsidRPr="008F7801">
        <w:rPr>
          <w:sz w:val="22"/>
          <w:szCs w:val="22"/>
        </w:rPr>
        <w:t xml:space="preserve">There are no special circumstances </w:t>
      </w:r>
      <w:r w:rsidRPr="008F7801" w:rsidR="00536695">
        <w:rPr>
          <w:sz w:val="22"/>
          <w:szCs w:val="22"/>
        </w:rPr>
        <w:t>with information collection package</w:t>
      </w:r>
      <w:r w:rsidRPr="008F7801">
        <w:rPr>
          <w:sz w:val="22"/>
          <w:szCs w:val="22"/>
        </w:rPr>
        <w:t xml:space="preserve">. </w:t>
      </w:r>
      <w:r w:rsidRPr="008F7801" w:rsidR="00536695">
        <w:rPr>
          <w:sz w:val="22"/>
          <w:szCs w:val="22"/>
        </w:rPr>
        <w:t>This request fully</w:t>
      </w:r>
      <w:r w:rsidRPr="008F7801">
        <w:rPr>
          <w:sz w:val="22"/>
          <w:szCs w:val="22"/>
        </w:rPr>
        <w:t xml:space="preserve"> co</w:t>
      </w:r>
      <w:r w:rsidRPr="008F7801" w:rsidR="00496F3F">
        <w:rPr>
          <w:sz w:val="22"/>
          <w:szCs w:val="22"/>
        </w:rPr>
        <w:t>mpl</w:t>
      </w:r>
      <w:r w:rsidRPr="008F7801" w:rsidR="00536695">
        <w:rPr>
          <w:sz w:val="22"/>
          <w:szCs w:val="22"/>
        </w:rPr>
        <w:t>ies</w:t>
      </w:r>
      <w:r w:rsidRPr="008F7801">
        <w:rPr>
          <w:sz w:val="22"/>
          <w:szCs w:val="22"/>
        </w:rPr>
        <w:t xml:space="preserve"> with 5 CFR 1320.5</w:t>
      </w:r>
      <w:r w:rsidRPr="008F7801" w:rsidR="00536695">
        <w:rPr>
          <w:sz w:val="22"/>
          <w:szCs w:val="22"/>
        </w:rPr>
        <w:t xml:space="preserve"> and will be voluntary</w:t>
      </w:r>
      <w:r w:rsidRPr="008F7801">
        <w:rPr>
          <w:sz w:val="22"/>
          <w:szCs w:val="22"/>
        </w:rPr>
        <w:t>.</w:t>
      </w:r>
    </w:p>
    <w:p w:rsidR="00CA0AA5" w:rsidRPr="008F7801" w:rsidP="00EB4488" w14:paraId="06EFF98E" w14:textId="77777777">
      <w:pPr>
        <w:autoSpaceDE w:val="0"/>
        <w:autoSpaceDN w:val="0"/>
        <w:adjustRightInd w:val="0"/>
        <w:ind w:left="432" w:hanging="432"/>
        <w:rPr>
          <w:b/>
          <w:sz w:val="22"/>
          <w:szCs w:val="22"/>
        </w:rPr>
      </w:pPr>
    </w:p>
    <w:p w:rsidR="00CC3730" w:rsidRPr="008F7801" w:rsidP="00EB4488" w14:paraId="3F4567D2" w14:textId="77777777">
      <w:pPr>
        <w:autoSpaceDE w:val="0"/>
        <w:autoSpaceDN w:val="0"/>
        <w:adjustRightInd w:val="0"/>
        <w:ind w:left="432" w:hanging="432"/>
        <w:rPr>
          <w:b/>
          <w:sz w:val="22"/>
          <w:szCs w:val="22"/>
        </w:rPr>
      </w:pPr>
      <w:r w:rsidRPr="008F7801">
        <w:rPr>
          <w:b/>
          <w:sz w:val="22"/>
          <w:szCs w:val="22"/>
        </w:rPr>
        <w:t>A.</w:t>
      </w:r>
      <w:r w:rsidRPr="008F7801">
        <w:rPr>
          <w:b/>
          <w:sz w:val="22"/>
          <w:szCs w:val="22"/>
        </w:rPr>
        <w:t xml:space="preserve">8. Comments in Response to the </w:t>
      </w:r>
      <w:r w:rsidRPr="008F7801">
        <w:rPr>
          <w:b/>
          <w:i/>
          <w:sz w:val="22"/>
          <w:szCs w:val="22"/>
        </w:rPr>
        <w:t>Federal Register</w:t>
      </w:r>
      <w:r w:rsidRPr="008F7801">
        <w:rPr>
          <w:b/>
          <w:sz w:val="22"/>
          <w:szCs w:val="22"/>
        </w:rPr>
        <w:t xml:space="preserve"> Notice and Efforts to Consult Outside the Agency </w:t>
      </w:r>
    </w:p>
    <w:p w:rsidR="00B57428" w:rsidRPr="008F7801" w:rsidP="00D56773" w14:paraId="64ACB5B5" w14:textId="77777777">
      <w:pPr>
        <w:autoSpaceDE w:val="0"/>
        <w:autoSpaceDN w:val="0"/>
        <w:adjustRightInd w:val="0"/>
        <w:ind w:left="720" w:hanging="180"/>
        <w:rPr>
          <w:bCs/>
          <w:sz w:val="22"/>
          <w:szCs w:val="22"/>
        </w:rPr>
      </w:pPr>
    </w:p>
    <w:p w:rsidR="00BB2C1D" w:rsidP="00210CBF" w14:paraId="50C3D976" w14:textId="7ED88910">
      <w:pPr>
        <w:pStyle w:val="ListNumber2"/>
        <w:numPr>
          <w:ilvl w:val="0"/>
          <w:numId w:val="0"/>
        </w:numPr>
        <w:ind w:left="360"/>
        <w:rPr>
          <w:rFonts w:ascii="Times New Roman" w:hAnsi="Times New Roman" w:cs="Times New Roman"/>
          <w:sz w:val="22"/>
          <w:szCs w:val="22"/>
        </w:rPr>
      </w:pPr>
      <w:r w:rsidRPr="7C34C494">
        <w:rPr>
          <w:rFonts w:ascii="Times New Roman" w:hAnsi="Times New Roman" w:cs="Times New Roman"/>
          <w:sz w:val="22"/>
          <w:szCs w:val="22"/>
        </w:rPr>
        <w:t xml:space="preserve">The 60-day </w:t>
      </w:r>
      <w:r w:rsidRPr="7C34C494">
        <w:rPr>
          <w:rFonts w:ascii="Times New Roman" w:hAnsi="Times New Roman" w:cs="Times New Roman"/>
          <w:i/>
          <w:iCs/>
          <w:sz w:val="22"/>
          <w:szCs w:val="22"/>
        </w:rPr>
        <w:t>Federal Register</w:t>
      </w:r>
      <w:r w:rsidRPr="7C34C494">
        <w:rPr>
          <w:rFonts w:ascii="Times New Roman" w:hAnsi="Times New Roman" w:cs="Times New Roman"/>
          <w:sz w:val="22"/>
          <w:szCs w:val="22"/>
        </w:rPr>
        <w:t xml:space="preserve"> notice was published </w:t>
      </w:r>
      <w:r w:rsidRPr="7C34C494" w:rsidR="001166F3">
        <w:rPr>
          <w:rFonts w:ascii="Times New Roman" w:hAnsi="Times New Roman" w:cs="Times New Roman"/>
          <w:sz w:val="22"/>
          <w:szCs w:val="22"/>
        </w:rPr>
        <w:t>August 9</w:t>
      </w:r>
      <w:r w:rsidRPr="7C34C494" w:rsidR="008754C2">
        <w:rPr>
          <w:rFonts w:ascii="Times New Roman" w:hAnsi="Times New Roman" w:cs="Times New Roman"/>
          <w:sz w:val="22"/>
          <w:szCs w:val="22"/>
        </w:rPr>
        <w:t xml:space="preserve">, </w:t>
      </w:r>
      <w:r w:rsidRPr="7C34C494" w:rsidR="0082110B">
        <w:rPr>
          <w:rFonts w:ascii="Times New Roman" w:hAnsi="Times New Roman" w:cs="Times New Roman"/>
          <w:sz w:val="22"/>
          <w:szCs w:val="22"/>
        </w:rPr>
        <w:t>2024,</w:t>
      </w:r>
      <w:r w:rsidRPr="7C34C494">
        <w:rPr>
          <w:rFonts w:ascii="Times New Roman" w:hAnsi="Times New Roman" w:cs="Times New Roman"/>
          <w:sz w:val="22"/>
          <w:szCs w:val="22"/>
        </w:rPr>
        <w:t xml:space="preserve"> in </w:t>
      </w:r>
      <w:r w:rsidRPr="7C34C494" w:rsidR="009F27BA">
        <w:rPr>
          <w:rFonts w:ascii="Times New Roman" w:hAnsi="Times New Roman" w:cs="Times New Roman"/>
          <w:sz w:val="22"/>
          <w:szCs w:val="22"/>
        </w:rPr>
        <w:t xml:space="preserve">volume </w:t>
      </w:r>
      <w:r w:rsidRPr="7C34C494" w:rsidR="001166F3">
        <w:rPr>
          <w:rFonts w:ascii="Times New Roman" w:hAnsi="Times New Roman" w:cs="Times New Roman"/>
          <w:sz w:val="22"/>
          <w:szCs w:val="22"/>
        </w:rPr>
        <w:t>89</w:t>
      </w:r>
      <w:r w:rsidRPr="7C34C494" w:rsidR="009F27BA">
        <w:rPr>
          <w:rFonts w:ascii="Times New Roman" w:hAnsi="Times New Roman" w:cs="Times New Roman"/>
          <w:sz w:val="22"/>
          <w:szCs w:val="22"/>
        </w:rPr>
        <w:t xml:space="preserve">, number </w:t>
      </w:r>
      <w:r w:rsidRPr="7C34C494" w:rsidR="001166F3">
        <w:rPr>
          <w:rFonts w:ascii="Times New Roman" w:hAnsi="Times New Roman" w:cs="Times New Roman"/>
          <w:sz w:val="22"/>
          <w:szCs w:val="22"/>
        </w:rPr>
        <w:t>154</w:t>
      </w:r>
      <w:r w:rsidRPr="7C34C494" w:rsidR="009F27BA">
        <w:rPr>
          <w:rFonts w:ascii="Times New Roman" w:hAnsi="Times New Roman" w:cs="Times New Roman"/>
          <w:sz w:val="22"/>
          <w:szCs w:val="22"/>
        </w:rPr>
        <w:t xml:space="preserve"> (p. </w:t>
      </w:r>
      <w:r w:rsidRPr="7C34C494" w:rsidR="00C7050D">
        <w:rPr>
          <w:rFonts w:ascii="Times New Roman" w:hAnsi="Times New Roman" w:cs="Times New Roman"/>
          <w:sz w:val="22"/>
          <w:szCs w:val="22"/>
        </w:rPr>
        <w:t>65356</w:t>
      </w:r>
      <w:r w:rsidRPr="7C34C494" w:rsidR="009F27BA">
        <w:rPr>
          <w:rFonts w:ascii="Times New Roman" w:hAnsi="Times New Roman" w:cs="Times New Roman"/>
          <w:sz w:val="22"/>
          <w:szCs w:val="22"/>
        </w:rPr>
        <w:t>)</w:t>
      </w:r>
      <w:r w:rsidRPr="7C34C494" w:rsidR="009879D6">
        <w:rPr>
          <w:rFonts w:ascii="Times New Roman" w:hAnsi="Times New Roman" w:cs="Times New Roman"/>
          <w:sz w:val="22"/>
          <w:szCs w:val="22"/>
        </w:rPr>
        <w:t xml:space="preserve"> (</w:t>
      </w:r>
      <w:r w:rsidRPr="7C34C494" w:rsidR="005B7C7E">
        <w:rPr>
          <w:rFonts w:ascii="Times New Roman" w:hAnsi="Times New Roman" w:cs="Times New Roman"/>
          <w:sz w:val="22"/>
          <w:szCs w:val="22"/>
        </w:rPr>
        <w:t>Attachment 2</w:t>
      </w:r>
      <w:r w:rsidRPr="7C34C494" w:rsidR="009879D6">
        <w:rPr>
          <w:rFonts w:ascii="Times New Roman" w:hAnsi="Times New Roman" w:cs="Times New Roman"/>
          <w:sz w:val="22"/>
          <w:szCs w:val="22"/>
        </w:rPr>
        <w:t>)</w:t>
      </w:r>
      <w:r w:rsidRPr="7C34C494">
        <w:rPr>
          <w:rFonts w:ascii="Times New Roman" w:hAnsi="Times New Roman" w:cs="Times New Roman"/>
          <w:sz w:val="22"/>
          <w:szCs w:val="22"/>
        </w:rPr>
        <w:t xml:space="preserve">. </w:t>
      </w:r>
      <w:r w:rsidRPr="7C34C494" w:rsidR="00C7050D">
        <w:rPr>
          <w:rFonts w:ascii="Times New Roman" w:hAnsi="Times New Roman" w:cs="Times New Roman"/>
          <w:sz w:val="22"/>
          <w:szCs w:val="22"/>
        </w:rPr>
        <w:t>T</w:t>
      </w:r>
      <w:r w:rsidRPr="7C34C494" w:rsidR="4AC6BCFC">
        <w:rPr>
          <w:rFonts w:ascii="Times New Roman" w:hAnsi="Times New Roman" w:cs="Times New Roman"/>
          <w:sz w:val="22"/>
          <w:szCs w:val="22"/>
        </w:rPr>
        <w:t>hree</w:t>
      </w:r>
      <w:r w:rsidRPr="7C34C494">
        <w:rPr>
          <w:rFonts w:ascii="Times New Roman" w:hAnsi="Times New Roman" w:cs="Times New Roman"/>
          <w:sz w:val="22"/>
          <w:szCs w:val="22"/>
        </w:rPr>
        <w:t xml:space="preserve"> comments were received in response to the 60-day </w:t>
      </w:r>
      <w:r w:rsidRPr="7C34C494" w:rsidR="00E80A65">
        <w:rPr>
          <w:rFonts w:ascii="Times New Roman" w:hAnsi="Times New Roman" w:cs="Times New Roman"/>
          <w:sz w:val="22"/>
          <w:szCs w:val="22"/>
        </w:rPr>
        <w:t>F</w:t>
      </w:r>
      <w:r w:rsidRPr="7C34C494">
        <w:rPr>
          <w:rFonts w:ascii="Times New Roman" w:hAnsi="Times New Roman" w:cs="Times New Roman"/>
          <w:sz w:val="22"/>
          <w:szCs w:val="22"/>
        </w:rPr>
        <w:t xml:space="preserve">ederal </w:t>
      </w:r>
      <w:r w:rsidRPr="7C34C494" w:rsidR="00E80A65">
        <w:rPr>
          <w:rFonts w:ascii="Times New Roman" w:hAnsi="Times New Roman" w:cs="Times New Roman"/>
          <w:sz w:val="22"/>
          <w:szCs w:val="22"/>
        </w:rPr>
        <w:t>R</w:t>
      </w:r>
      <w:r w:rsidRPr="7C34C494">
        <w:rPr>
          <w:rFonts w:ascii="Times New Roman" w:hAnsi="Times New Roman" w:cs="Times New Roman"/>
          <w:sz w:val="22"/>
          <w:szCs w:val="22"/>
        </w:rPr>
        <w:t xml:space="preserve">egister </w:t>
      </w:r>
      <w:r w:rsidRPr="7C34C494" w:rsidR="00E80A65">
        <w:rPr>
          <w:rFonts w:ascii="Times New Roman" w:hAnsi="Times New Roman" w:cs="Times New Roman"/>
          <w:sz w:val="22"/>
          <w:szCs w:val="22"/>
        </w:rPr>
        <w:t>N</w:t>
      </w:r>
      <w:r w:rsidRPr="7C34C494">
        <w:rPr>
          <w:rFonts w:ascii="Times New Roman" w:hAnsi="Times New Roman" w:cs="Times New Roman"/>
          <w:sz w:val="22"/>
          <w:szCs w:val="22"/>
        </w:rPr>
        <w:t>otice.</w:t>
      </w:r>
    </w:p>
    <w:p w:rsidR="007D49A9" w:rsidP="00210CBF" w14:paraId="0ADAD431" w14:textId="77777777">
      <w:pPr>
        <w:pStyle w:val="ListNumber2"/>
        <w:numPr>
          <w:ilvl w:val="0"/>
          <w:numId w:val="0"/>
        </w:numPr>
        <w:ind w:left="360"/>
        <w:rPr>
          <w:rFonts w:ascii="Times New Roman" w:hAnsi="Times New Roman" w:cs="Times New Roman"/>
          <w:sz w:val="22"/>
          <w:szCs w:val="22"/>
        </w:rPr>
      </w:pPr>
    </w:p>
    <w:p w:rsidR="002258BA" w:rsidP="00B05DE8" w14:paraId="660C814D" w14:textId="2DB01C3B">
      <w:pPr>
        <w:pStyle w:val="ListNumber2"/>
        <w:numPr>
          <w:ilvl w:val="0"/>
          <w:numId w:val="18"/>
        </w:numPr>
        <w:rPr>
          <w:rFonts w:ascii="Times New Roman" w:hAnsi="Times New Roman" w:cs="Times New Roman"/>
          <w:sz w:val="22"/>
          <w:szCs w:val="22"/>
        </w:rPr>
      </w:pPr>
      <w:r w:rsidRPr="7C34C494">
        <w:rPr>
          <w:rFonts w:ascii="Times New Roman" w:hAnsi="Times New Roman" w:cs="Times New Roman"/>
          <w:sz w:val="22"/>
          <w:szCs w:val="22"/>
        </w:rPr>
        <w:t>Comment 1</w:t>
      </w:r>
      <w:r w:rsidRPr="7C34C494" w:rsidR="1FFCDFC6">
        <w:rPr>
          <w:rFonts w:ascii="Times New Roman" w:hAnsi="Times New Roman" w:cs="Times New Roman"/>
          <w:sz w:val="22"/>
          <w:szCs w:val="22"/>
        </w:rPr>
        <w:t xml:space="preserve"> and </w:t>
      </w:r>
      <w:r w:rsidR="00F52611">
        <w:rPr>
          <w:rFonts w:ascii="Times New Roman" w:hAnsi="Times New Roman" w:cs="Times New Roman"/>
          <w:sz w:val="22"/>
          <w:szCs w:val="22"/>
        </w:rPr>
        <w:t>2</w:t>
      </w:r>
      <w:r w:rsidRPr="7C34C494">
        <w:rPr>
          <w:rFonts w:ascii="Times New Roman" w:hAnsi="Times New Roman" w:cs="Times New Roman"/>
          <w:sz w:val="22"/>
          <w:szCs w:val="22"/>
        </w:rPr>
        <w:t xml:space="preserve"> (attachment</w:t>
      </w:r>
      <w:r w:rsidRPr="7C34C494" w:rsidR="338A87C6">
        <w:rPr>
          <w:rFonts w:ascii="Times New Roman" w:hAnsi="Times New Roman" w:cs="Times New Roman"/>
          <w:sz w:val="22"/>
          <w:szCs w:val="22"/>
        </w:rPr>
        <w:t>s</w:t>
      </w:r>
      <w:r w:rsidRPr="7C34C494">
        <w:rPr>
          <w:rFonts w:ascii="Times New Roman" w:hAnsi="Times New Roman" w:cs="Times New Roman"/>
          <w:sz w:val="22"/>
          <w:szCs w:val="22"/>
        </w:rPr>
        <w:t xml:space="preserve"> </w:t>
      </w:r>
      <w:r w:rsidRPr="7C34C494" w:rsidR="005B7C7E">
        <w:rPr>
          <w:rFonts w:ascii="Times New Roman" w:hAnsi="Times New Roman" w:cs="Times New Roman"/>
          <w:sz w:val="22"/>
          <w:szCs w:val="22"/>
        </w:rPr>
        <w:t>2</w:t>
      </w:r>
      <w:r w:rsidRPr="7C34C494" w:rsidR="00137645">
        <w:rPr>
          <w:rFonts w:ascii="Times New Roman" w:hAnsi="Times New Roman" w:cs="Times New Roman"/>
          <w:sz w:val="22"/>
          <w:szCs w:val="22"/>
        </w:rPr>
        <w:t>a</w:t>
      </w:r>
      <w:r w:rsidRPr="7C34C494" w:rsidR="06504FD5">
        <w:rPr>
          <w:rFonts w:ascii="Times New Roman" w:hAnsi="Times New Roman" w:cs="Times New Roman"/>
          <w:sz w:val="22"/>
          <w:szCs w:val="22"/>
        </w:rPr>
        <w:t xml:space="preserve"> and 2</w:t>
      </w:r>
      <w:r w:rsidR="00F52611">
        <w:rPr>
          <w:rFonts w:ascii="Times New Roman" w:hAnsi="Times New Roman" w:cs="Times New Roman"/>
          <w:sz w:val="22"/>
          <w:szCs w:val="22"/>
        </w:rPr>
        <w:t>b</w:t>
      </w:r>
      <w:r w:rsidRPr="7C34C494">
        <w:rPr>
          <w:rFonts w:ascii="Times New Roman" w:hAnsi="Times New Roman" w:cs="Times New Roman"/>
          <w:sz w:val="22"/>
          <w:szCs w:val="22"/>
        </w:rPr>
        <w:t>) w</w:t>
      </w:r>
      <w:r w:rsidRPr="7C34C494" w:rsidR="71DFF6DF">
        <w:rPr>
          <w:rFonts w:ascii="Times New Roman" w:hAnsi="Times New Roman" w:cs="Times New Roman"/>
          <w:sz w:val="22"/>
          <w:szCs w:val="22"/>
        </w:rPr>
        <w:t>ere</w:t>
      </w:r>
      <w:r w:rsidRPr="7C34C494">
        <w:rPr>
          <w:rFonts w:ascii="Times New Roman" w:hAnsi="Times New Roman" w:cs="Times New Roman"/>
          <w:sz w:val="22"/>
          <w:szCs w:val="22"/>
        </w:rPr>
        <w:t xml:space="preserve"> con</w:t>
      </w:r>
      <w:r w:rsidRPr="7C34C494" w:rsidR="003908C2">
        <w:rPr>
          <w:rFonts w:ascii="Times New Roman" w:hAnsi="Times New Roman" w:cs="Times New Roman"/>
          <w:sz w:val="22"/>
          <w:szCs w:val="22"/>
        </w:rPr>
        <w:t>sidered non-substantive</w:t>
      </w:r>
      <w:r w:rsidRPr="7C34C494" w:rsidR="00E57CE8">
        <w:rPr>
          <w:rFonts w:ascii="Times New Roman" w:hAnsi="Times New Roman" w:cs="Times New Roman"/>
          <w:sz w:val="22"/>
          <w:szCs w:val="22"/>
        </w:rPr>
        <w:t xml:space="preserve"> in nature.</w:t>
      </w:r>
    </w:p>
    <w:p w:rsidR="003908C2" w:rsidP="007B311C" w14:paraId="344A4AF2" w14:textId="2FCB769C">
      <w:pPr>
        <w:pStyle w:val="ListNumber2"/>
        <w:numPr>
          <w:ilvl w:val="0"/>
          <w:numId w:val="16"/>
        </w:numPr>
        <w:rPr>
          <w:rFonts w:ascii="Times New Roman" w:hAnsi="Times New Roman" w:cs="Times New Roman"/>
          <w:sz w:val="22"/>
          <w:szCs w:val="22"/>
        </w:rPr>
      </w:pPr>
      <w:r>
        <w:rPr>
          <w:rFonts w:ascii="Times New Roman" w:hAnsi="Times New Roman" w:cs="Times New Roman"/>
          <w:sz w:val="22"/>
          <w:szCs w:val="22"/>
        </w:rPr>
        <w:t xml:space="preserve">Comment </w:t>
      </w:r>
      <w:r w:rsidR="00F52611">
        <w:rPr>
          <w:rFonts w:ascii="Times New Roman" w:hAnsi="Times New Roman" w:cs="Times New Roman"/>
          <w:sz w:val="22"/>
          <w:szCs w:val="22"/>
        </w:rPr>
        <w:t>3</w:t>
      </w:r>
      <w:r>
        <w:rPr>
          <w:rFonts w:ascii="Times New Roman" w:hAnsi="Times New Roman" w:cs="Times New Roman"/>
          <w:sz w:val="22"/>
          <w:szCs w:val="22"/>
        </w:rPr>
        <w:t xml:space="preserve"> (attachment </w:t>
      </w:r>
      <w:r w:rsidR="005B7C7E">
        <w:rPr>
          <w:rFonts w:ascii="Times New Roman" w:hAnsi="Times New Roman" w:cs="Times New Roman"/>
          <w:sz w:val="22"/>
          <w:szCs w:val="22"/>
        </w:rPr>
        <w:t>2</w:t>
      </w:r>
      <w:r w:rsidR="00F52611">
        <w:rPr>
          <w:rFonts w:ascii="Times New Roman" w:hAnsi="Times New Roman" w:cs="Times New Roman"/>
          <w:sz w:val="22"/>
          <w:szCs w:val="22"/>
        </w:rPr>
        <w:t>c</w:t>
      </w:r>
      <w:r>
        <w:rPr>
          <w:rFonts w:ascii="Times New Roman" w:hAnsi="Times New Roman" w:cs="Times New Roman"/>
          <w:sz w:val="22"/>
          <w:szCs w:val="22"/>
        </w:rPr>
        <w:t xml:space="preserve">) was </w:t>
      </w:r>
      <w:r w:rsidR="00D64E0F">
        <w:rPr>
          <w:rFonts w:ascii="Times New Roman" w:hAnsi="Times New Roman" w:cs="Times New Roman"/>
          <w:sz w:val="22"/>
          <w:szCs w:val="22"/>
        </w:rPr>
        <w:t>considered substantive in nature</w:t>
      </w:r>
      <w:r w:rsidR="00597A8F">
        <w:rPr>
          <w:rFonts w:ascii="Times New Roman" w:hAnsi="Times New Roman" w:cs="Times New Roman"/>
          <w:sz w:val="22"/>
          <w:szCs w:val="22"/>
        </w:rPr>
        <w:t xml:space="preserve"> and </w:t>
      </w:r>
      <w:r w:rsidR="00E57CE8">
        <w:rPr>
          <w:rFonts w:ascii="Times New Roman" w:hAnsi="Times New Roman" w:cs="Times New Roman"/>
          <w:sz w:val="22"/>
          <w:szCs w:val="22"/>
        </w:rPr>
        <w:t xml:space="preserve">discussed during </w:t>
      </w:r>
      <w:r w:rsidR="00593107">
        <w:rPr>
          <w:rFonts w:ascii="Times New Roman" w:hAnsi="Times New Roman" w:cs="Times New Roman"/>
          <w:sz w:val="22"/>
          <w:szCs w:val="22"/>
        </w:rPr>
        <w:t>the 2024 EHS-Net Grantee Vision Meeting on September 19, 2024</w:t>
      </w:r>
      <w:r w:rsidR="00597A8F">
        <w:rPr>
          <w:rFonts w:ascii="Times New Roman" w:hAnsi="Times New Roman" w:cs="Times New Roman"/>
          <w:sz w:val="22"/>
          <w:szCs w:val="22"/>
        </w:rPr>
        <w:t>.</w:t>
      </w:r>
      <w:r w:rsidR="008B55A1">
        <w:rPr>
          <w:rFonts w:ascii="Times New Roman" w:hAnsi="Times New Roman" w:cs="Times New Roman"/>
          <w:sz w:val="22"/>
          <w:szCs w:val="22"/>
        </w:rPr>
        <w:t xml:space="preserve"> </w:t>
      </w:r>
      <w:r w:rsidR="00597A8F">
        <w:rPr>
          <w:rFonts w:ascii="Times New Roman" w:hAnsi="Times New Roman" w:cs="Times New Roman"/>
          <w:sz w:val="22"/>
          <w:szCs w:val="22"/>
        </w:rPr>
        <w:t>I</w:t>
      </w:r>
      <w:r w:rsidR="008B55A1">
        <w:rPr>
          <w:rFonts w:ascii="Times New Roman" w:hAnsi="Times New Roman" w:cs="Times New Roman"/>
          <w:sz w:val="22"/>
          <w:szCs w:val="22"/>
        </w:rPr>
        <w:t>t was proposed as a potential project for the 2025–2030</w:t>
      </w:r>
      <w:r w:rsidR="00C717AC">
        <w:rPr>
          <w:rFonts w:ascii="Times New Roman" w:hAnsi="Times New Roman" w:cs="Times New Roman"/>
          <w:sz w:val="22"/>
          <w:szCs w:val="22"/>
        </w:rPr>
        <w:t xml:space="preserve"> EHS-Net cooperative agreement cycle.</w:t>
      </w:r>
      <w:r w:rsidR="008B55A1">
        <w:rPr>
          <w:rFonts w:ascii="Times New Roman" w:hAnsi="Times New Roman" w:cs="Times New Roman"/>
          <w:sz w:val="22"/>
          <w:szCs w:val="22"/>
        </w:rPr>
        <w:t xml:space="preserve"> </w:t>
      </w:r>
      <w:r w:rsidR="0050360B">
        <w:rPr>
          <w:rFonts w:ascii="Times New Roman" w:hAnsi="Times New Roman" w:cs="Times New Roman"/>
          <w:sz w:val="22"/>
          <w:szCs w:val="22"/>
        </w:rPr>
        <w:t>A written response</w:t>
      </w:r>
      <w:r w:rsidR="005E49B8">
        <w:rPr>
          <w:rFonts w:ascii="Times New Roman" w:hAnsi="Times New Roman" w:cs="Times New Roman"/>
          <w:sz w:val="22"/>
          <w:szCs w:val="22"/>
        </w:rPr>
        <w:t xml:space="preserve"> to the submitter</w:t>
      </w:r>
      <w:r w:rsidR="0050360B">
        <w:rPr>
          <w:rFonts w:ascii="Times New Roman" w:hAnsi="Times New Roman" w:cs="Times New Roman"/>
          <w:sz w:val="22"/>
          <w:szCs w:val="22"/>
        </w:rPr>
        <w:t xml:space="preserve"> was provided via e-mail</w:t>
      </w:r>
      <w:r w:rsidR="00F52611">
        <w:rPr>
          <w:rFonts w:ascii="Times New Roman" w:hAnsi="Times New Roman" w:cs="Times New Roman"/>
          <w:sz w:val="22"/>
          <w:szCs w:val="22"/>
        </w:rPr>
        <w:t xml:space="preserve"> on </w:t>
      </w:r>
      <w:r w:rsidR="003E3E64">
        <w:rPr>
          <w:rFonts w:ascii="Times New Roman" w:hAnsi="Times New Roman" w:cs="Times New Roman"/>
          <w:sz w:val="22"/>
          <w:szCs w:val="22"/>
        </w:rPr>
        <w:t>October 4, 2024 (attachment 2d).</w:t>
      </w:r>
      <w:r w:rsidR="0050360B">
        <w:rPr>
          <w:rFonts w:ascii="Times New Roman" w:hAnsi="Times New Roman" w:cs="Times New Roman"/>
          <w:sz w:val="22"/>
          <w:szCs w:val="22"/>
        </w:rPr>
        <w:t xml:space="preserve"> </w:t>
      </w:r>
    </w:p>
    <w:p w:rsidR="00400440" w:rsidRPr="008F7801" w:rsidP="00F6517A" w14:paraId="15630179" w14:textId="77777777">
      <w:pPr>
        <w:pStyle w:val="ListNumber2"/>
        <w:numPr>
          <w:ilvl w:val="0"/>
          <w:numId w:val="0"/>
        </w:numPr>
        <w:ind w:left="360"/>
        <w:rPr>
          <w:rFonts w:ascii="Times New Roman" w:hAnsi="Times New Roman" w:cs="Times New Roman"/>
          <w:sz w:val="22"/>
          <w:szCs w:val="22"/>
        </w:rPr>
      </w:pPr>
    </w:p>
    <w:p w:rsidR="00BB2C1D" w:rsidRPr="008F7801" w:rsidP="007B311C" w14:paraId="0DDFB41D" w14:textId="7D5B40CD">
      <w:pPr>
        <w:autoSpaceDE w:val="0"/>
        <w:autoSpaceDN w:val="0"/>
        <w:adjustRightInd w:val="0"/>
        <w:rPr>
          <w:sz w:val="22"/>
          <w:szCs w:val="22"/>
        </w:rPr>
      </w:pPr>
      <w:r w:rsidRPr="008F7801">
        <w:rPr>
          <w:sz w:val="22"/>
          <w:szCs w:val="22"/>
        </w:rPr>
        <w:t xml:space="preserve">Consultation with staff from </w:t>
      </w:r>
      <w:r w:rsidR="00AE67B6">
        <w:rPr>
          <w:sz w:val="22"/>
          <w:szCs w:val="22"/>
        </w:rPr>
        <w:t xml:space="preserve">CDC centers, federal agencies, and </w:t>
      </w:r>
      <w:r w:rsidRPr="008F7801">
        <w:rPr>
          <w:sz w:val="22"/>
          <w:szCs w:val="22"/>
        </w:rPr>
        <w:t>EHS-Net participant sites will occur in preparation for and in conjunction with the fielding of data collections under this request. Table</w:t>
      </w:r>
      <w:r w:rsidR="00286BE0">
        <w:rPr>
          <w:sz w:val="22"/>
          <w:szCs w:val="22"/>
        </w:rPr>
        <w:t>s</w:t>
      </w:r>
      <w:r w:rsidRPr="008F7801">
        <w:rPr>
          <w:sz w:val="22"/>
          <w:szCs w:val="22"/>
        </w:rPr>
        <w:t xml:space="preserve"> </w:t>
      </w:r>
      <w:r w:rsidR="00601245">
        <w:rPr>
          <w:sz w:val="22"/>
          <w:szCs w:val="22"/>
        </w:rPr>
        <w:t>A.</w:t>
      </w:r>
      <w:r w:rsidRPr="008F7801">
        <w:rPr>
          <w:sz w:val="22"/>
          <w:szCs w:val="22"/>
        </w:rPr>
        <w:t xml:space="preserve">8.1 </w:t>
      </w:r>
      <w:r w:rsidR="00286BE0">
        <w:rPr>
          <w:sz w:val="22"/>
          <w:szCs w:val="22"/>
        </w:rPr>
        <w:t xml:space="preserve">and </w:t>
      </w:r>
      <w:r w:rsidR="00601245">
        <w:rPr>
          <w:sz w:val="22"/>
          <w:szCs w:val="22"/>
        </w:rPr>
        <w:t>A.</w:t>
      </w:r>
      <w:r w:rsidR="00286BE0">
        <w:rPr>
          <w:sz w:val="22"/>
          <w:szCs w:val="22"/>
        </w:rPr>
        <w:t xml:space="preserve">8.2 </w:t>
      </w:r>
      <w:r w:rsidRPr="008F7801">
        <w:rPr>
          <w:sz w:val="22"/>
          <w:szCs w:val="22"/>
        </w:rPr>
        <w:t xml:space="preserve">list the individuals that will be consulted. The officials identified </w:t>
      </w:r>
      <w:r w:rsidR="0035025A">
        <w:rPr>
          <w:sz w:val="22"/>
          <w:szCs w:val="22"/>
        </w:rPr>
        <w:t>in</w:t>
      </w:r>
      <w:r w:rsidRPr="008F7801">
        <w:rPr>
          <w:sz w:val="22"/>
          <w:szCs w:val="22"/>
        </w:rPr>
        <w:t xml:space="preserve"> EHS-Net sites </w:t>
      </w:r>
      <w:r w:rsidR="00847DD6">
        <w:rPr>
          <w:sz w:val="22"/>
          <w:szCs w:val="22"/>
        </w:rPr>
        <w:t>are</w:t>
      </w:r>
      <w:r w:rsidRPr="008F7801">
        <w:rPr>
          <w:sz w:val="22"/>
          <w:szCs w:val="22"/>
        </w:rPr>
        <w:t xml:space="preserve"> epidemiology and environmental health professionals from </w:t>
      </w:r>
      <w:r w:rsidR="00B94CD3">
        <w:rPr>
          <w:sz w:val="22"/>
          <w:szCs w:val="22"/>
        </w:rPr>
        <w:t xml:space="preserve">sites </w:t>
      </w:r>
      <w:r w:rsidRPr="008F7801">
        <w:rPr>
          <w:sz w:val="22"/>
          <w:szCs w:val="22"/>
        </w:rPr>
        <w:t xml:space="preserve">participating </w:t>
      </w:r>
      <w:r w:rsidR="00B94CD3">
        <w:rPr>
          <w:sz w:val="22"/>
          <w:szCs w:val="22"/>
        </w:rPr>
        <w:t>in the current cooperative agreement</w:t>
      </w:r>
      <w:r w:rsidRPr="008F7801">
        <w:rPr>
          <w:sz w:val="22"/>
          <w:szCs w:val="22"/>
        </w:rPr>
        <w:t xml:space="preserve">. These individuals have been actively involved in the identification, prioritization, development, and implementation of data collection activities. </w:t>
      </w:r>
      <w:r w:rsidR="0063114F">
        <w:rPr>
          <w:sz w:val="22"/>
          <w:szCs w:val="22"/>
        </w:rPr>
        <w:t>T</w:t>
      </w:r>
      <w:r w:rsidRPr="008F7801">
        <w:rPr>
          <w:sz w:val="22"/>
          <w:szCs w:val="22"/>
        </w:rPr>
        <w:t>his list may change in the future as individuals take on new roles</w:t>
      </w:r>
      <w:r w:rsidR="0063114F">
        <w:rPr>
          <w:sz w:val="22"/>
          <w:szCs w:val="22"/>
        </w:rPr>
        <w:t xml:space="preserve">, </w:t>
      </w:r>
      <w:r w:rsidRPr="008F7801">
        <w:rPr>
          <w:sz w:val="22"/>
          <w:szCs w:val="22"/>
        </w:rPr>
        <w:t>change positions</w:t>
      </w:r>
      <w:r w:rsidR="00266DF9">
        <w:rPr>
          <w:sz w:val="22"/>
          <w:szCs w:val="22"/>
        </w:rPr>
        <w:t>, or if sites change during the next cooperative agreement cycle</w:t>
      </w:r>
      <w:r w:rsidRPr="008F7801">
        <w:rPr>
          <w:sz w:val="22"/>
          <w:szCs w:val="22"/>
        </w:rPr>
        <w:t>.</w:t>
      </w:r>
      <w:r w:rsidRPr="008F7801" w:rsidR="00611E48">
        <w:rPr>
          <w:sz w:val="22"/>
          <w:szCs w:val="22"/>
        </w:rPr>
        <w:t xml:space="preserve"> </w:t>
      </w:r>
    </w:p>
    <w:p w:rsidR="00BB2C1D" w:rsidRPr="008F7801" w:rsidP="00BB2C1D" w14:paraId="5A0D68D1" w14:textId="77777777">
      <w:pPr>
        <w:autoSpaceDE w:val="0"/>
        <w:autoSpaceDN w:val="0"/>
        <w:adjustRightInd w:val="0"/>
        <w:ind w:left="540"/>
        <w:rPr>
          <w:sz w:val="22"/>
          <w:szCs w:val="22"/>
        </w:rPr>
      </w:pPr>
    </w:p>
    <w:p w:rsidR="00210CBF" w:rsidP="00F03FCB" w14:paraId="15CCE3D7" w14:textId="77777777">
      <w:pPr>
        <w:autoSpaceDE w:val="0"/>
        <w:autoSpaceDN w:val="0"/>
        <w:adjustRightInd w:val="0"/>
        <w:rPr>
          <w:b/>
          <w:sz w:val="22"/>
          <w:szCs w:val="22"/>
        </w:rPr>
      </w:pPr>
    </w:p>
    <w:p w:rsidR="009A7A0C" w:rsidP="00F03FCB" w14:paraId="03DD2382" w14:textId="77777777">
      <w:pPr>
        <w:autoSpaceDE w:val="0"/>
        <w:autoSpaceDN w:val="0"/>
        <w:adjustRightInd w:val="0"/>
        <w:rPr>
          <w:b/>
          <w:sz w:val="22"/>
          <w:szCs w:val="22"/>
        </w:rPr>
      </w:pPr>
    </w:p>
    <w:p w:rsidR="009A7A0C" w:rsidP="00F03FCB" w14:paraId="14647DF1" w14:textId="77777777">
      <w:pPr>
        <w:autoSpaceDE w:val="0"/>
        <w:autoSpaceDN w:val="0"/>
        <w:adjustRightInd w:val="0"/>
        <w:rPr>
          <w:b/>
          <w:sz w:val="22"/>
          <w:szCs w:val="22"/>
        </w:rPr>
      </w:pPr>
    </w:p>
    <w:p w:rsidR="009A7A0C" w:rsidP="00F03FCB" w14:paraId="18D453B2" w14:textId="77777777">
      <w:pPr>
        <w:autoSpaceDE w:val="0"/>
        <w:autoSpaceDN w:val="0"/>
        <w:adjustRightInd w:val="0"/>
        <w:rPr>
          <w:b/>
          <w:sz w:val="22"/>
          <w:szCs w:val="22"/>
        </w:rPr>
      </w:pPr>
    </w:p>
    <w:p w:rsidR="009A7A0C" w:rsidP="00F03FCB" w14:paraId="734B2C29" w14:textId="77777777">
      <w:pPr>
        <w:autoSpaceDE w:val="0"/>
        <w:autoSpaceDN w:val="0"/>
        <w:adjustRightInd w:val="0"/>
        <w:rPr>
          <w:b/>
          <w:sz w:val="22"/>
          <w:szCs w:val="22"/>
        </w:rPr>
      </w:pPr>
    </w:p>
    <w:p w:rsidR="009A7A0C" w:rsidP="00F03FCB" w14:paraId="7392745C" w14:textId="77777777">
      <w:pPr>
        <w:autoSpaceDE w:val="0"/>
        <w:autoSpaceDN w:val="0"/>
        <w:adjustRightInd w:val="0"/>
        <w:rPr>
          <w:b/>
          <w:sz w:val="22"/>
          <w:szCs w:val="22"/>
        </w:rPr>
      </w:pPr>
    </w:p>
    <w:p w:rsidR="009A7A0C" w:rsidP="00F03FCB" w14:paraId="1C3B2ECD" w14:textId="77777777">
      <w:pPr>
        <w:autoSpaceDE w:val="0"/>
        <w:autoSpaceDN w:val="0"/>
        <w:adjustRightInd w:val="0"/>
        <w:rPr>
          <w:b/>
          <w:sz w:val="22"/>
          <w:szCs w:val="22"/>
        </w:rPr>
      </w:pPr>
    </w:p>
    <w:p w:rsidR="009A7A0C" w:rsidP="00F03FCB" w14:paraId="5BF1F45D" w14:textId="77777777">
      <w:pPr>
        <w:autoSpaceDE w:val="0"/>
        <w:autoSpaceDN w:val="0"/>
        <w:adjustRightInd w:val="0"/>
        <w:rPr>
          <w:b/>
          <w:sz w:val="22"/>
          <w:szCs w:val="22"/>
        </w:rPr>
      </w:pPr>
    </w:p>
    <w:p w:rsidR="009A7A0C" w:rsidP="00F03FCB" w14:paraId="1D954606" w14:textId="77777777">
      <w:pPr>
        <w:autoSpaceDE w:val="0"/>
        <w:autoSpaceDN w:val="0"/>
        <w:adjustRightInd w:val="0"/>
        <w:rPr>
          <w:b/>
          <w:sz w:val="22"/>
          <w:szCs w:val="22"/>
        </w:rPr>
      </w:pPr>
    </w:p>
    <w:p w:rsidR="00D96FCE" w:rsidP="00F03FCB" w14:paraId="677B1E6F" w14:textId="77777777">
      <w:pPr>
        <w:autoSpaceDE w:val="0"/>
        <w:autoSpaceDN w:val="0"/>
        <w:adjustRightInd w:val="0"/>
        <w:rPr>
          <w:b/>
          <w:sz w:val="22"/>
          <w:szCs w:val="22"/>
        </w:rPr>
      </w:pPr>
    </w:p>
    <w:p w:rsidR="00AC22F2" w:rsidP="00F03FCB" w14:paraId="4F7B012D" w14:textId="37E1AB73">
      <w:pPr>
        <w:autoSpaceDE w:val="0"/>
        <w:autoSpaceDN w:val="0"/>
        <w:adjustRightInd w:val="0"/>
        <w:rPr>
          <w:b/>
          <w:sz w:val="22"/>
          <w:szCs w:val="22"/>
        </w:rPr>
      </w:pPr>
      <w:r w:rsidRPr="008F7801">
        <w:rPr>
          <w:b/>
          <w:sz w:val="22"/>
          <w:szCs w:val="22"/>
        </w:rPr>
        <w:t>Table A</w:t>
      </w:r>
      <w:r w:rsidRPr="008F7801" w:rsidR="0032714A">
        <w:rPr>
          <w:b/>
          <w:sz w:val="22"/>
          <w:szCs w:val="22"/>
        </w:rPr>
        <w:t>.</w:t>
      </w:r>
      <w:r w:rsidRPr="008F7801">
        <w:rPr>
          <w:b/>
          <w:sz w:val="22"/>
          <w:szCs w:val="22"/>
        </w:rPr>
        <w:t>8</w:t>
      </w:r>
      <w:r w:rsidRPr="008F7801" w:rsidR="006925A6">
        <w:rPr>
          <w:b/>
          <w:sz w:val="22"/>
          <w:szCs w:val="22"/>
        </w:rPr>
        <w:t>.</w:t>
      </w:r>
      <w:r w:rsidRPr="008F7801" w:rsidR="00982524">
        <w:rPr>
          <w:b/>
          <w:sz w:val="22"/>
          <w:szCs w:val="22"/>
        </w:rPr>
        <w:t xml:space="preserve">1 </w:t>
      </w:r>
      <w:r w:rsidRPr="008F7801">
        <w:rPr>
          <w:b/>
          <w:sz w:val="22"/>
          <w:szCs w:val="22"/>
        </w:rPr>
        <w:t>Federal Consultants</w:t>
      </w:r>
    </w:p>
    <w:p w:rsidR="00210CBF" w:rsidRPr="008F7801" w:rsidP="00F03FCB" w14:paraId="64DCD383" w14:textId="77777777">
      <w:pPr>
        <w:autoSpaceDE w:val="0"/>
        <w:autoSpaceDN w:val="0"/>
        <w:adjustRightInd w:val="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7"/>
        <w:gridCol w:w="4410"/>
      </w:tblGrid>
      <w:tr w14:paraId="51CDB031" w14:textId="77777777" w:rsidTr="000C76E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7"/>
        </w:trPr>
        <w:tc>
          <w:tcPr>
            <w:tcW w:w="8707" w:type="dxa"/>
            <w:gridSpan w:val="2"/>
          </w:tcPr>
          <w:p w:rsidR="00BA14DD" w:rsidRPr="008F7801" w:rsidP="00A47493" w14:paraId="3CE900BA" w14:textId="77777777">
            <w:pPr>
              <w:rPr>
                <w:b/>
                <w:sz w:val="22"/>
                <w:szCs w:val="22"/>
              </w:rPr>
            </w:pPr>
            <w:r w:rsidRPr="008F7801">
              <w:rPr>
                <w:b/>
                <w:sz w:val="22"/>
                <w:szCs w:val="22"/>
              </w:rPr>
              <w:t>FDA/USDA</w:t>
            </w:r>
          </w:p>
        </w:tc>
      </w:tr>
      <w:tr w14:paraId="1760C68D" w14:textId="77777777" w:rsidTr="00CE389C">
        <w:tblPrEx>
          <w:tblW w:w="0" w:type="auto"/>
          <w:tblInd w:w="108" w:type="dxa"/>
          <w:tblLayout w:type="fixed"/>
          <w:tblLook w:val="04A0"/>
        </w:tblPrEx>
        <w:tc>
          <w:tcPr>
            <w:tcW w:w="4297" w:type="dxa"/>
          </w:tcPr>
          <w:p w:rsidR="00765061" w:rsidRPr="000C76E0" w:rsidP="00765061" w14:paraId="5AED32B9" w14:textId="77777777">
            <w:pPr>
              <w:rPr>
                <w:b/>
                <w:sz w:val="22"/>
                <w:szCs w:val="22"/>
              </w:rPr>
            </w:pPr>
            <w:r w:rsidRPr="000C76E0">
              <w:rPr>
                <w:b/>
                <w:sz w:val="22"/>
                <w:szCs w:val="22"/>
              </w:rPr>
              <w:t>Laurie Williams</w:t>
            </w:r>
          </w:p>
          <w:p w:rsidR="00AC22F2" w:rsidRPr="000C76E0" w:rsidP="00765061" w14:paraId="58BFC4C3" w14:textId="77777777">
            <w:pPr>
              <w:rPr>
                <w:sz w:val="22"/>
                <w:szCs w:val="22"/>
              </w:rPr>
            </w:pPr>
            <w:r w:rsidRPr="000C76E0">
              <w:rPr>
                <w:sz w:val="22"/>
                <w:szCs w:val="22"/>
              </w:rPr>
              <w:t>Consumer Food Safety Officer</w:t>
            </w:r>
          </w:p>
          <w:p w:rsidR="00AC22F2" w:rsidRPr="000C76E0" w:rsidP="00AC22F2" w14:paraId="4FEC59B6" w14:textId="77777777">
            <w:pPr>
              <w:rPr>
                <w:sz w:val="22"/>
                <w:szCs w:val="22"/>
              </w:rPr>
            </w:pPr>
            <w:r w:rsidRPr="000C76E0">
              <w:rPr>
                <w:sz w:val="22"/>
                <w:szCs w:val="22"/>
              </w:rPr>
              <w:t>Food and Drug Administration</w:t>
            </w:r>
          </w:p>
          <w:p w:rsidR="00AC22F2" w:rsidRPr="000C76E0" w:rsidP="00AC22F2" w14:paraId="393A7209" w14:textId="77777777">
            <w:pPr>
              <w:rPr>
                <w:sz w:val="22"/>
                <w:szCs w:val="22"/>
              </w:rPr>
            </w:pPr>
            <w:r w:rsidRPr="000C76E0">
              <w:rPr>
                <w:sz w:val="22"/>
                <w:szCs w:val="22"/>
              </w:rPr>
              <w:t>Center for Food Safety and Applied Nutrition</w:t>
            </w:r>
          </w:p>
          <w:p w:rsidR="00765061" w:rsidRPr="000C76E0" w:rsidP="000C76E0" w14:paraId="00FFB47B" w14:textId="1C84AE01">
            <w:pPr>
              <w:rPr>
                <w:b/>
                <w:sz w:val="22"/>
                <w:szCs w:val="22"/>
              </w:rPr>
            </w:pPr>
          </w:p>
        </w:tc>
        <w:tc>
          <w:tcPr>
            <w:tcW w:w="4410" w:type="dxa"/>
          </w:tcPr>
          <w:p w:rsidR="00102A82" w:rsidRPr="000C76E0" w:rsidP="00102A82" w14:paraId="6CBB8E53" w14:textId="2448B95B">
            <w:pPr>
              <w:autoSpaceDE w:val="0"/>
              <w:autoSpaceDN w:val="0"/>
              <w:adjustRightInd w:val="0"/>
              <w:rPr>
                <w:b/>
                <w:bCs/>
                <w:sz w:val="22"/>
                <w:szCs w:val="22"/>
              </w:rPr>
            </w:pPr>
            <w:r w:rsidRPr="000C76E0">
              <w:rPr>
                <w:b/>
                <w:bCs/>
                <w:sz w:val="22"/>
                <w:szCs w:val="22"/>
              </w:rPr>
              <w:t>Lauren McClean</w:t>
            </w:r>
          </w:p>
          <w:p w:rsidR="00BC71D8" w:rsidRPr="000C76E0" w:rsidP="00102A82" w14:paraId="70FD9401" w14:textId="1324816D">
            <w:pPr>
              <w:autoSpaceDE w:val="0"/>
              <w:autoSpaceDN w:val="0"/>
              <w:adjustRightInd w:val="0"/>
              <w:rPr>
                <w:sz w:val="22"/>
                <w:szCs w:val="22"/>
              </w:rPr>
            </w:pPr>
            <w:r w:rsidRPr="000C76E0">
              <w:rPr>
                <w:sz w:val="22"/>
                <w:szCs w:val="22"/>
              </w:rPr>
              <w:t>Food Safety Specialist</w:t>
            </w:r>
          </w:p>
          <w:p w:rsidR="00102A82" w:rsidRPr="000C76E0" w:rsidP="00102A82" w14:paraId="00AF49C4" w14:textId="63E8DFBC">
            <w:pPr>
              <w:autoSpaceDE w:val="0"/>
              <w:autoSpaceDN w:val="0"/>
              <w:adjustRightInd w:val="0"/>
              <w:rPr>
                <w:sz w:val="22"/>
                <w:szCs w:val="22"/>
              </w:rPr>
            </w:pPr>
            <w:r w:rsidRPr="000C76E0">
              <w:rPr>
                <w:sz w:val="22"/>
                <w:szCs w:val="22"/>
              </w:rPr>
              <w:t>US</w:t>
            </w:r>
            <w:r w:rsidRPr="000C76E0" w:rsidR="00503F80">
              <w:rPr>
                <w:sz w:val="22"/>
                <w:szCs w:val="22"/>
              </w:rPr>
              <w:t xml:space="preserve"> </w:t>
            </w:r>
            <w:r w:rsidRPr="000C76E0">
              <w:rPr>
                <w:sz w:val="22"/>
                <w:szCs w:val="22"/>
              </w:rPr>
              <w:t>D</w:t>
            </w:r>
            <w:r w:rsidRPr="000C76E0" w:rsidR="00503F80">
              <w:rPr>
                <w:sz w:val="22"/>
                <w:szCs w:val="22"/>
              </w:rPr>
              <w:t xml:space="preserve">epartment of </w:t>
            </w:r>
            <w:r w:rsidRPr="000C76E0">
              <w:rPr>
                <w:sz w:val="22"/>
                <w:szCs w:val="22"/>
              </w:rPr>
              <w:t>A</w:t>
            </w:r>
            <w:r w:rsidRPr="000C76E0" w:rsidR="00503F80">
              <w:rPr>
                <w:sz w:val="22"/>
                <w:szCs w:val="22"/>
              </w:rPr>
              <w:t>griculture</w:t>
            </w:r>
          </w:p>
          <w:p w:rsidR="007722E7" w:rsidRPr="000C76E0" w:rsidP="00102A82" w14:paraId="0178A3F7" w14:textId="06739419">
            <w:pPr>
              <w:autoSpaceDE w:val="0"/>
              <w:autoSpaceDN w:val="0"/>
              <w:adjustRightInd w:val="0"/>
              <w:rPr>
                <w:sz w:val="22"/>
                <w:szCs w:val="22"/>
              </w:rPr>
            </w:pPr>
            <w:r w:rsidRPr="000C76E0">
              <w:rPr>
                <w:sz w:val="22"/>
                <w:szCs w:val="22"/>
              </w:rPr>
              <w:t>Food Safety and Nutrition Division</w:t>
            </w:r>
          </w:p>
          <w:p w:rsidR="001B61DA" w:rsidRPr="000C76E0" w:rsidP="00102A82" w14:paraId="396D26ED" w14:textId="33895E54">
            <w:pPr>
              <w:autoSpaceDE w:val="0"/>
              <w:autoSpaceDN w:val="0"/>
              <w:adjustRightInd w:val="0"/>
              <w:rPr>
                <w:sz w:val="22"/>
                <w:szCs w:val="22"/>
              </w:rPr>
            </w:pPr>
            <w:r w:rsidRPr="000C76E0">
              <w:rPr>
                <w:sz w:val="22"/>
                <w:szCs w:val="22"/>
              </w:rPr>
              <w:t>Food and Nutrition Service</w:t>
            </w:r>
          </w:p>
          <w:p w:rsidR="00765061" w:rsidRPr="000C76E0" w:rsidP="00F14BCD" w14:paraId="21280551" w14:textId="7BF303FF">
            <w:pPr>
              <w:rPr>
                <w:b/>
                <w:sz w:val="22"/>
                <w:szCs w:val="22"/>
              </w:rPr>
            </w:pPr>
          </w:p>
        </w:tc>
      </w:tr>
      <w:tr w14:paraId="2A3F64D5" w14:textId="77777777" w:rsidTr="00CE389C">
        <w:tblPrEx>
          <w:tblW w:w="0" w:type="auto"/>
          <w:tblInd w:w="108" w:type="dxa"/>
          <w:tblLayout w:type="fixed"/>
          <w:tblLook w:val="04A0"/>
        </w:tblPrEx>
        <w:tc>
          <w:tcPr>
            <w:tcW w:w="4297" w:type="dxa"/>
          </w:tcPr>
          <w:p w:rsidR="00765061" w:rsidRPr="000C76E0" w:rsidP="00765061" w14:paraId="76ADC5B1" w14:textId="77777777">
            <w:pPr>
              <w:rPr>
                <w:b/>
                <w:sz w:val="22"/>
                <w:szCs w:val="22"/>
              </w:rPr>
            </w:pPr>
            <w:r w:rsidRPr="000C76E0">
              <w:rPr>
                <w:b/>
                <w:sz w:val="22"/>
                <w:szCs w:val="22"/>
              </w:rPr>
              <w:t>Glenda Lewis</w:t>
            </w:r>
          </w:p>
          <w:p w:rsidR="00AC22F2" w:rsidRPr="000C76E0" w:rsidP="00765061" w14:paraId="03861988" w14:textId="4871B167">
            <w:pPr>
              <w:rPr>
                <w:sz w:val="22"/>
                <w:szCs w:val="22"/>
              </w:rPr>
            </w:pPr>
            <w:r w:rsidRPr="000C76E0">
              <w:rPr>
                <w:sz w:val="22"/>
                <w:szCs w:val="22"/>
              </w:rPr>
              <w:t>Director</w:t>
            </w:r>
            <w:r w:rsidRPr="000C76E0">
              <w:rPr>
                <w:sz w:val="22"/>
                <w:szCs w:val="22"/>
              </w:rPr>
              <w:t>, Retail Food Protection</w:t>
            </w:r>
          </w:p>
          <w:p w:rsidR="00AC22F2" w:rsidRPr="000C76E0" w:rsidP="00765061" w14:paraId="4A8E1E31" w14:textId="77777777">
            <w:pPr>
              <w:rPr>
                <w:sz w:val="22"/>
                <w:szCs w:val="22"/>
              </w:rPr>
            </w:pPr>
            <w:r w:rsidRPr="000C76E0">
              <w:rPr>
                <w:sz w:val="22"/>
                <w:szCs w:val="22"/>
              </w:rPr>
              <w:t>Food and Drug Administration</w:t>
            </w:r>
          </w:p>
          <w:p w:rsidR="00AC22F2" w:rsidRPr="000C76E0" w:rsidP="00765061" w14:paraId="492928F3" w14:textId="77777777">
            <w:pPr>
              <w:rPr>
                <w:sz w:val="22"/>
                <w:szCs w:val="22"/>
              </w:rPr>
            </w:pPr>
            <w:r w:rsidRPr="000C76E0">
              <w:rPr>
                <w:sz w:val="22"/>
                <w:szCs w:val="22"/>
              </w:rPr>
              <w:t>Center for Food Safety and Applied Nutrition</w:t>
            </w:r>
          </w:p>
          <w:p w:rsidR="00AC22F2" w:rsidRPr="000C76E0" w:rsidP="000C76E0" w14:paraId="0505EDE8" w14:textId="19AE1F44">
            <w:pPr>
              <w:rPr>
                <w:b/>
                <w:sz w:val="22"/>
                <w:szCs w:val="22"/>
              </w:rPr>
            </w:pPr>
          </w:p>
        </w:tc>
        <w:tc>
          <w:tcPr>
            <w:tcW w:w="4410" w:type="dxa"/>
          </w:tcPr>
          <w:p w:rsidR="00765061" w:rsidRPr="000C76E0" w:rsidP="00102A82" w14:paraId="4F848717" w14:textId="77777777">
            <w:pPr>
              <w:rPr>
                <w:b/>
                <w:sz w:val="22"/>
                <w:szCs w:val="22"/>
              </w:rPr>
            </w:pPr>
          </w:p>
        </w:tc>
      </w:tr>
    </w:tbl>
    <w:p w:rsidR="00AC37E9" w:rsidRPr="000C76E0" w:rsidP="0032714A" w14:paraId="5D0C134C" w14:textId="77777777">
      <w:pPr>
        <w:autoSpaceDE w:val="0"/>
        <w:autoSpaceDN w:val="0"/>
        <w:adjustRightInd w:val="0"/>
        <w:rPr>
          <w:b/>
        </w:rPr>
      </w:pPr>
    </w:p>
    <w:p w:rsidR="64F7B2F5" w:rsidRPr="000C76E0" w:rsidP="64F7B2F5" w14:paraId="4A0F45E9" w14:textId="2B3487EF">
      <w:pPr>
        <w:rPr>
          <w:b/>
          <w:bCs/>
        </w:rPr>
      </w:pPr>
    </w:p>
    <w:p w:rsidR="64F7B2F5" w:rsidRPr="000C76E0" w:rsidP="64F7B2F5" w14:paraId="69FB08F1" w14:textId="7B1DE1DC">
      <w:pPr>
        <w:rPr>
          <w:b/>
          <w:bCs/>
        </w:rPr>
      </w:pPr>
    </w:p>
    <w:p w:rsidR="00982524" w:rsidRPr="000C76E0" w:rsidP="00982524" w14:paraId="334D353C" w14:textId="7272D9AA">
      <w:pPr>
        <w:rPr>
          <w:b/>
        </w:rPr>
      </w:pPr>
      <w:r w:rsidRPr="000C76E0">
        <w:rPr>
          <w:b/>
        </w:rPr>
        <w:t>Table A.8.</w:t>
      </w:r>
      <w:r w:rsidRPr="000C76E0" w:rsidR="00986938">
        <w:rPr>
          <w:b/>
        </w:rPr>
        <w:t>2</w:t>
      </w:r>
      <w:r w:rsidRPr="000C76E0">
        <w:rPr>
          <w:b/>
        </w:rPr>
        <w:t xml:space="preserve"> State </w:t>
      </w:r>
      <w:r w:rsidRPr="000C76E0" w:rsidR="006D120D">
        <w:rPr>
          <w:b/>
        </w:rPr>
        <w:t xml:space="preserve">and Local </w:t>
      </w:r>
      <w:r w:rsidRPr="000C76E0">
        <w:rPr>
          <w:b/>
        </w:rPr>
        <w:t>Consultants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7"/>
        <w:gridCol w:w="4410"/>
      </w:tblGrid>
      <w:tr w14:paraId="7FB8B9AC" w14:textId="77777777" w:rsidTr="000C76E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07" w:type="dxa"/>
            <w:gridSpan w:val="2"/>
          </w:tcPr>
          <w:p w:rsidR="00BA14DD" w:rsidRPr="000C76E0" w:rsidP="002974BF" w14:paraId="3400047B" w14:textId="77777777">
            <w:pPr>
              <w:autoSpaceDE w:val="0"/>
              <w:autoSpaceDN w:val="0"/>
              <w:adjustRightInd w:val="0"/>
              <w:rPr>
                <w:b/>
              </w:rPr>
            </w:pPr>
            <w:r w:rsidRPr="000C76E0">
              <w:rPr>
                <w:b/>
              </w:rPr>
              <w:t>2020-2025 EHS-Net Sites</w:t>
            </w:r>
          </w:p>
        </w:tc>
      </w:tr>
      <w:tr w14:paraId="4495CC3E" w14:textId="77777777" w:rsidTr="00CE389C">
        <w:tblPrEx>
          <w:tblW w:w="0" w:type="auto"/>
          <w:tblInd w:w="108" w:type="dxa"/>
          <w:tblLook w:val="04A0"/>
        </w:tblPrEx>
        <w:tc>
          <w:tcPr>
            <w:tcW w:w="4297" w:type="dxa"/>
          </w:tcPr>
          <w:p w:rsidR="00AF77DC" w:rsidRPr="000C76E0" w:rsidP="00AF77DC" w14:paraId="6CB7F743" w14:textId="3F793AF3">
            <w:pPr>
              <w:autoSpaceDE w:val="0"/>
              <w:autoSpaceDN w:val="0"/>
              <w:adjustRightInd w:val="0"/>
              <w:rPr>
                <w:b/>
                <w:bCs/>
                <w:sz w:val="22"/>
                <w:szCs w:val="22"/>
              </w:rPr>
            </w:pPr>
            <w:r w:rsidRPr="000C76E0">
              <w:rPr>
                <w:b/>
                <w:bCs/>
                <w:sz w:val="22"/>
                <w:szCs w:val="22"/>
              </w:rPr>
              <w:t>Kirk Smith</w:t>
            </w:r>
          </w:p>
          <w:p w:rsidR="00AF77DC" w:rsidRPr="000C76E0" w:rsidP="00AF77DC" w14:paraId="6895C83D" w14:textId="7B2674EF">
            <w:pPr>
              <w:autoSpaceDE w:val="0"/>
              <w:autoSpaceDN w:val="0"/>
              <w:adjustRightInd w:val="0"/>
              <w:rPr>
                <w:sz w:val="22"/>
                <w:szCs w:val="22"/>
              </w:rPr>
            </w:pPr>
            <w:r w:rsidRPr="000C76E0">
              <w:rPr>
                <w:sz w:val="22"/>
                <w:szCs w:val="22"/>
              </w:rPr>
              <w:t xml:space="preserve">Deputy State </w:t>
            </w:r>
            <w:r w:rsidRPr="000C76E0">
              <w:rPr>
                <w:sz w:val="22"/>
                <w:szCs w:val="22"/>
              </w:rPr>
              <w:t>Epidemiologist</w:t>
            </w:r>
          </w:p>
          <w:p w:rsidR="00AF77DC" w:rsidRPr="000C76E0" w:rsidP="00AF77DC" w14:paraId="552FB296" w14:textId="475E2996">
            <w:pPr>
              <w:autoSpaceDE w:val="0"/>
              <w:autoSpaceDN w:val="0"/>
              <w:adjustRightInd w:val="0"/>
              <w:rPr>
                <w:sz w:val="22"/>
                <w:szCs w:val="22"/>
              </w:rPr>
            </w:pPr>
            <w:r w:rsidRPr="000C76E0">
              <w:rPr>
                <w:sz w:val="22"/>
                <w:szCs w:val="22"/>
              </w:rPr>
              <w:t>M</w:t>
            </w:r>
            <w:r w:rsidRPr="000C76E0" w:rsidR="00043B22">
              <w:rPr>
                <w:sz w:val="22"/>
                <w:szCs w:val="22"/>
              </w:rPr>
              <w:t>innesota</w:t>
            </w:r>
            <w:r w:rsidRPr="000C76E0">
              <w:rPr>
                <w:sz w:val="22"/>
                <w:szCs w:val="22"/>
              </w:rPr>
              <w:t xml:space="preserve"> Dept. of Health</w:t>
            </w:r>
          </w:p>
          <w:p w:rsidR="00982524" w:rsidRPr="000C76E0" w:rsidP="00AF77DC" w14:paraId="1E016082" w14:textId="32A1EB27">
            <w:pPr>
              <w:autoSpaceDE w:val="0"/>
              <w:autoSpaceDN w:val="0"/>
              <w:adjustRightInd w:val="0"/>
              <w:rPr>
                <w:b/>
                <w:sz w:val="22"/>
                <w:szCs w:val="22"/>
              </w:rPr>
            </w:pPr>
          </w:p>
        </w:tc>
        <w:tc>
          <w:tcPr>
            <w:tcW w:w="4410" w:type="dxa"/>
          </w:tcPr>
          <w:p w:rsidR="00982524" w:rsidRPr="000C76E0" w:rsidP="00982524" w14:paraId="35E01BAA" w14:textId="77777777">
            <w:pPr>
              <w:rPr>
                <w:b/>
                <w:sz w:val="22"/>
                <w:szCs w:val="22"/>
              </w:rPr>
            </w:pPr>
            <w:r w:rsidRPr="000C76E0">
              <w:rPr>
                <w:b/>
                <w:sz w:val="22"/>
                <w:szCs w:val="22"/>
              </w:rPr>
              <w:t>Danny Ripley</w:t>
            </w:r>
          </w:p>
          <w:p w:rsidR="00BA14DD" w:rsidRPr="000C76E0" w:rsidP="00BA14DD" w14:paraId="71922AB0" w14:textId="07057EEC">
            <w:pPr>
              <w:autoSpaceDE w:val="0"/>
              <w:autoSpaceDN w:val="0"/>
              <w:adjustRightInd w:val="0"/>
              <w:rPr>
                <w:sz w:val="22"/>
                <w:szCs w:val="22"/>
              </w:rPr>
            </w:pPr>
            <w:r w:rsidRPr="000C76E0">
              <w:rPr>
                <w:sz w:val="22"/>
                <w:szCs w:val="22"/>
              </w:rPr>
              <w:t>Environmental Health Specialist</w:t>
            </w:r>
          </w:p>
          <w:p w:rsidR="00BA14DD" w:rsidRPr="000C76E0" w:rsidP="00BA14DD" w14:paraId="0F7C8B4A" w14:textId="26677484">
            <w:pPr>
              <w:autoSpaceDE w:val="0"/>
              <w:autoSpaceDN w:val="0"/>
              <w:adjustRightInd w:val="0"/>
              <w:rPr>
                <w:sz w:val="22"/>
                <w:szCs w:val="22"/>
              </w:rPr>
            </w:pPr>
            <w:r w:rsidRPr="000C76E0">
              <w:rPr>
                <w:sz w:val="22"/>
                <w:szCs w:val="22"/>
              </w:rPr>
              <w:t>T</w:t>
            </w:r>
            <w:r w:rsidRPr="000C76E0" w:rsidR="00043B22">
              <w:rPr>
                <w:sz w:val="22"/>
                <w:szCs w:val="22"/>
              </w:rPr>
              <w:t>ennessee</w:t>
            </w:r>
            <w:r w:rsidRPr="000C76E0">
              <w:rPr>
                <w:sz w:val="22"/>
                <w:szCs w:val="22"/>
              </w:rPr>
              <w:t xml:space="preserve"> Dept. of Health</w:t>
            </w:r>
          </w:p>
          <w:p w:rsidR="00982524" w:rsidRPr="000C76E0" w:rsidP="00BA14DD" w14:paraId="4D62063A" w14:textId="7E033F58">
            <w:pPr>
              <w:rPr>
                <w:b/>
                <w:sz w:val="22"/>
                <w:szCs w:val="22"/>
              </w:rPr>
            </w:pPr>
          </w:p>
        </w:tc>
      </w:tr>
      <w:tr w14:paraId="2997BBE2" w14:textId="77777777" w:rsidTr="00CE389C">
        <w:tblPrEx>
          <w:tblW w:w="0" w:type="auto"/>
          <w:tblInd w:w="108" w:type="dxa"/>
          <w:tblLook w:val="04A0"/>
        </w:tblPrEx>
        <w:tc>
          <w:tcPr>
            <w:tcW w:w="4297" w:type="dxa"/>
          </w:tcPr>
          <w:p w:rsidR="00AF77DC" w:rsidRPr="000C76E0" w:rsidP="00AF77DC" w14:paraId="41C932F3" w14:textId="77777777">
            <w:pPr>
              <w:autoSpaceDE w:val="0"/>
              <w:autoSpaceDN w:val="0"/>
              <w:adjustRightInd w:val="0"/>
              <w:rPr>
                <w:b/>
                <w:bCs/>
                <w:sz w:val="22"/>
                <w:szCs w:val="22"/>
              </w:rPr>
            </w:pPr>
            <w:r w:rsidRPr="000C76E0">
              <w:rPr>
                <w:b/>
                <w:bCs/>
                <w:sz w:val="22"/>
                <w:szCs w:val="22"/>
              </w:rPr>
              <w:t>JoAnn Monroy</w:t>
            </w:r>
          </w:p>
          <w:p w:rsidR="00AF77DC" w:rsidRPr="000C76E0" w:rsidP="00AF77DC" w14:paraId="5EB4789B" w14:textId="62951D13">
            <w:pPr>
              <w:autoSpaceDE w:val="0"/>
              <w:autoSpaceDN w:val="0"/>
              <w:adjustRightInd w:val="0"/>
              <w:rPr>
                <w:sz w:val="22"/>
                <w:szCs w:val="22"/>
              </w:rPr>
            </w:pPr>
            <w:r w:rsidRPr="000C76E0">
              <w:rPr>
                <w:sz w:val="22"/>
                <w:szCs w:val="22"/>
              </w:rPr>
              <w:t>Principal Investigator</w:t>
            </w:r>
          </w:p>
          <w:p w:rsidR="00AF77DC" w:rsidRPr="000C76E0" w:rsidP="00AF77DC" w14:paraId="4C83B477" w14:textId="77777777">
            <w:pPr>
              <w:autoSpaceDE w:val="0"/>
              <w:autoSpaceDN w:val="0"/>
              <w:adjustRightInd w:val="0"/>
              <w:rPr>
                <w:sz w:val="22"/>
                <w:szCs w:val="22"/>
              </w:rPr>
            </w:pPr>
            <w:r w:rsidRPr="000C76E0">
              <w:rPr>
                <w:sz w:val="22"/>
                <w:szCs w:val="22"/>
              </w:rPr>
              <w:t>Harris County Health Department</w:t>
            </w:r>
          </w:p>
          <w:p w:rsidR="00982524" w:rsidRPr="000C76E0" w:rsidP="00AF77DC" w14:paraId="1E30AE93" w14:textId="58131938">
            <w:pPr>
              <w:rPr>
                <w:b/>
                <w:color w:val="FF0000"/>
                <w:sz w:val="22"/>
                <w:szCs w:val="22"/>
              </w:rPr>
            </w:pPr>
          </w:p>
        </w:tc>
        <w:tc>
          <w:tcPr>
            <w:tcW w:w="4410" w:type="dxa"/>
          </w:tcPr>
          <w:p w:rsidR="00AF77DC" w:rsidRPr="000C76E0" w:rsidP="00AF77DC" w14:paraId="4CA60ED9" w14:textId="77777777">
            <w:pPr>
              <w:autoSpaceDE w:val="0"/>
              <w:autoSpaceDN w:val="0"/>
              <w:adjustRightInd w:val="0"/>
              <w:rPr>
                <w:b/>
                <w:bCs/>
                <w:sz w:val="22"/>
                <w:szCs w:val="22"/>
              </w:rPr>
            </w:pPr>
            <w:r w:rsidRPr="000C76E0">
              <w:rPr>
                <w:b/>
                <w:bCs/>
                <w:sz w:val="22"/>
                <w:szCs w:val="22"/>
              </w:rPr>
              <w:t>Lauren DiPrete</w:t>
            </w:r>
          </w:p>
          <w:p w:rsidR="00AF77DC" w:rsidRPr="000C76E0" w:rsidP="00AF77DC" w14:paraId="199485AF" w14:textId="2B2851E5">
            <w:pPr>
              <w:autoSpaceDE w:val="0"/>
              <w:autoSpaceDN w:val="0"/>
              <w:adjustRightInd w:val="0"/>
              <w:rPr>
                <w:sz w:val="22"/>
                <w:szCs w:val="22"/>
              </w:rPr>
            </w:pPr>
            <w:r w:rsidRPr="000C76E0">
              <w:rPr>
                <w:sz w:val="22"/>
                <w:szCs w:val="22"/>
              </w:rPr>
              <w:t>Environmental Health Supervisor</w:t>
            </w:r>
          </w:p>
          <w:p w:rsidR="00AF77DC" w:rsidRPr="000C76E0" w:rsidP="00AF77DC" w14:paraId="71D93ECC" w14:textId="77777777">
            <w:pPr>
              <w:autoSpaceDE w:val="0"/>
              <w:autoSpaceDN w:val="0"/>
              <w:adjustRightInd w:val="0"/>
              <w:rPr>
                <w:sz w:val="22"/>
                <w:szCs w:val="22"/>
              </w:rPr>
            </w:pPr>
            <w:r w:rsidRPr="000C76E0">
              <w:rPr>
                <w:sz w:val="22"/>
                <w:szCs w:val="22"/>
              </w:rPr>
              <w:t>Southern Nevada Health District</w:t>
            </w:r>
          </w:p>
          <w:p w:rsidR="00982524" w:rsidRPr="000C76E0" w:rsidP="00AF77DC" w14:paraId="77A900FC" w14:textId="653E2681">
            <w:pPr>
              <w:rPr>
                <w:b/>
                <w:sz w:val="22"/>
                <w:szCs w:val="22"/>
              </w:rPr>
            </w:pPr>
          </w:p>
        </w:tc>
      </w:tr>
      <w:tr w14:paraId="29E7F0EF" w14:textId="77777777" w:rsidTr="00CE389C">
        <w:tblPrEx>
          <w:tblW w:w="0" w:type="auto"/>
          <w:tblInd w:w="108" w:type="dxa"/>
          <w:tblLook w:val="04A0"/>
        </w:tblPrEx>
        <w:tc>
          <w:tcPr>
            <w:tcW w:w="4297" w:type="dxa"/>
          </w:tcPr>
          <w:p w:rsidR="00982524" w:rsidRPr="000C76E0" w:rsidP="00982524" w14:paraId="3D0F9C27" w14:textId="77777777">
            <w:pPr>
              <w:rPr>
                <w:b/>
                <w:sz w:val="22"/>
                <w:szCs w:val="22"/>
              </w:rPr>
            </w:pPr>
            <w:r w:rsidRPr="000C76E0">
              <w:rPr>
                <w:b/>
                <w:sz w:val="22"/>
                <w:szCs w:val="22"/>
              </w:rPr>
              <w:t>Dav</w:t>
            </w:r>
            <w:r w:rsidRPr="000C76E0" w:rsidR="00450402">
              <w:rPr>
                <w:b/>
                <w:sz w:val="22"/>
                <w:szCs w:val="22"/>
              </w:rPr>
              <w:t>id</w:t>
            </w:r>
            <w:r w:rsidRPr="000C76E0">
              <w:rPr>
                <w:b/>
                <w:sz w:val="22"/>
                <w:szCs w:val="22"/>
              </w:rPr>
              <w:t xml:space="preserve"> Nicholas</w:t>
            </w:r>
          </w:p>
          <w:p w:rsidR="007A15A7" w:rsidRPr="000C76E0" w:rsidP="00982524" w14:paraId="50F39D46" w14:textId="4E86AF01">
            <w:pPr>
              <w:rPr>
                <w:bCs/>
                <w:sz w:val="22"/>
                <w:szCs w:val="22"/>
              </w:rPr>
            </w:pPr>
            <w:r w:rsidRPr="000C76E0">
              <w:rPr>
                <w:bCs/>
                <w:sz w:val="22"/>
                <w:szCs w:val="22"/>
              </w:rPr>
              <w:t>Chief Epidemiologist</w:t>
            </w:r>
          </w:p>
          <w:p w:rsidR="00982524" w:rsidRPr="000C76E0" w:rsidP="00982524" w14:paraId="1AE64FD9" w14:textId="56874FC6">
            <w:pPr>
              <w:rPr>
                <w:sz w:val="22"/>
                <w:szCs w:val="22"/>
              </w:rPr>
            </w:pPr>
            <w:r w:rsidRPr="000C76E0">
              <w:rPr>
                <w:sz w:val="22"/>
                <w:szCs w:val="22"/>
              </w:rPr>
              <w:t>N</w:t>
            </w:r>
            <w:r w:rsidRPr="000C76E0" w:rsidR="007A15A7">
              <w:rPr>
                <w:sz w:val="22"/>
                <w:szCs w:val="22"/>
              </w:rPr>
              <w:t>ew York</w:t>
            </w:r>
            <w:r w:rsidRPr="000C76E0">
              <w:rPr>
                <w:sz w:val="22"/>
                <w:szCs w:val="22"/>
              </w:rPr>
              <w:t xml:space="preserve"> State Dept</w:t>
            </w:r>
            <w:r w:rsidRPr="000C76E0" w:rsidR="00043B22">
              <w:rPr>
                <w:sz w:val="22"/>
                <w:szCs w:val="22"/>
              </w:rPr>
              <w:t>.</w:t>
            </w:r>
            <w:r w:rsidRPr="000C76E0">
              <w:rPr>
                <w:sz w:val="22"/>
                <w:szCs w:val="22"/>
              </w:rPr>
              <w:t xml:space="preserve"> of Health</w:t>
            </w:r>
          </w:p>
          <w:p w:rsidR="00982524" w:rsidRPr="000C76E0" w:rsidP="007A15A7" w14:paraId="52BADB97" w14:textId="472459CA">
            <w:pPr>
              <w:rPr>
                <w:b/>
                <w:sz w:val="22"/>
                <w:szCs w:val="22"/>
              </w:rPr>
            </w:pPr>
          </w:p>
        </w:tc>
        <w:tc>
          <w:tcPr>
            <w:tcW w:w="4410" w:type="dxa"/>
          </w:tcPr>
          <w:p w:rsidR="00982524" w:rsidRPr="000C76E0" w:rsidP="00450402" w14:paraId="65870FB0" w14:textId="77777777">
            <w:pPr>
              <w:rPr>
                <w:b/>
                <w:sz w:val="22"/>
                <w:szCs w:val="22"/>
              </w:rPr>
            </w:pPr>
            <w:r w:rsidRPr="000C76E0">
              <w:rPr>
                <w:b/>
                <w:sz w:val="22"/>
                <w:szCs w:val="22"/>
              </w:rPr>
              <w:t>Brendalee Viveiros</w:t>
            </w:r>
          </w:p>
          <w:p w:rsidR="00450402" w:rsidRPr="000C76E0" w:rsidP="00450402" w14:paraId="0971B8FE" w14:textId="192F7D53">
            <w:pPr>
              <w:rPr>
                <w:sz w:val="22"/>
                <w:szCs w:val="22"/>
              </w:rPr>
            </w:pPr>
            <w:r w:rsidRPr="000C76E0">
              <w:rPr>
                <w:sz w:val="22"/>
                <w:szCs w:val="22"/>
              </w:rPr>
              <w:t>Chief, Center for Food Protection</w:t>
            </w:r>
          </w:p>
          <w:p w:rsidR="00450402" w:rsidRPr="000C76E0" w:rsidP="00450402" w14:paraId="6AD2AAE2" w14:textId="56CD498B">
            <w:pPr>
              <w:rPr>
                <w:sz w:val="22"/>
                <w:szCs w:val="22"/>
              </w:rPr>
            </w:pPr>
            <w:r w:rsidRPr="000C76E0">
              <w:rPr>
                <w:sz w:val="22"/>
                <w:szCs w:val="22"/>
              </w:rPr>
              <w:t>Rhode Island Dep</w:t>
            </w:r>
            <w:r w:rsidRPr="000C76E0" w:rsidR="005B3323">
              <w:rPr>
                <w:sz w:val="22"/>
                <w:szCs w:val="22"/>
              </w:rPr>
              <w:t>t.</w:t>
            </w:r>
            <w:r w:rsidRPr="000C76E0">
              <w:rPr>
                <w:sz w:val="22"/>
                <w:szCs w:val="22"/>
              </w:rPr>
              <w:t xml:space="preserve"> of Health</w:t>
            </w:r>
          </w:p>
          <w:p w:rsidR="00450402" w:rsidRPr="000C76E0" w:rsidP="00423DB4" w14:paraId="25D9A6FD" w14:textId="252CEE28">
            <w:pPr>
              <w:rPr>
                <w:b/>
                <w:sz w:val="22"/>
                <w:szCs w:val="22"/>
              </w:rPr>
            </w:pPr>
          </w:p>
        </w:tc>
      </w:tr>
      <w:tr w14:paraId="7E1F0645" w14:textId="77777777" w:rsidTr="00CE389C">
        <w:tblPrEx>
          <w:tblW w:w="0" w:type="auto"/>
          <w:tblInd w:w="108" w:type="dxa"/>
          <w:tblLook w:val="04A0"/>
        </w:tblPrEx>
        <w:tc>
          <w:tcPr>
            <w:tcW w:w="4297" w:type="dxa"/>
          </w:tcPr>
          <w:p w:rsidR="00AF77DC" w:rsidRPr="000C76E0" w:rsidP="00AF77DC" w14:paraId="4212BD11" w14:textId="6992866A">
            <w:pPr>
              <w:autoSpaceDE w:val="0"/>
              <w:autoSpaceDN w:val="0"/>
              <w:adjustRightInd w:val="0"/>
              <w:rPr>
                <w:b/>
                <w:bCs/>
                <w:sz w:val="22"/>
                <w:szCs w:val="22"/>
              </w:rPr>
            </w:pPr>
            <w:r w:rsidRPr="000C76E0">
              <w:rPr>
                <w:b/>
                <w:bCs/>
                <w:sz w:val="22"/>
                <w:szCs w:val="22"/>
              </w:rPr>
              <w:t>Sarah Jensen</w:t>
            </w:r>
          </w:p>
          <w:p w:rsidR="00AF77DC" w:rsidRPr="000C76E0" w:rsidP="00AF77DC" w14:paraId="63EC1083" w14:textId="353B83D3">
            <w:pPr>
              <w:autoSpaceDE w:val="0"/>
              <w:autoSpaceDN w:val="0"/>
              <w:adjustRightInd w:val="0"/>
              <w:rPr>
                <w:sz w:val="22"/>
                <w:szCs w:val="22"/>
              </w:rPr>
            </w:pPr>
            <w:r w:rsidRPr="000C76E0">
              <w:rPr>
                <w:sz w:val="22"/>
                <w:szCs w:val="22"/>
              </w:rPr>
              <w:t>Director of Environmental Health</w:t>
            </w:r>
          </w:p>
          <w:p w:rsidR="00AF77DC" w:rsidRPr="000C76E0" w:rsidP="00AF77DC" w14:paraId="72425B89" w14:textId="77777777">
            <w:pPr>
              <w:autoSpaceDE w:val="0"/>
              <w:autoSpaceDN w:val="0"/>
              <w:adjustRightInd w:val="0"/>
              <w:rPr>
                <w:sz w:val="22"/>
                <w:szCs w:val="22"/>
              </w:rPr>
            </w:pPr>
            <w:r w:rsidRPr="000C76E0">
              <w:rPr>
                <w:sz w:val="22"/>
                <w:szCs w:val="22"/>
              </w:rPr>
              <w:t>Franklin County Public Health</w:t>
            </w:r>
          </w:p>
          <w:p w:rsidR="00450402" w:rsidRPr="000C76E0" w:rsidP="002974BF" w14:paraId="07C6EAD0" w14:textId="513FE8BF">
            <w:pPr>
              <w:autoSpaceDE w:val="0"/>
              <w:autoSpaceDN w:val="0"/>
              <w:adjustRightInd w:val="0"/>
              <w:rPr>
                <w:b/>
                <w:color w:val="FF0000"/>
                <w:sz w:val="22"/>
                <w:szCs w:val="22"/>
              </w:rPr>
            </w:pPr>
          </w:p>
        </w:tc>
        <w:tc>
          <w:tcPr>
            <w:tcW w:w="4410" w:type="dxa"/>
          </w:tcPr>
          <w:p w:rsidR="00714089" w:rsidRPr="000C76E0" w:rsidP="002511E5" w14:paraId="752AE049" w14:textId="77777777">
            <w:pPr>
              <w:rPr>
                <w:b/>
                <w:sz w:val="22"/>
                <w:szCs w:val="22"/>
              </w:rPr>
            </w:pPr>
            <w:r w:rsidRPr="000C76E0">
              <w:rPr>
                <w:b/>
                <w:sz w:val="22"/>
                <w:szCs w:val="22"/>
              </w:rPr>
              <w:t>Wendy McKelvey</w:t>
            </w:r>
          </w:p>
          <w:p w:rsidR="00BA14DD" w:rsidRPr="000C76E0" w:rsidP="002511E5" w14:paraId="08EB4F9A" w14:textId="7B1059B9">
            <w:pPr>
              <w:rPr>
                <w:bCs/>
                <w:sz w:val="22"/>
                <w:szCs w:val="22"/>
              </w:rPr>
            </w:pPr>
            <w:r w:rsidRPr="000C76E0">
              <w:rPr>
                <w:bCs/>
                <w:sz w:val="22"/>
                <w:szCs w:val="22"/>
              </w:rPr>
              <w:t>Executive Director, Env. Surveillance &amp; Policy</w:t>
            </w:r>
            <w:r w:rsidRPr="000C76E0">
              <w:rPr>
                <w:bCs/>
                <w:sz w:val="22"/>
                <w:szCs w:val="22"/>
              </w:rPr>
              <w:t xml:space="preserve"> </w:t>
            </w:r>
          </w:p>
          <w:p w:rsidR="00BA14DD" w:rsidRPr="000C76E0" w:rsidP="002511E5" w14:paraId="46597CD2" w14:textId="77777777">
            <w:pPr>
              <w:rPr>
                <w:bCs/>
                <w:sz w:val="22"/>
                <w:szCs w:val="22"/>
              </w:rPr>
            </w:pPr>
            <w:r w:rsidRPr="000C76E0">
              <w:rPr>
                <w:bCs/>
                <w:sz w:val="22"/>
                <w:szCs w:val="22"/>
              </w:rPr>
              <w:t>New York City Department of Health and Mental Hygiene</w:t>
            </w:r>
          </w:p>
          <w:p w:rsidR="00BA14DD" w:rsidRPr="000C76E0" w:rsidP="00BA14DD" w14:paraId="5CD8A42C" w14:textId="5AADB07F">
            <w:pPr>
              <w:rPr>
                <w:bCs/>
                <w:sz w:val="22"/>
                <w:szCs w:val="22"/>
              </w:rPr>
            </w:pPr>
          </w:p>
        </w:tc>
      </w:tr>
    </w:tbl>
    <w:p w:rsidR="003A5A2C" w:rsidP="002974BF" w14:paraId="497D2688" w14:textId="77777777">
      <w:pPr>
        <w:rPr>
          <w:b/>
          <w:bCs/>
          <w:sz w:val="22"/>
          <w:szCs w:val="22"/>
        </w:rPr>
      </w:pPr>
    </w:p>
    <w:p w:rsidR="003A5A2C" w:rsidP="002974BF" w14:paraId="59271171" w14:textId="77777777">
      <w:pPr>
        <w:rPr>
          <w:b/>
          <w:bCs/>
          <w:sz w:val="22"/>
          <w:szCs w:val="22"/>
        </w:rPr>
      </w:pPr>
    </w:p>
    <w:p w:rsidR="00CC3730" w:rsidRPr="008F7801" w:rsidP="002974BF" w14:paraId="0740808D" w14:textId="613C160E">
      <w:pPr>
        <w:rPr>
          <w:sz w:val="22"/>
          <w:szCs w:val="22"/>
        </w:rPr>
      </w:pPr>
      <w:r w:rsidRPr="64F7B2F5">
        <w:rPr>
          <w:b/>
          <w:bCs/>
          <w:sz w:val="22"/>
          <w:szCs w:val="22"/>
        </w:rPr>
        <w:t>A.</w:t>
      </w:r>
      <w:r w:rsidRPr="64F7B2F5">
        <w:rPr>
          <w:b/>
          <w:bCs/>
          <w:sz w:val="22"/>
          <w:szCs w:val="22"/>
        </w:rPr>
        <w:t>9. Explanation of Any Payment or Gift to Respondents</w:t>
      </w:r>
      <w:r w:rsidRPr="64F7B2F5">
        <w:rPr>
          <w:sz w:val="22"/>
          <w:szCs w:val="22"/>
        </w:rPr>
        <w:t xml:space="preserve"> </w:t>
      </w:r>
    </w:p>
    <w:p w:rsidR="00527DC9" w:rsidRPr="008F7801" w:rsidP="00CC3730" w14:paraId="509061E3" w14:textId="77777777">
      <w:pPr>
        <w:autoSpaceDE w:val="0"/>
        <w:autoSpaceDN w:val="0"/>
        <w:adjustRightInd w:val="0"/>
        <w:ind w:left="720" w:hanging="432"/>
        <w:rPr>
          <w:sz w:val="22"/>
          <w:szCs w:val="22"/>
        </w:rPr>
      </w:pPr>
    </w:p>
    <w:p w:rsidR="00D07F0C" w:rsidP="00D07F0C" w14:paraId="51A49A78" w14:textId="24EA4183">
      <w:pPr>
        <w:autoSpaceDE w:val="0"/>
        <w:autoSpaceDN w:val="0"/>
        <w:adjustRightInd w:val="0"/>
        <w:ind w:left="90" w:hanging="90"/>
        <w:rPr>
          <w:sz w:val="22"/>
          <w:szCs w:val="22"/>
        </w:rPr>
      </w:pPr>
      <w:r>
        <w:rPr>
          <w:sz w:val="22"/>
          <w:szCs w:val="22"/>
        </w:rPr>
        <w:t xml:space="preserve"> </w:t>
      </w:r>
      <w:r w:rsidR="0070028B">
        <w:rPr>
          <w:sz w:val="22"/>
          <w:szCs w:val="22"/>
        </w:rPr>
        <w:t>If warranted and justified, m</w:t>
      </w:r>
      <w:r w:rsidR="00203729">
        <w:rPr>
          <w:sz w:val="22"/>
          <w:szCs w:val="22"/>
        </w:rPr>
        <w:t>anagers and workers</w:t>
      </w:r>
      <w:r>
        <w:rPr>
          <w:sz w:val="22"/>
          <w:szCs w:val="22"/>
        </w:rPr>
        <w:t xml:space="preserve"> </w:t>
      </w:r>
      <w:r w:rsidR="005A429F">
        <w:rPr>
          <w:sz w:val="22"/>
          <w:szCs w:val="22"/>
        </w:rPr>
        <w:t>may receive</w:t>
      </w:r>
      <w:r w:rsidR="00765933">
        <w:rPr>
          <w:sz w:val="22"/>
          <w:szCs w:val="22"/>
        </w:rPr>
        <w:t xml:space="preserve"> </w:t>
      </w:r>
      <w:r w:rsidRPr="00F6517A" w:rsidR="007C563E">
        <w:rPr>
          <w:sz w:val="22"/>
          <w:szCs w:val="22"/>
        </w:rPr>
        <w:t>compensation</w:t>
      </w:r>
      <w:r w:rsidRPr="007C563E" w:rsidR="00765933">
        <w:rPr>
          <w:sz w:val="22"/>
          <w:szCs w:val="22"/>
        </w:rPr>
        <w:t xml:space="preserve"> </w:t>
      </w:r>
      <w:r w:rsidRPr="007C563E" w:rsidR="002D53CC">
        <w:rPr>
          <w:sz w:val="22"/>
          <w:szCs w:val="22"/>
        </w:rPr>
        <w:t>for participating</w:t>
      </w:r>
      <w:r w:rsidR="002D53CC">
        <w:rPr>
          <w:sz w:val="22"/>
          <w:szCs w:val="22"/>
        </w:rPr>
        <w:t xml:space="preserve"> in an in-person data collection activity (e.g., face-to-face interview or completing a knowledge assessment). </w:t>
      </w:r>
      <w:r w:rsidR="00800270">
        <w:rPr>
          <w:sz w:val="22"/>
          <w:szCs w:val="22"/>
        </w:rPr>
        <w:t xml:space="preserve">Compensation may be </w:t>
      </w:r>
      <w:r w:rsidR="007C563E">
        <w:rPr>
          <w:sz w:val="22"/>
          <w:szCs w:val="22"/>
        </w:rPr>
        <w:t xml:space="preserve">in the form of a </w:t>
      </w:r>
      <w:r w:rsidR="00AD11D4">
        <w:rPr>
          <w:sz w:val="22"/>
          <w:szCs w:val="22"/>
        </w:rPr>
        <w:t xml:space="preserve">cash equivalent </w:t>
      </w:r>
      <w:r w:rsidR="007C563E">
        <w:rPr>
          <w:sz w:val="22"/>
          <w:szCs w:val="22"/>
        </w:rPr>
        <w:t>gift card</w:t>
      </w:r>
      <w:r w:rsidR="00CB3A9A">
        <w:rPr>
          <w:sz w:val="22"/>
          <w:szCs w:val="22"/>
        </w:rPr>
        <w:t xml:space="preserve">, </w:t>
      </w:r>
      <w:r w:rsidR="008C186F">
        <w:rPr>
          <w:sz w:val="22"/>
          <w:szCs w:val="22"/>
        </w:rPr>
        <w:t xml:space="preserve">food-safety related </w:t>
      </w:r>
      <w:r w:rsidR="00897938">
        <w:rPr>
          <w:sz w:val="22"/>
          <w:szCs w:val="22"/>
        </w:rPr>
        <w:t>gift (e.g., a food thermometer</w:t>
      </w:r>
      <w:r w:rsidR="003A5EC1">
        <w:rPr>
          <w:sz w:val="22"/>
          <w:szCs w:val="22"/>
        </w:rPr>
        <w:t>)</w:t>
      </w:r>
      <w:r w:rsidR="00CB3A9A">
        <w:rPr>
          <w:sz w:val="22"/>
          <w:szCs w:val="22"/>
        </w:rPr>
        <w:t xml:space="preserve">, or other </w:t>
      </w:r>
      <w:r w:rsidR="00BD1CA6">
        <w:rPr>
          <w:sz w:val="22"/>
          <w:szCs w:val="22"/>
        </w:rPr>
        <w:t>compensation</w:t>
      </w:r>
      <w:r w:rsidR="00975615">
        <w:rPr>
          <w:sz w:val="22"/>
          <w:szCs w:val="22"/>
        </w:rPr>
        <w:t>.</w:t>
      </w:r>
      <w:r w:rsidR="00067C0B">
        <w:rPr>
          <w:sz w:val="22"/>
          <w:szCs w:val="22"/>
        </w:rPr>
        <w:t xml:space="preserve"> </w:t>
      </w:r>
      <w:r w:rsidR="00686BFD">
        <w:rPr>
          <w:sz w:val="22"/>
          <w:szCs w:val="22"/>
        </w:rPr>
        <w:t>Because t</w:t>
      </w:r>
      <w:r w:rsidR="00067C0B">
        <w:rPr>
          <w:sz w:val="22"/>
          <w:szCs w:val="22"/>
        </w:rPr>
        <w:t xml:space="preserve">his </w:t>
      </w:r>
      <w:r w:rsidR="00DF41DB">
        <w:rPr>
          <w:sz w:val="22"/>
          <w:szCs w:val="22"/>
        </w:rPr>
        <w:t xml:space="preserve">document </w:t>
      </w:r>
      <w:r w:rsidR="00067C0B">
        <w:rPr>
          <w:sz w:val="22"/>
          <w:szCs w:val="22"/>
        </w:rPr>
        <w:t xml:space="preserve">is a Generic Information Collection </w:t>
      </w:r>
      <w:r w:rsidR="00151517">
        <w:rPr>
          <w:sz w:val="22"/>
          <w:szCs w:val="22"/>
        </w:rPr>
        <w:t>Request</w:t>
      </w:r>
      <w:r w:rsidR="00686BFD">
        <w:rPr>
          <w:sz w:val="22"/>
          <w:szCs w:val="22"/>
        </w:rPr>
        <w:t>, the</w:t>
      </w:r>
      <w:r w:rsidR="00151517">
        <w:rPr>
          <w:sz w:val="22"/>
          <w:szCs w:val="22"/>
        </w:rPr>
        <w:t xml:space="preserve"> </w:t>
      </w:r>
      <w:r w:rsidR="008F37FB">
        <w:rPr>
          <w:sz w:val="22"/>
          <w:szCs w:val="22"/>
        </w:rPr>
        <w:t>type of compensation (</w:t>
      </w:r>
      <w:r w:rsidR="00BD1CA6">
        <w:rPr>
          <w:sz w:val="22"/>
          <w:szCs w:val="22"/>
        </w:rPr>
        <w:t>e.g</w:t>
      </w:r>
      <w:r w:rsidR="008F37FB">
        <w:rPr>
          <w:sz w:val="22"/>
          <w:szCs w:val="22"/>
        </w:rPr>
        <w:t xml:space="preserve">., monetary vs. gift) and </w:t>
      </w:r>
      <w:r w:rsidR="00A20E9F">
        <w:rPr>
          <w:sz w:val="22"/>
          <w:szCs w:val="22"/>
        </w:rPr>
        <w:t>incentive amounts</w:t>
      </w:r>
      <w:r w:rsidR="00C4306C">
        <w:rPr>
          <w:sz w:val="22"/>
          <w:szCs w:val="22"/>
        </w:rPr>
        <w:t xml:space="preserve"> will </w:t>
      </w:r>
      <w:r w:rsidR="00D6240E">
        <w:rPr>
          <w:sz w:val="22"/>
          <w:szCs w:val="22"/>
        </w:rPr>
        <w:t xml:space="preserve">be </w:t>
      </w:r>
      <w:r w:rsidR="006A2314">
        <w:rPr>
          <w:sz w:val="22"/>
          <w:szCs w:val="22"/>
        </w:rPr>
        <w:t xml:space="preserve">dependent on the </w:t>
      </w:r>
      <w:r w:rsidR="000A38FD">
        <w:rPr>
          <w:sz w:val="22"/>
          <w:szCs w:val="22"/>
        </w:rPr>
        <w:t>nature</w:t>
      </w:r>
      <w:r w:rsidR="006A2314">
        <w:rPr>
          <w:sz w:val="22"/>
          <w:szCs w:val="22"/>
        </w:rPr>
        <w:t xml:space="preserve"> of</w:t>
      </w:r>
      <w:r w:rsidR="00C4306C">
        <w:rPr>
          <w:sz w:val="22"/>
          <w:szCs w:val="22"/>
        </w:rPr>
        <w:t xml:space="preserve"> data collection activities</w:t>
      </w:r>
      <w:r w:rsidR="00A071E7">
        <w:rPr>
          <w:sz w:val="22"/>
          <w:szCs w:val="22"/>
        </w:rPr>
        <w:t xml:space="preserve"> at the time of </w:t>
      </w:r>
      <w:r w:rsidR="004428B1">
        <w:rPr>
          <w:sz w:val="22"/>
          <w:szCs w:val="22"/>
        </w:rPr>
        <w:t xml:space="preserve">specific </w:t>
      </w:r>
      <w:r w:rsidR="00A071E7">
        <w:rPr>
          <w:sz w:val="22"/>
          <w:szCs w:val="22"/>
        </w:rPr>
        <w:t>protocol development and approval</w:t>
      </w:r>
      <w:r w:rsidR="00C4306C">
        <w:rPr>
          <w:sz w:val="22"/>
          <w:szCs w:val="22"/>
        </w:rPr>
        <w:t>.</w:t>
      </w:r>
    </w:p>
    <w:p w:rsidR="00D07F0C" w:rsidP="00D07F0C" w14:paraId="2CA777B3" w14:textId="77777777">
      <w:pPr>
        <w:autoSpaceDE w:val="0"/>
        <w:autoSpaceDN w:val="0"/>
        <w:adjustRightInd w:val="0"/>
        <w:ind w:left="90" w:hanging="90"/>
        <w:rPr>
          <w:sz w:val="22"/>
          <w:szCs w:val="22"/>
        </w:rPr>
      </w:pPr>
    </w:p>
    <w:p w:rsidR="00A90516" w:rsidP="00D07F0C" w14:paraId="543A07CD" w14:textId="2E629F0E">
      <w:pPr>
        <w:autoSpaceDE w:val="0"/>
        <w:autoSpaceDN w:val="0"/>
        <w:adjustRightInd w:val="0"/>
        <w:ind w:left="90" w:hanging="90"/>
        <w:rPr>
          <w:sz w:val="22"/>
          <w:szCs w:val="22"/>
        </w:rPr>
      </w:pPr>
      <w:r w:rsidRPr="00F6517A">
        <w:rPr>
          <w:sz w:val="22"/>
          <w:szCs w:val="22"/>
        </w:rPr>
        <w:t xml:space="preserve">Some </w:t>
      </w:r>
      <w:r w:rsidRPr="00F6517A">
        <w:rPr>
          <w:sz w:val="22"/>
          <w:szCs w:val="22"/>
        </w:rPr>
        <w:t xml:space="preserve">EHS-Net sites report increasing difficulty recruiting </w:t>
      </w:r>
      <w:r w:rsidRPr="00F6517A">
        <w:rPr>
          <w:sz w:val="22"/>
          <w:szCs w:val="22"/>
        </w:rPr>
        <w:t xml:space="preserve">retail food </w:t>
      </w:r>
      <w:r w:rsidRPr="00F6517A" w:rsidR="001269B0">
        <w:rPr>
          <w:sz w:val="22"/>
          <w:szCs w:val="22"/>
        </w:rPr>
        <w:t>establishments to participate in</w:t>
      </w:r>
      <w:r w:rsidRPr="00F6517A" w:rsidR="00247021">
        <w:rPr>
          <w:sz w:val="22"/>
          <w:szCs w:val="22"/>
        </w:rPr>
        <w:t xml:space="preserve"> </w:t>
      </w:r>
      <w:r w:rsidR="009711C6">
        <w:rPr>
          <w:sz w:val="22"/>
          <w:szCs w:val="22"/>
        </w:rPr>
        <w:t>data</w:t>
      </w:r>
      <w:r w:rsidR="001968C9">
        <w:rPr>
          <w:sz w:val="22"/>
          <w:szCs w:val="22"/>
        </w:rPr>
        <w:t xml:space="preserve"> </w:t>
      </w:r>
      <w:r w:rsidR="009711C6">
        <w:rPr>
          <w:sz w:val="22"/>
          <w:szCs w:val="22"/>
        </w:rPr>
        <w:t>collection activities</w:t>
      </w:r>
      <w:r w:rsidR="009A6C2D">
        <w:rPr>
          <w:sz w:val="22"/>
          <w:szCs w:val="22"/>
        </w:rPr>
        <w:t xml:space="preserve">, leading to a higher </w:t>
      </w:r>
      <w:r w:rsidR="00160BC6">
        <w:rPr>
          <w:sz w:val="22"/>
          <w:szCs w:val="22"/>
        </w:rPr>
        <w:t xml:space="preserve">recruitment </w:t>
      </w:r>
      <w:r w:rsidR="009A6C2D">
        <w:rPr>
          <w:sz w:val="22"/>
          <w:szCs w:val="22"/>
        </w:rPr>
        <w:t>burden on our state and local partners</w:t>
      </w:r>
      <w:r w:rsidRPr="00E1261B" w:rsidR="00D0226E">
        <w:rPr>
          <w:sz w:val="22"/>
          <w:szCs w:val="22"/>
        </w:rPr>
        <w:t>.</w:t>
      </w:r>
      <w:r w:rsidR="00D0226E">
        <w:rPr>
          <w:i/>
          <w:iCs/>
          <w:sz w:val="22"/>
          <w:szCs w:val="22"/>
        </w:rPr>
        <w:t xml:space="preserve"> </w:t>
      </w:r>
      <w:r w:rsidRPr="00E1261B" w:rsidR="006E51CC">
        <w:rPr>
          <w:sz w:val="22"/>
          <w:szCs w:val="22"/>
        </w:rPr>
        <w:t xml:space="preserve">Offering an </w:t>
      </w:r>
      <w:r w:rsidRPr="00E1261B" w:rsidR="006E51CC">
        <w:rPr>
          <w:sz w:val="22"/>
          <w:szCs w:val="22"/>
        </w:rPr>
        <w:t>incentive</w:t>
      </w:r>
      <w:r w:rsidR="00DD763F">
        <w:rPr>
          <w:sz w:val="22"/>
          <w:szCs w:val="22"/>
        </w:rPr>
        <w:t xml:space="preserve"> is a way to </w:t>
      </w:r>
      <w:r w:rsidRPr="00E1261B" w:rsidR="006E51CC">
        <w:rPr>
          <w:sz w:val="22"/>
          <w:szCs w:val="22"/>
        </w:rPr>
        <w:t xml:space="preserve">not only demonstrate </w:t>
      </w:r>
      <w:r w:rsidR="00DD738B">
        <w:rPr>
          <w:sz w:val="22"/>
          <w:szCs w:val="22"/>
        </w:rPr>
        <w:t>gratitude</w:t>
      </w:r>
      <w:r w:rsidRPr="00E1261B" w:rsidR="006E51CC">
        <w:rPr>
          <w:sz w:val="22"/>
          <w:szCs w:val="22"/>
        </w:rPr>
        <w:t xml:space="preserve"> </w:t>
      </w:r>
      <w:r w:rsidRPr="00E1261B" w:rsidR="00DD738B">
        <w:rPr>
          <w:sz w:val="22"/>
          <w:szCs w:val="22"/>
        </w:rPr>
        <w:t xml:space="preserve">for the time </w:t>
      </w:r>
      <w:r w:rsidR="00371165">
        <w:rPr>
          <w:sz w:val="22"/>
          <w:szCs w:val="22"/>
        </w:rPr>
        <w:t xml:space="preserve">managers and workers take to participate, but also </w:t>
      </w:r>
      <w:r w:rsidR="00B4544D">
        <w:rPr>
          <w:sz w:val="22"/>
          <w:szCs w:val="22"/>
        </w:rPr>
        <w:t>improve</w:t>
      </w:r>
      <w:r w:rsidR="00371165">
        <w:rPr>
          <w:sz w:val="22"/>
          <w:szCs w:val="22"/>
        </w:rPr>
        <w:t xml:space="preserve"> participation rates.</w:t>
      </w:r>
    </w:p>
    <w:p w:rsidR="00F97C1C" w:rsidP="00C16D7F" w14:paraId="48893D57" w14:textId="77777777">
      <w:pPr>
        <w:autoSpaceDE w:val="0"/>
        <w:autoSpaceDN w:val="0"/>
        <w:adjustRightInd w:val="0"/>
        <w:ind w:left="90" w:hanging="90"/>
        <w:rPr>
          <w:sz w:val="22"/>
          <w:szCs w:val="22"/>
        </w:rPr>
      </w:pPr>
    </w:p>
    <w:p w:rsidR="005E75BF" w:rsidRPr="007B311C" w:rsidP="00845190" w14:paraId="6B7CDC86" w14:textId="5733EE83">
      <w:pPr>
        <w:autoSpaceDE w:val="0"/>
        <w:autoSpaceDN w:val="0"/>
        <w:adjustRightInd w:val="0"/>
        <w:ind w:left="90" w:hanging="90"/>
        <w:rPr>
          <w:i/>
          <w:iCs/>
          <w:sz w:val="22"/>
          <w:szCs w:val="22"/>
        </w:rPr>
      </w:pPr>
      <w:r w:rsidRPr="007B311C">
        <w:rPr>
          <w:i/>
          <w:iCs/>
          <w:sz w:val="22"/>
          <w:szCs w:val="22"/>
        </w:rPr>
        <w:t xml:space="preserve">Incentives </w:t>
      </w:r>
      <w:r w:rsidRPr="007B311C" w:rsidR="007B008F">
        <w:rPr>
          <w:i/>
          <w:iCs/>
          <w:sz w:val="22"/>
          <w:szCs w:val="22"/>
        </w:rPr>
        <w:t>have been used in previous restaurant studies.</w:t>
      </w:r>
    </w:p>
    <w:p w:rsidR="00845190" w:rsidRPr="00845190" w:rsidP="00845190" w14:paraId="6E156628" w14:textId="2B760DC1">
      <w:pPr>
        <w:autoSpaceDE w:val="0"/>
        <w:autoSpaceDN w:val="0"/>
        <w:adjustRightInd w:val="0"/>
        <w:ind w:left="90" w:hanging="90"/>
        <w:rPr>
          <w:sz w:val="22"/>
          <w:szCs w:val="22"/>
        </w:rPr>
      </w:pPr>
      <w:r w:rsidRPr="007B008F">
        <w:rPr>
          <w:sz w:val="22"/>
          <w:szCs w:val="22"/>
        </w:rPr>
        <w:t xml:space="preserve">Published studies have used incentives </w:t>
      </w:r>
      <w:r w:rsidR="00356A10">
        <w:rPr>
          <w:sz w:val="22"/>
          <w:szCs w:val="22"/>
        </w:rPr>
        <w:t xml:space="preserve">during </w:t>
      </w:r>
      <w:r w:rsidR="005323B7">
        <w:rPr>
          <w:sz w:val="22"/>
          <w:szCs w:val="22"/>
        </w:rPr>
        <w:t>data collection activities</w:t>
      </w:r>
      <w:r w:rsidRPr="00845190">
        <w:rPr>
          <w:sz w:val="22"/>
          <w:szCs w:val="22"/>
        </w:rPr>
        <w:t xml:space="preserve"> in restaurants and from food workers. Financial incentives have varied between $5 and </w:t>
      </w:r>
      <w:r w:rsidR="005323B7">
        <w:rPr>
          <w:sz w:val="22"/>
          <w:szCs w:val="22"/>
        </w:rPr>
        <w:t>$</w:t>
      </w:r>
      <w:r w:rsidRPr="00845190">
        <w:rPr>
          <w:sz w:val="22"/>
          <w:szCs w:val="22"/>
        </w:rPr>
        <w:t>20 for food workers and, in one study, $300 for restaurant owners who agreed that their restaurant could serve as a study site (</w:t>
      </w:r>
      <w:r w:rsidRPr="00845190">
        <w:rPr>
          <w:sz w:val="22"/>
          <w:szCs w:val="22"/>
        </w:rPr>
        <w:t>Rosemberg</w:t>
      </w:r>
      <w:r w:rsidRPr="00845190">
        <w:rPr>
          <w:sz w:val="22"/>
          <w:szCs w:val="22"/>
        </w:rPr>
        <w:t xml:space="preserve"> </w:t>
      </w:r>
      <w:r w:rsidR="00A80C41">
        <w:rPr>
          <w:sz w:val="22"/>
          <w:szCs w:val="22"/>
        </w:rPr>
        <w:t xml:space="preserve">et al., </w:t>
      </w:r>
      <w:r w:rsidRPr="00845190">
        <w:rPr>
          <w:sz w:val="22"/>
          <w:szCs w:val="22"/>
        </w:rPr>
        <w:t>2023; Courtney</w:t>
      </w:r>
      <w:r w:rsidR="00A80C41">
        <w:rPr>
          <w:sz w:val="22"/>
          <w:szCs w:val="22"/>
        </w:rPr>
        <w:t xml:space="preserve"> et al.,</w:t>
      </w:r>
      <w:r w:rsidRPr="00845190">
        <w:rPr>
          <w:sz w:val="22"/>
          <w:szCs w:val="22"/>
        </w:rPr>
        <w:t xml:space="preserve"> 2010; </w:t>
      </w:r>
      <w:r w:rsidRPr="00845190">
        <w:rPr>
          <w:sz w:val="22"/>
          <w:szCs w:val="22"/>
        </w:rPr>
        <w:t>Averbach</w:t>
      </w:r>
      <w:r w:rsidR="00A80C41">
        <w:rPr>
          <w:sz w:val="22"/>
          <w:szCs w:val="22"/>
        </w:rPr>
        <w:t xml:space="preserve"> et al., </w:t>
      </w:r>
      <w:r w:rsidRPr="00845190">
        <w:rPr>
          <w:sz w:val="22"/>
          <w:szCs w:val="22"/>
        </w:rPr>
        <w:t>2002; Ayala</w:t>
      </w:r>
      <w:r w:rsidR="00A80C41">
        <w:rPr>
          <w:sz w:val="22"/>
          <w:szCs w:val="22"/>
        </w:rPr>
        <w:t xml:space="preserve"> et al.,</w:t>
      </w:r>
      <w:r w:rsidRPr="00845190">
        <w:rPr>
          <w:sz w:val="22"/>
          <w:szCs w:val="22"/>
        </w:rPr>
        <w:t xml:space="preserve"> 2017). A prior single-site EHS-Net study offered waterproof thermometers (an approximately $50 value) as an incentive for participation (Hedeen </w:t>
      </w:r>
      <w:r w:rsidR="00C675F0">
        <w:rPr>
          <w:sz w:val="22"/>
          <w:szCs w:val="22"/>
        </w:rPr>
        <w:t xml:space="preserve">and Smith, </w:t>
      </w:r>
      <w:r w:rsidRPr="00845190">
        <w:rPr>
          <w:sz w:val="22"/>
          <w:szCs w:val="22"/>
        </w:rPr>
        <w:t xml:space="preserve">2020). </w:t>
      </w:r>
    </w:p>
    <w:p w:rsidR="00845190" w:rsidRPr="00845190" w:rsidP="00845190" w14:paraId="45FD0D2F" w14:textId="77777777">
      <w:pPr>
        <w:autoSpaceDE w:val="0"/>
        <w:autoSpaceDN w:val="0"/>
        <w:adjustRightInd w:val="0"/>
        <w:ind w:left="90" w:hanging="90"/>
        <w:rPr>
          <w:sz w:val="22"/>
          <w:szCs w:val="22"/>
        </w:rPr>
      </w:pPr>
    </w:p>
    <w:p w:rsidR="00845190" w:rsidRPr="007B311C" w:rsidP="00845190" w14:paraId="17EF9945" w14:textId="77777777">
      <w:pPr>
        <w:autoSpaceDE w:val="0"/>
        <w:autoSpaceDN w:val="0"/>
        <w:adjustRightInd w:val="0"/>
        <w:ind w:left="90" w:hanging="90"/>
        <w:rPr>
          <w:i/>
          <w:iCs/>
          <w:sz w:val="22"/>
          <w:szCs w:val="22"/>
        </w:rPr>
      </w:pPr>
      <w:r w:rsidRPr="007B311C">
        <w:rPr>
          <w:i/>
          <w:iCs/>
          <w:sz w:val="22"/>
          <w:szCs w:val="22"/>
        </w:rPr>
        <w:t>Incentives can improve participation rates.</w:t>
      </w:r>
    </w:p>
    <w:p w:rsidR="00845190" w:rsidRPr="00845190" w:rsidP="00845190" w14:paraId="5DD7B3B2" w14:textId="6AFA61A7">
      <w:pPr>
        <w:autoSpaceDE w:val="0"/>
        <w:autoSpaceDN w:val="0"/>
        <w:adjustRightInd w:val="0"/>
        <w:ind w:left="90" w:hanging="90"/>
        <w:rPr>
          <w:sz w:val="22"/>
          <w:szCs w:val="22"/>
        </w:rPr>
      </w:pPr>
      <w:r w:rsidRPr="00845190">
        <w:rPr>
          <w:sz w:val="22"/>
          <w:szCs w:val="22"/>
        </w:rPr>
        <w:t xml:space="preserve">Although, to our knowledge, no </w:t>
      </w:r>
      <w:r w:rsidR="00D51C72">
        <w:rPr>
          <w:sz w:val="22"/>
          <w:szCs w:val="22"/>
        </w:rPr>
        <w:t>research</w:t>
      </w:r>
      <w:r w:rsidRPr="00845190">
        <w:rPr>
          <w:sz w:val="22"/>
          <w:szCs w:val="22"/>
        </w:rPr>
        <w:t xml:space="preserve"> </w:t>
      </w:r>
      <w:r w:rsidR="00D51C72">
        <w:rPr>
          <w:sz w:val="22"/>
          <w:szCs w:val="22"/>
        </w:rPr>
        <w:t>has</w:t>
      </w:r>
      <w:r w:rsidRPr="00845190">
        <w:rPr>
          <w:sz w:val="22"/>
          <w:szCs w:val="22"/>
        </w:rPr>
        <w:t xml:space="preserve"> been published on improving participation specifically </w:t>
      </w:r>
      <w:r w:rsidR="00D51C72">
        <w:rPr>
          <w:sz w:val="22"/>
          <w:szCs w:val="22"/>
        </w:rPr>
        <w:t>of</w:t>
      </w:r>
      <w:r w:rsidRPr="00845190">
        <w:rPr>
          <w:sz w:val="22"/>
          <w:szCs w:val="22"/>
        </w:rPr>
        <w:t xml:space="preserve"> restaurant workers, published literature has often found that incentives can improve participation rates</w:t>
      </w:r>
      <w:r w:rsidR="009B05D5">
        <w:rPr>
          <w:sz w:val="22"/>
          <w:szCs w:val="22"/>
        </w:rPr>
        <w:t xml:space="preserve"> in surveys and interviews</w:t>
      </w:r>
      <w:r w:rsidR="002C054A">
        <w:rPr>
          <w:sz w:val="22"/>
          <w:szCs w:val="22"/>
        </w:rPr>
        <w:t xml:space="preserve">, including </w:t>
      </w:r>
      <w:r w:rsidR="004D05EF">
        <w:rPr>
          <w:sz w:val="22"/>
          <w:szCs w:val="22"/>
        </w:rPr>
        <w:t>among</w:t>
      </w:r>
      <w:r w:rsidR="002C054A">
        <w:rPr>
          <w:sz w:val="22"/>
          <w:szCs w:val="22"/>
        </w:rPr>
        <w:t xml:space="preserve"> other occupational </w:t>
      </w:r>
      <w:r w:rsidR="004D05EF">
        <w:rPr>
          <w:sz w:val="22"/>
          <w:szCs w:val="22"/>
        </w:rPr>
        <w:t>groups</w:t>
      </w:r>
      <w:r w:rsidRPr="00845190">
        <w:rPr>
          <w:sz w:val="22"/>
          <w:szCs w:val="22"/>
        </w:rPr>
        <w:t>. Early studies of NHANES participation found that offering a monetary incentive (Bryant</w:t>
      </w:r>
      <w:r w:rsidR="00B555A2">
        <w:rPr>
          <w:sz w:val="22"/>
          <w:szCs w:val="22"/>
        </w:rPr>
        <w:t xml:space="preserve"> et al.,</w:t>
      </w:r>
      <w:r w:rsidRPr="00845190">
        <w:rPr>
          <w:sz w:val="22"/>
          <w:szCs w:val="22"/>
        </w:rPr>
        <w:t xml:space="preserve"> 1975) and offering a higher monetary incentive ($20 vs. $10) (Findlay and </w:t>
      </w:r>
      <w:r w:rsidRPr="00845190">
        <w:rPr>
          <w:sz w:val="22"/>
          <w:szCs w:val="22"/>
        </w:rPr>
        <w:t>Schaible</w:t>
      </w:r>
      <w:r w:rsidR="007D17FB">
        <w:rPr>
          <w:sz w:val="22"/>
          <w:szCs w:val="22"/>
        </w:rPr>
        <w:t xml:space="preserve">, </w:t>
      </w:r>
      <w:r w:rsidRPr="00845190">
        <w:rPr>
          <w:sz w:val="22"/>
          <w:szCs w:val="22"/>
        </w:rPr>
        <w:t>1980) both succ</w:t>
      </w:r>
      <w:r w:rsidR="009B05D5">
        <w:rPr>
          <w:sz w:val="22"/>
          <w:szCs w:val="22"/>
        </w:rPr>
        <w:t>eeded</w:t>
      </w:r>
      <w:r w:rsidRPr="00845190">
        <w:rPr>
          <w:sz w:val="22"/>
          <w:szCs w:val="22"/>
        </w:rPr>
        <w:t xml:space="preserve"> in improving overall participation rates. A recent meta-analysis of 168 observational studies found that for interviews among non-patient</w:t>
      </w:r>
      <w:r w:rsidR="00E41D21">
        <w:rPr>
          <w:sz w:val="22"/>
          <w:szCs w:val="22"/>
        </w:rPr>
        <w:t xml:space="preserve"> study populations</w:t>
      </w:r>
      <w:r w:rsidRPr="00845190">
        <w:rPr>
          <w:sz w:val="22"/>
          <w:szCs w:val="22"/>
        </w:rPr>
        <w:t xml:space="preserve"> (</w:t>
      </w:r>
      <w:r w:rsidRPr="00845190">
        <w:rPr>
          <w:sz w:val="22"/>
          <w:szCs w:val="22"/>
        </w:rPr>
        <w:t>similar to</w:t>
      </w:r>
      <w:r w:rsidRPr="00845190">
        <w:rPr>
          <w:sz w:val="22"/>
          <w:szCs w:val="22"/>
        </w:rPr>
        <w:t xml:space="preserve"> what is done for EHS-Net data collection activities), response rates were increased by monetary incentives by an estimated 39% (van Gelder</w:t>
      </w:r>
      <w:r w:rsidR="00CB0780">
        <w:rPr>
          <w:sz w:val="22"/>
          <w:szCs w:val="22"/>
        </w:rPr>
        <w:t xml:space="preserve"> et al.,</w:t>
      </w:r>
      <w:r w:rsidRPr="00845190">
        <w:rPr>
          <w:sz w:val="22"/>
          <w:szCs w:val="22"/>
        </w:rPr>
        <w:t xml:space="preserve"> 2018). In a meta-analysis of surveys in healthcare providers, providers receiving monetary incentives were more likely to respond than those who did not receive an incentive (Cho</w:t>
      </w:r>
      <w:r w:rsidR="00CB0780">
        <w:rPr>
          <w:sz w:val="22"/>
          <w:szCs w:val="22"/>
        </w:rPr>
        <w:t xml:space="preserve"> et al.,</w:t>
      </w:r>
      <w:r w:rsidRPr="00845190">
        <w:rPr>
          <w:sz w:val="22"/>
          <w:szCs w:val="22"/>
        </w:rPr>
        <w:t xml:space="preserve"> 2013).</w:t>
      </w:r>
    </w:p>
    <w:p w:rsidR="00845190" w:rsidRPr="00845190" w:rsidP="00845190" w14:paraId="3715A661" w14:textId="77777777">
      <w:pPr>
        <w:autoSpaceDE w:val="0"/>
        <w:autoSpaceDN w:val="0"/>
        <w:adjustRightInd w:val="0"/>
        <w:ind w:left="90" w:hanging="90"/>
        <w:rPr>
          <w:sz w:val="22"/>
          <w:szCs w:val="22"/>
        </w:rPr>
      </w:pPr>
    </w:p>
    <w:p w:rsidR="00845190" w:rsidRPr="007B311C" w:rsidP="00845190" w14:paraId="549CB499" w14:textId="77777777">
      <w:pPr>
        <w:autoSpaceDE w:val="0"/>
        <w:autoSpaceDN w:val="0"/>
        <w:adjustRightInd w:val="0"/>
        <w:ind w:left="90" w:hanging="90"/>
        <w:rPr>
          <w:i/>
          <w:iCs/>
          <w:sz w:val="22"/>
          <w:szCs w:val="22"/>
        </w:rPr>
      </w:pPr>
      <w:r w:rsidRPr="007B311C">
        <w:rPr>
          <w:i/>
          <w:iCs/>
          <w:sz w:val="22"/>
          <w:szCs w:val="22"/>
        </w:rPr>
        <w:t>Incentives can improve cost-efficiency.</w:t>
      </w:r>
    </w:p>
    <w:p w:rsidR="003E548C" w:rsidP="00845190" w14:paraId="40BA2026" w14:textId="0CE041DC">
      <w:pPr>
        <w:autoSpaceDE w:val="0"/>
        <w:autoSpaceDN w:val="0"/>
        <w:adjustRightInd w:val="0"/>
        <w:ind w:left="90" w:hanging="90"/>
        <w:rPr>
          <w:sz w:val="22"/>
          <w:szCs w:val="22"/>
        </w:rPr>
      </w:pPr>
      <w:r w:rsidRPr="00845190">
        <w:rPr>
          <w:sz w:val="22"/>
          <w:szCs w:val="22"/>
        </w:rPr>
        <w:t xml:space="preserve">By improving response rates, offering incentives can save the government money by reducing efforts needed to complete recruitment. The National Adult Literacy Survey demonstrated that a $20 incentive resulted in not only higher response rates, but also lower costs per completed survey than the comparison group (Berlin </w:t>
      </w:r>
      <w:r w:rsidR="00034551">
        <w:rPr>
          <w:sz w:val="22"/>
          <w:szCs w:val="22"/>
        </w:rPr>
        <w:t xml:space="preserve">et al., </w:t>
      </w:r>
      <w:r w:rsidRPr="00845190">
        <w:rPr>
          <w:sz w:val="22"/>
          <w:szCs w:val="22"/>
        </w:rPr>
        <w:t xml:space="preserve">1992). Moreover, the incentives yielded higher response rates in people reporting non-white race and less education, characteristics that are also prevalent in restaurant workers. A more recent online survey experiment likewise found that incentives resulted in quicker data collection, less money spent on recruitment, and higher response rates (Sobolewski </w:t>
      </w:r>
      <w:r w:rsidR="00034551">
        <w:rPr>
          <w:sz w:val="22"/>
          <w:szCs w:val="22"/>
        </w:rPr>
        <w:t xml:space="preserve">et al., </w:t>
      </w:r>
      <w:r w:rsidRPr="00845190">
        <w:rPr>
          <w:sz w:val="22"/>
          <w:szCs w:val="22"/>
        </w:rPr>
        <w:t>2024).</w:t>
      </w:r>
    </w:p>
    <w:p w:rsidR="009B1AD2" w:rsidRPr="00DD738B" w:rsidP="00F6517A" w14:paraId="26A5012D" w14:textId="77777777">
      <w:pPr>
        <w:autoSpaceDE w:val="0"/>
        <w:autoSpaceDN w:val="0"/>
        <w:adjustRightInd w:val="0"/>
        <w:rPr>
          <w:sz w:val="22"/>
          <w:szCs w:val="22"/>
        </w:rPr>
      </w:pPr>
    </w:p>
    <w:p w:rsidR="00AF77DC" w:rsidRPr="008F7801" w:rsidP="00AF77DC" w14:paraId="232ADEC9" w14:textId="77777777">
      <w:pPr>
        <w:autoSpaceDE w:val="0"/>
        <w:autoSpaceDN w:val="0"/>
        <w:adjustRightInd w:val="0"/>
        <w:ind w:left="432" w:hanging="432"/>
        <w:rPr>
          <w:b/>
          <w:sz w:val="22"/>
          <w:szCs w:val="22"/>
        </w:rPr>
      </w:pPr>
      <w:r w:rsidRPr="008F7801">
        <w:rPr>
          <w:b/>
          <w:sz w:val="22"/>
          <w:szCs w:val="22"/>
        </w:rPr>
        <w:t xml:space="preserve">A.10. Protection of the Privacy and Confidentiality of Information Provided by Respondents </w:t>
      </w:r>
    </w:p>
    <w:p w:rsidR="00AF77DC" w:rsidRPr="008F7801" w:rsidP="00AF77DC" w14:paraId="3EB18AC7" w14:textId="77777777">
      <w:pPr>
        <w:autoSpaceDE w:val="0"/>
        <w:autoSpaceDN w:val="0"/>
        <w:adjustRightInd w:val="0"/>
        <w:ind w:left="432" w:hanging="432"/>
        <w:rPr>
          <w:b/>
          <w:sz w:val="22"/>
          <w:szCs w:val="22"/>
        </w:rPr>
      </w:pPr>
    </w:p>
    <w:p w:rsidR="00AF77DC" w:rsidRPr="008F7801" w:rsidP="00AF77DC" w14:paraId="3C25D241" w14:textId="1F914D6B">
      <w:pPr>
        <w:autoSpaceDE w:val="0"/>
        <w:autoSpaceDN w:val="0"/>
        <w:adjustRightInd w:val="0"/>
        <w:rPr>
          <w:sz w:val="22"/>
          <w:szCs w:val="22"/>
        </w:rPr>
      </w:pPr>
      <w:r w:rsidRPr="004C1B3F">
        <w:rPr>
          <w:sz w:val="22"/>
          <w:szCs w:val="22"/>
        </w:rPr>
        <w:t xml:space="preserve">There have been no changes to the privacy aspects of this project since the last submission. </w:t>
      </w:r>
      <w:r w:rsidRPr="008F7801">
        <w:rPr>
          <w:sz w:val="22"/>
          <w:szCs w:val="22"/>
        </w:rPr>
        <w:t>The NCEH Information Systems Security Officer (ISSO) has determined that the Privacy Act does not apply to these information collections</w:t>
      </w:r>
      <w:r w:rsidR="001653D2">
        <w:rPr>
          <w:sz w:val="22"/>
          <w:szCs w:val="22"/>
        </w:rPr>
        <w:t xml:space="preserve"> </w:t>
      </w:r>
      <w:r w:rsidRPr="00565613" w:rsidR="001653D2">
        <w:rPr>
          <w:sz w:val="22"/>
          <w:szCs w:val="22"/>
        </w:rPr>
        <w:t>(A</w:t>
      </w:r>
      <w:r w:rsidR="005B7C7E">
        <w:rPr>
          <w:sz w:val="22"/>
          <w:szCs w:val="22"/>
        </w:rPr>
        <w:t>ttachment</w:t>
      </w:r>
      <w:r w:rsidRPr="00565613" w:rsidR="001653D2">
        <w:rPr>
          <w:sz w:val="22"/>
          <w:szCs w:val="22"/>
        </w:rPr>
        <w:t xml:space="preserve"> </w:t>
      </w:r>
      <w:r w:rsidR="005B7C7E">
        <w:rPr>
          <w:sz w:val="22"/>
          <w:szCs w:val="22"/>
        </w:rPr>
        <w:t>3</w:t>
      </w:r>
      <w:r w:rsidRPr="00565613" w:rsidR="001653D2">
        <w:rPr>
          <w:sz w:val="22"/>
          <w:szCs w:val="22"/>
        </w:rPr>
        <w:t>)</w:t>
      </w:r>
      <w:r w:rsidRPr="00565613">
        <w:rPr>
          <w:rFonts w:cs="ITCFranklinGothicStd-Book"/>
          <w:sz w:val="22"/>
          <w:szCs w:val="22"/>
        </w:rPr>
        <w:t>. Information</w:t>
      </w:r>
      <w:r w:rsidRPr="008F7801">
        <w:rPr>
          <w:rFonts w:cs="ITCFranklinGothicStd-Book"/>
          <w:sz w:val="22"/>
          <w:szCs w:val="22"/>
        </w:rPr>
        <w:t xml:space="preserve"> in identifiable form (IIF) will not be collected at the research sites. These information collections will collect anonymous data only. </w:t>
      </w:r>
      <w:r w:rsidRPr="008F7801">
        <w:rPr>
          <w:sz w:val="22"/>
          <w:szCs w:val="22"/>
        </w:rPr>
        <w:t>Therefore, a system of records notice (SORN) is not applicable.</w:t>
      </w:r>
      <w:r>
        <w:rPr>
          <w:sz w:val="22"/>
          <w:szCs w:val="22"/>
        </w:rPr>
        <w:t xml:space="preserve"> </w:t>
      </w:r>
      <w:r w:rsidRPr="004C1B3F">
        <w:rPr>
          <w:sz w:val="22"/>
          <w:szCs w:val="22"/>
        </w:rPr>
        <w:t>All data collected will be kept private to the extent allowed by law.</w:t>
      </w:r>
    </w:p>
    <w:p w:rsidR="00AF77DC" w:rsidRPr="008F7801" w:rsidP="00AF77DC" w14:paraId="11FFD8EA" w14:textId="77777777">
      <w:pPr>
        <w:autoSpaceDE w:val="0"/>
        <w:autoSpaceDN w:val="0"/>
        <w:adjustRightInd w:val="0"/>
        <w:rPr>
          <w:sz w:val="22"/>
          <w:szCs w:val="22"/>
        </w:rPr>
      </w:pPr>
    </w:p>
    <w:p w:rsidR="00AF77DC" w:rsidP="00AF77DC" w14:paraId="1F313F8F" w14:textId="2712581E">
      <w:pPr>
        <w:autoSpaceDE w:val="0"/>
        <w:autoSpaceDN w:val="0"/>
        <w:adjustRightInd w:val="0"/>
        <w:rPr>
          <w:sz w:val="22"/>
          <w:szCs w:val="22"/>
        </w:rPr>
      </w:pPr>
      <w:r w:rsidRPr="008F7801">
        <w:rPr>
          <w:sz w:val="22"/>
          <w:szCs w:val="22"/>
        </w:rPr>
        <w:t>EHS-Net data collectors will report data to CDC through a web-based information system, the RED</w:t>
      </w:r>
      <w:r w:rsidR="002F2815">
        <w:rPr>
          <w:sz w:val="22"/>
          <w:szCs w:val="22"/>
        </w:rPr>
        <w:t>Cap</w:t>
      </w:r>
      <w:r w:rsidRPr="008F7801">
        <w:rPr>
          <w:sz w:val="22"/>
          <w:szCs w:val="22"/>
        </w:rPr>
        <w:t xml:space="preserve"> data management system. All electronic data will be stored on secure CDC networks. A</w:t>
      </w:r>
      <w:r w:rsidRPr="008F7801">
        <w:rPr>
          <w:color w:val="000000"/>
          <w:sz w:val="22"/>
          <w:szCs w:val="22"/>
        </w:rPr>
        <w:t xml:space="preserve">ccess to the data will be limited </w:t>
      </w:r>
      <w:r w:rsidR="00C95BF2">
        <w:rPr>
          <w:color w:val="000000"/>
          <w:sz w:val="22"/>
          <w:szCs w:val="22"/>
        </w:rPr>
        <w:t>on a</w:t>
      </w:r>
      <w:r w:rsidRPr="008F7801">
        <w:rPr>
          <w:color w:val="000000"/>
          <w:sz w:val="22"/>
          <w:szCs w:val="22"/>
        </w:rPr>
        <w:t xml:space="preserve"> need-to-know </w:t>
      </w:r>
      <w:r w:rsidR="00C95BF2">
        <w:rPr>
          <w:color w:val="000000"/>
          <w:sz w:val="22"/>
          <w:szCs w:val="22"/>
        </w:rPr>
        <w:t xml:space="preserve">basis </w:t>
      </w:r>
      <w:r w:rsidRPr="008F7801">
        <w:rPr>
          <w:color w:val="000000"/>
          <w:sz w:val="22"/>
          <w:szCs w:val="22"/>
        </w:rPr>
        <w:t xml:space="preserve">to </w:t>
      </w:r>
      <w:r w:rsidR="00680259">
        <w:rPr>
          <w:color w:val="000000"/>
          <w:sz w:val="22"/>
          <w:szCs w:val="22"/>
        </w:rPr>
        <w:t xml:space="preserve">those who </w:t>
      </w:r>
      <w:r w:rsidRPr="008F7801">
        <w:rPr>
          <w:color w:val="000000"/>
          <w:sz w:val="22"/>
          <w:szCs w:val="22"/>
        </w:rPr>
        <w:t xml:space="preserve">perform job duties related to the project. </w:t>
      </w:r>
      <w:r w:rsidRPr="008F7801">
        <w:rPr>
          <w:rFonts w:cs="Tahoma"/>
          <w:sz w:val="22"/>
          <w:szCs w:val="22"/>
        </w:rPr>
        <w:t xml:space="preserve">User accounts will be issued to the specialists who will serve as the administrator of the system for his or her own site. Through these password-protected accounts, users will be granted privileges including entering and accessing data, and correction and deletion of records capabilities. All data records are owned by the site entering the data. Each site possesses ownership of its records and must grant permission to other sites or agencies who would like to use the data. </w:t>
      </w:r>
      <w:r w:rsidRPr="008F7801">
        <w:rPr>
          <w:sz w:val="22"/>
          <w:szCs w:val="22"/>
        </w:rPr>
        <w:t>Each site’s data will be stored for twelve years.</w:t>
      </w:r>
    </w:p>
    <w:p w:rsidR="00AB3B89" w:rsidP="00AF77DC" w14:paraId="341DA36E" w14:textId="77777777">
      <w:pPr>
        <w:autoSpaceDE w:val="0"/>
        <w:autoSpaceDN w:val="0"/>
        <w:adjustRightInd w:val="0"/>
        <w:rPr>
          <w:sz w:val="22"/>
          <w:szCs w:val="22"/>
        </w:rPr>
      </w:pPr>
    </w:p>
    <w:p w:rsidR="00AB3B89" w:rsidRPr="008F7801" w:rsidP="00AF77DC" w14:paraId="558BF865" w14:textId="5923EF5E">
      <w:pPr>
        <w:autoSpaceDE w:val="0"/>
        <w:autoSpaceDN w:val="0"/>
        <w:adjustRightInd w:val="0"/>
        <w:rPr>
          <w:rFonts w:cs="Tahoma"/>
          <w:sz w:val="22"/>
          <w:szCs w:val="22"/>
        </w:rPr>
      </w:pPr>
      <w:r w:rsidRPr="00CB6013">
        <w:rPr>
          <w:sz w:val="22"/>
          <w:szCs w:val="22"/>
        </w:rPr>
        <w:t>Information in identifying form will not be collected or transmitted to CDC. Data collectors will use a code to identify restaurants, but that code will not be linked to any identifying information.</w:t>
      </w:r>
    </w:p>
    <w:p w:rsidR="00AF77DC" w:rsidRPr="008F7801" w:rsidP="00AF77DC" w14:paraId="3F600D6B" w14:textId="77777777">
      <w:pPr>
        <w:autoSpaceDE w:val="0"/>
        <w:autoSpaceDN w:val="0"/>
        <w:adjustRightInd w:val="0"/>
        <w:rPr>
          <w:rFonts w:cs="Tahoma"/>
          <w:sz w:val="22"/>
          <w:szCs w:val="22"/>
        </w:rPr>
      </w:pPr>
    </w:p>
    <w:p w:rsidR="00AF77DC" w:rsidRPr="008F7801" w:rsidP="00AF77DC" w14:paraId="62EF8BC0" w14:textId="77777777">
      <w:pPr>
        <w:autoSpaceDE w:val="0"/>
        <w:autoSpaceDN w:val="0"/>
        <w:adjustRightInd w:val="0"/>
        <w:ind w:left="432" w:hanging="432"/>
        <w:rPr>
          <w:b/>
          <w:sz w:val="22"/>
          <w:szCs w:val="22"/>
        </w:rPr>
      </w:pPr>
      <w:r w:rsidRPr="008F7801">
        <w:rPr>
          <w:b/>
          <w:sz w:val="22"/>
          <w:szCs w:val="22"/>
        </w:rPr>
        <w:t xml:space="preserve">A.11. Institutional Review Board (IRB) and Justification for Sensitive Questions </w:t>
      </w:r>
    </w:p>
    <w:p w:rsidR="00AF77DC" w:rsidRPr="008F7801" w:rsidP="00AF77DC" w14:paraId="1AD12257" w14:textId="77777777">
      <w:pPr>
        <w:autoSpaceDE w:val="0"/>
        <w:autoSpaceDN w:val="0"/>
        <w:adjustRightInd w:val="0"/>
        <w:ind w:left="432" w:hanging="432"/>
        <w:rPr>
          <w:sz w:val="22"/>
          <w:szCs w:val="22"/>
        </w:rPr>
      </w:pPr>
    </w:p>
    <w:p w:rsidR="001A2A68" w:rsidRPr="008F7801" w:rsidP="00AF77DC" w14:paraId="765CF9C9" w14:textId="38A50F14">
      <w:pPr>
        <w:autoSpaceDE w:val="0"/>
        <w:autoSpaceDN w:val="0"/>
        <w:adjustRightInd w:val="0"/>
        <w:rPr>
          <w:bCs/>
          <w:sz w:val="22"/>
          <w:szCs w:val="22"/>
        </w:rPr>
      </w:pPr>
      <w:r w:rsidRPr="008F7801">
        <w:rPr>
          <w:bCs/>
          <w:sz w:val="22"/>
          <w:szCs w:val="22"/>
        </w:rPr>
        <w:t>EHS-Net information collections have been classified as research not involving identifiable human subjects</w:t>
      </w:r>
      <w:r w:rsidRPr="008F7801" w:rsidR="000D5439">
        <w:rPr>
          <w:bCs/>
          <w:sz w:val="22"/>
          <w:szCs w:val="22"/>
        </w:rPr>
        <w:t xml:space="preserve"> (</w:t>
      </w:r>
      <w:r w:rsidR="005B7C7E">
        <w:rPr>
          <w:bCs/>
          <w:sz w:val="22"/>
          <w:szCs w:val="22"/>
        </w:rPr>
        <w:t>Attachment 4</w:t>
      </w:r>
      <w:r w:rsidRPr="008F7801" w:rsidR="000D5439">
        <w:rPr>
          <w:bCs/>
          <w:sz w:val="22"/>
          <w:szCs w:val="22"/>
        </w:rPr>
        <w:t>)</w:t>
      </w:r>
      <w:r w:rsidRPr="008F7801">
        <w:rPr>
          <w:bCs/>
          <w:sz w:val="22"/>
          <w:szCs w:val="22"/>
        </w:rPr>
        <w:t>. CDC institutional review board (IRB) approval is not required. These collections center around restaurant food safety policies and practices, are not about human subjects, and do not ask sensitive questions.</w:t>
      </w:r>
    </w:p>
    <w:p w:rsidR="00612FED" w:rsidRPr="008F7801" w:rsidP="00AF77DC" w14:paraId="1704BAF8" w14:textId="77777777">
      <w:pPr>
        <w:autoSpaceDE w:val="0"/>
        <w:autoSpaceDN w:val="0"/>
        <w:adjustRightInd w:val="0"/>
        <w:rPr>
          <w:bCs/>
          <w:sz w:val="22"/>
          <w:szCs w:val="22"/>
        </w:rPr>
      </w:pPr>
    </w:p>
    <w:p w:rsidR="00612FED" w:rsidRPr="008F7801" w:rsidP="00612FED" w14:paraId="2B8576B0" w14:textId="7D9B3D07">
      <w:pPr>
        <w:autoSpaceDE w:val="0"/>
        <w:autoSpaceDN w:val="0"/>
        <w:adjustRightInd w:val="0"/>
        <w:rPr>
          <w:sz w:val="22"/>
          <w:szCs w:val="22"/>
        </w:rPr>
      </w:pPr>
      <w:r w:rsidRPr="00CB6013">
        <w:rPr>
          <w:sz w:val="22"/>
          <w:szCs w:val="22"/>
        </w:rPr>
        <w:t xml:space="preserve">Verbal consent will be obtained from respondents. </w:t>
      </w:r>
      <w:r w:rsidRPr="00CB6013" w:rsidR="005E2E01">
        <w:rPr>
          <w:sz w:val="22"/>
          <w:szCs w:val="22"/>
        </w:rPr>
        <w:t>T</w:t>
      </w:r>
      <w:r w:rsidRPr="00CB6013">
        <w:rPr>
          <w:sz w:val="22"/>
          <w:szCs w:val="22"/>
        </w:rPr>
        <w:t>ypical informed consent script</w:t>
      </w:r>
      <w:r w:rsidRPr="00CB6013" w:rsidR="005E2E01">
        <w:rPr>
          <w:sz w:val="22"/>
          <w:szCs w:val="22"/>
        </w:rPr>
        <w:t>s</w:t>
      </w:r>
      <w:r w:rsidRPr="00CB6013">
        <w:rPr>
          <w:sz w:val="22"/>
          <w:szCs w:val="22"/>
        </w:rPr>
        <w:t xml:space="preserve"> can be found </w:t>
      </w:r>
      <w:r w:rsidRPr="00CB6013" w:rsidR="005E2E01">
        <w:rPr>
          <w:sz w:val="22"/>
          <w:szCs w:val="22"/>
        </w:rPr>
        <w:t xml:space="preserve">in </w:t>
      </w:r>
      <w:r w:rsidR="00492D00">
        <w:rPr>
          <w:sz w:val="22"/>
          <w:szCs w:val="22"/>
        </w:rPr>
        <w:t>appendice</w:t>
      </w:r>
      <w:r w:rsidRPr="00CB6013" w:rsidR="005E2E01">
        <w:rPr>
          <w:sz w:val="22"/>
          <w:szCs w:val="22"/>
        </w:rPr>
        <w:t xml:space="preserve">s </w:t>
      </w:r>
      <w:r w:rsidRPr="00CB6013" w:rsidR="00B904A0">
        <w:rPr>
          <w:sz w:val="22"/>
          <w:szCs w:val="22"/>
        </w:rPr>
        <w:t>2</w:t>
      </w:r>
      <w:r w:rsidRPr="00CB6013" w:rsidR="005E2E01">
        <w:rPr>
          <w:sz w:val="22"/>
          <w:szCs w:val="22"/>
        </w:rPr>
        <w:t xml:space="preserve"> and </w:t>
      </w:r>
      <w:r w:rsidRPr="00CB6013" w:rsidR="00B904A0">
        <w:rPr>
          <w:sz w:val="22"/>
          <w:szCs w:val="22"/>
        </w:rPr>
        <w:t>3</w:t>
      </w:r>
      <w:r w:rsidRPr="00CB6013">
        <w:rPr>
          <w:sz w:val="22"/>
          <w:szCs w:val="22"/>
        </w:rPr>
        <w:t>.</w:t>
      </w:r>
      <w:r w:rsidRPr="00CB6013" w:rsidR="00955DBB">
        <w:rPr>
          <w:sz w:val="22"/>
          <w:szCs w:val="22"/>
        </w:rPr>
        <w:t xml:space="preserve"> </w:t>
      </w:r>
      <w:r w:rsidRPr="00CB6013">
        <w:rPr>
          <w:sz w:val="22"/>
          <w:szCs w:val="22"/>
        </w:rPr>
        <w:t>Participation in this data collection is voluntary, and respondents are informed of the voluntary nature of the data collection during recruiting (</w:t>
      </w:r>
      <w:r w:rsidR="00492D00">
        <w:rPr>
          <w:sz w:val="22"/>
          <w:szCs w:val="22"/>
        </w:rPr>
        <w:t>appendice</w:t>
      </w:r>
      <w:r w:rsidRPr="00CB6013" w:rsidR="009879D6">
        <w:rPr>
          <w:sz w:val="22"/>
          <w:szCs w:val="22"/>
        </w:rPr>
        <w:t>s</w:t>
      </w:r>
      <w:r w:rsidRPr="00CB6013">
        <w:rPr>
          <w:sz w:val="22"/>
          <w:szCs w:val="22"/>
        </w:rPr>
        <w:t xml:space="preserve"> </w:t>
      </w:r>
      <w:r w:rsidRPr="00CB6013" w:rsidR="00A450B8">
        <w:rPr>
          <w:sz w:val="22"/>
          <w:szCs w:val="22"/>
        </w:rPr>
        <w:t>3</w:t>
      </w:r>
      <w:r w:rsidRPr="00CB6013" w:rsidR="009879D6">
        <w:rPr>
          <w:sz w:val="22"/>
          <w:szCs w:val="22"/>
        </w:rPr>
        <w:t xml:space="preserve"> and </w:t>
      </w:r>
      <w:r w:rsidRPr="00CB6013" w:rsidR="00A450B8">
        <w:rPr>
          <w:sz w:val="22"/>
          <w:szCs w:val="22"/>
        </w:rPr>
        <w:t>4</w:t>
      </w:r>
      <w:r w:rsidRPr="00CB6013">
        <w:rPr>
          <w:sz w:val="22"/>
          <w:szCs w:val="22"/>
        </w:rPr>
        <w:t>) and in informed consent scripts (</w:t>
      </w:r>
      <w:r w:rsidR="00492D00">
        <w:rPr>
          <w:sz w:val="22"/>
          <w:szCs w:val="22"/>
        </w:rPr>
        <w:t>appendice</w:t>
      </w:r>
      <w:r w:rsidRPr="00CB6013" w:rsidR="005E2E01">
        <w:rPr>
          <w:sz w:val="22"/>
          <w:szCs w:val="22"/>
        </w:rPr>
        <w:t xml:space="preserve">s </w:t>
      </w:r>
      <w:r w:rsidRPr="00CB6013" w:rsidR="00A450B8">
        <w:rPr>
          <w:sz w:val="22"/>
          <w:szCs w:val="22"/>
        </w:rPr>
        <w:t>2</w:t>
      </w:r>
      <w:r w:rsidRPr="00CB6013" w:rsidR="005E2E01">
        <w:rPr>
          <w:sz w:val="22"/>
          <w:szCs w:val="22"/>
        </w:rPr>
        <w:t xml:space="preserve"> and </w:t>
      </w:r>
      <w:r w:rsidRPr="00CB6013" w:rsidR="00A450B8">
        <w:rPr>
          <w:sz w:val="22"/>
          <w:szCs w:val="22"/>
        </w:rPr>
        <w:t>3</w:t>
      </w:r>
      <w:r w:rsidRPr="00CB6013">
        <w:rPr>
          <w:sz w:val="22"/>
          <w:szCs w:val="22"/>
        </w:rPr>
        <w:t>).</w:t>
      </w:r>
      <w:r w:rsidRPr="008F7801">
        <w:rPr>
          <w:sz w:val="22"/>
          <w:szCs w:val="22"/>
        </w:rPr>
        <w:t xml:space="preserve"> </w:t>
      </w:r>
    </w:p>
    <w:p w:rsidR="00612FED" w:rsidRPr="008F7801" w:rsidP="00612FED" w14:paraId="3A27196D" w14:textId="77777777">
      <w:pPr>
        <w:autoSpaceDE w:val="0"/>
        <w:autoSpaceDN w:val="0"/>
        <w:adjustRightInd w:val="0"/>
        <w:rPr>
          <w:sz w:val="22"/>
          <w:szCs w:val="22"/>
        </w:rPr>
      </w:pPr>
    </w:p>
    <w:p w:rsidR="006B7DDC" w:rsidRPr="008F7801" w:rsidP="006B7DDC" w14:paraId="09073C20" w14:textId="28C728FD">
      <w:pPr>
        <w:rPr>
          <w:sz w:val="22"/>
          <w:szCs w:val="22"/>
        </w:rPr>
      </w:pPr>
      <w:r w:rsidRPr="008F7801">
        <w:rPr>
          <w:b/>
          <w:sz w:val="22"/>
          <w:szCs w:val="22"/>
        </w:rPr>
        <w:t xml:space="preserve">A.11.1. </w:t>
      </w:r>
      <w:r w:rsidRPr="008F7801">
        <w:rPr>
          <w:b/>
          <w:sz w:val="22"/>
          <w:szCs w:val="22"/>
        </w:rPr>
        <w:t>Overview of the Data Collection System.</w:t>
      </w:r>
      <w:r w:rsidRPr="008F7801">
        <w:rPr>
          <w:sz w:val="22"/>
          <w:szCs w:val="22"/>
        </w:rPr>
        <w:t xml:space="preserve"> Data for these studies will be collected by </w:t>
      </w:r>
      <w:r w:rsidRPr="008F7801" w:rsidR="003757DE">
        <w:rPr>
          <w:sz w:val="22"/>
          <w:szCs w:val="22"/>
        </w:rPr>
        <w:t>CDC-</w:t>
      </w:r>
      <w:r w:rsidRPr="0044543D" w:rsidR="003757DE">
        <w:rPr>
          <w:sz w:val="22"/>
          <w:szCs w:val="22"/>
        </w:rPr>
        <w:t xml:space="preserve">funded </w:t>
      </w:r>
      <w:r w:rsidRPr="0044543D">
        <w:rPr>
          <w:sz w:val="22"/>
          <w:szCs w:val="22"/>
        </w:rPr>
        <w:t xml:space="preserve">environmental health specialists </w:t>
      </w:r>
      <w:r w:rsidRPr="0044543D" w:rsidR="003757DE">
        <w:rPr>
          <w:sz w:val="22"/>
          <w:szCs w:val="22"/>
        </w:rPr>
        <w:t xml:space="preserve">employed by the </w:t>
      </w:r>
      <w:r w:rsidRPr="0044543D" w:rsidR="00BD779C">
        <w:rPr>
          <w:sz w:val="22"/>
          <w:szCs w:val="22"/>
        </w:rPr>
        <w:t>EHS-Net sites</w:t>
      </w:r>
      <w:r w:rsidRPr="0044543D" w:rsidR="003757DE">
        <w:rPr>
          <w:sz w:val="22"/>
          <w:szCs w:val="22"/>
        </w:rPr>
        <w:t xml:space="preserve"> (</w:t>
      </w:r>
      <w:r w:rsidRPr="0044543D" w:rsidR="00B6179C">
        <w:rPr>
          <w:sz w:val="22"/>
          <w:szCs w:val="22"/>
        </w:rPr>
        <w:t>the state and local health departments participating in the EHS-Net cooperative agreement</w:t>
      </w:r>
      <w:r w:rsidRPr="0044543D" w:rsidR="003757DE">
        <w:rPr>
          <w:sz w:val="22"/>
          <w:szCs w:val="22"/>
        </w:rPr>
        <w:t>)</w:t>
      </w:r>
      <w:r w:rsidRPr="0044543D" w:rsidR="00BD779C">
        <w:rPr>
          <w:sz w:val="22"/>
          <w:szCs w:val="22"/>
        </w:rPr>
        <w:t>.</w:t>
      </w:r>
      <w:r w:rsidRPr="0044543D">
        <w:rPr>
          <w:sz w:val="22"/>
          <w:szCs w:val="22"/>
        </w:rPr>
        <w:t xml:space="preserve"> </w:t>
      </w:r>
      <w:r w:rsidRPr="0044543D" w:rsidR="003757DE">
        <w:rPr>
          <w:sz w:val="22"/>
          <w:szCs w:val="22"/>
        </w:rPr>
        <w:t>These environmental health specialists are skilled and experienced in food safety and in retail food environments.</w:t>
      </w:r>
      <w:r w:rsidRPr="0044543D" w:rsidR="003757DE">
        <w:rPr>
          <w:color w:val="FF0000"/>
          <w:sz w:val="22"/>
          <w:szCs w:val="22"/>
        </w:rPr>
        <w:t xml:space="preserve"> </w:t>
      </w:r>
      <w:r w:rsidRPr="0044543D">
        <w:rPr>
          <w:sz w:val="22"/>
          <w:szCs w:val="22"/>
        </w:rPr>
        <w:t>Retail food</w:t>
      </w:r>
      <w:r w:rsidRPr="0044543D" w:rsidR="00BC75E8">
        <w:rPr>
          <w:sz w:val="22"/>
          <w:szCs w:val="22"/>
        </w:rPr>
        <w:t xml:space="preserve"> establishment </w:t>
      </w:r>
      <w:r w:rsidRPr="0044543D">
        <w:rPr>
          <w:sz w:val="22"/>
          <w:szCs w:val="22"/>
        </w:rPr>
        <w:t xml:space="preserve">managers and/or workers will be the respondents for these studies. Data collection methods include: 1) </w:t>
      </w:r>
      <w:r w:rsidRPr="0044543D" w:rsidR="00BC75E8">
        <w:rPr>
          <w:sz w:val="22"/>
          <w:szCs w:val="22"/>
        </w:rPr>
        <w:t>manager</w:t>
      </w:r>
      <w:r w:rsidRPr="0044543D" w:rsidR="00C637DB">
        <w:rPr>
          <w:sz w:val="22"/>
          <w:szCs w:val="22"/>
        </w:rPr>
        <w:t xml:space="preserve"> and </w:t>
      </w:r>
      <w:r w:rsidRPr="0044543D">
        <w:rPr>
          <w:sz w:val="22"/>
          <w:szCs w:val="22"/>
        </w:rPr>
        <w:t>worker interviews/</w:t>
      </w:r>
      <w:r w:rsidRPr="0044543D" w:rsidR="0000053E">
        <w:rPr>
          <w:sz w:val="22"/>
          <w:szCs w:val="22"/>
        </w:rPr>
        <w:t xml:space="preserve"> pen-and-paper </w:t>
      </w:r>
      <w:r w:rsidRPr="0044543D" w:rsidR="009933CC">
        <w:rPr>
          <w:sz w:val="22"/>
          <w:szCs w:val="22"/>
        </w:rPr>
        <w:t>assessments</w:t>
      </w:r>
      <w:r w:rsidRPr="0044543D" w:rsidR="005E2E01">
        <w:rPr>
          <w:sz w:val="22"/>
          <w:szCs w:val="22"/>
        </w:rPr>
        <w:t xml:space="preserve"> (see examples in </w:t>
      </w:r>
      <w:r w:rsidR="00492D00">
        <w:rPr>
          <w:sz w:val="22"/>
          <w:szCs w:val="22"/>
        </w:rPr>
        <w:t>appendice</w:t>
      </w:r>
      <w:r w:rsidRPr="0044543D" w:rsidR="005E2E01">
        <w:rPr>
          <w:sz w:val="22"/>
          <w:szCs w:val="22"/>
        </w:rPr>
        <w:t xml:space="preserve">s </w:t>
      </w:r>
      <w:r w:rsidRPr="0044543D" w:rsidR="00994C72">
        <w:rPr>
          <w:sz w:val="22"/>
          <w:szCs w:val="22"/>
        </w:rPr>
        <w:t>5</w:t>
      </w:r>
      <w:r w:rsidRPr="0044543D" w:rsidR="005E2E01">
        <w:rPr>
          <w:sz w:val="22"/>
          <w:szCs w:val="22"/>
        </w:rPr>
        <w:t xml:space="preserve"> and </w:t>
      </w:r>
      <w:r w:rsidRPr="0044543D" w:rsidR="00994C72">
        <w:rPr>
          <w:sz w:val="22"/>
          <w:szCs w:val="22"/>
        </w:rPr>
        <w:t>6</w:t>
      </w:r>
      <w:r w:rsidRPr="0044543D" w:rsidR="005E2E01">
        <w:rPr>
          <w:sz w:val="22"/>
          <w:szCs w:val="22"/>
        </w:rPr>
        <w:t>)</w:t>
      </w:r>
      <w:r w:rsidRPr="0044543D">
        <w:rPr>
          <w:sz w:val="22"/>
          <w:szCs w:val="22"/>
        </w:rPr>
        <w:t>, and 2) observation of kitchen environments</w:t>
      </w:r>
      <w:r w:rsidRPr="0044543D" w:rsidR="005E2E01">
        <w:rPr>
          <w:sz w:val="22"/>
          <w:szCs w:val="22"/>
        </w:rPr>
        <w:t xml:space="preserve"> (see example in </w:t>
      </w:r>
      <w:r w:rsidR="00492D00">
        <w:rPr>
          <w:sz w:val="22"/>
          <w:szCs w:val="22"/>
        </w:rPr>
        <w:t>appendix</w:t>
      </w:r>
      <w:r w:rsidRPr="0044543D" w:rsidR="005E2E01">
        <w:rPr>
          <w:sz w:val="22"/>
          <w:szCs w:val="22"/>
        </w:rPr>
        <w:t xml:space="preserve"> </w:t>
      </w:r>
      <w:r w:rsidRPr="0044543D" w:rsidR="000F09B6">
        <w:rPr>
          <w:sz w:val="22"/>
          <w:szCs w:val="22"/>
        </w:rPr>
        <w:t>7</w:t>
      </w:r>
      <w:r w:rsidRPr="0044543D" w:rsidR="005E2E01">
        <w:rPr>
          <w:sz w:val="22"/>
          <w:szCs w:val="22"/>
        </w:rPr>
        <w:t>)</w:t>
      </w:r>
      <w:r w:rsidRPr="0044543D">
        <w:rPr>
          <w:sz w:val="22"/>
          <w:szCs w:val="22"/>
        </w:rPr>
        <w:t>. These data collection methods will allow the collection of needed information about environmental factors associated with foodborne illness.</w:t>
      </w:r>
      <w:r w:rsidRPr="0044543D" w:rsidR="00BD779C">
        <w:rPr>
          <w:sz w:val="22"/>
          <w:szCs w:val="22"/>
        </w:rPr>
        <w:t xml:space="preserve"> </w:t>
      </w:r>
      <w:r w:rsidRPr="0044543D">
        <w:rPr>
          <w:sz w:val="22"/>
          <w:szCs w:val="22"/>
        </w:rPr>
        <w:t>Both methods allow data collection on food handling and food</w:t>
      </w:r>
      <w:r w:rsidRPr="008F7801">
        <w:rPr>
          <w:sz w:val="22"/>
          <w:szCs w:val="22"/>
        </w:rPr>
        <w:t xml:space="preserve"> safety practices and environmental factors (e.g., </w:t>
      </w:r>
      <w:r w:rsidRPr="008F7801" w:rsidR="00BC75E8">
        <w:rPr>
          <w:sz w:val="22"/>
          <w:szCs w:val="22"/>
        </w:rPr>
        <w:t>manager/</w:t>
      </w:r>
      <w:r w:rsidRPr="008F7801">
        <w:rPr>
          <w:sz w:val="22"/>
          <w:szCs w:val="22"/>
        </w:rPr>
        <w:t xml:space="preserve">worker and establishment characteristics). </w:t>
      </w:r>
    </w:p>
    <w:p w:rsidR="006B7DDC" w:rsidRPr="008F7801" w:rsidP="000A6115" w14:paraId="759A3CB6" w14:textId="77777777">
      <w:pPr>
        <w:autoSpaceDE w:val="0"/>
        <w:autoSpaceDN w:val="0"/>
        <w:adjustRightInd w:val="0"/>
        <w:rPr>
          <w:sz w:val="22"/>
          <w:szCs w:val="22"/>
        </w:rPr>
      </w:pPr>
    </w:p>
    <w:p w:rsidR="006B7DDC" w:rsidRPr="008F7801" w:rsidP="006B7DDC" w14:paraId="39180EF3" w14:textId="77777777">
      <w:pPr>
        <w:autoSpaceDE w:val="0"/>
        <w:autoSpaceDN w:val="0"/>
        <w:adjustRightInd w:val="0"/>
        <w:rPr>
          <w:sz w:val="22"/>
          <w:szCs w:val="22"/>
        </w:rPr>
      </w:pPr>
      <w:r w:rsidRPr="008F7801">
        <w:rPr>
          <w:b/>
          <w:sz w:val="22"/>
          <w:szCs w:val="22"/>
        </w:rPr>
        <w:t xml:space="preserve">A.11.2. </w:t>
      </w:r>
      <w:r w:rsidRPr="008F7801">
        <w:rPr>
          <w:b/>
          <w:sz w:val="22"/>
          <w:szCs w:val="22"/>
        </w:rPr>
        <w:t>Items of Information to be Collected.</w:t>
      </w:r>
      <w:r w:rsidRPr="008F7801">
        <w:rPr>
          <w:sz w:val="22"/>
          <w:szCs w:val="22"/>
        </w:rPr>
        <w:t xml:space="preserve"> No individually identifiable information will be collected.</w:t>
      </w:r>
    </w:p>
    <w:p w:rsidR="006B7DDC" w:rsidRPr="008F7801" w:rsidP="000A6115" w14:paraId="6B024B6E" w14:textId="77777777">
      <w:pPr>
        <w:autoSpaceDE w:val="0"/>
        <w:autoSpaceDN w:val="0"/>
        <w:adjustRightInd w:val="0"/>
        <w:rPr>
          <w:sz w:val="22"/>
          <w:szCs w:val="22"/>
        </w:rPr>
      </w:pPr>
    </w:p>
    <w:p w:rsidR="00E30E11" w:rsidRPr="008F7801" w:rsidP="00E30E11" w14:paraId="52149BEB" w14:textId="77777777">
      <w:pPr>
        <w:rPr>
          <w:sz w:val="22"/>
          <w:szCs w:val="22"/>
        </w:rPr>
      </w:pPr>
      <w:r w:rsidRPr="008F7801">
        <w:rPr>
          <w:b/>
          <w:sz w:val="22"/>
          <w:szCs w:val="22"/>
        </w:rPr>
        <w:t xml:space="preserve">A.11.3. </w:t>
      </w:r>
      <w:r w:rsidRPr="008F7801" w:rsidR="00BD779C">
        <w:rPr>
          <w:b/>
          <w:sz w:val="22"/>
          <w:szCs w:val="22"/>
        </w:rPr>
        <w:t>H</w:t>
      </w:r>
      <w:r w:rsidRPr="008F7801" w:rsidR="000A6115">
        <w:rPr>
          <w:b/>
          <w:sz w:val="22"/>
          <w:szCs w:val="22"/>
        </w:rPr>
        <w:t xml:space="preserve">ow the </w:t>
      </w:r>
      <w:r w:rsidRPr="008F7801" w:rsidR="00BD779C">
        <w:rPr>
          <w:b/>
          <w:sz w:val="22"/>
          <w:szCs w:val="22"/>
        </w:rPr>
        <w:t>I</w:t>
      </w:r>
      <w:r w:rsidRPr="008F7801" w:rsidR="000A6115">
        <w:rPr>
          <w:b/>
          <w:sz w:val="22"/>
          <w:szCs w:val="22"/>
        </w:rPr>
        <w:t xml:space="preserve">nformation will be </w:t>
      </w:r>
      <w:r w:rsidRPr="008F7801" w:rsidR="00BD779C">
        <w:rPr>
          <w:b/>
          <w:sz w:val="22"/>
          <w:szCs w:val="22"/>
        </w:rPr>
        <w:t>S</w:t>
      </w:r>
      <w:r w:rsidRPr="008F7801" w:rsidR="000A6115">
        <w:rPr>
          <w:b/>
          <w:sz w:val="22"/>
          <w:szCs w:val="22"/>
        </w:rPr>
        <w:t xml:space="preserve">hared and for </w:t>
      </w:r>
      <w:r w:rsidRPr="008F7801" w:rsidR="00BD779C">
        <w:rPr>
          <w:b/>
          <w:sz w:val="22"/>
          <w:szCs w:val="22"/>
        </w:rPr>
        <w:t>W</w:t>
      </w:r>
      <w:r w:rsidRPr="008F7801" w:rsidR="000A6115">
        <w:rPr>
          <w:b/>
          <w:sz w:val="22"/>
          <w:szCs w:val="22"/>
        </w:rPr>
        <w:t xml:space="preserve">hat </w:t>
      </w:r>
      <w:r w:rsidRPr="008F7801" w:rsidR="00BD779C">
        <w:rPr>
          <w:b/>
          <w:sz w:val="22"/>
          <w:szCs w:val="22"/>
        </w:rPr>
        <w:t>P</w:t>
      </w:r>
      <w:r w:rsidRPr="008F7801" w:rsidR="000A6115">
        <w:rPr>
          <w:b/>
          <w:sz w:val="22"/>
          <w:szCs w:val="22"/>
        </w:rPr>
        <w:t>urpose</w:t>
      </w:r>
      <w:r w:rsidRPr="008F7801" w:rsidR="00500F38">
        <w:rPr>
          <w:b/>
          <w:sz w:val="22"/>
          <w:szCs w:val="22"/>
        </w:rPr>
        <w:t>.</w:t>
      </w:r>
      <w:r w:rsidRPr="008F7801" w:rsidR="00500F38">
        <w:rPr>
          <w:sz w:val="22"/>
          <w:szCs w:val="22"/>
        </w:rPr>
        <w:t xml:space="preserve"> </w:t>
      </w:r>
      <w:r w:rsidRPr="008F7801">
        <w:rPr>
          <w:sz w:val="22"/>
          <w:szCs w:val="22"/>
        </w:rPr>
        <w:t xml:space="preserve">Data analysis results will be shared informally with the EHS-Net sites through presentations at EHS-Net meetings. Results will be shared with other stakeholders and the food safety and environmental public health community through presentations at meetings and conferences, peer-reviewed publications in scientific journals, and ‘plain language’ summaries on the CDC website. Results will be presented in aggregate form. </w:t>
      </w:r>
    </w:p>
    <w:p w:rsidR="00E30E11" w:rsidRPr="008F7801" w:rsidP="00E30E11" w14:paraId="7BAE6201" w14:textId="77777777">
      <w:pPr>
        <w:rPr>
          <w:sz w:val="22"/>
          <w:szCs w:val="22"/>
        </w:rPr>
      </w:pPr>
    </w:p>
    <w:p w:rsidR="00E30E11" w:rsidRPr="008F7801" w:rsidP="00E30E11" w14:paraId="6BF2C62F" w14:textId="77777777">
      <w:pPr>
        <w:rPr>
          <w:sz w:val="22"/>
          <w:szCs w:val="22"/>
        </w:rPr>
      </w:pPr>
      <w:r w:rsidRPr="008F7801">
        <w:rPr>
          <w:sz w:val="22"/>
          <w:szCs w:val="22"/>
        </w:rPr>
        <w:t xml:space="preserve">The results will be used to develop recommendations for food safety and environmental public health programs and the retail food industry. For example, if a data collection identifies specific ways in which retail food establishments are handling tomatoes unsafely, CDC can develop recommendations that address these unsafe practices and disseminate the information to environmental public health programs and the retail food industry. </w:t>
      </w:r>
    </w:p>
    <w:p w:rsidR="006B7DDC" w:rsidRPr="008F7801" w:rsidP="000A6115" w14:paraId="5BA9E2CC" w14:textId="77777777">
      <w:pPr>
        <w:autoSpaceDE w:val="0"/>
        <w:autoSpaceDN w:val="0"/>
        <w:adjustRightInd w:val="0"/>
        <w:rPr>
          <w:sz w:val="22"/>
          <w:szCs w:val="22"/>
        </w:rPr>
      </w:pPr>
    </w:p>
    <w:p w:rsidR="006B7DDC" w:rsidRPr="0044543D" w:rsidP="000A6115" w14:paraId="1F6E9157" w14:textId="1549C15A">
      <w:pPr>
        <w:autoSpaceDE w:val="0"/>
        <w:autoSpaceDN w:val="0"/>
        <w:adjustRightInd w:val="0"/>
        <w:rPr>
          <w:sz w:val="22"/>
          <w:szCs w:val="22"/>
        </w:rPr>
      </w:pPr>
      <w:r w:rsidRPr="008F7801">
        <w:rPr>
          <w:b/>
          <w:sz w:val="22"/>
          <w:szCs w:val="22"/>
        </w:rPr>
        <w:t>A</w:t>
      </w:r>
      <w:r w:rsidRPr="0044543D">
        <w:rPr>
          <w:b/>
          <w:sz w:val="22"/>
          <w:szCs w:val="22"/>
        </w:rPr>
        <w:t xml:space="preserve">.11.4. </w:t>
      </w:r>
      <w:r w:rsidRPr="0044543D" w:rsidR="000A6115">
        <w:rPr>
          <w:b/>
          <w:sz w:val="22"/>
          <w:szCs w:val="22"/>
        </w:rPr>
        <w:t xml:space="preserve">Whether </w:t>
      </w:r>
      <w:r w:rsidRPr="0044543D" w:rsidR="00F04C20">
        <w:rPr>
          <w:b/>
          <w:sz w:val="22"/>
          <w:szCs w:val="22"/>
        </w:rPr>
        <w:t>I</w:t>
      </w:r>
      <w:r w:rsidRPr="0044543D" w:rsidR="000A6115">
        <w:rPr>
          <w:b/>
          <w:sz w:val="22"/>
          <w:szCs w:val="22"/>
        </w:rPr>
        <w:t>ndi</w:t>
      </w:r>
      <w:r w:rsidRPr="0044543D" w:rsidR="00F04C20">
        <w:rPr>
          <w:b/>
          <w:sz w:val="22"/>
          <w:szCs w:val="22"/>
        </w:rPr>
        <w:t>viduals are I</w:t>
      </w:r>
      <w:r w:rsidRPr="0044543D" w:rsidR="000A6115">
        <w:rPr>
          <w:b/>
          <w:sz w:val="22"/>
          <w:szCs w:val="22"/>
        </w:rPr>
        <w:t xml:space="preserve">nformed that </w:t>
      </w:r>
      <w:r w:rsidRPr="0044543D" w:rsidR="00F04C20">
        <w:rPr>
          <w:b/>
          <w:sz w:val="22"/>
          <w:szCs w:val="22"/>
        </w:rPr>
        <w:t>P</w:t>
      </w:r>
      <w:r w:rsidRPr="0044543D" w:rsidR="000A6115">
        <w:rPr>
          <w:b/>
          <w:sz w:val="22"/>
          <w:szCs w:val="22"/>
        </w:rPr>
        <w:t xml:space="preserve">roviding </w:t>
      </w:r>
      <w:r w:rsidRPr="0044543D" w:rsidR="00F04C20">
        <w:rPr>
          <w:b/>
          <w:sz w:val="22"/>
          <w:szCs w:val="22"/>
        </w:rPr>
        <w:t>I</w:t>
      </w:r>
      <w:r w:rsidRPr="0044543D" w:rsidR="000A6115">
        <w:rPr>
          <w:b/>
          <w:sz w:val="22"/>
          <w:szCs w:val="22"/>
        </w:rPr>
        <w:t>nform</w:t>
      </w:r>
      <w:r w:rsidRPr="0044543D" w:rsidR="00F04C20">
        <w:rPr>
          <w:b/>
          <w:sz w:val="22"/>
          <w:szCs w:val="22"/>
        </w:rPr>
        <w:t>ation is Voluntary or Mandatory.</w:t>
      </w:r>
      <w:r w:rsidRPr="0044543D" w:rsidR="00500F38">
        <w:rPr>
          <w:b/>
          <w:sz w:val="22"/>
          <w:szCs w:val="22"/>
        </w:rPr>
        <w:t xml:space="preserve"> </w:t>
      </w:r>
      <w:r w:rsidRPr="0044543D" w:rsidR="00500F38">
        <w:rPr>
          <w:sz w:val="22"/>
          <w:szCs w:val="22"/>
        </w:rPr>
        <w:t xml:space="preserve">Retail establishment managers </w:t>
      </w:r>
      <w:r w:rsidRPr="0044543D">
        <w:rPr>
          <w:sz w:val="22"/>
          <w:szCs w:val="22"/>
        </w:rPr>
        <w:t>will be</w:t>
      </w:r>
      <w:r w:rsidRPr="0044543D" w:rsidR="00500F38">
        <w:rPr>
          <w:sz w:val="22"/>
          <w:szCs w:val="22"/>
        </w:rPr>
        <w:t xml:space="preserve"> informed that the provision of information</w:t>
      </w:r>
      <w:r w:rsidRPr="0044543D" w:rsidR="00F35F2C">
        <w:rPr>
          <w:sz w:val="22"/>
          <w:szCs w:val="22"/>
        </w:rPr>
        <w:t>, through interviews and site observations,</w:t>
      </w:r>
      <w:r w:rsidRPr="0044543D" w:rsidR="00500F38">
        <w:rPr>
          <w:sz w:val="22"/>
          <w:szCs w:val="22"/>
        </w:rPr>
        <w:t xml:space="preserve"> is voluntary</w:t>
      </w:r>
      <w:r w:rsidRPr="0044543D" w:rsidR="00724B93">
        <w:rPr>
          <w:sz w:val="22"/>
          <w:szCs w:val="22"/>
        </w:rPr>
        <w:t xml:space="preserve"> at the time of recruitment and when they are interviewed</w:t>
      </w:r>
      <w:r w:rsidRPr="0044543D" w:rsidR="00500F38">
        <w:rPr>
          <w:sz w:val="22"/>
          <w:szCs w:val="22"/>
        </w:rPr>
        <w:t xml:space="preserve"> (</w:t>
      </w:r>
      <w:r w:rsidRPr="0044543D" w:rsidR="00FA2176">
        <w:rPr>
          <w:sz w:val="22"/>
          <w:szCs w:val="22"/>
        </w:rPr>
        <w:t>s</w:t>
      </w:r>
      <w:r w:rsidRPr="0044543D" w:rsidR="00500F38">
        <w:rPr>
          <w:sz w:val="22"/>
          <w:szCs w:val="22"/>
        </w:rPr>
        <w:t xml:space="preserve">ee </w:t>
      </w:r>
      <w:r w:rsidRPr="0044543D" w:rsidR="00BC75E8">
        <w:rPr>
          <w:sz w:val="22"/>
          <w:szCs w:val="22"/>
        </w:rPr>
        <w:t xml:space="preserve">example in </w:t>
      </w:r>
      <w:r w:rsidR="00492D00">
        <w:rPr>
          <w:sz w:val="22"/>
          <w:szCs w:val="22"/>
        </w:rPr>
        <w:t>appendice</w:t>
      </w:r>
      <w:r w:rsidRPr="0044543D" w:rsidR="009879D6">
        <w:rPr>
          <w:sz w:val="22"/>
          <w:szCs w:val="22"/>
        </w:rPr>
        <w:t>s</w:t>
      </w:r>
      <w:r w:rsidRPr="0044543D" w:rsidR="00BC75E8">
        <w:rPr>
          <w:sz w:val="22"/>
          <w:szCs w:val="22"/>
        </w:rPr>
        <w:t xml:space="preserve"> </w:t>
      </w:r>
      <w:r w:rsidRPr="0044543D" w:rsidR="00955DBB">
        <w:rPr>
          <w:sz w:val="22"/>
          <w:szCs w:val="22"/>
        </w:rPr>
        <w:t xml:space="preserve">2 </w:t>
      </w:r>
      <w:r w:rsidRPr="0044543D" w:rsidR="009879D6">
        <w:rPr>
          <w:sz w:val="22"/>
          <w:szCs w:val="22"/>
        </w:rPr>
        <w:t xml:space="preserve">and </w:t>
      </w:r>
      <w:r w:rsidRPr="0044543D" w:rsidR="00854524">
        <w:rPr>
          <w:sz w:val="22"/>
          <w:szCs w:val="22"/>
        </w:rPr>
        <w:t>4</w:t>
      </w:r>
      <w:r w:rsidRPr="0044543D" w:rsidR="00500F38">
        <w:rPr>
          <w:sz w:val="22"/>
          <w:szCs w:val="22"/>
        </w:rPr>
        <w:t xml:space="preserve">). Workers </w:t>
      </w:r>
      <w:r w:rsidRPr="0044543D">
        <w:rPr>
          <w:sz w:val="22"/>
          <w:szCs w:val="22"/>
        </w:rPr>
        <w:t>will be</w:t>
      </w:r>
      <w:r w:rsidRPr="0044543D" w:rsidR="00500F38">
        <w:rPr>
          <w:sz w:val="22"/>
          <w:szCs w:val="22"/>
        </w:rPr>
        <w:t xml:space="preserve"> informed that the provision of information is voluntary at the beginning of the rec</w:t>
      </w:r>
      <w:r w:rsidRPr="0044543D" w:rsidR="001F4D67">
        <w:rPr>
          <w:sz w:val="22"/>
          <w:szCs w:val="22"/>
        </w:rPr>
        <w:t>ruiting/data collection process (</w:t>
      </w:r>
      <w:r w:rsidRPr="0044543D" w:rsidR="00FA2176">
        <w:rPr>
          <w:sz w:val="22"/>
          <w:szCs w:val="22"/>
        </w:rPr>
        <w:t>s</w:t>
      </w:r>
      <w:r w:rsidRPr="0044543D" w:rsidR="001F4D67">
        <w:rPr>
          <w:sz w:val="22"/>
          <w:szCs w:val="22"/>
        </w:rPr>
        <w:t xml:space="preserve">ee </w:t>
      </w:r>
      <w:r w:rsidRPr="0044543D" w:rsidR="00BC75E8">
        <w:rPr>
          <w:sz w:val="22"/>
          <w:szCs w:val="22"/>
        </w:rPr>
        <w:t xml:space="preserve">example in </w:t>
      </w:r>
      <w:r w:rsidR="00492D00">
        <w:rPr>
          <w:sz w:val="22"/>
          <w:szCs w:val="22"/>
        </w:rPr>
        <w:t>appendix</w:t>
      </w:r>
      <w:r w:rsidRPr="0044543D" w:rsidR="007C19F0">
        <w:rPr>
          <w:sz w:val="22"/>
          <w:szCs w:val="22"/>
        </w:rPr>
        <w:t xml:space="preserve"> 3</w:t>
      </w:r>
      <w:r w:rsidRPr="0044543D" w:rsidR="001F4D67">
        <w:rPr>
          <w:sz w:val="22"/>
          <w:szCs w:val="22"/>
        </w:rPr>
        <w:t xml:space="preserve">). Both managers and workers </w:t>
      </w:r>
      <w:r w:rsidRPr="0044543D">
        <w:rPr>
          <w:sz w:val="22"/>
          <w:szCs w:val="22"/>
        </w:rPr>
        <w:t>will be</w:t>
      </w:r>
      <w:r w:rsidRPr="0044543D" w:rsidR="001F4D67">
        <w:rPr>
          <w:sz w:val="22"/>
          <w:szCs w:val="22"/>
        </w:rPr>
        <w:t xml:space="preserve"> told that their participation or lack thereof will not impact their food safety inspection outcomes. Workers </w:t>
      </w:r>
      <w:r w:rsidRPr="0044543D">
        <w:rPr>
          <w:sz w:val="22"/>
          <w:szCs w:val="22"/>
        </w:rPr>
        <w:t>will also be</w:t>
      </w:r>
      <w:r w:rsidRPr="0044543D" w:rsidR="001F4D67">
        <w:rPr>
          <w:sz w:val="22"/>
          <w:szCs w:val="22"/>
        </w:rPr>
        <w:t xml:space="preserve"> told that their manager will not be told</w:t>
      </w:r>
      <w:r w:rsidR="00526328">
        <w:rPr>
          <w:sz w:val="22"/>
          <w:szCs w:val="22"/>
        </w:rPr>
        <w:t xml:space="preserve"> if</w:t>
      </w:r>
      <w:r w:rsidRPr="0044543D" w:rsidR="00F04C20">
        <w:rPr>
          <w:sz w:val="22"/>
          <w:szCs w:val="22"/>
        </w:rPr>
        <w:t xml:space="preserve"> </w:t>
      </w:r>
      <w:r w:rsidRPr="0044543D" w:rsidR="001F4D67">
        <w:rPr>
          <w:sz w:val="22"/>
          <w:szCs w:val="22"/>
        </w:rPr>
        <w:t>they participate.</w:t>
      </w:r>
    </w:p>
    <w:p w:rsidR="00B8433D" w:rsidRPr="0044543D" w:rsidP="000A6115" w14:paraId="6FCA794A" w14:textId="77777777">
      <w:pPr>
        <w:autoSpaceDE w:val="0"/>
        <w:autoSpaceDN w:val="0"/>
        <w:adjustRightInd w:val="0"/>
        <w:rPr>
          <w:sz w:val="22"/>
          <w:szCs w:val="22"/>
        </w:rPr>
      </w:pPr>
    </w:p>
    <w:p w:rsidR="00B8433D" w:rsidRPr="0044543D" w:rsidP="000A6115" w14:paraId="459BFF0C" w14:textId="1142D61E">
      <w:pPr>
        <w:autoSpaceDE w:val="0"/>
        <w:autoSpaceDN w:val="0"/>
        <w:adjustRightInd w:val="0"/>
        <w:rPr>
          <w:sz w:val="22"/>
          <w:szCs w:val="22"/>
        </w:rPr>
      </w:pPr>
      <w:r w:rsidRPr="0044543D">
        <w:rPr>
          <w:sz w:val="22"/>
          <w:szCs w:val="22"/>
        </w:rPr>
        <w:t xml:space="preserve">Note that the </w:t>
      </w:r>
      <w:r w:rsidRPr="0044543D" w:rsidR="00C21E4E">
        <w:rPr>
          <w:sz w:val="22"/>
          <w:szCs w:val="22"/>
        </w:rPr>
        <w:t>recruiting</w:t>
      </w:r>
      <w:r w:rsidRPr="0044543D" w:rsidR="00FA2176">
        <w:rPr>
          <w:sz w:val="22"/>
          <w:szCs w:val="22"/>
        </w:rPr>
        <w:t xml:space="preserve"> and</w:t>
      </w:r>
      <w:r w:rsidRPr="0044543D" w:rsidR="00D8059B">
        <w:rPr>
          <w:sz w:val="22"/>
          <w:szCs w:val="22"/>
        </w:rPr>
        <w:t xml:space="preserve"> </w:t>
      </w:r>
      <w:r w:rsidRPr="0044543D">
        <w:rPr>
          <w:sz w:val="22"/>
          <w:szCs w:val="22"/>
        </w:rPr>
        <w:t>informed consent process differs for managers and workers</w:t>
      </w:r>
      <w:r w:rsidRPr="0044543D" w:rsidR="004B51B3">
        <w:rPr>
          <w:sz w:val="22"/>
          <w:szCs w:val="22"/>
        </w:rPr>
        <w:t xml:space="preserve"> b</w:t>
      </w:r>
      <w:r w:rsidRPr="0044543D">
        <w:rPr>
          <w:sz w:val="22"/>
          <w:szCs w:val="22"/>
        </w:rPr>
        <w:t>ecause managers are contacted for recruiting purposes before the data collection visit to their establishment</w:t>
      </w:r>
      <w:r w:rsidRPr="0044543D" w:rsidR="00926BBC">
        <w:rPr>
          <w:sz w:val="22"/>
          <w:szCs w:val="22"/>
        </w:rPr>
        <w:t>.</w:t>
      </w:r>
      <w:r w:rsidRPr="0044543D">
        <w:rPr>
          <w:sz w:val="22"/>
          <w:szCs w:val="22"/>
        </w:rPr>
        <w:t xml:space="preserve"> </w:t>
      </w:r>
      <w:r w:rsidRPr="0044543D" w:rsidR="00926BBC">
        <w:rPr>
          <w:sz w:val="22"/>
          <w:szCs w:val="22"/>
        </w:rPr>
        <w:t>W</w:t>
      </w:r>
      <w:r w:rsidRPr="0044543D">
        <w:rPr>
          <w:sz w:val="22"/>
          <w:szCs w:val="22"/>
        </w:rPr>
        <w:t xml:space="preserve">e have two scripts for </w:t>
      </w:r>
      <w:r w:rsidRPr="0044543D" w:rsidR="00926BBC">
        <w:rPr>
          <w:sz w:val="22"/>
          <w:szCs w:val="22"/>
        </w:rPr>
        <w:t>managers</w:t>
      </w:r>
      <w:r w:rsidRPr="0044543D">
        <w:rPr>
          <w:sz w:val="22"/>
          <w:szCs w:val="22"/>
        </w:rPr>
        <w:t>: one for</w:t>
      </w:r>
      <w:r w:rsidRPr="008F7801">
        <w:rPr>
          <w:sz w:val="22"/>
          <w:szCs w:val="22"/>
        </w:rPr>
        <w:t xml:space="preserve"> the initial </w:t>
      </w:r>
      <w:r w:rsidRPr="0044543D">
        <w:rPr>
          <w:sz w:val="22"/>
          <w:szCs w:val="22"/>
        </w:rPr>
        <w:t xml:space="preserve">recruiting call and the second for informed consent at the </w:t>
      </w:r>
      <w:r w:rsidRPr="0044543D">
        <w:rPr>
          <w:sz w:val="22"/>
          <w:szCs w:val="22"/>
        </w:rPr>
        <w:t>establishment. Workers are not contacted before the data collection visit to their establishment</w:t>
      </w:r>
      <w:r w:rsidRPr="0044543D" w:rsidR="00B50EC1">
        <w:rPr>
          <w:sz w:val="22"/>
          <w:szCs w:val="22"/>
        </w:rPr>
        <w:t xml:space="preserve"> </w:t>
      </w:r>
      <w:r w:rsidRPr="0044543D" w:rsidR="00C2423C">
        <w:rPr>
          <w:sz w:val="22"/>
          <w:szCs w:val="22"/>
        </w:rPr>
        <w:t>—</w:t>
      </w:r>
      <w:r w:rsidRPr="0044543D" w:rsidR="00B50EC1">
        <w:rPr>
          <w:sz w:val="22"/>
          <w:szCs w:val="22"/>
        </w:rPr>
        <w:t xml:space="preserve"> </w:t>
      </w:r>
      <w:r w:rsidRPr="0044543D" w:rsidR="00C21E4E">
        <w:rPr>
          <w:sz w:val="22"/>
          <w:szCs w:val="22"/>
        </w:rPr>
        <w:t>recruiting</w:t>
      </w:r>
      <w:r w:rsidRPr="0044543D">
        <w:rPr>
          <w:sz w:val="22"/>
          <w:szCs w:val="22"/>
        </w:rPr>
        <w:t xml:space="preserve"> and informed consent happens in the same conversation</w:t>
      </w:r>
      <w:r w:rsidRPr="0044543D" w:rsidR="00CE49A9">
        <w:rPr>
          <w:sz w:val="22"/>
          <w:szCs w:val="22"/>
        </w:rPr>
        <w:t>.</w:t>
      </w:r>
      <w:r w:rsidRPr="0044543D" w:rsidR="00C2423C">
        <w:rPr>
          <w:sz w:val="22"/>
          <w:szCs w:val="22"/>
        </w:rPr>
        <w:t xml:space="preserve"> </w:t>
      </w:r>
      <w:r w:rsidRPr="0044543D" w:rsidR="00832553">
        <w:rPr>
          <w:sz w:val="22"/>
          <w:szCs w:val="22"/>
        </w:rPr>
        <w:t>T</w:t>
      </w:r>
      <w:r w:rsidRPr="0044543D" w:rsidR="00B50EC1">
        <w:rPr>
          <w:sz w:val="22"/>
          <w:szCs w:val="22"/>
        </w:rPr>
        <w:t>hus</w:t>
      </w:r>
      <w:r w:rsidRPr="0044543D">
        <w:rPr>
          <w:sz w:val="22"/>
          <w:szCs w:val="22"/>
        </w:rPr>
        <w:t xml:space="preserve">, there is only one </w:t>
      </w:r>
      <w:r w:rsidRPr="0044543D" w:rsidR="00C21E4E">
        <w:rPr>
          <w:sz w:val="22"/>
          <w:szCs w:val="22"/>
        </w:rPr>
        <w:t>recruiting/informed consent</w:t>
      </w:r>
      <w:r w:rsidRPr="0044543D">
        <w:rPr>
          <w:sz w:val="22"/>
          <w:szCs w:val="22"/>
        </w:rPr>
        <w:t xml:space="preserve"> script for them.</w:t>
      </w:r>
    </w:p>
    <w:p w:rsidR="001F4D67" w:rsidRPr="0044543D" w:rsidP="000A6115" w14:paraId="0C94503F" w14:textId="77777777">
      <w:pPr>
        <w:autoSpaceDE w:val="0"/>
        <w:autoSpaceDN w:val="0"/>
        <w:adjustRightInd w:val="0"/>
        <w:rPr>
          <w:sz w:val="22"/>
          <w:szCs w:val="22"/>
        </w:rPr>
      </w:pPr>
    </w:p>
    <w:p w:rsidR="001F4D67" w:rsidRPr="0044543D" w:rsidP="001F4D67" w14:paraId="30D72F0B" w14:textId="608D8BB5">
      <w:pPr>
        <w:autoSpaceDE w:val="0"/>
        <w:autoSpaceDN w:val="0"/>
        <w:adjustRightInd w:val="0"/>
        <w:rPr>
          <w:sz w:val="22"/>
          <w:szCs w:val="22"/>
        </w:rPr>
      </w:pPr>
      <w:r w:rsidRPr="0044543D">
        <w:rPr>
          <w:b/>
          <w:sz w:val="22"/>
          <w:szCs w:val="22"/>
        </w:rPr>
        <w:t xml:space="preserve">A.11.5. </w:t>
      </w:r>
      <w:r w:rsidRPr="0044543D" w:rsidR="000A6115">
        <w:rPr>
          <w:b/>
          <w:sz w:val="22"/>
          <w:szCs w:val="22"/>
        </w:rPr>
        <w:t xml:space="preserve">Opportunities to </w:t>
      </w:r>
      <w:r w:rsidRPr="0044543D" w:rsidR="00B00D10">
        <w:rPr>
          <w:b/>
          <w:sz w:val="22"/>
          <w:szCs w:val="22"/>
        </w:rPr>
        <w:t>C</w:t>
      </w:r>
      <w:r w:rsidRPr="0044543D" w:rsidR="000A6115">
        <w:rPr>
          <w:b/>
          <w:sz w:val="22"/>
          <w:szCs w:val="22"/>
        </w:rPr>
        <w:t>onsent</w:t>
      </w:r>
      <w:r w:rsidRPr="0044543D">
        <w:rPr>
          <w:b/>
          <w:sz w:val="22"/>
          <w:szCs w:val="22"/>
        </w:rPr>
        <w:t>.</w:t>
      </w:r>
      <w:r w:rsidRPr="0044543D">
        <w:rPr>
          <w:sz w:val="22"/>
          <w:szCs w:val="22"/>
        </w:rPr>
        <w:t xml:space="preserve"> Both managers and workers will be given the opportunity to verbally consent to </w:t>
      </w:r>
      <w:r w:rsidRPr="0044543D" w:rsidR="001C3165">
        <w:rPr>
          <w:sz w:val="22"/>
          <w:szCs w:val="22"/>
        </w:rPr>
        <w:t xml:space="preserve">or decline </w:t>
      </w:r>
      <w:r w:rsidRPr="0044543D">
        <w:rPr>
          <w:sz w:val="22"/>
          <w:szCs w:val="22"/>
        </w:rPr>
        <w:t>participation</w:t>
      </w:r>
      <w:r w:rsidRPr="0044543D" w:rsidR="00C769D3">
        <w:rPr>
          <w:sz w:val="22"/>
          <w:szCs w:val="22"/>
        </w:rPr>
        <w:t xml:space="preserve"> (</w:t>
      </w:r>
      <w:r w:rsidR="00492D00">
        <w:rPr>
          <w:sz w:val="22"/>
          <w:szCs w:val="22"/>
        </w:rPr>
        <w:t>appendice</w:t>
      </w:r>
      <w:r w:rsidRPr="0044543D" w:rsidR="00A46B83">
        <w:rPr>
          <w:sz w:val="22"/>
          <w:szCs w:val="22"/>
        </w:rPr>
        <w:t>s</w:t>
      </w:r>
      <w:r w:rsidRPr="0044543D" w:rsidR="00C769D3">
        <w:rPr>
          <w:sz w:val="22"/>
          <w:szCs w:val="22"/>
        </w:rPr>
        <w:t xml:space="preserve"> </w:t>
      </w:r>
      <w:r w:rsidRPr="0044543D" w:rsidR="007B40F4">
        <w:rPr>
          <w:sz w:val="22"/>
          <w:szCs w:val="22"/>
        </w:rPr>
        <w:t>2</w:t>
      </w:r>
      <w:r w:rsidRPr="0044543D" w:rsidR="009879D6">
        <w:rPr>
          <w:sz w:val="22"/>
          <w:szCs w:val="22"/>
        </w:rPr>
        <w:t xml:space="preserve"> and </w:t>
      </w:r>
      <w:r w:rsidRPr="0044543D" w:rsidR="007B40F4">
        <w:rPr>
          <w:sz w:val="22"/>
          <w:szCs w:val="22"/>
        </w:rPr>
        <w:t>3</w:t>
      </w:r>
      <w:r w:rsidRPr="0044543D" w:rsidR="00C769D3">
        <w:rPr>
          <w:sz w:val="22"/>
          <w:szCs w:val="22"/>
        </w:rPr>
        <w:t>)</w:t>
      </w:r>
      <w:r w:rsidRPr="0044543D">
        <w:rPr>
          <w:sz w:val="22"/>
          <w:szCs w:val="22"/>
        </w:rPr>
        <w:t xml:space="preserve">. Prior to beginning data collection, the data collector will read to them a short introduction describing the purpose of the study and how the data will be used. The data collector will then ask them if they agree to participate in the study. </w:t>
      </w:r>
      <w:r w:rsidRPr="0044543D">
        <w:rPr>
          <w:sz w:val="22"/>
          <w:szCs w:val="22"/>
        </w:rPr>
        <w:t>Because the study is not considered human subjects research, documentation of consent is not required.</w:t>
      </w:r>
    </w:p>
    <w:p w:rsidR="001F4D67" w:rsidRPr="0044543D" w:rsidP="000A6115" w14:paraId="4A348EA4" w14:textId="77777777">
      <w:pPr>
        <w:autoSpaceDE w:val="0"/>
        <w:autoSpaceDN w:val="0"/>
        <w:adjustRightInd w:val="0"/>
        <w:rPr>
          <w:sz w:val="22"/>
          <w:szCs w:val="22"/>
        </w:rPr>
      </w:pPr>
    </w:p>
    <w:p w:rsidR="002C7A67" w:rsidRPr="0044543D" w:rsidP="002C7A67" w14:paraId="5D50F4A8" w14:textId="29D0B6F5">
      <w:pPr>
        <w:rPr>
          <w:sz w:val="22"/>
          <w:szCs w:val="22"/>
        </w:rPr>
      </w:pPr>
      <w:r w:rsidRPr="0044543D">
        <w:rPr>
          <w:b/>
          <w:sz w:val="22"/>
          <w:szCs w:val="22"/>
        </w:rPr>
        <w:t xml:space="preserve">A.11.6. </w:t>
      </w:r>
      <w:r w:rsidRPr="0044543D" w:rsidR="000A6115">
        <w:rPr>
          <w:b/>
          <w:sz w:val="22"/>
          <w:szCs w:val="22"/>
        </w:rPr>
        <w:t xml:space="preserve">How </w:t>
      </w:r>
      <w:r w:rsidRPr="0044543D">
        <w:rPr>
          <w:b/>
          <w:sz w:val="22"/>
          <w:szCs w:val="22"/>
        </w:rPr>
        <w:t xml:space="preserve">information will be </w:t>
      </w:r>
      <w:r w:rsidR="001507AB">
        <w:rPr>
          <w:b/>
          <w:sz w:val="22"/>
          <w:szCs w:val="22"/>
        </w:rPr>
        <w:t>s</w:t>
      </w:r>
      <w:r w:rsidRPr="0044543D">
        <w:rPr>
          <w:b/>
          <w:sz w:val="22"/>
          <w:szCs w:val="22"/>
        </w:rPr>
        <w:t>ecured.</w:t>
      </w:r>
      <w:r w:rsidRPr="0044543D">
        <w:rPr>
          <w:sz w:val="22"/>
          <w:szCs w:val="22"/>
        </w:rPr>
        <w:t xml:space="preserve"> Hard copy data forms will be secured</w:t>
      </w:r>
      <w:r w:rsidRPr="0044543D" w:rsidR="00D853EF">
        <w:rPr>
          <w:sz w:val="22"/>
          <w:szCs w:val="22"/>
        </w:rPr>
        <w:t xml:space="preserve"> </w:t>
      </w:r>
      <w:r w:rsidRPr="0044543D">
        <w:rPr>
          <w:sz w:val="22"/>
          <w:szCs w:val="22"/>
        </w:rPr>
        <w:t xml:space="preserve">under lock and key at the EHS-Net sites. </w:t>
      </w:r>
      <w:r w:rsidRPr="0044543D" w:rsidR="00AD0CBB">
        <w:rPr>
          <w:sz w:val="22"/>
          <w:szCs w:val="22"/>
        </w:rPr>
        <w:t>User accounts will be issued to a</w:t>
      </w:r>
      <w:r w:rsidRPr="0044543D">
        <w:rPr>
          <w:sz w:val="22"/>
          <w:szCs w:val="22"/>
        </w:rPr>
        <w:t>uthorized EHS-Net site personnel</w:t>
      </w:r>
      <w:r w:rsidRPr="0044543D" w:rsidR="00AD0CBB">
        <w:rPr>
          <w:sz w:val="22"/>
          <w:szCs w:val="22"/>
        </w:rPr>
        <w:t>; these personnel</w:t>
      </w:r>
      <w:r w:rsidRPr="0044543D">
        <w:rPr>
          <w:sz w:val="22"/>
          <w:szCs w:val="22"/>
        </w:rPr>
        <w:t xml:space="preserve"> will enter the data from these forms into a CDC electronic</w:t>
      </w:r>
      <w:r w:rsidRPr="0044543D" w:rsidR="00F04C20">
        <w:rPr>
          <w:sz w:val="22"/>
          <w:szCs w:val="22"/>
        </w:rPr>
        <w:t xml:space="preserve"> </w:t>
      </w:r>
      <w:r w:rsidRPr="0044543D">
        <w:rPr>
          <w:sz w:val="22"/>
          <w:szCs w:val="22"/>
        </w:rPr>
        <w:t xml:space="preserve">information system. </w:t>
      </w:r>
      <w:r w:rsidRPr="0044543D" w:rsidR="00AD0CBB">
        <w:rPr>
          <w:sz w:val="22"/>
          <w:szCs w:val="22"/>
        </w:rPr>
        <w:t xml:space="preserve">The EHS-Net sites own all the data from their site. </w:t>
      </w:r>
      <w:r w:rsidRPr="0044543D">
        <w:rPr>
          <w:sz w:val="22"/>
          <w:szCs w:val="22"/>
        </w:rPr>
        <w:t xml:space="preserve">Only authorized CDC and EHS-Net site personnel can access this system. </w:t>
      </w:r>
      <w:r w:rsidRPr="0044543D" w:rsidR="00267B5E">
        <w:rPr>
          <w:sz w:val="22"/>
          <w:szCs w:val="22"/>
        </w:rPr>
        <w:t>T</w:t>
      </w:r>
      <w:r w:rsidRPr="0044543D">
        <w:rPr>
          <w:sz w:val="22"/>
          <w:szCs w:val="22"/>
        </w:rPr>
        <w:t>his information system meets all CDC information technology security requirements; data stored in this system are secure.</w:t>
      </w:r>
    </w:p>
    <w:p w:rsidR="00814657" w:rsidRPr="0044543D" w:rsidP="00814657" w14:paraId="05C6AB06" w14:textId="77777777">
      <w:pPr>
        <w:ind w:left="288"/>
        <w:rPr>
          <w:b/>
          <w:sz w:val="22"/>
          <w:szCs w:val="22"/>
        </w:rPr>
      </w:pPr>
    </w:p>
    <w:p w:rsidR="00CC3730" w:rsidRPr="0044543D" w:rsidP="00BE5101" w14:paraId="319BBE6D" w14:textId="77777777">
      <w:pPr>
        <w:autoSpaceDE w:val="0"/>
        <w:autoSpaceDN w:val="0"/>
        <w:adjustRightInd w:val="0"/>
        <w:ind w:left="432" w:hanging="432"/>
        <w:rPr>
          <w:b/>
          <w:sz w:val="22"/>
          <w:szCs w:val="22"/>
        </w:rPr>
      </w:pPr>
      <w:r w:rsidRPr="0044543D">
        <w:rPr>
          <w:b/>
          <w:sz w:val="22"/>
          <w:szCs w:val="22"/>
        </w:rPr>
        <w:t>A.</w:t>
      </w:r>
      <w:r w:rsidRPr="0044543D">
        <w:rPr>
          <w:b/>
          <w:sz w:val="22"/>
          <w:szCs w:val="22"/>
        </w:rPr>
        <w:t xml:space="preserve">12. Estimates of Annualized Burden hours and costs </w:t>
      </w:r>
    </w:p>
    <w:p w:rsidR="00AE68B2" w:rsidRPr="0044543D" w:rsidP="00CC3730" w14:paraId="3EE52CBF" w14:textId="77777777">
      <w:pPr>
        <w:autoSpaceDE w:val="0"/>
        <w:autoSpaceDN w:val="0"/>
        <w:adjustRightInd w:val="0"/>
        <w:ind w:left="720" w:hanging="432"/>
        <w:rPr>
          <w:b/>
          <w:sz w:val="22"/>
          <w:szCs w:val="22"/>
        </w:rPr>
      </w:pPr>
    </w:p>
    <w:p w:rsidR="007A4237" w:rsidRPr="008F7801" w:rsidP="007A4237" w14:paraId="78F26A5C" w14:textId="5FD1DF20">
      <w:pPr>
        <w:rPr>
          <w:sz w:val="22"/>
          <w:szCs w:val="22"/>
        </w:rPr>
      </w:pPr>
      <w:r w:rsidRPr="0044543D">
        <w:rPr>
          <w:sz w:val="22"/>
          <w:szCs w:val="22"/>
        </w:rPr>
        <w:t>For each project under this collection, we anticipate collecting data in approximately 50 restaurants per site. Thus, there will be approximately 400 restaurants per site (8 EHS-Net sites*50 restaurants). We anticipate a manager/restaurant recruitment rate of approximately 45%; thus, we will need to contact 889 restaurant managers to meet our goal of 400 respondents (</w:t>
      </w:r>
      <w:r w:rsidR="00492D00">
        <w:rPr>
          <w:sz w:val="22"/>
          <w:szCs w:val="22"/>
        </w:rPr>
        <w:t>appendix</w:t>
      </w:r>
      <w:r w:rsidRPr="0044543D">
        <w:rPr>
          <w:sz w:val="22"/>
          <w:szCs w:val="22"/>
        </w:rPr>
        <w:t xml:space="preserve"> </w:t>
      </w:r>
      <w:r w:rsidRPr="0044543D" w:rsidR="005013B9">
        <w:rPr>
          <w:sz w:val="22"/>
          <w:szCs w:val="22"/>
        </w:rPr>
        <w:t>4</w:t>
      </w:r>
      <w:r w:rsidRPr="0044543D">
        <w:rPr>
          <w:sz w:val="22"/>
          <w:szCs w:val="22"/>
        </w:rPr>
        <w:t xml:space="preserve"> contains</w:t>
      </w:r>
      <w:r w:rsidRPr="008F7801">
        <w:rPr>
          <w:sz w:val="22"/>
          <w:szCs w:val="22"/>
        </w:rPr>
        <w:t xml:space="preserve"> a sample telephone manager recruiting script). Each respondent to the script will respond only once, and the average burden per response will be approximately 3 minutes (44 annual burden hours.)</w:t>
      </w:r>
    </w:p>
    <w:p w:rsidR="007A4237" w:rsidRPr="008F7801" w:rsidP="007A4237" w14:paraId="06E73680" w14:textId="77777777">
      <w:pPr>
        <w:rPr>
          <w:sz w:val="22"/>
          <w:szCs w:val="22"/>
        </w:rPr>
      </w:pPr>
    </w:p>
    <w:p w:rsidR="00415C9E" w:rsidRPr="0044543D" w:rsidP="000F1AF0" w14:paraId="6F226F57" w14:textId="2890BF67">
      <w:pPr>
        <w:rPr>
          <w:sz w:val="22"/>
          <w:szCs w:val="22"/>
        </w:rPr>
      </w:pPr>
      <w:r w:rsidRPr="008F7801">
        <w:rPr>
          <w:sz w:val="22"/>
          <w:szCs w:val="22"/>
        </w:rPr>
        <w:t xml:space="preserve">In restaurants that </w:t>
      </w:r>
      <w:r w:rsidRPr="0044543D">
        <w:rPr>
          <w:sz w:val="22"/>
          <w:szCs w:val="22"/>
        </w:rPr>
        <w:t xml:space="preserve">voluntarily agree to participate in </w:t>
      </w:r>
      <w:r w:rsidRPr="0044543D" w:rsidR="00956AF3">
        <w:rPr>
          <w:sz w:val="22"/>
          <w:szCs w:val="22"/>
        </w:rPr>
        <w:t>a</w:t>
      </w:r>
      <w:r w:rsidRPr="0044543D">
        <w:rPr>
          <w:sz w:val="22"/>
          <w:szCs w:val="22"/>
        </w:rPr>
        <w:t xml:space="preserve"> study, we will </w:t>
      </w:r>
      <w:r w:rsidRPr="0044543D" w:rsidR="00BB43D7">
        <w:rPr>
          <w:sz w:val="22"/>
          <w:szCs w:val="22"/>
        </w:rPr>
        <w:t>obtain verbal informed consent (</w:t>
      </w:r>
      <w:r w:rsidR="00492D00">
        <w:rPr>
          <w:sz w:val="22"/>
          <w:szCs w:val="22"/>
        </w:rPr>
        <w:t>appendix</w:t>
      </w:r>
      <w:r w:rsidRPr="0044543D" w:rsidR="00BB43D7">
        <w:rPr>
          <w:sz w:val="22"/>
          <w:szCs w:val="22"/>
        </w:rPr>
        <w:t xml:space="preserve"> </w:t>
      </w:r>
      <w:r w:rsidRPr="0044543D" w:rsidR="00F050C3">
        <w:rPr>
          <w:sz w:val="22"/>
          <w:szCs w:val="22"/>
        </w:rPr>
        <w:t>2</w:t>
      </w:r>
      <w:r w:rsidRPr="0044543D" w:rsidR="00BB43D7">
        <w:rPr>
          <w:sz w:val="22"/>
          <w:szCs w:val="22"/>
        </w:rPr>
        <w:t xml:space="preserve">) and </w:t>
      </w:r>
      <w:r w:rsidRPr="0044543D">
        <w:rPr>
          <w:sz w:val="22"/>
          <w:szCs w:val="22"/>
        </w:rPr>
        <w:t>interview the manager about the restaurant’s characteristics and existing food safety procedures and practices (</w:t>
      </w:r>
      <w:r w:rsidR="00492D00">
        <w:rPr>
          <w:sz w:val="22"/>
          <w:szCs w:val="22"/>
        </w:rPr>
        <w:t>appendix</w:t>
      </w:r>
      <w:r w:rsidRPr="0044543D">
        <w:rPr>
          <w:sz w:val="22"/>
          <w:szCs w:val="22"/>
        </w:rPr>
        <w:t xml:space="preserve"> </w:t>
      </w:r>
      <w:r w:rsidRPr="0044543D" w:rsidR="00F050C3">
        <w:rPr>
          <w:sz w:val="22"/>
          <w:szCs w:val="22"/>
        </w:rPr>
        <w:t>5</w:t>
      </w:r>
      <w:r w:rsidRPr="0044543D">
        <w:rPr>
          <w:sz w:val="22"/>
          <w:szCs w:val="22"/>
        </w:rPr>
        <w:t>)</w:t>
      </w:r>
      <w:r w:rsidRPr="0044543D" w:rsidR="00BB799F">
        <w:rPr>
          <w:sz w:val="22"/>
          <w:szCs w:val="22"/>
        </w:rPr>
        <w:t>.</w:t>
      </w:r>
      <w:r w:rsidRPr="0044543D">
        <w:rPr>
          <w:sz w:val="22"/>
          <w:szCs w:val="22"/>
        </w:rPr>
        <w:t xml:space="preserve"> It is estimated that </w:t>
      </w:r>
      <w:r w:rsidRPr="0044543D" w:rsidR="00BB799F">
        <w:rPr>
          <w:sz w:val="22"/>
          <w:szCs w:val="22"/>
        </w:rPr>
        <w:t>manager interviews</w:t>
      </w:r>
      <w:r w:rsidRPr="0044543D">
        <w:rPr>
          <w:sz w:val="22"/>
          <w:szCs w:val="22"/>
        </w:rPr>
        <w:t xml:space="preserve"> will take 3</w:t>
      </w:r>
      <w:r w:rsidRPr="0044543D" w:rsidR="00BB799F">
        <w:rPr>
          <w:sz w:val="22"/>
          <w:szCs w:val="22"/>
        </w:rPr>
        <w:t>0</w:t>
      </w:r>
      <w:r w:rsidRPr="0044543D">
        <w:rPr>
          <w:sz w:val="22"/>
          <w:szCs w:val="22"/>
        </w:rPr>
        <w:t xml:space="preserve"> minutes (20</w:t>
      </w:r>
      <w:r w:rsidRPr="0044543D" w:rsidR="00BB799F">
        <w:rPr>
          <w:sz w:val="22"/>
          <w:szCs w:val="22"/>
        </w:rPr>
        <w:t>0</w:t>
      </w:r>
      <w:r w:rsidRPr="0044543D">
        <w:rPr>
          <w:sz w:val="22"/>
          <w:szCs w:val="22"/>
        </w:rPr>
        <w:t xml:space="preserve"> annual burden hours). Following this, food worker(s) will be recruited from the restaurant for participation in either a semi-structured interview or structured written/electronic survey (</w:t>
      </w:r>
      <w:r w:rsidR="00492D00">
        <w:rPr>
          <w:sz w:val="22"/>
          <w:szCs w:val="22"/>
        </w:rPr>
        <w:t>appendix</w:t>
      </w:r>
      <w:r w:rsidRPr="0044543D">
        <w:rPr>
          <w:sz w:val="22"/>
          <w:szCs w:val="22"/>
        </w:rPr>
        <w:t xml:space="preserve"> </w:t>
      </w:r>
      <w:r w:rsidRPr="0044543D" w:rsidR="00F02A56">
        <w:rPr>
          <w:sz w:val="22"/>
          <w:szCs w:val="22"/>
        </w:rPr>
        <w:t>6</w:t>
      </w:r>
      <w:r w:rsidRPr="0044543D">
        <w:rPr>
          <w:sz w:val="22"/>
          <w:szCs w:val="22"/>
        </w:rPr>
        <w:t>). We anticipate recruiting a maximum of 5 food workers per restaurant with an estimated burden time of 2 minutes per respondent for recruiting and informed consent</w:t>
      </w:r>
      <w:r w:rsidRPr="0044543D" w:rsidR="00A7029B">
        <w:rPr>
          <w:sz w:val="22"/>
          <w:szCs w:val="22"/>
        </w:rPr>
        <w:t xml:space="preserve"> (67 annual burden hours)</w:t>
      </w:r>
      <w:r w:rsidRPr="0044543D">
        <w:rPr>
          <w:sz w:val="22"/>
          <w:szCs w:val="22"/>
        </w:rPr>
        <w:t xml:space="preserve">, and </w:t>
      </w:r>
      <w:r w:rsidRPr="0044543D" w:rsidR="00A7029B">
        <w:rPr>
          <w:sz w:val="22"/>
          <w:szCs w:val="22"/>
        </w:rPr>
        <w:t>1</w:t>
      </w:r>
      <w:r w:rsidRPr="0044543D">
        <w:rPr>
          <w:sz w:val="22"/>
          <w:szCs w:val="22"/>
        </w:rPr>
        <w:t>0 minutes per respondent for data collection (</w:t>
      </w:r>
      <w:r w:rsidRPr="0044543D" w:rsidR="00A7029B">
        <w:rPr>
          <w:sz w:val="22"/>
          <w:szCs w:val="22"/>
        </w:rPr>
        <w:t>333</w:t>
      </w:r>
      <w:r w:rsidRPr="0044543D">
        <w:rPr>
          <w:sz w:val="22"/>
          <w:szCs w:val="22"/>
        </w:rPr>
        <w:t xml:space="preserve"> annual burden hours). </w:t>
      </w:r>
    </w:p>
    <w:p w:rsidR="00415C9E" w:rsidRPr="0044543D" w:rsidP="000F1AF0" w14:paraId="17164835" w14:textId="77777777">
      <w:pPr>
        <w:rPr>
          <w:sz w:val="22"/>
          <w:szCs w:val="22"/>
        </w:rPr>
      </w:pPr>
    </w:p>
    <w:p w:rsidR="00415C9E" w:rsidRPr="008F7801" w:rsidP="000F1AF0" w14:paraId="4CDCC66F" w14:textId="4034F6CB">
      <w:pPr>
        <w:rPr>
          <w:sz w:val="22"/>
          <w:szCs w:val="22"/>
        </w:rPr>
      </w:pPr>
      <w:r w:rsidRPr="0044543D">
        <w:rPr>
          <w:sz w:val="22"/>
          <w:szCs w:val="22"/>
        </w:rPr>
        <w:t>The EHS-Net data collectors</w:t>
      </w:r>
      <w:r w:rsidRPr="0044543D" w:rsidR="00A7029B">
        <w:rPr>
          <w:sz w:val="22"/>
          <w:szCs w:val="22"/>
        </w:rPr>
        <w:t xml:space="preserve"> </w:t>
      </w:r>
      <w:r w:rsidRPr="0044543D">
        <w:rPr>
          <w:sz w:val="22"/>
          <w:szCs w:val="22"/>
        </w:rPr>
        <w:t>will complete the restaurant observation form (</w:t>
      </w:r>
      <w:r w:rsidR="00492D00">
        <w:rPr>
          <w:sz w:val="22"/>
          <w:szCs w:val="22"/>
        </w:rPr>
        <w:t>appendix</w:t>
      </w:r>
      <w:r w:rsidRPr="0044543D">
        <w:rPr>
          <w:sz w:val="22"/>
          <w:szCs w:val="22"/>
        </w:rPr>
        <w:t xml:space="preserve"> </w:t>
      </w:r>
      <w:r w:rsidRPr="0044543D" w:rsidR="00B82449">
        <w:rPr>
          <w:sz w:val="22"/>
          <w:szCs w:val="22"/>
        </w:rPr>
        <w:t>7</w:t>
      </w:r>
      <w:r w:rsidRPr="0044543D">
        <w:rPr>
          <w:sz w:val="22"/>
          <w:szCs w:val="22"/>
        </w:rPr>
        <w:t xml:space="preserve">) documenting practices and infrastructure in the restaurant related to food safety. These observations will require interactions between the data collectors and managers and is estimated to take approximately 30 minutes (200 annual burden hours). </w:t>
      </w:r>
      <w:r w:rsidRPr="0044543D" w:rsidR="003A7DD7">
        <w:rPr>
          <w:sz w:val="22"/>
          <w:szCs w:val="22"/>
        </w:rPr>
        <w:t xml:space="preserve">Table </w:t>
      </w:r>
      <w:r w:rsidR="003A7DD7">
        <w:rPr>
          <w:sz w:val="22"/>
          <w:szCs w:val="22"/>
        </w:rPr>
        <w:t>A.</w:t>
      </w:r>
      <w:r w:rsidRPr="0044543D" w:rsidR="003A7DD7">
        <w:rPr>
          <w:sz w:val="22"/>
          <w:szCs w:val="22"/>
        </w:rPr>
        <w:t>12.1 includes the observation burden for retail managers (200 annual burden hours).</w:t>
      </w:r>
      <w:r w:rsidR="003A7DD7">
        <w:rPr>
          <w:sz w:val="22"/>
          <w:szCs w:val="22"/>
        </w:rPr>
        <w:t xml:space="preserve"> </w:t>
      </w:r>
      <w:r w:rsidR="00097D04">
        <w:rPr>
          <w:sz w:val="22"/>
          <w:szCs w:val="22"/>
        </w:rPr>
        <w:t>Since</w:t>
      </w:r>
      <w:r w:rsidRPr="0044543D">
        <w:rPr>
          <w:sz w:val="22"/>
          <w:szCs w:val="22"/>
        </w:rPr>
        <w:t xml:space="preserve"> </w:t>
      </w:r>
      <w:r w:rsidRPr="0044543D" w:rsidR="00742DEC">
        <w:rPr>
          <w:sz w:val="22"/>
          <w:szCs w:val="22"/>
        </w:rPr>
        <w:t>data collectors</w:t>
      </w:r>
      <w:r w:rsidRPr="0044543D" w:rsidR="00914E47">
        <w:rPr>
          <w:sz w:val="22"/>
          <w:szCs w:val="22"/>
        </w:rPr>
        <w:t xml:space="preserve"> are health department</w:t>
      </w:r>
      <w:r w:rsidRPr="0044543D">
        <w:rPr>
          <w:sz w:val="22"/>
          <w:szCs w:val="22"/>
        </w:rPr>
        <w:t xml:space="preserve"> staff </w:t>
      </w:r>
      <w:r w:rsidRPr="0044543D" w:rsidR="00A364C5">
        <w:rPr>
          <w:sz w:val="22"/>
          <w:szCs w:val="22"/>
        </w:rPr>
        <w:t>who are paid</w:t>
      </w:r>
      <w:r w:rsidRPr="0044543D">
        <w:rPr>
          <w:sz w:val="22"/>
          <w:szCs w:val="22"/>
        </w:rPr>
        <w:t xml:space="preserve"> through a cooperative agreement, the </w:t>
      </w:r>
      <w:r w:rsidRPr="0044543D" w:rsidR="00F76F57">
        <w:rPr>
          <w:sz w:val="22"/>
          <w:szCs w:val="22"/>
        </w:rPr>
        <w:t xml:space="preserve">data collectors’ </w:t>
      </w:r>
      <w:r w:rsidRPr="0044543D">
        <w:rPr>
          <w:sz w:val="22"/>
          <w:szCs w:val="22"/>
        </w:rPr>
        <w:t xml:space="preserve">burden hours will not be reflected in the annualized burden; this is reflected in the annualized costs to the federal government (awards to sites) in Table 14.1. </w:t>
      </w:r>
    </w:p>
    <w:p w:rsidR="00415C9E" w:rsidRPr="008F7801" w:rsidP="000F1AF0" w14:paraId="4CB57E78" w14:textId="77777777">
      <w:pPr>
        <w:rPr>
          <w:sz w:val="22"/>
          <w:szCs w:val="22"/>
        </w:rPr>
      </w:pPr>
    </w:p>
    <w:p w:rsidR="00BE33F4" w:rsidRPr="008F7801" w:rsidP="000F1AF0" w14:paraId="69C19BE1" w14:textId="4BE81EB4">
      <w:pPr>
        <w:rPr>
          <w:sz w:val="22"/>
          <w:szCs w:val="22"/>
        </w:rPr>
      </w:pPr>
      <w:r w:rsidRPr="008F7801">
        <w:rPr>
          <w:sz w:val="22"/>
          <w:szCs w:val="22"/>
        </w:rPr>
        <w:t xml:space="preserve">For the specific study designs, we will assess the number of respondents and time necessary and strive to minimize the burden. We have provided conservative estimates in Tables </w:t>
      </w:r>
      <w:r w:rsidR="008543A9">
        <w:rPr>
          <w:sz w:val="22"/>
          <w:szCs w:val="22"/>
        </w:rPr>
        <w:t>A.</w:t>
      </w:r>
      <w:r w:rsidRPr="008F7801">
        <w:rPr>
          <w:sz w:val="22"/>
          <w:szCs w:val="22"/>
        </w:rPr>
        <w:t xml:space="preserve">12.1 and </w:t>
      </w:r>
      <w:r w:rsidR="008543A9">
        <w:rPr>
          <w:sz w:val="22"/>
          <w:szCs w:val="22"/>
        </w:rPr>
        <w:t>A.</w:t>
      </w:r>
      <w:r w:rsidRPr="008F7801">
        <w:rPr>
          <w:sz w:val="22"/>
          <w:szCs w:val="22"/>
        </w:rPr>
        <w:t>12.2, as a data collection study would not occur on an annual basis; we expect to conduct two (three maximum) data collections during a three-year PRA cycle.</w:t>
      </w:r>
    </w:p>
    <w:p w:rsidR="00A7029B" w:rsidRPr="008F7801" w:rsidP="000F1AF0" w14:paraId="43860238" w14:textId="77777777"/>
    <w:p w:rsidR="64F7B2F5" w:rsidP="64F7B2F5" w14:paraId="1E7183A6" w14:textId="050911C4">
      <w:pPr>
        <w:rPr>
          <w:b/>
          <w:bCs/>
          <w:sz w:val="22"/>
          <w:szCs w:val="22"/>
        </w:rPr>
      </w:pPr>
    </w:p>
    <w:p w:rsidR="64F7B2F5" w:rsidP="64F7B2F5" w14:paraId="15B9DCF1" w14:textId="195EFADB">
      <w:pPr>
        <w:rPr>
          <w:b/>
          <w:bCs/>
          <w:sz w:val="22"/>
          <w:szCs w:val="22"/>
        </w:rPr>
      </w:pPr>
    </w:p>
    <w:p w:rsidR="64F7B2F5" w:rsidP="64F7B2F5" w14:paraId="069641C2" w14:textId="1CFFF49C">
      <w:pPr>
        <w:rPr>
          <w:b/>
          <w:bCs/>
          <w:sz w:val="22"/>
          <w:szCs w:val="22"/>
        </w:rPr>
      </w:pPr>
    </w:p>
    <w:p w:rsidR="001A062F" w:rsidP="000F1AF0" w14:paraId="71C5E875" w14:textId="77777777">
      <w:pPr>
        <w:rPr>
          <w:b/>
          <w:sz w:val="22"/>
          <w:szCs w:val="22"/>
        </w:rPr>
      </w:pPr>
    </w:p>
    <w:p w:rsidR="001A062F" w:rsidP="000F1AF0" w14:paraId="06F4F7AD" w14:textId="77777777">
      <w:pPr>
        <w:rPr>
          <w:b/>
          <w:sz w:val="22"/>
          <w:szCs w:val="22"/>
        </w:rPr>
      </w:pPr>
    </w:p>
    <w:p w:rsidR="001A062F" w:rsidP="000F1AF0" w14:paraId="4D9AF070" w14:textId="77777777">
      <w:pPr>
        <w:rPr>
          <w:b/>
          <w:sz w:val="22"/>
          <w:szCs w:val="22"/>
        </w:rPr>
      </w:pPr>
    </w:p>
    <w:p w:rsidR="00814657" w:rsidRPr="008F7801" w:rsidP="000F1AF0" w14:paraId="07100560" w14:textId="7ECE5B8B">
      <w:pPr>
        <w:rPr>
          <w:b/>
          <w:sz w:val="22"/>
          <w:szCs w:val="22"/>
        </w:rPr>
      </w:pPr>
      <w:r w:rsidRPr="008F7801">
        <w:rPr>
          <w:b/>
          <w:sz w:val="22"/>
          <w:szCs w:val="22"/>
        </w:rPr>
        <w:t>A.12</w:t>
      </w:r>
      <w:r w:rsidR="00796D8C">
        <w:rPr>
          <w:b/>
          <w:sz w:val="22"/>
          <w:szCs w:val="22"/>
        </w:rPr>
        <w:t>.</w:t>
      </w:r>
      <w:r w:rsidRPr="008F7801">
        <w:rPr>
          <w:b/>
          <w:sz w:val="22"/>
          <w:szCs w:val="22"/>
        </w:rPr>
        <w:t>1</w:t>
      </w:r>
      <w:r w:rsidR="00796D8C">
        <w:rPr>
          <w:b/>
          <w:sz w:val="22"/>
          <w:szCs w:val="22"/>
        </w:rPr>
        <w:t>.</w:t>
      </w:r>
      <w:r w:rsidRPr="008F7801">
        <w:rPr>
          <w:b/>
          <w:sz w:val="22"/>
          <w:szCs w:val="22"/>
        </w:rPr>
        <w:t xml:space="preserve"> Estimated Annualized Burden Hours</w:t>
      </w:r>
      <w:bookmarkStart w:id="5" w:name="_Hlk63161767"/>
    </w:p>
    <w:tbl>
      <w:tblPr>
        <w:tblW w:w="91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tblPr>
      <w:tblGrid>
        <w:gridCol w:w="1710"/>
        <w:gridCol w:w="1998"/>
        <w:gridCol w:w="1368"/>
        <w:gridCol w:w="1368"/>
        <w:gridCol w:w="1368"/>
        <w:gridCol w:w="1368"/>
      </w:tblGrid>
      <w:tr w14:paraId="0363569F" w14:textId="77777777" w:rsidTr="005964D5">
        <w:tblPrEx>
          <w:tblW w:w="91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tblPrEx>
        <w:tc>
          <w:tcPr>
            <w:tcW w:w="1710" w:type="dxa"/>
            <w:tcMar>
              <w:left w:w="29" w:type="dxa"/>
              <w:right w:w="29" w:type="dxa"/>
            </w:tcMar>
            <w:vAlign w:val="center"/>
          </w:tcPr>
          <w:p w:rsidR="00590EC2" w:rsidRPr="008F7801" w:rsidP="005964D5" w14:paraId="0CAADDFD" w14:textId="77777777">
            <w:pPr>
              <w:jc w:val="center"/>
              <w:rPr>
                <w:bCs/>
                <w:sz w:val="22"/>
                <w:szCs w:val="22"/>
              </w:rPr>
            </w:pPr>
            <w:r w:rsidRPr="008F7801">
              <w:rPr>
                <w:bCs/>
                <w:sz w:val="22"/>
                <w:szCs w:val="22"/>
              </w:rPr>
              <w:t>Type of Respondents</w:t>
            </w:r>
          </w:p>
        </w:tc>
        <w:tc>
          <w:tcPr>
            <w:tcW w:w="1998" w:type="dxa"/>
            <w:vAlign w:val="center"/>
          </w:tcPr>
          <w:p w:rsidR="00590EC2" w:rsidRPr="008F7801" w:rsidP="005964D5" w14:paraId="1212E989" w14:textId="77777777">
            <w:pPr>
              <w:jc w:val="center"/>
              <w:rPr>
                <w:bCs/>
                <w:sz w:val="22"/>
                <w:szCs w:val="22"/>
              </w:rPr>
            </w:pPr>
            <w:r w:rsidRPr="008F7801">
              <w:rPr>
                <w:bCs/>
                <w:sz w:val="22"/>
                <w:szCs w:val="22"/>
              </w:rPr>
              <w:t>Form Name</w:t>
            </w:r>
          </w:p>
        </w:tc>
        <w:tc>
          <w:tcPr>
            <w:tcW w:w="1368" w:type="dxa"/>
            <w:tcMar>
              <w:left w:w="29" w:type="dxa"/>
              <w:right w:w="29" w:type="dxa"/>
            </w:tcMar>
            <w:vAlign w:val="center"/>
          </w:tcPr>
          <w:p w:rsidR="00590EC2" w:rsidRPr="008F7801" w:rsidP="005964D5" w14:paraId="7A95F034" w14:textId="77777777">
            <w:pPr>
              <w:jc w:val="center"/>
              <w:rPr>
                <w:bCs/>
                <w:sz w:val="22"/>
                <w:szCs w:val="22"/>
              </w:rPr>
            </w:pPr>
            <w:r w:rsidRPr="008F7801">
              <w:rPr>
                <w:bCs/>
                <w:sz w:val="22"/>
                <w:szCs w:val="22"/>
              </w:rPr>
              <w:t>Number of Respondents</w:t>
            </w:r>
          </w:p>
        </w:tc>
        <w:tc>
          <w:tcPr>
            <w:tcW w:w="1368" w:type="dxa"/>
            <w:tcMar>
              <w:left w:w="29" w:type="dxa"/>
              <w:right w:w="29" w:type="dxa"/>
            </w:tcMar>
            <w:vAlign w:val="center"/>
          </w:tcPr>
          <w:p w:rsidR="00590EC2" w:rsidRPr="008F7801" w:rsidP="005964D5" w14:paraId="652CE703" w14:textId="77777777">
            <w:pPr>
              <w:jc w:val="center"/>
              <w:rPr>
                <w:bCs/>
                <w:sz w:val="22"/>
                <w:szCs w:val="22"/>
              </w:rPr>
            </w:pPr>
            <w:r w:rsidRPr="008F7801">
              <w:rPr>
                <w:bCs/>
                <w:sz w:val="22"/>
                <w:szCs w:val="22"/>
              </w:rPr>
              <w:t>Number of Responses per Respondent</w:t>
            </w:r>
          </w:p>
        </w:tc>
        <w:tc>
          <w:tcPr>
            <w:tcW w:w="1368" w:type="dxa"/>
            <w:tcMar>
              <w:left w:w="29" w:type="dxa"/>
              <w:right w:w="29" w:type="dxa"/>
            </w:tcMar>
            <w:vAlign w:val="center"/>
          </w:tcPr>
          <w:p w:rsidR="00590EC2" w:rsidRPr="008F7801" w:rsidP="005964D5" w14:paraId="06A73C21" w14:textId="77777777">
            <w:pPr>
              <w:jc w:val="center"/>
              <w:rPr>
                <w:bCs/>
                <w:sz w:val="22"/>
                <w:szCs w:val="22"/>
              </w:rPr>
            </w:pPr>
            <w:r w:rsidRPr="008F7801">
              <w:rPr>
                <w:bCs/>
                <w:sz w:val="22"/>
                <w:szCs w:val="22"/>
              </w:rPr>
              <w:t>Average Burden per Response (in hours)</w:t>
            </w:r>
          </w:p>
        </w:tc>
        <w:tc>
          <w:tcPr>
            <w:tcW w:w="1368" w:type="dxa"/>
            <w:tcMar>
              <w:left w:w="29" w:type="dxa"/>
              <w:right w:w="29" w:type="dxa"/>
            </w:tcMar>
            <w:vAlign w:val="center"/>
          </w:tcPr>
          <w:p w:rsidR="00590EC2" w:rsidRPr="008F7801" w:rsidP="005964D5" w14:paraId="58BA6FE4" w14:textId="77777777">
            <w:pPr>
              <w:jc w:val="center"/>
              <w:rPr>
                <w:bCs/>
                <w:sz w:val="22"/>
                <w:szCs w:val="22"/>
              </w:rPr>
            </w:pPr>
            <w:r w:rsidRPr="008F7801">
              <w:rPr>
                <w:bCs/>
                <w:sz w:val="22"/>
                <w:szCs w:val="22"/>
              </w:rPr>
              <w:t>Total Burden (in hours)</w:t>
            </w:r>
          </w:p>
        </w:tc>
      </w:tr>
      <w:tr w14:paraId="66C8AE82" w14:textId="77777777" w:rsidTr="004C514A">
        <w:tblPrEx>
          <w:tblW w:w="9180" w:type="dxa"/>
          <w:tblInd w:w="29" w:type="dxa"/>
          <w:tblLayout w:type="fixed"/>
          <w:tblCellMar>
            <w:left w:w="29" w:type="dxa"/>
            <w:right w:w="29" w:type="dxa"/>
          </w:tblCellMar>
          <w:tblLook w:val="01E0"/>
        </w:tblPrEx>
        <w:trPr>
          <w:trHeight w:val="530"/>
        </w:trPr>
        <w:tc>
          <w:tcPr>
            <w:tcW w:w="1710" w:type="dxa"/>
            <w:vMerge w:val="restart"/>
            <w:tcMar>
              <w:left w:w="29" w:type="dxa"/>
              <w:right w:w="29" w:type="dxa"/>
            </w:tcMar>
            <w:vAlign w:val="center"/>
          </w:tcPr>
          <w:p w:rsidR="00590EC2" w:rsidRPr="008F7801" w:rsidP="005964D5" w14:paraId="14FECE9B" w14:textId="77777777">
            <w:pPr>
              <w:rPr>
                <w:sz w:val="22"/>
                <w:szCs w:val="22"/>
              </w:rPr>
            </w:pPr>
            <w:r w:rsidRPr="008F7801">
              <w:rPr>
                <w:sz w:val="22"/>
                <w:szCs w:val="22"/>
              </w:rPr>
              <w:t>Retail managers</w:t>
            </w:r>
          </w:p>
        </w:tc>
        <w:tc>
          <w:tcPr>
            <w:tcW w:w="1998" w:type="dxa"/>
            <w:vAlign w:val="bottom"/>
          </w:tcPr>
          <w:p w:rsidR="00590EC2" w:rsidRPr="004C18A8" w:rsidP="005964D5" w14:paraId="0E48D6AB" w14:textId="77777777">
            <w:pPr>
              <w:rPr>
                <w:sz w:val="22"/>
                <w:szCs w:val="22"/>
              </w:rPr>
            </w:pPr>
            <w:r w:rsidRPr="004C18A8">
              <w:rPr>
                <w:sz w:val="22"/>
                <w:szCs w:val="22"/>
              </w:rPr>
              <w:t>Manager Telephone Recruiting Script</w:t>
            </w:r>
          </w:p>
        </w:tc>
        <w:tc>
          <w:tcPr>
            <w:tcW w:w="1368" w:type="dxa"/>
            <w:tcMar>
              <w:left w:w="29" w:type="dxa"/>
              <w:right w:w="29" w:type="dxa"/>
            </w:tcMar>
            <w:vAlign w:val="center"/>
          </w:tcPr>
          <w:p w:rsidR="00590EC2" w:rsidRPr="004C18A8" w:rsidP="004C514A" w14:paraId="1B60271B" w14:textId="77777777">
            <w:pPr>
              <w:jc w:val="center"/>
              <w:rPr>
                <w:sz w:val="22"/>
                <w:szCs w:val="22"/>
              </w:rPr>
            </w:pPr>
            <w:r w:rsidRPr="004C18A8">
              <w:rPr>
                <w:sz w:val="22"/>
                <w:szCs w:val="22"/>
              </w:rPr>
              <w:t>889</w:t>
            </w:r>
          </w:p>
        </w:tc>
        <w:tc>
          <w:tcPr>
            <w:tcW w:w="1368" w:type="dxa"/>
            <w:tcMar>
              <w:left w:w="29" w:type="dxa"/>
              <w:right w:w="29" w:type="dxa"/>
            </w:tcMar>
            <w:vAlign w:val="center"/>
          </w:tcPr>
          <w:p w:rsidR="00590EC2" w:rsidRPr="004C18A8" w:rsidP="004C514A" w14:paraId="52C8E723" w14:textId="77777777">
            <w:pPr>
              <w:jc w:val="center"/>
              <w:rPr>
                <w:sz w:val="22"/>
                <w:szCs w:val="22"/>
              </w:rPr>
            </w:pPr>
            <w:r w:rsidRPr="004C18A8">
              <w:rPr>
                <w:sz w:val="22"/>
                <w:szCs w:val="22"/>
              </w:rPr>
              <w:t>1</w:t>
            </w:r>
          </w:p>
        </w:tc>
        <w:tc>
          <w:tcPr>
            <w:tcW w:w="1368" w:type="dxa"/>
            <w:tcMar>
              <w:left w:w="29" w:type="dxa"/>
              <w:right w:w="29" w:type="dxa"/>
            </w:tcMar>
            <w:vAlign w:val="center"/>
          </w:tcPr>
          <w:p w:rsidR="00590EC2" w:rsidRPr="004C18A8" w:rsidP="004C514A" w14:paraId="005809A1" w14:textId="77777777">
            <w:pPr>
              <w:jc w:val="center"/>
              <w:rPr>
                <w:sz w:val="22"/>
                <w:szCs w:val="22"/>
              </w:rPr>
            </w:pPr>
            <w:r w:rsidRPr="004C18A8">
              <w:rPr>
                <w:sz w:val="22"/>
                <w:szCs w:val="22"/>
              </w:rPr>
              <w:t>3/60</w:t>
            </w:r>
          </w:p>
        </w:tc>
        <w:tc>
          <w:tcPr>
            <w:tcW w:w="1368" w:type="dxa"/>
            <w:tcMar>
              <w:left w:w="29" w:type="dxa"/>
              <w:right w:w="29" w:type="dxa"/>
            </w:tcMar>
            <w:vAlign w:val="center"/>
          </w:tcPr>
          <w:p w:rsidR="00590EC2" w:rsidRPr="004C18A8" w:rsidP="004C514A" w14:paraId="4C7605C8" w14:textId="77777777">
            <w:pPr>
              <w:ind w:right="151"/>
              <w:jc w:val="center"/>
              <w:rPr>
                <w:sz w:val="22"/>
                <w:szCs w:val="22"/>
              </w:rPr>
            </w:pPr>
            <w:r w:rsidRPr="004C18A8">
              <w:rPr>
                <w:sz w:val="22"/>
                <w:szCs w:val="22"/>
              </w:rPr>
              <w:t>44</w:t>
            </w:r>
          </w:p>
        </w:tc>
      </w:tr>
      <w:tr w14:paraId="640E3C2E" w14:textId="77777777" w:rsidTr="004C514A">
        <w:tblPrEx>
          <w:tblW w:w="9180" w:type="dxa"/>
          <w:tblInd w:w="29" w:type="dxa"/>
          <w:tblLayout w:type="fixed"/>
          <w:tblCellMar>
            <w:left w:w="29" w:type="dxa"/>
            <w:right w:w="29" w:type="dxa"/>
          </w:tblCellMar>
          <w:tblLook w:val="01E0"/>
        </w:tblPrEx>
        <w:tc>
          <w:tcPr>
            <w:tcW w:w="1710" w:type="dxa"/>
            <w:vMerge/>
            <w:tcMar>
              <w:left w:w="29" w:type="dxa"/>
              <w:right w:w="29" w:type="dxa"/>
            </w:tcMar>
            <w:vAlign w:val="bottom"/>
          </w:tcPr>
          <w:p w:rsidR="00590EC2" w:rsidRPr="008F7801" w:rsidP="005964D5" w14:paraId="3BDBAC2F" w14:textId="77777777">
            <w:pPr>
              <w:rPr>
                <w:sz w:val="22"/>
                <w:szCs w:val="22"/>
              </w:rPr>
            </w:pPr>
          </w:p>
        </w:tc>
        <w:tc>
          <w:tcPr>
            <w:tcW w:w="1998" w:type="dxa"/>
            <w:vAlign w:val="bottom"/>
          </w:tcPr>
          <w:p w:rsidR="00590EC2" w:rsidRPr="004C18A8" w:rsidP="005964D5" w14:paraId="756963AF" w14:textId="77777777">
            <w:pPr>
              <w:rPr>
                <w:sz w:val="22"/>
                <w:szCs w:val="22"/>
              </w:rPr>
            </w:pPr>
            <w:r w:rsidRPr="004C18A8">
              <w:rPr>
                <w:sz w:val="22"/>
                <w:szCs w:val="22"/>
              </w:rPr>
              <w:t>Manager Interview/</w:t>
            </w:r>
          </w:p>
          <w:p w:rsidR="00590EC2" w:rsidRPr="004C18A8" w:rsidP="005964D5" w14:paraId="67221DE4" w14:textId="77777777">
            <w:pPr>
              <w:rPr>
                <w:sz w:val="22"/>
                <w:szCs w:val="22"/>
              </w:rPr>
            </w:pPr>
            <w:r w:rsidRPr="004C18A8">
              <w:rPr>
                <w:sz w:val="22"/>
                <w:szCs w:val="22"/>
              </w:rPr>
              <w:t>Assessment</w:t>
            </w:r>
          </w:p>
        </w:tc>
        <w:tc>
          <w:tcPr>
            <w:tcW w:w="1368" w:type="dxa"/>
            <w:tcMar>
              <w:left w:w="29" w:type="dxa"/>
              <w:right w:w="29" w:type="dxa"/>
            </w:tcMar>
            <w:vAlign w:val="center"/>
          </w:tcPr>
          <w:p w:rsidR="00590EC2" w:rsidRPr="004C18A8" w:rsidP="004C514A" w14:paraId="22E1B4A2" w14:textId="77777777">
            <w:pPr>
              <w:jc w:val="center"/>
              <w:rPr>
                <w:sz w:val="22"/>
                <w:szCs w:val="22"/>
              </w:rPr>
            </w:pPr>
            <w:r w:rsidRPr="004C18A8">
              <w:rPr>
                <w:sz w:val="22"/>
                <w:szCs w:val="22"/>
              </w:rPr>
              <w:t>400</w:t>
            </w:r>
          </w:p>
        </w:tc>
        <w:tc>
          <w:tcPr>
            <w:tcW w:w="1368" w:type="dxa"/>
            <w:tcMar>
              <w:left w:w="29" w:type="dxa"/>
              <w:right w:w="29" w:type="dxa"/>
            </w:tcMar>
            <w:vAlign w:val="center"/>
          </w:tcPr>
          <w:p w:rsidR="00590EC2" w:rsidRPr="004C18A8" w:rsidP="004C514A" w14:paraId="47DB678B" w14:textId="77777777">
            <w:pPr>
              <w:jc w:val="center"/>
              <w:rPr>
                <w:sz w:val="22"/>
                <w:szCs w:val="22"/>
              </w:rPr>
            </w:pPr>
            <w:r w:rsidRPr="004C18A8">
              <w:rPr>
                <w:sz w:val="22"/>
                <w:szCs w:val="22"/>
              </w:rPr>
              <w:t>1</w:t>
            </w:r>
          </w:p>
        </w:tc>
        <w:tc>
          <w:tcPr>
            <w:tcW w:w="1368" w:type="dxa"/>
            <w:tcMar>
              <w:left w:w="29" w:type="dxa"/>
              <w:right w:w="29" w:type="dxa"/>
            </w:tcMar>
            <w:vAlign w:val="center"/>
          </w:tcPr>
          <w:p w:rsidR="00590EC2" w:rsidRPr="004C18A8" w:rsidP="004C514A" w14:paraId="47201E48" w14:textId="77777777">
            <w:pPr>
              <w:jc w:val="center"/>
              <w:rPr>
                <w:sz w:val="22"/>
                <w:szCs w:val="22"/>
              </w:rPr>
            </w:pPr>
            <w:r w:rsidRPr="004C18A8">
              <w:rPr>
                <w:sz w:val="22"/>
                <w:szCs w:val="22"/>
              </w:rPr>
              <w:t>30/60</w:t>
            </w:r>
          </w:p>
        </w:tc>
        <w:tc>
          <w:tcPr>
            <w:tcW w:w="1368" w:type="dxa"/>
            <w:tcMar>
              <w:left w:w="29" w:type="dxa"/>
              <w:right w:w="29" w:type="dxa"/>
            </w:tcMar>
            <w:vAlign w:val="center"/>
          </w:tcPr>
          <w:p w:rsidR="00590EC2" w:rsidRPr="004C18A8" w:rsidP="004C514A" w14:paraId="36368161" w14:textId="77777777">
            <w:pPr>
              <w:ind w:right="151"/>
              <w:jc w:val="center"/>
              <w:rPr>
                <w:sz w:val="22"/>
                <w:szCs w:val="22"/>
              </w:rPr>
            </w:pPr>
            <w:r w:rsidRPr="004C18A8">
              <w:rPr>
                <w:sz w:val="22"/>
                <w:szCs w:val="22"/>
              </w:rPr>
              <w:t>200</w:t>
            </w:r>
          </w:p>
        </w:tc>
      </w:tr>
      <w:tr w14:paraId="756BB73A" w14:textId="77777777" w:rsidTr="004C514A">
        <w:tblPrEx>
          <w:tblW w:w="9180" w:type="dxa"/>
          <w:tblInd w:w="29" w:type="dxa"/>
          <w:tblLayout w:type="fixed"/>
          <w:tblCellMar>
            <w:left w:w="29" w:type="dxa"/>
            <w:right w:w="29" w:type="dxa"/>
          </w:tblCellMar>
          <w:tblLook w:val="01E0"/>
        </w:tblPrEx>
        <w:trPr>
          <w:trHeight w:hRule="exact" w:val="361"/>
        </w:trPr>
        <w:tc>
          <w:tcPr>
            <w:tcW w:w="1710" w:type="dxa"/>
            <w:vMerge/>
            <w:tcMar>
              <w:left w:w="29" w:type="dxa"/>
              <w:right w:w="29" w:type="dxa"/>
            </w:tcMar>
            <w:vAlign w:val="bottom"/>
          </w:tcPr>
          <w:p w:rsidR="00590EC2" w:rsidRPr="008F7801" w:rsidP="005964D5" w14:paraId="112797AA" w14:textId="77777777">
            <w:pPr>
              <w:rPr>
                <w:sz w:val="22"/>
                <w:szCs w:val="22"/>
              </w:rPr>
            </w:pPr>
          </w:p>
        </w:tc>
        <w:tc>
          <w:tcPr>
            <w:tcW w:w="1998" w:type="dxa"/>
            <w:vAlign w:val="center"/>
          </w:tcPr>
          <w:p w:rsidR="00590EC2" w:rsidRPr="004C18A8" w:rsidP="005964D5" w14:paraId="36F21E43" w14:textId="77777777">
            <w:pPr>
              <w:rPr>
                <w:sz w:val="22"/>
                <w:szCs w:val="22"/>
              </w:rPr>
            </w:pPr>
            <w:r w:rsidRPr="004C18A8">
              <w:rPr>
                <w:sz w:val="22"/>
                <w:szCs w:val="22"/>
              </w:rPr>
              <w:t>Observation</w:t>
            </w:r>
          </w:p>
        </w:tc>
        <w:tc>
          <w:tcPr>
            <w:tcW w:w="1368" w:type="dxa"/>
            <w:tcMar>
              <w:left w:w="29" w:type="dxa"/>
              <w:right w:w="29" w:type="dxa"/>
            </w:tcMar>
            <w:vAlign w:val="center"/>
          </w:tcPr>
          <w:p w:rsidR="00590EC2" w:rsidRPr="004C18A8" w:rsidP="004C514A" w14:paraId="017FD173" w14:textId="77777777">
            <w:pPr>
              <w:jc w:val="center"/>
              <w:rPr>
                <w:sz w:val="22"/>
                <w:szCs w:val="22"/>
              </w:rPr>
            </w:pPr>
            <w:r w:rsidRPr="004C18A8">
              <w:rPr>
                <w:sz w:val="22"/>
                <w:szCs w:val="22"/>
              </w:rPr>
              <w:t>400</w:t>
            </w:r>
          </w:p>
        </w:tc>
        <w:tc>
          <w:tcPr>
            <w:tcW w:w="1368" w:type="dxa"/>
            <w:tcMar>
              <w:left w:w="29" w:type="dxa"/>
              <w:right w:w="29" w:type="dxa"/>
            </w:tcMar>
            <w:vAlign w:val="center"/>
          </w:tcPr>
          <w:p w:rsidR="00590EC2" w:rsidRPr="004C18A8" w:rsidP="004C514A" w14:paraId="1F92EBD7" w14:textId="77777777">
            <w:pPr>
              <w:jc w:val="center"/>
              <w:rPr>
                <w:sz w:val="22"/>
                <w:szCs w:val="22"/>
              </w:rPr>
            </w:pPr>
            <w:r w:rsidRPr="004C18A8">
              <w:rPr>
                <w:sz w:val="22"/>
                <w:szCs w:val="22"/>
              </w:rPr>
              <w:t>1</w:t>
            </w:r>
          </w:p>
        </w:tc>
        <w:tc>
          <w:tcPr>
            <w:tcW w:w="1368" w:type="dxa"/>
            <w:tcMar>
              <w:left w:w="29" w:type="dxa"/>
              <w:right w:w="29" w:type="dxa"/>
            </w:tcMar>
            <w:vAlign w:val="center"/>
          </w:tcPr>
          <w:p w:rsidR="00590EC2" w:rsidRPr="004C18A8" w:rsidP="004C514A" w14:paraId="626E6062" w14:textId="77777777">
            <w:pPr>
              <w:jc w:val="center"/>
              <w:rPr>
                <w:sz w:val="22"/>
                <w:szCs w:val="22"/>
              </w:rPr>
            </w:pPr>
            <w:r w:rsidRPr="004C18A8">
              <w:rPr>
                <w:sz w:val="22"/>
                <w:szCs w:val="22"/>
              </w:rPr>
              <w:t>30/60</w:t>
            </w:r>
          </w:p>
        </w:tc>
        <w:tc>
          <w:tcPr>
            <w:tcW w:w="1368" w:type="dxa"/>
            <w:tcMar>
              <w:left w:w="29" w:type="dxa"/>
              <w:right w:w="29" w:type="dxa"/>
            </w:tcMar>
            <w:vAlign w:val="center"/>
          </w:tcPr>
          <w:p w:rsidR="00590EC2" w:rsidRPr="004C18A8" w:rsidP="004C514A" w14:paraId="3F748DAB" w14:textId="77777777">
            <w:pPr>
              <w:ind w:right="151"/>
              <w:jc w:val="center"/>
              <w:rPr>
                <w:sz w:val="22"/>
                <w:szCs w:val="22"/>
              </w:rPr>
            </w:pPr>
            <w:r w:rsidRPr="004C18A8">
              <w:rPr>
                <w:sz w:val="22"/>
                <w:szCs w:val="22"/>
              </w:rPr>
              <w:t>200</w:t>
            </w:r>
          </w:p>
        </w:tc>
      </w:tr>
      <w:tr w14:paraId="1C517A82" w14:textId="77777777" w:rsidTr="004C514A">
        <w:tblPrEx>
          <w:tblW w:w="9180" w:type="dxa"/>
          <w:tblInd w:w="29" w:type="dxa"/>
          <w:tblLayout w:type="fixed"/>
          <w:tblCellMar>
            <w:left w:w="29" w:type="dxa"/>
            <w:right w:w="29" w:type="dxa"/>
          </w:tblCellMar>
          <w:tblLook w:val="01E0"/>
        </w:tblPrEx>
        <w:trPr>
          <w:trHeight w:hRule="exact" w:val="748"/>
        </w:trPr>
        <w:tc>
          <w:tcPr>
            <w:tcW w:w="1710" w:type="dxa"/>
            <w:vMerge w:val="restart"/>
            <w:tcMar>
              <w:left w:w="29" w:type="dxa"/>
              <w:right w:w="29" w:type="dxa"/>
            </w:tcMar>
            <w:vAlign w:val="center"/>
          </w:tcPr>
          <w:p w:rsidR="00590EC2" w:rsidRPr="008F7801" w:rsidP="005964D5" w14:paraId="406131AB" w14:textId="77777777">
            <w:pPr>
              <w:rPr>
                <w:sz w:val="22"/>
                <w:szCs w:val="22"/>
              </w:rPr>
            </w:pPr>
            <w:r w:rsidRPr="008F7801">
              <w:rPr>
                <w:sz w:val="22"/>
                <w:szCs w:val="22"/>
              </w:rPr>
              <w:t>Retail food workers</w:t>
            </w:r>
          </w:p>
        </w:tc>
        <w:tc>
          <w:tcPr>
            <w:tcW w:w="1998" w:type="dxa"/>
            <w:vAlign w:val="bottom"/>
          </w:tcPr>
          <w:p w:rsidR="00590EC2" w:rsidRPr="004C18A8" w:rsidP="005964D5" w14:paraId="6BBB41DD" w14:textId="77777777">
            <w:pPr>
              <w:rPr>
                <w:sz w:val="22"/>
                <w:szCs w:val="22"/>
              </w:rPr>
            </w:pPr>
            <w:r w:rsidRPr="004C18A8">
              <w:rPr>
                <w:sz w:val="22"/>
                <w:szCs w:val="22"/>
              </w:rPr>
              <w:t>Worker</w:t>
            </w:r>
          </w:p>
          <w:p w:rsidR="00590EC2" w:rsidRPr="004C18A8" w:rsidP="005964D5" w14:paraId="09DAA5D6" w14:textId="77777777">
            <w:pPr>
              <w:rPr>
                <w:sz w:val="22"/>
                <w:szCs w:val="22"/>
              </w:rPr>
            </w:pPr>
            <w:r w:rsidRPr="004C18A8">
              <w:rPr>
                <w:sz w:val="22"/>
                <w:szCs w:val="22"/>
              </w:rPr>
              <w:t>Recruiting/Informed Consent Script</w:t>
            </w:r>
          </w:p>
        </w:tc>
        <w:tc>
          <w:tcPr>
            <w:tcW w:w="1368" w:type="dxa"/>
            <w:tcMar>
              <w:left w:w="29" w:type="dxa"/>
              <w:right w:w="29" w:type="dxa"/>
            </w:tcMar>
            <w:vAlign w:val="center"/>
          </w:tcPr>
          <w:p w:rsidR="00590EC2" w:rsidRPr="004C18A8" w:rsidP="004C514A" w14:paraId="2418C19C" w14:textId="77777777">
            <w:pPr>
              <w:jc w:val="center"/>
              <w:rPr>
                <w:sz w:val="22"/>
                <w:szCs w:val="22"/>
              </w:rPr>
            </w:pPr>
            <w:r w:rsidRPr="004C18A8">
              <w:rPr>
                <w:sz w:val="22"/>
                <w:szCs w:val="22"/>
              </w:rPr>
              <w:t>2,000</w:t>
            </w:r>
          </w:p>
        </w:tc>
        <w:tc>
          <w:tcPr>
            <w:tcW w:w="1368" w:type="dxa"/>
            <w:tcMar>
              <w:left w:w="29" w:type="dxa"/>
              <w:right w:w="29" w:type="dxa"/>
            </w:tcMar>
            <w:vAlign w:val="center"/>
          </w:tcPr>
          <w:p w:rsidR="00590EC2" w:rsidRPr="004C18A8" w:rsidP="004C514A" w14:paraId="64C8405B" w14:textId="77777777">
            <w:pPr>
              <w:jc w:val="center"/>
              <w:rPr>
                <w:sz w:val="22"/>
                <w:szCs w:val="22"/>
              </w:rPr>
            </w:pPr>
            <w:r w:rsidRPr="004C18A8">
              <w:rPr>
                <w:sz w:val="22"/>
                <w:szCs w:val="22"/>
              </w:rPr>
              <w:t>1</w:t>
            </w:r>
          </w:p>
        </w:tc>
        <w:tc>
          <w:tcPr>
            <w:tcW w:w="1368" w:type="dxa"/>
            <w:tcMar>
              <w:left w:w="29" w:type="dxa"/>
              <w:right w:w="29" w:type="dxa"/>
            </w:tcMar>
            <w:vAlign w:val="center"/>
          </w:tcPr>
          <w:p w:rsidR="00590EC2" w:rsidRPr="004C18A8" w:rsidP="004C514A" w14:paraId="7159D638" w14:textId="77777777">
            <w:pPr>
              <w:jc w:val="center"/>
              <w:rPr>
                <w:sz w:val="22"/>
                <w:szCs w:val="22"/>
              </w:rPr>
            </w:pPr>
            <w:r w:rsidRPr="004C18A8">
              <w:rPr>
                <w:sz w:val="22"/>
                <w:szCs w:val="22"/>
              </w:rPr>
              <w:t>2/60</w:t>
            </w:r>
          </w:p>
        </w:tc>
        <w:tc>
          <w:tcPr>
            <w:tcW w:w="1368" w:type="dxa"/>
            <w:tcMar>
              <w:left w:w="29" w:type="dxa"/>
              <w:right w:w="29" w:type="dxa"/>
            </w:tcMar>
            <w:vAlign w:val="center"/>
          </w:tcPr>
          <w:p w:rsidR="00590EC2" w:rsidRPr="004C18A8" w:rsidP="004C514A" w14:paraId="1E7C2984" w14:textId="77777777">
            <w:pPr>
              <w:ind w:right="151"/>
              <w:jc w:val="center"/>
              <w:rPr>
                <w:sz w:val="22"/>
                <w:szCs w:val="22"/>
              </w:rPr>
            </w:pPr>
            <w:r w:rsidRPr="004C18A8">
              <w:rPr>
                <w:sz w:val="22"/>
                <w:szCs w:val="22"/>
              </w:rPr>
              <w:t>67</w:t>
            </w:r>
          </w:p>
        </w:tc>
      </w:tr>
      <w:tr w14:paraId="2581DE28" w14:textId="77777777" w:rsidTr="004C514A">
        <w:tblPrEx>
          <w:tblW w:w="9180" w:type="dxa"/>
          <w:tblInd w:w="29" w:type="dxa"/>
          <w:tblLayout w:type="fixed"/>
          <w:tblCellMar>
            <w:left w:w="29" w:type="dxa"/>
            <w:right w:w="29" w:type="dxa"/>
          </w:tblCellMar>
          <w:tblLook w:val="01E0"/>
        </w:tblPrEx>
        <w:trPr>
          <w:trHeight w:hRule="exact" w:val="586"/>
        </w:trPr>
        <w:tc>
          <w:tcPr>
            <w:tcW w:w="1710" w:type="dxa"/>
            <w:vMerge/>
            <w:tcMar>
              <w:left w:w="29" w:type="dxa"/>
              <w:right w:w="29" w:type="dxa"/>
            </w:tcMar>
            <w:vAlign w:val="bottom"/>
          </w:tcPr>
          <w:p w:rsidR="00590EC2" w:rsidRPr="008F7801" w:rsidP="005964D5" w14:paraId="7CD580A0" w14:textId="77777777">
            <w:pPr>
              <w:rPr>
                <w:sz w:val="22"/>
                <w:szCs w:val="22"/>
              </w:rPr>
            </w:pPr>
          </w:p>
        </w:tc>
        <w:tc>
          <w:tcPr>
            <w:tcW w:w="1998" w:type="dxa"/>
            <w:vAlign w:val="bottom"/>
          </w:tcPr>
          <w:p w:rsidR="00590EC2" w:rsidRPr="004C18A8" w:rsidP="005964D5" w14:paraId="25B46B32" w14:textId="77777777">
            <w:pPr>
              <w:rPr>
                <w:sz w:val="22"/>
                <w:szCs w:val="22"/>
              </w:rPr>
            </w:pPr>
            <w:r w:rsidRPr="004C18A8">
              <w:rPr>
                <w:sz w:val="22"/>
                <w:szCs w:val="22"/>
              </w:rPr>
              <w:t>Worker Interview/</w:t>
            </w:r>
          </w:p>
          <w:p w:rsidR="00590EC2" w:rsidRPr="004C18A8" w:rsidP="005964D5" w14:paraId="15811464" w14:textId="77777777">
            <w:pPr>
              <w:rPr>
                <w:sz w:val="22"/>
                <w:szCs w:val="22"/>
              </w:rPr>
            </w:pPr>
            <w:r w:rsidRPr="004C18A8">
              <w:rPr>
                <w:sz w:val="22"/>
                <w:szCs w:val="22"/>
              </w:rPr>
              <w:t>Assessment</w:t>
            </w:r>
          </w:p>
        </w:tc>
        <w:tc>
          <w:tcPr>
            <w:tcW w:w="1368" w:type="dxa"/>
            <w:tcMar>
              <w:left w:w="29" w:type="dxa"/>
              <w:right w:w="29" w:type="dxa"/>
            </w:tcMar>
            <w:vAlign w:val="center"/>
          </w:tcPr>
          <w:p w:rsidR="00590EC2" w:rsidRPr="004C18A8" w:rsidP="004C514A" w14:paraId="13F7EEC9" w14:textId="77777777">
            <w:pPr>
              <w:jc w:val="center"/>
              <w:rPr>
                <w:sz w:val="22"/>
                <w:szCs w:val="22"/>
              </w:rPr>
            </w:pPr>
            <w:r w:rsidRPr="004C18A8">
              <w:rPr>
                <w:sz w:val="22"/>
                <w:szCs w:val="22"/>
              </w:rPr>
              <w:t>2,000</w:t>
            </w:r>
          </w:p>
        </w:tc>
        <w:tc>
          <w:tcPr>
            <w:tcW w:w="1368" w:type="dxa"/>
            <w:tcMar>
              <w:left w:w="29" w:type="dxa"/>
              <w:right w:w="29" w:type="dxa"/>
            </w:tcMar>
            <w:vAlign w:val="center"/>
          </w:tcPr>
          <w:p w:rsidR="00590EC2" w:rsidRPr="004C18A8" w:rsidP="004C514A" w14:paraId="2990602D" w14:textId="77777777">
            <w:pPr>
              <w:jc w:val="center"/>
              <w:rPr>
                <w:sz w:val="22"/>
                <w:szCs w:val="22"/>
              </w:rPr>
            </w:pPr>
            <w:r w:rsidRPr="004C18A8">
              <w:rPr>
                <w:sz w:val="22"/>
                <w:szCs w:val="22"/>
              </w:rPr>
              <w:t>1</w:t>
            </w:r>
          </w:p>
        </w:tc>
        <w:tc>
          <w:tcPr>
            <w:tcW w:w="1368" w:type="dxa"/>
            <w:tcMar>
              <w:left w:w="29" w:type="dxa"/>
              <w:right w:w="29" w:type="dxa"/>
            </w:tcMar>
            <w:vAlign w:val="center"/>
          </w:tcPr>
          <w:p w:rsidR="00590EC2" w:rsidRPr="004C18A8" w:rsidP="004C514A" w14:paraId="22C658F2" w14:textId="77777777">
            <w:pPr>
              <w:jc w:val="center"/>
              <w:rPr>
                <w:sz w:val="22"/>
                <w:szCs w:val="22"/>
              </w:rPr>
            </w:pPr>
            <w:r w:rsidRPr="004C18A8">
              <w:rPr>
                <w:sz w:val="22"/>
                <w:szCs w:val="22"/>
              </w:rPr>
              <w:t>10/60</w:t>
            </w:r>
          </w:p>
        </w:tc>
        <w:tc>
          <w:tcPr>
            <w:tcW w:w="1368" w:type="dxa"/>
            <w:tcMar>
              <w:left w:w="29" w:type="dxa"/>
              <w:right w:w="29" w:type="dxa"/>
            </w:tcMar>
            <w:vAlign w:val="center"/>
          </w:tcPr>
          <w:p w:rsidR="00590EC2" w:rsidRPr="004C18A8" w:rsidP="004C514A" w14:paraId="2E4EF10A" w14:textId="77777777">
            <w:pPr>
              <w:ind w:right="151"/>
              <w:jc w:val="center"/>
              <w:rPr>
                <w:sz w:val="22"/>
                <w:szCs w:val="22"/>
              </w:rPr>
            </w:pPr>
            <w:r w:rsidRPr="004C18A8">
              <w:rPr>
                <w:sz w:val="22"/>
                <w:szCs w:val="22"/>
              </w:rPr>
              <w:t>333</w:t>
            </w:r>
          </w:p>
        </w:tc>
      </w:tr>
      <w:tr w14:paraId="09EFA032" w14:textId="77777777" w:rsidTr="004C514A">
        <w:tblPrEx>
          <w:tblW w:w="9180" w:type="dxa"/>
          <w:tblInd w:w="29" w:type="dxa"/>
          <w:tblLayout w:type="fixed"/>
          <w:tblCellMar>
            <w:left w:w="29" w:type="dxa"/>
            <w:right w:w="29" w:type="dxa"/>
          </w:tblCellMar>
          <w:tblLook w:val="01E0"/>
        </w:tblPrEx>
        <w:trPr>
          <w:trHeight w:hRule="exact" w:val="370"/>
        </w:trPr>
        <w:tc>
          <w:tcPr>
            <w:tcW w:w="1710" w:type="dxa"/>
            <w:tcMar>
              <w:left w:w="29" w:type="dxa"/>
              <w:right w:w="29" w:type="dxa"/>
            </w:tcMar>
            <w:vAlign w:val="bottom"/>
          </w:tcPr>
          <w:p w:rsidR="00590EC2" w:rsidRPr="008F7801" w:rsidP="005964D5" w14:paraId="02346FFD" w14:textId="77777777">
            <w:pPr>
              <w:rPr>
                <w:sz w:val="22"/>
                <w:szCs w:val="22"/>
              </w:rPr>
            </w:pPr>
            <w:r w:rsidRPr="008F7801">
              <w:rPr>
                <w:sz w:val="22"/>
                <w:szCs w:val="22"/>
              </w:rPr>
              <w:t>Total</w:t>
            </w:r>
          </w:p>
        </w:tc>
        <w:tc>
          <w:tcPr>
            <w:tcW w:w="1998" w:type="dxa"/>
            <w:vAlign w:val="bottom"/>
          </w:tcPr>
          <w:p w:rsidR="00590EC2" w:rsidRPr="008F7801" w:rsidP="005964D5" w14:paraId="30B8ED04" w14:textId="77777777">
            <w:pPr>
              <w:rPr>
                <w:sz w:val="22"/>
                <w:szCs w:val="22"/>
              </w:rPr>
            </w:pPr>
          </w:p>
        </w:tc>
        <w:tc>
          <w:tcPr>
            <w:tcW w:w="1368" w:type="dxa"/>
            <w:tcMar>
              <w:left w:w="29" w:type="dxa"/>
              <w:right w:w="29" w:type="dxa"/>
            </w:tcMar>
            <w:vAlign w:val="center"/>
          </w:tcPr>
          <w:p w:rsidR="00590EC2" w:rsidRPr="008F7801" w:rsidP="004C514A" w14:paraId="41697D75" w14:textId="77777777">
            <w:pPr>
              <w:jc w:val="center"/>
              <w:rPr>
                <w:sz w:val="22"/>
                <w:szCs w:val="22"/>
              </w:rPr>
            </w:pPr>
          </w:p>
        </w:tc>
        <w:tc>
          <w:tcPr>
            <w:tcW w:w="1368" w:type="dxa"/>
            <w:tcMar>
              <w:left w:w="29" w:type="dxa"/>
              <w:right w:w="29" w:type="dxa"/>
            </w:tcMar>
            <w:vAlign w:val="center"/>
          </w:tcPr>
          <w:p w:rsidR="00590EC2" w:rsidRPr="008F7801" w:rsidP="004C514A" w14:paraId="06FEDB88" w14:textId="77777777">
            <w:pPr>
              <w:jc w:val="center"/>
              <w:rPr>
                <w:sz w:val="22"/>
                <w:szCs w:val="22"/>
              </w:rPr>
            </w:pPr>
          </w:p>
        </w:tc>
        <w:tc>
          <w:tcPr>
            <w:tcW w:w="1368" w:type="dxa"/>
            <w:tcMar>
              <w:left w:w="29" w:type="dxa"/>
              <w:right w:w="29" w:type="dxa"/>
            </w:tcMar>
            <w:vAlign w:val="center"/>
          </w:tcPr>
          <w:p w:rsidR="00590EC2" w:rsidRPr="008F7801" w:rsidP="004C514A" w14:paraId="7A38A4B4" w14:textId="77777777">
            <w:pPr>
              <w:jc w:val="center"/>
              <w:rPr>
                <w:sz w:val="22"/>
                <w:szCs w:val="22"/>
              </w:rPr>
            </w:pPr>
          </w:p>
        </w:tc>
        <w:tc>
          <w:tcPr>
            <w:tcW w:w="1368" w:type="dxa"/>
            <w:tcMar>
              <w:left w:w="29" w:type="dxa"/>
              <w:right w:w="29" w:type="dxa"/>
            </w:tcMar>
            <w:vAlign w:val="center"/>
          </w:tcPr>
          <w:p w:rsidR="00590EC2" w:rsidRPr="008F7801" w:rsidP="004C514A" w14:paraId="6A138559" w14:textId="77777777">
            <w:pPr>
              <w:ind w:right="151"/>
              <w:jc w:val="center"/>
              <w:rPr>
                <w:sz w:val="22"/>
                <w:szCs w:val="22"/>
              </w:rPr>
            </w:pPr>
            <w:r w:rsidRPr="008F7801">
              <w:rPr>
                <w:sz w:val="22"/>
                <w:szCs w:val="22"/>
              </w:rPr>
              <w:t>844</w:t>
            </w:r>
          </w:p>
        </w:tc>
      </w:tr>
    </w:tbl>
    <w:p w:rsidR="00590EC2" w:rsidRPr="008F7801" w:rsidP="000F1AF0" w14:paraId="48E1511D" w14:textId="77777777">
      <w:pPr>
        <w:rPr>
          <w:b/>
          <w:sz w:val="22"/>
          <w:szCs w:val="22"/>
        </w:rPr>
      </w:pPr>
    </w:p>
    <w:p w:rsidR="00814657" w:rsidRPr="008F7801" w:rsidP="00814657" w14:paraId="06F1B329" w14:textId="77777777">
      <w:pPr>
        <w:autoSpaceDE w:val="0"/>
        <w:autoSpaceDN w:val="0"/>
        <w:adjustRightInd w:val="0"/>
        <w:ind w:left="270" w:firstLine="18"/>
        <w:rPr>
          <w:b/>
          <w:color w:val="FF0000"/>
          <w:sz w:val="22"/>
          <w:szCs w:val="22"/>
        </w:rPr>
      </w:pPr>
    </w:p>
    <w:bookmarkEnd w:id="5"/>
    <w:p w:rsidR="00C157F8" w:rsidRPr="008F7801" w:rsidP="0072010C" w14:paraId="0172D569" w14:textId="70E05378">
      <w:pPr>
        <w:autoSpaceDE w:val="0"/>
        <w:autoSpaceDN w:val="0"/>
        <w:adjustRightInd w:val="0"/>
        <w:rPr>
          <w:b/>
          <w:sz w:val="22"/>
          <w:szCs w:val="22"/>
        </w:rPr>
      </w:pPr>
      <w:r w:rsidRPr="008F7801">
        <w:rPr>
          <w:b/>
          <w:sz w:val="22"/>
          <w:szCs w:val="22"/>
        </w:rPr>
        <w:t>A.12</w:t>
      </w:r>
      <w:r w:rsidR="008543A9">
        <w:rPr>
          <w:b/>
          <w:sz w:val="22"/>
          <w:szCs w:val="22"/>
        </w:rPr>
        <w:t>.</w:t>
      </w:r>
      <w:r w:rsidRPr="008F7801">
        <w:rPr>
          <w:b/>
          <w:sz w:val="22"/>
          <w:szCs w:val="22"/>
        </w:rPr>
        <w:t>2</w:t>
      </w:r>
      <w:r w:rsidR="004A0001">
        <w:rPr>
          <w:b/>
          <w:sz w:val="22"/>
          <w:szCs w:val="22"/>
        </w:rPr>
        <w:t>.</w:t>
      </w:r>
      <w:r w:rsidRPr="008F7801">
        <w:rPr>
          <w:b/>
          <w:sz w:val="22"/>
          <w:szCs w:val="22"/>
        </w:rPr>
        <w:t xml:space="preserve"> Annualized Cost to Respondents</w:t>
      </w:r>
    </w:p>
    <w:p w:rsidR="00A94E7A" w:rsidRPr="008F7801" w:rsidP="0072010C" w14:paraId="2D71C263" w14:textId="77777777">
      <w:pPr>
        <w:autoSpaceDE w:val="0"/>
        <w:autoSpaceDN w:val="0"/>
        <w:adjustRightInd w:val="0"/>
        <w:rPr>
          <w:sz w:val="22"/>
          <w:szCs w:val="22"/>
        </w:rPr>
      </w:pPr>
    </w:p>
    <w:p w:rsidR="00235F8B" w:rsidRPr="008F7801" w:rsidP="00235F8B" w14:paraId="003B0E03" w14:textId="50AE7790">
      <w:pPr>
        <w:rPr>
          <w:b/>
          <w:sz w:val="22"/>
          <w:szCs w:val="22"/>
        </w:rPr>
      </w:pPr>
      <w:r w:rsidRPr="008F7801">
        <w:rPr>
          <w:sz w:val="22"/>
          <w:szCs w:val="22"/>
        </w:rPr>
        <w:t xml:space="preserve">The maximum total annualized cost of this data collection to respondents is estimated </w:t>
      </w:r>
      <w:r w:rsidRPr="008F7801" w:rsidR="00590EC2">
        <w:rPr>
          <w:sz w:val="22"/>
          <w:szCs w:val="22"/>
        </w:rPr>
        <w:t xml:space="preserve">in </w:t>
      </w:r>
      <w:r w:rsidRPr="008F7801">
        <w:rPr>
          <w:sz w:val="22"/>
          <w:szCs w:val="22"/>
        </w:rPr>
        <w:t>Table 12-2. This figure is based on an estimated mean hourly wage of $</w:t>
      </w:r>
      <w:r w:rsidR="00950CB5">
        <w:rPr>
          <w:sz w:val="22"/>
          <w:szCs w:val="22"/>
        </w:rPr>
        <w:t>20.82</w:t>
      </w:r>
      <w:r w:rsidRPr="008F7801">
        <w:rPr>
          <w:sz w:val="22"/>
          <w:szCs w:val="22"/>
        </w:rPr>
        <w:t xml:space="preserve"> for managers </w:t>
      </w:r>
      <w:r w:rsidRPr="008F7801" w:rsidR="00590EC2">
        <w:rPr>
          <w:sz w:val="22"/>
          <w:szCs w:val="22"/>
        </w:rPr>
        <w:t xml:space="preserve">(occupational code 35-1012) </w:t>
      </w:r>
      <w:r w:rsidRPr="008F7801">
        <w:rPr>
          <w:sz w:val="22"/>
          <w:szCs w:val="22"/>
        </w:rPr>
        <w:t>and $</w:t>
      </w:r>
      <w:r w:rsidR="0056160C">
        <w:rPr>
          <w:sz w:val="22"/>
          <w:szCs w:val="22"/>
        </w:rPr>
        <w:t>16.35</w:t>
      </w:r>
      <w:r w:rsidRPr="008F7801">
        <w:rPr>
          <w:sz w:val="22"/>
          <w:szCs w:val="22"/>
        </w:rPr>
        <w:t xml:space="preserve"> for workers</w:t>
      </w:r>
      <w:r w:rsidRPr="008F7801" w:rsidR="00802B62">
        <w:rPr>
          <w:sz w:val="22"/>
          <w:szCs w:val="22"/>
        </w:rPr>
        <w:t xml:space="preserve"> (occupational code 35-2000)</w:t>
      </w:r>
      <w:r w:rsidRPr="008F7801">
        <w:rPr>
          <w:sz w:val="22"/>
          <w:szCs w:val="22"/>
        </w:rPr>
        <w:t>. These estimated hourly wages were obtained from the U.S. Department of Labor Bureau of Labor Statistics 20</w:t>
      </w:r>
      <w:r w:rsidR="00C3390E">
        <w:rPr>
          <w:sz w:val="22"/>
          <w:szCs w:val="22"/>
        </w:rPr>
        <w:t>23</w:t>
      </w:r>
      <w:r w:rsidRPr="008F7801">
        <w:rPr>
          <w:sz w:val="22"/>
          <w:szCs w:val="22"/>
        </w:rPr>
        <w:t xml:space="preserve"> </w:t>
      </w:r>
      <w:r w:rsidRPr="008F7801" w:rsidR="00802B62">
        <w:rPr>
          <w:sz w:val="22"/>
          <w:szCs w:val="22"/>
        </w:rPr>
        <w:t>N</w:t>
      </w:r>
      <w:r w:rsidRPr="008F7801">
        <w:rPr>
          <w:sz w:val="22"/>
          <w:szCs w:val="22"/>
        </w:rPr>
        <w:t xml:space="preserve">ational </w:t>
      </w:r>
      <w:r w:rsidRPr="008F7801" w:rsidR="00802B62">
        <w:rPr>
          <w:sz w:val="22"/>
          <w:szCs w:val="22"/>
        </w:rPr>
        <w:t>O</w:t>
      </w:r>
      <w:r w:rsidRPr="008F7801">
        <w:rPr>
          <w:sz w:val="22"/>
          <w:szCs w:val="22"/>
        </w:rPr>
        <w:t xml:space="preserve">ccupational </w:t>
      </w:r>
      <w:r w:rsidRPr="008F7801" w:rsidR="00802B62">
        <w:rPr>
          <w:sz w:val="22"/>
          <w:szCs w:val="22"/>
        </w:rPr>
        <w:t>E</w:t>
      </w:r>
      <w:r w:rsidRPr="008F7801">
        <w:rPr>
          <w:sz w:val="22"/>
          <w:szCs w:val="22"/>
        </w:rPr>
        <w:t xml:space="preserve">mployment and </w:t>
      </w:r>
      <w:r w:rsidRPr="008F7801" w:rsidR="00802B62">
        <w:rPr>
          <w:sz w:val="22"/>
          <w:szCs w:val="22"/>
        </w:rPr>
        <w:t>W</w:t>
      </w:r>
      <w:r w:rsidRPr="008F7801">
        <w:rPr>
          <w:sz w:val="22"/>
          <w:szCs w:val="22"/>
        </w:rPr>
        <w:t xml:space="preserve">age </w:t>
      </w:r>
      <w:r w:rsidRPr="008F7801" w:rsidR="00802B62">
        <w:rPr>
          <w:sz w:val="22"/>
          <w:szCs w:val="22"/>
        </w:rPr>
        <w:t>E</w:t>
      </w:r>
      <w:r w:rsidRPr="008F7801">
        <w:rPr>
          <w:sz w:val="22"/>
          <w:szCs w:val="22"/>
        </w:rPr>
        <w:t>stimates (</w:t>
      </w:r>
      <w:hyperlink r:id="rId10" w:history="1">
        <w:r w:rsidRPr="008F7801" w:rsidR="00590EC2">
          <w:rPr>
            <w:rStyle w:val="Hyperlink"/>
            <w:sz w:val="22"/>
            <w:szCs w:val="22"/>
          </w:rPr>
          <w:t>https://stats.bls.gov/oes/current/oes_nat.htm</w:t>
        </w:r>
      </w:hyperlink>
      <w:r w:rsidRPr="008F7801">
        <w:rPr>
          <w:sz w:val="22"/>
          <w:szCs w:val="22"/>
        </w:rPr>
        <w:t>).</w:t>
      </w:r>
    </w:p>
    <w:p w:rsidR="00235F8B" w:rsidRPr="008F7801" w:rsidP="00235F8B" w14:paraId="749530FC" w14:textId="77777777">
      <w:pPr>
        <w:rPr>
          <w:b/>
          <w:sz w:val="22"/>
          <w:szCs w:val="22"/>
        </w:rPr>
      </w:pPr>
    </w:p>
    <w:p w:rsidR="00235F8B" w:rsidRPr="008F7801" w:rsidP="00235F8B" w14:paraId="1A853C55" w14:textId="68EF1F7F">
      <w:pPr>
        <w:rPr>
          <w:b/>
          <w:sz w:val="22"/>
          <w:szCs w:val="22"/>
        </w:rPr>
      </w:pPr>
      <w:r w:rsidRPr="008F7801">
        <w:rPr>
          <w:b/>
          <w:sz w:val="22"/>
          <w:szCs w:val="22"/>
        </w:rPr>
        <w:t xml:space="preserve"> </w:t>
      </w:r>
      <w:r w:rsidR="004A0001">
        <w:rPr>
          <w:b/>
          <w:sz w:val="22"/>
          <w:szCs w:val="22"/>
        </w:rPr>
        <w:t>A.</w:t>
      </w:r>
      <w:r w:rsidRPr="008F7801">
        <w:rPr>
          <w:b/>
          <w:sz w:val="22"/>
          <w:szCs w:val="22"/>
        </w:rPr>
        <w:t>12.2</w:t>
      </w:r>
      <w:r w:rsidR="004A0001">
        <w:rPr>
          <w:b/>
          <w:sz w:val="22"/>
          <w:szCs w:val="22"/>
        </w:rPr>
        <w:t>.</w:t>
      </w:r>
      <w:r w:rsidRPr="008F7801">
        <w:rPr>
          <w:b/>
          <w:sz w:val="22"/>
          <w:szCs w:val="22"/>
        </w:rPr>
        <w:t xml:space="preserve"> Estimated Annualized Burden Costs</w:t>
      </w:r>
      <w:r w:rsidRPr="008F7801">
        <w:rPr>
          <w:b/>
          <w:sz w:val="22"/>
          <w:szCs w:val="22"/>
        </w:rPr>
        <w:tab/>
      </w: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0"/>
        <w:gridCol w:w="2230"/>
        <w:gridCol w:w="2230"/>
        <w:gridCol w:w="2231"/>
      </w:tblGrid>
      <w:tr w14:paraId="06DCBD14" w14:textId="77777777" w:rsidTr="00F31851">
        <w:tblPrEx>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230" w:type="dxa"/>
            <w:tcMar>
              <w:left w:w="29" w:type="dxa"/>
              <w:right w:w="29" w:type="dxa"/>
            </w:tcMar>
            <w:vAlign w:val="bottom"/>
          </w:tcPr>
          <w:p w:rsidR="00235F8B" w:rsidRPr="008F7801" w:rsidP="00F31851" w14:paraId="04684E0B" w14:textId="77777777">
            <w:pPr>
              <w:autoSpaceDE w:val="0"/>
              <w:autoSpaceDN w:val="0"/>
              <w:adjustRightInd w:val="0"/>
              <w:rPr>
                <w:b/>
                <w:sz w:val="22"/>
                <w:szCs w:val="22"/>
              </w:rPr>
            </w:pPr>
            <w:r w:rsidRPr="008F7801">
              <w:rPr>
                <w:b/>
                <w:sz w:val="22"/>
                <w:szCs w:val="22"/>
              </w:rPr>
              <w:t>Type of Respondent</w:t>
            </w:r>
          </w:p>
        </w:tc>
        <w:tc>
          <w:tcPr>
            <w:tcW w:w="2230" w:type="dxa"/>
            <w:tcMar>
              <w:left w:w="29" w:type="dxa"/>
              <w:right w:w="29" w:type="dxa"/>
            </w:tcMar>
            <w:vAlign w:val="bottom"/>
          </w:tcPr>
          <w:p w:rsidR="00235F8B" w:rsidRPr="008F7801" w:rsidP="00F31851" w14:paraId="3086A236" w14:textId="77777777">
            <w:pPr>
              <w:autoSpaceDE w:val="0"/>
              <w:autoSpaceDN w:val="0"/>
              <w:adjustRightInd w:val="0"/>
              <w:jc w:val="center"/>
              <w:rPr>
                <w:b/>
                <w:sz w:val="22"/>
                <w:szCs w:val="22"/>
              </w:rPr>
            </w:pPr>
            <w:r w:rsidRPr="008F7801">
              <w:rPr>
                <w:b/>
                <w:sz w:val="22"/>
                <w:szCs w:val="22"/>
              </w:rPr>
              <w:t>Total Burden Hours</w:t>
            </w:r>
          </w:p>
        </w:tc>
        <w:tc>
          <w:tcPr>
            <w:tcW w:w="2230" w:type="dxa"/>
            <w:tcMar>
              <w:left w:w="29" w:type="dxa"/>
              <w:right w:w="29" w:type="dxa"/>
            </w:tcMar>
            <w:vAlign w:val="bottom"/>
          </w:tcPr>
          <w:p w:rsidR="00235F8B" w:rsidRPr="008F7801" w:rsidP="00F31851" w14:paraId="3809BD85" w14:textId="77777777">
            <w:pPr>
              <w:autoSpaceDE w:val="0"/>
              <w:autoSpaceDN w:val="0"/>
              <w:adjustRightInd w:val="0"/>
              <w:jc w:val="center"/>
              <w:rPr>
                <w:b/>
                <w:sz w:val="22"/>
                <w:szCs w:val="22"/>
              </w:rPr>
            </w:pPr>
            <w:r w:rsidRPr="008F7801">
              <w:rPr>
                <w:b/>
                <w:sz w:val="22"/>
                <w:szCs w:val="22"/>
              </w:rPr>
              <w:t>Hourly Wage Rate</w:t>
            </w:r>
          </w:p>
        </w:tc>
        <w:tc>
          <w:tcPr>
            <w:tcW w:w="2231" w:type="dxa"/>
            <w:tcMar>
              <w:left w:w="29" w:type="dxa"/>
              <w:right w:w="29" w:type="dxa"/>
            </w:tcMar>
            <w:vAlign w:val="bottom"/>
          </w:tcPr>
          <w:p w:rsidR="00235F8B" w:rsidRPr="008F7801" w:rsidP="00F31851" w14:paraId="68B8713A" w14:textId="77777777">
            <w:pPr>
              <w:autoSpaceDE w:val="0"/>
              <w:autoSpaceDN w:val="0"/>
              <w:adjustRightInd w:val="0"/>
              <w:jc w:val="center"/>
              <w:rPr>
                <w:b/>
                <w:sz w:val="22"/>
                <w:szCs w:val="22"/>
              </w:rPr>
            </w:pPr>
            <w:r w:rsidRPr="008F7801">
              <w:rPr>
                <w:b/>
                <w:sz w:val="22"/>
                <w:szCs w:val="22"/>
              </w:rPr>
              <w:t>Total Respondent Costs</w:t>
            </w:r>
          </w:p>
        </w:tc>
      </w:tr>
      <w:tr w14:paraId="66A3554E" w14:textId="77777777" w:rsidTr="00D23D8B">
        <w:tblPrEx>
          <w:tblW w:w="8921" w:type="dxa"/>
          <w:tblInd w:w="108" w:type="dxa"/>
          <w:tblLayout w:type="fixed"/>
          <w:tblLook w:val="00A0"/>
        </w:tblPrEx>
        <w:tc>
          <w:tcPr>
            <w:tcW w:w="2230" w:type="dxa"/>
            <w:tcMar>
              <w:left w:w="29" w:type="dxa"/>
              <w:right w:w="29" w:type="dxa"/>
            </w:tcMar>
          </w:tcPr>
          <w:p w:rsidR="00802B62" w:rsidRPr="008F7801" w:rsidP="00802B62" w14:paraId="5D4E572B" w14:textId="77777777">
            <w:pPr>
              <w:rPr>
                <w:sz w:val="22"/>
                <w:szCs w:val="22"/>
              </w:rPr>
            </w:pPr>
            <w:r w:rsidRPr="008F7801">
              <w:rPr>
                <w:sz w:val="22"/>
                <w:szCs w:val="22"/>
              </w:rPr>
              <w:t>Managers</w:t>
            </w:r>
          </w:p>
        </w:tc>
        <w:tc>
          <w:tcPr>
            <w:tcW w:w="2230" w:type="dxa"/>
            <w:tcMar>
              <w:left w:w="29" w:type="dxa"/>
              <w:right w:w="29" w:type="dxa"/>
            </w:tcMar>
            <w:vAlign w:val="center"/>
          </w:tcPr>
          <w:p w:rsidR="00802B62" w:rsidRPr="008F7801" w:rsidP="008618F1" w14:paraId="21730196" w14:textId="77777777">
            <w:pPr>
              <w:autoSpaceDE w:val="0"/>
              <w:autoSpaceDN w:val="0"/>
              <w:adjustRightInd w:val="0"/>
              <w:jc w:val="center"/>
              <w:rPr>
                <w:sz w:val="22"/>
                <w:szCs w:val="22"/>
              </w:rPr>
            </w:pPr>
            <w:r w:rsidRPr="008F7801">
              <w:rPr>
                <w:sz w:val="22"/>
                <w:szCs w:val="22"/>
              </w:rPr>
              <w:t>444</w:t>
            </w:r>
          </w:p>
        </w:tc>
        <w:tc>
          <w:tcPr>
            <w:tcW w:w="2230" w:type="dxa"/>
            <w:tcMar>
              <w:left w:w="29" w:type="dxa"/>
              <w:right w:w="29" w:type="dxa"/>
            </w:tcMar>
            <w:vAlign w:val="center"/>
          </w:tcPr>
          <w:p w:rsidR="00802B62" w:rsidRPr="008F7801" w:rsidP="008618F1" w14:paraId="54109FB9" w14:textId="502DB597">
            <w:pPr>
              <w:autoSpaceDE w:val="0"/>
              <w:autoSpaceDN w:val="0"/>
              <w:adjustRightInd w:val="0"/>
              <w:jc w:val="center"/>
              <w:rPr>
                <w:sz w:val="22"/>
                <w:szCs w:val="22"/>
              </w:rPr>
            </w:pPr>
            <w:r w:rsidRPr="008F7801">
              <w:rPr>
                <w:sz w:val="22"/>
                <w:szCs w:val="22"/>
              </w:rPr>
              <w:t>$</w:t>
            </w:r>
            <w:r w:rsidR="007F73E5">
              <w:rPr>
                <w:sz w:val="22"/>
                <w:szCs w:val="22"/>
              </w:rPr>
              <w:t>20.82</w:t>
            </w:r>
          </w:p>
        </w:tc>
        <w:tc>
          <w:tcPr>
            <w:tcW w:w="2231" w:type="dxa"/>
            <w:tcMar>
              <w:left w:w="29" w:type="dxa"/>
              <w:right w:w="29" w:type="dxa"/>
            </w:tcMar>
            <w:vAlign w:val="center"/>
          </w:tcPr>
          <w:p w:rsidR="00802B62" w:rsidRPr="008F7801" w:rsidP="00D23D8B" w14:paraId="1CCC59F2" w14:textId="049C3960">
            <w:pPr>
              <w:autoSpaceDE w:val="0"/>
              <w:autoSpaceDN w:val="0"/>
              <w:adjustRightInd w:val="0"/>
              <w:ind w:right="90"/>
              <w:jc w:val="right"/>
              <w:rPr>
                <w:sz w:val="22"/>
                <w:szCs w:val="22"/>
              </w:rPr>
            </w:pPr>
            <w:r>
              <w:rPr>
                <w:color w:val="000000"/>
                <w:sz w:val="22"/>
                <w:szCs w:val="22"/>
              </w:rPr>
              <w:t>$9</w:t>
            </w:r>
            <w:r w:rsidR="00CD205E">
              <w:rPr>
                <w:color w:val="000000"/>
                <w:sz w:val="22"/>
                <w:szCs w:val="22"/>
              </w:rPr>
              <w:t>,244.08</w:t>
            </w:r>
          </w:p>
        </w:tc>
      </w:tr>
      <w:tr w14:paraId="46243773" w14:textId="77777777" w:rsidTr="00D23D8B">
        <w:tblPrEx>
          <w:tblW w:w="8921" w:type="dxa"/>
          <w:tblInd w:w="108" w:type="dxa"/>
          <w:tblLayout w:type="fixed"/>
          <w:tblLook w:val="01E0"/>
        </w:tblPrEx>
        <w:tc>
          <w:tcPr>
            <w:tcW w:w="2230" w:type="dxa"/>
            <w:tcMar>
              <w:left w:w="29" w:type="dxa"/>
              <w:right w:w="29" w:type="dxa"/>
            </w:tcMar>
          </w:tcPr>
          <w:p w:rsidR="00802B62" w:rsidRPr="008F7801" w:rsidP="00802B62" w14:paraId="230C7A9D" w14:textId="77777777">
            <w:pPr>
              <w:rPr>
                <w:sz w:val="22"/>
                <w:szCs w:val="22"/>
              </w:rPr>
            </w:pPr>
            <w:r w:rsidRPr="008F7801">
              <w:rPr>
                <w:sz w:val="22"/>
                <w:szCs w:val="22"/>
              </w:rPr>
              <w:t>Workers</w:t>
            </w:r>
          </w:p>
        </w:tc>
        <w:tc>
          <w:tcPr>
            <w:tcW w:w="2230" w:type="dxa"/>
            <w:tcMar>
              <w:left w:w="29" w:type="dxa"/>
              <w:right w:w="29" w:type="dxa"/>
            </w:tcMar>
            <w:vAlign w:val="center"/>
          </w:tcPr>
          <w:p w:rsidR="00802B62" w:rsidRPr="008F7801" w:rsidP="008618F1" w14:paraId="30C89461" w14:textId="77777777">
            <w:pPr>
              <w:autoSpaceDE w:val="0"/>
              <w:autoSpaceDN w:val="0"/>
              <w:adjustRightInd w:val="0"/>
              <w:jc w:val="center"/>
              <w:rPr>
                <w:sz w:val="22"/>
                <w:szCs w:val="22"/>
              </w:rPr>
            </w:pPr>
            <w:r w:rsidRPr="008F7801">
              <w:rPr>
                <w:sz w:val="22"/>
                <w:szCs w:val="22"/>
              </w:rPr>
              <w:t>400</w:t>
            </w:r>
          </w:p>
        </w:tc>
        <w:tc>
          <w:tcPr>
            <w:tcW w:w="2230" w:type="dxa"/>
            <w:tcMar>
              <w:left w:w="29" w:type="dxa"/>
              <w:right w:w="29" w:type="dxa"/>
            </w:tcMar>
            <w:vAlign w:val="center"/>
          </w:tcPr>
          <w:p w:rsidR="00802B62" w:rsidRPr="008F7801" w:rsidP="008618F1" w14:paraId="19F121AF" w14:textId="7851D158">
            <w:pPr>
              <w:autoSpaceDE w:val="0"/>
              <w:autoSpaceDN w:val="0"/>
              <w:adjustRightInd w:val="0"/>
              <w:jc w:val="center"/>
              <w:rPr>
                <w:sz w:val="22"/>
                <w:szCs w:val="22"/>
              </w:rPr>
            </w:pPr>
            <w:r w:rsidRPr="008F7801">
              <w:rPr>
                <w:sz w:val="22"/>
                <w:szCs w:val="22"/>
              </w:rPr>
              <w:t>$</w:t>
            </w:r>
            <w:r w:rsidR="007F73E5">
              <w:rPr>
                <w:sz w:val="22"/>
                <w:szCs w:val="22"/>
              </w:rPr>
              <w:t>16.35</w:t>
            </w:r>
          </w:p>
        </w:tc>
        <w:tc>
          <w:tcPr>
            <w:tcW w:w="2231" w:type="dxa"/>
            <w:tcMar>
              <w:left w:w="29" w:type="dxa"/>
              <w:right w:w="29" w:type="dxa"/>
            </w:tcMar>
            <w:vAlign w:val="center"/>
          </w:tcPr>
          <w:p w:rsidR="00802B62" w:rsidRPr="008F7801" w:rsidP="00D23D8B" w14:paraId="52A60540" w14:textId="75D90305">
            <w:pPr>
              <w:autoSpaceDE w:val="0"/>
              <w:autoSpaceDN w:val="0"/>
              <w:adjustRightInd w:val="0"/>
              <w:ind w:right="90"/>
              <w:jc w:val="right"/>
              <w:rPr>
                <w:sz w:val="22"/>
                <w:szCs w:val="22"/>
              </w:rPr>
            </w:pPr>
            <w:r>
              <w:rPr>
                <w:color w:val="000000"/>
                <w:sz w:val="22"/>
                <w:szCs w:val="22"/>
              </w:rPr>
              <w:t>$6,540.00</w:t>
            </w:r>
          </w:p>
        </w:tc>
      </w:tr>
      <w:tr w14:paraId="75A55579" w14:textId="77777777" w:rsidTr="00D23D8B">
        <w:tblPrEx>
          <w:tblW w:w="8921" w:type="dxa"/>
          <w:tblInd w:w="108" w:type="dxa"/>
          <w:tblLayout w:type="fixed"/>
          <w:tblLook w:val="01E0"/>
        </w:tblPrEx>
        <w:tc>
          <w:tcPr>
            <w:tcW w:w="2230" w:type="dxa"/>
            <w:tcMar>
              <w:left w:w="29" w:type="dxa"/>
              <w:right w:w="29" w:type="dxa"/>
            </w:tcMar>
          </w:tcPr>
          <w:p w:rsidR="00802B62" w:rsidRPr="008F7801" w:rsidP="00802B62" w14:paraId="76701063" w14:textId="77777777">
            <w:pPr>
              <w:rPr>
                <w:sz w:val="22"/>
                <w:szCs w:val="22"/>
              </w:rPr>
            </w:pPr>
            <w:r w:rsidRPr="008F7801">
              <w:rPr>
                <w:sz w:val="22"/>
                <w:szCs w:val="22"/>
              </w:rPr>
              <w:t>Total</w:t>
            </w:r>
          </w:p>
        </w:tc>
        <w:tc>
          <w:tcPr>
            <w:tcW w:w="2230" w:type="dxa"/>
            <w:tcMar>
              <w:left w:w="29" w:type="dxa"/>
              <w:right w:w="29" w:type="dxa"/>
            </w:tcMar>
            <w:vAlign w:val="center"/>
          </w:tcPr>
          <w:p w:rsidR="00802B62" w:rsidRPr="008F7801" w:rsidP="008618F1" w14:paraId="4431AF75" w14:textId="77777777">
            <w:pPr>
              <w:autoSpaceDE w:val="0"/>
              <w:autoSpaceDN w:val="0"/>
              <w:adjustRightInd w:val="0"/>
              <w:jc w:val="center"/>
              <w:rPr>
                <w:sz w:val="22"/>
                <w:szCs w:val="22"/>
              </w:rPr>
            </w:pPr>
          </w:p>
        </w:tc>
        <w:tc>
          <w:tcPr>
            <w:tcW w:w="2230" w:type="dxa"/>
            <w:tcMar>
              <w:left w:w="29" w:type="dxa"/>
              <w:right w:w="29" w:type="dxa"/>
            </w:tcMar>
            <w:vAlign w:val="center"/>
          </w:tcPr>
          <w:p w:rsidR="00802B62" w:rsidRPr="008F7801" w:rsidP="008618F1" w14:paraId="41250155" w14:textId="77777777">
            <w:pPr>
              <w:autoSpaceDE w:val="0"/>
              <w:autoSpaceDN w:val="0"/>
              <w:adjustRightInd w:val="0"/>
              <w:jc w:val="center"/>
              <w:rPr>
                <w:sz w:val="22"/>
                <w:szCs w:val="22"/>
              </w:rPr>
            </w:pPr>
          </w:p>
        </w:tc>
        <w:tc>
          <w:tcPr>
            <w:tcW w:w="2231" w:type="dxa"/>
            <w:tcMar>
              <w:left w:w="29" w:type="dxa"/>
              <w:right w:w="29" w:type="dxa"/>
            </w:tcMar>
            <w:vAlign w:val="center"/>
          </w:tcPr>
          <w:p w:rsidR="00802B62" w:rsidRPr="008F7801" w:rsidP="00D23D8B" w14:paraId="43B0EDF3" w14:textId="2155BFF1">
            <w:pPr>
              <w:autoSpaceDE w:val="0"/>
              <w:autoSpaceDN w:val="0"/>
              <w:adjustRightInd w:val="0"/>
              <w:ind w:right="90"/>
              <w:jc w:val="right"/>
              <w:rPr>
                <w:sz w:val="22"/>
                <w:szCs w:val="22"/>
              </w:rPr>
            </w:pPr>
            <w:r>
              <w:rPr>
                <w:color w:val="000000"/>
                <w:sz w:val="22"/>
                <w:szCs w:val="22"/>
              </w:rPr>
              <w:t>$15,784.08</w:t>
            </w:r>
          </w:p>
        </w:tc>
      </w:tr>
    </w:tbl>
    <w:p w:rsidR="00AF4400" w:rsidRPr="008F7801" w:rsidP="00CC3730" w14:paraId="62CCE6C2" w14:textId="77777777">
      <w:pPr>
        <w:autoSpaceDE w:val="0"/>
        <w:autoSpaceDN w:val="0"/>
        <w:adjustRightInd w:val="0"/>
        <w:ind w:left="720" w:hanging="432"/>
        <w:rPr>
          <w:b/>
          <w:sz w:val="22"/>
          <w:szCs w:val="22"/>
        </w:rPr>
      </w:pPr>
    </w:p>
    <w:p w:rsidR="00CC3730" w:rsidRPr="008F7801" w:rsidP="005008A8" w14:paraId="69BD9E94" w14:textId="77777777">
      <w:pPr>
        <w:autoSpaceDE w:val="0"/>
        <w:autoSpaceDN w:val="0"/>
        <w:adjustRightInd w:val="0"/>
        <w:rPr>
          <w:b/>
          <w:sz w:val="22"/>
          <w:szCs w:val="22"/>
        </w:rPr>
      </w:pPr>
      <w:r w:rsidRPr="008F7801">
        <w:rPr>
          <w:b/>
          <w:sz w:val="22"/>
          <w:szCs w:val="22"/>
        </w:rPr>
        <w:t>A</w:t>
      </w:r>
      <w:r w:rsidRPr="008F7801" w:rsidR="000B2C1D">
        <w:rPr>
          <w:b/>
          <w:sz w:val="22"/>
          <w:szCs w:val="22"/>
        </w:rPr>
        <w:t>.</w:t>
      </w:r>
      <w:r w:rsidRPr="008F7801">
        <w:rPr>
          <w:b/>
          <w:sz w:val="22"/>
          <w:szCs w:val="22"/>
        </w:rPr>
        <w:t xml:space="preserve">13. Estimates of Other Total Annual Cost Burden to Respondents and Record Keepers </w:t>
      </w:r>
    </w:p>
    <w:p w:rsidR="00776A88" w:rsidRPr="008F7801" w:rsidP="004E0514" w14:paraId="2A798881" w14:textId="77777777">
      <w:pPr>
        <w:autoSpaceDE w:val="0"/>
        <w:autoSpaceDN w:val="0"/>
        <w:adjustRightInd w:val="0"/>
        <w:ind w:left="432" w:hanging="432"/>
        <w:rPr>
          <w:b/>
          <w:sz w:val="22"/>
          <w:szCs w:val="22"/>
        </w:rPr>
      </w:pPr>
    </w:p>
    <w:p w:rsidR="00BB3504" w:rsidRPr="008F7801" w:rsidP="00F35F2C" w14:paraId="1376968E" w14:textId="77777777">
      <w:pPr>
        <w:autoSpaceDE w:val="0"/>
        <w:autoSpaceDN w:val="0"/>
        <w:adjustRightInd w:val="0"/>
        <w:rPr>
          <w:b/>
          <w:sz w:val="22"/>
          <w:szCs w:val="22"/>
        </w:rPr>
      </w:pPr>
      <w:r w:rsidRPr="008F7801">
        <w:rPr>
          <w:sz w:val="22"/>
          <w:szCs w:val="22"/>
        </w:rPr>
        <w:t>There will be no direct costs to the respondents other than their time to participate in each information collection.</w:t>
      </w:r>
    </w:p>
    <w:p w:rsidR="006A0A4C" w:rsidP="0036768E" w14:paraId="510C0D22" w14:textId="77777777">
      <w:pPr>
        <w:autoSpaceDE w:val="0"/>
        <w:autoSpaceDN w:val="0"/>
        <w:adjustRightInd w:val="0"/>
        <w:rPr>
          <w:b/>
          <w:sz w:val="22"/>
          <w:szCs w:val="22"/>
        </w:rPr>
      </w:pPr>
    </w:p>
    <w:p w:rsidR="00CC3730" w:rsidRPr="008F7801" w:rsidP="004E0514" w14:paraId="42F2F06C" w14:textId="477E3D8C">
      <w:pPr>
        <w:autoSpaceDE w:val="0"/>
        <w:autoSpaceDN w:val="0"/>
        <w:adjustRightInd w:val="0"/>
        <w:ind w:left="432" w:hanging="432"/>
        <w:rPr>
          <w:b/>
          <w:sz w:val="22"/>
          <w:szCs w:val="22"/>
        </w:rPr>
      </w:pPr>
      <w:r w:rsidRPr="008F7801">
        <w:rPr>
          <w:b/>
          <w:sz w:val="22"/>
          <w:szCs w:val="22"/>
        </w:rPr>
        <w:t>A.</w:t>
      </w:r>
      <w:r w:rsidRPr="008F7801">
        <w:rPr>
          <w:b/>
          <w:sz w:val="22"/>
          <w:szCs w:val="22"/>
        </w:rPr>
        <w:t xml:space="preserve">14. Annualized Cost to the Federal Government </w:t>
      </w:r>
    </w:p>
    <w:p w:rsidR="006C180A" w:rsidRPr="008F7801" w:rsidP="004E0514" w14:paraId="7CFE2CB5" w14:textId="77777777">
      <w:pPr>
        <w:autoSpaceDE w:val="0"/>
        <w:autoSpaceDN w:val="0"/>
        <w:adjustRightInd w:val="0"/>
        <w:ind w:left="432" w:hanging="432"/>
        <w:rPr>
          <w:b/>
          <w:sz w:val="22"/>
          <w:szCs w:val="22"/>
        </w:rPr>
      </w:pPr>
    </w:p>
    <w:p w:rsidR="006A3EFB" w:rsidRPr="00AA1A8F" w:rsidP="006A3EFB" w14:paraId="3E0614EA" w14:textId="3AFF8A59">
      <w:pPr>
        <w:rPr>
          <w:sz w:val="22"/>
          <w:szCs w:val="22"/>
        </w:rPr>
      </w:pPr>
      <w:r w:rsidRPr="008F7801">
        <w:rPr>
          <w:sz w:val="22"/>
          <w:szCs w:val="22"/>
        </w:rPr>
        <w:t>The annualized cost to the federal government is $</w:t>
      </w:r>
      <w:r w:rsidRPr="008F7801" w:rsidR="00E1487E">
        <w:rPr>
          <w:sz w:val="22"/>
          <w:szCs w:val="22"/>
        </w:rPr>
        <w:t>818,</w:t>
      </w:r>
      <w:r w:rsidR="00017CFC">
        <w:rPr>
          <w:sz w:val="22"/>
          <w:szCs w:val="22"/>
        </w:rPr>
        <w:t>947</w:t>
      </w:r>
      <w:r w:rsidRPr="008F7801" w:rsidR="002974BF">
        <w:rPr>
          <w:sz w:val="22"/>
          <w:szCs w:val="22"/>
        </w:rPr>
        <w:t>.</w:t>
      </w:r>
      <w:r w:rsidRPr="008F7801">
        <w:rPr>
          <w:sz w:val="22"/>
          <w:szCs w:val="22"/>
        </w:rPr>
        <w:t xml:space="preserve"> Costs to the government include </w:t>
      </w:r>
      <w:r w:rsidRPr="008F7801" w:rsidR="00E1487E">
        <w:rPr>
          <w:sz w:val="22"/>
          <w:szCs w:val="22"/>
        </w:rPr>
        <w:t xml:space="preserve">a portion </w:t>
      </w:r>
      <w:r w:rsidRPr="008F7801" w:rsidR="00213E62">
        <w:rPr>
          <w:sz w:val="22"/>
          <w:szCs w:val="22"/>
        </w:rPr>
        <w:t>of</w:t>
      </w:r>
      <w:r w:rsidRPr="008F7801" w:rsidR="00E1487E">
        <w:rPr>
          <w:sz w:val="22"/>
          <w:szCs w:val="22"/>
        </w:rPr>
        <w:t xml:space="preserve"> the total EHS-Net </w:t>
      </w:r>
      <w:r w:rsidRPr="00AA1A8F">
        <w:rPr>
          <w:sz w:val="22"/>
          <w:szCs w:val="22"/>
        </w:rPr>
        <w:t xml:space="preserve">funding provided to </w:t>
      </w:r>
      <w:r w:rsidRPr="00AA1A8F" w:rsidR="002974BF">
        <w:rPr>
          <w:sz w:val="22"/>
          <w:szCs w:val="22"/>
        </w:rPr>
        <w:t>8</w:t>
      </w:r>
      <w:r w:rsidRPr="00AA1A8F">
        <w:rPr>
          <w:sz w:val="22"/>
          <w:szCs w:val="22"/>
        </w:rPr>
        <w:t xml:space="preserve"> EHS-Net sites, salaries of CDC employees and </w:t>
      </w:r>
      <w:r w:rsidRPr="00AA1A8F" w:rsidR="002974BF">
        <w:rPr>
          <w:sz w:val="22"/>
          <w:szCs w:val="22"/>
        </w:rPr>
        <w:t>contractor</w:t>
      </w:r>
      <w:r w:rsidRPr="00AA1A8F">
        <w:rPr>
          <w:sz w:val="22"/>
          <w:szCs w:val="22"/>
        </w:rPr>
        <w:t>s supporting the program, travel</w:t>
      </w:r>
      <w:r w:rsidRPr="00AA1A8F" w:rsidR="00DC0113">
        <w:rPr>
          <w:sz w:val="22"/>
          <w:szCs w:val="22"/>
        </w:rPr>
        <w:t>, and Spanish translation of interview forms</w:t>
      </w:r>
      <w:r w:rsidRPr="00AA1A8F">
        <w:rPr>
          <w:sz w:val="22"/>
          <w:szCs w:val="22"/>
        </w:rPr>
        <w:t xml:space="preserve"> (</w:t>
      </w:r>
      <w:r w:rsidRPr="00AA1A8F" w:rsidR="000B2C1D">
        <w:rPr>
          <w:sz w:val="22"/>
          <w:szCs w:val="22"/>
        </w:rPr>
        <w:t xml:space="preserve">Table </w:t>
      </w:r>
      <w:r w:rsidRPr="00AA1A8F">
        <w:rPr>
          <w:sz w:val="22"/>
          <w:szCs w:val="22"/>
        </w:rPr>
        <w:t xml:space="preserve">A.14.1). </w:t>
      </w:r>
    </w:p>
    <w:p w:rsidR="00235664" w:rsidRPr="00AA1A8F" w:rsidP="006A3EFB" w14:paraId="470AE51C" w14:textId="77777777">
      <w:pPr>
        <w:rPr>
          <w:sz w:val="22"/>
          <w:szCs w:val="22"/>
        </w:rPr>
      </w:pPr>
    </w:p>
    <w:p w:rsidR="00235664" w:rsidRPr="008F7801" w:rsidP="006A3EFB" w14:paraId="20A621E2" w14:textId="24421628">
      <w:pPr>
        <w:rPr>
          <w:sz w:val="22"/>
          <w:szCs w:val="22"/>
        </w:rPr>
      </w:pPr>
      <w:r w:rsidRPr="00AA1A8F">
        <w:rPr>
          <w:sz w:val="22"/>
          <w:szCs w:val="22"/>
        </w:rPr>
        <w:t>The manager interview (</w:t>
      </w:r>
      <w:r w:rsidR="004E1FA6">
        <w:rPr>
          <w:sz w:val="22"/>
          <w:szCs w:val="22"/>
        </w:rPr>
        <w:t>appendix</w:t>
      </w:r>
      <w:r w:rsidRPr="00AA1A8F">
        <w:rPr>
          <w:sz w:val="22"/>
          <w:szCs w:val="22"/>
        </w:rPr>
        <w:t xml:space="preserve"> </w:t>
      </w:r>
      <w:r w:rsidRPr="00AA1A8F" w:rsidR="00650C5D">
        <w:rPr>
          <w:sz w:val="22"/>
          <w:szCs w:val="22"/>
        </w:rPr>
        <w:t>5</w:t>
      </w:r>
      <w:r w:rsidRPr="00AA1A8F">
        <w:rPr>
          <w:sz w:val="22"/>
          <w:szCs w:val="22"/>
        </w:rPr>
        <w:t>) and worker interview (</w:t>
      </w:r>
      <w:r w:rsidR="004E1FA6">
        <w:rPr>
          <w:sz w:val="22"/>
          <w:szCs w:val="22"/>
        </w:rPr>
        <w:t>appendix</w:t>
      </w:r>
      <w:r w:rsidRPr="00AA1A8F">
        <w:rPr>
          <w:sz w:val="22"/>
          <w:szCs w:val="22"/>
        </w:rPr>
        <w:t xml:space="preserve"> </w:t>
      </w:r>
      <w:r w:rsidRPr="00AA1A8F" w:rsidR="00650C5D">
        <w:rPr>
          <w:sz w:val="22"/>
          <w:szCs w:val="22"/>
        </w:rPr>
        <w:t>6</w:t>
      </w:r>
      <w:r w:rsidRPr="00AA1A8F">
        <w:rPr>
          <w:sz w:val="22"/>
          <w:szCs w:val="22"/>
        </w:rPr>
        <w:t xml:space="preserve">) forms will be available in both English and Spanish. </w:t>
      </w:r>
      <w:r w:rsidRPr="00AA1A8F" w:rsidR="00F258C5">
        <w:rPr>
          <w:sz w:val="22"/>
          <w:szCs w:val="22"/>
        </w:rPr>
        <w:t>We expect to carry out a maximum of t</w:t>
      </w:r>
      <w:r w:rsidRPr="00AA1A8F" w:rsidR="00650C5D">
        <w:rPr>
          <w:sz w:val="22"/>
          <w:szCs w:val="22"/>
        </w:rPr>
        <w:t>hree</w:t>
      </w:r>
      <w:r w:rsidRPr="00AA1A8F" w:rsidR="00F258C5">
        <w:rPr>
          <w:sz w:val="22"/>
          <w:szCs w:val="22"/>
        </w:rPr>
        <w:t xml:space="preserve"> data collection</w:t>
      </w:r>
      <w:r w:rsidRPr="00AA1A8F" w:rsidR="004F29B5">
        <w:rPr>
          <w:sz w:val="22"/>
          <w:szCs w:val="22"/>
        </w:rPr>
        <w:t xml:space="preserve">s </w:t>
      </w:r>
      <w:r w:rsidRPr="00AA1A8F" w:rsidR="00A2323A">
        <w:rPr>
          <w:sz w:val="22"/>
          <w:szCs w:val="22"/>
        </w:rPr>
        <w:t xml:space="preserve">during the three years </w:t>
      </w:r>
      <w:r w:rsidRPr="00AA1A8F" w:rsidR="00A2323A">
        <w:rPr>
          <w:sz w:val="22"/>
          <w:szCs w:val="22"/>
        </w:rPr>
        <w:t xml:space="preserve">this OMB approval covers. One </w:t>
      </w:r>
      <w:r w:rsidRPr="00AA1A8F" w:rsidR="00192E57">
        <w:rPr>
          <w:sz w:val="22"/>
          <w:szCs w:val="22"/>
        </w:rPr>
        <w:t xml:space="preserve">set of </w:t>
      </w:r>
      <w:r w:rsidR="004E1FA6">
        <w:rPr>
          <w:sz w:val="22"/>
          <w:szCs w:val="22"/>
        </w:rPr>
        <w:t>appendice</w:t>
      </w:r>
      <w:r w:rsidRPr="00AA1A8F" w:rsidR="00192E57">
        <w:rPr>
          <w:sz w:val="22"/>
          <w:szCs w:val="22"/>
        </w:rPr>
        <w:t xml:space="preserve">s has already been translated, leaving </w:t>
      </w:r>
      <w:r w:rsidRPr="00AA1A8F" w:rsidR="00650C5D">
        <w:rPr>
          <w:sz w:val="22"/>
          <w:szCs w:val="22"/>
        </w:rPr>
        <w:t>two</w:t>
      </w:r>
      <w:r w:rsidRPr="00AA1A8F" w:rsidR="00192E57">
        <w:rPr>
          <w:sz w:val="22"/>
          <w:szCs w:val="22"/>
        </w:rPr>
        <w:t xml:space="preserve"> additional set</w:t>
      </w:r>
      <w:r w:rsidRPr="00AA1A8F" w:rsidR="00650C5D">
        <w:rPr>
          <w:sz w:val="22"/>
          <w:szCs w:val="22"/>
        </w:rPr>
        <w:t>s</w:t>
      </w:r>
      <w:r w:rsidRPr="00AA1A8F" w:rsidR="00192E57">
        <w:rPr>
          <w:sz w:val="22"/>
          <w:szCs w:val="22"/>
        </w:rPr>
        <w:t xml:space="preserve"> left. </w:t>
      </w:r>
      <w:r w:rsidRPr="00AA1A8F">
        <w:rPr>
          <w:sz w:val="22"/>
          <w:szCs w:val="22"/>
        </w:rPr>
        <w:t>The CDC Multilingual Services Team translate</w:t>
      </w:r>
      <w:r w:rsidRPr="00AA1A8F" w:rsidR="00650C5D">
        <w:rPr>
          <w:sz w:val="22"/>
          <w:szCs w:val="22"/>
        </w:rPr>
        <w:t>s</w:t>
      </w:r>
      <w:r w:rsidRPr="00AA1A8F">
        <w:rPr>
          <w:sz w:val="22"/>
          <w:szCs w:val="22"/>
        </w:rPr>
        <w:t xml:space="preserve"> the English forms into Spanish at a one-time fee of $919.79.</w:t>
      </w:r>
      <w:r w:rsidRPr="00AA1A8F" w:rsidR="00192E57">
        <w:rPr>
          <w:sz w:val="22"/>
          <w:szCs w:val="22"/>
        </w:rPr>
        <w:t xml:space="preserve"> </w:t>
      </w:r>
      <w:r w:rsidRPr="00AA1A8F" w:rsidR="004876BD">
        <w:rPr>
          <w:sz w:val="22"/>
          <w:szCs w:val="22"/>
        </w:rPr>
        <w:t>Spread over the course of three years, this averages out to</w:t>
      </w:r>
      <w:r w:rsidRPr="00AA1A8F" w:rsidR="00843D9A">
        <w:rPr>
          <w:sz w:val="22"/>
          <w:szCs w:val="22"/>
        </w:rPr>
        <w:t xml:space="preserve"> about</w:t>
      </w:r>
      <w:r w:rsidRPr="00AA1A8F" w:rsidR="004876BD">
        <w:rPr>
          <w:sz w:val="22"/>
          <w:szCs w:val="22"/>
        </w:rPr>
        <w:t xml:space="preserve"> </w:t>
      </w:r>
      <w:r w:rsidRPr="00AA1A8F" w:rsidR="00843D9A">
        <w:rPr>
          <w:sz w:val="22"/>
          <w:szCs w:val="22"/>
        </w:rPr>
        <w:t>$307 per year.</w:t>
      </w:r>
    </w:p>
    <w:p w:rsidR="00E1487E" w:rsidRPr="008F7801" w:rsidP="00E1487E" w14:paraId="0A5D23E9" w14:textId="77777777">
      <w:pPr>
        <w:autoSpaceDE w:val="0"/>
        <w:autoSpaceDN w:val="0"/>
        <w:adjustRightInd w:val="0"/>
        <w:ind w:left="342"/>
      </w:pPr>
      <w:bookmarkStart w:id="6" w:name="OLE_LINK13"/>
    </w:p>
    <w:p w:rsidR="00E1487E" w:rsidRPr="008F7801" w:rsidP="00E1487E" w14:paraId="32375F63" w14:textId="77777777">
      <w:pPr>
        <w:adjustRightInd w:val="0"/>
        <w:ind w:left="342"/>
        <w:rPr>
          <w:rFonts w:eastAsia="SimSun"/>
          <w:lang w:eastAsia="zh-CN"/>
        </w:rPr>
      </w:pPr>
      <w:r w:rsidRPr="008F7801">
        <w:rPr>
          <w:rFonts w:eastAsia="SimSun"/>
          <w:b/>
          <w:lang w:eastAsia="zh-CN"/>
        </w:rPr>
        <w:t xml:space="preserve">14.1-Estimated </w:t>
      </w:r>
      <w:r w:rsidRPr="008F7801">
        <w:rPr>
          <w:b/>
        </w:rPr>
        <w:t>Annualized Cost to the Federal Government</w:t>
      </w:r>
    </w:p>
    <w:tbl>
      <w:tblPr>
        <w:tblW w:w="784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5"/>
        <w:gridCol w:w="1980"/>
      </w:tblGrid>
      <w:tr w14:paraId="6C2608FB" w14:textId="77777777" w:rsidTr="00AA1A8F">
        <w:tblPrEx>
          <w:tblW w:w="784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865" w:type="dxa"/>
          </w:tcPr>
          <w:bookmarkEnd w:id="6"/>
          <w:p w:rsidR="00E1487E" w:rsidRPr="008F7801" w:rsidP="00620A44" w14:paraId="11532638" w14:textId="77777777">
            <w:pPr>
              <w:adjustRightInd w:val="0"/>
              <w:rPr>
                <w:rFonts w:eastAsia="SimSun"/>
                <w:b/>
                <w:lang w:eastAsia="zh-CN"/>
              </w:rPr>
            </w:pPr>
            <w:r w:rsidRPr="008F7801">
              <w:rPr>
                <w:rFonts w:eastAsia="SimSun"/>
                <w:b/>
                <w:lang w:eastAsia="zh-CN"/>
              </w:rPr>
              <w:t>Expenditure</w:t>
            </w:r>
          </w:p>
        </w:tc>
        <w:tc>
          <w:tcPr>
            <w:tcW w:w="1980" w:type="dxa"/>
          </w:tcPr>
          <w:p w:rsidR="00E1487E" w:rsidRPr="008F7801" w:rsidP="00620A44" w14:paraId="3DEDF03C" w14:textId="77777777">
            <w:pPr>
              <w:adjustRightInd w:val="0"/>
              <w:jc w:val="right"/>
              <w:rPr>
                <w:rFonts w:eastAsia="SimSun"/>
                <w:b/>
                <w:lang w:eastAsia="zh-CN"/>
              </w:rPr>
            </w:pPr>
            <w:r w:rsidRPr="008F7801">
              <w:rPr>
                <w:rFonts w:eastAsia="SimSun"/>
                <w:b/>
                <w:lang w:eastAsia="zh-CN"/>
              </w:rPr>
              <w:t>Cost</w:t>
            </w:r>
          </w:p>
        </w:tc>
      </w:tr>
      <w:tr w14:paraId="53995D6F" w14:textId="77777777" w:rsidTr="00AA1A8F">
        <w:tblPrEx>
          <w:tblW w:w="7845" w:type="dxa"/>
          <w:tblInd w:w="520" w:type="dxa"/>
          <w:tblLook w:val="00A0"/>
        </w:tblPrEx>
        <w:trPr>
          <w:trHeight w:val="233"/>
        </w:trPr>
        <w:tc>
          <w:tcPr>
            <w:tcW w:w="5865" w:type="dxa"/>
          </w:tcPr>
          <w:p w:rsidR="00E1487E" w:rsidRPr="008F7801" w:rsidP="00620A44" w14:paraId="0A338790" w14:textId="77777777">
            <w:pPr>
              <w:adjustRightInd w:val="0"/>
              <w:rPr>
                <w:rFonts w:eastAsia="SimSun"/>
                <w:lang w:eastAsia="zh-CN"/>
              </w:rPr>
            </w:pPr>
            <w:r w:rsidRPr="008F7801">
              <w:rPr>
                <w:rFonts w:eastAsia="SimSun"/>
                <w:lang w:eastAsia="zh-CN"/>
              </w:rPr>
              <w:t xml:space="preserve">Awards to sites ($64,167 * 8 sites) </w:t>
            </w:r>
          </w:p>
        </w:tc>
        <w:tc>
          <w:tcPr>
            <w:tcW w:w="1980" w:type="dxa"/>
          </w:tcPr>
          <w:p w:rsidR="00E1487E" w:rsidRPr="008F7801" w:rsidP="00E1487E" w14:paraId="75E454E2" w14:textId="77777777">
            <w:pPr>
              <w:adjustRightInd w:val="0"/>
              <w:jc w:val="right"/>
              <w:rPr>
                <w:rFonts w:eastAsia="SimSun"/>
                <w:lang w:eastAsia="zh-CN"/>
              </w:rPr>
            </w:pPr>
            <w:bookmarkStart w:id="7" w:name="OLE_LINK3"/>
            <w:bookmarkStart w:id="8" w:name="OLE_LINK4"/>
            <w:r w:rsidRPr="008F7801">
              <w:rPr>
                <w:rFonts w:eastAsia="SimSun"/>
                <w:lang w:eastAsia="zh-CN"/>
              </w:rPr>
              <w:t>$</w:t>
            </w:r>
            <w:bookmarkEnd w:id="7"/>
            <w:bookmarkEnd w:id="8"/>
            <w:r w:rsidRPr="008F7801">
              <w:rPr>
                <w:color w:val="000000"/>
              </w:rPr>
              <w:t>513,333</w:t>
            </w:r>
          </w:p>
        </w:tc>
      </w:tr>
      <w:tr w14:paraId="016F8DBB" w14:textId="77777777" w:rsidTr="00AA1A8F">
        <w:tblPrEx>
          <w:tblW w:w="7845" w:type="dxa"/>
          <w:tblInd w:w="520" w:type="dxa"/>
          <w:tblLook w:val="00A0"/>
        </w:tblPrEx>
        <w:tc>
          <w:tcPr>
            <w:tcW w:w="5865" w:type="dxa"/>
          </w:tcPr>
          <w:p w:rsidR="00E1487E" w:rsidRPr="008F7801" w:rsidP="00620A44" w14:paraId="3DA24490" w14:textId="77777777">
            <w:pPr>
              <w:adjustRightInd w:val="0"/>
              <w:rPr>
                <w:rFonts w:eastAsia="SimSun"/>
                <w:lang w:eastAsia="zh-CN"/>
              </w:rPr>
            </w:pPr>
            <w:r w:rsidRPr="008F7801">
              <w:rPr>
                <w:rFonts w:eastAsia="SimSun"/>
                <w:lang w:eastAsia="zh-CN"/>
              </w:rPr>
              <w:t>CDC Salary (50% of 2 staff members)</w:t>
            </w:r>
          </w:p>
        </w:tc>
        <w:tc>
          <w:tcPr>
            <w:tcW w:w="1980" w:type="dxa"/>
          </w:tcPr>
          <w:p w:rsidR="00E1487E" w:rsidRPr="008F7801" w:rsidP="00620A44" w14:paraId="152D2EF8" w14:textId="77777777">
            <w:pPr>
              <w:adjustRightInd w:val="0"/>
              <w:jc w:val="right"/>
              <w:rPr>
                <w:rFonts w:eastAsia="SimSun"/>
                <w:lang w:eastAsia="zh-CN"/>
              </w:rPr>
            </w:pPr>
            <w:r w:rsidRPr="008F7801">
              <w:rPr>
                <w:rFonts w:eastAsia="SimSun"/>
                <w:lang w:eastAsia="zh-CN"/>
              </w:rPr>
              <w:t>$150,000</w:t>
            </w:r>
          </w:p>
        </w:tc>
      </w:tr>
      <w:tr w14:paraId="00BAC924" w14:textId="77777777" w:rsidTr="00AA1A8F">
        <w:tblPrEx>
          <w:tblW w:w="7845" w:type="dxa"/>
          <w:tblInd w:w="520" w:type="dxa"/>
          <w:tblLook w:val="00A0"/>
        </w:tblPrEx>
        <w:tc>
          <w:tcPr>
            <w:tcW w:w="5865" w:type="dxa"/>
          </w:tcPr>
          <w:p w:rsidR="00E1487E" w:rsidRPr="008F7801" w:rsidP="00620A44" w14:paraId="2F9CE3CD" w14:textId="77777777">
            <w:pPr>
              <w:adjustRightInd w:val="0"/>
              <w:rPr>
                <w:rFonts w:eastAsia="SimSun"/>
                <w:lang w:eastAsia="zh-CN"/>
              </w:rPr>
            </w:pPr>
            <w:r w:rsidRPr="008F7801">
              <w:rPr>
                <w:rFonts w:eastAsia="SimSun"/>
                <w:lang w:eastAsia="zh-CN"/>
              </w:rPr>
              <w:t>FOA administration</w:t>
            </w:r>
          </w:p>
        </w:tc>
        <w:tc>
          <w:tcPr>
            <w:tcW w:w="1980" w:type="dxa"/>
          </w:tcPr>
          <w:p w:rsidR="00E1487E" w:rsidRPr="008F7801" w:rsidP="00620A44" w14:paraId="30DBF10A" w14:textId="77777777">
            <w:pPr>
              <w:adjustRightInd w:val="0"/>
              <w:jc w:val="right"/>
              <w:rPr>
                <w:rFonts w:eastAsia="SimSun"/>
                <w:lang w:eastAsia="zh-CN"/>
              </w:rPr>
            </w:pPr>
            <w:r w:rsidRPr="008F7801">
              <w:rPr>
                <w:rFonts w:eastAsia="SimSun"/>
                <w:lang w:eastAsia="zh-CN"/>
              </w:rPr>
              <w:t>$150,000</w:t>
            </w:r>
          </w:p>
        </w:tc>
      </w:tr>
      <w:tr w14:paraId="3468A815" w14:textId="77777777" w:rsidTr="00AA1A8F">
        <w:tblPrEx>
          <w:tblW w:w="7845" w:type="dxa"/>
          <w:tblInd w:w="520" w:type="dxa"/>
          <w:tblLook w:val="00A0"/>
        </w:tblPrEx>
        <w:tc>
          <w:tcPr>
            <w:tcW w:w="5865" w:type="dxa"/>
          </w:tcPr>
          <w:p w:rsidR="00E1487E" w:rsidRPr="008F7801" w:rsidP="00620A44" w14:paraId="18C32443" w14:textId="77777777">
            <w:pPr>
              <w:adjustRightInd w:val="0"/>
              <w:rPr>
                <w:rFonts w:eastAsia="SimSun"/>
                <w:lang w:eastAsia="zh-CN"/>
              </w:rPr>
            </w:pPr>
            <w:r w:rsidRPr="008F7801">
              <w:rPr>
                <w:rFonts w:eastAsia="SimSun"/>
                <w:lang w:eastAsia="zh-CN"/>
              </w:rPr>
              <w:t>Travel for site visits</w:t>
            </w:r>
          </w:p>
        </w:tc>
        <w:tc>
          <w:tcPr>
            <w:tcW w:w="1980" w:type="dxa"/>
          </w:tcPr>
          <w:p w:rsidR="00E1487E" w:rsidRPr="008F7801" w:rsidP="00620A44" w14:paraId="1152E6B0" w14:textId="77777777">
            <w:pPr>
              <w:adjustRightInd w:val="0"/>
              <w:jc w:val="right"/>
              <w:rPr>
                <w:rFonts w:eastAsia="SimSun"/>
                <w:lang w:eastAsia="zh-CN"/>
              </w:rPr>
            </w:pPr>
            <w:r w:rsidRPr="008F7801">
              <w:rPr>
                <w:rFonts w:eastAsia="SimSun"/>
                <w:lang w:eastAsia="zh-CN"/>
              </w:rPr>
              <w:t>$5,000</w:t>
            </w:r>
          </w:p>
        </w:tc>
      </w:tr>
      <w:tr w14:paraId="1A6C73FC" w14:textId="77777777" w:rsidTr="00AA1A8F">
        <w:tblPrEx>
          <w:tblW w:w="7845" w:type="dxa"/>
          <w:tblInd w:w="520" w:type="dxa"/>
          <w:tblLook w:val="00A0"/>
        </w:tblPrEx>
        <w:tc>
          <w:tcPr>
            <w:tcW w:w="5865" w:type="dxa"/>
          </w:tcPr>
          <w:p w:rsidR="00843D9A" w:rsidRPr="008F7801" w:rsidP="00620A44" w14:paraId="106BFC33" w14:textId="10328E49">
            <w:pPr>
              <w:adjustRightInd w:val="0"/>
              <w:rPr>
                <w:rFonts w:eastAsia="SimSun"/>
                <w:lang w:eastAsia="zh-CN"/>
              </w:rPr>
            </w:pPr>
            <w:r>
              <w:rPr>
                <w:rFonts w:eastAsia="SimSun"/>
                <w:lang w:eastAsia="zh-CN"/>
              </w:rPr>
              <w:t xml:space="preserve">Spanish translation </w:t>
            </w:r>
            <w:r w:rsidR="00765814">
              <w:rPr>
                <w:rFonts w:eastAsia="SimSun"/>
                <w:lang w:eastAsia="zh-CN"/>
              </w:rPr>
              <w:t>of</w:t>
            </w:r>
            <w:r>
              <w:rPr>
                <w:rFonts w:eastAsia="SimSun"/>
                <w:lang w:eastAsia="zh-CN"/>
              </w:rPr>
              <w:t xml:space="preserve"> interview forms (</w:t>
            </w:r>
            <w:r w:rsidR="00E51912">
              <w:rPr>
                <w:rFonts w:eastAsia="SimSun"/>
                <w:lang w:eastAsia="zh-CN"/>
              </w:rPr>
              <w:t>$919.79/3 years)</w:t>
            </w:r>
          </w:p>
        </w:tc>
        <w:tc>
          <w:tcPr>
            <w:tcW w:w="1980" w:type="dxa"/>
          </w:tcPr>
          <w:p w:rsidR="00843D9A" w:rsidRPr="008F7801" w:rsidP="00620A44" w14:paraId="19B6F1F1" w14:textId="37CD3264">
            <w:pPr>
              <w:adjustRightInd w:val="0"/>
              <w:jc w:val="right"/>
              <w:rPr>
                <w:rFonts w:eastAsia="SimSun"/>
                <w:lang w:eastAsia="zh-CN"/>
              </w:rPr>
            </w:pPr>
            <w:r>
              <w:rPr>
                <w:rFonts w:eastAsia="SimSun"/>
                <w:lang w:eastAsia="zh-CN"/>
              </w:rPr>
              <w:t>$</w:t>
            </w:r>
            <w:r w:rsidR="00862ED7">
              <w:rPr>
                <w:rFonts w:eastAsia="SimSun"/>
                <w:lang w:eastAsia="zh-CN"/>
              </w:rPr>
              <w:t>614</w:t>
            </w:r>
          </w:p>
        </w:tc>
      </w:tr>
      <w:tr w14:paraId="423914B8" w14:textId="77777777" w:rsidTr="00AA1A8F">
        <w:tblPrEx>
          <w:tblW w:w="7845" w:type="dxa"/>
          <w:tblInd w:w="520" w:type="dxa"/>
          <w:tblLook w:val="00A0"/>
        </w:tblPrEx>
        <w:trPr>
          <w:trHeight w:val="350"/>
        </w:trPr>
        <w:tc>
          <w:tcPr>
            <w:tcW w:w="5865" w:type="dxa"/>
            <w:vAlign w:val="center"/>
          </w:tcPr>
          <w:p w:rsidR="00E1487E" w:rsidRPr="008F7801" w:rsidP="00620A44" w14:paraId="2E0505AC" w14:textId="77777777">
            <w:pPr>
              <w:rPr>
                <w:rFonts w:eastAsia="SimSun"/>
                <w:b/>
                <w:lang w:eastAsia="zh-CN"/>
              </w:rPr>
            </w:pPr>
            <w:r w:rsidRPr="008F7801">
              <w:rPr>
                <w:rFonts w:eastAsia="SimSun"/>
                <w:b/>
                <w:lang w:eastAsia="zh-CN"/>
              </w:rPr>
              <w:t xml:space="preserve"> Total</w:t>
            </w:r>
          </w:p>
        </w:tc>
        <w:tc>
          <w:tcPr>
            <w:tcW w:w="1980" w:type="dxa"/>
          </w:tcPr>
          <w:p w:rsidR="00E1487E" w:rsidRPr="008F7801" w:rsidP="00E1487E" w14:paraId="11B75B5F" w14:textId="4191B8D8">
            <w:pPr>
              <w:jc w:val="right"/>
              <w:rPr>
                <w:rFonts w:eastAsia="SimSun"/>
                <w:b/>
                <w:lang w:eastAsia="zh-CN"/>
              </w:rPr>
            </w:pPr>
            <w:r w:rsidRPr="008F7801">
              <w:rPr>
                <w:color w:val="000000"/>
              </w:rPr>
              <w:t>$818,</w:t>
            </w:r>
            <w:r w:rsidR="00017CFC">
              <w:rPr>
                <w:color w:val="000000"/>
              </w:rPr>
              <w:t>947</w:t>
            </w:r>
          </w:p>
        </w:tc>
      </w:tr>
    </w:tbl>
    <w:p w:rsidR="00E1487E" w:rsidRPr="008F7801" w:rsidP="006A3EFB" w14:paraId="22DC9C14" w14:textId="77777777">
      <w:pPr>
        <w:rPr>
          <w:sz w:val="22"/>
          <w:szCs w:val="22"/>
        </w:rPr>
      </w:pPr>
    </w:p>
    <w:p w:rsidR="006A3EFB" w:rsidRPr="008F7801" w:rsidP="00E1487E" w14:paraId="045C7ED1" w14:textId="77777777">
      <w:pPr>
        <w:ind w:left="288"/>
        <w:rPr>
          <w:b/>
          <w:sz w:val="22"/>
          <w:szCs w:val="22"/>
        </w:rPr>
      </w:pPr>
      <w:r w:rsidRPr="008F7801">
        <w:rPr>
          <w:sz w:val="22"/>
          <w:szCs w:val="22"/>
        </w:rPr>
        <w:t> </w:t>
      </w:r>
    </w:p>
    <w:p w:rsidR="00CC3730" w:rsidRPr="008F7801" w:rsidP="003741E3" w14:paraId="6B79B957" w14:textId="77777777">
      <w:pPr>
        <w:autoSpaceDE w:val="0"/>
        <w:autoSpaceDN w:val="0"/>
        <w:adjustRightInd w:val="0"/>
        <w:ind w:left="432" w:hanging="432"/>
        <w:rPr>
          <w:b/>
          <w:sz w:val="22"/>
          <w:szCs w:val="22"/>
        </w:rPr>
      </w:pPr>
      <w:r w:rsidRPr="008F7801">
        <w:rPr>
          <w:b/>
          <w:sz w:val="22"/>
          <w:szCs w:val="22"/>
        </w:rPr>
        <w:t>A.</w:t>
      </w:r>
      <w:r w:rsidRPr="008F7801">
        <w:rPr>
          <w:b/>
          <w:sz w:val="22"/>
          <w:szCs w:val="22"/>
        </w:rPr>
        <w:t xml:space="preserve">15. Explanation for Program Changes or Adjustments </w:t>
      </w:r>
    </w:p>
    <w:p w:rsidR="00527DC9" w:rsidRPr="008F7801" w:rsidP="003741E3" w14:paraId="37C83F42" w14:textId="77777777">
      <w:pPr>
        <w:autoSpaceDE w:val="0"/>
        <w:autoSpaceDN w:val="0"/>
        <w:adjustRightInd w:val="0"/>
        <w:ind w:left="432" w:hanging="432"/>
        <w:rPr>
          <w:sz w:val="22"/>
          <w:szCs w:val="22"/>
        </w:rPr>
      </w:pPr>
    </w:p>
    <w:p w:rsidR="00206E66" w:rsidP="00206E66" w14:paraId="182F9C2C" w14:textId="69791D89">
      <w:pPr>
        <w:autoSpaceDE w:val="0"/>
        <w:autoSpaceDN w:val="0"/>
        <w:adjustRightInd w:val="0"/>
        <w:rPr>
          <w:sz w:val="22"/>
          <w:szCs w:val="22"/>
        </w:rPr>
      </w:pPr>
      <w:r w:rsidRPr="008F7801">
        <w:rPr>
          <w:sz w:val="22"/>
          <w:szCs w:val="22"/>
        </w:rPr>
        <w:t xml:space="preserve">This is a </w:t>
      </w:r>
      <w:r w:rsidRPr="008F7801" w:rsidR="00EA50E1">
        <w:rPr>
          <w:sz w:val="22"/>
          <w:szCs w:val="22"/>
        </w:rPr>
        <w:t>r</w:t>
      </w:r>
      <w:r w:rsidRPr="008F7801" w:rsidR="00213E62">
        <w:rPr>
          <w:sz w:val="22"/>
          <w:szCs w:val="22"/>
        </w:rPr>
        <w:t>evision ICR</w:t>
      </w:r>
      <w:r w:rsidRPr="008F7801" w:rsidR="00537767">
        <w:rPr>
          <w:sz w:val="22"/>
          <w:szCs w:val="22"/>
        </w:rPr>
        <w:t xml:space="preserve"> </w:t>
      </w:r>
      <w:r w:rsidRPr="008F7801" w:rsidR="00213E62">
        <w:rPr>
          <w:sz w:val="22"/>
          <w:szCs w:val="22"/>
        </w:rPr>
        <w:t>for</w:t>
      </w:r>
      <w:r w:rsidRPr="008F7801" w:rsidR="004E0514">
        <w:rPr>
          <w:sz w:val="22"/>
          <w:szCs w:val="22"/>
        </w:rPr>
        <w:t xml:space="preserve"> a generic clearance</w:t>
      </w:r>
      <w:r w:rsidRPr="008F7801" w:rsidR="000C132D">
        <w:rPr>
          <w:sz w:val="22"/>
          <w:szCs w:val="22"/>
        </w:rPr>
        <w:t xml:space="preserve"> that </w:t>
      </w:r>
      <w:r w:rsidRPr="008F7801" w:rsidR="00EA50E1">
        <w:rPr>
          <w:sz w:val="22"/>
          <w:szCs w:val="22"/>
        </w:rPr>
        <w:t>expire</w:t>
      </w:r>
      <w:r w:rsidRPr="008F7801" w:rsidR="002F3CD2">
        <w:rPr>
          <w:sz w:val="22"/>
          <w:szCs w:val="22"/>
        </w:rPr>
        <w:t>s</w:t>
      </w:r>
      <w:r w:rsidRPr="008F7801" w:rsidR="00EA50E1">
        <w:rPr>
          <w:sz w:val="22"/>
          <w:szCs w:val="22"/>
        </w:rPr>
        <w:t xml:space="preserve"> on</w:t>
      </w:r>
      <w:r w:rsidRPr="008F7801" w:rsidR="000C132D">
        <w:rPr>
          <w:sz w:val="22"/>
          <w:szCs w:val="22"/>
        </w:rPr>
        <w:t xml:space="preserve"> </w:t>
      </w:r>
      <w:r w:rsidR="002803FE">
        <w:rPr>
          <w:sz w:val="22"/>
          <w:szCs w:val="22"/>
        </w:rPr>
        <w:t>01/31/2025</w:t>
      </w:r>
      <w:r w:rsidRPr="008F7801" w:rsidR="006C180A">
        <w:rPr>
          <w:sz w:val="22"/>
          <w:szCs w:val="22"/>
        </w:rPr>
        <w:t>.</w:t>
      </w:r>
      <w:r w:rsidRPr="008F7801" w:rsidR="00537767">
        <w:rPr>
          <w:sz w:val="22"/>
          <w:szCs w:val="22"/>
        </w:rPr>
        <w:t xml:space="preserve"> </w:t>
      </w:r>
      <w:r w:rsidRPr="008F7801">
        <w:rPr>
          <w:sz w:val="22"/>
          <w:szCs w:val="22"/>
        </w:rPr>
        <w:t>The current package differs from the previous package in t</w:t>
      </w:r>
      <w:r w:rsidR="00846695">
        <w:rPr>
          <w:sz w:val="22"/>
          <w:szCs w:val="22"/>
        </w:rPr>
        <w:t>wo</w:t>
      </w:r>
      <w:r w:rsidRPr="008F7801">
        <w:rPr>
          <w:sz w:val="22"/>
          <w:szCs w:val="22"/>
        </w:rPr>
        <w:t xml:space="preserve"> primary ways, described below.</w:t>
      </w:r>
    </w:p>
    <w:p w:rsidR="00BF75A8" w:rsidP="00206E66" w14:paraId="7A77A8E8" w14:textId="77777777">
      <w:pPr>
        <w:autoSpaceDE w:val="0"/>
        <w:autoSpaceDN w:val="0"/>
        <w:adjustRightInd w:val="0"/>
        <w:rPr>
          <w:sz w:val="22"/>
          <w:szCs w:val="22"/>
        </w:rPr>
      </w:pPr>
    </w:p>
    <w:p w:rsidR="00BF75A8" w:rsidP="00BF75A8" w14:paraId="5E828B8A" w14:textId="5A9BADD1">
      <w:pPr>
        <w:pStyle w:val="ListParagraph"/>
        <w:numPr>
          <w:ilvl w:val="0"/>
          <w:numId w:val="15"/>
        </w:numPr>
        <w:spacing w:after="120"/>
        <w:rPr>
          <w:sz w:val="22"/>
          <w:szCs w:val="22"/>
        </w:rPr>
      </w:pPr>
      <w:r w:rsidRPr="005D78A2">
        <w:rPr>
          <w:sz w:val="22"/>
          <w:szCs w:val="22"/>
        </w:rPr>
        <w:t>Potential for inclusion of incentives for participation in EHS-Net studies. This will not result in an increased cost to the federal government because the cost of incentives is included in the existing EHS-Net cooperative agreement.</w:t>
      </w:r>
    </w:p>
    <w:p w:rsidR="00BF75A8" w:rsidRPr="00BF75A8" w:rsidP="00BF75A8" w14:paraId="035951E5" w14:textId="1F320F52">
      <w:pPr>
        <w:pStyle w:val="ListParagraph"/>
        <w:numPr>
          <w:ilvl w:val="0"/>
          <w:numId w:val="15"/>
        </w:numPr>
        <w:spacing w:after="120"/>
        <w:rPr>
          <w:sz w:val="22"/>
          <w:szCs w:val="22"/>
        </w:rPr>
      </w:pPr>
      <w:r w:rsidRPr="00BF75A8">
        <w:rPr>
          <w:sz w:val="22"/>
          <w:szCs w:val="22"/>
        </w:rPr>
        <w:t>The annual cost to the federal government has increased by a maximum of $614 per year to cover the cost of Spanish translation of the manager and worker interview forms by the CDC Multilingual Services Team.</w:t>
      </w:r>
    </w:p>
    <w:p w:rsidR="00206E66" w:rsidRPr="008F7801" w:rsidP="00206E66" w14:paraId="75870B9D" w14:textId="77777777">
      <w:pPr>
        <w:autoSpaceDE w:val="0"/>
        <w:autoSpaceDN w:val="0"/>
        <w:adjustRightInd w:val="0"/>
        <w:rPr>
          <w:sz w:val="22"/>
          <w:szCs w:val="22"/>
        </w:rPr>
      </w:pPr>
    </w:p>
    <w:p w:rsidR="00501F90" w:rsidRPr="008F7801" w:rsidP="00BE33F4" w14:paraId="001D8830" w14:textId="77777777">
      <w:pPr>
        <w:autoSpaceDE w:val="0"/>
        <w:autoSpaceDN w:val="0"/>
        <w:adjustRightInd w:val="0"/>
        <w:rPr>
          <w:sz w:val="22"/>
          <w:szCs w:val="22"/>
        </w:rPr>
      </w:pPr>
    </w:p>
    <w:p w:rsidR="00955DBB" w:rsidRPr="008F7801" w:rsidP="00BE33F4" w14:paraId="07FE5349" w14:textId="14B72277">
      <w:pPr>
        <w:autoSpaceDE w:val="0"/>
        <w:autoSpaceDN w:val="0"/>
        <w:adjustRightInd w:val="0"/>
        <w:rPr>
          <w:sz w:val="22"/>
          <w:szCs w:val="22"/>
        </w:rPr>
      </w:pPr>
      <w:r w:rsidRPr="008F7801">
        <w:rPr>
          <w:sz w:val="22"/>
          <w:szCs w:val="22"/>
        </w:rPr>
        <w:t xml:space="preserve">After </w:t>
      </w:r>
      <w:r w:rsidR="00542184">
        <w:rPr>
          <w:sz w:val="22"/>
          <w:szCs w:val="22"/>
        </w:rPr>
        <w:t>2021</w:t>
      </w:r>
      <w:r w:rsidRPr="008F7801">
        <w:rPr>
          <w:sz w:val="22"/>
          <w:szCs w:val="22"/>
        </w:rPr>
        <w:t>, the</w:t>
      </w:r>
      <w:r w:rsidRPr="008F7801" w:rsidR="00BA6C39">
        <w:rPr>
          <w:sz w:val="22"/>
          <w:szCs w:val="22"/>
        </w:rPr>
        <w:t xml:space="preserve"> </w:t>
      </w:r>
      <w:r w:rsidR="003B72C5">
        <w:rPr>
          <w:sz w:val="22"/>
          <w:szCs w:val="22"/>
        </w:rPr>
        <w:t>appendice</w:t>
      </w:r>
      <w:r w:rsidR="00B3324C">
        <w:rPr>
          <w:sz w:val="22"/>
          <w:szCs w:val="22"/>
        </w:rPr>
        <w:t>s</w:t>
      </w:r>
      <w:r w:rsidRPr="008F7801" w:rsidR="00BA6C39">
        <w:rPr>
          <w:sz w:val="22"/>
          <w:szCs w:val="22"/>
        </w:rPr>
        <w:t xml:space="preserve"> </w:t>
      </w:r>
      <w:r w:rsidRPr="008F7801">
        <w:rPr>
          <w:sz w:val="22"/>
          <w:szCs w:val="22"/>
        </w:rPr>
        <w:t>ha</w:t>
      </w:r>
      <w:r w:rsidRPr="008F7801" w:rsidR="00BA6C39">
        <w:rPr>
          <w:sz w:val="22"/>
          <w:szCs w:val="22"/>
        </w:rPr>
        <w:t>ve</w:t>
      </w:r>
      <w:r w:rsidRPr="008F7801">
        <w:rPr>
          <w:sz w:val="22"/>
          <w:szCs w:val="22"/>
        </w:rPr>
        <w:t xml:space="preserve"> been restructured </w:t>
      </w:r>
      <w:r w:rsidRPr="008F7801" w:rsidR="00BA6C39">
        <w:rPr>
          <w:sz w:val="22"/>
          <w:szCs w:val="22"/>
        </w:rPr>
        <w:t xml:space="preserve">in </w:t>
      </w:r>
      <w:r w:rsidR="00542184">
        <w:rPr>
          <w:sz w:val="22"/>
          <w:szCs w:val="22"/>
        </w:rPr>
        <w:t>2024</w:t>
      </w:r>
      <w:r w:rsidRPr="008F7801" w:rsidR="00BA6C39">
        <w:rPr>
          <w:sz w:val="22"/>
          <w:szCs w:val="22"/>
        </w:rPr>
        <w:t xml:space="preserve"> </w:t>
      </w:r>
      <w:r w:rsidRPr="008F7801">
        <w:rPr>
          <w:sz w:val="22"/>
          <w:szCs w:val="22"/>
        </w:rPr>
        <w:t>as follows:</w:t>
      </w:r>
    </w:p>
    <w:p w:rsidR="00955DBB" w:rsidRPr="008F7801" w:rsidP="00BE33F4" w14:paraId="42CDD3B0" w14:textId="77777777">
      <w:pPr>
        <w:autoSpaceDE w:val="0"/>
        <w:autoSpaceDN w:val="0"/>
        <w:adjustRightInd w:val="0"/>
        <w:rPr>
          <w:sz w:val="22"/>
          <w:szCs w:val="22"/>
        </w:rPr>
      </w:pPr>
      <w:r w:rsidRPr="008F7801">
        <w:rPr>
          <w:sz w:val="22"/>
          <w:szCs w:val="22"/>
        </w:rPr>
        <w:br w:type="page"/>
      </w:r>
    </w:p>
    <w:tbl>
      <w:tblPr>
        <w:tblW w:w="93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tblPr>
      <w:tblGrid>
        <w:gridCol w:w="1710"/>
        <w:gridCol w:w="2070"/>
        <w:gridCol w:w="900"/>
        <w:gridCol w:w="900"/>
        <w:gridCol w:w="3780"/>
      </w:tblGrid>
      <w:tr w14:paraId="7273AFF7" w14:textId="77777777" w:rsidTr="00F03FCB">
        <w:tblPrEx>
          <w:tblW w:w="93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tblPrEx>
        <w:trPr>
          <w:trHeight w:val="255"/>
        </w:trPr>
        <w:tc>
          <w:tcPr>
            <w:tcW w:w="1710" w:type="dxa"/>
            <w:vMerge w:val="restart"/>
            <w:tcMar>
              <w:left w:w="29" w:type="dxa"/>
              <w:right w:w="29" w:type="dxa"/>
            </w:tcMar>
            <w:vAlign w:val="center"/>
          </w:tcPr>
          <w:p w:rsidR="00BA6C39" w:rsidRPr="00771B56" w:rsidP="005964D5" w14:paraId="6D3EE9AE" w14:textId="77777777">
            <w:pPr>
              <w:jc w:val="center"/>
              <w:rPr>
                <w:b/>
                <w:sz w:val="22"/>
                <w:szCs w:val="22"/>
              </w:rPr>
            </w:pPr>
            <w:r w:rsidRPr="00771B56">
              <w:rPr>
                <w:b/>
                <w:sz w:val="22"/>
                <w:szCs w:val="22"/>
              </w:rPr>
              <w:t>Type of Respondents</w:t>
            </w:r>
          </w:p>
        </w:tc>
        <w:tc>
          <w:tcPr>
            <w:tcW w:w="2070" w:type="dxa"/>
            <w:vMerge w:val="restart"/>
            <w:vAlign w:val="center"/>
          </w:tcPr>
          <w:p w:rsidR="00BA6C39" w:rsidRPr="00771B56" w:rsidP="005964D5" w14:paraId="2197B891" w14:textId="77777777">
            <w:pPr>
              <w:jc w:val="center"/>
              <w:rPr>
                <w:b/>
                <w:sz w:val="22"/>
                <w:szCs w:val="22"/>
              </w:rPr>
            </w:pPr>
            <w:r w:rsidRPr="00771B56">
              <w:rPr>
                <w:b/>
                <w:sz w:val="22"/>
                <w:szCs w:val="22"/>
              </w:rPr>
              <w:t>Form Name</w:t>
            </w:r>
          </w:p>
        </w:tc>
        <w:tc>
          <w:tcPr>
            <w:tcW w:w="1800" w:type="dxa"/>
            <w:gridSpan w:val="2"/>
            <w:vAlign w:val="center"/>
          </w:tcPr>
          <w:p w:rsidR="00BA6C39" w:rsidRPr="00771B56" w:rsidP="00BA6C39" w14:paraId="54904BFF" w14:textId="77777777">
            <w:pPr>
              <w:jc w:val="center"/>
              <w:rPr>
                <w:b/>
                <w:sz w:val="22"/>
                <w:szCs w:val="22"/>
              </w:rPr>
            </w:pPr>
            <w:r w:rsidRPr="00771B56">
              <w:rPr>
                <w:b/>
                <w:sz w:val="22"/>
                <w:szCs w:val="22"/>
              </w:rPr>
              <w:t>Form Number</w:t>
            </w:r>
          </w:p>
        </w:tc>
        <w:tc>
          <w:tcPr>
            <w:tcW w:w="3780" w:type="dxa"/>
            <w:vMerge w:val="restart"/>
            <w:tcMar>
              <w:left w:w="29" w:type="dxa"/>
              <w:right w:w="29" w:type="dxa"/>
            </w:tcMar>
            <w:vAlign w:val="center"/>
          </w:tcPr>
          <w:p w:rsidR="00BA6C39" w:rsidRPr="00771B56" w:rsidP="00BA6C39" w14:paraId="3EC04DC1" w14:textId="77777777">
            <w:pPr>
              <w:jc w:val="center"/>
              <w:rPr>
                <w:b/>
                <w:sz w:val="22"/>
                <w:szCs w:val="22"/>
              </w:rPr>
            </w:pPr>
            <w:r w:rsidRPr="00771B56">
              <w:rPr>
                <w:b/>
                <w:sz w:val="22"/>
                <w:szCs w:val="22"/>
              </w:rPr>
              <w:t>Description of Changes</w:t>
            </w:r>
          </w:p>
        </w:tc>
      </w:tr>
      <w:tr w14:paraId="6E167DEB" w14:textId="77777777" w:rsidTr="00F03FCB">
        <w:tblPrEx>
          <w:tblW w:w="9360" w:type="dxa"/>
          <w:tblInd w:w="29" w:type="dxa"/>
          <w:tblLayout w:type="fixed"/>
          <w:tblCellMar>
            <w:left w:w="29" w:type="dxa"/>
            <w:right w:w="29" w:type="dxa"/>
          </w:tblCellMar>
          <w:tblLook w:val="01E0"/>
        </w:tblPrEx>
        <w:trPr>
          <w:trHeight w:val="255"/>
        </w:trPr>
        <w:tc>
          <w:tcPr>
            <w:tcW w:w="1710" w:type="dxa"/>
            <w:vMerge/>
            <w:tcMar>
              <w:left w:w="29" w:type="dxa"/>
              <w:right w:w="29" w:type="dxa"/>
            </w:tcMar>
            <w:vAlign w:val="center"/>
          </w:tcPr>
          <w:p w:rsidR="00BA6C39" w:rsidRPr="008F7801" w:rsidP="005964D5" w14:paraId="5B32822D" w14:textId="77777777">
            <w:pPr>
              <w:jc w:val="center"/>
              <w:rPr>
                <w:bCs/>
                <w:sz w:val="22"/>
                <w:szCs w:val="22"/>
              </w:rPr>
            </w:pPr>
          </w:p>
        </w:tc>
        <w:tc>
          <w:tcPr>
            <w:tcW w:w="2070" w:type="dxa"/>
            <w:vMerge/>
            <w:vAlign w:val="center"/>
          </w:tcPr>
          <w:p w:rsidR="00BA6C39" w:rsidRPr="008F7801" w:rsidP="005964D5" w14:paraId="3BB8E478" w14:textId="77777777">
            <w:pPr>
              <w:jc w:val="center"/>
              <w:rPr>
                <w:bCs/>
                <w:sz w:val="22"/>
                <w:szCs w:val="22"/>
              </w:rPr>
            </w:pPr>
          </w:p>
        </w:tc>
        <w:tc>
          <w:tcPr>
            <w:tcW w:w="900" w:type="dxa"/>
            <w:vAlign w:val="center"/>
          </w:tcPr>
          <w:p w:rsidR="00BA6C39" w:rsidRPr="008F7801" w:rsidP="00BA6C39" w14:paraId="3F21AD8E" w14:textId="36524E96">
            <w:pPr>
              <w:jc w:val="center"/>
              <w:rPr>
                <w:bCs/>
                <w:sz w:val="22"/>
                <w:szCs w:val="22"/>
              </w:rPr>
            </w:pPr>
            <w:r w:rsidRPr="008F7801">
              <w:rPr>
                <w:bCs/>
                <w:sz w:val="22"/>
                <w:szCs w:val="22"/>
              </w:rPr>
              <w:t>20</w:t>
            </w:r>
            <w:r w:rsidR="00A06B53">
              <w:rPr>
                <w:bCs/>
                <w:sz w:val="22"/>
                <w:szCs w:val="22"/>
              </w:rPr>
              <w:t>21</w:t>
            </w:r>
          </w:p>
        </w:tc>
        <w:tc>
          <w:tcPr>
            <w:tcW w:w="900" w:type="dxa"/>
            <w:vAlign w:val="center"/>
          </w:tcPr>
          <w:p w:rsidR="00BA6C39" w:rsidRPr="008F7801" w:rsidP="00BA6C39" w14:paraId="0A0BF1E3" w14:textId="0E9DB26D">
            <w:pPr>
              <w:jc w:val="center"/>
              <w:rPr>
                <w:bCs/>
                <w:sz w:val="22"/>
                <w:szCs w:val="22"/>
              </w:rPr>
            </w:pPr>
            <w:r w:rsidRPr="008F7801">
              <w:rPr>
                <w:bCs/>
                <w:sz w:val="22"/>
                <w:szCs w:val="22"/>
              </w:rPr>
              <w:t>202</w:t>
            </w:r>
            <w:r w:rsidR="00A06B53">
              <w:rPr>
                <w:bCs/>
                <w:sz w:val="22"/>
                <w:szCs w:val="22"/>
              </w:rPr>
              <w:t>4</w:t>
            </w:r>
          </w:p>
        </w:tc>
        <w:tc>
          <w:tcPr>
            <w:tcW w:w="3780" w:type="dxa"/>
            <w:vMerge/>
            <w:tcMar>
              <w:left w:w="29" w:type="dxa"/>
              <w:right w:w="29" w:type="dxa"/>
            </w:tcMar>
            <w:vAlign w:val="center"/>
          </w:tcPr>
          <w:p w:rsidR="00BA6C39" w:rsidRPr="008F7801" w:rsidP="00BA6C39" w14:paraId="074B4804" w14:textId="77777777">
            <w:pPr>
              <w:jc w:val="center"/>
              <w:rPr>
                <w:bCs/>
                <w:sz w:val="22"/>
                <w:szCs w:val="22"/>
              </w:rPr>
            </w:pPr>
          </w:p>
        </w:tc>
      </w:tr>
      <w:tr w14:paraId="433A4EDB" w14:textId="77777777" w:rsidTr="00F03FCB">
        <w:tblPrEx>
          <w:tblW w:w="9360" w:type="dxa"/>
          <w:tblInd w:w="29" w:type="dxa"/>
          <w:tblLayout w:type="fixed"/>
          <w:tblCellMar>
            <w:left w:w="29" w:type="dxa"/>
            <w:right w:w="29" w:type="dxa"/>
          </w:tblCellMar>
          <w:tblLook w:val="01E0"/>
        </w:tblPrEx>
        <w:trPr>
          <w:trHeight w:val="530"/>
        </w:trPr>
        <w:tc>
          <w:tcPr>
            <w:tcW w:w="1710" w:type="dxa"/>
            <w:vMerge w:val="restart"/>
            <w:tcMar>
              <w:left w:w="29" w:type="dxa"/>
              <w:right w:w="29" w:type="dxa"/>
            </w:tcMar>
            <w:vAlign w:val="center"/>
          </w:tcPr>
          <w:p w:rsidR="00114497" w:rsidRPr="008F7801" w:rsidP="00F03FCB" w14:paraId="6FE9909C" w14:textId="77777777">
            <w:pPr>
              <w:spacing w:after="240"/>
              <w:rPr>
                <w:sz w:val="22"/>
                <w:szCs w:val="22"/>
              </w:rPr>
            </w:pPr>
            <w:r w:rsidRPr="008F7801">
              <w:rPr>
                <w:sz w:val="22"/>
                <w:szCs w:val="22"/>
              </w:rPr>
              <w:t>Retail managers</w:t>
            </w:r>
          </w:p>
        </w:tc>
        <w:tc>
          <w:tcPr>
            <w:tcW w:w="2070" w:type="dxa"/>
            <w:vAlign w:val="center"/>
          </w:tcPr>
          <w:p w:rsidR="00114497" w:rsidRPr="008F7801" w:rsidP="00F03FCB" w14:paraId="6E5DB4C5" w14:textId="7A7FB6CD">
            <w:pPr>
              <w:spacing w:after="240"/>
              <w:rPr>
                <w:sz w:val="22"/>
                <w:szCs w:val="22"/>
              </w:rPr>
            </w:pPr>
            <w:r>
              <w:rPr>
                <w:sz w:val="22"/>
                <w:szCs w:val="22"/>
              </w:rPr>
              <w:t>Manager Informed Consent</w:t>
            </w:r>
          </w:p>
        </w:tc>
        <w:tc>
          <w:tcPr>
            <w:tcW w:w="900" w:type="dxa"/>
            <w:vAlign w:val="center"/>
          </w:tcPr>
          <w:p w:rsidR="00114497" w:rsidRPr="008F7801" w:rsidP="00F03FCB" w14:paraId="1BECCC66" w14:textId="7C1813DC">
            <w:pPr>
              <w:spacing w:after="240"/>
              <w:ind w:right="151"/>
              <w:jc w:val="center"/>
              <w:rPr>
                <w:sz w:val="22"/>
                <w:szCs w:val="22"/>
              </w:rPr>
            </w:pPr>
            <w:r>
              <w:rPr>
                <w:sz w:val="22"/>
                <w:szCs w:val="22"/>
              </w:rPr>
              <w:t>Apx</w:t>
            </w:r>
            <w:r w:rsidR="00B94350">
              <w:rPr>
                <w:sz w:val="22"/>
                <w:szCs w:val="22"/>
              </w:rPr>
              <w:t xml:space="preserve"> 1</w:t>
            </w:r>
          </w:p>
        </w:tc>
        <w:tc>
          <w:tcPr>
            <w:tcW w:w="900" w:type="dxa"/>
            <w:vAlign w:val="center"/>
          </w:tcPr>
          <w:p w:rsidR="00114497" w:rsidRPr="008F7801" w:rsidP="00F03FCB" w14:paraId="666A2F02" w14:textId="2BA8E255">
            <w:pPr>
              <w:spacing w:after="240"/>
              <w:ind w:right="151"/>
              <w:jc w:val="center"/>
              <w:rPr>
                <w:sz w:val="22"/>
                <w:szCs w:val="22"/>
              </w:rPr>
            </w:pPr>
            <w:r>
              <w:rPr>
                <w:sz w:val="22"/>
                <w:szCs w:val="22"/>
              </w:rPr>
              <w:t>Apx</w:t>
            </w:r>
            <w:r w:rsidR="00B94350">
              <w:rPr>
                <w:sz w:val="22"/>
                <w:szCs w:val="22"/>
              </w:rPr>
              <w:t xml:space="preserve"> 2</w:t>
            </w:r>
          </w:p>
        </w:tc>
        <w:tc>
          <w:tcPr>
            <w:tcW w:w="3780" w:type="dxa"/>
            <w:tcMar>
              <w:left w:w="29" w:type="dxa"/>
              <w:right w:w="29" w:type="dxa"/>
            </w:tcMar>
            <w:vAlign w:val="center"/>
          </w:tcPr>
          <w:p w:rsidR="00C85B92" w:rsidP="00F03FCB" w14:paraId="2EB1F5B5" w14:textId="76DB4FD5">
            <w:pPr>
              <w:spacing w:after="240"/>
              <w:ind w:right="151"/>
              <w:rPr>
                <w:sz w:val="22"/>
                <w:szCs w:val="22"/>
              </w:rPr>
            </w:pPr>
            <w:r>
              <w:rPr>
                <w:sz w:val="22"/>
                <w:szCs w:val="22"/>
              </w:rPr>
              <w:t>Document</w:t>
            </w:r>
            <w:r>
              <w:rPr>
                <w:sz w:val="22"/>
                <w:szCs w:val="22"/>
              </w:rPr>
              <w:t xml:space="preserve"> number changed</w:t>
            </w:r>
          </w:p>
          <w:p w:rsidR="00114497" w:rsidP="00F03FCB" w14:paraId="5561F911" w14:textId="268C5513">
            <w:pPr>
              <w:spacing w:after="240"/>
              <w:ind w:right="151"/>
              <w:rPr>
                <w:sz w:val="22"/>
                <w:szCs w:val="22"/>
              </w:rPr>
            </w:pPr>
            <w:r>
              <w:rPr>
                <w:sz w:val="22"/>
                <w:szCs w:val="22"/>
              </w:rPr>
              <w:t xml:space="preserve">Added </w:t>
            </w:r>
            <w:r w:rsidR="001C10E0">
              <w:rPr>
                <w:sz w:val="22"/>
                <w:szCs w:val="22"/>
              </w:rPr>
              <w:t>wording for incentives EHS-Net staff can use if applicable</w:t>
            </w:r>
          </w:p>
          <w:p w:rsidR="001C10E0" w:rsidRPr="008F7801" w:rsidP="00F03FCB" w14:paraId="129A4449" w14:textId="21ECFA10">
            <w:pPr>
              <w:spacing w:after="240"/>
              <w:ind w:right="151"/>
              <w:rPr>
                <w:sz w:val="22"/>
                <w:szCs w:val="22"/>
              </w:rPr>
            </w:pPr>
            <w:r>
              <w:rPr>
                <w:sz w:val="22"/>
                <w:szCs w:val="22"/>
              </w:rPr>
              <w:t>No change in burden estimate</w:t>
            </w:r>
          </w:p>
        </w:tc>
      </w:tr>
      <w:tr w14:paraId="6FE8ADB4" w14:textId="77777777" w:rsidTr="00F03FCB">
        <w:tblPrEx>
          <w:tblW w:w="9360" w:type="dxa"/>
          <w:tblInd w:w="29" w:type="dxa"/>
          <w:tblLayout w:type="fixed"/>
          <w:tblCellMar>
            <w:left w:w="29" w:type="dxa"/>
            <w:right w:w="29" w:type="dxa"/>
          </w:tblCellMar>
          <w:tblLook w:val="01E0"/>
        </w:tblPrEx>
        <w:trPr>
          <w:trHeight w:val="1331"/>
        </w:trPr>
        <w:tc>
          <w:tcPr>
            <w:tcW w:w="1710" w:type="dxa"/>
            <w:vMerge/>
            <w:tcMar>
              <w:left w:w="29" w:type="dxa"/>
              <w:right w:w="29" w:type="dxa"/>
            </w:tcMar>
            <w:vAlign w:val="bottom"/>
          </w:tcPr>
          <w:p w:rsidR="00B94350" w:rsidRPr="008F7801" w:rsidP="00B94350" w14:paraId="2EEFF316" w14:textId="77777777">
            <w:pPr>
              <w:spacing w:after="240"/>
              <w:rPr>
                <w:sz w:val="22"/>
                <w:szCs w:val="22"/>
              </w:rPr>
            </w:pPr>
          </w:p>
        </w:tc>
        <w:tc>
          <w:tcPr>
            <w:tcW w:w="2070" w:type="dxa"/>
            <w:vAlign w:val="center"/>
          </w:tcPr>
          <w:p w:rsidR="00B94350" w:rsidRPr="008F7801" w:rsidP="00B94350" w14:paraId="464D706D" w14:textId="2DB22C87">
            <w:pPr>
              <w:spacing w:after="240"/>
              <w:rPr>
                <w:sz w:val="22"/>
                <w:szCs w:val="22"/>
              </w:rPr>
            </w:pPr>
            <w:r w:rsidRPr="008F7801">
              <w:rPr>
                <w:sz w:val="22"/>
                <w:szCs w:val="22"/>
              </w:rPr>
              <w:t>Manager Telephone Recruiting Script</w:t>
            </w:r>
          </w:p>
        </w:tc>
        <w:tc>
          <w:tcPr>
            <w:tcW w:w="900" w:type="dxa"/>
            <w:vAlign w:val="center"/>
          </w:tcPr>
          <w:p w:rsidR="00B94350" w:rsidRPr="008F7801" w:rsidP="00B94350" w14:paraId="23DEF2D8" w14:textId="54B26E70">
            <w:pPr>
              <w:spacing w:after="240"/>
              <w:ind w:right="151"/>
              <w:jc w:val="center"/>
              <w:rPr>
                <w:sz w:val="22"/>
                <w:szCs w:val="22"/>
              </w:rPr>
            </w:pPr>
            <w:r>
              <w:rPr>
                <w:sz w:val="22"/>
                <w:szCs w:val="22"/>
              </w:rPr>
              <w:t>Apx</w:t>
            </w:r>
            <w:r w:rsidRPr="008F7801">
              <w:rPr>
                <w:sz w:val="22"/>
                <w:szCs w:val="22"/>
              </w:rPr>
              <w:t xml:space="preserve"> </w:t>
            </w:r>
            <w:r>
              <w:rPr>
                <w:sz w:val="22"/>
                <w:szCs w:val="22"/>
              </w:rPr>
              <w:t>3</w:t>
            </w:r>
          </w:p>
        </w:tc>
        <w:tc>
          <w:tcPr>
            <w:tcW w:w="900" w:type="dxa"/>
            <w:vAlign w:val="center"/>
          </w:tcPr>
          <w:p w:rsidR="00B94350" w:rsidRPr="008F7801" w:rsidP="00B94350" w14:paraId="3B171BDD" w14:textId="27E628BA">
            <w:pPr>
              <w:spacing w:after="240"/>
              <w:ind w:right="151"/>
              <w:jc w:val="center"/>
              <w:rPr>
                <w:sz w:val="22"/>
                <w:szCs w:val="22"/>
              </w:rPr>
            </w:pPr>
            <w:r>
              <w:rPr>
                <w:sz w:val="22"/>
                <w:szCs w:val="22"/>
              </w:rPr>
              <w:t>Apx</w:t>
            </w:r>
            <w:r w:rsidRPr="008F7801">
              <w:rPr>
                <w:sz w:val="22"/>
                <w:szCs w:val="22"/>
              </w:rPr>
              <w:t xml:space="preserve"> </w:t>
            </w:r>
            <w:r>
              <w:rPr>
                <w:sz w:val="22"/>
                <w:szCs w:val="22"/>
              </w:rPr>
              <w:t>4</w:t>
            </w:r>
          </w:p>
        </w:tc>
        <w:tc>
          <w:tcPr>
            <w:tcW w:w="3780" w:type="dxa"/>
            <w:tcMar>
              <w:left w:w="29" w:type="dxa"/>
              <w:right w:w="29" w:type="dxa"/>
            </w:tcMar>
            <w:vAlign w:val="center"/>
          </w:tcPr>
          <w:p w:rsidR="00C85B92" w:rsidP="001C10E0" w14:paraId="6ACE2AA1" w14:textId="1ACF148A">
            <w:pPr>
              <w:spacing w:after="240"/>
              <w:ind w:right="151"/>
              <w:rPr>
                <w:sz w:val="22"/>
                <w:szCs w:val="22"/>
              </w:rPr>
            </w:pPr>
            <w:r>
              <w:rPr>
                <w:sz w:val="22"/>
                <w:szCs w:val="22"/>
              </w:rPr>
              <w:t>Document</w:t>
            </w:r>
            <w:r>
              <w:rPr>
                <w:sz w:val="22"/>
                <w:szCs w:val="22"/>
              </w:rPr>
              <w:t xml:space="preserve"> number changed</w:t>
            </w:r>
          </w:p>
          <w:p w:rsidR="001C10E0" w:rsidP="001C10E0" w14:paraId="65CE9A5C" w14:textId="28FF723C">
            <w:pPr>
              <w:spacing w:after="240"/>
              <w:ind w:right="151"/>
              <w:rPr>
                <w:sz w:val="22"/>
                <w:szCs w:val="22"/>
              </w:rPr>
            </w:pPr>
            <w:r>
              <w:rPr>
                <w:sz w:val="22"/>
                <w:szCs w:val="22"/>
              </w:rPr>
              <w:t>Added wording for incentives EHS-Net staff can use if applicable</w:t>
            </w:r>
          </w:p>
          <w:p w:rsidR="00B94350" w:rsidRPr="008F7801" w:rsidP="00B94350" w14:paraId="679C3D4D" w14:textId="3A2573FE">
            <w:pPr>
              <w:spacing w:after="240"/>
              <w:ind w:right="151"/>
              <w:rPr>
                <w:sz w:val="22"/>
                <w:szCs w:val="22"/>
              </w:rPr>
            </w:pPr>
            <w:r>
              <w:rPr>
                <w:sz w:val="22"/>
                <w:szCs w:val="22"/>
              </w:rPr>
              <w:t>No change in burden estimate</w:t>
            </w:r>
            <w:r w:rsidRPr="008F7801">
              <w:rPr>
                <w:sz w:val="22"/>
                <w:szCs w:val="22"/>
              </w:rPr>
              <w:t xml:space="preserve"> </w:t>
            </w:r>
          </w:p>
        </w:tc>
      </w:tr>
      <w:tr w14:paraId="56F6F7C9" w14:textId="77777777" w:rsidTr="00864896">
        <w:tblPrEx>
          <w:tblW w:w="9360" w:type="dxa"/>
          <w:tblInd w:w="29" w:type="dxa"/>
          <w:tblLayout w:type="fixed"/>
          <w:tblCellMar>
            <w:left w:w="29" w:type="dxa"/>
            <w:right w:w="29" w:type="dxa"/>
          </w:tblCellMar>
          <w:tblLook w:val="01E0"/>
        </w:tblPrEx>
        <w:trPr>
          <w:trHeight w:hRule="exact" w:val="820"/>
        </w:trPr>
        <w:tc>
          <w:tcPr>
            <w:tcW w:w="1710" w:type="dxa"/>
            <w:vMerge/>
            <w:tcMar>
              <w:left w:w="29" w:type="dxa"/>
              <w:right w:w="29" w:type="dxa"/>
            </w:tcMar>
            <w:vAlign w:val="bottom"/>
          </w:tcPr>
          <w:p w:rsidR="00B94350" w:rsidRPr="008F7801" w:rsidP="00B94350" w14:paraId="4C5CCBED" w14:textId="77777777">
            <w:pPr>
              <w:spacing w:after="240"/>
              <w:rPr>
                <w:sz w:val="22"/>
                <w:szCs w:val="22"/>
              </w:rPr>
            </w:pPr>
          </w:p>
        </w:tc>
        <w:tc>
          <w:tcPr>
            <w:tcW w:w="2070" w:type="dxa"/>
            <w:tcBorders>
              <w:bottom w:val="single" w:sz="4" w:space="0" w:color="auto"/>
            </w:tcBorders>
            <w:vAlign w:val="center"/>
          </w:tcPr>
          <w:p w:rsidR="00B94350" w:rsidRPr="008F7801" w:rsidP="00B94350" w14:paraId="1F080E8E" w14:textId="49DF9AC9">
            <w:pPr>
              <w:spacing w:after="240"/>
              <w:rPr>
                <w:sz w:val="22"/>
                <w:szCs w:val="22"/>
              </w:rPr>
            </w:pPr>
            <w:r w:rsidRPr="008F7801">
              <w:rPr>
                <w:sz w:val="22"/>
                <w:szCs w:val="22"/>
              </w:rPr>
              <w:t>Manager Interview</w:t>
            </w:r>
          </w:p>
        </w:tc>
        <w:tc>
          <w:tcPr>
            <w:tcW w:w="900" w:type="dxa"/>
            <w:vAlign w:val="center"/>
          </w:tcPr>
          <w:p w:rsidR="00B94350" w:rsidRPr="008F7801" w:rsidP="00B94350" w14:paraId="13230DB1" w14:textId="17AFF7F4">
            <w:pPr>
              <w:spacing w:after="240"/>
              <w:ind w:right="151"/>
              <w:jc w:val="center"/>
              <w:rPr>
                <w:sz w:val="22"/>
                <w:szCs w:val="22"/>
              </w:rPr>
            </w:pPr>
            <w:r>
              <w:rPr>
                <w:sz w:val="22"/>
                <w:szCs w:val="22"/>
              </w:rPr>
              <w:t>Apx</w:t>
            </w:r>
            <w:r w:rsidRPr="008F7801">
              <w:rPr>
                <w:sz w:val="22"/>
                <w:szCs w:val="22"/>
              </w:rPr>
              <w:t xml:space="preserve"> </w:t>
            </w:r>
            <w:r>
              <w:rPr>
                <w:sz w:val="22"/>
                <w:szCs w:val="22"/>
              </w:rPr>
              <w:t>4</w:t>
            </w:r>
          </w:p>
        </w:tc>
        <w:tc>
          <w:tcPr>
            <w:tcW w:w="900" w:type="dxa"/>
            <w:vAlign w:val="center"/>
          </w:tcPr>
          <w:p w:rsidR="00B94350" w:rsidRPr="008F7801" w:rsidP="00B94350" w14:paraId="42D10A4E" w14:textId="1A5333E3">
            <w:pPr>
              <w:spacing w:after="240"/>
              <w:ind w:right="151"/>
              <w:jc w:val="center"/>
              <w:rPr>
                <w:sz w:val="22"/>
                <w:szCs w:val="22"/>
              </w:rPr>
            </w:pPr>
            <w:r>
              <w:rPr>
                <w:sz w:val="22"/>
                <w:szCs w:val="22"/>
              </w:rPr>
              <w:t>Apx</w:t>
            </w:r>
            <w:r w:rsidRPr="008F7801">
              <w:rPr>
                <w:sz w:val="22"/>
                <w:szCs w:val="22"/>
              </w:rPr>
              <w:t xml:space="preserve"> </w:t>
            </w:r>
            <w:r>
              <w:rPr>
                <w:sz w:val="22"/>
                <w:szCs w:val="22"/>
              </w:rPr>
              <w:t>5</w:t>
            </w:r>
          </w:p>
        </w:tc>
        <w:tc>
          <w:tcPr>
            <w:tcW w:w="3780" w:type="dxa"/>
            <w:tcMar>
              <w:left w:w="29" w:type="dxa"/>
              <w:right w:w="29" w:type="dxa"/>
            </w:tcMar>
            <w:vAlign w:val="center"/>
          </w:tcPr>
          <w:p w:rsidR="00C85B92" w:rsidP="00B94350" w14:paraId="14576468" w14:textId="2C8211F6">
            <w:pPr>
              <w:spacing w:after="240"/>
              <w:ind w:right="151"/>
              <w:rPr>
                <w:sz w:val="22"/>
                <w:szCs w:val="22"/>
              </w:rPr>
            </w:pPr>
            <w:r>
              <w:rPr>
                <w:sz w:val="22"/>
                <w:szCs w:val="22"/>
              </w:rPr>
              <w:t>Document</w:t>
            </w:r>
            <w:r>
              <w:rPr>
                <w:sz w:val="22"/>
                <w:szCs w:val="22"/>
              </w:rPr>
              <w:t xml:space="preserve"> number changed</w:t>
            </w:r>
          </w:p>
          <w:p w:rsidR="00B94350" w:rsidRPr="008F7801" w:rsidP="00B94350" w14:paraId="6885255B" w14:textId="700EC291">
            <w:pPr>
              <w:spacing w:after="240"/>
              <w:ind w:right="151"/>
              <w:rPr>
                <w:sz w:val="22"/>
                <w:szCs w:val="22"/>
              </w:rPr>
            </w:pPr>
            <w:r>
              <w:rPr>
                <w:sz w:val="22"/>
                <w:szCs w:val="22"/>
              </w:rPr>
              <w:t>No change in burden estimate</w:t>
            </w:r>
          </w:p>
        </w:tc>
      </w:tr>
      <w:tr w14:paraId="248CAD44" w14:textId="77777777" w:rsidTr="007161C9">
        <w:tblPrEx>
          <w:tblW w:w="9360" w:type="dxa"/>
          <w:tblInd w:w="29" w:type="dxa"/>
          <w:tblLayout w:type="fixed"/>
          <w:tblCellMar>
            <w:left w:w="29" w:type="dxa"/>
            <w:right w:w="29" w:type="dxa"/>
          </w:tblCellMar>
          <w:tblLook w:val="01E0"/>
        </w:tblPrEx>
        <w:trPr>
          <w:trHeight w:hRule="exact" w:val="820"/>
        </w:trPr>
        <w:tc>
          <w:tcPr>
            <w:tcW w:w="1710" w:type="dxa"/>
            <w:vMerge/>
            <w:tcMar>
              <w:left w:w="29" w:type="dxa"/>
              <w:right w:w="29" w:type="dxa"/>
            </w:tcMar>
            <w:vAlign w:val="bottom"/>
          </w:tcPr>
          <w:p w:rsidR="00B94350" w:rsidRPr="008F7801" w:rsidP="00B94350" w14:paraId="60690E23" w14:textId="77777777">
            <w:pPr>
              <w:spacing w:after="240"/>
              <w:rPr>
                <w:sz w:val="22"/>
                <w:szCs w:val="22"/>
              </w:rPr>
            </w:pPr>
          </w:p>
        </w:tc>
        <w:tc>
          <w:tcPr>
            <w:tcW w:w="2070" w:type="dxa"/>
            <w:tcBorders>
              <w:bottom w:val="single" w:sz="4" w:space="0" w:color="auto"/>
            </w:tcBorders>
            <w:vAlign w:val="center"/>
          </w:tcPr>
          <w:p w:rsidR="00B94350" w:rsidRPr="008F7801" w:rsidP="00B94350" w14:paraId="39504E8D" w14:textId="4265670F">
            <w:pPr>
              <w:spacing w:after="240"/>
              <w:rPr>
                <w:sz w:val="22"/>
                <w:szCs w:val="22"/>
              </w:rPr>
            </w:pPr>
            <w:r w:rsidRPr="008F7801">
              <w:rPr>
                <w:sz w:val="22"/>
                <w:szCs w:val="22"/>
              </w:rPr>
              <w:t>Observation</w:t>
            </w:r>
          </w:p>
        </w:tc>
        <w:tc>
          <w:tcPr>
            <w:tcW w:w="900" w:type="dxa"/>
            <w:vAlign w:val="center"/>
          </w:tcPr>
          <w:p w:rsidR="00B94350" w:rsidRPr="008F7801" w:rsidP="00B94350" w14:paraId="58E23809" w14:textId="132768DE">
            <w:pPr>
              <w:spacing w:after="240"/>
              <w:ind w:right="151"/>
              <w:jc w:val="center"/>
              <w:rPr>
                <w:sz w:val="22"/>
                <w:szCs w:val="22"/>
              </w:rPr>
            </w:pPr>
            <w:r>
              <w:rPr>
                <w:sz w:val="22"/>
                <w:szCs w:val="22"/>
              </w:rPr>
              <w:t>Apx</w:t>
            </w:r>
            <w:r w:rsidRPr="008F7801">
              <w:rPr>
                <w:sz w:val="22"/>
                <w:szCs w:val="22"/>
              </w:rPr>
              <w:t xml:space="preserve"> </w:t>
            </w:r>
            <w:r>
              <w:rPr>
                <w:sz w:val="22"/>
                <w:szCs w:val="22"/>
              </w:rPr>
              <w:t>6</w:t>
            </w:r>
          </w:p>
        </w:tc>
        <w:tc>
          <w:tcPr>
            <w:tcW w:w="900" w:type="dxa"/>
            <w:vAlign w:val="center"/>
          </w:tcPr>
          <w:p w:rsidR="00B94350" w:rsidRPr="008F7801" w:rsidP="00B94350" w14:paraId="798C8FAD" w14:textId="081F33DC">
            <w:pPr>
              <w:spacing w:after="240"/>
              <w:ind w:right="151"/>
              <w:jc w:val="center"/>
              <w:rPr>
                <w:sz w:val="22"/>
                <w:szCs w:val="22"/>
              </w:rPr>
            </w:pPr>
            <w:r>
              <w:rPr>
                <w:sz w:val="22"/>
                <w:szCs w:val="22"/>
              </w:rPr>
              <w:t>Apx</w:t>
            </w:r>
            <w:r w:rsidRPr="008F7801">
              <w:rPr>
                <w:sz w:val="22"/>
                <w:szCs w:val="22"/>
              </w:rPr>
              <w:t xml:space="preserve"> </w:t>
            </w:r>
            <w:r>
              <w:rPr>
                <w:sz w:val="22"/>
                <w:szCs w:val="22"/>
              </w:rPr>
              <w:t>7</w:t>
            </w:r>
          </w:p>
        </w:tc>
        <w:tc>
          <w:tcPr>
            <w:tcW w:w="3780" w:type="dxa"/>
            <w:tcMar>
              <w:left w:w="29" w:type="dxa"/>
              <w:right w:w="29" w:type="dxa"/>
            </w:tcMar>
            <w:vAlign w:val="center"/>
          </w:tcPr>
          <w:p w:rsidR="00C85B92" w:rsidP="00B94350" w14:paraId="60A8FE1C" w14:textId="4E86EF37">
            <w:pPr>
              <w:spacing w:after="240"/>
              <w:ind w:right="151"/>
              <w:rPr>
                <w:sz w:val="22"/>
                <w:szCs w:val="22"/>
              </w:rPr>
            </w:pPr>
            <w:r>
              <w:rPr>
                <w:sz w:val="22"/>
                <w:szCs w:val="22"/>
              </w:rPr>
              <w:t>Document</w:t>
            </w:r>
            <w:r>
              <w:rPr>
                <w:sz w:val="22"/>
                <w:szCs w:val="22"/>
              </w:rPr>
              <w:t xml:space="preserve"> number changed</w:t>
            </w:r>
          </w:p>
          <w:p w:rsidR="00B94350" w:rsidRPr="008F7801" w:rsidP="00B94350" w14:paraId="2070DAF5" w14:textId="46AC7248">
            <w:pPr>
              <w:spacing w:after="240"/>
              <w:ind w:right="151"/>
              <w:rPr>
                <w:sz w:val="22"/>
                <w:szCs w:val="22"/>
              </w:rPr>
            </w:pPr>
            <w:r>
              <w:rPr>
                <w:sz w:val="22"/>
                <w:szCs w:val="22"/>
              </w:rPr>
              <w:t>No change in burden estimate</w:t>
            </w:r>
          </w:p>
        </w:tc>
      </w:tr>
      <w:tr w14:paraId="3FA85B44" w14:textId="77777777" w:rsidTr="00B3324C">
        <w:tblPrEx>
          <w:tblW w:w="9360" w:type="dxa"/>
          <w:tblInd w:w="29" w:type="dxa"/>
          <w:tblLayout w:type="fixed"/>
          <w:tblCellMar>
            <w:left w:w="29" w:type="dxa"/>
            <w:right w:w="29" w:type="dxa"/>
          </w:tblCellMar>
          <w:tblLook w:val="01E0"/>
        </w:tblPrEx>
        <w:trPr>
          <w:trHeight w:hRule="exact" w:val="1648"/>
        </w:trPr>
        <w:tc>
          <w:tcPr>
            <w:tcW w:w="1710" w:type="dxa"/>
            <w:vMerge w:val="restart"/>
            <w:tcMar>
              <w:left w:w="29" w:type="dxa"/>
              <w:right w:w="29" w:type="dxa"/>
            </w:tcMar>
            <w:vAlign w:val="center"/>
          </w:tcPr>
          <w:p w:rsidR="006752AA" w:rsidRPr="008F7801" w:rsidP="00F03FCB" w14:paraId="5B8CD127" w14:textId="77777777">
            <w:pPr>
              <w:spacing w:after="240"/>
              <w:rPr>
                <w:sz w:val="22"/>
                <w:szCs w:val="22"/>
              </w:rPr>
            </w:pPr>
            <w:r w:rsidRPr="008F7801">
              <w:rPr>
                <w:sz w:val="22"/>
                <w:szCs w:val="22"/>
              </w:rPr>
              <w:t>Retail food workers</w:t>
            </w:r>
          </w:p>
        </w:tc>
        <w:tc>
          <w:tcPr>
            <w:tcW w:w="2070" w:type="dxa"/>
            <w:vAlign w:val="center"/>
          </w:tcPr>
          <w:p w:rsidR="006752AA" w:rsidRPr="008F7801" w:rsidP="00CB3174" w14:paraId="02C6EBDD" w14:textId="045071DF">
            <w:pPr>
              <w:rPr>
                <w:sz w:val="22"/>
                <w:szCs w:val="22"/>
              </w:rPr>
            </w:pPr>
            <w:r>
              <w:rPr>
                <w:sz w:val="22"/>
                <w:szCs w:val="22"/>
              </w:rPr>
              <w:t>Worker Recruiting/Informed Consent</w:t>
            </w:r>
          </w:p>
        </w:tc>
        <w:tc>
          <w:tcPr>
            <w:tcW w:w="900" w:type="dxa"/>
            <w:tcBorders>
              <w:bottom w:val="single" w:sz="4" w:space="0" w:color="auto"/>
            </w:tcBorders>
            <w:vAlign w:val="center"/>
          </w:tcPr>
          <w:p w:rsidR="006752AA" w:rsidRPr="008F7801" w:rsidP="00F03FCB" w14:paraId="24531E2E" w14:textId="3912DB07">
            <w:pPr>
              <w:spacing w:after="240"/>
              <w:ind w:right="151"/>
              <w:jc w:val="center"/>
              <w:rPr>
                <w:sz w:val="22"/>
                <w:szCs w:val="22"/>
              </w:rPr>
            </w:pPr>
            <w:r>
              <w:rPr>
                <w:sz w:val="22"/>
                <w:szCs w:val="22"/>
              </w:rPr>
              <w:t>Apx</w:t>
            </w:r>
            <w:r w:rsidRPr="008F7801">
              <w:rPr>
                <w:sz w:val="22"/>
                <w:szCs w:val="22"/>
              </w:rPr>
              <w:t xml:space="preserve"> </w:t>
            </w:r>
            <w:r w:rsidR="00B536CC">
              <w:rPr>
                <w:sz w:val="22"/>
                <w:szCs w:val="22"/>
              </w:rPr>
              <w:t>2</w:t>
            </w:r>
          </w:p>
        </w:tc>
        <w:tc>
          <w:tcPr>
            <w:tcW w:w="900" w:type="dxa"/>
            <w:vAlign w:val="center"/>
          </w:tcPr>
          <w:p w:rsidR="006752AA" w:rsidRPr="008F7801" w:rsidP="00F03FCB" w14:paraId="23B99A97" w14:textId="1F6466CD">
            <w:pPr>
              <w:spacing w:after="240"/>
              <w:ind w:right="151"/>
              <w:jc w:val="center"/>
              <w:rPr>
                <w:sz w:val="22"/>
                <w:szCs w:val="22"/>
              </w:rPr>
            </w:pPr>
            <w:r>
              <w:rPr>
                <w:sz w:val="22"/>
                <w:szCs w:val="22"/>
              </w:rPr>
              <w:t>Apx</w:t>
            </w:r>
            <w:r w:rsidRPr="008F7801">
              <w:rPr>
                <w:sz w:val="22"/>
                <w:szCs w:val="22"/>
              </w:rPr>
              <w:t xml:space="preserve"> </w:t>
            </w:r>
            <w:r w:rsidR="00B536CC">
              <w:rPr>
                <w:sz w:val="22"/>
                <w:szCs w:val="22"/>
              </w:rPr>
              <w:t>3</w:t>
            </w:r>
          </w:p>
        </w:tc>
        <w:tc>
          <w:tcPr>
            <w:tcW w:w="3780" w:type="dxa"/>
            <w:tcMar>
              <w:left w:w="29" w:type="dxa"/>
              <w:right w:w="29" w:type="dxa"/>
            </w:tcMar>
            <w:vAlign w:val="center"/>
          </w:tcPr>
          <w:p w:rsidR="00C85B92" w:rsidP="00C85B92" w14:paraId="5C01D896" w14:textId="2D590CCB">
            <w:pPr>
              <w:spacing w:after="240"/>
              <w:ind w:right="151"/>
              <w:rPr>
                <w:sz w:val="22"/>
                <w:szCs w:val="22"/>
              </w:rPr>
            </w:pPr>
            <w:r>
              <w:rPr>
                <w:sz w:val="22"/>
                <w:szCs w:val="22"/>
              </w:rPr>
              <w:t>Document</w:t>
            </w:r>
            <w:r>
              <w:rPr>
                <w:sz w:val="22"/>
                <w:szCs w:val="22"/>
              </w:rPr>
              <w:t xml:space="preserve"> number changed</w:t>
            </w:r>
          </w:p>
          <w:p w:rsidR="00C85B92" w:rsidP="00C85B92" w14:paraId="4DDECDC1" w14:textId="77777777">
            <w:pPr>
              <w:spacing w:after="240"/>
              <w:ind w:right="151"/>
              <w:rPr>
                <w:sz w:val="22"/>
                <w:szCs w:val="22"/>
              </w:rPr>
            </w:pPr>
            <w:r>
              <w:rPr>
                <w:sz w:val="22"/>
                <w:szCs w:val="22"/>
              </w:rPr>
              <w:t>Added wording for incentives EHS-Net staff can use if applicable</w:t>
            </w:r>
          </w:p>
          <w:p w:rsidR="006752AA" w:rsidRPr="008F7801" w:rsidP="00F03FCB" w14:paraId="0F2CAAFD" w14:textId="3C2DCA41">
            <w:pPr>
              <w:spacing w:after="240"/>
              <w:ind w:right="151"/>
              <w:rPr>
                <w:sz w:val="22"/>
                <w:szCs w:val="22"/>
              </w:rPr>
            </w:pPr>
            <w:r>
              <w:rPr>
                <w:sz w:val="22"/>
                <w:szCs w:val="22"/>
              </w:rPr>
              <w:t>No change in burden estimate</w:t>
            </w:r>
            <w:r w:rsidRPr="008F7801">
              <w:rPr>
                <w:sz w:val="22"/>
                <w:szCs w:val="22"/>
              </w:rPr>
              <w:t xml:space="preserve"> </w:t>
            </w:r>
          </w:p>
        </w:tc>
      </w:tr>
      <w:tr w14:paraId="31BE806B" w14:textId="77777777" w:rsidTr="00B3324C">
        <w:tblPrEx>
          <w:tblW w:w="9360" w:type="dxa"/>
          <w:tblInd w:w="29" w:type="dxa"/>
          <w:tblLayout w:type="fixed"/>
          <w:tblCellMar>
            <w:left w:w="29" w:type="dxa"/>
            <w:right w:w="29" w:type="dxa"/>
          </w:tblCellMar>
          <w:tblLook w:val="01E0"/>
        </w:tblPrEx>
        <w:trPr>
          <w:trHeight w:hRule="exact" w:val="991"/>
        </w:trPr>
        <w:tc>
          <w:tcPr>
            <w:tcW w:w="1710" w:type="dxa"/>
            <w:vMerge/>
            <w:tcMar>
              <w:left w:w="29" w:type="dxa"/>
              <w:right w:w="29" w:type="dxa"/>
            </w:tcMar>
            <w:vAlign w:val="bottom"/>
          </w:tcPr>
          <w:p w:rsidR="006752AA" w:rsidRPr="008F7801" w:rsidP="005964D5" w14:paraId="38C211C0" w14:textId="77777777">
            <w:pPr>
              <w:rPr>
                <w:sz w:val="22"/>
                <w:szCs w:val="22"/>
              </w:rPr>
            </w:pPr>
          </w:p>
        </w:tc>
        <w:tc>
          <w:tcPr>
            <w:tcW w:w="2070" w:type="dxa"/>
            <w:vAlign w:val="center"/>
          </w:tcPr>
          <w:p w:rsidR="006752AA" w:rsidRPr="008F7801" w:rsidP="00CB3174" w14:paraId="082FC89F" w14:textId="61A7015E">
            <w:pPr>
              <w:rPr>
                <w:sz w:val="22"/>
                <w:szCs w:val="22"/>
              </w:rPr>
            </w:pPr>
            <w:r>
              <w:rPr>
                <w:sz w:val="22"/>
                <w:szCs w:val="22"/>
              </w:rPr>
              <w:t>Worker Interview</w:t>
            </w:r>
          </w:p>
        </w:tc>
        <w:tc>
          <w:tcPr>
            <w:tcW w:w="900" w:type="dxa"/>
            <w:tcBorders>
              <w:bottom w:val="nil"/>
            </w:tcBorders>
            <w:vAlign w:val="center"/>
          </w:tcPr>
          <w:p w:rsidR="006752AA" w:rsidRPr="008F7801" w:rsidP="00863AEB" w14:paraId="2C303562" w14:textId="4F481F6B">
            <w:pPr>
              <w:ind w:right="151"/>
              <w:jc w:val="center"/>
              <w:rPr>
                <w:sz w:val="22"/>
                <w:szCs w:val="22"/>
              </w:rPr>
            </w:pPr>
            <w:r>
              <w:rPr>
                <w:sz w:val="22"/>
                <w:szCs w:val="22"/>
              </w:rPr>
              <w:t>Apx</w:t>
            </w:r>
            <w:r w:rsidR="00B536CC">
              <w:rPr>
                <w:sz w:val="22"/>
                <w:szCs w:val="22"/>
              </w:rPr>
              <w:t xml:space="preserve"> 5</w:t>
            </w:r>
          </w:p>
        </w:tc>
        <w:tc>
          <w:tcPr>
            <w:tcW w:w="900" w:type="dxa"/>
            <w:vAlign w:val="center"/>
          </w:tcPr>
          <w:p w:rsidR="006752AA" w:rsidRPr="008F7801" w:rsidP="00863AEB" w14:paraId="507CBE3A" w14:textId="5CD27301">
            <w:pPr>
              <w:ind w:right="151"/>
              <w:jc w:val="center"/>
              <w:rPr>
                <w:sz w:val="22"/>
                <w:szCs w:val="22"/>
              </w:rPr>
            </w:pPr>
            <w:r>
              <w:rPr>
                <w:sz w:val="22"/>
                <w:szCs w:val="22"/>
              </w:rPr>
              <w:t>Apx</w:t>
            </w:r>
            <w:r w:rsidRPr="008F7801">
              <w:rPr>
                <w:sz w:val="22"/>
                <w:szCs w:val="22"/>
              </w:rPr>
              <w:t xml:space="preserve"> </w:t>
            </w:r>
            <w:r w:rsidR="00B536CC">
              <w:rPr>
                <w:sz w:val="22"/>
                <w:szCs w:val="22"/>
              </w:rPr>
              <w:t>6</w:t>
            </w:r>
          </w:p>
        </w:tc>
        <w:tc>
          <w:tcPr>
            <w:tcW w:w="3780" w:type="dxa"/>
            <w:tcMar>
              <w:left w:w="29" w:type="dxa"/>
              <w:right w:w="29" w:type="dxa"/>
            </w:tcMar>
            <w:vAlign w:val="center"/>
          </w:tcPr>
          <w:p w:rsidR="00C85B92" w:rsidP="00C85B92" w14:paraId="0D45FF44" w14:textId="33726292">
            <w:pPr>
              <w:spacing w:after="240"/>
              <w:ind w:right="151"/>
              <w:rPr>
                <w:sz w:val="22"/>
                <w:szCs w:val="22"/>
              </w:rPr>
            </w:pPr>
            <w:r>
              <w:rPr>
                <w:sz w:val="22"/>
                <w:szCs w:val="22"/>
              </w:rPr>
              <w:t>Document</w:t>
            </w:r>
            <w:r>
              <w:rPr>
                <w:sz w:val="22"/>
                <w:szCs w:val="22"/>
              </w:rPr>
              <w:t xml:space="preserve"> number changed</w:t>
            </w:r>
          </w:p>
          <w:p w:rsidR="006752AA" w:rsidRPr="008F7801" w:rsidP="00B3324C" w14:paraId="5C9A97CD" w14:textId="32D39D1E">
            <w:pPr>
              <w:ind w:right="151"/>
              <w:rPr>
                <w:sz w:val="22"/>
                <w:szCs w:val="22"/>
              </w:rPr>
            </w:pPr>
            <w:r>
              <w:rPr>
                <w:sz w:val="22"/>
                <w:szCs w:val="22"/>
              </w:rPr>
              <w:t>No change in burden estimate</w:t>
            </w:r>
          </w:p>
        </w:tc>
      </w:tr>
    </w:tbl>
    <w:p w:rsidR="00955DBB" w:rsidRPr="008F7801" w:rsidP="00BE33F4" w14:paraId="363FC1DE" w14:textId="77777777">
      <w:pPr>
        <w:autoSpaceDE w:val="0"/>
        <w:autoSpaceDN w:val="0"/>
        <w:adjustRightInd w:val="0"/>
        <w:rPr>
          <w:sz w:val="22"/>
          <w:szCs w:val="22"/>
        </w:rPr>
      </w:pPr>
    </w:p>
    <w:p w:rsidR="64F7B2F5" w:rsidP="64F7B2F5" w14:paraId="1E1E8FBA" w14:textId="5593F1AB">
      <w:pPr>
        <w:rPr>
          <w:b/>
          <w:bCs/>
          <w:sz w:val="22"/>
          <w:szCs w:val="22"/>
        </w:rPr>
      </w:pPr>
    </w:p>
    <w:p w:rsidR="64F7B2F5" w:rsidP="64F7B2F5" w14:paraId="423D5BC7" w14:textId="498C8992">
      <w:pPr>
        <w:rPr>
          <w:b/>
          <w:bCs/>
          <w:sz w:val="22"/>
          <w:szCs w:val="22"/>
        </w:rPr>
      </w:pPr>
    </w:p>
    <w:p w:rsidR="00CC3730" w:rsidRPr="008F7801" w:rsidP="64F7B2F5" w14:paraId="7D2D6D14" w14:textId="03482D6C">
      <w:pPr>
        <w:autoSpaceDE w:val="0"/>
        <w:autoSpaceDN w:val="0"/>
        <w:adjustRightInd w:val="0"/>
        <w:rPr>
          <w:b/>
          <w:bCs/>
          <w:sz w:val="22"/>
          <w:szCs w:val="22"/>
        </w:rPr>
      </w:pPr>
      <w:r w:rsidRPr="64F7B2F5">
        <w:rPr>
          <w:b/>
          <w:bCs/>
          <w:sz w:val="22"/>
          <w:szCs w:val="22"/>
        </w:rPr>
        <w:t>A.</w:t>
      </w:r>
      <w:r w:rsidRPr="64F7B2F5">
        <w:rPr>
          <w:b/>
          <w:bCs/>
          <w:sz w:val="22"/>
          <w:szCs w:val="22"/>
        </w:rPr>
        <w:t xml:space="preserve">16. Plans for Tabulation and Publication and Project Time Schedule </w:t>
      </w:r>
    </w:p>
    <w:p w:rsidR="00BB3504" w:rsidRPr="008F7801" w:rsidP="003741E3" w14:paraId="52BE8656" w14:textId="77777777">
      <w:pPr>
        <w:autoSpaceDE w:val="0"/>
        <w:autoSpaceDN w:val="0"/>
        <w:adjustRightInd w:val="0"/>
        <w:ind w:left="432" w:hanging="432"/>
        <w:rPr>
          <w:b/>
          <w:sz w:val="22"/>
          <w:szCs w:val="22"/>
        </w:rPr>
      </w:pPr>
    </w:p>
    <w:p w:rsidR="0015662E" w:rsidRPr="008F7801" w:rsidP="003741E3" w14:paraId="723464A2" w14:textId="40D99C91">
      <w:pPr>
        <w:pStyle w:val="BodyText"/>
        <w:rPr>
          <w:sz w:val="22"/>
          <w:szCs w:val="22"/>
        </w:rPr>
      </w:pPr>
      <w:r w:rsidRPr="008F7801">
        <w:rPr>
          <w:sz w:val="22"/>
          <w:szCs w:val="22"/>
        </w:rPr>
        <w:t xml:space="preserve">We expect to conduct </w:t>
      </w:r>
      <w:r w:rsidRPr="008F7801" w:rsidR="00235F8B">
        <w:rPr>
          <w:sz w:val="22"/>
          <w:szCs w:val="22"/>
        </w:rPr>
        <w:t>one data collection</w:t>
      </w:r>
      <w:r w:rsidRPr="008F7801" w:rsidR="004E0514">
        <w:rPr>
          <w:sz w:val="22"/>
          <w:szCs w:val="22"/>
        </w:rPr>
        <w:t xml:space="preserve"> </w:t>
      </w:r>
      <w:r w:rsidRPr="008F7801" w:rsidR="005F11E7">
        <w:rPr>
          <w:sz w:val="22"/>
          <w:szCs w:val="22"/>
        </w:rPr>
        <w:t>every other</w:t>
      </w:r>
      <w:r w:rsidRPr="008F7801" w:rsidR="004E0514">
        <w:rPr>
          <w:sz w:val="22"/>
          <w:szCs w:val="22"/>
        </w:rPr>
        <w:t xml:space="preserve"> year</w:t>
      </w:r>
      <w:r w:rsidRPr="008F7801">
        <w:rPr>
          <w:sz w:val="22"/>
          <w:szCs w:val="22"/>
        </w:rPr>
        <w:t xml:space="preserve">. </w:t>
      </w:r>
      <w:r w:rsidRPr="008F7801" w:rsidR="00A8470F">
        <w:rPr>
          <w:sz w:val="22"/>
          <w:szCs w:val="22"/>
        </w:rPr>
        <w:t>Table A</w:t>
      </w:r>
      <w:r w:rsidRPr="008F7801" w:rsidR="00DB6797">
        <w:rPr>
          <w:sz w:val="22"/>
          <w:szCs w:val="22"/>
        </w:rPr>
        <w:t>.</w:t>
      </w:r>
      <w:r w:rsidRPr="008F7801" w:rsidR="00A8470F">
        <w:rPr>
          <w:sz w:val="22"/>
          <w:szCs w:val="22"/>
        </w:rPr>
        <w:t xml:space="preserve">16.1 provides a </w:t>
      </w:r>
      <w:r w:rsidRPr="008F7801">
        <w:rPr>
          <w:sz w:val="22"/>
          <w:szCs w:val="22"/>
        </w:rPr>
        <w:t>timeline</w:t>
      </w:r>
      <w:r w:rsidRPr="008F7801" w:rsidR="00A8470F">
        <w:rPr>
          <w:sz w:val="22"/>
          <w:szCs w:val="22"/>
        </w:rPr>
        <w:t xml:space="preserve"> of </w:t>
      </w:r>
      <w:r w:rsidRPr="008F7801">
        <w:rPr>
          <w:sz w:val="22"/>
          <w:szCs w:val="22"/>
        </w:rPr>
        <w:t xml:space="preserve">expected data collections </w:t>
      </w:r>
      <w:r w:rsidRPr="008F7801" w:rsidR="00205425">
        <w:rPr>
          <w:sz w:val="22"/>
          <w:szCs w:val="22"/>
        </w:rPr>
        <w:t>annually</w:t>
      </w:r>
      <w:r w:rsidR="00475B60">
        <w:rPr>
          <w:sz w:val="22"/>
          <w:szCs w:val="22"/>
        </w:rPr>
        <w:t xml:space="preserve"> over the course of the EHS-Net cooperative agreement cycle</w:t>
      </w:r>
      <w:r w:rsidRPr="008F7801" w:rsidR="00974171">
        <w:rPr>
          <w:sz w:val="22"/>
          <w:szCs w:val="22"/>
        </w:rPr>
        <w:t>.</w:t>
      </w:r>
      <w:r w:rsidRPr="008F7801" w:rsidR="008A602B">
        <w:rPr>
          <w:sz w:val="22"/>
          <w:szCs w:val="22"/>
        </w:rPr>
        <w:t xml:space="preserve"> </w:t>
      </w:r>
      <w:r w:rsidRPr="008F7801">
        <w:rPr>
          <w:sz w:val="22"/>
          <w:szCs w:val="22"/>
        </w:rPr>
        <w:t xml:space="preserve">Table </w:t>
      </w:r>
      <w:r w:rsidRPr="008F7801" w:rsidR="00DB6797">
        <w:rPr>
          <w:sz w:val="22"/>
          <w:szCs w:val="22"/>
        </w:rPr>
        <w:t>A.</w:t>
      </w:r>
      <w:r w:rsidRPr="008F7801">
        <w:rPr>
          <w:sz w:val="22"/>
          <w:szCs w:val="22"/>
        </w:rPr>
        <w:t>16.2 provides specific data collection activities expected to take place for each data collection.</w:t>
      </w:r>
    </w:p>
    <w:p w:rsidR="003741E3" w:rsidRPr="008F7801" w:rsidP="003741E3" w14:paraId="5F05A16C" w14:textId="77777777">
      <w:pPr>
        <w:autoSpaceDE w:val="0"/>
        <w:autoSpaceDN w:val="0"/>
        <w:adjustRightInd w:val="0"/>
        <w:ind w:left="86"/>
        <w:rPr>
          <w:b/>
          <w:sz w:val="22"/>
          <w:szCs w:val="22"/>
        </w:rPr>
      </w:pPr>
      <w:r w:rsidRPr="008F7801">
        <w:rPr>
          <w:b/>
          <w:sz w:val="22"/>
          <w:szCs w:val="22"/>
        </w:rPr>
        <w:t>A.16.1 – Project Time Schedule</w:t>
      </w:r>
      <w:r w:rsidRPr="008F7801" w:rsidR="00DB6797">
        <w:rPr>
          <w:b/>
          <w:sz w:val="22"/>
          <w:szCs w:val="22"/>
        </w:rPr>
        <w:t xml:space="preserve"> Annually</w:t>
      </w:r>
      <w:r w:rsidRPr="008F7801">
        <w:rPr>
          <w:b/>
          <w:sz w:val="22"/>
          <w:szCs w:val="22"/>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63"/>
      </w:tblGrid>
      <w:tr w14:paraId="2787C993" w14:textId="77777777" w:rsidTr="003741E3">
        <w:tblPrEx>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8263" w:type="dxa"/>
            <w:tcBorders>
              <w:top w:val="single" w:sz="12" w:space="0" w:color="auto"/>
              <w:left w:val="single" w:sz="4" w:space="0" w:color="auto"/>
              <w:bottom w:val="single" w:sz="12" w:space="0" w:color="auto"/>
              <w:right w:val="single" w:sz="12" w:space="0" w:color="auto"/>
            </w:tcBorders>
            <w:tcMar>
              <w:left w:w="29" w:type="dxa"/>
              <w:right w:w="29" w:type="dxa"/>
            </w:tcMar>
          </w:tcPr>
          <w:p w:rsidR="004E0514" w:rsidRPr="008F7801" w:rsidP="007B144E" w14:paraId="760E8EC3" w14:textId="77777777">
            <w:pPr>
              <w:autoSpaceDE w:val="0"/>
              <w:autoSpaceDN w:val="0"/>
              <w:adjustRightInd w:val="0"/>
              <w:rPr>
                <w:b/>
                <w:sz w:val="22"/>
                <w:szCs w:val="22"/>
              </w:rPr>
            </w:pPr>
            <w:r w:rsidRPr="008F7801">
              <w:rPr>
                <w:b/>
                <w:sz w:val="22"/>
                <w:szCs w:val="22"/>
              </w:rPr>
              <w:t>Activity- Year 1</w:t>
            </w:r>
          </w:p>
        </w:tc>
      </w:tr>
      <w:tr w14:paraId="6177C93B" w14:textId="77777777" w:rsidTr="003741E3">
        <w:tblPrEx>
          <w:tblW w:w="0" w:type="auto"/>
          <w:tblInd w:w="119" w:type="dxa"/>
          <w:tblLook w:val="00A0"/>
        </w:tblPrEx>
        <w:tc>
          <w:tcPr>
            <w:tcW w:w="8263" w:type="dxa"/>
            <w:tcBorders>
              <w:top w:val="single" w:sz="12" w:space="0" w:color="auto"/>
              <w:right w:val="single" w:sz="12" w:space="0" w:color="auto"/>
            </w:tcBorders>
            <w:tcMar>
              <w:left w:w="29" w:type="dxa"/>
              <w:right w:w="29" w:type="dxa"/>
            </w:tcMar>
          </w:tcPr>
          <w:p w:rsidR="004E0514" w:rsidRPr="008F7801" w:rsidP="004E0514" w14:paraId="1F4CD443" w14:textId="77777777">
            <w:pPr>
              <w:autoSpaceDE w:val="0"/>
              <w:autoSpaceDN w:val="0"/>
              <w:adjustRightInd w:val="0"/>
              <w:rPr>
                <w:sz w:val="22"/>
                <w:szCs w:val="22"/>
              </w:rPr>
            </w:pPr>
            <w:r w:rsidRPr="008F7801">
              <w:rPr>
                <w:sz w:val="22"/>
                <w:szCs w:val="22"/>
              </w:rPr>
              <w:t xml:space="preserve">Retail food worker data collection #1 </w:t>
            </w:r>
          </w:p>
        </w:tc>
      </w:tr>
      <w:tr w14:paraId="1C1CFA26" w14:textId="77777777" w:rsidTr="003741E3">
        <w:tblPrEx>
          <w:tblW w:w="0" w:type="auto"/>
          <w:tblInd w:w="119" w:type="dxa"/>
          <w:tblLook w:val="00A0"/>
        </w:tblPrEx>
        <w:tc>
          <w:tcPr>
            <w:tcW w:w="8263" w:type="dxa"/>
            <w:tcBorders>
              <w:top w:val="single" w:sz="4" w:space="0" w:color="auto"/>
              <w:left w:val="single" w:sz="4" w:space="0" w:color="auto"/>
              <w:bottom w:val="single" w:sz="4" w:space="0" w:color="auto"/>
              <w:right w:val="single" w:sz="12" w:space="0" w:color="auto"/>
            </w:tcBorders>
            <w:tcMar>
              <w:left w:w="29" w:type="dxa"/>
              <w:right w:w="29" w:type="dxa"/>
            </w:tcMar>
          </w:tcPr>
          <w:p w:rsidR="004E0514" w:rsidRPr="008F7801" w:rsidP="002511E5" w14:paraId="4B6FD3CB" w14:textId="77777777">
            <w:pPr>
              <w:autoSpaceDE w:val="0"/>
              <w:autoSpaceDN w:val="0"/>
              <w:adjustRightInd w:val="0"/>
              <w:rPr>
                <w:b/>
                <w:sz w:val="22"/>
                <w:szCs w:val="22"/>
              </w:rPr>
            </w:pPr>
            <w:r w:rsidRPr="008F7801">
              <w:rPr>
                <w:b/>
                <w:sz w:val="22"/>
                <w:szCs w:val="22"/>
              </w:rPr>
              <w:t xml:space="preserve">Activity- Year </w:t>
            </w:r>
            <w:r w:rsidRPr="008F7801" w:rsidR="005F11E7">
              <w:rPr>
                <w:b/>
                <w:sz w:val="22"/>
                <w:szCs w:val="22"/>
              </w:rPr>
              <w:t>3</w:t>
            </w:r>
          </w:p>
        </w:tc>
      </w:tr>
      <w:tr w14:paraId="2CE7EADC" w14:textId="77777777" w:rsidTr="003741E3">
        <w:tblPrEx>
          <w:tblW w:w="0" w:type="auto"/>
          <w:tblInd w:w="119" w:type="dxa"/>
          <w:tblLook w:val="00A0"/>
        </w:tblPrEx>
        <w:tc>
          <w:tcPr>
            <w:tcW w:w="8263" w:type="dxa"/>
            <w:tcBorders>
              <w:top w:val="single" w:sz="4" w:space="0" w:color="auto"/>
              <w:left w:val="single" w:sz="4" w:space="0" w:color="auto"/>
              <w:bottom w:val="single" w:sz="4" w:space="0" w:color="auto"/>
              <w:right w:val="single" w:sz="12" w:space="0" w:color="auto"/>
            </w:tcBorders>
            <w:tcMar>
              <w:left w:w="29" w:type="dxa"/>
              <w:right w:w="29" w:type="dxa"/>
            </w:tcMar>
          </w:tcPr>
          <w:p w:rsidR="004E0514" w:rsidRPr="008F7801" w:rsidP="00235F8B" w14:paraId="1EB550C2" w14:textId="77777777">
            <w:pPr>
              <w:autoSpaceDE w:val="0"/>
              <w:autoSpaceDN w:val="0"/>
              <w:adjustRightInd w:val="0"/>
              <w:rPr>
                <w:sz w:val="22"/>
                <w:szCs w:val="22"/>
              </w:rPr>
            </w:pPr>
            <w:r w:rsidRPr="008F7801">
              <w:rPr>
                <w:sz w:val="22"/>
                <w:szCs w:val="22"/>
              </w:rPr>
              <w:t>Retail food worker data collection #</w:t>
            </w:r>
            <w:r w:rsidRPr="008F7801" w:rsidR="00235F8B">
              <w:rPr>
                <w:sz w:val="22"/>
                <w:szCs w:val="22"/>
              </w:rPr>
              <w:t>2</w:t>
            </w:r>
            <w:r w:rsidRPr="008F7801">
              <w:rPr>
                <w:sz w:val="22"/>
                <w:szCs w:val="22"/>
              </w:rPr>
              <w:t xml:space="preserve"> </w:t>
            </w:r>
          </w:p>
        </w:tc>
      </w:tr>
      <w:tr w14:paraId="549A14F2" w14:textId="77777777" w:rsidTr="003741E3">
        <w:tblPrEx>
          <w:tblW w:w="0" w:type="auto"/>
          <w:tblInd w:w="119" w:type="dxa"/>
          <w:tblLook w:val="00A0"/>
        </w:tblPrEx>
        <w:tc>
          <w:tcPr>
            <w:tcW w:w="8263" w:type="dxa"/>
            <w:tcBorders>
              <w:top w:val="single" w:sz="4" w:space="0" w:color="auto"/>
              <w:left w:val="single" w:sz="4" w:space="0" w:color="auto"/>
              <w:bottom w:val="single" w:sz="4" w:space="0" w:color="auto"/>
              <w:right w:val="single" w:sz="12" w:space="0" w:color="auto"/>
            </w:tcBorders>
            <w:tcMar>
              <w:left w:w="29" w:type="dxa"/>
              <w:right w:w="29" w:type="dxa"/>
            </w:tcMar>
          </w:tcPr>
          <w:p w:rsidR="004E0514" w:rsidRPr="008F7801" w:rsidP="002511E5" w14:paraId="5829BF3B" w14:textId="77777777">
            <w:pPr>
              <w:autoSpaceDE w:val="0"/>
              <w:autoSpaceDN w:val="0"/>
              <w:adjustRightInd w:val="0"/>
              <w:rPr>
                <w:b/>
                <w:sz w:val="22"/>
                <w:szCs w:val="22"/>
              </w:rPr>
            </w:pPr>
            <w:r w:rsidRPr="008F7801">
              <w:rPr>
                <w:b/>
                <w:sz w:val="22"/>
                <w:szCs w:val="22"/>
              </w:rPr>
              <w:t xml:space="preserve">Activity- Year </w:t>
            </w:r>
            <w:r w:rsidRPr="008F7801" w:rsidR="005F11E7">
              <w:rPr>
                <w:b/>
                <w:sz w:val="22"/>
                <w:szCs w:val="22"/>
              </w:rPr>
              <w:t>5</w:t>
            </w:r>
          </w:p>
        </w:tc>
      </w:tr>
      <w:tr w14:paraId="6279DED9" w14:textId="77777777" w:rsidTr="003741E3">
        <w:tblPrEx>
          <w:tblW w:w="0" w:type="auto"/>
          <w:tblInd w:w="119" w:type="dxa"/>
          <w:tblLook w:val="00A0"/>
        </w:tblPrEx>
        <w:tc>
          <w:tcPr>
            <w:tcW w:w="8263" w:type="dxa"/>
            <w:tcBorders>
              <w:top w:val="single" w:sz="4" w:space="0" w:color="auto"/>
              <w:left w:val="single" w:sz="4" w:space="0" w:color="auto"/>
              <w:bottom w:val="single" w:sz="4" w:space="0" w:color="auto"/>
              <w:right w:val="single" w:sz="12" w:space="0" w:color="auto"/>
            </w:tcBorders>
            <w:tcMar>
              <w:left w:w="29" w:type="dxa"/>
              <w:right w:w="29" w:type="dxa"/>
            </w:tcMar>
          </w:tcPr>
          <w:p w:rsidR="004E0514" w:rsidRPr="008F7801" w:rsidP="00235F8B" w14:paraId="362271F0" w14:textId="77777777">
            <w:pPr>
              <w:autoSpaceDE w:val="0"/>
              <w:autoSpaceDN w:val="0"/>
              <w:adjustRightInd w:val="0"/>
              <w:rPr>
                <w:sz w:val="22"/>
                <w:szCs w:val="22"/>
              </w:rPr>
            </w:pPr>
            <w:r w:rsidRPr="008F7801">
              <w:rPr>
                <w:sz w:val="22"/>
                <w:szCs w:val="22"/>
              </w:rPr>
              <w:t>Retail food worker data collection #</w:t>
            </w:r>
            <w:r w:rsidRPr="008F7801" w:rsidR="00235F8B">
              <w:rPr>
                <w:sz w:val="22"/>
                <w:szCs w:val="22"/>
              </w:rPr>
              <w:t>3</w:t>
            </w:r>
          </w:p>
        </w:tc>
      </w:tr>
    </w:tbl>
    <w:p w:rsidR="00796E57" w:rsidRPr="008F7801" w:rsidP="009B3F1A" w14:paraId="786722CA" w14:textId="77777777">
      <w:pPr>
        <w:autoSpaceDE w:val="0"/>
        <w:autoSpaceDN w:val="0"/>
        <w:adjustRightInd w:val="0"/>
        <w:rPr>
          <w:b/>
          <w:sz w:val="22"/>
          <w:szCs w:val="22"/>
        </w:rPr>
      </w:pPr>
    </w:p>
    <w:p w:rsidR="00771B56" w:rsidP="009B3F1A" w14:paraId="46393489" w14:textId="77777777">
      <w:pPr>
        <w:autoSpaceDE w:val="0"/>
        <w:autoSpaceDN w:val="0"/>
        <w:adjustRightInd w:val="0"/>
        <w:rPr>
          <w:b/>
          <w:sz w:val="22"/>
          <w:szCs w:val="22"/>
        </w:rPr>
      </w:pPr>
    </w:p>
    <w:p w:rsidR="00771B56" w:rsidP="009B3F1A" w14:paraId="2732C1FF" w14:textId="77777777">
      <w:pPr>
        <w:autoSpaceDE w:val="0"/>
        <w:autoSpaceDN w:val="0"/>
        <w:adjustRightInd w:val="0"/>
        <w:rPr>
          <w:b/>
          <w:sz w:val="22"/>
          <w:szCs w:val="22"/>
        </w:rPr>
      </w:pPr>
    </w:p>
    <w:p w:rsidR="00EC101E" w:rsidRPr="008F7801" w:rsidP="009B3F1A" w14:paraId="27AE982B" w14:textId="5FD5C6A6">
      <w:pPr>
        <w:autoSpaceDE w:val="0"/>
        <w:autoSpaceDN w:val="0"/>
        <w:adjustRightInd w:val="0"/>
        <w:rPr>
          <w:b/>
          <w:sz w:val="22"/>
          <w:szCs w:val="22"/>
        </w:rPr>
      </w:pPr>
      <w:r w:rsidRPr="008F7801">
        <w:rPr>
          <w:b/>
          <w:sz w:val="22"/>
          <w:szCs w:val="22"/>
        </w:rPr>
        <w:t>A.16.2– Example Data Collection Activity Schedule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0"/>
        <w:gridCol w:w="3600"/>
      </w:tblGrid>
      <w:tr w14:paraId="5362859B" w14:textId="77777777" w:rsidTr="003741E3">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680" w:type="dxa"/>
            <w:tcBorders>
              <w:top w:val="single" w:sz="12" w:space="0" w:color="auto"/>
              <w:bottom w:val="single" w:sz="12" w:space="0" w:color="auto"/>
            </w:tcBorders>
          </w:tcPr>
          <w:p w:rsidR="00EC101E" w:rsidRPr="008F7801" w:rsidP="007B144E" w14:paraId="70107BF7" w14:textId="77777777">
            <w:pPr>
              <w:autoSpaceDE w:val="0"/>
              <w:autoSpaceDN w:val="0"/>
              <w:adjustRightInd w:val="0"/>
              <w:rPr>
                <w:b/>
                <w:sz w:val="22"/>
                <w:szCs w:val="22"/>
              </w:rPr>
            </w:pPr>
            <w:r w:rsidRPr="008F7801">
              <w:rPr>
                <w:b/>
                <w:sz w:val="22"/>
                <w:szCs w:val="22"/>
              </w:rPr>
              <w:t>Activity</w:t>
            </w:r>
          </w:p>
        </w:tc>
        <w:tc>
          <w:tcPr>
            <w:tcW w:w="3600" w:type="dxa"/>
            <w:tcBorders>
              <w:top w:val="single" w:sz="12" w:space="0" w:color="auto"/>
              <w:bottom w:val="single" w:sz="12" w:space="0" w:color="auto"/>
            </w:tcBorders>
          </w:tcPr>
          <w:p w:rsidR="00EC101E" w:rsidRPr="008F7801" w:rsidP="007B144E" w14:paraId="4370A479" w14:textId="77777777">
            <w:pPr>
              <w:autoSpaceDE w:val="0"/>
              <w:autoSpaceDN w:val="0"/>
              <w:adjustRightInd w:val="0"/>
              <w:rPr>
                <w:b/>
                <w:sz w:val="22"/>
                <w:szCs w:val="22"/>
              </w:rPr>
            </w:pPr>
            <w:r w:rsidRPr="008F7801">
              <w:rPr>
                <w:b/>
                <w:sz w:val="22"/>
                <w:szCs w:val="22"/>
              </w:rPr>
              <w:t>Time Frame</w:t>
            </w:r>
          </w:p>
        </w:tc>
      </w:tr>
      <w:tr w14:paraId="4C0ACF02" w14:textId="77777777" w:rsidTr="003741E3">
        <w:tblPrEx>
          <w:tblW w:w="0" w:type="auto"/>
          <w:tblInd w:w="198" w:type="dxa"/>
          <w:tblLook w:val="00A0"/>
        </w:tblPrEx>
        <w:tc>
          <w:tcPr>
            <w:tcW w:w="4680" w:type="dxa"/>
            <w:tcBorders>
              <w:top w:val="single" w:sz="12" w:space="0" w:color="auto"/>
            </w:tcBorders>
          </w:tcPr>
          <w:p w:rsidR="00EC101E" w:rsidRPr="008F7801" w:rsidP="007B144E" w14:paraId="05AC6860" w14:textId="77777777">
            <w:pPr>
              <w:autoSpaceDE w:val="0"/>
              <w:autoSpaceDN w:val="0"/>
              <w:adjustRightInd w:val="0"/>
              <w:rPr>
                <w:sz w:val="22"/>
                <w:szCs w:val="22"/>
              </w:rPr>
            </w:pPr>
            <w:r w:rsidRPr="008F7801">
              <w:rPr>
                <w:sz w:val="22"/>
                <w:szCs w:val="22"/>
              </w:rPr>
              <w:t>Protocol development</w:t>
            </w:r>
          </w:p>
        </w:tc>
        <w:tc>
          <w:tcPr>
            <w:tcW w:w="3600" w:type="dxa"/>
            <w:tcBorders>
              <w:top w:val="single" w:sz="12" w:space="0" w:color="auto"/>
            </w:tcBorders>
          </w:tcPr>
          <w:p w:rsidR="00EC101E" w:rsidRPr="008F7801" w:rsidP="007B144E" w14:paraId="422CCEEA" w14:textId="77777777">
            <w:pPr>
              <w:autoSpaceDE w:val="0"/>
              <w:autoSpaceDN w:val="0"/>
              <w:adjustRightInd w:val="0"/>
              <w:rPr>
                <w:sz w:val="22"/>
                <w:szCs w:val="22"/>
              </w:rPr>
            </w:pPr>
            <w:r w:rsidRPr="008F7801">
              <w:rPr>
                <w:sz w:val="22"/>
                <w:szCs w:val="22"/>
              </w:rPr>
              <w:t>5 months</w:t>
            </w:r>
          </w:p>
        </w:tc>
      </w:tr>
      <w:tr w14:paraId="473EBE29" w14:textId="77777777" w:rsidTr="003741E3">
        <w:tblPrEx>
          <w:tblW w:w="0" w:type="auto"/>
          <w:tblInd w:w="198" w:type="dxa"/>
          <w:tblLook w:val="00A0"/>
        </w:tblPrEx>
        <w:tc>
          <w:tcPr>
            <w:tcW w:w="4680" w:type="dxa"/>
          </w:tcPr>
          <w:p w:rsidR="00EC101E" w:rsidRPr="008F7801" w:rsidP="007B144E" w14:paraId="55B45E0F" w14:textId="77777777">
            <w:pPr>
              <w:autoSpaceDE w:val="0"/>
              <w:autoSpaceDN w:val="0"/>
              <w:adjustRightInd w:val="0"/>
              <w:rPr>
                <w:sz w:val="22"/>
                <w:szCs w:val="22"/>
              </w:rPr>
            </w:pPr>
            <w:r w:rsidRPr="008F7801">
              <w:rPr>
                <w:sz w:val="22"/>
                <w:szCs w:val="22"/>
              </w:rPr>
              <w:t>OMB</w:t>
            </w:r>
            <w:r w:rsidRPr="008F7801">
              <w:rPr>
                <w:sz w:val="22"/>
                <w:szCs w:val="22"/>
              </w:rPr>
              <w:t xml:space="preserve"> determination</w:t>
            </w:r>
          </w:p>
        </w:tc>
        <w:tc>
          <w:tcPr>
            <w:tcW w:w="3600" w:type="dxa"/>
          </w:tcPr>
          <w:p w:rsidR="00EC101E" w:rsidRPr="008F7801" w:rsidP="007B144E" w14:paraId="03895998" w14:textId="77777777">
            <w:pPr>
              <w:autoSpaceDE w:val="0"/>
              <w:autoSpaceDN w:val="0"/>
              <w:adjustRightInd w:val="0"/>
              <w:rPr>
                <w:sz w:val="22"/>
                <w:szCs w:val="22"/>
              </w:rPr>
            </w:pPr>
            <w:r w:rsidRPr="008F7801">
              <w:rPr>
                <w:sz w:val="22"/>
                <w:szCs w:val="22"/>
              </w:rPr>
              <w:t>3</w:t>
            </w:r>
            <w:r w:rsidRPr="008F7801">
              <w:rPr>
                <w:sz w:val="22"/>
                <w:szCs w:val="22"/>
              </w:rPr>
              <w:t xml:space="preserve"> month</w:t>
            </w:r>
            <w:r w:rsidRPr="008F7801">
              <w:rPr>
                <w:sz w:val="22"/>
                <w:szCs w:val="22"/>
              </w:rPr>
              <w:t>s</w:t>
            </w:r>
          </w:p>
        </w:tc>
      </w:tr>
      <w:tr w14:paraId="509F0AA1" w14:textId="77777777" w:rsidTr="003741E3">
        <w:tblPrEx>
          <w:tblW w:w="0" w:type="auto"/>
          <w:tblInd w:w="198" w:type="dxa"/>
          <w:tblLook w:val="00A0"/>
        </w:tblPrEx>
        <w:tc>
          <w:tcPr>
            <w:tcW w:w="4680" w:type="dxa"/>
          </w:tcPr>
          <w:p w:rsidR="00EC101E" w:rsidRPr="008F7801" w:rsidP="007B144E" w14:paraId="4D120F99" w14:textId="77777777">
            <w:pPr>
              <w:autoSpaceDE w:val="0"/>
              <w:autoSpaceDN w:val="0"/>
              <w:adjustRightInd w:val="0"/>
              <w:rPr>
                <w:sz w:val="22"/>
                <w:szCs w:val="22"/>
              </w:rPr>
            </w:pPr>
            <w:r w:rsidRPr="008F7801">
              <w:rPr>
                <w:sz w:val="22"/>
                <w:szCs w:val="22"/>
              </w:rPr>
              <w:t>Data collection</w:t>
            </w:r>
          </w:p>
        </w:tc>
        <w:tc>
          <w:tcPr>
            <w:tcW w:w="3600" w:type="dxa"/>
          </w:tcPr>
          <w:p w:rsidR="00EC101E" w:rsidRPr="008F7801" w:rsidP="007B144E" w14:paraId="48ED3F37" w14:textId="77777777">
            <w:pPr>
              <w:autoSpaceDE w:val="0"/>
              <w:autoSpaceDN w:val="0"/>
              <w:adjustRightInd w:val="0"/>
              <w:rPr>
                <w:sz w:val="22"/>
                <w:szCs w:val="22"/>
              </w:rPr>
            </w:pPr>
            <w:r w:rsidRPr="008F7801">
              <w:rPr>
                <w:sz w:val="22"/>
                <w:szCs w:val="22"/>
              </w:rPr>
              <w:t>4 months</w:t>
            </w:r>
          </w:p>
        </w:tc>
      </w:tr>
      <w:tr w14:paraId="68384C7C" w14:textId="77777777" w:rsidTr="003741E3">
        <w:tblPrEx>
          <w:tblW w:w="0" w:type="auto"/>
          <w:tblInd w:w="198" w:type="dxa"/>
          <w:tblLook w:val="00A0"/>
        </w:tblPrEx>
        <w:tc>
          <w:tcPr>
            <w:tcW w:w="4680" w:type="dxa"/>
            <w:tcBorders>
              <w:bottom w:val="single" w:sz="4" w:space="0" w:color="auto"/>
            </w:tcBorders>
          </w:tcPr>
          <w:p w:rsidR="00EC101E" w:rsidRPr="008F7801" w:rsidP="007B144E" w14:paraId="0067A0AD" w14:textId="77777777">
            <w:pPr>
              <w:autoSpaceDE w:val="0"/>
              <w:autoSpaceDN w:val="0"/>
              <w:adjustRightInd w:val="0"/>
              <w:rPr>
                <w:sz w:val="22"/>
                <w:szCs w:val="22"/>
              </w:rPr>
            </w:pPr>
            <w:r w:rsidRPr="008F7801">
              <w:rPr>
                <w:sz w:val="22"/>
                <w:szCs w:val="22"/>
              </w:rPr>
              <w:t>Data analysis</w:t>
            </w:r>
          </w:p>
        </w:tc>
        <w:tc>
          <w:tcPr>
            <w:tcW w:w="3600" w:type="dxa"/>
            <w:tcBorders>
              <w:bottom w:val="single" w:sz="4" w:space="0" w:color="auto"/>
            </w:tcBorders>
          </w:tcPr>
          <w:p w:rsidR="00EC101E" w:rsidRPr="008F7801" w:rsidP="007B144E" w14:paraId="228BCCB0" w14:textId="77777777">
            <w:pPr>
              <w:autoSpaceDE w:val="0"/>
              <w:autoSpaceDN w:val="0"/>
              <w:adjustRightInd w:val="0"/>
              <w:rPr>
                <w:sz w:val="22"/>
                <w:szCs w:val="22"/>
              </w:rPr>
            </w:pPr>
            <w:r w:rsidRPr="008F7801">
              <w:rPr>
                <w:sz w:val="22"/>
                <w:szCs w:val="22"/>
              </w:rPr>
              <w:t>4 months</w:t>
            </w:r>
          </w:p>
        </w:tc>
      </w:tr>
      <w:tr w14:paraId="0527F25B" w14:textId="77777777" w:rsidTr="003741E3">
        <w:tblPrEx>
          <w:tblW w:w="0" w:type="auto"/>
          <w:tblInd w:w="198" w:type="dxa"/>
          <w:tblLook w:val="00A0"/>
        </w:tblPrEx>
        <w:tc>
          <w:tcPr>
            <w:tcW w:w="4680" w:type="dxa"/>
            <w:tcBorders>
              <w:bottom w:val="single" w:sz="12" w:space="0" w:color="auto"/>
            </w:tcBorders>
          </w:tcPr>
          <w:p w:rsidR="00EC101E" w:rsidRPr="008F7801" w:rsidP="007B144E" w14:paraId="52DB2363" w14:textId="77777777">
            <w:pPr>
              <w:autoSpaceDE w:val="0"/>
              <w:autoSpaceDN w:val="0"/>
              <w:adjustRightInd w:val="0"/>
              <w:rPr>
                <w:sz w:val="22"/>
                <w:szCs w:val="22"/>
              </w:rPr>
            </w:pPr>
            <w:r w:rsidRPr="008F7801">
              <w:rPr>
                <w:sz w:val="22"/>
                <w:szCs w:val="22"/>
              </w:rPr>
              <w:t>Manuscript development</w:t>
            </w:r>
          </w:p>
        </w:tc>
        <w:tc>
          <w:tcPr>
            <w:tcW w:w="3600" w:type="dxa"/>
            <w:tcBorders>
              <w:bottom w:val="single" w:sz="12" w:space="0" w:color="auto"/>
            </w:tcBorders>
          </w:tcPr>
          <w:p w:rsidR="00EC101E" w:rsidRPr="008F7801" w:rsidP="007B144E" w14:paraId="3BE96DD9" w14:textId="77777777">
            <w:pPr>
              <w:autoSpaceDE w:val="0"/>
              <w:autoSpaceDN w:val="0"/>
              <w:adjustRightInd w:val="0"/>
              <w:rPr>
                <w:sz w:val="22"/>
                <w:szCs w:val="22"/>
              </w:rPr>
            </w:pPr>
            <w:r w:rsidRPr="008F7801">
              <w:rPr>
                <w:sz w:val="22"/>
                <w:szCs w:val="22"/>
              </w:rPr>
              <w:t>4</w:t>
            </w:r>
            <w:r w:rsidRPr="008F7801">
              <w:rPr>
                <w:sz w:val="22"/>
                <w:szCs w:val="22"/>
              </w:rPr>
              <w:t xml:space="preserve"> months</w:t>
            </w:r>
          </w:p>
        </w:tc>
      </w:tr>
    </w:tbl>
    <w:p w:rsidR="00940804" w:rsidRPr="008F7801" w:rsidP="00C53C38" w14:paraId="68893C56" w14:textId="77777777">
      <w:pPr>
        <w:autoSpaceDE w:val="0"/>
        <w:autoSpaceDN w:val="0"/>
        <w:adjustRightInd w:val="0"/>
        <w:ind w:left="720"/>
        <w:rPr>
          <w:b/>
          <w:sz w:val="22"/>
          <w:szCs w:val="22"/>
        </w:rPr>
      </w:pPr>
    </w:p>
    <w:p w:rsidR="003741E3" w:rsidRPr="008F7801" w:rsidP="006F5E2C" w14:paraId="73DCA0AE" w14:textId="77777777">
      <w:pPr>
        <w:autoSpaceDE w:val="0"/>
        <w:autoSpaceDN w:val="0"/>
        <w:adjustRightInd w:val="0"/>
        <w:ind w:left="432" w:hanging="432"/>
        <w:rPr>
          <w:b/>
          <w:sz w:val="22"/>
          <w:szCs w:val="22"/>
        </w:rPr>
      </w:pPr>
      <w:r w:rsidRPr="008F7801">
        <w:rPr>
          <w:b/>
          <w:sz w:val="22"/>
          <w:szCs w:val="22"/>
        </w:rPr>
        <w:t xml:space="preserve"> </w:t>
      </w:r>
    </w:p>
    <w:p w:rsidR="00CC3730" w:rsidRPr="008F7801" w:rsidP="003741E3" w14:paraId="720D338F" w14:textId="77777777">
      <w:pPr>
        <w:autoSpaceDE w:val="0"/>
        <w:autoSpaceDN w:val="0"/>
        <w:adjustRightInd w:val="0"/>
        <w:ind w:left="432" w:hanging="432"/>
        <w:rPr>
          <w:b/>
          <w:sz w:val="22"/>
          <w:szCs w:val="22"/>
        </w:rPr>
      </w:pPr>
      <w:r w:rsidRPr="008F7801">
        <w:rPr>
          <w:b/>
          <w:sz w:val="22"/>
          <w:szCs w:val="22"/>
        </w:rPr>
        <w:t>A.</w:t>
      </w:r>
      <w:r w:rsidRPr="008F7801">
        <w:rPr>
          <w:b/>
          <w:sz w:val="22"/>
          <w:szCs w:val="22"/>
        </w:rPr>
        <w:t xml:space="preserve">17. Reason(s) Display of OMB Expiration Date is Inappropriate </w:t>
      </w:r>
    </w:p>
    <w:p w:rsidR="00527DC9" w:rsidRPr="008F7801" w:rsidP="00CC3730" w14:paraId="7F7FFAFE" w14:textId="77777777">
      <w:pPr>
        <w:autoSpaceDE w:val="0"/>
        <w:autoSpaceDN w:val="0"/>
        <w:adjustRightInd w:val="0"/>
        <w:ind w:left="720" w:hanging="432"/>
        <w:rPr>
          <w:b/>
          <w:sz w:val="22"/>
          <w:szCs w:val="22"/>
        </w:rPr>
      </w:pPr>
    </w:p>
    <w:p w:rsidR="00136631" w:rsidRPr="008F7801" w:rsidP="003741E3" w14:paraId="6BCCE0D3" w14:textId="77777777">
      <w:pPr>
        <w:rPr>
          <w:sz w:val="22"/>
          <w:szCs w:val="22"/>
        </w:rPr>
      </w:pPr>
      <w:r w:rsidRPr="008F7801">
        <w:rPr>
          <w:sz w:val="22"/>
          <w:szCs w:val="22"/>
        </w:rPr>
        <w:t>We are not requesting an exemption to the display of the expiration date</w:t>
      </w:r>
      <w:r w:rsidRPr="008F7801" w:rsidR="00A204E5">
        <w:rPr>
          <w:sz w:val="22"/>
          <w:szCs w:val="22"/>
        </w:rPr>
        <w:t>.</w:t>
      </w:r>
    </w:p>
    <w:p w:rsidR="007F769A" w:rsidRPr="008F7801" w:rsidP="00CC3730" w14:paraId="2DD9F6EA" w14:textId="77777777">
      <w:pPr>
        <w:autoSpaceDE w:val="0"/>
        <w:autoSpaceDN w:val="0"/>
        <w:adjustRightInd w:val="0"/>
        <w:ind w:left="720" w:hanging="432"/>
        <w:rPr>
          <w:b/>
          <w:sz w:val="22"/>
          <w:szCs w:val="22"/>
        </w:rPr>
      </w:pPr>
    </w:p>
    <w:p w:rsidR="00CC3730" w:rsidRPr="008F7801" w:rsidP="003741E3" w14:paraId="1DE23704" w14:textId="77777777">
      <w:pPr>
        <w:autoSpaceDE w:val="0"/>
        <w:autoSpaceDN w:val="0"/>
        <w:adjustRightInd w:val="0"/>
        <w:rPr>
          <w:b/>
          <w:sz w:val="22"/>
          <w:szCs w:val="22"/>
        </w:rPr>
      </w:pPr>
      <w:r w:rsidRPr="008F7801">
        <w:rPr>
          <w:b/>
          <w:sz w:val="22"/>
          <w:szCs w:val="22"/>
        </w:rPr>
        <w:t>A.</w:t>
      </w:r>
      <w:r w:rsidRPr="008F7801">
        <w:rPr>
          <w:b/>
          <w:sz w:val="22"/>
          <w:szCs w:val="22"/>
        </w:rPr>
        <w:t xml:space="preserve">18. Exceptions to Certification for Paperwork Reduction Act Submissions </w:t>
      </w:r>
    </w:p>
    <w:p w:rsidR="006D6839" w:rsidRPr="008F7801" w:rsidP="006D6839" w14:paraId="0A655D49" w14:textId="77777777">
      <w:pPr>
        <w:autoSpaceDE w:val="0"/>
        <w:autoSpaceDN w:val="0"/>
        <w:adjustRightInd w:val="0"/>
        <w:rPr>
          <w:b/>
          <w:sz w:val="22"/>
          <w:szCs w:val="22"/>
        </w:rPr>
      </w:pPr>
    </w:p>
    <w:p w:rsidR="00C769D3" w:rsidRPr="008F7801" w:rsidP="00AD0CBB" w14:paraId="6DB88246" w14:textId="2D9EA406">
      <w:pPr>
        <w:rPr>
          <w:sz w:val="22"/>
          <w:szCs w:val="22"/>
        </w:rPr>
      </w:pPr>
      <w:r>
        <w:rPr>
          <w:sz w:val="22"/>
          <w:szCs w:val="22"/>
        </w:rPr>
        <w:t>We are not requesting</w:t>
      </w:r>
      <w:r w:rsidRPr="008F7801" w:rsidR="00136631">
        <w:rPr>
          <w:sz w:val="22"/>
          <w:szCs w:val="22"/>
        </w:rPr>
        <w:t xml:space="preserve"> exceptions to certification for Paperwork Reduction Act.</w:t>
      </w:r>
    </w:p>
    <w:p w:rsidR="004239A2" w:rsidRPr="008F7801" w:rsidP="00AD0CBB" w14:paraId="5A6A9F94" w14:textId="77777777">
      <w:pPr>
        <w:rPr>
          <w:sz w:val="22"/>
          <w:szCs w:val="22"/>
        </w:rPr>
      </w:pPr>
    </w:p>
    <w:p w:rsidR="006752B0" w14:paraId="0140E79A" w14:textId="77777777">
      <w:pPr>
        <w:rPr>
          <w:b/>
          <w:bCs/>
          <w:sz w:val="22"/>
          <w:szCs w:val="22"/>
        </w:rPr>
      </w:pPr>
      <w:r>
        <w:rPr>
          <w:b/>
          <w:bCs/>
          <w:sz w:val="22"/>
          <w:szCs w:val="22"/>
        </w:rPr>
        <w:br w:type="page"/>
      </w:r>
    </w:p>
    <w:p w:rsidR="005F11E7" w:rsidRPr="00A42D0A" w:rsidP="00AD0CBB" w14:paraId="4778DD30" w14:textId="6E48FDE3">
      <w:pPr>
        <w:rPr>
          <w:b/>
          <w:bCs/>
          <w:sz w:val="22"/>
          <w:szCs w:val="22"/>
        </w:rPr>
      </w:pPr>
      <w:r w:rsidRPr="00A42D0A">
        <w:rPr>
          <w:b/>
          <w:bCs/>
          <w:sz w:val="22"/>
          <w:szCs w:val="22"/>
        </w:rPr>
        <w:t>References</w:t>
      </w:r>
    </w:p>
    <w:p w:rsidR="004F05B4" w14:paraId="02CA4DE9" w14:textId="77777777">
      <w:pPr>
        <w:rPr>
          <w:b/>
          <w:sz w:val="22"/>
          <w:szCs w:val="22"/>
        </w:rPr>
      </w:pPr>
    </w:p>
    <w:p w:rsidR="00224A50" w14:paraId="380E2A6C" w14:textId="37CCF513">
      <w:pPr>
        <w:rPr>
          <w:bCs/>
          <w:sz w:val="22"/>
          <w:szCs w:val="22"/>
        </w:rPr>
      </w:pPr>
      <w:r w:rsidRPr="00771B56">
        <w:rPr>
          <w:bCs/>
          <w:sz w:val="22"/>
          <w:szCs w:val="22"/>
        </w:rPr>
        <w:t>Averbach</w:t>
      </w:r>
      <w:r w:rsidRPr="00771B56">
        <w:rPr>
          <w:bCs/>
          <w:sz w:val="22"/>
          <w:szCs w:val="22"/>
        </w:rPr>
        <w:t xml:space="preserve"> AR, Lam D, Lam LP, </w:t>
      </w:r>
      <w:r w:rsidRPr="00771B56">
        <w:rPr>
          <w:bCs/>
          <w:sz w:val="22"/>
          <w:szCs w:val="22"/>
        </w:rPr>
        <w:t>Sharfstein</w:t>
      </w:r>
      <w:r w:rsidRPr="00771B56">
        <w:rPr>
          <w:bCs/>
          <w:sz w:val="22"/>
          <w:szCs w:val="22"/>
        </w:rPr>
        <w:t xml:space="preserve"> J, Cohen B, Koh H. Smoking </w:t>
      </w:r>
      <w:r w:rsidRPr="00771B56">
        <w:rPr>
          <w:bCs/>
          <w:sz w:val="22"/>
          <w:szCs w:val="22"/>
        </w:rPr>
        <w:t>behaviours</w:t>
      </w:r>
      <w:r w:rsidRPr="00771B56">
        <w:rPr>
          <w:bCs/>
          <w:sz w:val="22"/>
          <w:szCs w:val="22"/>
        </w:rPr>
        <w:t xml:space="preserve"> and attitudes among male restaurant workers in Boston's Chinatown: a pilot study. Tob Control. 2002 Jun;11 Suppl 2(Suppl 2</w:t>
      </w:r>
      <w:r w:rsidRPr="00771B56">
        <w:rPr>
          <w:bCs/>
          <w:sz w:val="22"/>
          <w:szCs w:val="22"/>
        </w:rPr>
        <w:t>):ii</w:t>
      </w:r>
      <w:r w:rsidRPr="00771B56">
        <w:rPr>
          <w:bCs/>
          <w:sz w:val="22"/>
          <w:szCs w:val="22"/>
        </w:rPr>
        <w:t xml:space="preserve">34-7. </w:t>
      </w:r>
      <w:r w:rsidRPr="00771B56">
        <w:rPr>
          <w:bCs/>
          <w:sz w:val="22"/>
          <w:szCs w:val="22"/>
        </w:rPr>
        <w:t>doi</w:t>
      </w:r>
      <w:r w:rsidRPr="00771B56">
        <w:rPr>
          <w:bCs/>
          <w:sz w:val="22"/>
          <w:szCs w:val="22"/>
        </w:rPr>
        <w:t>: 10.1136/tc.11.suppl_</w:t>
      </w:r>
      <w:r w:rsidRPr="00771B56">
        <w:rPr>
          <w:bCs/>
          <w:sz w:val="22"/>
          <w:szCs w:val="22"/>
        </w:rPr>
        <w:t>2.ii</w:t>
      </w:r>
      <w:r w:rsidRPr="00771B56">
        <w:rPr>
          <w:bCs/>
          <w:sz w:val="22"/>
          <w:szCs w:val="22"/>
        </w:rPr>
        <w:t>34.</w:t>
      </w:r>
    </w:p>
    <w:p w:rsidR="007E5378" w14:paraId="5B381D73" w14:textId="77777777">
      <w:pPr>
        <w:rPr>
          <w:bCs/>
          <w:sz w:val="22"/>
          <w:szCs w:val="22"/>
        </w:rPr>
      </w:pPr>
    </w:p>
    <w:p w:rsidR="007E5378" w14:paraId="450ABE6E" w14:textId="42A8DA2A">
      <w:pPr>
        <w:rPr>
          <w:bCs/>
          <w:sz w:val="22"/>
          <w:szCs w:val="22"/>
        </w:rPr>
      </w:pPr>
      <w:r w:rsidRPr="007E5378">
        <w:rPr>
          <w:bCs/>
          <w:sz w:val="22"/>
          <w:szCs w:val="22"/>
        </w:rPr>
        <w:t xml:space="preserve">Ayala GX, Castro IA, </w:t>
      </w:r>
      <w:r w:rsidRPr="007E5378">
        <w:rPr>
          <w:bCs/>
          <w:sz w:val="22"/>
          <w:szCs w:val="22"/>
        </w:rPr>
        <w:t>Pickrel</w:t>
      </w:r>
      <w:r w:rsidRPr="007E5378">
        <w:rPr>
          <w:bCs/>
          <w:sz w:val="22"/>
          <w:szCs w:val="22"/>
        </w:rPr>
        <w:t xml:space="preserve"> JL, Lin SF, Williams CB, </w:t>
      </w:r>
      <w:r w:rsidRPr="007E5378">
        <w:rPr>
          <w:bCs/>
          <w:sz w:val="22"/>
          <w:szCs w:val="22"/>
        </w:rPr>
        <w:t>Madanat</w:t>
      </w:r>
      <w:r w:rsidRPr="007E5378">
        <w:rPr>
          <w:bCs/>
          <w:sz w:val="22"/>
          <w:szCs w:val="22"/>
        </w:rPr>
        <w:t xml:space="preserve"> H, Jun HJ, </w:t>
      </w:r>
      <w:r w:rsidRPr="007E5378">
        <w:rPr>
          <w:bCs/>
          <w:sz w:val="22"/>
          <w:szCs w:val="22"/>
        </w:rPr>
        <w:t>Zive</w:t>
      </w:r>
      <w:r w:rsidRPr="007E5378">
        <w:rPr>
          <w:bCs/>
          <w:sz w:val="22"/>
          <w:szCs w:val="22"/>
        </w:rPr>
        <w:t xml:space="preserve"> M. A cluster randomized trial to promote healthy menu items for children: The Kids' Choice Restaurant Program. Int J Environ Res Public Health. 2017 Dec 1;14(12):1494. </w:t>
      </w:r>
      <w:r w:rsidRPr="007E5378">
        <w:rPr>
          <w:bCs/>
          <w:sz w:val="22"/>
          <w:szCs w:val="22"/>
        </w:rPr>
        <w:t>doi</w:t>
      </w:r>
      <w:r w:rsidRPr="007E5378">
        <w:rPr>
          <w:bCs/>
          <w:sz w:val="22"/>
          <w:szCs w:val="22"/>
        </w:rPr>
        <w:t>: 10.3390/ijerph14121494.</w:t>
      </w:r>
    </w:p>
    <w:p w:rsidR="00A81C74" w14:paraId="01A044FE" w14:textId="77777777">
      <w:pPr>
        <w:rPr>
          <w:bCs/>
          <w:sz w:val="22"/>
          <w:szCs w:val="22"/>
        </w:rPr>
      </w:pPr>
    </w:p>
    <w:p w:rsidR="00A81C74" w:rsidRPr="00771B56" w14:paraId="58493576" w14:textId="44414A48">
      <w:pPr>
        <w:rPr>
          <w:bCs/>
          <w:sz w:val="22"/>
          <w:szCs w:val="22"/>
        </w:rPr>
      </w:pPr>
      <w:r w:rsidRPr="00A81C74">
        <w:rPr>
          <w:bCs/>
          <w:sz w:val="22"/>
          <w:szCs w:val="22"/>
        </w:rPr>
        <w:t xml:space="preserve">Berlin M, </w:t>
      </w:r>
      <w:r w:rsidRPr="00A81C74">
        <w:rPr>
          <w:bCs/>
          <w:sz w:val="22"/>
          <w:szCs w:val="22"/>
        </w:rPr>
        <w:t>Mohadjer</w:t>
      </w:r>
      <w:r w:rsidRPr="00A81C74">
        <w:rPr>
          <w:bCs/>
          <w:sz w:val="22"/>
          <w:szCs w:val="22"/>
        </w:rPr>
        <w:t xml:space="preserve"> L, </w:t>
      </w:r>
      <w:r w:rsidRPr="00A81C74">
        <w:rPr>
          <w:bCs/>
          <w:sz w:val="22"/>
          <w:szCs w:val="22"/>
        </w:rPr>
        <w:t>Waksberg</w:t>
      </w:r>
      <w:r w:rsidRPr="00A81C74">
        <w:rPr>
          <w:bCs/>
          <w:sz w:val="22"/>
          <w:szCs w:val="22"/>
        </w:rPr>
        <w:t>, J, Kolstad A, Kirsch I, Rock D, Yamamoto K. (1992).  An experiment in monetary incentives. In the American Statistical Association (ed.), Proceedings of the American Statistical Association Section on Survey Research Methods (pp. 393-398).  Alexandria, VA:  American Statistical Association.</w:t>
      </w:r>
    </w:p>
    <w:p w:rsidR="00224A50" w:rsidRPr="00A42D0A" w:rsidP="00F877BB" w14:paraId="4F74ACCD" w14:textId="77777777">
      <w:pPr>
        <w:rPr>
          <w:rFonts w:cs="Myriad Pro Light SemiCond"/>
          <w:color w:val="000000"/>
          <w:sz w:val="22"/>
          <w:szCs w:val="22"/>
        </w:rPr>
      </w:pPr>
    </w:p>
    <w:p w:rsidR="00DC2B5F" w:rsidP="00DC2B5F" w14:paraId="68F88450" w14:textId="25B467F6">
      <w:pPr>
        <w:rPr>
          <w:sz w:val="22"/>
          <w:szCs w:val="22"/>
        </w:rPr>
      </w:pPr>
      <w:r w:rsidRPr="005437A0">
        <w:rPr>
          <w:sz w:val="22"/>
          <w:szCs w:val="22"/>
        </w:rPr>
        <w:t>Brown</w:t>
      </w:r>
      <w:r w:rsidR="00CA3695">
        <w:rPr>
          <w:sz w:val="22"/>
          <w:szCs w:val="22"/>
        </w:rPr>
        <w:t xml:space="preserve"> LG</w:t>
      </w:r>
      <w:r w:rsidRPr="005437A0">
        <w:rPr>
          <w:sz w:val="22"/>
          <w:szCs w:val="22"/>
        </w:rPr>
        <w:t>, Hoover</w:t>
      </w:r>
      <w:r w:rsidR="00CA3695">
        <w:rPr>
          <w:sz w:val="22"/>
          <w:szCs w:val="22"/>
        </w:rPr>
        <w:t xml:space="preserve"> ER,</w:t>
      </w:r>
      <w:r w:rsidRPr="005437A0">
        <w:rPr>
          <w:sz w:val="22"/>
          <w:szCs w:val="22"/>
        </w:rPr>
        <w:t xml:space="preserve"> Ripley</w:t>
      </w:r>
      <w:r w:rsidR="00CA3695">
        <w:rPr>
          <w:sz w:val="22"/>
          <w:szCs w:val="22"/>
        </w:rPr>
        <w:t xml:space="preserve"> D,</w:t>
      </w:r>
      <w:r w:rsidRPr="005437A0">
        <w:rPr>
          <w:sz w:val="22"/>
          <w:szCs w:val="22"/>
        </w:rPr>
        <w:t xml:space="preserve"> Matis</w:t>
      </w:r>
      <w:r w:rsidR="00CA3695">
        <w:rPr>
          <w:sz w:val="22"/>
          <w:szCs w:val="22"/>
        </w:rPr>
        <w:t xml:space="preserve"> B,</w:t>
      </w:r>
      <w:r w:rsidRPr="005437A0">
        <w:rPr>
          <w:sz w:val="22"/>
          <w:szCs w:val="22"/>
        </w:rPr>
        <w:t xml:space="preserve"> Nicholas</w:t>
      </w:r>
      <w:r w:rsidR="00CA3695">
        <w:rPr>
          <w:sz w:val="22"/>
          <w:szCs w:val="22"/>
        </w:rPr>
        <w:t xml:space="preserve"> D,</w:t>
      </w:r>
      <w:r w:rsidRPr="005437A0">
        <w:rPr>
          <w:sz w:val="22"/>
          <w:szCs w:val="22"/>
        </w:rPr>
        <w:t xml:space="preserve"> </w:t>
      </w:r>
      <w:r w:rsidRPr="005437A0">
        <w:rPr>
          <w:sz w:val="22"/>
          <w:szCs w:val="22"/>
        </w:rPr>
        <w:t>Hedeen</w:t>
      </w:r>
      <w:r w:rsidR="00CA3695">
        <w:rPr>
          <w:sz w:val="22"/>
          <w:szCs w:val="22"/>
        </w:rPr>
        <w:t xml:space="preserve"> N,</w:t>
      </w:r>
      <w:r w:rsidRPr="005437A0">
        <w:rPr>
          <w:sz w:val="22"/>
          <w:szCs w:val="22"/>
        </w:rPr>
        <w:t xml:space="preserve"> </w:t>
      </w:r>
      <w:r w:rsidRPr="005437A0">
        <w:rPr>
          <w:sz w:val="22"/>
          <w:szCs w:val="22"/>
        </w:rPr>
        <w:t>Faw</w:t>
      </w:r>
      <w:r w:rsidR="00CA3695">
        <w:rPr>
          <w:sz w:val="22"/>
          <w:szCs w:val="22"/>
        </w:rPr>
        <w:t xml:space="preserve"> B</w:t>
      </w:r>
      <w:r>
        <w:rPr>
          <w:sz w:val="22"/>
          <w:szCs w:val="22"/>
        </w:rPr>
        <w:t xml:space="preserve">. </w:t>
      </w:r>
      <w:r w:rsidRPr="00DC2B5F">
        <w:rPr>
          <w:sz w:val="22"/>
          <w:szCs w:val="22"/>
        </w:rPr>
        <w:t xml:space="preserve">Retail </w:t>
      </w:r>
      <w:r w:rsidR="00C11E09">
        <w:rPr>
          <w:sz w:val="22"/>
          <w:szCs w:val="22"/>
        </w:rPr>
        <w:t>d</w:t>
      </w:r>
      <w:r w:rsidRPr="00DC2B5F">
        <w:rPr>
          <w:sz w:val="22"/>
          <w:szCs w:val="22"/>
        </w:rPr>
        <w:t xml:space="preserve">eli </w:t>
      </w:r>
      <w:r w:rsidR="00C11E09">
        <w:rPr>
          <w:sz w:val="22"/>
          <w:szCs w:val="22"/>
        </w:rPr>
        <w:t>s</w:t>
      </w:r>
      <w:r w:rsidRPr="00DC2B5F">
        <w:rPr>
          <w:sz w:val="22"/>
          <w:szCs w:val="22"/>
        </w:rPr>
        <w:t xml:space="preserve">licer </w:t>
      </w:r>
      <w:r w:rsidR="00C11E09">
        <w:rPr>
          <w:sz w:val="22"/>
          <w:szCs w:val="22"/>
        </w:rPr>
        <w:t>c</w:t>
      </w:r>
      <w:r w:rsidRPr="00DC2B5F">
        <w:rPr>
          <w:sz w:val="22"/>
          <w:szCs w:val="22"/>
        </w:rPr>
        <w:t xml:space="preserve">leaning </w:t>
      </w:r>
      <w:r w:rsidR="00C11E09">
        <w:rPr>
          <w:sz w:val="22"/>
          <w:szCs w:val="22"/>
        </w:rPr>
        <w:t>f</w:t>
      </w:r>
      <w:r w:rsidRPr="00DC2B5F">
        <w:rPr>
          <w:sz w:val="22"/>
          <w:szCs w:val="22"/>
        </w:rPr>
        <w:t xml:space="preserve">requency — </w:t>
      </w:r>
      <w:r w:rsidR="00C11E09">
        <w:rPr>
          <w:sz w:val="22"/>
          <w:szCs w:val="22"/>
        </w:rPr>
        <w:t>s</w:t>
      </w:r>
      <w:r w:rsidRPr="00DC2B5F">
        <w:rPr>
          <w:sz w:val="22"/>
          <w:szCs w:val="22"/>
        </w:rPr>
        <w:t xml:space="preserve">ix </w:t>
      </w:r>
      <w:r w:rsidR="00C11E09">
        <w:rPr>
          <w:sz w:val="22"/>
          <w:szCs w:val="22"/>
        </w:rPr>
        <w:t>s</w:t>
      </w:r>
      <w:r w:rsidRPr="00DC2B5F">
        <w:rPr>
          <w:sz w:val="22"/>
          <w:szCs w:val="22"/>
        </w:rPr>
        <w:t xml:space="preserve">elected </w:t>
      </w:r>
      <w:r w:rsidR="00C11E09">
        <w:rPr>
          <w:sz w:val="22"/>
          <w:szCs w:val="22"/>
        </w:rPr>
        <w:t>s</w:t>
      </w:r>
      <w:r w:rsidRPr="00DC2B5F">
        <w:rPr>
          <w:sz w:val="22"/>
          <w:szCs w:val="22"/>
        </w:rPr>
        <w:t>ites, United States, 2012</w:t>
      </w:r>
      <w:r w:rsidR="00C11E09">
        <w:rPr>
          <w:sz w:val="22"/>
          <w:szCs w:val="22"/>
        </w:rPr>
        <w:t xml:space="preserve">. 2016. </w:t>
      </w:r>
      <w:r w:rsidR="00C11E09">
        <w:rPr>
          <w:sz w:val="22"/>
          <w:szCs w:val="22"/>
        </w:rPr>
        <w:t>Morb</w:t>
      </w:r>
      <w:r w:rsidR="00C11E09">
        <w:rPr>
          <w:sz w:val="22"/>
          <w:szCs w:val="22"/>
        </w:rPr>
        <w:t xml:space="preserve"> Mort </w:t>
      </w:r>
      <w:r w:rsidR="00452EA5">
        <w:rPr>
          <w:sz w:val="22"/>
          <w:szCs w:val="22"/>
        </w:rPr>
        <w:t>Wkly</w:t>
      </w:r>
      <w:r w:rsidR="00452EA5">
        <w:rPr>
          <w:sz w:val="22"/>
          <w:szCs w:val="22"/>
        </w:rPr>
        <w:t xml:space="preserve"> Rep</w:t>
      </w:r>
      <w:r w:rsidR="005D703A">
        <w:rPr>
          <w:sz w:val="22"/>
          <w:szCs w:val="22"/>
        </w:rPr>
        <w:t xml:space="preserve">; </w:t>
      </w:r>
      <w:r w:rsidRPr="00DC2B5F" w:rsidR="005D703A">
        <w:rPr>
          <w:sz w:val="22"/>
          <w:szCs w:val="22"/>
        </w:rPr>
        <w:t>65(12);306–310</w:t>
      </w:r>
      <w:r w:rsidR="005D703A">
        <w:rPr>
          <w:sz w:val="22"/>
          <w:szCs w:val="22"/>
        </w:rPr>
        <w:t>.</w:t>
      </w:r>
    </w:p>
    <w:p w:rsidR="00855181" w:rsidP="00DC2B5F" w14:paraId="5C346764" w14:textId="77777777">
      <w:pPr>
        <w:rPr>
          <w:sz w:val="22"/>
          <w:szCs w:val="22"/>
        </w:rPr>
      </w:pPr>
    </w:p>
    <w:p w:rsidR="00855181" w:rsidP="00DC2B5F" w14:paraId="42E759CE" w14:textId="00BF6205">
      <w:pPr>
        <w:rPr>
          <w:sz w:val="22"/>
          <w:szCs w:val="22"/>
        </w:rPr>
      </w:pPr>
      <w:r w:rsidRPr="00855181">
        <w:rPr>
          <w:sz w:val="22"/>
          <w:szCs w:val="22"/>
        </w:rPr>
        <w:t>Bryant EE, Kovar MG, Miller H. A study of the effect of increased remuneration on response in a Health and Nutrition Examination Survey. 1975. Vital Health and Statistics: Data evaluation and methods research; 2(67). Washington, D.C.: United States National Center for Health Statistics.</w:t>
      </w:r>
    </w:p>
    <w:p w:rsidR="00A24771" w:rsidP="00DC2B5F" w14:paraId="7808C17E" w14:textId="77777777">
      <w:pPr>
        <w:rPr>
          <w:sz w:val="22"/>
          <w:szCs w:val="22"/>
        </w:rPr>
      </w:pPr>
    </w:p>
    <w:p w:rsidR="00A24771" w:rsidP="00DC2B5F" w14:paraId="758521AA" w14:textId="1D2732EE">
      <w:pPr>
        <w:rPr>
          <w:sz w:val="22"/>
          <w:szCs w:val="22"/>
        </w:rPr>
      </w:pPr>
      <w:r w:rsidRPr="00A24771">
        <w:rPr>
          <w:sz w:val="22"/>
          <w:szCs w:val="22"/>
        </w:rPr>
        <w:t>Sobolewski J, Rothschild A, Freeman A. JMIR Form Res. The impact of incentives on data collection for online surveys: Social Media Recruitment Study. 2024 Jul 4;</w:t>
      </w:r>
      <w:r w:rsidRPr="00A24771">
        <w:rPr>
          <w:sz w:val="22"/>
          <w:szCs w:val="22"/>
        </w:rPr>
        <w:t>8:e</w:t>
      </w:r>
      <w:r w:rsidRPr="00A24771">
        <w:rPr>
          <w:sz w:val="22"/>
          <w:szCs w:val="22"/>
        </w:rPr>
        <w:t xml:space="preserve">50240. </w:t>
      </w:r>
      <w:r w:rsidRPr="00A24771">
        <w:rPr>
          <w:sz w:val="22"/>
          <w:szCs w:val="22"/>
        </w:rPr>
        <w:t>doi</w:t>
      </w:r>
      <w:r w:rsidRPr="00A24771">
        <w:rPr>
          <w:sz w:val="22"/>
          <w:szCs w:val="22"/>
        </w:rPr>
        <w:t>: 10.2196/50240.</w:t>
      </w:r>
    </w:p>
    <w:p w:rsidR="00921723" w:rsidP="00DC2B5F" w14:paraId="5E7CA954" w14:textId="77777777">
      <w:pPr>
        <w:rPr>
          <w:sz w:val="22"/>
          <w:szCs w:val="22"/>
        </w:rPr>
      </w:pPr>
    </w:p>
    <w:p w:rsidR="00921723" w:rsidP="00DC2B5F" w14:paraId="2A6F5EA7" w14:textId="07C86190">
      <w:pPr>
        <w:rPr>
          <w:sz w:val="22"/>
          <w:szCs w:val="22"/>
        </w:rPr>
      </w:pPr>
      <w:r w:rsidRPr="00921723">
        <w:rPr>
          <w:sz w:val="22"/>
          <w:szCs w:val="22"/>
        </w:rPr>
        <w:t xml:space="preserve">Courtney TK, Verma SK, Huang YH, Chang WR, Li KW, Filiaggi AJ. Factors associated with worker slipping in limited-service restaurants. </w:t>
      </w:r>
      <w:r w:rsidRPr="00921723">
        <w:rPr>
          <w:sz w:val="22"/>
          <w:szCs w:val="22"/>
        </w:rPr>
        <w:t>Inj</w:t>
      </w:r>
      <w:r w:rsidRPr="00921723">
        <w:rPr>
          <w:sz w:val="22"/>
          <w:szCs w:val="22"/>
        </w:rPr>
        <w:t xml:space="preserve"> Prev. 2010 Feb;16(1):36-41. </w:t>
      </w:r>
      <w:r w:rsidRPr="00921723">
        <w:rPr>
          <w:sz w:val="22"/>
          <w:szCs w:val="22"/>
        </w:rPr>
        <w:t>doi</w:t>
      </w:r>
      <w:r w:rsidRPr="00921723">
        <w:rPr>
          <w:sz w:val="22"/>
          <w:szCs w:val="22"/>
        </w:rPr>
        <w:t>: 10.1136/ip.2009.022749.</w:t>
      </w:r>
    </w:p>
    <w:p w:rsidR="00614DD2" w:rsidP="00DC2B5F" w14:paraId="7B18FA38" w14:textId="77777777">
      <w:pPr>
        <w:rPr>
          <w:sz w:val="22"/>
          <w:szCs w:val="22"/>
        </w:rPr>
      </w:pPr>
    </w:p>
    <w:p w:rsidR="00614DD2" w:rsidRPr="00DC2B5F" w:rsidP="00DC2B5F" w14:paraId="38D5D546" w14:textId="518888E1">
      <w:pPr>
        <w:rPr>
          <w:sz w:val="22"/>
          <w:szCs w:val="22"/>
        </w:rPr>
      </w:pPr>
      <w:r w:rsidRPr="00614DD2">
        <w:rPr>
          <w:sz w:val="22"/>
          <w:szCs w:val="22"/>
        </w:rPr>
        <w:t xml:space="preserve">Findlay JS, </w:t>
      </w:r>
      <w:r w:rsidRPr="00614DD2">
        <w:rPr>
          <w:sz w:val="22"/>
          <w:szCs w:val="22"/>
        </w:rPr>
        <w:t>Shaible</w:t>
      </w:r>
      <w:r w:rsidRPr="00614DD2">
        <w:rPr>
          <w:sz w:val="22"/>
          <w:szCs w:val="22"/>
        </w:rPr>
        <w:t xml:space="preserve"> WL.  (1980). A Study of the Effect of Increased Remuneration on Response in a Health and Nutrition Examination Survey. In the American Statistical Association (ed.), Proceedings of the American Statistical Association Section on Survey Research Method. (pp. 590-594).  Washington, D.C.:  American Statistical Association.</w:t>
      </w:r>
    </w:p>
    <w:p w:rsidR="000602BB" w:rsidP="002862A3" w14:paraId="29746075" w14:textId="77777777">
      <w:pPr>
        <w:rPr>
          <w:sz w:val="22"/>
          <w:szCs w:val="22"/>
        </w:rPr>
      </w:pPr>
    </w:p>
    <w:p w:rsidR="000602BB" w:rsidP="002862A3" w14:paraId="44B66323" w14:textId="70CB306A">
      <w:pPr>
        <w:rPr>
          <w:sz w:val="22"/>
          <w:szCs w:val="22"/>
        </w:rPr>
      </w:pPr>
      <w:r w:rsidRPr="000602BB">
        <w:rPr>
          <w:sz w:val="22"/>
          <w:szCs w:val="22"/>
        </w:rPr>
        <w:t xml:space="preserve">Hedeen N, Smith S. Restaurant Practices for Cooling Food in Minnesota: An Intervention Study. 2020 Dec;17(12):758-763. </w:t>
      </w:r>
      <w:r w:rsidRPr="000602BB">
        <w:rPr>
          <w:sz w:val="22"/>
          <w:szCs w:val="22"/>
        </w:rPr>
        <w:t>doi</w:t>
      </w:r>
      <w:r w:rsidRPr="000602BB">
        <w:rPr>
          <w:sz w:val="22"/>
          <w:szCs w:val="22"/>
        </w:rPr>
        <w:t>: 10.1089/fpd.2020.2801.</w:t>
      </w:r>
    </w:p>
    <w:p w:rsidR="00F20EC9" w:rsidP="002862A3" w14:paraId="5A964895" w14:textId="77777777">
      <w:pPr>
        <w:rPr>
          <w:sz w:val="22"/>
          <w:szCs w:val="22"/>
        </w:rPr>
      </w:pPr>
    </w:p>
    <w:p w:rsidR="00F20EC9" w:rsidP="002862A3" w14:paraId="3E96C601" w14:textId="31B5A99F">
      <w:pPr>
        <w:rPr>
          <w:sz w:val="22"/>
          <w:szCs w:val="22"/>
        </w:rPr>
      </w:pPr>
      <w:r w:rsidRPr="007E21B6">
        <w:rPr>
          <w:sz w:val="22"/>
          <w:szCs w:val="22"/>
        </w:rPr>
        <w:t>Jones</w:t>
      </w:r>
      <w:r>
        <w:rPr>
          <w:sz w:val="22"/>
          <w:szCs w:val="22"/>
        </w:rPr>
        <w:t xml:space="preserve"> TF</w:t>
      </w:r>
      <w:r w:rsidRPr="007E21B6">
        <w:rPr>
          <w:sz w:val="22"/>
          <w:szCs w:val="22"/>
        </w:rPr>
        <w:t>, Angulo</w:t>
      </w:r>
      <w:r>
        <w:rPr>
          <w:sz w:val="22"/>
          <w:szCs w:val="22"/>
        </w:rPr>
        <w:t xml:space="preserve"> FJ. </w:t>
      </w:r>
      <w:r w:rsidRPr="007E21B6">
        <w:rPr>
          <w:sz w:val="22"/>
          <w:szCs w:val="22"/>
        </w:rPr>
        <w:t xml:space="preserve">Eating in </w:t>
      </w:r>
      <w:r>
        <w:rPr>
          <w:sz w:val="22"/>
          <w:szCs w:val="22"/>
        </w:rPr>
        <w:t>r</w:t>
      </w:r>
      <w:r w:rsidRPr="007E21B6">
        <w:rPr>
          <w:sz w:val="22"/>
          <w:szCs w:val="22"/>
        </w:rPr>
        <w:t xml:space="preserve">estaurants: A </w:t>
      </w:r>
      <w:r>
        <w:rPr>
          <w:sz w:val="22"/>
          <w:szCs w:val="22"/>
        </w:rPr>
        <w:t>r</w:t>
      </w:r>
      <w:r w:rsidRPr="007E21B6">
        <w:rPr>
          <w:sz w:val="22"/>
          <w:szCs w:val="22"/>
        </w:rPr>
        <w:t xml:space="preserve">isk </w:t>
      </w:r>
      <w:r>
        <w:rPr>
          <w:sz w:val="22"/>
          <w:szCs w:val="22"/>
        </w:rPr>
        <w:t>f</w:t>
      </w:r>
      <w:r w:rsidRPr="007E21B6">
        <w:rPr>
          <w:sz w:val="22"/>
          <w:szCs w:val="22"/>
        </w:rPr>
        <w:t xml:space="preserve">actor for </w:t>
      </w:r>
      <w:r>
        <w:rPr>
          <w:sz w:val="22"/>
          <w:szCs w:val="22"/>
        </w:rPr>
        <w:t>f</w:t>
      </w:r>
      <w:r w:rsidRPr="007E21B6">
        <w:rPr>
          <w:sz w:val="22"/>
          <w:szCs w:val="22"/>
        </w:rPr>
        <w:t xml:space="preserve">oodborne </w:t>
      </w:r>
      <w:r>
        <w:rPr>
          <w:sz w:val="22"/>
          <w:szCs w:val="22"/>
        </w:rPr>
        <w:t>d</w:t>
      </w:r>
      <w:r w:rsidRPr="007E21B6">
        <w:rPr>
          <w:sz w:val="22"/>
          <w:szCs w:val="22"/>
        </w:rPr>
        <w:t>isease?</w:t>
      </w:r>
      <w:r>
        <w:rPr>
          <w:sz w:val="22"/>
          <w:szCs w:val="22"/>
        </w:rPr>
        <w:t xml:space="preserve"> 2006. </w:t>
      </w:r>
      <w:r w:rsidRPr="0037708A">
        <w:rPr>
          <w:i/>
          <w:iCs/>
          <w:sz w:val="22"/>
          <w:szCs w:val="22"/>
        </w:rPr>
        <w:t>Clin Infect Dis</w:t>
      </w:r>
      <w:r>
        <w:rPr>
          <w:sz w:val="22"/>
          <w:szCs w:val="22"/>
        </w:rPr>
        <w:t xml:space="preserve">; </w:t>
      </w:r>
      <w:r w:rsidRPr="00BA24E5">
        <w:rPr>
          <w:sz w:val="22"/>
          <w:szCs w:val="22"/>
        </w:rPr>
        <w:t>43(10):1324-8</w:t>
      </w:r>
      <w:r>
        <w:rPr>
          <w:sz w:val="22"/>
          <w:szCs w:val="22"/>
        </w:rPr>
        <w:t>.</w:t>
      </w:r>
    </w:p>
    <w:p w:rsidR="00320DA9" w14:paraId="299C0556" w14:textId="77777777">
      <w:pPr>
        <w:rPr>
          <w:sz w:val="22"/>
          <w:szCs w:val="22"/>
        </w:rPr>
      </w:pPr>
    </w:p>
    <w:p w:rsidR="00C879C5" w:rsidP="00C879C5" w14:paraId="0EE78CBF" w14:textId="1BC4FE88">
      <w:pPr>
        <w:rPr>
          <w:sz w:val="22"/>
          <w:szCs w:val="22"/>
        </w:rPr>
      </w:pPr>
      <w:r w:rsidRPr="00C879C5">
        <w:rPr>
          <w:sz w:val="22"/>
          <w:szCs w:val="22"/>
        </w:rPr>
        <w:t>Kirkland</w:t>
      </w:r>
      <w:r>
        <w:rPr>
          <w:sz w:val="22"/>
          <w:szCs w:val="22"/>
        </w:rPr>
        <w:t xml:space="preserve"> E</w:t>
      </w:r>
      <w:r w:rsidRPr="00C879C5">
        <w:rPr>
          <w:sz w:val="22"/>
          <w:szCs w:val="22"/>
        </w:rPr>
        <w:t>, Green</w:t>
      </w:r>
      <w:r>
        <w:rPr>
          <w:sz w:val="22"/>
          <w:szCs w:val="22"/>
        </w:rPr>
        <w:t xml:space="preserve"> LR</w:t>
      </w:r>
      <w:r w:rsidRPr="00C879C5">
        <w:rPr>
          <w:sz w:val="22"/>
          <w:szCs w:val="22"/>
        </w:rPr>
        <w:t>, Stone</w:t>
      </w:r>
      <w:r>
        <w:rPr>
          <w:sz w:val="22"/>
          <w:szCs w:val="22"/>
        </w:rPr>
        <w:t xml:space="preserve"> C</w:t>
      </w:r>
      <w:r w:rsidRPr="00C879C5">
        <w:rPr>
          <w:sz w:val="22"/>
          <w:szCs w:val="22"/>
        </w:rPr>
        <w:t>, Reimann</w:t>
      </w:r>
      <w:r>
        <w:rPr>
          <w:sz w:val="22"/>
          <w:szCs w:val="22"/>
        </w:rPr>
        <w:t xml:space="preserve"> D</w:t>
      </w:r>
      <w:r w:rsidRPr="00C879C5">
        <w:rPr>
          <w:sz w:val="22"/>
          <w:szCs w:val="22"/>
        </w:rPr>
        <w:t>, Nicholas</w:t>
      </w:r>
      <w:r>
        <w:rPr>
          <w:sz w:val="22"/>
          <w:szCs w:val="22"/>
        </w:rPr>
        <w:t xml:space="preserve"> D</w:t>
      </w:r>
      <w:r w:rsidRPr="00C879C5">
        <w:rPr>
          <w:sz w:val="22"/>
          <w:szCs w:val="22"/>
        </w:rPr>
        <w:t>, Mason</w:t>
      </w:r>
      <w:r>
        <w:rPr>
          <w:sz w:val="22"/>
          <w:szCs w:val="22"/>
        </w:rPr>
        <w:t xml:space="preserve"> R</w:t>
      </w:r>
      <w:r w:rsidRPr="00C879C5">
        <w:rPr>
          <w:sz w:val="22"/>
          <w:szCs w:val="22"/>
        </w:rPr>
        <w:t>, Frick</w:t>
      </w:r>
      <w:r>
        <w:rPr>
          <w:sz w:val="22"/>
          <w:szCs w:val="22"/>
        </w:rPr>
        <w:t xml:space="preserve"> R</w:t>
      </w:r>
      <w:r w:rsidRPr="00C879C5">
        <w:rPr>
          <w:sz w:val="22"/>
          <w:szCs w:val="22"/>
        </w:rPr>
        <w:t>, Coleman</w:t>
      </w:r>
      <w:r>
        <w:rPr>
          <w:sz w:val="22"/>
          <w:szCs w:val="22"/>
        </w:rPr>
        <w:t xml:space="preserve"> S</w:t>
      </w:r>
      <w:r w:rsidRPr="00C879C5">
        <w:rPr>
          <w:sz w:val="22"/>
          <w:szCs w:val="22"/>
        </w:rPr>
        <w:t>, Bushnell</w:t>
      </w:r>
      <w:r>
        <w:rPr>
          <w:sz w:val="22"/>
          <w:szCs w:val="22"/>
        </w:rPr>
        <w:t xml:space="preserve"> L</w:t>
      </w:r>
      <w:r w:rsidRPr="00C879C5">
        <w:rPr>
          <w:sz w:val="22"/>
          <w:szCs w:val="22"/>
        </w:rPr>
        <w:t>, Blade</w:t>
      </w:r>
      <w:r>
        <w:rPr>
          <w:sz w:val="22"/>
          <w:szCs w:val="22"/>
        </w:rPr>
        <w:t xml:space="preserve"> H</w:t>
      </w:r>
      <w:r w:rsidRPr="00C879C5">
        <w:rPr>
          <w:sz w:val="22"/>
          <w:szCs w:val="22"/>
        </w:rPr>
        <w:t>, Radke</w:t>
      </w:r>
      <w:r>
        <w:rPr>
          <w:sz w:val="22"/>
          <w:szCs w:val="22"/>
        </w:rPr>
        <w:t xml:space="preserve"> V</w:t>
      </w:r>
      <w:r w:rsidRPr="00C879C5">
        <w:rPr>
          <w:sz w:val="22"/>
          <w:szCs w:val="22"/>
        </w:rPr>
        <w:t>, Selman</w:t>
      </w:r>
      <w:r>
        <w:rPr>
          <w:sz w:val="22"/>
          <w:szCs w:val="22"/>
        </w:rPr>
        <w:t xml:space="preserve"> C,</w:t>
      </w:r>
      <w:r w:rsidRPr="00C879C5">
        <w:rPr>
          <w:sz w:val="22"/>
          <w:szCs w:val="22"/>
        </w:rPr>
        <w:t xml:space="preserve"> EHS-Net Working Group</w:t>
      </w:r>
      <w:r>
        <w:rPr>
          <w:sz w:val="22"/>
          <w:szCs w:val="22"/>
        </w:rPr>
        <w:t xml:space="preserve">. </w:t>
      </w:r>
      <w:r w:rsidRPr="00C879C5">
        <w:rPr>
          <w:sz w:val="22"/>
          <w:szCs w:val="22"/>
        </w:rPr>
        <w:t>Tomato handling practices in restaurants</w:t>
      </w:r>
      <w:r>
        <w:rPr>
          <w:sz w:val="22"/>
          <w:szCs w:val="22"/>
        </w:rPr>
        <w:t xml:space="preserve">. </w:t>
      </w:r>
      <w:r w:rsidRPr="008F7801" w:rsidR="00414437">
        <w:rPr>
          <w:sz w:val="22"/>
          <w:szCs w:val="22"/>
        </w:rPr>
        <w:t>2009</w:t>
      </w:r>
      <w:r w:rsidR="001A6968">
        <w:rPr>
          <w:sz w:val="22"/>
          <w:szCs w:val="22"/>
        </w:rPr>
        <w:t xml:space="preserve">. </w:t>
      </w:r>
      <w:r w:rsidRPr="00F20EC9" w:rsidR="001A6968">
        <w:rPr>
          <w:i/>
          <w:iCs/>
          <w:sz w:val="22"/>
          <w:szCs w:val="22"/>
        </w:rPr>
        <w:t xml:space="preserve">J Food </w:t>
      </w:r>
      <w:r w:rsidRPr="00F20EC9" w:rsidR="001A6968">
        <w:rPr>
          <w:i/>
          <w:iCs/>
          <w:sz w:val="22"/>
          <w:szCs w:val="22"/>
        </w:rPr>
        <w:t>Prot</w:t>
      </w:r>
      <w:r w:rsidR="001A6968">
        <w:rPr>
          <w:sz w:val="22"/>
          <w:szCs w:val="22"/>
        </w:rPr>
        <w:t xml:space="preserve">; </w:t>
      </w:r>
      <w:r w:rsidRPr="001A6968" w:rsidR="001A6968">
        <w:rPr>
          <w:sz w:val="22"/>
          <w:szCs w:val="22"/>
        </w:rPr>
        <w:t>72(8):1692-8.</w:t>
      </w:r>
    </w:p>
    <w:p w:rsidR="000D6332" w:rsidP="00C879C5" w14:paraId="3C7886BF" w14:textId="77777777">
      <w:pPr>
        <w:rPr>
          <w:sz w:val="22"/>
          <w:szCs w:val="22"/>
        </w:rPr>
      </w:pPr>
    </w:p>
    <w:p w:rsidR="00F20EC9" w:rsidP="00C879C5" w14:paraId="7B648501" w14:textId="5A1B9884">
      <w:pPr>
        <w:rPr>
          <w:sz w:val="22"/>
          <w:szCs w:val="22"/>
        </w:rPr>
      </w:pPr>
      <w:r w:rsidRPr="000D6332">
        <w:rPr>
          <w:sz w:val="22"/>
          <w:szCs w:val="22"/>
        </w:rPr>
        <w:t>Rosemberg</w:t>
      </w:r>
      <w:r w:rsidRPr="000D6332">
        <w:rPr>
          <w:sz w:val="22"/>
          <w:szCs w:val="22"/>
        </w:rPr>
        <w:t xml:space="preserve"> MS, Adams M, </w:t>
      </w:r>
      <w:r w:rsidRPr="000D6332">
        <w:rPr>
          <w:sz w:val="22"/>
          <w:szCs w:val="22"/>
        </w:rPr>
        <w:t>Polick</w:t>
      </w:r>
      <w:r w:rsidRPr="000D6332">
        <w:rPr>
          <w:sz w:val="22"/>
          <w:szCs w:val="22"/>
        </w:rPr>
        <w:t xml:space="preserve"> C, Ratliff H, Li WV, Jun J. Service workers' experience and perceptions of workplace protective measures during the onset of COVID-19. Workplace Health </w:t>
      </w:r>
      <w:r w:rsidRPr="000D6332">
        <w:rPr>
          <w:sz w:val="22"/>
          <w:szCs w:val="22"/>
        </w:rPr>
        <w:t>Saf</w:t>
      </w:r>
      <w:r w:rsidRPr="000D6332">
        <w:rPr>
          <w:sz w:val="22"/>
          <w:szCs w:val="22"/>
        </w:rPr>
        <w:t xml:space="preserve">. 2023 Mar;71(3):144-151. </w:t>
      </w:r>
      <w:r w:rsidRPr="000D6332">
        <w:rPr>
          <w:sz w:val="22"/>
          <w:szCs w:val="22"/>
        </w:rPr>
        <w:t>doi</w:t>
      </w:r>
      <w:r w:rsidRPr="000D6332">
        <w:rPr>
          <w:sz w:val="22"/>
          <w:szCs w:val="22"/>
        </w:rPr>
        <w:t>: 10.1177/21650799221101001.</w:t>
      </w:r>
    </w:p>
    <w:p w:rsidR="000D6332" w:rsidP="00C879C5" w14:paraId="746B05AF" w14:textId="77777777">
      <w:pPr>
        <w:rPr>
          <w:sz w:val="22"/>
          <w:szCs w:val="22"/>
        </w:rPr>
      </w:pPr>
    </w:p>
    <w:p w:rsidR="00F20EC9" w:rsidRPr="00A42D0A" w:rsidP="00F20EC9" w14:paraId="642A7B97" w14:textId="77777777">
      <w:pPr>
        <w:rPr>
          <w:rFonts w:cs="Myriad Pro Light SemiCond"/>
          <w:color w:val="000000"/>
          <w:sz w:val="22"/>
          <w:szCs w:val="22"/>
        </w:rPr>
      </w:pPr>
      <w:r w:rsidRPr="00A42D0A">
        <w:rPr>
          <w:rFonts w:cs="Myriad Pro Light SemiCond"/>
          <w:color w:val="000000"/>
          <w:sz w:val="22"/>
          <w:szCs w:val="22"/>
        </w:rPr>
        <w:t>Scallan</w:t>
      </w:r>
      <w:r w:rsidRPr="00A42D0A">
        <w:rPr>
          <w:rFonts w:cs="Myriad Pro Light SemiCond"/>
          <w:color w:val="000000"/>
          <w:sz w:val="22"/>
          <w:szCs w:val="22"/>
        </w:rPr>
        <w:t xml:space="preserve"> E, Griffin PM, Angulo FJ, </w:t>
      </w:r>
      <w:r w:rsidRPr="00A42D0A">
        <w:rPr>
          <w:rFonts w:cs="Myriad Pro Light SemiCond"/>
          <w:color w:val="000000"/>
          <w:sz w:val="22"/>
          <w:szCs w:val="22"/>
        </w:rPr>
        <w:t>Tauxe</w:t>
      </w:r>
      <w:r w:rsidRPr="00A42D0A">
        <w:rPr>
          <w:rFonts w:cs="Myriad Pro Light SemiCond"/>
          <w:color w:val="000000"/>
          <w:sz w:val="22"/>
          <w:szCs w:val="22"/>
        </w:rPr>
        <w:t xml:space="preserve"> RV, Hoekstra RM. Foodborne illness acquired in the United States--unspecified agents. 2011. </w:t>
      </w:r>
      <w:r w:rsidRPr="00A42D0A">
        <w:rPr>
          <w:rFonts w:cs="Myriad Pro Light SemiCond"/>
          <w:color w:val="000000"/>
          <w:sz w:val="22"/>
          <w:szCs w:val="22"/>
        </w:rPr>
        <w:t>Emerg</w:t>
      </w:r>
      <w:r w:rsidRPr="00A42D0A">
        <w:rPr>
          <w:rFonts w:cs="Myriad Pro Light SemiCond"/>
          <w:color w:val="000000"/>
          <w:sz w:val="22"/>
          <w:szCs w:val="22"/>
        </w:rPr>
        <w:t xml:space="preserve"> Infect Dis; 17(1):16-22.</w:t>
      </w:r>
    </w:p>
    <w:p w:rsidR="00F20EC9" w:rsidRPr="00A42D0A" w:rsidP="00F20EC9" w14:paraId="4CD4335C" w14:textId="77777777">
      <w:pPr>
        <w:rPr>
          <w:rFonts w:cs="Myriad Pro Light SemiCond"/>
          <w:color w:val="000000"/>
          <w:sz w:val="22"/>
          <w:szCs w:val="22"/>
        </w:rPr>
      </w:pPr>
    </w:p>
    <w:p w:rsidR="00F20EC9" w:rsidP="00F20EC9" w14:paraId="56F46E6D" w14:textId="03C332A8">
      <w:pPr>
        <w:rPr>
          <w:sz w:val="22"/>
          <w:szCs w:val="22"/>
        </w:rPr>
      </w:pPr>
      <w:r w:rsidRPr="0037708A">
        <w:rPr>
          <w:sz w:val="22"/>
          <w:szCs w:val="22"/>
        </w:rPr>
        <w:t>Scallan</w:t>
      </w:r>
      <w:r w:rsidRPr="0037708A">
        <w:rPr>
          <w:sz w:val="22"/>
          <w:szCs w:val="22"/>
        </w:rPr>
        <w:t xml:space="preserve"> E, Hoekstra RM, Angulo FJ, </w:t>
      </w:r>
      <w:r w:rsidRPr="0037708A">
        <w:rPr>
          <w:sz w:val="22"/>
          <w:szCs w:val="22"/>
        </w:rPr>
        <w:t>Tauxe</w:t>
      </w:r>
      <w:r w:rsidRPr="0037708A">
        <w:rPr>
          <w:sz w:val="22"/>
          <w:szCs w:val="22"/>
        </w:rPr>
        <w:t xml:space="preserve"> RV, Widdowson MA, Roy SL, Jones JL, Griffin PM. Foodborne illness acquired in the United States--major pathogens. 2011. </w:t>
      </w:r>
      <w:r w:rsidRPr="0037708A">
        <w:rPr>
          <w:sz w:val="22"/>
          <w:szCs w:val="22"/>
        </w:rPr>
        <w:t>Emerg</w:t>
      </w:r>
      <w:r w:rsidRPr="0037708A">
        <w:rPr>
          <w:sz w:val="22"/>
          <w:szCs w:val="22"/>
        </w:rPr>
        <w:t xml:space="preserve"> Infect Dis; 17(1):7-15.</w:t>
      </w:r>
    </w:p>
    <w:p w:rsidR="007F52F6" w:rsidP="00F20EC9" w14:paraId="17F39E09" w14:textId="77777777">
      <w:pPr>
        <w:rPr>
          <w:sz w:val="22"/>
          <w:szCs w:val="22"/>
        </w:rPr>
      </w:pPr>
    </w:p>
    <w:p w:rsidR="007F52F6" w:rsidP="00F20EC9" w14:paraId="40B6ECD1" w14:textId="3F5A0E91">
      <w:pPr>
        <w:rPr>
          <w:sz w:val="22"/>
          <w:szCs w:val="22"/>
        </w:rPr>
      </w:pPr>
      <w:r w:rsidRPr="007F52F6">
        <w:rPr>
          <w:sz w:val="22"/>
          <w:szCs w:val="22"/>
        </w:rPr>
        <w:t>Sobolewski J, Rothschild A, Freeman A. JMIR Form Res. The impact of incentives on data collection for online surveys: Social Media Recruitment Study. 2024 Jul 4;</w:t>
      </w:r>
      <w:r w:rsidRPr="007F52F6">
        <w:rPr>
          <w:sz w:val="22"/>
          <w:szCs w:val="22"/>
        </w:rPr>
        <w:t>8:e</w:t>
      </w:r>
      <w:r w:rsidRPr="007F52F6">
        <w:rPr>
          <w:sz w:val="22"/>
          <w:szCs w:val="22"/>
        </w:rPr>
        <w:t xml:space="preserve">50240. </w:t>
      </w:r>
      <w:r w:rsidRPr="007F52F6">
        <w:rPr>
          <w:sz w:val="22"/>
          <w:szCs w:val="22"/>
        </w:rPr>
        <w:t>doi</w:t>
      </w:r>
      <w:r w:rsidRPr="007F52F6">
        <w:rPr>
          <w:sz w:val="22"/>
          <w:szCs w:val="22"/>
        </w:rPr>
        <w:t>: 10.2196/50240.</w:t>
      </w:r>
    </w:p>
    <w:p w:rsidR="006B6365" w:rsidP="00F20EC9" w14:paraId="37F0692F" w14:textId="77777777">
      <w:pPr>
        <w:rPr>
          <w:sz w:val="22"/>
          <w:szCs w:val="22"/>
        </w:rPr>
      </w:pPr>
    </w:p>
    <w:p w:rsidR="006B6365" w:rsidP="00893A5E" w14:paraId="0F88D99B" w14:textId="1F1B879E">
      <w:pPr>
        <w:rPr>
          <w:sz w:val="22"/>
          <w:szCs w:val="22"/>
        </w:rPr>
      </w:pPr>
      <w:r w:rsidRPr="006B6365">
        <w:rPr>
          <w:sz w:val="22"/>
          <w:szCs w:val="22"/>
        </w:rPr>
        <w:t xml:space="preserve">U.S. Department of Agriculture, Food </w:t>
      </w:r>
      <w:r w:rsidRPr="006B6365">
        <w:rPr>
          <w:sz w:val="22"/>
          <w:szCs w:val="22"/>
        </w:rPr>
        <w:t>Safety</w:t>
      </w:r>
      <w:r w:rsidRPr="006B6365">
        <w:rPr>
          <w:sz w:val="22"/>
          <w:szCs w:val="22"/>
        </w:rPr>
        <w:t xml:space="preserve"> and Inspection Service. FSIS best practices guidance for controlling Listeria monocytogenes (</w:t>
      </w:r>
      <w:r w:rsidRPr="006B6365">
        <w:rPr>
          <w:sz w:val="22"/>
          <w:szCs w:val="22"/>
        </w:rPr>
        <w:t>Lm</w:t>
      </w:r>
      <w:r w:rsidRPr="006B6365">
        <w:rPr>
          <w:sz w:val="22"/>
          <w:szCs w:val="22"/>
        </w:rPr>
        <w:t xml:space="preserve">) in retail delicatessens. </w:t>
      </w:r>
      <w:r w:rsidRPr="006B6365" w:rsidR="005D703A">
        <w:rPr>
          <w:sz w:val="22"/>
          <w:szCs w:val="22"/>
        </w:rPr>
        <w:t xml:space="preserve">2015. </w:t>
      </w:r>
      <w:hyperlink r:id="rId11" w:history="1">
        <w:r w:rsidRPr="00E80835" w:rsidR="00920E39">
          <w:rPr>
            <w:rStyle w:val="Hyperlink"/>
            <w:sz w:val="22"/>
            <w:szCs w:val="22"/>
          </w:rPr>
          <w:t>https://www.fsis.usda.gov/sites/default/files/media_file/2021-03/Controlling-LM-Delicatessens.pdf</w:t>
        </w:r>
      </w:hyperlink>
    </w:p>
    <w:p w:rsidR="00920E39" w:rsidP="00893A5E" w14:paraId="16C9747D" w14:textId="77777777">
      <w:pPr>
        <w:rPr>
          <w:sz w:val="22"/>
          <w:szCs w:val="22"/>
        </w:rPr>
      </w:pPr>
    </w:p>
    <w:p w:rsidR="00920E39" w:rsidP="00893A5E" w14:paraId="269BF013" w14:textId="6448DA32">
      <w:pPr>
        <w:rPr>
          <w:sz w:val="22"/>
          <w:szCs w:val="22"/>
        </w:rPr>
      </w:pPr>
      <w:r w:rsidRPr="00920E39">
        <w:rPr>
          <w:sz w:val="22"/>
          <w:szCs w:val="22"/>
        </w:rPr>
        <w:t xml:space="preserve">van Gelder MMHJ, </w:t>
      </w:r>
      <w:r w:rsidRPr="00920E39">
        <w:rPr>
          <w:sz w:val="22"/>
          <w:szCs w:val="22"/>
        </w:rPr>
        <w:t>Vlenterie</w:t>
      </w:r>
      <w:r w:rsidRPr="00920E39">
        <w:rPr>
          <w:sz w:val="22"/>
          <w:szCs w:val="22"/>
        </w:rPr>
        <w:t xml:space="preserve"> R, </w:t>
      </w:r>
      <w:r w:rsidRPr="00920E39">
        <w:rPr>
          <w:sz w:val="22"/>
          <w:szCs w:val="22"/>
        </w:rPr>
        <w:t>IntHout</w:t>
      </w:r>
      <w:r w:rsidRPr="00920E39">
        <w:rPr>
          <w:sz w:val="22"/>
          <w:szCs w:val="22"/>
        </w:rPr>
        <w:t xml:space="preserve"> J, </w:t>
      </w:r>
      <w:r w:rsidRPr="00920E39">
        <w:rPr>
          <w:sz w:val="22"/>
          <w:szCs w:val="22"/>
        </w:rPr>
        <w:t>Engelen</w:t>
      </w:r>
      <w:r w:rsidRPr="00920E39">
        <w:rPr>
          <w:sz w:val="22"/>
          <w:szCs w:val="22"/>
        </w:rPr>
        <w:t xml:space="preserve"> LJLPG, </w:t>
      </w:r>
      <w:r w:rsidRPr="00920E39">
        <w:rPr>
          <w:sz w:val="22"/>
          <w:szCs w:val="22"/>
        </w:rPr>
        <w:t>Vrieling</w:t>
      </w:r>
      <w:r w:rsidRPr="00920E39">
        <w:rPr>
          <w:sz w:val="22"/>
          <w:szCs w:val="22"/>
        </w:rPr>
        <w:t xml:space="preserve"> A, van de Belt TH. Most response-inducing strategies do not increase participation in observational studies: a systematic review and meta-analysis. J Clin Epidemiol. 2018 </w:t>
      </w:r>
      <w:r w:rsidRPr="00920E39">
        <w:rPr>
          <w:sz w:val="22"/>
          <w:szCs w:val="22"/>
        </w:rPr>
        <w:t>Jul;99:1</w:t>
      </w:r>
      <w:r w:rsidRPr="00920E39">
        <w:rPr>
          <w:sz w:val="22"/>
          <w:szCs w:val="22"/>
        </w:rPr>
        <w:t xml:space="preserve">-13. </w:t>
      </w:r>
      <w:r w:rsidRPr="00920E39">
        <w:rPr>
          <w:sz w:val="22"/>
          <w:szCs w:val="22"/>
        </w:rPr>
        <w:t>doi</w:t>
      </w:r>
      <w:r w:rsidRPr="00920E39">
        <w:rPr>
          <w:sz w:val="22"/>
          <w:szCs w:val="22"/>
        </w:rPr>
        <w:t>: 10.1016/j.jclinepi.2018.02.019.</w:t>
      </w:r>
    </w:p>
    <w:p w:rsidR="00A82A17" w:rsidP="00F20EC9" w14:paraId="060EDCFC" w14:textId="77777777">
      <w:pPr>
        <w:rPr>
          <w:sz w:val="22"/>
          <w:szCs w:val="22"/>
        </w:rPr>
      </w:pPr>
    </w:p>
    <w:p w:rsidR="00A82A17" w:rsidRPr="00F260F6" w:rsidP="00F20EC9" w14:paraId="2E8EFB65" w14:textId="17FEE1E0">
      <w:pPr>
        <w:rPr>
          <w:rFonts w:cs="Myriad Pro Light SemiCond"/>
          <w:color w:val="000000"/>
          <w:sz w:val="22"/>
          <w:szCs w:val="22"/>
        </w:rPr>
      </w:pPr>
      <w:r w:rsidRPr="00A42D0A">
        <w:rPr>
          <w:rFonts w:cs="Myriad Pro Light SemiCond"/>
          <w:color w:val="000000"/>
          <w:sz w:val="22"/>
          <w:szCs w:val="22"/>
        </w:rPr>
        <w:t xml:space="preserve">White AE, Tillman AR, Hedberg C, Bruce BB, Batz M, </w:t>
      </w:r>
      <w:r w:rsidRPr="00A42D0A">
        <w:rPr>
          <w:rFonts w:cs="Myriad Pro Light SemiCond"/>
          <w:color w:val="000000"/>
          <w:sz w:val="22"/>
          <w:szCs w:val="22"/>
        </w:rPr>
        <w:t>Seys</w:t>
      </w:r>
      <w:r w:rsidRPr="00A42D0A">
        <w:rPr>
          <w:rFonts w:cs="Myriad Pro Light SemiCond"/>
          <w:color w:val="000000"/>
          <w:sz w:val="22"/>
          <w:szCs w:val="22"/>
        </w:rPr>
        <w:t xml:space="preserve"> SA, Dewey-Mattia D, </w:t>
      </w:r>
      <w:r w:rsidRPr="00A42D0A">
        <w:rPr>
          <w:rFonts w:cs="Myriad Pro Light SemiCond"/>
          <w:color w:val="000000"/>
          <w:sz w:val="22"/>
          <w:szCs w:val="22"/>
        </w:rPr>
        <w:t>Bazaco</w:t>
      </w:r>
      <w:r w:rsidRPr="00A42D0A">
        <w:rPr>
          <w:rFonts w:cs="Myriad Pro Light SemiCond"/>
          <w:color w:val="000000"/>
          <w:sz w:val="22"/>
          <w:szCs w:val="22"/>
        </w:rPr>
        <w:t xml:space="preserve"> MC, </w:t>
      </w:r>
      <w:r w:rsidRPr="00A42D0A">
        <w:rPr>
          <w:rFonts w:cs="Myriad Pro Light SemiCond"/>
          <w:color w:val="000000"/>
          <w:sz w:val="22"/>
          <w:szCs w:val="22"/>
        </w:rPr>
        <w:t>Scallan</w:t>
      </w:r>
      <w:r w:rsidRPr="00A42D0A">
        <w:rPr>
          <w:rFonts w:cs="Myriad Pro Light SemiCond"/>
          <w:color w:val="000000"/>
          <w:sz w:val="22"/>
          <w:szCs w:val="22"/>
        </w:rPr>
        <w:t xml:space="preserve"> Walter E. Foodborne illness outbreaks reported to national surveillance, United States, 2009-2018. 2022. </w:t>
      </w:r>
      <w:r w:rsidRPr="0037708A">
        <w:rPr>
          <w:rFonts w:cs="Myriad Pro Light SemiCond"/>
          <w:i/>
          <w:iCs/>
          <w:color w:val="000000"/>
          <w:sz w:val="22"/>
          <w:szCs w:val="22"/>
        </w:rPr>
        <w:t>Emerg</w:t>
      </w:r>
      <w:r w:rsidRPr="0037708A">
        <w:rPr>
          <w:rFonts w:cs="Myriad Pro Light SemiCond"/>
          <w:i/>
          <w:iCs/>
          <w:color w:val="000000"/>
          <w:sz w:val="22"/>
          <w:szCs w:val="22"/>
        </w:rPr>
        <w:t xml:space="preserve"> Infect Dis</w:t>
      </w:r>
      <w:r w:rsidRPr="00A42D0A">
        <w:rPr>
          <w:rFonts w:cs="Myriad Pro Light SemiCond"/>
          <w:color w:val="000000"/>
          <w:sz w:val="22"/>
          <w:szCs w:val="22"/>
        </w:rPr>
        <w:t>; 28(6):1117-1127.</w:t>
      </w:r>
      <w:r w:rsidR="0066278F">
        <w:rPr>
          <w:rFonts w:cs="Myriad Pro Light SemiCond"/>
          <w:color w:val="000000"/>
          <w:sz w:val="22"/>
          <w:szCs w:val="22"/>
        </w:rPr>
        <w:t xml:space="preserve"> </w:t>
      </w:r>
      <w:r w:rsidRPr="0066278F" w:rsidR="0066278F">
        <w:rPr>
          <w:rFonts w:cs="Myriad Pro Light SemiCond"/>
          <w:color w:val="000000"/>
          <w:sz w:val="22"/>
          <w:szCs w:val="22"/>
        </w:rPr>
        <w:t>doi</w:t>
      </w:r>
      <w:r w:rsidRPr="0066278F" w:rsidR="0066278F">
        <w:rPr>
          <w:rFonts w:cs="Myriad Pro Light SemiCond"/>
          <w:color w:val="000000"/>
          <w:sz w:val="22"/>
          <w:szCs w:val="22"/>
        </w:rPr>
        <w:t>: 10.3201/eid2806.211555.</w:t>
      </w:r>
    </w:p>
    <w:sectPr w:rsidSect="001569E2">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326" w:rsidP="00FF78E9" w14:paraId="4F6B1F5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16326" w14:paraId="5B9D41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326" w:rsidRPr="00536538" w:rsidP="00FF78E9" w14:paraId="1D874FDD" w14:textId="77777777">
    <w:pPr>
      <w:pStyle w:val="Footer"/>
      <w:framePr w:wrap="around" w:vAnchor="text" w:hAnchor="margin" w:xAlign="center" w:y="1"/>
      <w:rPr>
        <w:rStyle w:val="PageNumber"/>
        <w:rFonts w:ascii="Times New Roman" w:hAnsi="Times New Roman" w:cs="Times New Roman"/>
        <w:sz w:val="24"/>
        <w:u w:val="none"/>
      </w:rPr>
    </w:pPr>
    <w:r w:rsidRPr="00536538">
      <w:rPr>
        <w:rStyle w:val="PageNumber"/>
        <w:rFonts w:ascii="Times New Roman" w:hAnsi="Times New Roman" w:cs="Times New Roman"/>
        <w:sz w:val="24"/>
        <w:u w:val="none"/>
      </w:rPr>
      <w:fldChar w:fldCharType="begin"/>
    </w:r>
    <w:r w:rsidRPr="00536538">
      <w:rPr>
        <w:rStyle w:val="PageNumber"/>
        <w:rFonts w:ascii="Times New Roman" w:hAnsi="Times New Roman" w:cs="Times New Roman"/>
        <w:sz w:val="24"/>
        <w:u w:val="none"/>
      </w:rPr>
      <w:instrText xml:space="preserve">PAGE  </w:instrText>
    </w:r>
    <w:r w:rsidRPr="00536538">
      <w:rPr>
        <w:rStyle w:val="PageNumber"/>
        <w:rFonts w:ascii="Times New Roman" w:hAnsi="Times New Roman" w:cs="Times New Roman"/>
        <w:sz w:val="24"/>
        <w:u w:val="none"/>
      </w:rPr>
      <w:fldChar w:fldCharType="separate"/>
    </w:r>
    <w:r w:rsidR="00762EA6">
      <w:rPr>
        <w:rStyle w:val="PageNumber"/>
        <w:rFonts w:ascii="Times New Roman" w:hAnsi="Times New Roman" w:cs="Times New Roman"/>
        <w:noProof/>
        <w:sz w:val="24"/>
        <w:u w:val="none"/>
      </w:rPr>
      <w:t>10</w:t>
    </w:r>
    <w:r w:rsidRPr="00536538">
      <w:rPr>
        <w:rStyle w:val="PageNumber"/>
        <w:rFonts w:ascii="Times New Roman" w:hAnsi="Times New Roman" w:cs="Times New Roman"/>
        <w:sz w:val="24"/>
        <w:u w:val="none"/>
      </w:rPr>
      <w:fldChar w:fldCharType="end"/>
    </w:r>
  </w:p>
  <w:p w:rsidR="00816326" w14:paraId="6B0F81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326" w:rsidRPr="00200951" w:rsidP="00B46498" w14:paraId="4216A4B2" w14:textId="77777777">
    <w:pPr>
      <w:pStyle w:val="Header"/>
      <w:rPr>
        <w:b/>
        <w:sz w:val="20"/>
        <w:szCs w:val="20"/>
      </w:rPr>
    </w:pPr>
    <w:r>
      <w:rPr>
        <w:b/>
        <w:sz w:val="20"/>
        <w:szCs w:val="20"/>
      </w:rPr>
      <w:tab/>
    </w:r>
    <w:r w:rsidRPr="00200951">
      <w:rPr>
        <w:b/>
        <w:sz w:val="20"/>
        <w:szCs w:val="20"/>
      </w:rPr>
      <w:t>Supporting Statement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nsid w:val="06616EFD"/>
    <w:multiLevelType w:val="hybridMultilevel"/>
    <w:tmpl w:val="40AC8310"/>
    <w:lvl w:ilvl="0">
      <w:start w:val="1"/>
      <w:numFmt w:val="bullet"/>
      <w:lvlText w:val=""/>
      <w:lvlJc w:val="left"/>
      <w:pPr>
        <w:ind w:left="1440" w:hanging="360"/>
      </w:pPr>
      <w:rPr>
        <w:rFonts w:ascii="Symbol" w:hAnsi="Symbol" w:hint="default"/>
        <w:sz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E05210"/>
    <w:multiLevelType w:val="hybridMultilevel"/>
    <w:tmpl w:val="D5103F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867CCA"/>
    <w:multiLevelType w:val="hybridMultilevel"/>
    <w:tmpl w:val="504831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F665FC"/>
    <w:multiLevelType w:val="hybridMultilevel"/>
    <w:tmpl w:val="5D2273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95D49CB"/>
    <w:multiLevelType w:val="hybridMultilevel"/>
    <w:tmpl w:val="84AA0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F97B08"/>
    <w:multiLevelType w:val="multilevel"/>
    <w:tmpl w:val="76CAB6B2"/>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start w:val="1"/>
      <w:numFmt w:val="upperLetter"/>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2DC3605D"/>
    <w:multiLevelType w:val="hybridMultilevel"/>
    <w:tmpl w:val="9EE07806"/>
    <w:lvl w:ilvl="0">
      <w:start w:val="1"/>
      <w:numFmt w:val="upperLetter"/>
      <w:lvlText w:val="%1."/>
      <w:lvlJc w:val="left"/>
      <w:pPr>
        <w:tabs>
          <w:tab w:val="num" w:pos="720"/>
        </w:tabs>
        <w:ind w:left="720" w:hanging="360"/>
      </w:pPr>
      <w:rPr>
        <w:rFonts w:ascii="Times New Roman" w:hAnsi="Times New Roman" w:cs="Times New Roman" w:hint="default"/>
        <w:color w:val="auto"/>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62F7A2D"/>
    <w:multiLevelType w:val="hybridMultilevel"/>
    <w:tmpl w:val="D828F7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FE78D2"/>
    <w:multiLevelType w:val="hybridMultilevel"/>
    <w:tmpl w:val="5596B9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3706586"/>
    <w:multiLevelType w:val="hybridMultilevel"/>
    <w:tmpl w:val="FF6800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F15CD8"/>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65426DB8"/>
    <w:multiLevelType w:val="hybridMultilevel"/>
    <w:tmpl w:val="F3780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474AA0"/>
    <w:multiLevelType w:val="hybridMultilevel"/>
    <w:tmpl w:val="F3047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9E26FC"/>
    <w:multiLevelType w:val="hybridMultilevel"/>
    <w:tmpl w:val="97225D54"/>
    <w:lvl w:ilvl="0">
      <w:start w:val="1"/>
      <w:numFmt w:val="decimal"/>
      <w:pStyle w:val="Level1"/>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EAC605A"/>
    <w:multiLevelType w:val="hybridMultilevel"/>
    <w:tmpl w:val="46465F9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28209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874712">
    <w:abstractNumId w:val="0"/>
  </w:num>
  <w:num w:numId="3" w16cid:durableId="553199492">
    <w:abstractNumId w:val="6"/>
  </w:num>
  <w:num w:numId="4" w16cid:durableId="1301036729">
    <w:abstractNumId w:val="12"/>
  </w:num>
  <w:num w:numId="5" w16cid:durableId="5402897">
    <w:abstractNumId w:val="16"/>
  </w:num>
  <w:num w:numId="6" w16cid:durableId="2064401479">
    <w:abstractNumId w:val="14"/>
  </w:num>
  <w:num w:numId="7" w16cid:durableId="853761819">
    <w:abstractNumId w:val="8"/>
  </w:num>
  <w:num w:numId="8" w16cid:durableId="595214540">
    <w:abstractNumId w:val="15"/>
  </w:num>
  <w:num w:numId="9" w16cid:durableId="1032338369">
    <w:abstractNumId w:val="7"/>
  </w:num>
  <w:num w:numId="10" w16cid:durableId="1372538424">
    <w:abstractNumId w:val="5"/>
  </w:num>
  <w:num w:numId="11" w16cid:durableId="329724341">
    <w:abstractNumId w:val="10"/>
  </w:num>
  <w:num w:numId="12" w16cid:durableId="136530880">
    <w:abstractNumId w:val="11"/>
  </w:num>
  <w:num w:numId="13" w16cid:durableId="1826580823">
    <w:abstractNumId w:val="1"/>
  </w:num>
  <w:num w:numId="14" w16cid:durableId="1979987451">
    <w:abstractNumId w:val="4"/>
  </w:num>
  <w:num w:numId="15" w16cid:durableId="1833374421">
    <w:abstractNumId w:val="9"/>
  </w:num>
  <w:num w:numId="16" w16cid:durableId="1462456822">
    <w:abstractNumId w:val="2"/>
  </w:num>
  <w:num w:numId="17" w16cid:durableId="632178474">
    <w:abstractNumId w:val="13"/>
  </w:num>
  <w:num w:numId="18" w16cid:durableId="44311650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3D"/>
    <w:rsid w:val="0000053E"/>
    <w:rsid w:val="00001DB3"/>
    <w:rsid w:val="000023C8"/>
    <w:rsid w:val="00003D3F"/>
    <w:rsid w:val="0000410A"/>
    <w:rsid w:val="000055EB"/>
    <w:rsid w:val="00005A52"/>
    <w:rsid w:val="00005D66"/>
    <w:rsid w:val="00011E20"/>
    <w:rsid w:val="00012D17"/>
    <w:rsid w:val="0001320F"/>
    <w:rsid w:val="00017CFC"/>
    <w:rsid w:val="00020562"/>
    <w:rsid w:val="000205DE"/>
    <w:rsid w:val="000222DE"/>
    <w:rsid w:val="0002269C"/>
    <w:rsid w:val="00024BD4"/>
    <w:rsid w:val="000251DF"/>
    <w:rsid w:val="0002700E"/>
    <w:rsid w:val="00030918"/>
    <w:rsid w:val="0003169D"/>
    <w:rsid w:val="00031EA9"/>
    <w:rsid w:val="000327FA"/>
    <w:rsid w:val="00032A9C"/>
    <w:rsid w:val="00034551"/>
    <w:rsid w:val="000348F5"/>
    <w:rsid w:val="00034C1B"/>
    <w:rsid w:val="0003722B"/>
    <w:rsid w:val="00041121"/>
    <w:rsid w:val="000412E7"/>
    <w:rsid w:val="0004325E"/>
    <w:rsid w:val="00043B22"/>
    <w:rsid w:val="00043F0B"/>
    <w:rsid w:val="00043F6C"/>
    <w:rsid w:val="00044169"/>
    <w:rsid w:val="00044DC0"/>
    <w:rsid w:val="00044F35"/>
    <w:rsid w:val="0004658D"/>
    <w:rsid w:val="00046AAE"/>
    <w:rsid w:val="0004759B"/>
    <w:rsid w:val="00047A19"/>
    <w:rsid w:val="0005088F"/>
    <w:rsid w:val="00051F96"/>
    <w:rsid w:val="00052530"/>
    <w:rsid w:val="00054244"/>
    <w:rsid w:val="00056184"/>
    <w:rsid w:val="000602BB"/>
    <w:rsid w:val="00060372"/>
    <w:rsid w:val="0006049B"/>
    <w:rsid w:val="00060B49"/>
    <w:rsid w:val="000617F1"/>
    <w:rsid w:val="0006208A"/>
    <w:rsid w:val="00064270"/>
    <w:rsid w:val="00064BFB"/>
    <w:rsid w:val="00065ECB"/>
    <w:rsid w:val="00065EF2"/>
    <w:rsid w:val="00067C0B"/>
    <w:rsid w:val="00070C4A"/>
    <w:rsid w:val="00071038"/>
    <w:rsid w:val="000775D3"/>
    <w:rsid w:val="00081A99"/>
    <w:rsid w:val="000821FF"/>
    <w:rsid w:val="00082DCC"/>
    <w:rsid w:val="00084F8F"/>
    <w:rsid w:val="00084FB2"/>
    <w:rsid w:val="00085B9B"/>
    <w:rsid w:val="00085F49"/>
    <w:rsid w:val="0008613F"/>
    <w:rsid w:val="000862FD"/>
    <w:rsid w:val="00091B00"/>
    <w:rsid w:val="000927ED"/>
    <w:rsid w:val="00093B10"/>
    <w:rsid w:val="000949C9"/>
    <w:rsid w:val="0009575D"/>
    <w:rsid w:val="00097B22"/>
    <w:rsid w:val="00097D04"/>
    <w:rsid w:val="00097DF2"/>
    <w:rsid w:val="000A03A7"/>
    <w:rsid w:val="000A226C"/>
    <w:rsid w:val="000A284E"/>
    <w:rsid w:val="000A2A15"/>
    <w:rsid w:val="000A3164"/>
    <w:rsid w:val="000A36A7"/>
    <w:rsid w:val="000A38FD"/>
    <w:rsid w:val="000A6115"/>
    <w:rsid w:val="000B1DA1"/>
    <w:rsid w:val="000B22B0"/>
    <w:rsid w:val="000B2C1D"/>
    <w:rsid w:val="000B7FC9"/>
    <w:rsid w:val="000C0386"/>
    <w:rsid w:val="000C132D"/>
    <w:rsid w:val="000C19BC"/>
    <w:rsid w:val="000C1BDF"/>
    <w:rsid w:val="000C1E3D"/>
    <w:rsid w:val="000C6993"/>
    <w:rsid w:val="000C6D68"/>
    <w:rsid w:val="000C76E0"/>
    <w:rsid w:val="000D0F1A"/>
    <w:rsid w:val="000D15B3"/>
    <w:rsid w:val="000D1625"/>
    <w:rsid w:val="000D16E1"/>
    <w:rsid w:val="000D2882"/>
    <w:rsid w:val="000D29CF"/>
    <w:rsid w:val="000D2D10"/>
    <w:rsid w:val="000D2DF7"/>
    <w:rsid w:val="000D32D3"/>
    <w:rsid w:val="000D4513"/>
    <w:rsid w:val="000D45A7"/>
    <w:rsid w:val="000D477A"/>
    <w:rsid w:val="000D4DCC"/>
    <w:rsid w:val="000D5439"/>
    <w:rsid w:val="000D582F"/>
    <w:rsid w:val="000D6332"/>
    <w:rsid w:val="000D6AED"/>
    <w:rsid w:val="000D7C81"/>
    <w:rsid w:val="000E0DD6"/>
    <w:rsid w:val="000E39D7"/>
    <w:rsid w:val="000E4677"/>
    <w:rsid w:val="000E4808"/>
    <w:rsid w:val="000E55A8"/>
    <w:rsid w:val="000E57F9"/>
    <w:rsid w:val="000F09B6"/>
    <w:rsid w:val="000F1AF0"/>
    <w:rsid w:val="00100C77"/>
    <w:rsid w:val="00101231"/>
    <w:rsid w:val="00101697"/>
    <w:rsid w:val="001016CE"/>
    <w:rsid w:val="0010199B"/>
    <w:rsid w:val="001027A9"/>
    <w:rsid w:val="00102A82"/>
    <w:rsid w:val="00102FF6"/>
    <w:rsid w:val="00104678"/>
    <w:rsid w:val="00104B9C"/>
    <w:rsid w:val="001055C7"/>
    <w:rsid w:val="00106088"/>
    <w:rsid w:val="001073C1"/>
    <w:rsid w:val="001079E6"/>
    <w:rsid w:val="00110995"/>
    <w:rsid w:val="00112444"/>
    <w:rsid w:val="00113270"/>
    <w:rsid w:val="00113723"/>
    <w:rsid w:val="00113B36"/>
    <w:rsid w:val="00114497"/>
    <w:rsid w:val="00116437"/>
    <w:rsid w:val="001165EF"/>
    <w:rsid w:val="001166F3"/>
    <w:rsid w:val="001170D3"/>
    <w:rsid w:val="0012149B"/>
    <w:rsid w:val="00122B9A"/>
    <w:rsid w:val="001269B0"/>
    <w:rsid w:val="00126BEE"/>
    <w:rsid w:val="00126CB5"/>
    <w:rsid w:val="0012785C"/>
    <w:rsid w:val="001309AA"/>
    <w:rsid w:val="00133083"/>
    <w:rsid w:val="001331BC"/>
    <w:rsid w:val="00133825"/>
    <w:rsid w:val="00136631"/>
    <w:rsid w:val="00136D0E"/>
    <w:rsid w:val="00137645"/>
    <w:rsid w:val="001379B2"/>
    <w:rsid w:val="00140686"/>
    <w:rsid w:val="001408D8"/>
    <w:rsid w:val="00140D3C"/>
    <w:rsid w:val="00141E53"/>
    <w:rsid w:val="00142D3C"/>
    <w:rsid w:val="0014332E"/>
    <w:rsid w:val="00143E48"/>
    <w:rsid w:val="00143EBF"/>
    <w:rsid w:val="001447D5"/>
    <w:rsid w:val="00144AB0"/>
    <w:rsid w:val="00145CF5"/>
    <w:rsid w:val="00146DDC"/>
    <w:rsid w:val="001507AB"/>
    <w:rsid w:val="001509BC"/>
    <w:rsid w:val="00150F20"/>
    <w:rsid w:val="00151517"/>
    <w:rsid w:val="00153404"/>
    <w:rsid w:val="0015662E"/>
    <w:rsid w:val="001569E2"/>
    <w:rsid w:val="00157306"/>
    <w:rsid w:val="00157F8F"/>
    <w:rsid w:val="00160BC6"/>
    <w:rsid w:val="0016146F"/>
    <w:rsid w:val="0016202A"/>
    <w:rsid w:val="00162EC4"/>
    <w:rsid w:val="00162FA0"/>
    <w:rsid w:val="00163051"/>
    <w:rsid w:val="0016310C"/>
    <w:rsid w:val="0016334E"/>
    <w:rsid w:val="00164CB8"/>
    <w:rsid w:val="001653D2"/>
    <w:rsid w:val="00165E7E"/>
    <w:rsid w:val="00170321"/>
    <w:rsid w:val="00170D85"/>
    <w:rsid w:val="00172712"/>
    <w:rsid w:val="0017335C"/>
    <w:rsid w:val="0017414B"/>
    <w:rsid w:val="00174CDC"/>
    <w:rsid w:val="001760A0"/>
    <w:rsid w:val="00176DDE"/>
    <w:rsid w:val="00177857"/>
    <w:rsid w:val="00180510"/>
    <w:rsid w:val="001809FC"/>
    <w:rsid w:val="00182604"/>
    <w:rsid w:val="00182A8E"/>
    <w:rsid w:val="00184B18"/>
    <w:rsid w:val="001859E3"/>
    <w:rsid w:val="00185AFE"/>
    <w:rsid w:val="00185EC0"/>
    <w:rsid w:val="00187D8D"/>
    <w:rsid w:val="0019041F"/>
    <w:rsid w:val="00190F7F"/>
    <w:rsid w:val="001916A9"/>
    <w:rsid w:val="001926B2"/>
    <w:rsid w:val="00192E57"/>
    <w:rsid w:val="001960A0"/>
    <w:rsid w:val="001968C9"/>
    <w:rsid w:val="00196CAB"/>
    <w:rsid w:val="00197435"/>
    <w:rsid w:val="00197FE7"/>
    <w:rsid w:val="001A062F"/>
    <w:rsid w:val="001A18C5"/>
    <w:rsid w:val="001A1B7F"/>
    <w:rsid w:val="001A222D"/>
    <w:rsid w:val="001A2482"/>
    <w:rsid w:val="001A2A68"/>
    <w:rsid w:val="001A35D0"/>
    <w:rsid w:val="001A38E5"/>
    <w:rsid w:val="001A54C7"/>
    <w:rsid w:val="001A5A09"/>
    <w:rsid w:val="001A6968"/>
    <w:rsid w:val="001A69AA"/>
    <w:rsid w:val="001B0E7E"/>
    <w:rsid w:val="001B1421"/>
    <w:rsid w:val="001B1569"/>
    <w:rsid w:val="001B2A6F"/>
    <w:rsid w:val="001B31E6"/>
    <w:rsid w:val="001B38AF"/>
    <w:rsid w:val="001B425C"/>
    <w:rsid w:val="001B61DA"/>
    <w:rsid w:val="001B6780"/>
    <w:rsid w:val="001C10E0"/>
    <w:rsid w:val="001C3165"/>
    <w:rsid w:val="001D05F5"/>
    <w:rsid w:val="001D26D8"/>
    <w:rsid w:val="001D318B"/>
    <w:rsid w:val="001D4621"/>
    <w:rsid w:val="001D659C"/>
    <w:rsid w:val="001E0B6B"/>
    <w:rsid w:val="001E2C62"/>
    <w:rsid w:val="001E3390"/>
    <w:rsid w:val="001E5E5B"/>
    <w:rsid w:val="001F1503"/>
    <w:rsid w:val="001F2762"/>
    <w:rsid w:val="001F2BF2"/>
    <w:rsid w:val="001F4D67"/>
    <w:rsid w:val="001F5941"/>
    <w:rsid w:val="001F6AF8"/>
    <w:rsid w:val="001F7F93"/>
    <w:rsid w:val="00200951"/>
    <w:rsid w:val="002020D7"/>
    <w:rsid w:val="0020231D"/>
    <w:rsid w:val="00203729"/>
    <w:rsid w:val="00205425"/>
    <w:rsid w:val="00206E66"/>
    <w:rsid w:val="00207EDE"/>
    <w:rsid w:val="00210CBF"/>
    <w:rsid w:val="00212469"/>
    <w:rsid w:val="00213E62"/>
    <w:rsid w:val="00214395"/>
    <w:rsid w:val="00214E5C"/>
    <w:rsid w:val="00215ADC"/>
    <w:rsid w:val="00215CB7"/>
    <w:rsid w:val="00216CF3"/>
    <w:rsid w:val="00220299"/>
    <w:rsid w:val="0022088D"/>
    <w:rsid w:val="002216EA"/>
    <w:rsid w:val="00222121"/>
    <w:rsid w:val="0022427E"/>
    <w:rsid w:val="00224560"/>
    <w:rsid w:val="00224A50"/>
    <w:rsid w:val="002252BA"/>
    <w:rsid w:val="002253BF"/>
    <w:rsid w:val="002258BA"/>
    <w:rsid w:val="00225FCF"/>
    <w:rsid w:val="002261AA"/>
    <w:rsid w:val="00227D43"/>
    <w:rsid w:val="0023005A"/>
    <w:rsid w:val="00230094"/>
    <w:rsid w:val="00233812"/>
    <w:rsid w:val="00233CFB"/>
    <w:rsid w:val="00235664"/>
    <w:rsid w:val="00235F8B"/>
    <w:rsid w:val="002419A4"/>
    <w:rsid w:val="00244082"/>
    <w:rsid w:val="002444C4"/>
    <w:rsid w:val="0024549C"/>
    <w:rsid w:val="00245F97"/>
    <w:rsid w:val="002469C9"/>
    <w:rsid w:val="00246FC8"/>
    <w:rsid w:val="00247021"/>
    <w:rsid w:val="0025076E"/>
    <w:rsid w:val="002511E5"/>
    <w:rsid w:val="00251885"/>
    <w:rsid w:val="002527FC"/>
    <w:rsid w:val="00255F2A"/>
    <w:rsid w:val="0025645A"/>
    <w:rsid w:val="002564D6"/>
    <w:rsid w:val="00256789"/>
    <w:rsid w:val="002616A1"/>
    <w:rsid w:val="0026331D"/>
    <w:rsid w:val="0026373D"/>
    <w:rsid w:val="002641C2"/>
    <w:rsid w:val="0026525E"/>
    <w:rsid w:val="00265F74"/>
    <w:rsid w:val="00266DF9"/>
    <w:rsid w:val="00267A23"/>
    <w:rsid w:val="00267B5E"/>
    <w:rsid w:val="0027052F"/>
    <w:rsid w:val="00271E10"/>
    <w:rsid w:val="00272556"/>
    <w:rsid w:val="00274524"/>
    <w:rsid w:val="002745BC"/>
    <w:rsid w:val="00274887"/>
    <w:rsid w:val="0027592D"/>
    <w:rsid w:val="00276B2D"/>
    <w:rsid w:val="002803FE"/>
    <w:rsid w:val="00280574"/>
    <w:rsid w:val="00282A3F"/>
    <w:rsid w:val="002853FA"/>
    <w:rsid w:val="00285F51"/>
    <w:rsid w:val="002862A3"/>
    <w:rsid w:val="00286382"/>
    <w:rsid w:val="00286BE0"/>
    <w:rsid w:val="0028765F"/>
    <w:rsid w:val="00287C71"/>
    <w:rsid w:val="002925B1"/>
    <w:rsid w:val="0029426B"/>
    <w:rsid w:val="002964DB"/>
    <w:rsid w:val="002974BF"/>
    <w:rsid w:val="002A0573"/>
    <w:rsid w:val="002A1A27"/>
    <w:rsid w:val="002A4171"/>
    <w:rsid w:val="002A4F67"/>
    <w:rsid w:val="002A504E"/>
    <w:rsid w:val="002A74BB"/>
    <w:rsid w:val="002B1743"/>
    <w:rsid w:val="002B263C"/>
    <w:rsid w:val="002B3539"/>
    <w:rsid w:val="002B529A"/>
    <w:rsid w:val="002B59E3"/>
    <w:rsid w:val="002B7344"/>
    <w:rsid w:val="002B78A1"/>
    <w:rsid w:val="002B7BAD"/>
    <w:rsid w:val="002C0049"/>
    <w:rsid w:val="002C054A"/>
    <w:rsid w:val="002C1D73"/>
    <w:rsid w:val="002C2D00"/>
    <w:rsid w:val="002C39D8"/>
    <w:rsid w:val="002C3B09"/>
    <w:rsid w:val="002C3FE9"/>
    <w:rsid w:val="002C5614"/>
    <w:rsid w:val="002C5A23"/>
    <w:rsid w:val="002C658C"/>
    <w:rsid w:val="002C6718"/>
    <w:rsid w:val="002C6FA9"/>
    <w:rsid w:val="002C7384"/>
    <w:rsid w:val="002C7A67"/>
    <w:rsid w:val="002C7CDC"/>
    <w:rsid w:val="002D2732"/>
    <w:rsid w:val="002D3A0B"/>
    <w:rsid w:val="002D3F28"/>
    <w:rsid w:val="002D4931"/>
    <w:rsid w:val="002D53CC"/>
    <w:rsid w:val="002D5D6C"/>
    <w:rsid w:val="002D7A54"/>
    <w:rsid w:val="002E0BBC"/>
    <w:rsid w:val="002E0CC9"/>
    <w:rsid w:val="002E14FE"/>
    <w:rsid w:val="002E16C5"/>
    <w:rsid w:val="002E1AD8"/>
    <w:rsid w:val="002E5054"/>
    <w:rsid w:val="002E5406"/>
    <w:rsid w:val="002F00DB"/>
    <w:rsid w:val="002F0BAF"/>
    <w:rsid w:val="002F0BD9"/>
    <w:rsid w:val="002F13E7"/>
    <w:rsid w:val="002F13F9"/>
    <w:rsid w:val="002F2275"/>
    <w:rsid w:val="002F22FE"/>
    <w:rsid w:val="002F2815"/>
    <w:rsid w:val="002F3AE1"/>
    <w:rsid w:val="002F3CD2"/>
    <w:rsid w:val="002F4F48"/>
    <w:rsid w:val="002F61BC"/>
    <w:rsid w:val="00302026"/>
    <w:rsid w:val="00302F21"/>
    <w:rsid w:val="00303599"/>
    <w:rsid w:val="00304432"/>
    <w:rsid w:val="00304507"/>
    <w:rsid w:val="00306259"/>
    <w:rsid w:val="00307ED9"/>
    <w:rsid w:val="00310AD1"/>
    <w:rsid w:val="0031349D"/>
    <w:rsid w:val="00314985"/>
    <w:rsid w:val="003162D6"/>
    <w:rsid w:val="00316ACB"/>
    <w:rsid w:val="0031779B"/>
    <w:rsid w:val="003177B5"/>
    <w:rsid w:val="00317BA0"/>
    <w:rsid w:val="00317F83"/>
    <w:rsid w:val="00320CFF"/>
    <w:rsid w:val="00320DA9"/>
    <w:rsid w:val="0032155D"/>
    <w:rsid w:val="003225CB"/>
    <w:rsid w:val="00323DC4"/>
    <w:rsid w:val="00326013"/>
    <w:rsid w:val="003266D3"/>
    <w:rsid w:val="0032714A"/>
    <w:rsid w:val="003359A7"/>
    <w:rsid w:val="0033660B"/>
    <w:rsid w:val="00336CA9"/>
    <w:rsid w:val="00341767"/>
    <w:rsid w:val="0034271A"/>
    <w:rsid w:val="00343399"/>
    <w:rsid w:val="00345D7D"/>
    <w:rsid w:val="0034639A"/>
    <w:rsid w:val="0035025A"/>
    <w:rsid w:val="00350C2E"/>
    <w:rsid w:val="00350C58"/>
    <w:rsid w:val="00350FAE"/>
    <w:rsid w:val="00351395"/>
    <w:rsid w:val="00352CD0"/>
    <w:rsid w:val="00354F3E"/>
    <w:rsid w:val="00356A10"/>
    <w:rsid w:val="00360C2D"/>
    <w:rsid w:val="003612CA"/>
    <w:rsid w:val="00362E55"/>
    <w:rsid w:val="003636B7"/>
    <w:rsid w:val="00365CD7"/>
    <w:rsid w:val="00366628"/>
    <w:rsid w:val="0036768E"/>
    <w:rsid w:val="00367990"/>
    <w:rsid w:val="00370B4D"/>
    <w:rsid w:val="00371165"/>
    <w:rsid w:val="00371494"/>
    <w:rsid w:val="0037174C"/>
    <w:rsid w:val="00372C03"/>
    <w:rsid w:val="003741E3"/>
    <w:rsid w:val="003757DE"/>
    <w:rsid w:val="0037666D"/>
    <w:rsid w:val="0037708A"/>
    <w:rsid w:val="00380B77"/>
    <w:rsid w:val="0038225E"/>
    <w:rsid w:val="003836FA"/>
    <w:rsid w:val="00386260"/>
    <w:rsid w:val="003869D0"/>
    <w:rsid w:val="00386A54"/>
    <w:rsid w:val="00387BE1"/>
    <w:rsid w:val="00387C7B"/>
    <w:rsid w:val="00387EB1"/>
    <w:rsid w:val="00390759"/>
    <w:rsid w:val="003908C2"/>
    <w:rsid w:val="003909DD"/>
    <w:rsid w:val="00390C37"/>
    <w:rsid w:val="003927ED"/>
    <w:rsid w:val="0039513E"/>
    <w:rsid w:val="003A0483"/>
    <w:rsid w:val="003A123E"/>
    <w:rsid w:val="003A165A"/>
    <w:rsid w:val="003A20D9"/>
    <w:rsid w:val="003A2946"/>
    <w:rsid w:val="003A5442"/>
    <w:rsid w:val="003A5A2C"/>
    <w:rsid w:val="003A5EC1"/>
    <w:rsid w:val="003A78E1"/>
    <w:rsid w:val="003A7DD7"/>
    <w:rsid w:val="003B05B0"/>
    <w:rsid w:val="003B15A0"/>
    <w:rsid w:val="003B32B6"/>
    <w:rsid w:val="003B39B7"/>
    <w:rsid w:val="003B3EAA"/>
    <w:rsid w:val="003B41B5"/>
    <w:rsid w:val="003B4EC7"/>
    <w:rsid w:val="003B66B1"/>
    <w:rsid w:val="003B6A96"/>
    <w:rsid w:val="003B72C5"/>
    <w:rsid w:val="003C032A"/>
    <w:rsid w:val="003C1368"/>
    <w:rsid w:val="003C1C9D"/>
    <w:rsid w:val="003C3A00"/>
    <w:rsid w:val="003C59B4"/>
    <w:rsid w:val="003C6E19"/>
    <w:rsid w:val="003D211A"/>
    <w:rsid w:val="003D288F"/>
    <w:rsid w:val="003D57F8"/>
    <w:rsid w:val="003D7B15"/>
    <w:rsid w:val="003E23D6"/>
    <w:rsid w:val="003E3B7A"/>
    <w:rsid w:val="003E3E64"/>
    <w:rsid w:val="003E4D4B"/>
    <w:rsid w:val="003E548C"/>
    <w:rsid w:val="003F0525"/>
    <w:rsid w:val="003F0615"/>
    <w:rsid w:val="003F0683"/>
    <w:rsid w:val="003F10B2"/>
    <w:rsid w:val="003F30DB"/>
    <w:rsid w:val="003F5218"/>
    <w:rsid w:val="003F5745"/>
    <w:rsid w:val="003F6665"/>
    <w:rsid w:val="00400440"/>
    <w:rsid w:val="00401DC2"/>
    <w:rsid w:val="00403927"/>
    <w:rsid w:val="00404EDF"/>
    <w:rsid w:val="004064C3"/>
    <w:rsid w:val="004069E3"/>
    <w:rsid w:val="004073F7"/>
    <w:rsid w:val="00407B19"/>
    <w:rsid w:val="0041103C"/>
    <w:rsid w:val="00412283"/>
    <w:rsid w:val="00413967"/>
    <w:rsid w:val="00414437"/>
    <w:rsid w:val="004146E8"/>
    <w:rsid w:val="00415346"/>
    <w:rsid w:val="00415C9E"/>
    <w:rsid w:val="00420A73"/>
    <w:rsid w:val="00422CE5"/>
    <w:rsid w:val="004230B5"/>
    <w:rsid w:val="00423622"/>
    <w:rsid w:val="004239A2"/>
    <w:rsid w:val="00423DB4"/>
    <w:rsid w:val="00425A79"/>
    <w:rsid w:val="00425F3B"/>
    <w:rsid w:val="00427161"/>
    <w:rsid w:val="0043040F"/>
    <w:rsid w:val="00432B7F"/>
    <w:rsid w:val="00435212"/>
    <w:rsid w:val="00436BB5"/>
    <w:rsid w:val="004378E5"/>
    <w:rsid w:val="004428B1"/>
    <w:rsid w:val="00442DEA"/>
    <w:rsid w:val="00443236"/>
    <w:rsid w:val="00443DF2"/>
    <w:rsid w:val="00443FD7"/>
    <w:rsid w:val="00444BE5"/>
    <w:rsid w:val="0044543D"/>
    <w:rsid w:val="00446251"/>
    <w:rsid w:val="00446C7B"/>
    <w:rsid w:val="00447562"/>
    <w:rsid w:val="00447CB4"/>
    <w:rsid w:val="00450402"/>
    <w:rsid w:val="004505A9"/>
    <w:rsid w:val="00451AEB"/>
    <w:rsid w:val="00452EA5"/>
    <w:rsid w:val="00453908"/>
    <w:rsid w:val="004565CB"/>
    <w:rsid w:val="004575E8"/>
    <w:rsid w:val="004603DD"/>
    <w:rsid w:val="00461B19"/>
    <w:rsid w:val="00461DCD"/>
    <w:rsid w:val="004626DE"/>
    <w:rsid w:val="00465120"/>
    <w:rsid w:val="004667A2"/>
    <w:rsid w:val="00467E24"/>
    <w:rsid w:val="004708C0"/>
    <w:rsid w:val="00471C10"/>
    <w:rsid w:val="00472169"/>
    <w:rsid w:val="00472837"/>
    <w:rsid w:val="00472999"/>
    <w:rsid w:val="00474680"/>
    <w:rsid w:val="00475B60"/>
    <w:rsid w:val="0047646B"/>
    <w:rsid w:val="00477D02"/>
    <w:rsid w:val="00481186"/>
    <w:rsid w:val="00483090"/>
    <w:rsid w:val="00483AAB"/>
    <w:rsid w:val="00483DBD"/>
    <w:rsid w:val="00485DAF"/>
    <w:rsid w:val="00486282"/>
    <w:rsid w:val="00486650"/>
    <w:rsid w:val="00486E81"/>
    <w:rsid w:val="004871C5"/>
    <w:rsid w:val="004876BD"/>
    <w:rsid w:val="0049008E"/>
    <w:rsid w:val="00492D00"/>
    <w:rsid w:val="00493026"/>
    <w:rsid w:val="00496F3F"/>
    <w:rsid w:val="00497666"/>
    <w:rsid w:val="00497F70"/>
    <w:rsid w:val="004A0001"/>
    <w:rsid w:val="004A0B13"/>
    <w:rsid w:val="004A0C85"/>
    <w:rsid w:val="004A1701"/>
    <w:rsid w:val="004A5570"/>
    <w:rsid w:val="004A61B5"/>
    <w:rsid w:val="004A74EC"/>
    <w:rsid w:val="004B1F1A"/>
    <w:rsid w:val="004B409D"/>
    <w:rsid w:val="004B42BD"/>
    <w:rsid w:val="004B51B3"/>
    <w:rsid w:val="004B5348"/>
    <w:rsid w:val="004B5789"/>
    <w:rsid w:val="004B7E08"/>
    <w:rsid w:val="004C18A8"/>
    <w:rsid w:val="004C1B3F"/>
    <w:rsid w:val="004C2EC9"/>
    <w:rsid w:val="004C3067"/>
    <w:rsid w:val="004C4CE9"/>
    <w:rsid w:val="004C514A"/>
    <w:rsid w:val="004C5D09"/>
    <w:rsid w:val="004D05EF"/>
    <w:rsid w:val="004D4760"/>
    <w:rsid w:val="004D51F4"/>
    <w:rsid w:val="004D61DC"/>
    <w:rsid w:val="004D70AF"/>
    <w:rsid w:val="004E0514"/>
    <w:rsid w:val="004E0928"/>
    <w:rsid w:val="004E0B1B"/>
    <w:rsid w:val="004E1C8B"/>
    <w:rsid w:val="004E1FA6"/>
    <w:rsid w:val="004E7589"/>
    <w:rsid w:val="004F05B4"/>
    <w:rsid w:val="004F08F9"/>
    <w:rsid w:val="004F18E4"/>
    <w:rsid w:val="004F29B5"/>
    <w:rsid w:val="004F3469"/>
    <w:rsid w:val="004F47CB"/>
    <w:rsid w:val="004F71C5"/>
    <w:rsid w:val="004F75D3"/>
    <w:rsid w:val="00500417"/>
    <w:rsid w:val="00500589"/>
    <w:rsid w:val="005008A8"/>
    <w:rsid w:val="00500F38"/>
    <w:rsid w:val="005013B9"/>
    <w:rsid w:val="00501797"/>
    <w:rsid w:val="00501F0D"/>
    <w:rsid w:val="00501F90"/>
    <w:rsid w:val="0050360B"/>
    <w:rsid w:val="00503DFB"/>
    <w:rsid w:val="00503F80"/>
    <w:rsid w:val="00505D35"/>
    <w:rsid w:val="00510608"/>
    <w:rsid w:val="00512184"/>
    <w:rsid w:val="00512D34"/>
    <w:rsid w:val="00512EC5"/>
    <w:rsid w:val="00513CC9"/>
    <w:rsid w:val="00513D16"/>
    <w:rsid w:val="00514364"/>
    <w:rsid w:val="00514C58"/>
    <w:rsid w:val="00516F18"/>
    <w:rsid w:val="00520402"/>
    <w:rsid w:val="00522BDA"/>
    <w:rsid w:val="0052438E"/>
    <w:rsid w:val="005261AD"/>
    <w:rsid w:val="00526328"/>
    <w:rsid w:val="00527BAC"/>
    <w:rsid w:val="00527DC9"/>
    <w:rsid w:val="005301DE"/>
    <w:rsid w:val="00530995"/>
    <w:rsid w:val="005323B7"/>
    <w:rsid w:val="00534A0C"/>
    <w:rsid w:val="0053525C"/>
    <w:rsid w:val="00535AAC"/>
    <w:rsid w:val="00536538"/>
    <w:rsid w:val="00536695"/>
    <w:rsid w:val="005367A2"/>
    <w:rsid w:val="00536CB1"/>
    <w:rsid w:val="005370BB"/>
    <w:rsid w:val="00537319"/>
    <w:rsid w:val="0053774E"/>
    <w:rsid w:val="00537767"/>
    <w:rsid w:val="00541C7C"/>
    <w:rsid w:val="00542057"/>
    <w:rsid w:val="00542184"/>
    <w:rsid w:val="0054274A"/>
    <w:rsid w:val="00542882"/>
    <w:rsid w:val="00542CEC"/>
    <w:rsid w:val="005437A0"/>
    <w:rsid w:val="0054507C"/>
    <w:rsid w:val="00545378"/>
    <w:rsid w:val="0054602A"/>
    <w:rsid w:val="00551416"/>
    <w:rsid w:val="00551480"/>
    <w:rsid w:val="00552D5F"/>
    <w:rsid w:val="0055338C"/>
    <w:rsid w:val="00553FB7"/>
    <w:rsid w:val="00554924"/>
    <w:rsid w:val="00555900"/>
    <w:rsid w:val="00555D70"/>
    <w:rsid w:val="0055646C"/>
    <w:rsid w:val="00557611"/>
    <w:rsid w:val="00560A84"/>
    <w:rsid w:val="0056160C"/>
    <w:rsid w:val="00561D98"/>
    <w:rsid w:val="00561E7C"/>
    <w:rsid w:val="005632D4"/>
    <w:rsid w:val="005638E0"/>
    <w:rsid w:val="00565613"/>
    <w:rsid w:val="0056582A"/>
    <w:rsid w:val="00567980"/>
    <w:rsid w:val="005700A6"/>
    <w:rsid w:val="005712DA"/>
    <w:rsid w:val="00571FD9"/>
    <w:rsid w:val="005771F7"/>
    <w:rsid w:val="00577283"/>
    <w:rsid w:val="005804F0"/>
    <w:rsid w:val="00590EC2"/>
    <w:rsid w:val="00593107"/>
    <w:rsid w:val="005964D5"/>
    <w:rsid w:val="00596DD5"/>
    <w:rsid w:val="00597A8F"/>
    <w:rsid w:val="005A1183"/>
    <w:rsid w:val="005A1685"/>
    <w:rsid w:val="005A3C9A"/>
    <w:rsid w:val="005A429F"/>
    <w:rsid w:val="005A548A"/>
    <w:rsid w:val="005A5ACA"/>
    <w:rsid w:val="005A61C6"/>
    <w:rsid w:val="005B01AF"/>
    <w:rsid w:val="005B022E"/>
    <w:rsid w:val="005B2394"/>
    <w:rsid w:val="005B30B8"/>
    <w:rsid w:val="005B3191"/>
    <w:rsid w:val="005B3323"/>
    <w:rsid w:val="005B3DA1"/>
    <w:rsid w:val="005B56F1"/>
    <w:rsid w:val="005B7C7E"/>
    <w:rsid w:val="005C0364"/>
    <w:rsid w:val="005C2284"/>
    <w:rsid w:val="005C2DC8"/>
    <w:rsid w:val="005C3B0C"/>
    <w:rsid w:val="005C420E"/>
    <w:rsid w:val="005C5F51"/>
    <w:rsid w:val="005C72AE"/>
    <w:rsid w:val="005C79AB"/>
    <w:rsid w:val="005D04AD"/>
    <w:rsid w:val="005D104B"/>
    <w:rsid w:val="005D1CEA"/>
    <w:rsid w:val="005D5380"/>
    <w:rsid w:val="005D6F22"/>
    <w:rsid w:val="005D703A"/>
    <w:rsid w:val="005D78A2"/>
    <w:rsid w:val="005E0C90"/>
    <w:rsid w:val="005E1F61"/>
    <w:rsid w:val="005E2E01"/>
    <w:rsid w:val="005E3155"/>
    <w:rsid w:val="005E49B8"/>
    <w:rsid w:val="005E64C5"/>
    <w:rsid w:val="005E6F91"/>
    <w:rsid w:val="005E75BF"/>
    <w:rsid w:val="005F0451"/>
    <w:rsid w:val="005F0F2B"/>
    <w:rsid w:val="005F11E7"/>
    <w:rsid w:val="005F16C8"/>
    <w:rsid w:val="005F70D1"/>
    <w:rsid w:val="00600BC9"/>
    <w:rsid w:val="00600C4B"/>
    <w:rsid w:val="00601245"/>
    <w:rsid w:val="0060311D"/>
    <w:rsid w:val="006032DF"/>
    <w:rsid w:val="00604F8B"/>
    <w:rsid w:val="006054D4"/>
    <w:rsid w:val="00607592"/>
    <w:rsid w:val="00607B34"/>
    <w:rsid w:val="00611689"/>
    <w:rsid w:val="00611E48"/>
    <w:rsid w:val="00612E88"/>
    <w:rsid w:val="00612FED"/>
    <w:rsid w:val="00614DA0"/>
    <w:rsid w:val="00614DD2"/>
    <w:rsid w:val="00620A44"/>
    <w:rsid w:val="00621255"/>
    <w:rsid w:val="006223DD"/>
    <w:rsid w:val="00622BE1"/>
    <w:rsid w:val="006244CD"/>
    <w:rsid w:val="00624B60"/>
    <w:rsid w:val="00626BD7"/>
    <w:rsid w:val="006275D4"/>
    <w:rsid w:val="00630C75"/>
    <w:rsid w:val="0063114F"/>
    <w:rsid w:val="00632DE7"/>
    <w:rsid w:val="0063495E"/>
    <w:rsid w:val="00637479"/>
    <w:rsid w:val="006405AE"/>
    <w:rsid w:val="006410BB"/>
    <w:rsid w:val="00641CDD"/>
    <w:rsid w:val="006426A8"/>
    <w:rsid w:val="00644424"/>
    <w:rsid w:val="0064474F"/>
    <w:rsid w:val="00645B24"/>
    <w:rsid w:val="006467A4"/>
    <w:rsid w:val="0064745B"/>
    <w:rsid w:val="00650C5D"/>
    <w:rsid w:val="00651026"/>
    <w:rsid w:val="0065182B"/>
    <w:rsid w:val="006518C5"/>
    <w:rsid w:val="00652EB9"/>
    <w:rsid w:val="006541B8"/>
    <w:rsid w:val="00655BD8"/>
    <w:rsid w:val="006564ED"/>
    <w:rsid w:val="00661297"/>
    <w:rsid w:val="0066236D"/>
    <w:rsid w:val="0066278F"/>
    <w:rsid w:val="0066302B"/>
    <w:rsid w:val="0066351C"/>
    <w:rsid w:val="00663AA5"/>
    <w:rsid w:val="00664C17"/>
    <w:rsid w:val="0066615D"/>
    <w:rsid w:val="006669EE"/>
    <w:rsid w:val="00666E00"/>
    <w:rsid w:val="00666FBE"/>
    <w:rsid w:val="00667B74"/>
    <w:rsid w:val="00670768"/>
    <w:rsid w:val="006721F7"/>
    <w:rsid w:val="00672EAF"/>
    <w:rsid w:val="006752AA"/>
    <w:rsid w:val="006752B0"/>
    <w:rsid w:val="00680259"/>
    <w:rsid w:val="0068048E"/>
    <w:rsid w:val="00680BF8"/>
    <w:rsid w:val="006846FC"/>
    <w:rsid w:val="00686268"/>
    <w:rsid w:val="00686BFD"/>
    <w:rsid w:val="006925A6"/>
    <w:rsid w:val="006927C8"/>
    <w:rsid w:val="006932E1"/>
    <w:rsid w:val="00695CBA"/>
    <w:rsid w:val="00696F71"/>
    <w:rsid w:val="00697049"/>
    <w:rsid w:val="00697E7D"/>
    <w:rsid w:val="006A0A4C"/>
    <w:rsid w:val="006A2314"/>
    <w:rsid w:val="006A3EFB"/>
    <w:rsid w:val="006A4C1E"/>
    <w:rsid w:val="006A50BA"/>
    <w:rsid w:val="006A684D"/>
    <w:rsid w:val="006A72C0"/>
    <w:rsid w:val="006B00C8"/>
    <w:rsid w:val="006B16AE"/>
    <w:rsid w:val="006B5387"/>
    <w:rsid w:val="006B6365"/>
    <w:rsid w:val="006B7DDC"/>
    <w:rsid w:val="006C180A"/>
    <w:rsid w:val="006C2C5A"/>
    <w:rsid w:val="006C3796"/>
    <w:rsid w:val="006C6A96"/>
    <w:rsid w:val="006C7318"/>
    <w:rsid w:val="006D0AB4"/>
    <w:rsid w:val="006D0AE5"/>
    <w:rsid w:val="006D120D"/>
    <w:rsid w:val="006D22F2"/>
    <w:rsid w:val="006D378E"/>
    <w:rsid w:val="006D5A80"/>
    <w:rsid w:val="006D6194"/>
    <w:rsid w:val="006D62CD"/>
    <w:rsid w:val="006D6839"/>
    <w:rsid w:val="006D6CBB"/>
    <w:rsid w:val="006D6FAB"/>
    <w:rsid w:val="006E07ED"/>
    <w:rsid w:val="006E1783"/>
    <w:rsid w:val="006E17F6"/>
    <w:rsid w:val="006E206B"/>
    <w:rsid w:val="006E211B"/>
    <w:rsid w:val="006E3102"/>
    <w:rsid w:val="006E36ED"/>
    <w:rsid w:val="006E51CC"/>
    <w:rsid w:val="006E6B19"/>
    <w:rsid w:val="006E6BA5"/>
    <w:rsid w:val="006E7D81"/>
    <w:rsid w:val="006F0D75"/>
    <w:rsid w:val="006F3F31"/>
    <w:rsid w:val="006F43F8"/>
    <w:rsid w:val="006F5E2C"/>
    <w:rsid w:val="006F650E"/>
    <w:rsid w:val="006F65E1"/>
    <w:rsid w:val="006F6D86"/>
    <w:rsid w:val="0070028B"/>
    <w:rsid w:val="007016B7"/>
    <w:rsid w:val="00701FD9"/>
    <w:rsid w:val="00704B59"/>
    <w:rsid w:val="00705CD1"/>
    <w:rsid w:val="00706098"/>
    <w:rsid w:val="007124F6"/>
    <w:rsid w:val="00713085"/>
    <w:rsid w:val="007131AA"/>
    <w:rsid w:val="00714089"/>
    <w:rsid w:val="00714458"/>
    <w:rsid w:val="00714EE1"/>
    <w:rsid w:val="007161C9"/>
    <w:rsid w:val="00716B99"/>
    <w:rsid w:val="007177DB"/>
    <w:rsid w:val="00717D64"/>
    <w:rsid w:val="0072010C"/>
    <w:rsid w:val="00724B6B"/>
    <w:rsid w:val="00724B93"/>
    <w:rsid w:val="00725996"/>
    <w:rsid w:val="00725E1C"/>
    <w:rsid w:val="00726B0B"/>
    <w:rsid w:val="00726BE2"/>
    <w:rsid w:val="00730E3A"/>
    <w:rsid w:val="00731051"/>
    <w:rsid w:val="00731EF6"/>
    <w:rsid w:val="007337D2"/>
    <w:rsid w:val="00734547"/>
    <w:rsid w:val="00734848"/>
    <w:rsid w:val="00734BB1"/>
    <w:rsid w:val="0073788E"/>
    <w:rsid w:val="00740A57"/>
    <w:rsid w:val="0074131A"/>
    <w:rsid w:val="00741AFE"/>
    <w:rsid w:val="00742058"/>
    <w:rsid w:val="00742A64"/>
    <w:rsid w:val="00742DEC"/>
    <w:rsid w:val="00742ED7"/>
    <w:rsid w:val="00743CD7"/>
    <w:rsid w:val="00743F83"/>
    <w:rsid w:val="00743FED"/>
    <w:rsid w:val="00744BF9"/>
    <w:rsid w:val="00745E5A"/>
    <w:rsid w:val="0074645A"/>
    <w:rsid w:val="007527DD"/>
    <w:rsid w:val="00752D52"/>
    <w:rsid w:val="007547D9"/>
    <w:rsid w:val="0075660D"/>
    <w:rsid w:val="00761483"/>
    <w:rsid w:val="007618D2"/>
    <w:rsid w:val="00762EA6"/>
    <w:rsid w:val="00763171"/>
    <w:rsid w:val="007633E7"/>
    <w:rsid w:val="007641CF"/>
    <w:rsid w:val="00765061"/>
    <w:rsid w:val="00765814"/>
    <w:rsid w:val="00765933"/>
    <w:rsid w:val="00767DA8"/>
    <w:rsid w:val="00770A77"/>
    <w:rsid w:val="0077136C"/>
    <w:rsid w:val="007716A9"/>
    <w:rsid w:val="00771B56"/>
    <w:rsid w:val="007722E7"/>
    <w:rsid w:val="007731F7"/>
    <w:rsid w:val="0077343E"/>
    <w:rsid w:val="007739EE"/>
    <w:rsid w:val="00776A88"/>
    <w:rsid w:val="00780861"/>
    <w:rsid w:val="007808A3"/>
    <w:rsid w:val="00780AB4"/>
    <w:rsid w:val="007815C3"/>
    <w:rsid w:val="00783781"/>
    <w:rsid w:val="00785EF5"/>
    <w:rsid w:val="0078707E"/>
    <w:rsid w:val="00787552"/>
    <w:rsid w:val="00790441"/>
    <w:rsid w:val="007909DC"/>
    <w:rsid w:val="00790BC6"/>
    <w:rsid w:val="007910B1"/>
    <w:rsid w:val="007929BA"/>
    <w:rsid w:val="00793C95"/>
    <w:rsid w:val="00793DE9"/>
    <w:rsid w:val="00794609"/>
    <w:rsid w:val="00794EC4"/>
    <w:rsid w:val="007960CD"/>
    <w:rsid w:val="00796D8C"/>
    <w:rsid w:val="00796E57"/>
    <w:rsid w:val="00797BDD"/>
    <w:rsid w:val="007A0916"/>
    <w:rsid w:val="007A0F02"/>
    <w:rsid w:val="007A15A7"/>
    <w:rsid w:val="007A1D14"/>
    <w:rsid w:val="007A26D3"/>
    <w:rsid w:val="007A2D20"/>
    <w:rsid w:val="007A3126"/>
    <w:rsid w:val="007A4237"/>
    <w:rsid w:val="007A49F0"/>
    <w:rsid w:val="007A52DC"/>
    <w:rsid w:val="007A7B47"/>
    <w:rsid w:val="007B008F"/>
    <w:rsid w:val="007B0B0D"/>
    <w:rsid w:val="007B0BD4"/>
    <w:rsid w:val="007B144E"/>
    <w:rsid w:val="007B14F3"/>
    <w:rsid w:val="007B2B52"/>
    <w:rsid w:val="007B311C"/>
    <w:rsid w:val="007B40F4"/>
    <w:rsid w:val="007B4D40"/>
    <w:rsid w:val="007B522E"/>
    <w:rsid w:val="007B569C"/>
    <w:rsid w:val="007C19F0"/>
    <w:rsid w:val="007C1C3E"/>
    <w:rsid w:val="007C22D1"/>
    <w:rsid w:val="007C563E"/>
    <w:rsid w:val="007C5952"/>
    <w:rsid w:val="007C6B8B"/>
    <w:rsid w:val="007D17FB"/>
    <w:rsid w:val="007D2DA9"/>
    <w:rsid w:val="007D3628"/>
    <w:rsid w:val="007D49A9"/>
    <w:rsid w:val="007D5449"/>
    <w:rsid w:val="007D5EE0"/>
    <w:rsid w:val="007D639B"/>
    <w:rsid w:val="007D67E9"/>
    <w:rsid w:val="007E041F"/>
    <w:rsid w:val="007E1C91"/>
    <w:rsid w:val="007E1D46"/>
    <w:rsid w:val="007E21B6"/>
    <w:rsid w:val="007E42D3"/>
    <w:rsid w:val="007E5378"/>
    <w:rsid w:val="007E5809"/>
    <w:rsid w:val="007E58DB"/>
    <w:rsid w:val="007E6275"/>
    <w:rsid w:val="007E68A5"/>
    <w:rsid w:val="007E7158"/>
    <w:rsid w:val="007F0790"/>
    <w:rsid w:val="007F2705"/>
    <w:rsid w:val="007F2F20"/>
    <w:rsid w:val="007F353B"/>
    <w:rsid w:val="007F4263"/>
    <w:rsid w:val="007F4BAB"/>
    <w:rsid w:val="007F52F6"/>
    <w:rsid w:val="007F586D"/>
    <w:rsid w:val="007F685D"/>
    <w:rsid w:val="007F73E5"/>
    <w:rsid w:val="007F769A"/>
    <w:rsid w:val="007F7C40"/>
    <w:rsid w:val="00800270"/>
    <w:rsid w:val="0080193D"/>
    <w:rsid w:val="008024A9"/>
    <w:rsid w:val="008025FA"/>
    <w:rsid w:val="00802B62"/>
    <w:rsid w:val="00803488"/>
    <w:rsid w:val="00803CB4"/>
    <w:rsid w:val="008064C7"/>
    <w:rsid w:val="0080663A"/>
    <w:rsid w:val="00813F06"/>
    <w:rsid w:val="008140DF"/>
    <w:rsid w:val="008141A9"/>
    <w:rsid w:val="00814657"/>
    <w:rsid w:val="00814CD1"/>
    <w:rsid w:val="00815462"/>
    <w:rsid w:val="00816326"/>
    <w:rsid w:val="00816453"/>
    <w:rsid w:val="00817C22"/>
    <w:rsid w:val="0082001A"/>
    <w:rsid w:val="0082110B"/>
    <w:rsid w:val="00823116"/>
    <w:rsid w:val="00826AED"/>
    <w:rsid w:val="00827D10"/>
    <w:rsid w:val="00830C1C"/>
    <w:rsid w:val="00830DD9"/>
    <w:rsid w:val="008323CF"/>
    <w:rsid w:val="00832553"/>
    <w:rsid w:val="0083345F"/>
    <w:rsid w:val="00835531"/>
    <w:rsid w:val="00835EE3"/>
    <w:rsid w:val="00837410"/>
    <w:rsid w:val="00840067"/>
    <w:rsid w:val="00841984"/>
    <w:rsid w:val="008438B9"/>
    <w:rsid w:val="00843D9A"/>
    <w:rsid w:val="00845190"/>
    <w:rsid w:val="00845A6C"/>
    <w:rsid w:val="00846695"/>
    <w:rsid w:val="00846720"/>
    <w:rsid w:val="0084749E"/>
    <w:rsid w:val="00847A08"/>
    <w:rsid w:val="00847DD6"/>
    <w:rsid w:val="00847F7A"/>
    <w:rsid w:val="00847FB2"/>
    <w:rsid w:val="0085083C"/>
    <w:rsid w:val="0085156E"/>
    <w:rsid w:val="008520EC"/>
    <w:rsid w:val="00852DC3"/>
    <w:rsid w:val="00853D6B"/>
    <w:rsid w:val="008543A9"/>
    <w:rsid w:val="00854524"/>
    <w:rsid w:val="008545E1"/>
    <w:rsid w:val="00855181"/>
    <w:rsid w:val="00856F87"/>
    <w:rsid w:val="0086056F"/>
    <w:rsid w:val="00860C0B"/>
    <w:rsid w:val="008618F1"/>
    <w:rsid w:val="0086263C"/>
    <w:rsid w:val="00862D88"/>
    <w:rsid w:val="00862ED7"/>
    <w:rsid w:val="00863AEB"/>
    <w:rsid w:val="00864896"/>
    <w:rsid w:val="00864B52"/>
    <w:rsid w:val="00864ED9"/>
    <w:rsid w:val="0086508B"/>
    <w:rsid w:val="00865CE8"/>
    <w:rsid w:val="008675C7"/>
    <w:rsid w:val="00867B62"/>
    <w:rsid w:val="0087032F"/>
    <w:rsid w:val="0087034C"/>
    <w:rsid w:val="00870787"/>
    <w:rsid w:val="008742BB"/>
    <w:rsid w:val="00875158"/>
    <w:rsid w:val="008754C2"/>
    <w:rsid w:val="00880140"/>
    <w:rsid w:val="00881613"/>
    <w:rsid w:val="00881CEC"/>
    <w:rsid w:val="00882C28"/>
    <w:rsid w:val="0088402B"/>
    <w:rsid w:val="00884C7F"/>
    <w:rsid w:val="00884CAF"/>
    <w:rsid w:val="00885143"/>
    <w:rsid w:val="00886007"/>
    <w:rsid w:val="00886B80"/>
    <w:rsid w:val="00887651"/>
    <w:rsid w:val="0088785F"/>
    <w:rsid w:val="0089023F"/>
    <w:rsid w:val="0089077D"/>
    <w:rsid w:val="00891FB7"/>
    <w:rsid w:val="00893A5E"/>
    <w:rsid w:val="00894009"/>
    <w:rsid w:val="008952A0"/>
    <w:rsid w:val="0089537A"/>
    <w:rsid w:val="00895775"/>
    <w:rsid w:val="00895DE5"/>
    <w:rsid w:val="00896491"/>
    <w:rsid w:val="00896737"/>
    <w:rsid w:val="008971BD"/>
    <w:rsid w:val="00897938"/>
    <w:rsid w:val="008A0C17"/>
    <w:rsid w:val="008A196E"/>
    <w:rsid w:val="008A1A6B"/>
    <w:rsid w:val="008A217F"/>
    <w:rsid w:val="008A285C"/>
    <w:rsid w:val="008A3177"/>
    <w:rsid w:val="008A3F84"/>
    <w:rsid w:val="008A4F72"/>
    <w:rsid w:val="008A5B83"/>
    <w:rsid w:val="008A5B94"/>
    <w:rsid w:val="008A602B"/>
    <w:rsid w:val="008A6513"/>
    <w:rsid w:val="008A6D23"/>
    <w:rsid w:val="008B0DCE"/>
    <w:rsid w:val="008B2B2D"/>
    <w:rsid w:val="008B55A1"/>
    <w:rsid w:val="008B6401"/>
    <w:rsid w:val="008C11D9"/>
    <w:rsid w:val="008C186F"/>
    <w:rsid w:val="008C3284"/>
    <w:rsid w:val="008C45B5"/>
    <w:rsid w:val="008C512E"/>
    <w:rsid w:val="008C588E"/>
    <w:rsid w:val="008D073D"/>
    <w:rsid w:val="008D0CFE"/>
    <w:rsid w:val="008D14CA"/>
    <w:rsid w:val="008D3A5C"/>
    <w:rsid w:val="008D3AEA"/>
    <w:rsid w:val="008D5EFD"/>
    <w:rsid w:val="008D6090"/>
    <w:rsid w:val="008D6147"/>
    <w:rsid w:val="008D6CF3"/>
    <w:rsid w:val="008E00B6"/>
    <w:rsid w:val="008E08AD"/>
    <w:rsid w:val="008E2723"/>
    <w:rsid w:val="008E4EFE"/>
    <w:rsid w:val="008E526A"/>
    <w:rsid w:val="008E58E5"/>
    <w:rsid w:val="008E71AF"/>
    <w:rsid w:val="008F1E95"/>
    <w:rsid w:val="008F1FBC"/>
    <w:rsid w:val="008F2620"/>
    <w:rsid w:val="008F2A77"/>
    <w:rsid w:val="008F37FB"/>
    <w:rsid w:val="008F39A0"/>
    <w:rsid w:val="008F3F01"/>
    <w:rsid w:val="008F5785"/>
    <w:rsid w:val="008F7801"/>
    <w:rsid w:val="00901977"/>
    <w:rsid w:val="00902448"/>
    <w:rsid w:val="009056BE"/>
    <w:rsid w:val="00906533"/>
    <w:rsid w:val="00906680"/>
    <w:rsid w:val="00906D0A"/>
    <w:rsid w:val="00910504"/>
    <w:rsid w:val="009108E5"/>
    <w:rsid w:val="00910C0B"/>
    <w:rsid w:val="0091174D"/>
    <w:rsid w:val="009133E2"/>
    <w:rsid w:val="00913914"/>
    <w:rsid w:val="00914A88"/>
    <w:rsid w:val="00914E47"/>
    <w:rsid w:val="00916558"/>
    <w:rsid w:val="00917CFC"/>
    <w:rsid w:val="00920E39"/>
    <w:rsid w:val="00921723"/>
    <w:rsid w:val="00923F4E"/>
    <w:rsid w:val="0092532E"/>
    <w:rsid w:val="0092649A"/>
    <w:rsid w:val="00926BBC"/>
    <w:rsid w:val="009311D1"/>
    <w:rsid w:val="00932D41"/>
    <w:rsid w:val="00934676"/>
    <w:rsid w:val="009349CD"/>
    <w:rsid w:val="009363E8"/>
    <w:rsid w:val="0093721F"/>
    <w:rsid w:val="00940804"/>
    <w:rsid w:val="00941011"/>
    <w:rsid w:val="009414A1"/>
    <w:rsid w:val="00941797"/>
    <w:rsid w:val="00943440"/>
    <w:rsid w:val="0094563C"/>
    <w:rsid w:val="009464F9"/>
    <w:rsid w:val="009504B4"/>
    <w:rsid w:val="009508DC"/>
    <w:rsid w:val="00950A03"/>
    <w:rsid w:val="00950CB5"/>
    <w:rsid w:val="00953704"/>
    <w:rsid w:val="00953910"/>
    <w:rsid w:val="00955DBB"/>
    <w:rsid w:val="00956619"/>
    <w:rsid w:val="00956756"/>
    <w:rsid w:val="00956AF3"/>
    <w:rsid w:val="00957369"/>
    <w:rsid w:val="00957B07"/>
    <w:rsid w:val="0096132E"/>
    <w:rsid w:val="00963A6E"/>
    <w:rsid w:val="009640BC"/>
    <w:rsid w:val="009641ED"/>
    <w:rsid w:val="009655A3"/>
    <w:rsid w:val="00965B0A"/>
    <w:rsid w:val="00965CD1"/>
    <w:rsid w:val="009663D5"/>
    <w:rsid w:val="00967B04"/>
    <w:rsid w:val="009705D6"/>
    <w:rsid w:val="00970FF4"/>
    <w:rsid w:val="009711C6"/>
    <w:rsid w:val="009730F4"/>
    <w:rsid w:val="00973D0D"/>
    <w:rsid w:val="00974171"/>
    <w:rsid w:val="009750B6"/>
    <w:rsid w:val="009753CB"/>
    <w:rsid w:val="0097549D"/>
    <w:rsid w:val="00975615"/>
    <w:rsid w:val="0097764B"/>
    <w:rsid w:val="00981BDE"/>
    <w:rsid w:val="00982524"/>
    <w:rsid w:val="009838A9"/>
    <w:rsid w:val="009868E5"/>
    <w:rsid w:val="00986938"/>
    <w:rsid w:val="00986D28"/>
    <w:rsid w:val="009879D6"/>
    <w:rsid w:val="009933CC"/>
    <w:rsid w:val="0099347D"/>
    <w:rsid w:val="00994C72"/>
    <w:rsid w:val="00994C82"/>
    <w:rsid w:val="009969C5"/>
    <w:rsid w:val="00997DFD"/>
    <w:rsid w:val="009A65BD"/>
    <w:rsid w:val="009A6C2D"/>
    <w:rsid w:val="009A716C"/>
    <w:rsid w:val="009A76A3"/>
    <w:rsid w:val="009A7A0C"/>
    <w:rsid w:val="009B0207"/>
    <w:rsid w:val="009B05D5"/>
    <w:rsid w:val="009B1515"/>
    <w:rsid w:val="009B1AD2"/>
    <w:rsid w:val="009B2DE2"/>
    <w:rsid w:val="009B2F5D"/>
    <w:rsid w:val="009B3F1A"/>
    <w:rsid w:val="009B4EC0"/>
    <w:rsid w:val="009B5650"/>
    <w:rsid w:val="009B7487"/>
    <w:rsid w:val="009C0318"/>
    <w:rsid w:val="009D1DA8"/>
    <w:rsid w:val="009D1F10"/>
    <w:rsid w:val="009D2379"/>
    <w:rsid w:val="009D4251"/>
    <w:rsid w:val="009D4C02"/>
    <w:rsid w:val="009D51C0"/>
    <w:rsid w:val="009D6294"/>
    <w:rsid w:val="009D6FC4"/>
    <w:rsid w:val="009D74AC"/>
    <w:rsid w:val="009E2E23"/>
    <w:rsid w:val="009E2F54"/>
    <w:rsid w:val="009E4227"/>
    <w:rsid w:val="009E446B"/>
    <w:rsid w:val="009E59DA"/>
    <w:rsid w:val="009F0DCF"/>
    <w:rsid w:val="009F13F2"/>
    <w:rsid w:val="009F1F58"/>
    <w:rsid w:val="009F27BA"/>
    <w:rsid w:val="009F3BE8"/>
    <w:rsid w:val="009F425E"/>
    <w:rsid w:val="009F57DF"/>
    <w:rsid w:val="009F6036"/>
    <w:rsid w:val="009F722F"/>
    <w:rsid w:val="00A02C05"/>
    <w:rsid w:val="00A02D00"/>
    <w:rsid w:val="00A03B5D"/>
    <w:rsid w:val="00A03BC1"/>
    <w:rsid w:val="00A04A9F"/>
    <w:rsid w:val="00A06B53"/>
    <w:rsid w:val="00A071E7"/>
    <w:rsid w:val="00A074D0"/>
    <w:rsid w:val="00A10E13"/>
    <w:rsid w:val="00A13877"/>
    <w:rsid w:val="00A14205"/>
    <w:rsid w:val="00A15081"/>
    <w:rsid w:val="00A16B69"/>
    <w:rsid w:val="00A16C34"/>
    <w:rsid w:val="00A17645"/>
    <w:rsid w:val="00A17905"/>
    <w:rsid w:val="00A2003C"/>
    <w:rsid w:val="00A204E5"/>
    <w:rsid w:val="00A20E9F"/>
    <w:rsid w:val="00A21581"/>
    <w:rsid w:val="00A21A6C"/>
    <w:rsid w:val="00A22074"/>
    <w:rsid w:val="00A22578"/>
    <w:rsid w:val="00A2277A"/>
    <w:rsid w:val="00A2318F"/>
    <w:rsid w:val="00A2323A"/>
    <w:rsid w:val="00A23F18"/>
    <w:rsid w:val="00A2425B"/>
    <w:rsid w:val="00A24771"/>
    <w:rsid w:val="00A24B2F"/>
    <w:rsid w:val="00A265AE"/>
    <w:rsid w:val="00A26BCA"/>
    <w:rsid w:val="00A30F9C"/>
    <w:rsid w:val="00A31C80"/>
    <w:rsid w:val="00A31F73"/>
    <w:rsid w:val="00A32C85"/>
    <w:rsid w:val="00A364C5"/>
    <w:rsid w:val="00A36E61"/>
    <w:rsid w:val="00A4053E"/>
    <w:rsid w:val="00A40A3D"/>
    <w:rsid w:val="00A42D0A"/>
    <w:rsid w:val="00A450B8"/>
    <w:rsid w:val="00A4567C"/>
    <w:rsid w:val="00A468F7"/>
    <w:rsid w:val="00A46B83"/>
    <w:rsid w:val="00A47493"/>
    <w:rsid w:val="00A479B6"/>
    <w:rsid w:val="00A53CDE"/>
    <w:rsid w:val="00A53D79"/>
    <w:rsid w:val="00A54428"/>
    <w:rsid w:val="00A54C5F"/>
    <w:rsid w:val="00A54CD5"/>
    <w:rsid w:val="00A572C2"/>
    <w:rsid w:val="00A57E8E"/>
    <w:rsid w:val="00A603ED"/>
    <w:rsid w:val="00A604B4"/>
    <w:rsid w:val="00A60902"/>
    <w:rsid w:val="00A612ED"/>
    <w:rsid w:val="00A6183B"/>
    <w:rsid w:val="00A63400"/>
    <w:rsid w:val="00A659B6"/>
    <w:rsid w:val="00A65B96"/>
    <w:rsid w:val="00A662D6"/>
    <w:rsid w:val="00A67304"/>
    <w:rsid w:val="00A7029B"/>
    <w:rsid w:val="00A70B79"/>
    <w:rsid w:val="00A70DF9"/>
    <w:rsid w:val="00A7103E"/>
    <w:rsid w:val="00A725F3"/>
    <w:rsid w:val="00A731CE"/>
    <w:rsid w:val="00A7393A"/>
    <w:rsid w:val="00A73C29"/>
    <w:rsid w:val="00A749EF"/>
    <w:rsid w:val="00A80C41"/>
    <w:rsid w:val="00A81C74"/>
    <w:rsid w:val="00A81D18"/>
    <w:rsid w:val="00A82A17"/>
    <w:rsid w:val="00A8370D"/>
    <w:rsid w:val="00A83CD6"/>
    <w:rsid w:val="00A8470F"/>
    <w:rsid w:val="00A85537"/>
    <w:rsid w:val="00A862DB"/>
    <w:rsid w:val="00A90516"/>
    <w:rsid w:val="00A9055C"/>
    <w:rsid w:val="00A94E7A"/>
    <w:rsid w:val="00A94FFA"/>
    <w:rsid w:val="00A9574E"/>
    <w:rsid w:val="00A95CDE"/>
    <w:rsid w:val="00A95DEC"/>
    <w:rsid w:val="00A96937"/>
    <w:rsid w:val="00AA1A8F"/>
    <w:rsid w:val="00AA275A"/>
    <w:rsid w:val="00AA2A8D"/>
    <w:rsid w:val="00AA6752"/>
    <w:rsid w:val="00AA71A4"/>
    <w:rsid w:val="00AB242A"/>
    <w:rsid w:val="00AB2E0F"/>
    <w:rsid w:val="00AB3A96"/>
    <w:rsid w:val="00AB3B89"/>
    <w:rsid w:val="00AB3BFD"/>
    <w:rsid w:val="00AB62F7"/>
    <w:rsid w:val="00AB63F8"/>
    <w:rsid w:val="00AB6CED"/>
    <w:rsid w:val="00AC0526"/>
    <w:rsid w:val="00AC15FA"/>
    <w:rsid w:val="00AC22F2"/>
    <w:rsid w:val="00AC37E9"/>
    <w:rsid w:val="00AC3EC3"/>
    <w:rsid w:val="00AC6789"/>
    <w:rsid w:val="00AC7A61"/>
    <w:rsid w:val="00AD0CBB"/>
    <w:rsid w:val="00AD11D4"/>
    <w:rsid w:val="00AD3E41"/>
    <w:rsid w:val="00AD4C5F"/>
    <w:rsid w:val="00AD5A3A"/>
    <w:rsid w:val="00AD67E9"/>
    <w:rsid w:val="00AE47AD"/>
    <w:rsid w:val="00AE4B9B"/>
    <w:rsid w:val="00AE58E0"/>
    <w:rsid w:val="00AE67B6"/>
    <w:rsid w:val="00AE6877"/>
    <w:rsid w:val="00AE68B2"/>
    <w:rsid w:val="00AE7E4D"/>
    <w:rsid w:val="00AF326D"/>
    <w:rsid w:val="00AF326E"/>
    <w:rsid w:val="00AF3C30"/>
    <w:rsid w:val="00AF4400"/>
    <w:rsid w:val="00AF7536"/>
    <w:rsid w:val="00AF77DC"/>
    <w:rsid w:val="00B00D10"/>
    <w:rsid w:val="00B024DE"/>
    <w:rsid w:val="00B03974"/>
    <w:rsid w:val="00B05DE8"/>
    <w:rsid w:val="00B06A14"/>
    <w:rsid w:val="00B06FDD"/>
    <w:rsid w:val="00B07F1D"/>
    <w:rsid w:val="00B10B98"/>
    <w:rsid w:val="00B110A9"/>
    <w:rsid w:val="00B11324"/>
    <w:rsid w:val="00B121F0"/>
    <w:rsid w:val="00B15D0F"/>
    <w:rsid w:val="00B162CF"/>
    <w:rsid w:val="00B21BB1"/>
    <w:rsid w:val="00B22CB2"/>
    <w:rsid w:val="00B25B3A"/>
    <w:rsid w:val="00B26484"/>
    <w:rsid w:val="00B267B6"/>
    <w:rsid w:val="00B26B96"/>
    <w:rsid w:val="00B27CD3"/>
    <w:rsid w:val="00B30348"/>
    <w:rsid w:val="00B32666"/>
    <w:rsid w:val="00B32B3A"/>
    <w:rsid w:val="00B3324C"/>
    <w:rsid w:val="00B3326F"/>
    <w:rsid w:val="00B334DC"/>
    <w:rsid w:val="00B34DA6"/>
    <w:rsid w:val="00B360EE"/>
    <w:rsid w:val="00B36A82"/>
    <w:rsid w:val="00B37B98"/>
    <w:rsid w:val="00B42E82"/>
    <w:rsid w:val="00B445B1"/>
    <w:rsid w:val="00B4544D"/>
    <w:rsid w:val="00B4595D"/>
    <w:rsid w:val="00B46498"/>
    <w:rsid w:val="00B46E29"/>
    <w:rsid w:val="00B47868"/>
    <w:rsid w:val="00B47EE5"/>
    <w:rsid w:val="00B50B4D"/>
    <w:rsid w:val="00B50EC1"/>
    <w:rsid w:val="00B52F23"/>
    <w:rsid w:val="00B530C5"/>
    <w:rsid w:val="00B536CC"/>
    <w:rsid w:val="00B555A2"/>
    <w:rsid w:val="00B568C1"/>
    <w:rsid w:val="00B57428"/>
    <w:rsid w:val="00B57B32"/>
    <w:rsid w:val="00B6094A"/>
    <w:rsid w:val="00B60B58"/>
    <w:rsid w:val="00B6179C"/>
    <w:rsid w:val="00B618C2"/>
    <w:rsid w:val="00B63553"/>
    <w:rsid w:val="00B640B8"/>
    <w:rsid w:val="00B64844"/>
    <w:rsid w:val="00B64DFA"/>
    <w:rsid w:val="00B6624C"/>
    <w:rsid w:val="00B70804"/>
    <w:rsid w:val="00B71088"/>
    <w:rsid w:val="00B71421"/>
    <w:rsid w:val="00B71661"/>
    <w:rsid w:val="00B735BC"/>
    <w:rsid w:val="00B73B72"/>
    <w:rsid w:val="00B7488C"/>
    <w:rsid w:val="00B7570B"/>
    <w:rsid w:val="00B77C21"/>
    <w:rsid w:val="00B77FCF"/>
    <w:rsid w:val="00B81750"/>
    <w:rsid w:val="00B81EAE"/>
    <w:rsid w:val="00B82449"/>
    <w:rsid w:val="00B83437"/>
    <w:rsid w:val="00B8433D"/>
    <w:rsid w:val="00B87AB2"/>
    <w:rsid w:val="00B87E49"/>
    <w:rsid w:val="00B904A0"/>
    <w:rsid w:val="00B91314"/>
    <w:rsid w:val="00B92564"/>
    <w:rsid w:val="00B93E52"/>
    <w:rsid w:val="00B94350"/>
    <w:rsid w:val="00B94CD3"/>
    <w:rsid w:val="00B9711D"/>
    <w:rsid w:val="00BA0DBB"/>
    <w:rsid w:val="00BA146F"/>
    <w:rsid w:val="00BA14DD"/>
    <w:rsid w:val="00BA24E5"/>
    <w:rsid w:val="00BA27F5"/>
    <w:rsid w:val="00BA2C00"/>
    <w:rsid w:val="00BA35DE"/>
    <w:rsid w:val="00BA3D1B"/>
    <w:rsid w:val="00BA5B9D"/>
    <w:rsid w:val="00BA6C39"/>
    <w:rsid w:val="00BB0424"/>
    <w:rsid w:val="00BB0CFE"/>
    <w:rsid w:val="00BB1A52"/>
    <w:rsid w:val="00BB2017"/>
    <w:rsid w:val="00BB2C1D"/>
    <w:rsid w:val="00BB3504"/>
    <w:rsid w:val="00BB43D7"/>
    <w:rsid w:val="00BB45C9"/>
    <w:rsid w:val="00BB5D22"/>
    <w:rsid w:val="00BB7253"/>
    <w:rsid w:val="00BB799F"/>
    <w:rsid w:val="00BC1210"/>
    <w:rsid w:val="00BC133B"/>
    <w:rsid w:val="00BC1438"/>
    <w:rsid w:val="00BC1773"/>
    <w:rsid w:val="00BC28A6"/>
    <w:rsid w:val="00BC3FAE"/>
    <w:rsid w:val="00BC4005"/>
    <w:rsid w:val="00BC4838"/>
    <w:rsid w:val="00BC559B"/>
    <w:rsid w:val="00BC5BEA"/>
    <w:rsid w:val="00BC5F86"/>
    <w:rsid w:val="00BC6EDA"/>
    <w:rsid w:val="00BC71D8"/>
    <w:rsid w:val="00BC7321"/>
    <w:rsid w:val="00BC7345"/>
    <w:rsid w:val="00BC75E8"/>
    <w:rsid w:val="00BC7B6D"/>
    <w:rsid w:val="00BD1CA6"/>
    <w:rsid w:val="00BD779C"/>
    <w:rsid w:val="00BD7909"/>
    <w:rsid w:val="00BE0032"/>
    <w:rsid w:val="00BE1768"/>
    <w:rsid w:val="00BE21BF"/>
    <w:rsid w:val="00BE33F4"/>
    <w:rsid w:val="00BE4968"/>
    <w:rsid w:val="00BE5101"/>
    <w:rsid w:val="00BE5416"/>
    <w:rsid w:val="00BE581F"/>
    <w:rsid w:val="00BF02C8"/>
    <w:rsid w:val="00BF0EC0"/>
    <w:rsid w:val="00BF373D"/>
    <w:rsid w:val="00BF5B75"/>
    <w:rsid w:val="00BF622D"/>
    <w:rsid w:val="00BF6703"/>
    <w:rsid w:val="00BF75A8"/>
    <w:rsid w:val="00BF75FE"/>
    <w:rsid w:val="00C018C4"/>
    <w:rsid w:val="00C031CC"/>
    <w:rsid w:val="00C038E3"/>
    <w:rsid w:val="00C0449C"/>
    <w:rsid w:val="00C05D3E"/>
    <w:rsid w:val="00C060B9"/>
    <w:rsid w:val="00C11E09"/>
    <w:rsid w:val="00C12BCB"/>
    <w:rsid w:val="00C138B7"/>
    <w:rsid w:val="00C1517A"/>
    <w:rsid w:val="00C154A6"/>
    <w:rsid w:val="00C157F8"/>
    <w:rsid w:val="00C158A5"/>
    <w:rsid w:val="00C16D22"/>
    <w:rsid w:val="00C16D7F"/>
    <w:rsid w:val="00C17550"/>
    <w:rsid w:val="00C2164D"/>
    <w:rsid w:val="00C21AD8"/>
    <w:rsid w:val="00C21E3E"/>
    <w:rsid w:val="00C21E4E"/>
    <w:rsid w:val="00C220A8"/>
    <w:rsid w:val="00C22EAD"/>
    <w:rsid w:val="00C2423C"/>
    <w:rsid w:val="00C25081"/>
    <w:rsid w:val="00C25279"/>
    <w:rsid w:val="00C264FB"/>
    <w:rsid w:val="00C26E78"/>
    <w:rsid w:val="00C32D85"/>
    <w:rsid w:val="00C3390E"/>
    <w:rsid w:val="00C34906"/>
    <w:rsid w:val="00C361EB"/>
    <w:rsid w:val="00C36A29"/>
    <w:rsid w:val="00C36CA5"/>
    <w:rsid w:val="00C410E5"/>
    <w:rsid w:val="00C4306C"/>
    <w:rsid w:val="00C43891"/>
    <w:rsid w:val="00C473D2"/>
    <w:rsid w:val="00C52104"/>
    <w:rsid w:val="00C521FC"/>
    <w:rsid w:val="00C5344D"/>
    <w:rsid w:val="00C53C38"/>
    <w:rsid w:val="00C53D80"/>
    <w:rsid w:val="00C54636"/>
    <w:rsid w:val="00C56EAC"/>
    <w:rsid w:val="00C57522"/>
    <w:rsid w:val="00C60235"/>
    <w:rsid w:val="00C62232"/>
    <w:rsid w:val="00C6275F"/>
    <w:rsid w:val="00C633FB"/>
    <w:rsid w:val="00C637DB"/>
    <w:rsid w:val="00C6495E"/>
    <w:rsid w:val="00C652E0"/>
    <w:rsid w:val="00C65750"/>
    <w:rsid w:val="00C66902"/>
    <w:rsid w:val="00C67275"/>
    <w:rsid w:val="00C675F0"/>
    <w:rsid w:val="00C7050D"/>
    <w:rsid w:val="00C70837"/>
    <w:rsid w:val="00C717AC"/>
    <w:rsid w:val="00C75E31"/>
    <w:rsid w:val="00C75F64"/>
    <w:rsid w:val="00C760E4"/>
    <w:rsid w:val="00C769D3"/>
    <w:rsid w:val="00C80069"/>
    <w:rsid w:val="00C80901"/>
    <w:rsid w:val="00C828BA"/>
    <w:rsid w:val="00C83762"/>
    <w:rsid w:val="00C83F46"/>
    <w:rsid w:val="00C8402A"/>
    <w:rsid w:val="00C84092"/>
    <w:rsid w:val="00C8467D"/>
    <w:rsid w:val="00C84836"/>
    <w:rsid w:val="00C8588C"/>
    <w:rsid w:val="00C85B92"/>
    <w:rsid w:val="00C86798"/>
    <w:rsid w:val="00C879C5"/>
    <w:rsid w:val="00C90809"/>
    <w:rsid w:val="00C90997"/>
    <w:rsid w:val="00C90C81"/>
    <w:rsid w:val="00C90DAE"/>
    <w:rsid w:val="00C90F51"/>
    <w:rsid w:val="00C911E7"/>
    <w:rsid w:val="00C91BD3"/>
    <w:rsid w:val="00C91F9D"/>
    <w:rsid w:val="00C93144"/>
    <w:rsid w:val="00C93446"/>
    <w:rsid w:val="00C94528"/>
    <w:rsid w:val="00C95BF2"/>
    <w:rsid w:val="00C969CF"/>
    <w:rsid w:val="00CA0374"/>
    <w:rsid w:val="00CA0AA5"/>
    <w:rsid w:val="00CA2E71"/>
    <w:rsid w:val="00CA3695"/>
    <w:rsid w:val="00CA3790"/>
    <w:rsid w:val="00CA6CED"/>
    <w:rsid w:val="00CB022C"/>
    <w:rsid w:val="00CB0780"/>
    <w:rsid w:val="00CB0D00"/>
    <w:rsid w:val="00CB0EEF"/>
    <w:rsid w:val="00CB165E"/>
    <w:rsid w:val="00CB17F7"/>
    <w:rsid w:val="00CB1E95"/>
    <w:rsid w:val="00CB1FEF"/>
    <w:rsid w:val="00CB3174"/>
    <w:rsid w:val="00CB3A9A"/>
    <w:rsid w:val="00CB54AF"/>
    <w:rsid w:val="00CB6013"/>
    <w:rsid w:val="00CB70BA"/>
    <w:rsid w:val="00CB71A3"/>
    <w:rsid w:val="00CB7B67"/>
    <w:rsid w:val="00CC1333"/>
    <w:rsid w:val="00CC17FF"/>
    <w:rsid w:val="00CC2604"/>
    <w:rsid w:val="00CC30F6"/>
    <w:rsid w:val="00CC3730"/>
    <w:rsid w:val="00CC3F82"/>
    <w:rsid w:val="00CC4AD4"/>
    <w:rsid w:val="00CC4CF8"/>
    <w:rsid w:val="00CC4D9E"/>
    <w:rsid w:val="00CC5AC9"/>
    <w:rsid w:val="00CC5F2E"/>
    <w:rsid w:val="00CC6B51"/>
    <w:rsid w:val="00CD00E7"/>
    <w:rsid w:val="00CD0578"/>
    <w:rsid w:val="00CD205E"/>
    <w:rsid w:val="00CD2A90"/>
    <w:rsid w:val="00CD2C97"/>
    <w:rsid w:val="00CD37E2"/>
    <w:rsid w:val="00CD3F9C"/>
    <w:rsid w:val="00CD535B"/>
    <w:rsid w:val="00CD5B5A"/>
    <w:rsid w:val="00CD719F"/>
    <w:rsid w:val="00CD73E9"/>
    <w:rsid w:val="00CD76C5"/>
    <w:rsid w:val="00CD77F8"/>
    <w:rsid w:val="00CE0028"/>
    <w:rsid w:val="00CE039D"/>
    <w:rsid w:val="00CE10E9"/>
    <w:rsid w:val="00CE2A09"/>
    <w:rsid w:val="00CE389C"/>
    <w:rsid w:val="00CE3D71"/>
    <w:rsid w:val="00CE4272"/>
    <w:rsid w:val="00CE49A9"/>
    <w:rsid w:val="00CE559F"/>
    <w:rsid w:val="00CF1D43"/>
    <w:rsid w:val="00CF4F15"/>
    <w:rsid w:val="00CF7A2C"/>
    <w:rsid w:val="00D002D5"/>
    <w:rsid w:val="00D00A73"/>
    <w:rsid w:val="00D01DE2"/>
    <w:rsid w:val="00D0226E"/>
    <w:rsid w:val="00D02E46"/>
    <w:rsid w:val="00D06D13"/>
    <w:rsid w:val="00D0790D"/>
    <w:rsid w:val="00D07F0C"/>
    <w:rsid w:val="00D101DE"/>
    <w:rsid w:val="00D12377"/>
    <w:rsid w:val="00D17642"/>
    <w:rsid w:val="00D2049F"/>
    <w:rsid w:val="00D21239"/>
    <w:rsid w:val="00D21363"/>
    <w:rsid w:val="00D21821"/>
    <w:rsid w:val="00D23157"/>
    <w:rsid w:val="00D23D8B"/>
    <w:rsid w:val="00D2434D"/>
    <w:rsid w:val="00D247A3"/>
    <w:rsid w:val="00D25FD4"/>
    <w:rsid w:val="00D27ED4"/>
    <w:rsid w:val="00D300A5"/>
    <w:rsid w:val="00D3123D"/>
    <w:rsid w:val="00D322A7"/>
    <w:rsid w:val="00D3252C"/>
    <w:rsid w:val="00D33F98"/>
    <w:rsid w:val="00D3437F"/>
    <w:rsid w:val="00D37CBB"/>
    <w:rsid w:val="00D406A1"/>
    <w:rsid w:val="00D41F40"/>
    <w:rsid w:val="00D41F9C"/>
    <w:rsid w:val="00D427F2"/>
    <w:rsid w:val="00D4347B"/>
    <w:rsid w:val="00D454D8"/>
    <w:rsid w:val="00D45F0F"/>
    <w:rsid w:val="00D5105A"/>
    <w:rsid w:val="00D51A4E"/>
    <w:rsid w:val="00D51C72"/>
    <w:rsid w:val="00D5413E"/>
    <w:rsid w:val="00D548D6"/>
    <w:rsid w:val="00D56773"/>
    <w:rsid w:val="00D57188"/>
    <w:rsid w:val="00D57223"/>
    <w:rsid w:val="00D57255"/>
    <w:rsid w:val="00D6240E"/>
    <w:rsid w:val="00D63746"/>
    <w:rsid w:val="00D638B9"/>
    <w:rsid w:val="00D641B8"/>
    <w:rsid w:val="00D64E0F"/>
    <w:rsid w:val="00D6650E"/>
    <w:rsid w:val="00D6683D"/>
    <w:rsid w:val="00D66876"/>
    <w:rsid w:val="00D6783E"/>
    <w:rsid w:val="00D701E6"/>
    <w:rsid w:val="00D723FF"/>
    <w:rsid w:val="00D73C1C"/>
    <w:rsid w:val="00D74429"/>
    <w:rsid w:val="00D74DB6"/>
    <w:rsid w:val="00D80225"/>
    <w:rsid w:val="00D8059B"/>
    <w:rsid w:val="00D81062"/>
    <w:rsid w:val="00D82808"/>
    <w:rsid w:val="00D8282F"/>
    <w:rsid w:val="00D82AE2"/>
    <w:rsid w:val="00D83916"/>
    <w:rsid w:val="00D83E84"/>
    <w:rsid w:val="00D84AEF"/>
    <w:rsid w:val="00D853EF"/>
    <w:rsid w:val="00D85AD8"/>
    <w:rsid w:val="00D86C06"/>
    <w:rsid w:val="00D86FA8"/>
    <w:rsid w:val="00D87111"/>
    <w:rsid w:val="00D87BD0"/>
    <w:rsid w:val="00D91525"/>
    <w:rsid w:val="00D93D1E"/>
    <w:rsid w:val="00D95177"/>
    <w:rsid w:val="00D96FCE"/>
    <w:rsid w:val="00DA0458"/>
    <w:rsid w:val="00DA1299"/>
    <w:rsid w:val="00DA1F28"/>
    <w:rsid w:val="00DA2C0F"/>
    <w:rsid w:val="00DA63D4"/>
    <w:rsid w:val="00DA6539"/>
    <w:rsid w:val="00DA6E19"/>
    <w:rsid w:val="00DB0525"/>
    <w:rsid w:val="00DB3BC6"/>
    <w:rsid w:val="00DB4F77"/>
    <w:rsid w:val="00DB5941"/>
    <w:rsid w:val="00DB6797"/>
    <w:rsid w:val="00DB68B3"/>
    <w:rsid w:val="00DC0113"/>
    <w:rsid w:val="00DC17F3"/>
    <w:rsid w:val="00DC28E0"/>
    <w:rsid w:val="00DC2ABB"/>
    <w:rsid w:val="00DC2B5F"/>
    <w:rsid w:val="00DC2F17"/>
    <w:rsid w:val="00DC3F8B"/>
    <w:rsid w:val="00DC5520"/>
    <w:rsid w:val="00DC5889"/>
    <w:rsid w:val="00DC5C45"/>
    <w:rsid w:val="00DC6E0C"/>
    <w:rsid w:val="00DC718B"/>
    <w:rsid w:val="00DD00FE"/>
    <w:rsid w:val="00DD08B9"/>
    <w:rsid w:val="00DD0921"/>
    <w:rsid w:val="00DD0F8A"/>
    <w:rsid w:val="00DD29B6"/>
    <w:rsid w:val="00DD3E93"/>
    <w:rsid w:val="00DD738B"/>
    <w:rsid w:val="00DD763F"/>
    <w:rsid w:val="00DE34C2"/>
    <w:rsid w:val="00DE6B3E"/>
    <w:rsid w:val="00DE6F66"/>
    <w:rsid w:val="00DF1D08"/>
    <w:rsid w:val="00DF4082"/>
    <w:rsid w:val="00DF41DB"/>
    <w:rsid w:val="00DF4FFF"/>
    <w:rsid w:val="00DF5ED8"/>
    <w:rsid w:val="00DF7663"/>
    <w:rsid w:val="00E00C20"/>
    <w:rsid w:val="00E0148A"/>
    <w:rsid w:val="00E03809"/>
    <w:rsid w:val="00E038DB"/>
    <w:rsid w:val="00E0519C"/>
    <w:rsid w:val="00E05859"/>
    <w:rsid w:val="00E06E62"/>
    <w:rsid w:val="00E10A06"/>
    <w:rsid w:val="00E10BF9"/>
    <w:rsid w:val="00E1226D"/>
    <w:rsid w:val="00E1261B"/>
    <w:rsid w:val="00E12F54"/>
    <w:rsid w:val="00E1390E"/>
    <w:rsid w:val="00E13E62"/>
    <w:rsid w:val="00E1487E"/>
    <w:rsid w:val="00E15083"/>
    <w:rsid w:val="00E15352"/>
    <w:rsid w:val="00E1569F"/>
    <w:rsid w:val="00E1602A"/>
    <w:rsid w:val="00E201C0"/>
    <w:rsid w:val="00E207D2"/>
    <w:rsid w:val="00E20B00"/>
    <w:rsid w:val="00E20D6F"/>
    <w:rsid w:val="00E22FDF"/>
    <w:rsid w:val="00E259A0"/>
    <w:rsid w:val="00E25C19"/>
    <w:rsid w:val="00E265EB"/>
    <w:rsid w:val="00E3023D"/>
    <w:rsid w:val="00E30957"/>
    <w:rsid w:val="00E30BCB"/>
    <w:rsid w:val="00E30E11"/>
    <w:rsid w:val="00E32132"/>
    <w:rsid w:val="00E3339B"/>
    <w:rsid w:val="00E34D69"/>
    <w:rsid w:val="00E3519E"/>
    <w:rsid w:val="00E35B51"/>
    <w:rsid w:val="00E36C6A"/>
    <w:rsid w:val="00E413B3"/>
    <w:rsid w:val="00E416AC"/>
    <w:rsid w:val="00E41D21"/>
    <w:rsid w:val="00E424E4"/>
    <w:rsid w:val="00E42E0D"/>
    <w:rsid w:val="00E4519D"/>
    <w:rsid w:val="00E51411"/>
    <w:rsid w:val="00E51912"/>
    <w:rsid w:val="00E527D8"/>
    <w:rsid w:val="00E55635"/>
    <w:rsid w:val="00E5647C"/>
    <w:rsid w:val="00E571BD"/>
    <w:rsid w:val="00E576B9"/>
    <w:rsid w:val="00E57CE8"/>
    <w:rsid w:val="00E6002C"/>
    <w:rsid w:val="00E61CA5"/>
    <w:rsid w:val="00E629F6"/>
    <w:rsid w:val="00E62FF1"/>
    <w:rsid w:val="00E6728E"/>
    <w:rsid w:val="00E6755E"/>
    <w:rsid w:val="00E70926"/>
    <w:rsid w:val="00E70F3F"/>
    <w:rsid w:val="00E716E6"/>
    <w:rsid w:val="00E72DF6"/>
    <w:rsid w:val="00E72E7E"/>
    <w:rsid w:val="00E751D3"/>
    <w:rsid w:val="00E759A5"/>
    <w:rsid w:val="00E76EAE"/>
    <w:rsid w:val="00E77CC1"/>
    <w:rsid w:val="00E77E29"/>
    <w:rsid w:val="00E80835"/>
    <w:rsid w:val="00E80A65"/>
    <w:rsid w:val="00E817BB"/>
    <w:rsid w:val="00E82F13"/>
    <w:rsid w:val="00E83475"/>
    <w:rsid w:val="00E85A9B"/>
    <w:rsid w:val="00E85E42"/>
    <w:rsid w:val="00E86C8D"/>
    <w:rsid w:val="00E87BC6"/>
    <w:rsid w:val="00E87DDE"/>
    <w:rsid w:val="00E94ABD"/>
    <w:rsid w:val="00E94F20"/>
    <w:rsid w:val="00E95C6B"/>
    <w:rsid w:val="00E95C7B"/>
    <w:rsid w:val="00EA03DC"/>
    <w:rsid w:val="00EA348F"/>
    <w:rsid w:val="00EA3C6A"/>
    <w:rsid w:val="00EA50E1"/>
    <w:rsid w:val="00EA5147"/>
    <w:rsid w:val="00EA57A5"/>
    <w:rsid w:val="00EA66AA"/>
    <w:rsid w:val="00EB001B"/>
    <w:rsid w:val="00EB0C36"/>
    <w:rsid w:val="00EB1FF2"/>
    <w:rsid w:val="00EB2197"/>
    <w:rsid w:val="00EB3B20"/>
    <w:rsid w:val="00EB4488"/>
    <w:rsid w:val="00EB6D70"/>
    <w:rsid w:val="00EB7265"/>
    <w:rsid w:val="00EC0460"/>
    <w:rsid w:val="00EC07A3"/>
    <w:rsid w:val="00EC101E"/>
    <w:rsid w:val="00EC186F"/>
    <w:rsid w:val="00EC1B99"/>
    <w:rsid w:val="00EC2F4E"/>
    <w:rsid w:val="00EC68B5"/>
    <w:rsid w:val="00ED0834"/>
    <w:rsid w:val="00ED1898"/>
    <w:rsid w:val="00ED37B3"/>
    <w:rsid w:val="00ED3929"/>
    <w:rsid w:val="00ED4815"/>
    <w:rsid w:val="00ED4C81"/>
    <w:rsid w:val="00ED542A"/>
    <w:rsid w:val="00ED6ABC"/>
    <w:rsid w:val="00ED7620"/>
    <w:rsid w:val="00EE1924"/>
    <w:rsid w:val="00EE34F4"/>
    <w:rsid w:val="00EE3582"/>
    <w:rsid w:val="00EE57E5"/>
    <w:rsid w:val="00EE7096"/>
    <w:rsid w:val="00EF0B5F"/>
    <w:rsid w:val="00EF12CC"/>
    <w:rsid w:val="00EF2C4B"/>
    <w:rsid w:val="00EF3E41"/>
    <w:rsid w:val="00EF43D1"/>
    <w:rsid w:val="00EF4446"/>
    <w:rsid w:val="00EF4910"/>
    <w:rsid w:val="00EF499B"/>
    <w:rsid w:val="00EF4D13"/>
    <w:rsid w:val="00EF4DF1"/>
    <w:rsid w:val="00F00FBC"/>
    <w:rsid w:val="00F01D81"/>
    <w:rsid w:val="00F02A56"/>
    <w:rsid w:val="00F02D5B"/>
    <w:rsid w:val="00F0313C"/>
    <w:rsid w:val="00F03FCB"/>
    <w:rsid w:val="00F042E6"/>
    <w:rsid w:val="00F04C20"/>
    <w:rsid w:val="00F050C3"/>
    <w:rsid w:val="00F136F2"/>
    <w:rsid w:val="00F140B0"/>
    <w:rsid w:val="00F14BCD"/>
    <w:rsid w:val="00F15412"/>
    <w:rsid w:val="00F1608D"/>
    <w:rsid w:val="00F1784D"/>
    <w:rsid w:val="00F20319"/>
    <w:rsid w:val="00F20B69"/>
    <w:rsid w:val="00F20EC9"/>
    <w:rsid w:val="00F21ADB"/>
    <w:rsid w:val="00F225DF"/>
    <w:rsid w:val="00F24BA8"/>
    <w:rsid w:val="00F24C5A"/>
    <w:rsid w:val="00F258C5"/>
    <w:rsid w:val="00F25955"/>
    <w:rsid w:val="00F260F6"/>
    <w:rsid w:val="00F27CFA"/>
    <w:rsid w:val="00F30642"/>
    <w:rsid w:val="00F3110A"/>
    <w:rsid w:val="00F31851"/>
    <w:rsid w:val="00F31DD9"/>
    <w:rsid w:val="00F327EB"/>
    <w:rsid w:val="00F32FD0"/>
    <w:rsid w:val="00F33AB0"/>
    <w:rsid w:val="00F33B0C"/>
    <w:rsid w:val="00F347A1"/>
    <w:rsid w:val="00F35F2C"/>
    <w:rsid w:val="00F37074"/>
    <w:rsid w:val="00F37933"/>
    <w:rsid w:val="00F37BF9"/>
    <w:rsid w:val="00F41034"/>
    <w:rsid w:val="00F4151C"/>
    <w:rsid w:val="00F41A44"/>
    <w:rsid w:val="00F44F8A"/>
    <w:rsid w:val="00F4594E"/>
    <w:rsid w:val="00F45B4D"/>
    <w:rsid w:val="00F510F8"/>
    <w:rsid w:val="00F52611"/>
    <w:rsid w:val="00F54397"/>
    <w:rsid w:val="00F54B43"/>
    <w:rsid w:val="00F56964"/>
    <w:rsid w:val="00F571CF"/>
    <w:rsid w:val="00F609B0"/>
    <w:rsid w:val="00F61332"/>
    <w:rsid w:val="00F62E36"/>
    <w:rsid w:val="00F6517A"/>
    <w:rsid w:val="00F65DF4"/>
    <w:rsid w:val="00F66421"/>
    <w:rsid w:val="00F66858"/>
    <w:rsid w:val="00F67ABA"/>
    <w:rsid w:val="00F700D2"/>
    <w:rsid w:val="00F70A4F"/>
    <w:rsid w:val="00F7107A"/>
    <w:rsid w:val="00F72C7E"/>
    <w:rsid w:val="00F76F57"/>
    <w:rsid w:val="00F77ABF"/>
    <w:rsid w:val="00F77E5F"/>
    <w:rsid w:val="00F84BD6"/>
    <w:rsid w:val="00F84D13"/>
    <w:rsid w:val="00F852FA"/>
    <w:rsid w:val="00F86C0F"/>
    <w:rsid w:val="00F877BB"/>
    <w:rsid w:val="00F907A2"/>
    <w:rsid w:val="00F93E4E"/>
    <w:rsid w:val="00F945E7"/>
    <w:rsid w:val="00F947BA"/>
    <w:rsid w:val="00F95526"/>
    <w:rsid w:val="00F961DB"/>
    <w:rsid w:val="00F965A4"/>
    <w:rsid w:val="00F97C1C"/>
    <w:rsid w:val="00FA1220"/>
    <w:rsid w:val="00FA2176"/>
    <w:rsid w:val="00FA565F"/>
    <w:rsid w:val="00FA61E8"/>
    <w:rsid w:val="00FA74B4"/>
    <w:rsid w:val="00FA7CF2"/>
    <w:rsid w:val="00FB0DD8"/>
    <w:rsid w:val="00FB154A"/>
    <w:rsid w:val="00FB2315"/>
    <w:rsid w:val="00FB3096"/>
    <w:rsid w:val="00FB59A2"/>
    <w:rsid w:val="00FB6001"/>
    <w:rsid w:val="00FB6511"/>
    <w:rsid w:val="00FB65F4"/>
    <w:rsid w:val="00FB7F2A"/>
    <w:rsid w:val="00FC0597"/>
    <w:rsid w:val="00FC318F"/>
    <w:rsid w:val="00FC34DB"/>
    <w:rsid w:val="00FC38BC"/>
    <w:rsid w:val="00FC3FEC"/>
    <w:rsid w:val="00FC40C4"/>
    <w:rsid w:val="00FC5DC4"/>
    <w:rsid w:val="00FC7F68"/>
    <w:rsid w:val="00FD08E0"/>
    <w:rsid w:val="00FD0F86"/>
    <w:rsid w:val="00FD305D"/>
    <w:rsid w:val="00FD4B72"/>
    <w:rsid w:val="00FD61BE"/>
    <w:rsid w:val="00FD75C8"/>
    <w:rsid w:val="00FD78D0"/>
    <w:rsid w:val="00FE0FC9"/>
    <w:rsid w:val="00FE102C"/>
    <w:rsid w:val="00FE1908"/>
    <w:rsid w:val="00FE22F9"/>
    <w:rsid w:val="00FE3E2D"/>
    <w:rsid w:val="00FE4125"/>
    <w:rsid w:val="00FE4DD8"/>
    <w:rsid w:val="00FF0CF5"/>
    <w:rsid w:val="00FF0DB6"/>
    <w:rsid w:val="00FF2F2B"/>
    <w:rsid w:val="00FF3D9F"/>
    <w:rsid w:val="00FF590D"/>
    <w:rsid w:val="00FF6E30"/>
    <w:rsid w:val="00FF717B"/>
    <w:rsid w:val="00FF78E9"/>
    <w:rsid w:val="00FF7A1E"/>
    <w:rsid w:val="052F4469"/>
    <w:rsid w:val="06504FD5"/>
    <w:rsid w:val="089ABAC9"/>
    <w:rsid w:val="08E94B25"/>
    <w:rsid w:val="0F359DDD"/>
    <w:rsid w:val="11770D82"/>
    <w:rsid w:val="152156AB"/>
    <w:rsid w:val="192C336B"/>
    <w:rsid w:val="19A42B48"/>
    <w:rsid w:val="19B3FC6F"/>
    <w:rsid w:val="1FFCDFC6"/>
    <w:rsid w:val="2156F073"/>
    <w:rsid w:val="22B8253C"/>
    <w:rsid w:val="338A87C6"/>
    <w:rsid w:val="38C6387C"/>
    <w:rsid w:val="38E1D1FE"/>
    <w:rsid w:val="3CFA4C59"/>
    <w:rsid w:val="3D3C5116"/>
    <w:rsid w:val="3ECFAC69"/>
    <w:rsid w:val="3F91BF4A"/>
    <w:rsid w:val="438F66FA"/>
    <w:rsid w:val="46C405F2"/>
    <w:rsid w:val="48D35B77"/>
    <w:rsid w:val="4A8E1DC3"/>
    <w:rsid w:val="4AC6BCFC"/>
    <w:rsid w:val="53B12033"/>
    <w:rsid w:val="53C0FCEA"/>
    <w:rsid w:val="646503B4"/>
    <w:rsid w:val="64F7B2F5"/>
    <w:rsid w:val="6DED92DA"/>
    <w:rsid w:val="71DFF6DF"/>
    <w:rsid w:val="743C2828"/>
    <w:rsid w:val="795BEFD0"/>
    <w:rsid w:val="7C34C494"/>
    <w:rsid w:val="7D1803A6"/>
    <w:rsid w:val="7F8062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015D1AF"/>
  <w15:chartTrackingRefBased/>
  <w15:docId w15:val="{84435C16-E54A-45F3-990E-9150653D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Number 2"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5279"/>
    <w:rPr>
      <w:sz w:val="24"/>
      <w:szCs w:val="24"/>
    </w:rPr>
  </w:style>
  <w:style w:type="paragraph" w:styleId="Heading1">
    <w:name w:val="heading 1"/>
    <w:basedOn w:val="Normal"/>
    <w:next w:val="Normal"/>
    <w:qFormat/>
    <w:rsid w:val="004064C3"/>
    <w:pPr>
      <w:autoSpaceDE w:val="0"/>
      <w:autoSpaceDN w:val="0"/>
      <w:jc w:val="center"/>
      <w:outlineLvl w:val="0"/>
    </w:pPr>
    <w:rPr>
      <w:rFonts w:ascii="Arial" w:hAnsi="Arial" w:cs="Arial"/>
      <w:b/>
      <w:bCs/>
      <w:sz w:val="22"/>
      <w:szCs w:val="22"/>
    </w:rPr>
  </w:style>
  <w:style w:type="paragraph" w:styleId="Heading2">
    <w:name w:val="heading 2"/>
    <w:basedOn w:val="Normal"/>
    <w:next w:val="Normal"/>
    <w:qFormat/>
    <w:rsid w:val="00776A8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61332"/>
    <w:pPr>
      <w:keepNext/>
      <w:spacing w:before="240" w:after="60"/>
      <w:outlineLvl w:val="2"/>
    </w:pPr>
    <w:rPr>
      <w:rFonts w:ascii="Arial" w:hAnsi="Arial" w:cs="Arial"/>
      <w:b/>
      <w:bCs/>
      <w:sz w:val="26"/>
      <w:szCs w:val="26"/>
    </w:rPr>
  </w:style>
  <w:style w:type="paragraph" w:styleId="Heading4">
    <w:name w:val="heading 4"/>
    <w:basedOn w:val="Normal"/>
    <w:next w:val="Normal"/>
    <w:qFormat/>
    <w:rsid w:val="00E36C6A"/>
    <w:pPr>
      <w:keepNext/>
      <w:spacing w:before="240" w:after="60"/>
      <w:outlineLvl w:val="3"/>
    </w:pPr>
    <w:rPr>
      <w:b/>
      <w:bCs/>
      <w:sz w:val="28"/>
      <w:szCs w:val="28"/>
    </w:rPr>
  </w:style>
  <w:style w:type="paragraph" w:styleId="Heading5">
    <w:name w:val="heading 5"/>
    <w:basedOn w:val="Normal"/>
    <w:next w:val="Normal"/>
    <w:qFormat/>
    <w:rsid w:val="00E36C6A"/>
    <w:pPr>
      <w:spacing w:before="240" w:after="60"/>
      <w:outlineLvl w:val="4"/>
    </w:pPr>
    <w:rPr>
      <w:b/>
      <w:bCs/>
      <w:i/>
      <w:iCs/>
      <w:sz w:val="26"/>
      <w:szCs w:val="26"/>
    </w:rPr>
  </w:style>
  <w:style w:type="paragraph" w:styleId="Heading6">
    <w:name w:val="heading 6"/>
    <w:basedOn w:val="Normal"/>
    <w:next w:val="Normal"/>
    <w:qFormat/>
    <w:rsid w:val="00E36C6A"/>
    <w:pPr>
      <w:keepNext/>
      <w:ind w:left="72"/>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064C3"/>
    <w:pPr>
      <w:spacing w:before="100" w:beforeAutospacing="1" w:after="100" w:afterAutospacing="1"/>
    </w:pPr>
    <w:rPr>
      <w:rFonts w:ascii="Arial" w:eastAsia="Arial Unicode MS" w:hAnsi="Arial"/>
    </w:rPr>
  </w:style>
  <w:style w:type="paragraph" w:styleId="Title">
    <w:name w:val="Title"/>
    <w:basedOn w:val="Normal"/>
    <w:qFormat/>
    <w:rsid w:val="004064C3"/>
    <w:pPr>
      <w:jc w:val="center"/>
    </w:pPr>
    <w:rPr>
      <w:b/>
      <w:bCs/>
    </w:rPr>
  </w:style>
  <w:style w:type="paragraph" w:styleId="PlainText">
    <w:name w:val="Plain Text"/>
    <w:basedOn w:val="Normal"/>
    <w:link w:val="PlainTextChar"/>
    <w:uiPriority w:val="99"/>
    <w:rsid w:val="004064C3"/>
    <w:rPr>
      <w:rFonts w:ascii="Courier New" w:hAnsi="Courier New"/>
      <w:sz w:val="20"/>
      <w:szCs w:val="20"/>
    </w:rPr>
  </w:style>
  <w:style w:type="character" w:customStyle="1" w:styleId="DataField11pt-SingleChar">
    <w:name w:val="Data Field 11pt-Single Char"/>
    <w:link w:val="DataField11pt-Single"/>
    <w:rsid w:val="004064C3"/>
    <w:rPr>
      <w:rFonts w:ascii="Arial" w:hAnsi="Arial" w:cs="Arial"/>
      <w:sz w:val="22"/>
      <w:szCs w:val="24"/>
      <w:lang w:val="en-US" w:eastAsia="en-US" w:bidi="ar-SA"/>
    </w:rPr>
  </w:style>
  <w:style w:type="paragraph" w:customStyle="1" w:styleId="DataField11pt-Single">
    <w:name w:val="Data Field 11pt-Single"/>
    <w:basedOn w:val="Normal"/>
    <w:link w:val="DataField11pt-SingleChar"/>
    <w:rsid w:val="004064C3"/>
    <w:pPr>
      <w:autoSpaceDE w:val="0"/>
      <w:autoSpaceDN w:val="0"/>
    </w:pPr>
    <w:rPr>
      <w:rFonts w:ascii="Arial" w:hAnsi="Arial" w:cs="Arial"/>
      <w:sz w:val="22"/>
    </w:rPr>
  </w:style>
  <w:style w:type="paragraph" w:customStyle="1" w:styleId="FormFieldCaption">
    <w:name w:val="Form Field Caption"/>
    <w:basedOn w:val="Normal"/>
    <w:rsid w:val="004064C3"/>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064C3"/>
    <w:pPr>
      <w:autoSpaceDE w:val="0"/>
      <w:autoSpaceDN w:val="0"/>
      <w:spacing w:before="40" w:after="40"/>
      <w:jc w:val="center"/>
    </w:pPr>
    <w:rPr>
      <w:rFonts w:ascii="Arial" w:hAnsi="Arial" w:cs="Arial"/>
      <w:iCs/>
      <w:sz w:val="16"/>
      <w:szCs w:val="16"/>
    </w:rPr>
  </w:style>
  <w:style w:type="paragraph" w:styleId="Header">
    <w:name w:val="header"/>
    <w:basedOn w:val="Normal"/>
    <w:link w:val="HeaderChar"/>
    <w:uiPriority w:val="99"/>
    <w:rsid w:val="004064C3"/>
    <w:pPr>
      <w:tabs>
        <w:tab w:val="center" w:pos="4320"/>
        <w:tab w:val="right" w:pos="8640"/>
      </w:tabs>
    </w:pPr>
  </w:style>
  <w:style w:type="paragraph" w:styleId="Footer">
    <w:name w:val="footer"/>
    <w:basedOn w:val="Normal"/>
    <w:link w:val="FooterChar"/>
    <w:uiPriority w:val="99"/>
    <w:rsid w:val="004064C3"/>
    <w:pPr>
      <w:tabs>
        <w:tab w:val="center" w:pos="4320"/>
        <w:tab w:val="right" w:pos="8640"/>
      </w:tabs>
    </w:pPr>
  </w:style>
  <w:style w:type="paragraph" w:customStyle="1" w:styleId="FormFooter">
    <w:name w:val="Form Footer"/>
    <w:basedOn w:val="Normal"/>
    <w:rsid w:val="004064C3"/>
    <w:pPr>
      <w:tabs>
        <w:tab w:val="center" w:pos="5328"/>
        <w:tab w:val="right" w:pos="10728"/>
      </w:tabs>
      <w:autoSpaceDE w:val="0"/>
      <w:autoSpaceDN w:val="0"/>
      <w:ind w:left="58"/>
    </w:pPr>
    <w:rPr>
      <w:rFonts w:ascii="Arial" w:hAnsi="Arial" w:cs="Arial"/>
      <w:sz w:val="16"/>
      <w:szCs w:val="16"/>
    </w:rPr>
  </w:style>
  <w:style w:type="character" w:styleId="PageNumber">
    <w:name w:val="page number"/>
    <w:rsid w:val="004064C3"/>
    <w:rPr>
      <w:rFonts w:ascii="Arial" w:hAnsi="Arial" w:cs="Arial" w:hint="default"/>
      <w:sz w:val="20"/>
      <w:u w:val="single"/>
    </w:rPr>
  </w:style>
  <w:style w:type="table" w:styleId="TableGrid">
    <w:name w:val="Table Grid"/>
    <w:basedOn w:val="TableNormal"/>
    <w:uiPriority w:val="99"/>
    <w:rsid w:val="00AC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F33AB0"/>
    <w:pPr>
      <w:ind w:left="360"/>
    </w:pPr>
  </w:style>
  <w:style w:type="paragraph" w:customStyle="1" w:styleId="text">
    <w:name w:val="text"/>
    <w:basedOn w:val="Normal"/>
    <w:rsid w:val="00E259A0"/>
    <w:pPr>
      <w:spacing w:before="100" w:beforeAutospacing="1" w:after="100" w:afterAutospacing="1"/>
    </w:pPr>
  </w:style>
  <w:style w:type="character" w:styleId="Hyperlink">
    <w:name w:val="Hyperlink"/>
    <w:uiPriority w:val="99"/>
    <w:rsid w:val="00EC2F4E"/>
    <w:rPr>
      <w:color w:val="0000FF"/>
      <w:u w:val="single"/>
    </w:rPr>
  </w:style>
  <w:style w:type="paragraph" w:styleId="BalloonText">
    <w:name w:val="Balloon Text"/>
    <w:basedOn w:val="Normal"/>
    <w:semiHidden/>
    <w:rsid w:val="008438B9"/>
    <w:rPr>
      <w:rFonts w:ascii="Tahoma" w:hAnsi="Tahoma" w:cs="Tahoma"/>
      <w:sz w:val="16"/>
      <w:szCs w:val="16"/>
    </w:rPr>
  </w:style>
  <w:style w:type="paragraph" w:customStyle="1" w:styleId="Level1">
    <w:name w:val="Level 1"/>
    <w:basedOn w:val="Normal"/>
    <w:rsid w:val="00A662D6"/>
    <w:pPr>
      <w:widowControl w:val="0"/>
      <w:numPr>
        <w:numId w:val="1"/>
      </w:numPr>
      <w:autoSpaceDE w:val="0"/>
      <w:autoSpaceDN w:val="0"/>
      <w:adjustRightInd w:val="0"/>
      <w:ind w:left="720" w:hanging="720"/>
      <w:outlineLvl w:val="0"/>
    </w:pPr>
  </w:style>
  <w:style w:type="paragraph" w:customStyle="1" w:styleId="Default">
    <w:name w:val="Default"/>
    <w:rsid w:val="00CC3730"/>
    <w:pPr>
      <w:autoSpaceDE w:val="0"/>
      <w:autoSpaceDN w:val="0"/>
      <w:adjustRightInd w:val="0"/>
    </w:pPr>
    <w:rPr>
      <w:color w:val="000000"/>
      <w:sz w:val="24"/>
      <w:szCs w:val="24"/>
    </w:rPr>
  </w:style>
  <w:style w:type="character" w:customStyle="1" w:styleId="banner-usdol1">
    <w:name w:val="banner-usdol1"/>
    <w:rsid w:val="00776A88"/>
    <w:rPr>
      <w:rFonts w:ascii="Verdana" w:hAnsi="Verdana" w:hint="default"/>
      <w:b/>
      <w:bCs/>
      <w:color w:val="003399"/>
      <w:sz w:val="32"/>
      <w:szCs w:val="32"/>
    </w:rPr>
  </w:style>
  <w:style w:type="character" w:customStyle="1" w:styleId="banner-agency1">
    <w:name w:val="banner-agency1"/>
    <w:rsid w:val="00776A88"/>
    <w:rPr>
      <w:rFonts w:ascii="Verdana" w:hAnsi="Verdana" w:hint="default"/>
      <w:b/>
      <w:bCs/>
      <w:color w:val="003399"/>
      <w:sz w:val="24"/>
      <w:szCs w:val="24"/>
    </w:rPr>
  </w:style>
  <w:style w:type="character" w:customStyle="1" w:styleId="banner-tagline1">
    <w:name w:val="banner-tagline1"/>
    <w:rsid w:val="00776A88"/>
    <w:rPr>
      <w:rFonts w:ascii="Verdana" w:hAnsi="Verdana" w:hint="default"/>
      <w:i/>
      <w:iCs/>
      <w:color w:val="003399"/>
      <w:sz w:val="20"/>
      <w:szCs w:val="20"/>
    </w:rPr>
  </w:style>
  <w:style w:type="character" w:customStyle="1" w:styleId="agencyurl1">
    <w:name w:val="agencyurl1"/>
    <w:rsid w:val="00776A88"/>
    <w:rPr>
      <w:rFonts w:ascii="Verdana" w:hAnsi="Verdana" w:hint="default"/>
      <w:b/>
      <w:bCs/>
      <w:i/>
      <w:iCs/>
      <w:color w:val="003399"/>
      <w:sz w:val="30"/>
      <w:szCs w:val="30"/>
    </w:rPr>
  </w:style>
  <w:style w:type="character" w:customStyle="1" w:styleId="Hyperlink1">
    <w:name w:val="Hyperlink1"/>
    <w:rsid w:val="00776A88"/>
    <w:rPr>
      <w:rFonts w:ascii="Verdana" w:hAnsi="Verdana" w:hint="default"/>
      <w:b/>
      <w:bCs/>
      <w:i/>
      <w:iCs/>
      <w:strike w:val="0"/>
      <w:dstrike w:val="0"/>
      <w:color w:val="003399"/>
      <w:sz w:val="30"/>
      <w:szCs w:val="30"/>
      <w:u w:val="none"/>
      <w:effect w:val="none"/>
    </w:rPr>
  </w:style>
  <w:style w:type="character" w:customStyle="1" w:styleId="search-bar1">
    <w:name w:val="search-bar1"/>
    <w:rsid w:val="00776A88"/>
    <w:rPr>
      <w:rFonts w:ascii="Verdana" w:hAnsi="Verdana" w:hint="default"/>
      <w:b/>
      <w:bCs/>
      <w:color w:val="FFFFFF"/>
      <w:sz w:val="24"/>
      <w:szCs w:val="24"/>
    </w:rPr>
  </w:style>
  <w:style w:type="character" w:customStyle="1" w:styleId="Hyperlink2">
    <w:name w:val="Hyperlink2"/>
    <w:rsid w:val="00776A88"/>
    <w:rPr>
      <w:b/>
      <w:bCs/>
      <w:color w:val="FFFFCC"/>
      <w:u w:val="single"/>
    </w:rPr>
  </w:style>
  <w:style w:type="paragraph" w:styleId="HTMLTopofForm">
    <w:name w:val="HTML Top of Form"/>
    <w:basedOn w:val="Normal"/>
    <w:next w:val="Normal"/>
    <w:hidden/>
    <w:rsid w:val="00776A88"/>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776A88"/>
    <w:pPr>
      <w:pBdr>
        <w:top w:val="single" w:sz="6" w:space="1" w:color="auto"/>
      </w:pBdr>
      <w:jc w:val="center"/>
    </w:pPr>
    <w:rPr>
      <w:rFonts w:ascii="Arial" w:hAnsi="Arial" w:cs="Arial"/>
      <w:vanish/>
      <w:sz w:val="16"/>
      <w:szCs w:val="16"/>
    </w:rPr>
  </w:style>
  <w:style w:type="paragraph" w:styleId="BodyText">
    <w:name w:val="Body Text"/>
    <w:basedOn w:val="Normal"/>
    <w:rsid w:val="00A8470F"/>
    <w:pPr>
      <w:spacing w:after="120"/>
    </w:pPr>
  </w:style>
  <w:style w:type="paragraph" w:customStyle="1" w:styleId="catchline">
    <w:name w:val="catchline"/>
    <w:basedOn w:val="Normal"/>
    <w:rsid w:val="00BB45C9"/>
    <w:pPr>
      <w:spacing w:before="100" w:beforeAutospacing="1" w:after="100" w:afterAutospacing="1"/>
    </w:pPr>
    <w:rPr>
      <w:b/>
      <w:bCs/>
      <w:sz w:val="29"/>
      <w:szCs w:val="29"/>
    </w:rPr>
  </w:style>
  <w:style w:type="character" w:customStyle="1" w:styleId="ptext-2">
    <w:name w:val="ptext-2"/>
    <w:rsid w:val="00BB45C9"/>
    <w:rPr>
      <w:b w:val="0"/>
      <w:bCs w:val="0"/>
    </w:rPr>
  </w:style>
  <w:style w:type="character" w:customStyle="1" w:styleId="ptext-3">
    <w:name w:val="ptext-3"/>
    <w:rsid w:val="00BB45C9"/>
    <w:rPr>
      <w:b w:val="0"/>
      <w:bCs w:val="0"/>
    </w:rPr>
  </w:style>
  <w:style w:type="character" w:customStyle="1" w:styleId="ptext-4">
    <w:name w:val="ptext-4"/>
    <w:rsid w:val="00BB45C9"/>
    <w:rPr>
      <w:b w:val="0"/>
      <w:bCs w:val="0"/>
    </w:rPr>
  </w:style>
  <w:style w:type="character" w:customStyle="1" w:styleId="greyout">
    <w:name w:val="greyout"/>
    <w:rsid w:val="00BB45C9"/>
    <w:rPr>
      <w:b w:val="0"/>
      <w:bCs w:val="0"/>
      <w:color w:val="999999"/>
    </w:rPr>
  </w:style>
  <w:style w:type="character" w:customStyle="1" w:styleId="enumbell">
    <w:name w:val="enumbell"/>
    <w:rsid w:val="00BB45C9"/>
    <w:rPr>
      <w:b/>
      <w:bCs/>
    </w:rPr>
  </w:style>
  <w:style w:type="character" w:customStyle="1" w:styleId="enumlstr">
    <w:name w:val="enumlstr"/>
    <w:uiPriority w:val="99"/>
    <w:rsid w:val="00BB45C9"/>
    <w:rPr>
      <w:b/>
      <w:bCs/>
      <w:color w:val="000066"/>
    </w:rPr>
  </w:style>
  <w:style w:type="character" w:customStyle="1" w:styleId="highlight1">
    <w:name w:val="highlight1"/>
    <w:rsid w:val="00BB45C9"/>
    <w:rPr>
      <w:b w:val="0"/>
      <w:bCs w:val="0"/>
      <w:color w:val="FF0000"/>
    </w:rPr>
  </w:style>
  <w:style w:type="character" w:styleId="CommentReference">
    <w:name w:val="annotation reference"/>
    <w:semiHidden/>
    <w:rsid w:val="00446251"/>
    <w:rPr>
      <w:sz w:val="16"/>
      <w:szCs w:val="16"/>
    </w:rPr>
  </w:style>
  <w:style w:type="paragraph" w:styleId="CommentText">
    <w:name w:val="annotation text"/>
    <w:basedOn w:val="Normal"/>
    <w:link w:val="CommentTextChar"/>
    <w:semiHidden/>
    <w:rsid w:val="00446251"/>
    <w:rPr>
      <w:sz w:val="20"/>
      <w:szCs w:val="20"/>
    </w:rPr>
  </w:style>
  <w:style w:type="paragraph" w:styleId="Subtitle">
    <w:name w:val="Subtitle"/>
    <w:basedOn w:val="Normal"/>
    <w:qFormat/>
    <w:rsid w:val="00D12377"/>
    <w:rPr>
      <w:b/>
      <w:bCs/>
    </w:rPr>
  </w:style>
  <w:style w:type="character" w:customStyle="1" w:styleId="listingtext1">
    <w:name w:val="listingtext1"/>
    <w:rsid w:val="004E0B1B"/>
    <w:rPr>
      <w:rFonts w:ascii="Verdana" w:hAnsi="Verdana" w:hint="default"/>
      <w:sz w:val="18"/>
      <w:szCs w:val="18"/>
    </w:rPr>
  </w:style>
  <w:style w:type="character" w:styleId="FollowedHyperlink">
    <w:name w:val="FollowedHyperlink"/>
    <w:rsid w:val="00886007"/>
    <w:rPr>
      <w:color w:val="800080"/>
      <w:u w:val="single"/>
    </w:rPr>
  </w:style>
  <w:style w:type="paragraph" w:styleId="HTMLPreformatted">
    <w:name w:val="HTML Preformatted"/>
    <w:basedOn w:val="Normal"/>
    <w:link w:val="HTMLPreformattedChar"/>
    <w:uiPriority w:val="99"/>
    <w:rsid w:val="00D5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sid w:val="00891FB7"/>
    <w:rPr>
      <w:b/>
      <w:bCs/>
    </w:rPr>
  </w:style>
  <w:style w:type="character" w:styleId="Emphasis">
    <w:name w:val="Emphasis"/>
    <w:qFormat/>
    <w:rsid w:val="00E36C6A"/>
    <w:rPr>
      <w:i w:val="0"/>
      <w:iCs w:val="0"/>
      <w:caps/>
      <w:sz w:val="19"/>
      <w:szCs w:val="19"/>
    </w:rPr>
  </w:style>
  <w:style w:type="paragraph" w:styleId="ListNumber2">
    <w:name w:val="List Number 2"/>
    <w:basedOn w:val="Normal"/>
    <w:uiPriority w:val="99"/>
    <w:rsid w:val="00E36C6A"/>
    <w:pPr>
      <w:widowControl w:val="0"/>
      <w:numPr>
        <w:numId w:val="2"/>
      </w:numPr>
    </w:pPr>
    <w:rPr>
      <w:rFonts w:ascii="Arial" w:hAnsi="Arial" w:cs="Arial"/>
      <w:bCs/>
      <w:color w:val="000000"/>
      <w:sz w:val="20"/>
      <w:szCs w:val="20"/>
    </w:rPr>
  </w:style>
  <w:style w:type="table" w:styleId="TableGrid1">
    <w:name w:val="Table Grid 1"/>
    <w:basedOn w:val="TableNormal"/>
    <w:rsid w:val="00E36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
    <w:name w:val="CM1"/>
    <w:basedOn w:val="Default"/>
    <w:next w:val="Default"/>
    <w:rsid w:val="00E36C6A"/>
    <w:pPr>
      <w:widowControl w:val="0"/>
    </w:pPr>
    <w:rPr>
      <w:rFonts w:ascii="Arial" w:hAnsi="Arial"/>
      <w:color w:val="auto"/>
    </w:rPr>
  </w:style>
  <w:style w:type="paragraph" w:customStyle="1" w:styleId="CM77">
    <w:name w:val="CM77"/>
    <w:basedOn w:val="Default"/>
    <w:next w:val="Default"/>
    <w:rsid w:val="00E36C6A"/>
    <w:pPr>
      <w:widowControl w:val="0"/>
      <w:spacing w:after="468"/>
    </w:pPr>
    <w:rPr>
      <w:rFonts w:ascii="Arial" w:hAnsi="Arial"/>
      <w:color w:val="auto"/>
    </w:rPr>
  </w:style>
  <w:style w:type="paragraph" w:styleId="List">
    <w:name w:val="List"/>
    <w:basedOn w:val="Normal"/>
    <w:rsid w:val="00E36C6A"/>
    <w:pPr>
      <w:ind w:left="360" w:hanging="360"/>
    </w:pPr>
  </w:style>
  <w:style w:type="paragraph" w:styleId="ListParagraph">
    <w:name w:val="List Paragraph"/>
    <w:basedOn w:val="Normal"/>
    <w:uiPriority w:val="34"/>
    <w:qFormat/>
    <w:rsid w:val="00EB4488"/>
    <w:pPr>
      <w:ind w:left="720"/>
    </w:pPr>
  </w:style>
  <w:style w:type="paragraph" w:styleId="CommentSubject">
    <w:name w:val="annotation subject"/>
    <w:basedOn w:val="CommentText"/>
    <w:next w:val="CommentText"/>
    <w:link w:val="CommentSubjectChar"/>
    <w:rsid w:val="00D322A7"/>
    <w:rPr>
      <w:b/>
      <w:bCs/>
    </w:rPr>
  </w:style>
  <w:style w:type="character" w:customStyle="1" w:styleId="CommentTextChar">
    <w:name w:val="Comment Text Char"/>
    <w:basedOn w:val="DefaultParagraphFont"/>
    <w:link w:val="CommentText"/>
    <w:semiHidden/>
    <w:rsid w:val="00D322A7"/>
  </w:style>
  <w:style w:type="character" w:customStyle="1" w:styleId="CommentSubjectChar">
    <w:name w:val="Comment Subject Char"/>
    <w:basedOn w:val="CommentTextChar"/>
    <w:link w:val="CommentSubject"/>
    <w:rsid w:val="00D322A7"/>
  </w:style>
  <w:style w:type="character" w:customStyle="1" w:styleId="tp-label">
    <w:name w:val="tp-label"/>
    <w:basedOn w:val="DefaultParagraphFont"/>
    <w:rsid w:val="003D7B15"/>
  </w:style>
  <w:style w:type="character" w:customStyle="1" w:styleId="PlainTextChar">
    <w:name w:val="Plain Text Char"/>
    <w:link w:val="PlainText"/>
    <w:uiPriority w:val="99"/>
    <w:rsid w:val="00AC22F2"/>
    <w:rPr>
      <w:rFonts w:ascii="Courier New" w:hAnsi="Courier New"/>
    </w:rPr>
  </w:style>
  <w:style w:type="character" w:customStyle="1" w:styleId="HTMLPreformattedChar">
    <w:name w:val="HTML Preformatted Char"/>
    <w:link w:val="HTMLPreformatted"/>
    <w:uiPriority w:val="99"/>
    <w:locked/>
    <w:rsid w:val="00FB0DD8"/>
    <w:rPr>
      <w:rFonts w:ascii="Courier New" w:hAnsi="Courier New" w:cs="Courier New"/>
    </w:rPr>
  </w:style>
  <w:style w:type="character" w:customStyle="1" w:styleId="sr-only">
    <w:name w:val="sr-only"/>
    <w:rsid w:val="004239A2"/>
  </w:style>
  <w:style w:type="character" w:customStyle="1" w:styleId="HeaderChar">
    <w:name w:val="Header Char"/>
    <w:link w:val="Header"/>
    <w:uiPriority w:val="99"/>
    <w:locked/>
    <w:rsid w:val="00AF77DC"/>
    <w:rPr>
      <w:sz w:val="24"/>
      <w:szCs w:val="24"/>
    </w:rPr>
  </w:style>
  <w:style w:type="character" w:customStyle="1" w:styleId="FooterChar">
    <w:name w:val="Footer Char"/>
    <w:link w:val="Footer"/>
    <w:uiPriority w:val="99"/>
    <w:locked/>
    <w:rsid w:val="00AF77DC"/>
    <w:rPr>
      <w:sz w:val="24"/>
      <w:szCs w:val="24"/>
    </w:rPr>
  </w:style>
  <w:style w:type="character" w:styleId="UnresolvedMention">
    <w:name w:val="Unresolved Mention"/>
    <w:uiPriority w:val="99"/>
    <w:semiHidden/>
    <w:unhideWhenUsed/>
    <w:rsid w:val="00BA14DD"/>
    <w:rPr>
      <w:color w:val="605E5C"/>
      <w:shd w:val="clear" w:color="auto" w:fill="E1DFDD"/>
    </w:rPr>
  </w:style>
  <w:style w:type="paragraph" w:styleId="Revision">
    <w:name w:val="Revision"/>
    <w:hidden/>
    <w:uiPriority w:val="99"/>
    <w:semiHidden/>
    <w:rsid w:val="00BE33F4"/>
    <w:rPr>
      <w:sz w:val="24"/>
      <w:szCs w:val="24"/>
    </w:rPr>
  </w:style>
  <w:style w:type="character" w:styleId="Mention">
    <w:name w:val="Mention"/>
    <w:basedOn w:val="DefaultParagraphFont"/>
    <w:uiPriority w:val="99"/>
    <w:unhideWhenUsed/>
    <w:rsid w:val="002F61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ats.bls.gov/oes/current/oes_nat.htm" TargetMode="External" /><Relationship Id="rId11" Type="http://schemas.openxmlformats.org/officeDocument/2006/relationships/hyperlink" Target="https://www.fsis.usda.gov/sites/default/files/media_file/2021-03/Controlling-LM-Delicatessens.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rg0@cdc.gov" TargetMode="External" /><Relationship Id="rId9" Type="http://schemas.openxmlformats.org/officeDocument/2006/relationships/hyperlink" Target="http://www.cdc.gov/winnablebatt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8174D-AF02-4BE5-9D16-1F24E1D40447}">
  <ds:schemaRefs>
    <ds:schemaRef ds:uri="http://schemas.microsoft.com/sharepoint/v3/contenttype/forms"/>
  </ds:schemaRefs>
</ds:datastoreItem>
</file>

<file path=customXml/itemProps2.xml><?xml version="1.0" encoding="utf-8"?>
<ds:datastoreItem xmlns:ds="http://schemas.openxmlformats.org/officeDocument/2006/customXml" ds:itemID="{F9158F72-691E-487E-AE9A-C776FD872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EB2D0-1AA6-4F90-A7C3-27CCC1A04A56}">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4.xml><?xml version="1.0" encoding="utf-8"?>
<ds:datastoreItem xmlns:ds="http://schemas.openxmlformats.org/officeDocument/2006/customXml" ds:itemID="{EA82A55A-F116-4BDA-9B18-EC98150F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6938</Words>
  <Characters>43002</Characters>
  <Application>Microsoft Office Word</Application>
  <DocSecurity>0</DocSecurity>
  <Lines>358</Lines>
  <Paragraphs>99</Paragraphs>
  <ScaleCrop>false</ScaleCrop>
  <HeadingPairs>
    <vt:vector size="2" baseType="variant">
      <vt:variant>
        <vt:lpstr>Title</vt:lpstr>
      </vt:variant>
      <vt:variant>
        <vt:i4>1</vt:i4>
      </vt:variant>
    </vt:vector>
  </HeadingPairs>
  <TitlesOfParts>
    <vt:vector size="1" baseType="lpstr">
      <vt:lpstr>EHS survey OMB package</vt:lpstr>
    </vt:vector>
  </TitlesOfParts>
  <Company>CDC</Company>
  <LinksUpToDate>false</LinksUpToDate>
  <CharactersWithSpaces>49841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 survey OMB package</dc:title>
  <dc:creator>lrg0</dc:creator>
  <cp:lastModifiedBy>Joyce, Kevin J. (CDC/OD/OS)</cp:lastModifiedBy>
  <cp:revision>4</cp:revision>
  <cp:lastPrinted>2014-12-22T17:02:00Z</cp:lastPrinted>
  <dcterms:created xsi:type="dcterms:W3CDTF">2024-11-14T14:35:00Z</dcterms:created>
  <dcterms:modified xsi:type="dcterms:W3CDTF">2024-11-20T15:50:00Z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324f0b51-031d-4f21-b9ed-9661855ec71f</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2021-02-01T18:03:19Z</vt:lpwstr>
  </property>
  <property fmtid="{D5CDD505-2E9C-101B-9397-08002B2CF9AE}" pid="10" name="MSIP_Label_8af03ff0-41c5-4c41-b55e-fabb8fae94be_SiteId">
    <vt:lpwstr>9ce70869-60db-44fd-abe8-d2767077fc8f</vt:lpwstr>
  </property>
</Properties>
</file>