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colors2.xml" ContentType="application/vnd.ms-office.chartcolorstyle+xml"/>
  <Override PartName="/word/charts/chart/colors3.xml" ContentType="application/vnd.ms-office.chartcolorstyle+xml"/>
  <Override PartName="/word/charts/chart/colors4.xml" ContentType="application/vnd.ms-office.chartcolorstyle+xml"/>
  <Override PartName="/word/charts/chart/colors5.xml" ContentType="application/vnd.ms-office.chartcolorstyle+xml"/>
  <Override PartName="/word/charts/chart/colors6.xml" ContentType="application/vnd.ms-office.chartcolorstyle+xml"/>
  <Override PartName="/word/charts/chart/colors7.xml" ContentType="application/vnd.ms-office.chartcolorstyle+xml"/>
  <Override PartName="/word/charts/chart/colors8.xml" ContentType="application/vnd.ms-office.chartcolorstyle+xml"/>
  <Override PartName="/word/charts/chart/style1.xml" ContentType="application/vnd.ms-office.chartstyle+xml"/>
  <Override PartName="/word/charts/chart/style2.xml" ContentType="application/vnd.ms-office.chartstyle+xml"/>
  <Override PartName="/word/charts/chart/style3.xml" ContentType="application/vnd.ms-office.chartstyle+xml"/>
  <Override PartName="/word/charts/chart/style4.xml" ContentType="application/vnd.ms-office.chartstyle+xml"/>
  <Override PartName="/word/charts/chart/style5.xml" ContentType="application/vnd.ms-office.chartstyle+xml"/>
  <Override PartName="/word/charts/chart/style6.xml" ContentType="application/vnd.ms-office.chartstyle+xml"/>
  <Override PartName="/word/charts/chart/style7.xml" ContentType="application/vnd.ms-office.chartstyle+xml"/>
  <Override PartName="/word/charts/chart/style8.xml" ContentType="application/vnd.ms-office.chartsty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drawings/drawing6.xml" ContentType="application/vnd.openxmlformats-officedocument.drawingml.chartshapes+xml"/>
  <Override PartName="/word/drawings/drawing7.xml" ContentType="application/vnd.openxmlformats-officedocument.drawingml.chartshapes+xml"/>
  <Override PartName="/word/drawings/drawing8.xml" ContentType="application/vnd.openxmlformats-officedocument.drawingml.chartshapes+xml"/>
  <Override PartName="/word/embeddings/Microsoft_Excel_Worksheet1.xlsx" ContentType="application/vnd.openxmlformats-officedocument.spreadsheetml.sheet"/>
  <Override PartName="/word/embeddings/Microsoft_Excel_Worksheet2.xlsx" ContentType="application/vnd.openxmlformats-officedocument.spreadsheetml.sheet"/>
  <Override PartName="/word/embeddings/Microsoft_Excel_Worksheet3.xlsx" ContentType="application/vnd.openxmlformats-officedocument.spreadsheetml.sheet"/>
  <Override PartName="/word/embeddings/Microsoft_Excel_Worksheet4.xlsx" ContentType="application/vnd.openxmlformats-officedocument.spreadsheetml.sheet"/>
  <Override PartName="/word/embeddings/Microsoft_Excel_Worksheet5.xlsx" ContentType="application/vnd.openxmlformats-officedocument.spreadsheetml.sheet"/>
  <Override PartName="/word/embeddings/Microsoft_Excel_Worksheet6.xlsx" ContentType="application/vnd.openxmlformats-officedocument.spreadsheetml.sheet"/>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6BE5" w:rsidP="00793631" w14:paraId="7DCA895D" w14:textId="6DE992F8">
      <w:r>
        <w:t>Attachment 19</w:t>
      </w:r>
      <w:r w:rsidR="00C9615D">
        <w:t>a</w:t>
      </w:r>
      <w:r>
        <w:t>.</w:t>
      </w:r>
      <w:r w:rsidR="002A7677">
        <w:t xml:space="preserve"> Pregnancy Risk Assessment Monitoring System (PRAMS) </w:t>
      </w:r>
      <w:r w:rsidR="0088407F">
        <w:t xml:space="preserve">Nonresponse Bias </w:t>
      </w:r>
      <w:r w:rsidR="3C855BF2">
        <w:t>Assessment of 2020 and 2021 Data</w:t>
      </w:r>
    </w:p>
    <w:p w:rsidR="002A7677" w14:paraId="4F045390" w14:textId="7406A93B"/>
    <w:p w:rsidR="0005504D" w:rsidRPr="000E1CC9" w14:paraId="29593899" w14:textId="77AC826F">
      <w:pPr>
        <w:rPr>
          <w:b/>
          <w:bCs/>
        </w:rPr>
      </w:pPr>
      <w:r>
        <w:rPr>
          <w:b/>
          <w:bCs/>
        </w:rPr>
        <w:t>Overview</w:t>
      </w:r>
    </w:p>
    <w:p w:rsidR="003C42AD" w:rsidP="2DF04DC2" w14:paraId="3713BEB2" w14:textId="53608D88">
      <w:pPr>
        <w:tabs>
          <w:tab w:val="right" w:pos="9360"/>
        </w:tabs>
        <w:spacing w:after="0"/>
        <w:textAlignment w:val="baseline"/>
      </w:pPr>
      <w:r>
        <w:t>PRAMS propose</w:t>
      </w:r>
      <w:r w:rsidR="7DB5CFC5">
        <w:t>s</w:t>
      </w:r>
      <w:r>
        <w:t xml:space="preserve"> to release all jurisdiction data, regardless of the response rate achieved</w:t>
      </w:r>
      <w:r w:rsidR="552290E3">
        <w:t xml:space="preserve"> by each jurisdiction</w:t>
      </w:r>
      <w:r w:rsidR="75FFC567">
        <w:t xml:space="preserve"> based on nonresponse bias analyses described </w:t>
      </w:r>
      <w:r w:rsidR="5813A752">
        <w:t>in this Attachment</w:t>
      </w:r>
      <w:r w:rsidR="66CDB04A">
        <w:t>.</w:t>
      </w:r>
    </w:p>
    <w:p w:rsidR="003C42AD" w:rsidP="2DF04DC2" w14:paraId="58F0DAE6" w14:textId="77777777">
      <w:pPr>
        <w:tabs>
          <w:tab w:val="right" w:pos="9360"/>
        </w:tabs>
        <w:spacing w:after="0"/>
        <w:textAlignment w:val="baseline"/>
      </w:pPr>
    </w:p>
    <w:p w:rsidR="006817D9" w:rsidP="0E3FCE43" w14:paraId="1A8BB5F9" w14:textId="5AA3BA96">
      <w:pPr>
        <w:pStyle w:val="paragraph"/>
        <w:spacing w:before="0" w:beforeAutospacing="0" w:after="0" w:afterAutospacing="0"/>
        <w:textAlignment w:val="baseline"/>
      </w:pPr>
      <w:r>
        <w:t>Results of the 2019 nonresponse bias analyses were previously submitted to OMB</w:t>
      </w:r>
      <w:r w:rsidR="5813A752">
        <w:t xml:space="preserve"> (previous </w:t>
      </w:r>
      <w:r w:rsidR="700B4B8E">
        <w:t>A</w:t>
      </w:r>
      <w:r w:rsidR="5813A752">
        <w:t>ttachment 19)</w:t>
      </w:r>
      <w:r w:rsidR="3CF9183A">
        <w:t xml:space="preserve"> </w:t>
      </w:r>
      <w:r w:rsidR="79CB40D3">
        <w:t>and</w:t>
      </w:r>
      <w:r w:rsidR="32EFD713">
        <w:t xml:space="preserve"> </w:t>
      </w:r>
      <w:r w:rsidR="3CF9183A">
        <w:t>suggest</w:t>
      </w:r>
      <w:r w:rsidR="453426CA">
        <w:t>ed</w:t>
      </w:r>
      <w:r w:rsidR="3CF9183A">
        <w:t xml:space="preserve"> </w:t>
      </w:r>
      <w:r w:rsidR="3507C224">
        <w:t xml:space="preserve">minimal </w:t>
      </w:r>
      <w:r w:rsidR="69C95CEA">
        <w:t xml:space="preserve">bias in the data </w:t>
      </w:r>
      <w:r w:rsidR="2E6739C2">
        <w:t xml:space="preserve">overall, </w:t>
      </w:r>
      <w:r w:rsidR="4C3C26F8">
        <w:t>by jurisdiction</w:t>
      </w:r>
      <w:r w:rsidR="2ECA39A3">
        <w:t xml:space="preserve"> (her</w:t>
      </w:r>
      <w:r w:rsidR="111BF355">
        <w:t>e</w:t>
      </w:r>
      <w:r w:rsidR="2ECA39A3">
        <w:t>after</w:t>
      </w:r>
      <w:r w:rsidR="111BF355">
        <w:t xml:space="preserve"> referred to as sites)</w:t>
      </w:r>
      <w:r w:rsidR="4C3C26F8">
        <w:t xml:space="preserve"> and by indicators</w:t>
      </w:r>
      <w:r w:rsidR="03EBFD63">
        <w:t xml:space="preserve">.  </w:t>
      </w:r>
      <w:r w:rsidR="74798F38">
        <w:t xml:space="preserve">OMB requested that these analyses be </w:t>
      </w:r>
      <w:r w:rsidR="4444E361">
        <w:t>repeated for</w:t>
      </w:r>
      <w:r w:rsidR="0853775F">
        <w:t xml:space="preserve"> </w:t>
      </w:r>
      <w:r w:rsidR="5058F785">
        <w:t>2020</w:t>
      </w:r>
      <w:r w:rsidR="6900307B">
        <w:t>.</w:t>
      </w:r>
      <w:r w:rsidR="5058F785">
        <w:t xml:space="preserve"> </w:t>
      </w:r>
      <w:r w:rsidR="6900307B">
        <w:t xml:space="preserve"> </w:t>
      </w:r>
      <w:r w:rsidR="4C0B08A3">
        <w:t>The current report provides results f</w:t>
      </w:r>
      <w:r w:rsidR="135717A3">
        <w:t>rom</w:t>
      </w:r>
      <w:r w:rsidR="4C0B08A3">
        <w:t xml:space="preserve"> analyses</w:t>
      </w:r>
      <w:r w:rsidR="33512E8A">
        <w:t xml:space="preserve"> </w:t>
      </w:r>
      <w:r w:rsidR="6F3395E7">
        <w:t xml:space="preserve">of </w:t>
      </w:r>
      <w:r w:rsidR="20B3971D">
        <w:t xml:space="preserve">2020 </w:t>
      </w:r>
      <w:r w:rsidR="5058F785">
        <w:t xml:space="preserve">and 2021 </w:t>
      </w:r>
      <w:r w:rsidR="0106F0C3">
        <w:t xml:space="preserve">PRAMS </w:t>
      </w:r>
      <w:r w:rsidR="5058F785">
        <w:t>data</w:t>
      </w:r>
      <w:r w:rsidR="36B2B075">
        <w:t>.</w:t>
      </w:r>
      <w:r w:rsidRPr="0E3FCE43" w:rsidR="32EC5036">
        <w:rPr>
          <w:rStyle w:val="normaltextrun"/>
          <w:i/>
          <w:iCs/>
        </w:rPr>
        <w:t xml:space="preserve"> </w:t>
      </w:r>
      <w:r w:rsidR="78EE1FD4">
        <w:t xml:space="preserve"> </w:t>
      </w:r>
      <w:r w:rsidR="31CC629D">
        <w:t>The</w:t>
      </w:r>
      <w:r w:rsidR="332E7DE8">
        <w:t>se</w:t>
      </w:r>
      <w:r w:rsidR="23238239">
        <w:t xml:space="preserve"> results align with </w:t>
      </w:r>
      <w:r w:rsidR="0F8D7FE9">
        <w:t xml:space="preserve">the previous </w:t>
      </w:r>
      <w:r w:rsidR="1E26F0C7">
        <w:t>2019</w:t>
      </w:r>
      <w:r w:rsidR="0A6B873F">
        <w:t xml:space="preserve"> resu</w:t>
      </w:r>
      <w:r w:rsidR="1BAFB304">
        <w:t xml:space="preserve">lts </w:t>
      </w:r>
      <w:r w:rsidR="281CC381">
        <w:t>suggest</w:t>
      </w:r>
      <w:r w:rsidR="11261F00">
        <w:t>ing</w:t>
      </w:r>
      <w:r w:rsidR="281CC381">
        <w:t xml:space="preserve"> little bias in the data</w:t>
      </w:r>
      <w:r w:rsidR="3156D7CD">
        <w:t xml:space="preserve"> overall</w:t>
      </w:r>
      <w:r w:rsidR="281CC381">
        <w:t xml:space="preserve"> and </w:t>
      </w:r>
      <w:r w:rsidR="08D8B053">
        <w:t xml:space="preserve">a </w:t>
      </w:r>
      <w:r w:rsidR="2E244D39">
        <w:t>m</w:t>
      </w:r>
      <w:r w:rsidR="4110CDB5">
        <w:t>odest</w:t>
      </w:r>
      <w:r w:rsidR="2E244D39">
        <w:t xml:space="preserve"> </w:t>
      </w:r>
      <w:r w:rsidR="281CC381">
        <w:t>relationship between bias</w:t>
      </w:r>
      <w:r w:rsidR="463D7CBF">
        <w:t xml:space="preserve"> and response rate</w:t>
      </w:r>
      <w:r w:rsidR="643E48B6">
        <w:t xml:space="preserve">.  </w:t>
      </w:r>
      <w:r w:rsidRPr="0E3FCE43" w:rsidR="79CB40D3">
        <w:rPr>
          <w:rFonts w:asciiTheme="minorHAnsi" w:hAnsiTheme="minorHAnsi" w:cstheme="minorBidi"/>
        </w:rPr>
        <w:t>A</w:t>
      </w:r>
      <w:r w:rsidR="00B048F2">
        <w:rPr>
          <w:rFonts w:asciiTheme="minorHAnsi" w:hAnsiTheme="minorHAnsi" w:cstheme="minorBidi"/>
        </w:rPr>
        <w:t xml:space="preserve">n attachment describing </w:t>
      </w:r>
      <w:r w:rsidRPr="0E3FCE43" w:rsidR="79CB40D3">
        <w:rPr>
          <w:rFonts w:asciiTheme="minorHAnsi" w:hAnsiTheme="minorHAnsi" w:cstheme="minorBidi"/>
        </w:rPr>
        <w:t>nonresponse bias analysis for future years of PRAMS data collection</w:t>
      </w:r>
      <w:r w:rsidR="00B048F2">
        <w:rPr>
          <w:rFonts w:asciiTheme="minorHAnsi" w:hAnsiTheme="minorHAnsi" w:cstheme="minorBidi"/>
        </w:rPr>
        <w:t xml:space="preserve"> </w:t>
      </w:r>
      <w:r w:rsidRPr="0E3FCE43" w:rsidR="00B048F2">
        <w:rPr>
          <w:rFonts w:asciiTheme="minorHAnsi" w:hAnsiTheme="minorHAnsi" w:cstheme="minorBidi"/>
        </w:rPr>
        <w:t>will be provided as part of request for extension for OMB approval</w:t>
      </w:r>
      <w:r w:rsidRPr="0E3FCE43" w:rsidR="79CB40D3">
        <w:rPr>
          <w:rFonts w:asciiTheme="minorHAnsi" w:hAnsiTheme="minorHAnsi" w:cstheme="minorBidi"/>
        </w:rPr>
        <w:t xml:space="preserve">. </w:t>
      </w:r>
    </w:p>
    <w:p w:rsidR="00576100" w:rsidP="2DF04DC2" w14:paraId="256C1F52" w14:textId="7CD0E453">
      <w:pPr>
        <w:tabs>
          <w:tab w:val="right" w:pos="9360"/>
        </w:tabs>
        <w:spacing w:after="0"/>
        <w:textAlignment w:val="baseline"/>
      </w:pPr>
    </w:p>
    <w:p w:rsidR="00677013" w:rsidP="00677013" w14:paraId="61FB03B1" w14:textId="25780E1A">
      <w:r>
        <w:t xml:space="preserve">Due to </w:t>
      </w:r>
      <w:r w:rsidR="6D7D0D1B">
        <w:t xml:space="preserve">concern for nonresponse bias and data quality, PRAMS currently implements </w:t>
      </w:r>
      <w:r w:rsidR="6C470EB0">
        <w:t xml:space="preserve">a </w:t>
      </w:r>
      <w:r w:rsidR="6D7D0D1B">
        <w:t>response rate threshold</w:t>
      </w:r>
      <w:r w:rsidR="3004D1E8">
        <w:t xml:space="preserve"> for release of data through the Automated Research File (</w:t>
      </w:r>
      <w:hyperlink r:id="rId5">
        <w:r w:rsidRPr="0E3FCE43" w:rsidR="5797100F">
          <w:rPr>
            <w:rStyle w:val="Hyperlink"/>
          </w:rPr>
          <w:t>PRAMS Data | PRAMS | CDC</w:t>
        </w:r>
      </w:hyperlink>
      <w:r w:rsidR="3004D1E8">
        <w:t>)</w:t>
      </w:r>
      <w:r w:rsidR="6D7D0D1B">
        <w:t xml:space="preserve">. </w:t>
      </w:r>
      <w:r w:rsidR="111BF355">
        <w:t>Site</w:t>
      </w:r>
      <w:r w:rsidR="77015BBF">
        <w:t>-specific d</w:t>
      </w:r>
      <w:r w:rsidR="6D7D0D1B">
        <w:t xml:space="preserve">ata are released </w:t>
      </w:r>
      <w:r w:rsidR="57FDE89E">
        <w:t>through the Automated Research File</w:t>
      </w:r>
      <w:r w:rsidR="62205CDD">
        <w:t xml:space="preserve"> </w:t>
      </w:r>
      <w:r w:rsidR="6D7D0D1B">
        <w:t xml:space="preserve">and included in CDC reports if </w:t>
      </w:r>
      <w:r w:rsidR="77015BBF">
        <w:t xml:space="preserve">the </w:t>
      </w:r>
      <w:r w:rsidR="111BF355">
        <w:t xml:space="preserve">sites </w:t>
      </w:r>
      <w:r w:rsidR="6D7D0D1B">
        <w:t>reach or exceed the threshold</w:t>
      </w:r>
      <w:r w:rsidR="19F18FEC">
        <w:t>,</w:t>
      </w:r>
      <w:r w:rsidR="6D7D0D1B">
        <w:t xml:space="preserve"> which </w:t>
      </w:r>
      <w:r w:rsidR="19C70109">
        <w:t xml:space="preserve">since </w:t>
      </w:r>
      <w:r w:rsidR="612B5049">
        <w:t>20</w:t>
      </w:r>
      <w:r w:rsidR="777AC619">
        <w:t>18</w:t>
      </w:r>
      <w:r w:rsidR="19C70109">
        <w:t xml:space="preserve"> has been</w:t>
      </w:r>
      <w:r w:rsidR="3BA31ED5">
        <w:t xml:space="preserve"> set</w:t>
      </w:r>
      <w:r w:rsidR="19C70109">
        <w:t xml:space="preserve"> </w:t>
      </w:r>
      <w:r w:rsidR="6D7D0D1B">
        <w:t xml:space="preserve">at 50%. </w:t>
      </w:r>
      <w:r w:rsidR="5BACF194">
        <w:t xml:space="preserve">For </w:t>
      </w:r>
      <w:r w:rsidR="55330A5D">
        <w:t xml:space="preserve">sites </w:t>
      </w:r>
      <w:r w:rsidR="0918AE13">
        <w:t xml:space="preserve">whose response rate is </w:t>
      </w:r>
      <w:r w:rsidR="462BAE2D">
        <w:t xml:space="preserve">below the threshold, </w:t>
      </w:r>
      <w:r w:rsidR="2F813AFD">
        <w:t xml:space="preserve">data are only released to the </w:t>
      </w:r>
      <w:r w:rsidR="2F813AFD">
        <w:t xml:space="preserve">particular </w:t>
      </w:r>
      <w:r w:rsidR="55330A5D">
        <w:t>site</w:t>
      </w:r>
      <w:r w:rsidR="55330A5D">
        <w:t xml:space="preserve"> </w:t>
      </w:r>
      <w:r w:rsidR="06A7357E">
        <w:t>for their internal use or approval for other uses by request (such as non-response bias analyses)</w:t>
      </w:r>
      <w:r w:rsidR="0FC337B4">
        <w:t>.</w:t>
      </w:r>
      <w:r w:rsidR="6D7D0D1B">
        <w:t xml:space="preserve">  </w:t>
      </w:r>
    </w:p>
    <w:p w:rsidR="00594D49" w:rsidP="0EFF47C0" w14:paraId="1BBB407A" w14:textId="6CB28C7E">
      <w:pPr>
        <w:pStyle w:val="pf0"/>
        <w:rPr>
          <w:rStyle w:val="cf01"/>
          <w:rFonts w:asciiTheme="minorHAnsi" w:hAnsiTheme="minorHAnsi" w:cstheme="minorBidi"/>
          <w:sz w:val="22"/>
          <w:szCs w:val="22"/>
        </w:rPr>
      </w:pPr>
      <w:r w:rsidRPr="47A78F89">
        <w:rPr>
          <w:rStyle w:val="cf01"/>
          <w:rFonts w:asciiTheme="minorHAnsi" w:hAnsiTheme="minorHAnsi" w:cstheme="minorBidi"/>
          <w:sz w:val="22"/>
          <w:szCs w:val="22"/>
        </w:rPr>
        <w:t>U</w:t>
      </w:r>
      <w:r w:rsidRPr="47A78F89" w:rsidR="04B023C7">
        <w:rPr>
          <w:rStyle w:val="cf01"/>
          <w:rFonts w:asciiTheme="minorHAnsi" w:hAnsiTheme="minorHAnsi" w:cstheme="minorBidi"/>
          <w:sz w:val="22"/>
          <w:szCs w:val="22"/>
        </w:rPr>
        <w:t>nder this approach</w:t>
      </w:r>
      <w:r w:rsidRPr="47A78F89" w:rsidR="690E0B03">
        <w:rPr>
          <w:rStyle w:val="cf01"/>
          <w:rFonts w:asciiTheme="minorHAnsi" w:hAnsiTheme="minorHAnsi" w:cstheme="minorBidi"/>
          <w:sz w:val="22"/>
          <w:szCs w:val="22"/>
        </w:rPr>
        <w:t>, e</w:t>
      </w:r>
      <w:r w:rsidRPr="47A78F89" w:rsidR="2092B375">
        <w:rPr>
          <w:rStyle w:val="cf01"/>
          <w:rFonts w:asciiTheme="minorHAnsi" w:hAnsiTheme="minorHAnsi" w:cstheme="minorBidi"/>
          <w:sz w:val="22"/>
          <w:szCs w:val="22"/>
        </w:rPr>
        <w:t xml:space="preserve">ach year </w:t>
      </w:r>
      <w:r w:rsidRPr="47A78F89" w:rsidR="7EAC8E06">
        <w:rPr>
          <w:rStyle w:val="cf01"/>
          <w:rFonts w:asciiTheme="minorHAnsi" w:hAnsiTheme="minorHAnsi" w:cstheme="minorBidi"/>
          <w:sz w:val="22"/>
          <w:szCs w:val="22"/>
        </w:rPr>
        <w:t xml:space="preserve">PRAMS is </w:t>
      </w:r>
      <w:r w:rsidRPr="47A78F89" w:rsidR="2092B375">
        <w:rPr>
          <w:rStyle w:val="cf01"/>
          <w:rFonts w:asciiTheme="minorHAnsi" w:hAnsiTheme="minorHAnsi" w:cstheme="minorBidi"/>
          <w:sz w:val="22"/>
          <w:szCs w:val="22"/>
        </w:rPr>
        <w:t>excluding approximately</w:t>
      </w:r>
      <w:r w:rsidRPr="47A78F89" w:rsidR="29BA9094">
        <w:rPr>
          <w:rStyle w:val="cf01"/>
          <w:rFonts w:asciiTheme="minorHAnsi" w:hAnsiTheme="minorHAnsi" w:cstheme="minorBidi"/>
          <w:sz w:val="22"/>
          <w:szCs w:val="22"/>
        </w:rPr>
        <w:t xml:space="preserve"> one-fourth</w:t>
      </w:r>
      <w:r w:rsidRPr="47A78F89" w:rsidR="49F6B37C">
        <w:rPr>
          <w:rStyle w:val="cf01"/>
          <w:rFonts w:asciiTheme="minorHAnsi" w:hAnsiTheme="minorHAnsi" w:cstheme="minorBidi"/>
          <w:sz w:val="22"/>
          <w:szCs w:val="22"/>
        </w:rPr>
        <w:t xml:space="preserve"> to</w:t>
      </w:r>
      <w:r w:rsidRPr="47A78F89" w:rsidR="29BA9094">
        <w:rPr>
          <w:rStyle w:val="cf01"/>
          <w:rFonts w:asciiTheme="minorHAnsi" w:hAnsiTheme="minorHAnsi" w:cstheme="minorBidi"/>
          <w:sz w:val="22"/>
          <w:szCs w:val="22"/>
        </w:rPr>
        <w:t xml:space="preserve"> one-third of</w:t>
      </w:r>
      <w:r w:rsidRPr="47A78F89" w:rsidR="33762857">
        <w:rPr>
          <w:rStyle w:val="cf01"/>
          <w:rFonts w:asciiTheme="minorHAnsi" w:hAnsiTheme="minorHAnsi" w:cstheme="minorBidi"/>
          <w:sz w:val="22"/>
          <w:szCs w:val="22"/>
        </w:rPr>
        <w:t xml:space="preserve"> sites from </w:t>
      </w:r>
      <w:r w:rsidRPr="47A78F89" w:rsidR="321A6794">
        <w:rPr>
          <w:rStyle w:val="cf01"/>
          <w:rFonts w:asciiTheme="minorHAnsi" w:hAnsiTheme="minorHAnsi" w:cstheme="minorBidi"/>
          <w:sz w:val="22"/>
          <w:szCs w:val="22"/>
        </w:rPr>
        <w:t>data</w:t>
      </w:r>
      <w:r w:rsidRPr="47A78F89" w:rsidR="1C22A6B1">
        <w:rPr>
          <w:rStyle w:val="cf01"/>
          <w:rFonts w:asciiTheme="minorHAnsi" w:hAnsiTheme="minorHAnsi" w:cstheme="minorBidi"/>
          <w:sz w:val="22"/>
          <w:szCs w:val="22"/>
        </w:rPr>
        <w:t xml:space="preserve"> released </w:t>
      </w:r>
      <w:r w:rsidRPr="47A78F89" w:rsidR="6C6006E7">
        <w:rPr>
          <w:rStyle w:val="cf01"/>
          <w:rFonts w:asciiTheme="minorHAnsi" w:hAnsiTheme="minorHAnsi" w:cstheme="minorBidi"/>
          <w:sz w:val="22"/>
          <w:szCs w:val="22"/>
        </w:rPr>
        <w:t>to researchers</w:t>
      </w:r>
      <w:r w:rsidRPr="47A78F89" w:rsidR="321961FD">
        <w:rPr>
          <w:rStyle w:val="cf01"/>
          <w:rFonts w:asciiTheme="minorHAnsi" w:hAnsiTheme="minorHAnsi" w:cstheme="minorBidi"/>
          <w:sz w:val="22"/>
          <w:szCs w:val="22"/>
        </w:rPr>
        <w:t xml:space="preserve"> and used in CDC reports</w:t>
      </w:r>
      <w:r w:rsidRPr="47A78F89" w:rsidR="523434E0">
        <w:rPr>
          <w:rStyle w:val="cf01"/>
          <w:rFonts w:asciiTheme="minorHAnsi" w:hAnsiTheme="minorHAnsi" w:cstheme="minorBidi"/>
          <w:sz w:val="22"/>
          <w:szCs w:val="22"/>
        </w:rPr>
        <w:t>.</w:t>
      </w:r>
      <w:r w:rsidRPr="47A78F89" w:rsidR="2092B375">
        <w:rPr>
          <w:rStyle w:val="cf01"/>
          <w:rFonts w:asciiTheme="minorHAnsi" w:hAnsiTheme="minorHAnsi" w:cstheme="minorBidi"/>
          <w:sz w:val="22"/>
          <w:szCs w:val="22"/>
        </w:rPr>
        <w:t xml:space="preserve"> </w:t>
      </w:r>
      <w:r w:rsidRPr="47A78F89" w:rsidR="690E0B03">
        <w:rPr>
          <w:rStyle w:val="cf01"/>
          <w:rFonts w:asciiTheme="minorHAnsi" w:hAnsiTheme="minorHAnsi" w:cstheme="minorBidi"/>
          <w:sz w:val="22"/>
          <w:szCs w:val="22"/>
        </w:rPr>
        <w:t>T</w:t>
      </w:r>
      <w:r w:rsidRPr="47A78F89" w:rsidR="2092B375">
        <w:rPr>
          <w:rStyle w:val="cf01"/>
          <w:rFonts w:asciiTheme="minorHAnsi" w:hAnsiTheme="minorHAnsi" w:cstheme="minorBidi"/>
          <w:sz w:val="22"/>
          <w:szCs w:val="22"/>
        </w:rPr>
        <w:t>h</w:t>
      </w:r>
      <w:r w:rsidRPr="47A78F89" w:rsidR="615DF091">
        <w:rPr>
          <w:rStyle w:val="cf01"/>
          <w:rFonts w:asciiTheme="minorHAnsi" w:hAnsiTheme="minorHAnsi" w:cstheme="minorBidi"/>
          <w:sz w:val="22"/>
          <w:szCs w:val="22"/>
        </w:rPr>
        <w:t>e</w:t>
      </w:r>
      <w:r w:rsidRPr="47A78F89" w:rsidR="7BBC5D25">
        <w:rPr>
          <w:rStyle w:val="cf01"/>
          <w:rFonts w:asciiTheme="minorHAnsi" w:hAnsiTheme="minorHAnsi" w:cstheme="minorBidi"/>
          <w:sz w:val="22"/>
          <w:szCs w:val="22"/>
        </w:rPr>
        <w:t xml:space="preserve"> </w:t>
      </w:r>
      <w:r w:rsidRPr="47A78F89" w:rsidR="06812D72">
        <w:rPr>
          <w:rStyle w:val="cf01"/>
          <w:rFonts w:asciiTheme="minorHAnsi" w:hAnsiTheme="minorHAnsi" w:cstheme="minorBidi"/>
          <w:sz w:val="22"/>
          <w:szCs w:val="22"/>
        </w:rPr>
        <w:t xml:space="preserve">requirement to </w:t>
      </w:r>
      <w:r w:rsidRPr="47A78F89" w:rsidR="61F7492F">
        <w:rPr>
          <w:rStyle w:val="cf01"/>
          <w:rFonts w:asciiTheme="minorHAnsi" w:hAnsiTheme="minorHAnsi" w:cstheme="minorBidi"/>
          <w:sz w:val="22"/>
          <w:szCs w:val="22"/>
        </w:rPr>
        <w:t>achieve</w:t>
      </w:r>
      <w:r w:rsidRPr="47A78F89" w:rsidR="06812D72">
        <w:rPr>
          <w:rStyle w:val="cf01"/>
          <w:rFonts w:asciiTheme="minorHAnsi" w:hAnsiTheme="minorHAnsi" w:cstheme="minorBidi"/>
          <w:sz w:val="22"/>
          <w:szCs w:val="22"/>
        </w:rPr>
        <w:t xml:space="preserve"> a response rate threshold</w:t>
      </w:r>
      <w:r w:rsidRPr="47A78F89" w:rsidR="2092B375">
        <w:rPr>
          <w:rStyle w:val="cf01"/>
          <w:rFonts w:asciiTheme="minorHAnsi" w:hAnsiTheme="minorHAnsi" w:cstheme="minorBidi"/>
          <w:sz w:val="22"/>
          <w:szCs w:val="22"/>
        </w:rPr>
        <w:t xml:space="preserve"> makes it very difficult to </w:t>
      </w:r>
      <w:r w:rsidRPr="47A78F89" w:rsidR="59A2A733">
        <w:rPr>
          <w:rStyle w:val="cf01"/>
          <w:rFonts w:asciiTheme="minorHAnsi" w:hAnsiTheme="minorHAnsi" w:cstheme="minorBidi"/>
          <w:sz w:val="22"/>
          <w:szCs w:val="22"/>
        </w:rPr>
        <w:t xml:space="preserve">include </w:t>
      </w:r>
      <w:r w:rsidRPr="47A78F89" w:rsidR="5A126C21">
        <w:rPr>
          <w:rStyle w:val="cf01"/>
          <w:rFonts w:asciiTheme="minorHAnsi" w:hAnsiTheme="minorHAnsi" w:cstheme="minorBidi"/>
          <w:sz w:val="22"/>
          <w:szCs w:val="22"/>
        </w:rPr>
        <w:t>data for all funded sites</w:t>
      </w:r>
      <w:r w:rsidRPr="47A78F89" w:rsidR="37D8961C">
        <w:rPr>
          <w:rStyle w:val="cf01"/>
          <w:rFonts w:asciiTheme="minorHAnsi" w:hAnsiTheme="minorHAnsi" w:cstheme="minorBidi"/>
          <w:sz w:val="22"/>
          <w:szCs w:val="22"/>
        </w:rPr>
        <w:t xml:space="preserve"> in analyses</w:t>
      </w:r>
      <w:r w:rsidRPr="47A78F89" w:rsidR="5A126C21">
        <w:rPr>
          <w:rStyle w:val="cf01"/>
          <w:rFonts w:asciiTheme="minorHAnsi" w:hAnsiTheme="minorHAnsi" w:cstheme="minorBidi"/>
          <w:sz w:val="22"/>
          <w:szCs w:val="22"/>
        </w:rPr>
        <w:t xml:space="preserve"> </w:t>
      </w:r>
      <w:r w:rsidRPr="47A78F89" w:rsidR="1AC62CD6">
        <w:rPr>
          <w:rStyle w:val="cf01"/>
          <w:rFonts w:asciiTheme="minorHAnsi" w:hAnsiTheme="minorHAnsi" w:cstheme="minorBidi"/>
          <w:sz w:val="22"/>
          <w:szCs w:val="22"/>
        </w:rPr>
        <w:t>a</w:t>
      </w:r>
      <w:r w:rsidRPr="47A78F89" w:rsidR="2B7BBB2E">
        <w:rPr>
          <w:rStyle w:val="cf01"/>
          <w:rFonts w:asciiTheme="minorHAnsi" w:hAnsiTheme="minorHAnsi" w:cstheme="minorBidi"/>
          <w:sz w:val="22"/>
          <w:szCs w:val="22"/>
        </w:rPr>
        <w:t>nd to</w:t>
      </w:r>
      <w:r w:rsidRPr="47A78F89" w:rsidR="1AC62CD6">
        <w:rPr>
          <w:rStyle w:val="cf01"/>
          <w:rFonts w:asciiTheme="minorHAnsi" w:hAnsiTheme="minorHAnsi" w:cstheme="minorBidi"/>
          <w:sz w:val="22"/>
          <w:szCs w:val="22"/>
        </w:rPr>
        <w:t xml:space="preserve"> </w:t>
      </w:r>
      <w:r w:rsidRPr="47A78F89" w:rsidR="2092B375">
        <w:rPr>
          <w:rStyle w:val="cf01"/>
          <w:rFonts w:asciiTheme="minorHAnsi" w:hAnsiTheme="minorHAnsi" w:cstheme="minorBidi"/>
          <w:sz w:val="22"/>
          <w:szCs w:val="22"/>
        </w:rPr>
        <w:t xml:space="preserve">assess trends in indicators due to sites not being consistently </w:t>
      </w:r>
      <w:r w:rsidRPr="47A78F89" w:rsidR="2F89CC79">
        <w:rPr>
          <w:rStyle w:val="cf01"/>
          <w:rFonts w:asciiTheme="minorHAnsi" w:hAnsiTheme="minorHAnsi" w:cstheme="minorBidi"/>
          <w:sz w:val="22"/>
          <w:szCs w:val="22"/>
        </w:rPr>
        <w:t>i</w:t>
      </w:r>
      <w:r w:rsidRPr="47A78F89" w:rsidR="2092B375">
        <w:rPr>
          <w:rStyle w:val="cf01"/>
          <w:rFonts w:asciiTheme="minorHAnsi" w:hAnsiTheme="minorHAnsi" w:cstheme="minorBidi"/>
          <w:sz w:val="22"/>
          <w:szCs w:val="22"/>
        </w:rPr>
        <w:t xml:space="preserve">ncluded in </w:t>
      </w:r>
      <w:r w:rsidRPr="47A78F89" w:rsidR="0A9C9B44">
        <w:rPr>
          <w:rStyle w:val="cf01"/>
          <w:rFonts w:asciiTheme="minorHAnsi" w:hAnsiTheme="minorHAnsi" w:cstheme="minorBidi"/>
          <w:sz w:val="22"/>
          <w:szCs w:val="22"/>
        </w:rPr>
        <w:t xml:space="preserve">the </w:t>
      </w:r>
      <w:r w:rsidRPr="47A78F89" w:rsidR="2092B375">
        <w:rPr>
          <w:rStyle w:val="cf01"/>
          <w:rFonts w:asciiTheme="minorHAnsi" w:hAnsiTheme="minorHAnsi" w:cstheme="minorBidi"/>
          <w:sz w:val="22"/>
          <w:szCs w:val="22"/>
        </w:rPr>
        <w:t>annual data release</w:t>
      </w:r>
      <w:r w:rsidRPr="47A78F89" w:rsidR="690E0B03">
        <w:rPr>
          <w:rStyle w:val="cf01"/>
          <w:rFonts w:asciiTheme="minorHAnsi" w:hAnsiTheme="minorHAnsi" w:cstheme="minorBidi"/>
          <w:sz w:val="22"/>
          <w:szCs w:val="22"/>
        </w:rPr>
        <w:t>.</w:t>
      </w:r>
      <w:r w:rsidRPr="47A78F89" w:rsidR="3840BC71">
        <w:rPr>
          <w:rStyle w:val="cf01"/>
          <w:rFonts w:asciiTheme="minorHAnsi" w:hAnsiTheme="minorHAnsi" w:cstheme="minorBidi"/>
          <w:sz w:val="22"/>
          <w:szCs w:val="22"/>
        </w:rPr>
        <w:t xml:space="preserve">  Our </w:t>
      </w:r>
      <w:r w:rsidRPr="47A78F89" w:rsidR="3563878D">
        <w:rPr>
          <w:rStyle w:val="cf01"/>
          <w:rFonts w:asciiTheme="minorHAnsi" w:hAnsiTheme="minorHAnsi" w:cstheme="minorBidi"/>
          <w:sz w:val="22"/>
          <w:szCs w:val="22"/>
        </w:rPr>
        <w:t xml:space="preserve">partners </w:t>
      </w:r>
      <w:r w:rsidRPr="47A78F89" w:rsidR="2F62E487">
        <w:rPr>
          <w:rStyle w:val="cf01"/>
          <w:rFonts w:asciiTheme="minorHAnsi" w:hAnsiTheme="minorHAnsi" w:cstheme="minorBidi"/>
          <w:sz w:val="22"/>
          <w:szCs w:val="22"/>
        </w:rPr>
        <w:t xml:space="preserve">have repeatedly requested that we </w:t>
      </w:r>
      <w:r w:rsidRPr="47A78F89" w:rsidR="1672DA14">
        <w:rPr>
          <w:rStyle w:val="cf01"/>
          <w:rFonts w:asciiTheme="minorHAnsi" w:hAnsiTheme="minorHAnsi" w:cstheme="minorBidi"/>
          <w:sz w:val="22"/>
          <w:szCs w:val="22"/>
        </w:rPr>
        <w:t xml:space="preserve">remove </w:t>
      </w:r>
      <w:r w:rsidRPr="47A78F89" w:rsidR="2F62E487">
        <w:rPr>
          <w:rStyle w:val="cf01"/>
          <w:rFonts w:asciiTheme="minorHAnsi" w:hAnsiTheme="minorHAnsi" w:cstheme="minorBidi"/>
          <w:sz w:val="22"/>
          <w:szCs w:val="22"/>
        </w:rPr>
        <w:t xml:space="preserve">this </w:t>
      </w:r>
      <w:r w:rsidRPr="47A78F89" w:rsidR="414F29D5">
        <w:rPr>
          <w:rStyle w:val="cf01"/>
          <w:rFonts w:asciiTheme="minorHAnsi" w:hAnsiTheme="minorHAnsi" w:cstheme="minorBidi"/>
          <w:sz w:val="22"/>
          <w:szCs w:val="22"/>
        </w:rPr>
        <w:t>requirement</w:t>
      </w:r>
      <w:r w:rsidRPr="47A78F89" w:rsidR="42AB1188">
        <w:rPr>
          <w:rStyle w:val="cf01"/>
          <w:rFonts w:asciiTheme="minorHAnsi" w:hAnsiTheme="minorHAnsi" w:cstheme="minorBidi"/>
          <w:sz w:val="22"/>
          <w:szCs w:val="22"/>
        </w:rPr>
        <w:t xml:space="preserve"> as it limits their ability to conduct</w:t>
      </w:r>
      <w:r w:rsidRPr="47A78F89" w:rsidR="3563878D">
        <w:rPr>
          <w:rStyle w:val="cf01"/>
          <w:rFonts w:asciiTheme="minorHAnsi" w:hAnsiTheme="minorHAnsi" w:cstheme="minorBidi"/>
          <w:sz w:val="22"/>
          <w:szCs w:val="22"/>
        </w:rPr>
        <w:t xml:space="preserve"> maternal and child health </w:t>
      </w:r>
      <w:r w:rsidRPr="47A78F89" w:rsidR="5FE5F429">
        <w:rPr>
          <w:rStyle w:val="cf01"/>
          <w:rFonts w:asciiTheme="minorHAnsi" w:hAnsiTheme="minorHAnsi" w:cstheme="minorBidi"/>
          <w:sz w:val="22"/>
          <w:szCs w:val="22"/>
        </w:rPr>
        <w:t xml:space="preserve">(MCH) </w:t>
      </w:r>
      <w:r w:rsidRPr="47A78F89" w:rsidR="6EA6B685">
        <w:rPr>
          <w:rStyle w:val="cf01"/>
          <w:rFonts w:asciiTheme="minorHAnsi" w:hAnsiTheme="minorHAnsi" w:cstheme="minorBidi"/>
          <w:sz w:val="22"/>
          <w:szCs w:val="22"/>
        </w:rPr>
        <w:t>research and evaluation</w:t>
      </w:r>
      <w:r w:rsidRPr="47A78F89" w:rsidR="7596B7CA">
        <w:rPr>
          <w:rStyle w:val="cf01"/>
          <w:rFonts w:asciiTheme="minorHAnsi" w:hAnsiTheme="minorHAnsi" w:cstheme="minorBidi"/>
          <w:sz w:val="22"/>
          <w:szCs w:val="22"/>
        </w:rPr>
        <w:t>, especially</w:t>
      </w:r>
      <w:r w:rsidRPr="47A78F89" w:rsidR="6EA6B685">
        <w:rPr>
          <w:rStyle w:val="cf01"/>
          <w:rFonts w:asciiTheme="minorHAnsi" w:hAnsiTheme="minorHAnsi" w:cstheme="minorBidi"/>
          <w:sz w:val="22"/>
          <w:szCs w:val="22"/>
        </w:rPr>
        <w:t xml:space="preserve"> when PRAMS is the only source of </w:t>
      </w:r>
      <w:r w:rsidRPr="47A78F89" w:rsidR="4DECBE05">
        <w:rPr>
          <w:rStyle w:val="cf01"/>
          <w:rFonts w:asciiTheme="minorHAnsi" w:hAnsiTheme="minorHAnsi" w:cstheme="minorBidi"/>
          <w:sz w:val="22"/>
          <w:szCs w:val="22"/>
        </w:rPr>
        <w:t xml:space="preserve">data for </w:t>
      </w:r>
      <w:r w:rsidRPr="47A78F89" w:rsidR="5FE5F429">
        <w:rPr>
          <w:rStyle w:val="cf01"/>
          <w:rFonts w:asciiTheme="minorHAnsi" w:hAnsiTheme="minorHAnsi" w:cstheme="minorBidi"/>
          <w:sz w:val="22"/>
          <w:szCs w:val="22"/>
        </w:rPr>
        <w:t>key MCH</w:t>
      </w:r>
      <w:r w:rsidRPr="47A78F89" w:rsidR="6EA6B685">
        <w:rPr>
          <w:rStyle w:val="cf01"/>
          <w:rFonts w:asciiTheme="minorHAnsi" w:hAnsiTheme="minorHAnsi" w:cstheme="minorBidi"/>
          <w:sz w:val="22"/>
          <w:szCs w:val="22"/>
        </w:rPr>
        <w:t xml:space="preserve"> indicators.</w:t>
      </w:r>
      <w:r w:rsidRPr="47A78F89" w:rsidR="73130033">
        <w:rPr>
          <w:rStyle w:val="cf01"/>
          <w:rFonts w:asciiTheme="minorHAnsi" w:hAnsiTheme="minorHAnsi" w:cstheme="minorBidi"/>
          <w:sz w:val="22"/>
          <w:szCs w:val="22"/>
        </w:rPr>
        <w:t xml:space="preserve"> </w:t>
      </w:r>
      <w:r w:rsidRPr="47A78F89" w:rsidR="75227426">
        <w:rPr>
          <w:rStyle w:val="cf01"/>
          <w:rFonts w:asciiTheme="minorHAnsi" w:hAnsiTheme="minorHAnsi" w:cstheme="minorBidi"/>
          <w:sz w:val="22"/>
          <w:szCs w:val="22"/>
        </w:rPr>
        <w:t>Fin</w:t>
      </w:r>
      <w:r w:rsidRPr="47A78F89" w:rsidR="2092B375">
        <w:rPr>
          <w:rStyle w:val="cf01"/>
          <w:rFonts w:asciiTheme="minorHAnsi" w:hAnsiTheme="minorHAnsi" w:cstheme="minorBidi"/>
          <w:sz w:val="22"/>
          <w:szCs w:val="22"/>
        </w:rPr>
        <w:t xml:space="preserve">ally, the threshold </w:t>
      </w:r>
      <w:r w:rsidRPr="47A78F89" w:rsidR="34F11AAD">
        <w:rPr>
          <w:rStyle w:val="cf01"/>
          <w:rFonts w:asciiTheme="minorHAnsi" w:hAnsiTheme="minorHAnsi" w:cstheme="minorBidi"/>
          <w:sz w:val="22"/>
          <w:szCs w:val="22"/>
        </w:rPr>
        <w:t xml:space="preserve">for data release </w:t>
      </w:r>
      <w:r w:rsidRPr="47A78F89" w:rsidR="2092B375">
        <w:rPr>
          <w:rStyle w:val="cf01"/>
          <w:rFonts w:asciiTheme="minorHAnsi" w:hAnsiTheme="minorHAnsi" w:cstheme="minorBidi"/>
          <w:sz w:val="22"/>
          <w:szCs w:val="22"/>
        </w:rPr>
        <w:t>has been lowered 4 times since 200</w:t>
      </w:r>
      <w:r w:rsidRPr="47A78F89" w:rsidR="0DB86E0E">
        <w:rPr>
          <w:rStyle w:val="cf01"/>
          <w:rFonts w:asciiTheme="minorHAnsi" w:hAnsiTheme="minorHAnsi" w:cstheme="minorBidi"/>
          <w:sz w:val="22"/>
          <w:szCs w:val="22"/>
        </w:rPr>
        <w:t>7</w:t>
      </w:r>
      <w:r w:rsidRPr="47A78F89" w:rsidR="2092B375">
        <w:rPr>
          <w:rStyle w:val="cf01"/>
          <w:rFonts w:asciiTheme="minorHAnsi" w:hAnsiTheme="minorHAnsi" w:cstheme="minorBidi"/>
          <w:sz w:val="22"/>
          <w:szCs w:val="22"/>
        </w:rPr>
        <w:t xml:space="preserve"> from 70% to the current 50%</w:t>
      </w:r>
      <w:r w:rsidRPr="47A78F89" w:rsidR="1EEB341D">
        <w:rPr>
          <w:rStyle w:val="cf01"/>
          <w:rFonts w:asciiTheme="minorHAnsi" w:hAnsiTheme="minorHAnsi" w:cstheme="minorBidi"/>
          <w:sz w:val="22"/>
          <w:szCs w:val="22"/>
        </w:rPr>
        <w:t>,</w:t>
      </w:r>
      <w:r w:rsidRPr="47A78F89" w:rsidR="2092B375">
        <w:rPr>
          <w:rStyle w:val="cf01"/>
          <w:rFonts w:asciiTheme="minorHAnsi" w:hAnsiTheme="minorHAnsi" w:cstheme="minorBidi"/>
          <w:sz w:val="22"/>
          <w:szCs w:val="22"/>
        </w:rPr>
        <w:t xml:space="preserve"> and this is not sustainable given the current </w:t>
      </w:r>
      <w:r w:rsidRPr="47A78F89" w:rsidR="5FE5F429">
        <w:rPr>
          <w:rStyle w:val="cf01"/>
          <w:rFonts w:asciiTheme="minorHAnsi" w:hAnsiTheme="minorHAnsi" w:cstheme="minorBidi"/>
          <w:sz w:val="22"/>
          <w:szCs w:val="22"/>
        </w:rPr>
        <w:t>survey environment</w:t>
      </w:r>
      <w:r w:rsidRPr="47A78F89" w:rsidR="030193CC">
        <w:rPr>
          <w:rStyle w:val="cf01"/>
          <w:rFonts w:asciiTheme="minorHAnsi" w:hAnsiTheme="minorHAnsi" w:cstheme="minorBidi"/>
          <w:sz w:val="22"/>
          <w:szCs w:val="22"/>
        </w:rPr>
        <w:t xml:space="preserve"> and continued </w:t>
      </w:r>
      <w:r w:rsidRPr="47A78F89" w:rsidR="17041A46">
        <w:rPr>
          <w:rStyle w:val="cf01"/>
          <w:rFonts w:asciiTheme="minorHAnsi" w:hAnsiTheme="minorHAnsi" w:cstheme="minorBidi"/>
          <w:sz w:val="22"/>
          <w:szCs w:val="22"/>
        </w:rPr>
        <w:t>declines in response rates experienced across federal surveys</w:t>
      </w:r>
      <w:r w:rsidRPr="47A78F89" w:rsidR="5FE5F429">
        <w:rPr>
          <w:rStyle w:val="cf01"/>
          <w:rFonts w:asciiTheme="minorHAnsi" w:hAnsiTheme="minorHAnsi" w:cstheme="minorBidi"/>
          <w:sz w:val="22"/>
          <w:szCs w:val="22"/>
        </w:rPr>
        <w:t xml:space="preserve">. </w:t>
      </w:r>
    </w:p>
    <w:p w:rsidR="007A262B" w:rsidP="47A78F89" w14:paraId="642B4DD2" w14:textId="1C6EEA20">
      <w:pPr>
        <w:pStyle w:val="paragraph"/>
        <w:spacing w:before="0" w:beforeAutospacing="0" w:after="0" w:afterAutospacing="0"/>
        <w:textAlignment w:val="baseline"/>
      </w:pPr>
      <w:r w:rsidRPr="47A78F89">
        <w:rPr>
          <w:rStyle w:val="cf01"/>
          <w:rFonts w:asciiTheme="minorHAnsi" w:hAnsiTheme="minorHAnsi" w:cstheme="minorBidi"/>
          <w:sz w:val="22"/>
          <w:szCs w:val="22"/>
        </w:rPr>
        <w:t xml:space="preserve">PRAMS </w:t>
      </w:r>
      <w:r w:rsidRPr="47A78F89" w:rsidR="4C545BFF">
        <w:rPr>
          <w:rStyle w:val="cf01"/>
          <w:rFonts w:asciiTheme="minorHAnsi" w:hAnsiTheme="minorHAnsi" w:cstheme="minorBidi"/>
          <w:sz w:val="22"/>
          <w:szCs w:val="22"/>
        </w:rPr>
        <w:t>conducted comprehensive nonresponse bias analyses</w:t>
      </w:r>
      <w:r w:rsidR="1AF455A0">
        <w:t xml:space="preserve"> </w:t>
      </w:r>
      <w:r w:rsidRPr="47A78F89" w:rsidR="4C545BFF">
        <w:rPr>
          <w:rStyle w:val="cf01"/>
          <w:rFonts w:asciiTheme="minorHAnsi" w:hAnsiTheme="minorHAnsi" w:cstheme="minorBidi"/>
          <w:sz w:val="22"/>
          <w:szCs w:val="22"/>
        </w:rPr>
        <w:t>examining</w:t>
      </w:r>
      <w:r w:rsidRPr="47A78F89" w:rsidR="00B54497">
        <w:rPr>
          <w:rStyle w:val="cf01"/>
          <w:rFonts w:asciiTheme="minorHAnsi" w:hAnsiTheme="minorHAnsi" w:cstheme="minorBidi"/>
          <w:sz w:val="22"/>
          <w:szCs w:val="22"/>
        </w:rPr>
        <w:t xml:space="preserve"> three</w:t>
      </w:r>
      <w:r w:rsidRPr="47A78F89" w:rsidR="4C545BFF">
        <w:rPr>
          <w:rStyle w:val="cf01"/>
          <w:rFonts w:asciiTheme="minorHAnsi" w:hAnsiTheme="minorHAnsi" w:cstheme="minorBidi"/>
          <w:sz w:val="22"/>
          <w:szCs w:val="22"/>
        </w:rPr>
        <w:t xml:space="preserve"> years of data</w:t>
      </w:r>
      <w:r w:rsidRPr="47A78F89" w:rsidR="6667F6FE">
        <w:rPr>
          <w:rStyle w:val="cf01"/>
          <w:rFonts w:asciiTheme="minorHAnsi" w:hAnsiTheme="minorHAnsi" w:cstheme="minorBidi"/>
          <w:sz w:val="22"/>
          <w:szCs w:val="22"/>
        </w:rPr>
        <w:t xml:space="preserve"> </w:t>
      </w:r>
      <w:r w:rsidRPr="47A78F89" w:rsidR="562C53E5">
        <w:rPr>
          <w:rStyle w:val="cf01"/>
          <w:rFonts w:asciiTheme="minorHAnsi" w:hAnsiTheme="minorHAnsi" w:cstheme="minorBidi"/>
          <w:sz w:val="22"/>
          <w:szCs w:val="22"/>
        </w:rPr>
        <w:t>to</w:t>
      </w:r>
      <w:r w:rsidRPr="47A78F89" w:rsidR="226C6402">
        <w:rPr>
          <w:rStyle w:val="cf01"/>
          <w:rFonts w:asciiTheme="minorHAnsi" w:hAnsiTheme="minorHAnsi" w:cstheme="minorBidi"/>
          <w:sz w:val="22"/>
          <w:szCs w:val="22"/>
        </w:rPr>
        <w:t xml:space="preserve"> quantify the levels of bias observed in PRAMS indicators and </w:t>
      </w:r>
      <w:r w:rsidRPr="47A78F89" w:rsidR="5614E3BD">
        <w:rPr>
          <w:rStyle w:val="cf01"/>
          <w:rFonts w:asciiTheme="minorHAnsi" w:hAnsiTheme="minorHAnsi" w:cstheme="minorBidi"/>
          <w:sz w:val="22"/>
          <w:szCs w:val="22"/>
        </w:rPr>
        <w:t xml:space="preserve">examine the impact of response rates on nonresponse bias.  </w:t>
      </w:r>
      <w:r w:rsidRPr="47A78F89" w:rsidR="3933F74A">
        <w:rPr>
          <w:rStyle w:val="cf01"/>
          <w:rFonts w:asciiTheme="minorHAnsi" w:hAnsiTheme="minorHAnsi" w:cstheme="minorBidi"/>
          <w:sz w:val="22"/>
          <w:szCs w:val="22"/>
        </w:rPr>
        <w:t>R</w:t>
      </w:r>
      <w:r w:rsidRPr="47A78F89" w:rsidR="5614E3BD">
        <w:rPr>
          <w:rStyle w:val="cf01"/>
          <w:rFonts w:asciiTheme="minorHAnsi" w:hAnsiTheme="minorHAnsi" w:cstheme="minorBidi"/>
          <w:sz w:val="22"/>
          <w:szCs w:val="22"/>
        </w:rPr>
        <w:t xml:space="preserve">esults indicate that </w:t>
      </w:r>
      <w:r w:rsidRPr="47A78F89" w:rsidR="1499091E">
        <w:rPr>
          <w:rFonts w:asciiTheme="minorHAnsi" w:hAnsiTheme="minorHAnsi" w:cstheme="minorBidi"/>
        </w:rPr>
        <w:t xml:space="preserve">the PRAMS response rate threshold did </w:t>
      </w:r>
      <w:r w:rsidRPr="47A78F89" w:rsidR="6F8E2DF1">
        <w:rPr>
          <w:rFonts w:asciiTheme="minorHAnsi" w:hAnsiTheme="minorHAnsi" w:cstheme="minorBidi"/>
        </w:rPr>
        <w:t>not</w:t>
      </w:r>
      <w:r w:rsidRPr="47A78F89" w:rsidR="1499091E">
        <w:rPr>
          <w:rFonts w:asciiTheme="minorHAnsi" w:hAnsiTheme="minorHAnsi" w:cstheme="minorBidi"/>
        </w:rPr>
        <w:t xml:space="preserve"> </w:t>
      </w:r>
      <w:r w:rsidRPr="47A78F89" w:rsidR="330149D0">
        <w:rPr>
          <w:rFonts w:asciiTheme="minorHAnsi" w:hAnsiTheme="minorHAnsi" w:cstheme="minorBidi"/>
        </w:rPr>
        <w:t xml:space="preserve">meaningfully </w:t>
      </w:r>
      <w:r w:rsidRPr="47A78F89" w:rsidR="1499091E">
        <w:rPr>
          <w:rFonts w:asciiTheme="minorHAnsi" w:hAnsiTheme="minorHAnsi" w:cstheme="minorBidi"/>
        </w:rPr>
        <w:t>distinguish sites with higher versus lower levels of mean absolute bias. Th</w:t>
      </w:r>
      <w:r w:rsidRPr="47A78F89" w:rsidR="59A8C37B">
        <w:rPr>
          <w:rFonts w:asciiTheme="minorHAnsi" w:hAnsiTheme="minorHAnsi" w:cstheme="minorBidi"/>
        </w:rPr>
        <w:t>ese</w:t>
      </w:r>
      <w:r w:rsidRPr="47A78F89" w:rsidR="1499091E">
        <w:rPr>
          <w:rFonts w:asciiTheme="minorHAnsi" w:hAnsiTheme="minorHAnsi" w:cstheme="minorBidi"/>
        </w:rPr>
        <w:t xml:space="preserve"> result</w:t>
      </w:r>
      <w:r w:rsidRPr="47A78F89" w:rsidR="45A9BF97">
        <w:rPr>
          <w:rFonts w:asciiTheme="minorHAnsi" w:hAnsiTheme="minorHAnsi" w:cstheme="minorBidi"/>
        </w:rPr>
        <w:t>s</w:t>
      </w:r>
      <w:r w:rsidRPr="47A78F89" w:rsidR="2091F090">
        <w:rPr>
          <w:rFonts w:asciiTheme="minorHAnsi" w:hAnsiTheme="minorHAnsi" w:cstheme="minorBidi"/>
        </w:rPr>
        <w:t>,</w:t>
      </w:r>
      <w:r w:rsidRPr="47A78F89" w:rsidR="1499091E">
        <w:rPr>
          <w:rFonts w:asciiTheme="minorHAnsi" w:hAnsiTheme="minorHAnsi" w:cstheme="minorBidi"/>
        </w:rPr>
        <w:t xml:space="preserve"> combined with the </w:t>
      </w:r>
      <w:r w:rsidRPr="47A78F89" w:rsidR="36BAA70F">
        <w:rPr>
          <w:rFonts w:asciiTheme="minorHAnsi" w:hAnsiTheme="minorHAnsi" w:cstheme="minorBidi"/>
        </w:rPr>
        <w:t xml:space="preserve">consistently </w:t>
      </w:r>
      <w:r w:rsidRPr="47A78F89" w:rsidR="1499091E">
        <w:rPr>
          <w:rFonts w:asciiTheme="minorHAnsi" w:hAnsiTheme="minorHAnsi" w:cstheme="minorBidi"/>
        </w:rPr>
        <w:t xml:space="preserve">low levels of bias measured in PRAMS </w:t>
      </w:r>
      <w:r w:rsidRPr="47A78F89" w:rsidR="3A8548FE">
        <w:rPr>
          <w:rFonts w:asciiTheme="minorHAnsi" w:hAnsiTheme="minorHAnsi" w:cstheme="minorBidi"/>
        </w:rPr>
        <w:t xml:space="preserve">data </w:t>
      </w:r>
      <w:r w:rsidRPr="47A78F89" w:rsidR="6C56BD7E">
        <w:rPr>
          <w:rFonts w:asciiTheme="minorHAnsi" w:hAnsiTheme="minorHAnsi" w:cstheme="minorBidi"/>
        </w:rPr>
        <w:t>for most</w:t>
      </w:r>
      <w:r w:rsidRPr="47A78F89" w:rsidR="452CD018">
        <w:rPr>
          <w:rFonts w:asciiTheme="minorHAnsi" w:hAnsiTheme="minorHAnsi" w:cstheme="minorBidi"/>
        </w:rPr>
        <w:t xml:space="preserve"> measured</w:t>
      </w:r>
      <w:r w:rsidRPr="47A78F89" w:rsidR="6C56BD7E">
        <w:rPr>
          <w:rFonts w:asciiTheme="minorHAnsi" w:hAnsiTheme="minorHAnsi" w:cstheme="minorBidi"/>
        </w:rPr>
        <w:t xml:space="preserve"> indicators</w:t>
      </w:r>
      <w:r w:rsidRPr="47A78F89" w:rsidR="75EB1803">
        <w:rPr>
          <w:rFonts w:asciiTheme="minorHAnsi" w:hAnsiTheme="minorHAnsi" w:cstheme="minorBidi"/>
        </w:rPr>
        <w:t>,</w:t>
      </w:r>
      <w:r w:rsidRPr="47A78F89" w:rsidR="3A8548FE">
        <w:rPr>
          <w:rFonts w:asciiTheme="minorHAnsi" w:hAnsiTheme="minorHAnsi" w:cstheme="minorBidi"/>
        </w:rPr>
        <w:t xml:space="preserve"> </w:t>
      </w:r>
      <w:r w:rsidRPr="47A78F89" w:rsidR="1499091E">
        <w:rPr>
          <w:rFonts w:asciiTheme="minorHAnsi" w:hAnsiTheme="minorHAnsi" w:cstheme="minorBidi"/>
        </w:rPr>
        <w:t xml:space="preserve">provide strong evidence for </w:t>
      </w:r>
      <w:r w:rsidRPr="47A78F89" w:rsidR="02A12605">
        <w:rPr>
          <w:rFonts w:asciiTheme="minorHAnsi" w:hAnsiTheme="minorHAnsi" w:cstheme="minorBidi"/>
        </w:rPr>
        <w:t xml:space="preserve">removing </w:t>
      </w:r>
      <w:r w:rsidRPr="47A78F89" w:rsidR="1499091E">
        <w:rPr>
          <w:rFonts w:asciiTheme="minorHAnsi" w:hAnsiTheme="minorHAnsi" w:cstheme="minorBidi"/>
        </w:rPr>
        <w:t xml:space="preserve">the </w:t>
      </w:r>
      <w:r w:rsidRPr="47A78F89" w:rsidR="5DE1204C">
        <w:rPr>
          <w:rFonts w:asciiTheme="minorHAnsi" w:hAnsiTheme="minorHAnsi" w:cstheme="minorBidi"/>
        </w:rPr>
        <w:t xml:space="preserve">PRAMS </w:t>
      </w:r>
      <w:r w:rsidRPr="47A78F89" w:rsidR="1499091E">
        <w:rPr>
          <w:rFonts w:asciiTheme="minorHAnsi" w:hAnsiTheme="minorHAnsi" w:cstheme="minorBidi"/>
        </w:rPr>
        <w:t xml:space="preserve">response rate threshold </w:t>
      </w:r>
      <w:r w:rsidRPr="47A78F89" w:rsidR="47447D27">
        <w:rPr>
          <w:rFonts w:asciiTheme="minorHAnsi" w:hAnsiTheme="minorHAnsi" w:cstheme="minorBidi"/>
        </w:rPr>
        <w:t>requirement</w:t>
      </w:r>
      <w:r w:rsidRPr="47A78F89" w:rsidR="348E08E4">
        <w:rPr>
          <w:rFonts w:asciiTheme="minorHAnsi" w:hAnsiTheme="minorHAnsi" w:cstheme="minorBidi"/>
        </w:rPr>
        <w:t>.</w:t>
      </w:r>
      <w:r w:rsidRPr="47A78F89" w:rsidR="1ABC197A">
        <w:rPr>
          <w:rFonts w:asciiTheme="minorHAnsi" w:hAnsiTheme="minorHAnsi" w:cstheme="minorBidi"/>
        </w:rPr>
        <w:t xml:space="preserve"> </w:t>
      </w:r>
      <w:r w:rsidRPr="47A78F89" w:rsidR="461D42AC">
        <w:rPr>
          <w:rFonts w:asciiTheme="minorHAnsi" w:hAnsiTheme="minorHAnsi" w:cstheme="minorBidi"/>
        </w:rPr>
        <w:t xml:space="preserve">Data for the 2023 calendar year of births (first year of Phase 9) will be released without a response rate threshold. </w:t>
      </w:r>
      <w:r w:rsidRPr="47A78F89" w:rsidR="65BDEF53">
        <w:rPr>
          <w:rFonts w:asciiTheme="minorHAnsi" w:hAnsiTheme="minorHAnsi" w:cstheme="minorBidi"/>
        </w:rPr>
        <w:t>For p</w:t>
      </w:r>
      <w:r w:rsidRPr="47A78F89" w:rsidR="461D42AC">
        <w:rPr>
          <w:rFonts w:asciiTheme="minorHAnsi" w:hAnsiTheme="minorHAnsi" w:cstheme="minorBidi"/>
        </w:rPr>
        <w:t>revious calendar years of births (</w:t>
      </w:r>
      <w:r w:rsidRPr="47A78F89" w:rsidR="65181413">
        <w:rPr>
          <w:rFonts w:asciiTheme="minorHAnsi" w:hAnsiTheme="minorHAnsi" w:cstheme="minorBidi"/>
        </w:rPr>
        <w:t>P</w:t>
      </w:r>
      <w:r w:rsidRPr="47A78F89" w:rsidR="461D42AC">
        <w:rPr>
          <w:rFonts w:asciiTheme="minorHAnsi" w:hAnsiTheme="minorHAnsi" w:cstheme="minorBidi"/>
        </w:rPr>
        <w:t xml:space="preserve">hase </w:t>
      </w:r>
      <w:r w:rsidRPr="47A78F89" w:rsidR="3C0F05D8">
        <w:rPr>
          <w:rFonts w:asciiTheme="minorHAnsi" w:hAnsiTheme="minorHAnsi" w:cstheme="minorBidi"/>
        </w:rPr>
        <w:t>8 year</w:t>
      </w:r>
      <w:r w:rsidRPr="47A78F89" w:rsidR="56150699">
        <w:rPr>
          <w:rFonts w:asciiTheme="minorHAnsi" w:hAnsiTheme="minorHAnsi" w:cstheme="minorBidi"/>
        </w:rPr>
        <w:t>s</w:t>
      </w:r>
      <w:r w:rsidRPr="47A78F89" w:rsidR="3C0F05D8">
        <w:rPr>
          <w:rFonts w:asciiTheme="minorHAnsi" w:hAnsiTheme="minorHAnsi" w:cstheme="minorBidi"/>
        </w:rPr>
        <w:t xml:space="preserve"> 2016 to 2022</w:t>
      </w:r>
      <w:r w:rsidRPr="47A78F89" w:rsidR="461D42AC">
        <w:rPr>
          <w:rFonts w:asciiTheme="minorHAnsi" w:hAnsiTheme="minorHAnsi" w:cstheme="minorBidi"/>
        </w:rPr>
        <w:t>)</w:t>
      </w:r>
      <w:r w:rsidRPr="47A78F89" w:rsidR="3430833C">
        <w:rPr>
          <w:rFonts w:asciiTheme="minorHAnsi" w:hAnsiTheme="minorHAnsi" w:cstheme="minorBidi"/>
        </w:rPr>
        <w:t>,</w:t>
      </w:r>
      <w:r w:rsidRPr="47A78F89" w:rsidR="461D42AC">
        <w:rPr>
          <w:rFonts w:asciiTheme="minorHAnsi" w:hAnsiTheme="minorHAnsi" w:cstheme="minorBidi"/>
        </w:rPr>
        <w:t xml:space="preserve"> </w:t>
      </w:r>
      <w:r w:rsidRPr="47A78F89" w:rsidR="65BDEF53">
        <w:rPr>
          <w:rFonts w:asciiTheme="minorHAnsi" w:hAnsiTheme="minorHAnsi" w:cstheme="minorBidi"/>
        </w:rPr>
        <w:t xml:space="preserve">data </w:t>
      </w:r>
      <w:r w:rsidRPr="47A78F89" w:rsidR="528D5810">
        <w:rPr>
          <w:rFonts w:asciiTheme="minorHAnsi" w:hAnsiTheme="minorHAnsi" w:cstheme="minorBidi"/>
        </w:rPr>
        <w:t xml:space="preserve">for sites </w:t>
      </w:r>
      <w:r w:rsidRPr="47A78F89" w:rsidR="4CBE65D0">
        <w:rPr>
          <w:rFonts w:asciiTheme="minorHAnsi" w:hAnsiTheme="minorHAnsi" w:cstheme="minorBidi"/>
        </w:rPr>
        <w:t xml:space="preserve">that had not been released </w:t>
      </w:r>
      <w:r w:rsidRPr="47A78F89" w:rsidR="461D42AC">
        <w:rPr>
          <w:rFonts w:asciiTheme="minorHAnsi" w:hAnsiTheme="minorHAnsi" w:cstheme="minorBidi"/>
        </w:rPr>
        <w:t xml:space="preserve">will be </w:t>
      </w:r>
      <w:r w:rsidRPr="47A78F89" w:rsidR="067AA394">
        <w:rPr>
          <w:rFonts w:asciiTheme="minorHAnsi" w:hAnsiTheme="minorHAnsi" w:cstheme="minorBidi"/>
        </w:rPr>
        <w:t>uploaded to the Automated Research File for use by researchers</w:t>
      </w:r>
      <w:r w:rsidRPr="47A78F89" w:rsidR="1812220F">
        <w:rPr>
          <w:rFonts w:asciiTheme="minorHAnsi" w:hAnsiTheme="minorHAnsi" w:cstheme="minorBidi"/>
        </w:rPr>
        <w:t>.</w:t>
      </w:r>
      <w:r w:rsidRPr="47A78F89" w:rsidR="0A99C0E2">
        <w:rPr>
          <w:rFonts w:asciiTheme="minorHAnsi" w:hAnsiTheme="minorHAnsi" w:cstheme="minorBidi"/>
        </w:rPr>
        <w:t xml:space="preserve"> </w:t>
      </w:r>
    </w:p>
    <w:p w:rsidR="00677013" w:rsidP="2DF04DC2" w14:paraId="73E8522D" w14:textId="1CE39A20">
      <w:pPr>
        <w:pStyle w:val="pf0"/>
        <w:rPr>
          <w:rFonts w:asciiTheme="minorHAnsi" w:hAnsiTheme="minorHAnsi" w:cstheme="minorBidi"/>
          <w:sz w:val="22"/>
          <w:szCs w:val="22"/>
        </w:rPr>
      </w:pPr>
    </w:p>
    <w:p w:rsidR="006C4D98" w:rsidP="00677013" w14:paraId="27A31A12" w14:textId="77777777">
      <w:pPr>
        <w:rPr>
          <w:b/>
          <w:bCs/>
        </w:rPr>
      </w:pPr>
    </w:p>
    <w:p w:rsidR="0E3FCE43" w:rsidP="0E3FCE43" w14:paraId="7AF51CA3" w14:textId="10136C89">
      <w:pPr>
        <w:rPr>
          <w:b/>
          <w:bCs/>
        </w:rPr>
      </w:pPr>
    </w:p>
    <w:p w:rsidR="006329D5" w:rsidP="00677013" w14:paraId="4A25FF7A" w14:textId="7293B567">
      <w:pPr>
        <w:rPr>
          <w:b/>
          <w:bCs/>
        </w:rPr>
      </w:pPr>
      <w:r>
        <w:rPr>
          <w:b/>
          <w:bCs/>
        </w:rPr>
        <w:t>Response Rates</w:t>
      </w:r>
    </w:p>
    <w:p w:rsidR="00CF6ED1" w:rsidP="0088724C" w14:paraId="7DD0C77F" w14:textId="77777777">
      <w:r>
        <w:t>Overview</w:t>
      </w:r>
    </w:p>
    <w:p w:rsidR="0088724C" w:rsidP="0088724C" w14:paraId="1DCF659F" w14:textId="58676ACE">
      <w:r>
        <w:t xml:space="preserve">In 2019, </w:t>
      </w:r>
      <w:r w:rsidR="191AD371">
        <w:t xml:space="preserve">as reported previously to OMB, </w:t>
      </w:r>
      <w:r>
        <w:t xml:space="preserve">weighted response rates </w:t>
      </w:r>
      <w:r w:rsidR="322AF1CA">
        <w:t xml:space="preserve">ranged </w:t>
      </w:r>
      <w:r>
        <w:t xml:space="preserve">from 39.8% to 81.0% across sites, with a mean of 57.0%. In 2020, rates ranged from 39.1% to 81.3%, with a mean of 56.8%. In 2021, </w:t>
      </w:r>
      <w:r w:rsidR="247431DB">
        <w:t xml:space="preserve">rates </w:t>
      </w:r>
      <w:r>
        <w:t>ranged from 32.4% to 80.5%, with a mean of 53.0%.</w:t>
      </w:r>
      <w:r w:rsidR="6DC908EE">
        <w:t xml:space="preserve"> A significant decline in average</w:t>
      </w:r>
      <w:r w:rsidR="4D77474B">
        <w:t xml:space="preserve"> weighted</w:t>
      </w:r>
      <w:r w:rsidR="6DC908EE">
        <w:t xml:space="preserve"> response rates was observed across years (Figure 1), with an average decrease of 1.8% per year.</w:t>
      </w:r>
    </w:p>
    <w:p w:rsidR="006329D5" w:rsidP="00677013" w14:paraId="3CA5EDC0" w14:textId="5D8753BE">
      <w:pPr>
        <w:rPr>
          <w:b/>
          <w:bCs/>
        </w:rPr>
      </w:pPr>
      <w:r>
        <w:rPr>
          <w:rFonts w:ascii="Arial" w:hAnsi="Arial" w:cs="Arial"/>
          <w:noProof/>
          <w:color w:val="000000"/>
          <w:sz w:val="20"/>
          <w:szCs w:val="20"/>
        </w:rPr>
        <w:drawing>
          <wp:inline distT="0" distB="0" distL="0" distR="0">
            <wp:extent cx="3657600" cy="2743200"/>
            <wp:effectExtent l="0" t="0" r="0" b="0"/>
            <wp:docPr id="1009669943" name="Picture 4" descr="The SGPlot Proce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69943" name="Picture 7" descr="The SGPlot Procedure"/>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3657600" cy="2743200"/>
                    </a:xfrm>
                    <a:prstGeom prst="rect">
                      <a:avLst/>
                    </a:prstGeom>
                    <a:noFill/>
                    <a:ln>
                      <a:noFill/>
                    </a:ln>
                  </pic:spPr>
                </pic:pic>
              </a:graphicData>
            </a:graphic>
          </wp:inline>
        </w:drawing>
      </w:r>
    </w:p>
    <w:p w:rsidR="00D84B4F" w:rsidP="00BB435B" w14:paraId="628EE2F9" w14:textId="77777777">
      <w:pPr>
        <w:rPr>
          <w:b/>
          <w:bCs/>
        </w:rPr>
      </w:pPr>
    </w:p>
    <w:p w:rsidR="00BB435B" w:rsidP="00BB435B" w14:paraId="6502710B" w14:textId="44B8046F">
      <w:pPr>
        <w:rPr>
          <w:b/>
          <w:bCs/>
        </w:rPr>
      </w:pPr>
      <w:r w:rsidRPr="30FC1436">
        <w:rPr>
          <w:b/>
          <w:bCs/>
        </w:rPr>
        <w:t xml:space="preserve">Level of Effort Analyses </w:t>
      </w:r>
    </w:p>
    <w:p w:rsidR="00BB435B" w:rsidP="00BB435B" w14:paraId="29B7A770" w14:textId="469289F8">
      <w:pPr>
        <w:spacing w:after="0"/>
        <w:rPr>
          <w:rFonts w:ascii="Calibri" w:eastAsia="Calibri" w:hAnsi="Calibri" w:cs="Calibri"/>
        </w:rPr>
      </w:pPr>
      <w:r w:rsidRPr="0E3FCE43">
        <w:rPr>
          <w:rFonts w:ascii="Calibri" w:eastAsia="Calibri" w:hAnsi="Calibri" w:cs="Calibri"/>
        </w:rPr>
        <w:t>Analyses shared previously with OMB using 2019 data included results from level of effort analyses. This analytical approach was not repeated with 2020 and 2021 data due to the resource-intensiveness required of the method. The level of effort analyses involved creating ‘response rate tranches’ to simulate lower response rates and allowed examination of changes in incremental average bias with decrements (or decreases) in response rate. Results indicated a linear increase in average absolute bias with increasing decrements of response rate. On average, we observed about a 0.50 percentage point increase in bias for each 10% decrease in response rates. We also conducted multi-level regression models for absolute bias for each indicator by varying response rates with 2019 data. Overall, absolute bias</w:t>
      </w:r>
      <w:r w:rsidRPr="0E3FCE43">
        <w:rPr>
          <w:rFonts w:ascii="Calibri" w:eastAsia="Calibri" w:hAnsi="Calibri" w:cs="Calibri"/>
          <w:b/>
          <w:bCs/>
        </w:rPr>
        <w:t xml:space="preserve"> </w:t>
      </w:r>
      <w:r w:rsidRPr="0E3FCE43">
        <w:rPr>
          <w:rFonts w:ascii="Calibri" w:eastAsia="Calibri" w:hAnsi="Calibri" w:cs="Calibri"/>
        </w:rPr>
        <w:t xml:space="preserve">decreased by an average of 0.67 percentage points per 10% increase in response rate (range= 0.38 – 0.88 across indicators), which is consistent with the 0.50 percentage point decline observed from the incremental bias analysis.  </w:t>
      </w:r>
    </w:p>
    <w:p w:rsidR="00BB435B" w:rsidP="00677013" w14:paraId="3C7BD0DD" w14:textId="77777777">
      <w:pPr>
        <w:rPr>
          <w:b/>
          <w:bCs/>
        </w:rPr>
      </w:pPr>
    </w:p>
    <w:p w:rsidR="000E1CC9" w:rsidRPr="000E1CC9" w:rsidP="00677013" w14:paraId="1A1C8BC0" w14:textId="3CCDF75A">
      <w:pPr>
        <w:rPr>
          <w:b/>
          <w:bCs/>
        </w:rPr>
      </w:pPr>
      <w:r w:rsidRPr="000E1CC9">
        <w:rPr>
          <w:b/>
          <w:bCs/>
        </w:rPr>
        <w:t>True Bias Analysis</w:t>
      </w:r>
    </w:p>
    <w:p w:rsidR="008E5D5F" w:rsidP="00677013" w14:paraId="6BBA6D3B" w14:textId="77777777">
      <w:r>
        <w:t>Research Question</w:t>
      </w:r>
      <w:r>
        <w:t>s</w:t>
      </w:r>
      <w:r>
        <w:t xml:space="preserve">: </w:t>
      </w:r>
    </w:p>
    <w:p w:rsidR="001F69BF" w:rsidP="00677013" w14:paraId="7D66F7BC" w14:textId="08DB9A48">
      <w:pPr>
        <w:rPr>
          <w:rFonts w:eastAsia="Times New Roman"/>
        </w:rPr>
      </w:pPr>
      <w:r w:rsidRPr="00DF17A3">
        <w:rPr>
          <w:rFonts w:eastAsia="Times New Roman"/>
        </w:rPr>
        <w:t>What is the extent of nonresponse bias in weighted prevalence estimates calculated from PRAMS re</w:t>
      </w:r>
      <w:r>
        <w:rPr>
          <w:rFonts w:eastAsia="Times New Roman"/>
        </w:rPr>
        <w:t>s</w:t>
      </w:r>
      <w:r w:rsidRPr="00DF17A3">
        <w:rPr>
          <w:rFonts w:eastAsia="Times New Roman"/>
        </w:rPr>
        <w:t>pondents when compared with “true values” of prevalence calculated from population measures available in the birth certificate?</w:t>
      </w:r>
      <w:r>
        <w:rPr>
          <w:rFonts w:eastAsia="Times New Roman"/>
        </w:rPr>
        <w:t> </w:t>
      </w:r>
    </w:p>
    <w:p w:rsidR="008E5D5F" w:rsidRPr="00DF17A3" w:rsidP="00FE260A" w14:paraId="01219B79" w14:textId="113D3D19">
      <w:pPr>
        <w:pStyle w:val="ListParagraph"/>
        <w:numPr>
          <w:ilvl w:val="0"/>
          <w:numId w:val="8"/>
        </w:numPr>
      </w:pPr>
      <w:r w:rsidRPr="00DF17A3">
        <w:rPr>
          <w:rFonts w:eastAsia="Times New Roman"/>
        </w:rPr>
        <w:t>What is the mean level of bias for each indicator, which indicators display significant bias, and does the bias show the prevalence estimates to be an under- or over-estimate of “true value”? </w:t>
      </w:r>
    </w:p>
    <w:p w:rsidR="00FE260A" w:rsidRPr="00DF17A3" w:rsidP="00166F03" w14:paraId="3BC85164" w14:textId="1E16848D">
      <w:pPr>
        <w:pStyle w:val="ListParagraph"/>
        <w:numPr>
          <w:ilvl w:val="0"/>
          <w:numId w:val="8"/>
        </w:numPr>
      </w:pPr>
      <w:r>
        <w:t>What is the magnitude of nonresponse bias in PRAMS within subpopulations</w:t>
      </w:r>
      <w:r w:rsidR="643FC9BC">
        <w:t xml:space="preserve"> </w:t>
      </w:r>
      <w:r w:rsidRPr="47A78F89" w:rsidR="3B5651B5">
        <w:rPr>
          <w:rFonts w:eastAsia="Times New Roman"/>
        </w:rPr>
        <w:t>(maternal race, maternal education, maternal age, maternal ethnicity, and maternal marital status)? </w:t>
      </w:r>
    </w:p>
    <w:p w:rsidR="00807783" w:rsidRPr="00F30298" w:rsidP="00DF17A3" w14:paraId="5347E2A6" w14:textId="0CD2B21D">
      <w:pPr>
        <w:pStyle w:val="ListParagraph"/>
        <w:numPr>
          <w:ilvl w:val="0"/>
          <w:numId w:val="8"/>
        </w:numPr>
      </w:pPr>
      <w:r w:rsidRPr="00DF17A3">
        <w:rPr>
          <w:rFonts w:eastAsia="Times New Roman"/>
        </w:rPr>
        <w:t>How does response rate affect bias?  </w:t>
      </w:r>
    </w:p>
    <w:p w:rsidR="00677013" w:rsidP="00677013" w14:paraId="270B8F5C" w14:textId="79FB619D">
      <w:r>
        <w:t>Approach</w:t>
      </w:r>
      <w:r w:rsidR="2D20B89B">
        <w:t xml:space="preserve"> </w:t>
      </w:r>
      <w:r w:rsidR="1EAD2454">
        <w:t>–</w:t>
      </w:r>
      <w:r w:rsidR="2D20B89B">
        <w:t xml:space="preserve"> </w:t>
      </w:r>
      <w:r w:rsidR="1EAD2454">
        <w:t>Vital records</w:t>
      </w:r>
      <w:r w:rsidR="2D20B89B">
        <w:t xml:space="preserve"> birth certificate file</w:t>
      </w:r>
      <w:r w:rsidR="1EAD2454">
        <w:t>s serve</w:t>
      </w:r>
      <w:r w:rsidR="2D20B89B">
        <w:t xml:space="preserve"> as </w:t>
      </w:r>
      <w:r w:rsidR="1EAD2454">
        <w:t>the PRAMS</w:t>
      </w:r>
      <w:r w:rsidR="2D20B89B">
        <w:t xml:space="preserve"> sampling frame</w:t>
      </w:r>
      <w:r w:rsidR="0F7881D7">
        <w:t>,</w:t>
      </w:r>
      <w:r w:rsidR="2D20B89B">
        <w:t xml:space="preserve"> </w:t>
      </w:r>
      <w:r w:rsidR="1EAD2454">
        <w:t>providing</w:t>
      </w:r>
      <w:r w:rsidR="2D20B89B">
        <w:t xml:space="preserve"> a rich set of auxiliary variables for this analysis. We linked the </w:t>
      </w:r>
      <w:r w:rsidR="41EB31D5">
        <w:t xml:space="preserve">annual </w:t>
      </w:r>
      <w:r w:rsidR="2D20B89B">
        <w:t xml:space="preserve">birth file with the PRAMS sample in </w:t>
      </w:r>
      <w:r w:rsidR="17FF3F9C">
        <w:t xml:space="preserve">47 sites in </w:t>
      </w:r>
      <w:r w:rsidR="2CF78B1F">
        <w:t>2019</w:t>
      </w:r>
      <w:r w:rsidR="077B4CC7">
        <w:t xml:space="preserve"> </w:t>
      </w:r>
      <w:r w:rsidR="3BBF2D73">
        <w:t xml:space="preserve">(results provided previously) </w:t>
      </w:r>
      <w:r w:rsidR="077B4CC7">
        <w:t xml:space="preserve">and </w:t>
      </w:r>
      <w:r w:rsidR="2D20B89B">
        <w:t xml:space="preserve">2020 and </w:t>
      </w:r>
      <w:r w:rsidR="17FF3F9C">
        <w:t xml:space="preserve">46 sites in </w:t>
      </w:r>
      <w:r w:rsidR="2D20B89B">
        <w:t xml:space="preserve">2021 to compare population values with estimates of the population values using only PRAMS respondents and applying the analysis weights. </w:t>
      </w:r>
      <w:r w:rsidR="0326C15B">
        <w:t>This analysis is called a “true bias” analysis because the actual population</w:t>
      </w:r>
      <w:r w:rsidR="63E22E62">
        <w:t xml:space="preserve">-level prevalence </w:t>
      </w:r>
      <w:r w:rsidR="58D34C07">
        <w:t xml:space="preserve">is available to </w:t>
      </w:r>
      <w:r w:rsidR="63E22E62">
        <w:t>compare against PRAMS samp</w:t>
      </w:r>
      <w:r w:rsidR="05952A97">
        <w:t xml:space="preserve">le estimates.  </w:t>
      </w:r>
      <w:r w:rsidR="2D20B89B">
        <w:t>All sites</w:t>
      </w:r>
      <w:r w:rsidR="12E8BE94">
        <w:t>,</w:t>
      </w:r>
      <w:r w:rsidR="2D20B89B">
        <w:t xml:space="preserve"> except I</w:t>
      </w:r>
      <w:r w:rsidR="32B2BBC7">
        <w:t>owa</w:t>
      </w:r>
      <w:r w:rsidR="2D20B89B">
        <w:t>, T</w:t>
      </w:r>
      <w:r w:rsidR="32B2BBC7">
        <w:t>exas</w:t>
      </w:r>
      <w:r w:rsidR="2D20B89B">
        <w:t>, and W</w:t>
      </w:r>
      <w:r w:rsidR="31FE2FF6">
        <w:t>ashington</w:t>
      </w:r>
      <w:r w:rsidR="6C942131">
        <w:t>,</w:t>
      </w:r>
      <w:r w:rsidR="2D20B89B">
        <w:t xml:space="preserve"> gave permission </w:t>
      </w:r>
      <w:r w:rsidR="49A94C74">
        <w:t xml:space="preserve">for CDC </w:t>
      </w:r>
      <w:r w:rsidR="2D20B89B">
        <w:t xml:space="preserve">to access their birth certificate file for the analysis.  </w:t>
      </w:r>
      <w:r w:rsidR="17FF3F9C">
        <w:t>N</w:t>
      </w:r>
      <w:r w:rsidR="4360CE18">
        <w:t xml:space="preserve">orth </w:t>
      </w:r>
      <w:r w:rsidR="17FF3F9C">
        <w:t>C</w:t>
      </w:r>
      <w:r w:rsidR="36AF21A6">
        <w:t>arolina</w:t>
      </w:r>
      <w:r w:rsidR="17FF3F9C">
        <w:t xml:space="preserve"> </w:t>
      </w:r>
      <w:r w:rsidR="7735A96B">
        <w:t xml:space="preserve">participated in </w:t>
      </w:r>
      <w:r w:rsidR="14B460C3">
        <w:t xml:space="preserve">2019 and </w:t>
      </w:r>
      <w:r w:rsidR="7735A96B">
        <w:t>2020</w:t>
      </w:r>
      <w:r w:rsidR="5B81250C">
        <w:t xml:space="preserve"> but</w:t>
      </w:r>
      <w:r w:rsidR="17FF3F9C">
        <w:t xml:space="preserve"> did not participate in PRAMS in 2021. </w:t>
      </w:r>
      <w:r w:rsidR="2D20B89B">
        <w:t>Analysis weights include adjustments for nonresponse and non-coverage.</w:t>
      </w:r>
      <w:r w:rsidR="1EAD2454">
        <w:t xml:space="preserve">  We examined bias for 12 behavior, medical, and </w:t>
      </w:r>
      <w:r w:rsidR="470A32BA">
        <w:t>socio</w:t>
      </w:r>
      <w:r w:rsidR="1EAD2454">
        <w:t xml:space="preserve">demographic birth certificate variables that </w:t>
      </w:r>
      <w:r w:rsidR="0AECD836">
        <w:t xml:space="preserve">are </w:t>
      </w:r>
      <w:r w:rsidR="0AECD836">
        <w:t>similar to</w:t>
      </w:r>
      <w:r w:rsidR="1EAD2454">
        <w:t xml:space="preserve"> the topics on the PRAMS survey (Table 1).</w:t>
      </w:r>
    </w:p>
    <w:p w:rsidR="006A0F5F" w:rsidP="00677013" w14:paraId="3763E89A" w14:textId="0CA3A094">
      <w:r>
        <w:t xml:space="preserve">We also </w:t>
      </w:r>
      <w:r w:rsidR="2AC53B6F">
        <w:t>examine</w:t>
      </w:r>
      <w:r w:rsidR="4FE06E7F">
        <w:t>d</w:t>
      </w:r>
      <w:r w:rsidR="2AC53B6F">
        <w:t xml:space="preserve"> potential nonresponse bias by comparing the prevalence estimates from the full sample, calculated using the base weights, to those from the respondents only, first using base weights and then using nonresponse-adjusted weights.</w:t>
      </w:r>
      <w:r>
        <w:t xml:space="preserve"> This allows </w:t>
      </w:r>
      <w:r w:rsidR="4FE06E7F">
        <w:t>measure</w:t>
      </w:r>
      <w:r w:rsidR="221E4F07">
        <w:t>ment of</w:t>
      </w:r>
      <w:r w:rsidR="3503789A">
        <w:t xml:space="preserve"> nonresponse bias without </w:t>
      </w:r>
      <w:r w:rsidR="5F185AF2">
        <w:t xml:space="preserve">any sampling </w:t>
      </w:r>
      <w:r w:rsidR="6E5C997C">
        <w:t>effects included and assess</w:t>
      </w:r>
      <w:r w:rsidR="3E5D2B7B">
        <w:t>ment of</w:t>
      </w:r>
      <w:r w:rsidR="6E5C997C">
        <w:t xml:space="preserve"> the effectiveness of the nonresponse adjustment weights.</w:t>
      </w:r>
    </w:p>
    <w:p w:rsidR="0067050F" w:rsidRPr="000E1CC9" w:rsidP="00677013" w14:paraId="39CF3676" w14:textId="7F77CFAA">
      <w:pPr>
        <w:rPr>
          <w:b/>
          <w:bCs/>
        </w:rPr>
      </w:pPr>
      <w:r w:rsidRPr="000E1CC9">
        <w:rPr>
          <w:b/>
          <w:bCs/>
        </w:rPr>
        <w:t xml:space="preserve">Table 1. Birth </w:t>
      </w:r>
      <w:r w:rsidR="00E358AB">
        <w:rPr>
          <w:b/>
          <w:bCs/>
        </w:rPr>
        <w:t>C</w:t>
      </w:r>
      <w:r w:rsidRPr="000E1CC9">
        <w:rPr>
          <w:b/>
          <w:bCs/>
        </w:rPr>
        <w:t xml:space="preserve">ertificate </w:t>
      </w:r>
      <w:r w:rsidR="00E358AB">
        <w:rPr>
          <w:b/>
          <w:bCs/>
        </w:rPr>
        <w:t>V</w:t>
      </w:r>
      <w:r w:rsidRPr="000E1CC9">
        <w:rPr>
          <w:b/>
          <w:bCs/>
        </w:rPr>
        <w:t xml:space="preserve">ariables </w:t>
      </w:r>
      <w:r w:rsidR="00E358AB">
        <w:rPr>
          <w:b/>
          <w:bCs/>
        </w:rPr>
        <w:t>E</w:t>
      </w:r>
      <w:r w:rsidRPr="000E1CC9">
        <w:rPr>
          <w:b/>
          <w:bCs/>
        </w:rPr>
        <w:t>xamined for True Bias Analysis</w:t>
      </w:r>
    </w:p>
    <w:tbl>
      <w:tblPr>
        <w:tblpPr w:leftFromText="180" w:rightFromText="180" w:vertAnchor="text" w:horzAnchor="margin" w:tblpXSpec="center" w:tblpY="454"/>
        <w:tblW w:w="8180" w:type="dxa"/>
        <w:tblCellMar>
          <w:left w:w="0" w:type="dxa"/>
          <w:right w:w="0" w:type="dxa"/>
        </w:tblCellMar>
        <w:tblLook w:val="0400"/>
      </w:tblPr>
      <w:tblGrid>
        <w:gridCol w:w="2464"/>
        <w:gridCol w:w="2306"/>
        <w:gridCol w:w="3410"/>
      </w:tblGrid>
      <w:tr w14:paraId="3A7B2C47" w14:textId="77777777" w:rsidTr="47A78F89">
        <w:tblPrEx>
          <w:tblW w:w="8180" w:type="dxa"/>
          <w:tblCellMar>
            <w:left w:w="0" w:type="dxa"/>
            <w:right w:w="0" w:type="dxa"/>
          </w:tblCellMar>
          <w:tblLook w:val="0400"/>
        </w:tblPrEx>
        <w:trPr>
          <w:trHeight w:val="595"/>
        </w:trPr>
        <w:tc>
          <w:tcPr>
            <w:tcW w:w="24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hemeFill="accent6" w:themeFillTint="66"/>
            <w:tcMar>
              <w:top w:w="15" w:type="dxa"/>
              <w:left w:w="108" w:type="dxa"/>
              <w:bottom w:w="0" w:type="dxa"/>
              <w:right w:w="108" w:type="dxa"/>
            </w:tcMar>
            <w:hideMark/>
          </w:tcPr>
          <w:p w:rsidR="0067050F" w:rsidRPr="0067050F" w:rsidP="00A4301A" w14:paraId="711C407C" w14:textId="39D7ED11">
            <w:pPr>
              <w:pStyle w:val="NoSpacing"/>
            </w:pPr>
            <w:r w:rsidRPr="0067050F">
              <w:t>Behaviors</w:t>
            </w:r>
          </w:p>
        </w:tc>
        <w:tc>
          <w:tcPr>
            <w:tcW w:w="2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hemeFill="accent6" w:themeFillTint="66"/>
            <w:tcMar>
              <w:top w:w="15" w:type="dxa"/>
              <w:left w:w="108" w:type="dxa"/>
              <w:bottom w:w="0" w:type="dxa"/>
              <w:right w:w="108" w:type="dxa"/>
            </w:tcMar>
            <w:hideMark/>
          </w:tcPr>
          <w:p w:rsidR="0067050F" w:rsidRPr="0067050F" w:rsidP="00A4301A" w14:paraId="63E2D7CB" w14:textId="77777777">
            <w:pPr>
              <w:pStyle w:val="NoSpacing"/>
            </w:pPr>
            <w:r w:rsidRPr="0067050F">
              <w:t>Medical</w:t>
            </w:r>
          </w:p>
        </w:tc>
        <w:tc>
          <w:tcPr>
            <w:tcW w:w="3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hemeFill="accent6" w:themeFillTint="66"/>
            <w:tcMar>
              <w:top w:w="15" w:type="dxa"/>
              <w:left w:w="108" w:type="dxa"/>
              <w:bottom w:w="0" w:type="dxa"/>
              <w:right w:w="108" w:type="dxa"/>
            </w:tcMar>
            <w:hideMark/>
          </w:tcPr>
          <w:p w:rsidR="0067050F" w:rsidRPr="0067050F" w:rsidP="00A4301A" w14:paraId="107D859A" w14:textId="0FFA2D9A">
            <w:pPr>
              <w:pStyle w:val="NoSpacing"/>
            </w:pPr>
            <w:r w:rsidRPr="2DF04DC2">
              <w:t>Socio</w:t>
            </w:r>
            <w:r w:rsidRPr="2DF04DC2" w:rsidR="3D7F552E">
              <w:t>demographic</w:t>
            </w:r>
          </w:p>
        </w:tc>
      </w:tr>
      <w:tr w14:paraId="529DDD7D" w14:textId="77777777" w:rsidTr="47A78F89">
        <w:tblPrEx>
          <w:tblW w:w="8180" w:type="dxa"/>
          <w:tblCellMar>
            <w:left w:w="0" w:type="dxa"/>
            <w:right w:w="0" w:type="dxa"/>
          </w:tblCellMar>
          <w:tblLook w:val="0400"/>
        </w:tblPrEx>
        <w:trPr>
          <w:trHeight w:val="619"/>
        </w:trPr>
        <w:tc>
          <w:tcPr>
            <w:tcW w:w="24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rsidR="0067050F" w:rsidRPr="0067050F" w:rsidP="00A4301A" w14:paraId="225E76A3" w14:textId="77777777">
            <w:pPr>
              <w:pStyle w:val="NoSpacing"/>
            </w:pPr>
            <w:r w:rsidRPr="0067050F">
              <w:t>Adequacy of prenatal care (PNC)</w:t>
            </w:r>
          </w:p>
        </w:tc>
        <w:tc>
          <w:tcPr>
            <w:tcW w:w="2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rsidR="008620C6" w:rsidRPr="0067050F" w:rsidP="00A4301A" w14:paraId="1CFA12B3" w14:textId="7B739844">
            <w:pPr>
              <w:pStyle w:val="NoSpacing"/>
            </w:pPr>
            <w:r w:rsidRPr="0067050F">
              <w:t>Gestational diabetes</w:t>
            </w:r>
          </w:p>
        </w:tc>
        <w:tc>
          <w:tcPr>
            <w:tcW w:w="3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rsidR="0067050F" w:rsidRPr="0067050F" w:rsidP="00A4301A" w14:paraId="40AC1B71" w14:textId="159141FB">
            <w:pPr>
              <w:pStyle w:val="NoSpacing"/>
            </w:pPr>
            <w:r>
              <w:t>Medicaid as payment source for delivery</w:t>
            </w:r>
          </w:p>
        </w:tc>
      </w:tr>
      <w:tr w14:paraId="22BA79CD" w14:textId="77777777" w:rsidTr="47A78F89">
        <w:tblPrEx>
          <w:tblW w:w="8180" w:type="dxa"/>
          <w:tblCellMar>
            <w:left w:w="0" w:type="dxa"/>
            <w:right w:w="0" w:type="dxa"/>
          </w:tblCellMar>
          <w:tblLook w:val="0400"/>
        </w:tblPrEx>
        <w:trPr>
          <w:trHeight w:val="862"/>
        </w:trPr>
        <w:tc>
          <w:tcPr>
            <w:tcW w:w="24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rsidR="0067050F" w:rsidRPr="0067050F" w:rsidP="00A4301A" w14:paraId="5E842332" w14:textId="77777777">
            <w:pPr>
              <w:pStyle w:val="NoSpacing"/>
            </w:pPr>
            <w:r w:rsidRPr="0067050F">
              <w:t>Smoking before pregnancy</w:t>
            </w:r>
          </w:p>
        </w:tc>
        <w:tc>
          <w:tcPr>
            <w:tcW w:w="2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rsidR="0067050F" w:rsidRPr="0067050F" w:rsidP="00A4301A" w14:paraId="0E4713BA" w14:textId="52098523">
            <w:pPr>
              <w:pStyle w:val="NoSpacing"/>
            </w:pPr>
            <w:r>
              <w:t>Gestational high blood pressure (</w:t>
            </w:r>
            <w:r w:rsidR="00280E72">
              <w:t>H</w:t>
            </w:r>
            <w:r>
              <w:t>ypertension)</w:t>
            </w:r>
          </w:p>
        </w:tc>
        <w:tc>
          <w:tcPr>
            <w:tcW w:w="3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rsidR="0067050F" w:rsidRPr="0067050F" w:rsidP="00A4301A" w14:paraId="57CC82E3" w14:textId="77938A31">
            <w:pPr>
              <w:pStyle w:val="NoSpacing"/>
            </w:pPr>
            <w:r w:rsidRPr="0067050F">
              <w:t>WIC participant</w:t>
            </w:r>
            <w:r w:rsidR="00996202">
              <w:t>*</w:t>
            </w:r>
          </w:p>
        </w:tc>
      </w:tr>
      <w:tr w14:paraId="24EE36D2" w14:textId="77777777" w:rsidTr="47A78F89">
        <w:tblPrEx>
          <w:tblW w:w="8180" w:type="dxa"/>
          <w:tblCellMar>
            <w:left w:w="0" w:type="dxa"/>
            <w:right w:w="0" w:type="dxa"/>
          </w:tblCellMar>
          <w:tblLook w:val="0400"/>
        </w:tblPrEx>
        <w:trPr>
          <w:trHeight w:val="682"/>
        </w:trPr>
        <w:tc>
          <w:tcPr>
            <w:tcW w:w="24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rsidR="0067050F" w:rsidRPr="0067050F" w:rsidP="003F394E" w14:paraId="5AE40B65" w14:textId="77777777">
            <w:pPr>
              <w:pStyle w:val="NoSpacing"/>
            </w:pPr>
            <w:r w:rsidRPr="0067050F">
              <w:t>Smoking during pregnancy</w:t>
            </w:r>
          </w:p>
        </w:tc>
        <w:tc>
          <w:tcPr>
            <w:tcW w:w="2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rsidR="0067050F" w:rsidRPr="0067050F" w:rsidP="003F394E" w14:paraId="7995F5C2" w14:textId="64A07349">
            <w:pPr>
              <w:pStyle w:val="NoSpacing"/>
            </w:pPr>
            <w:r>
              <w:t>C-section d</w:t>
            </w:r>
            <w:r w:rsidRPr="0067050F">
              <w:t xml:space="preserve">elivery </w:t>
            </w:r>
          </w:p>
        </w:tc>
        <w:tc>
          <w:tcPr>
            <w:tcW w:w="3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rsidR="0067050F" w:rsidRPr="0067050F" w:rsidP="003F394E" w14:paraId="09020C0A" w14:textId="77777777">
            <w:pPr>
              <w:pStyle w:val="NoSpacing"/>
            </w:pPr>
            <w:r w:rsidRPr="0067050F">
              <w:t>Previous live birth (LB)</w:t>
            </w:r>
          </w:p>
        </w:tc>
      </w:tr>
      <w:tr w14:paraId="16608795" w14:textId="77777777" w:rsidTr="47A78F89">
        <w:tblPrEx>
          <w:tblW w:w="8180" w:type="dxa"/>
          <w:tblCellMar>
            <w:left w:w="0" w:type="dxa"/>
            <w:right w:w="0" w:type="dxa"/>
          </w:tblCellMar>
          <w:tblLook w:val="0400"/>
        </w:tblPrEx>
        <w:trPr>
          <w:trHeight w:val="325"/>
        </w:trPr>
        <w:tc>
          <w:tcPr>
            <w:tcW w:w="24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rsidR="0067050F" w:rsidRPr="0067050F" w:rsidP="003F394E" w14:paraId="15C42584" w14:textId="77777777">
            <w:pPr>
              <w:pStyle w:val="NoSpacing"/>
            </w:pPr>
            <w:r w:rsidRPr="0067050F">
              <w:t>Breastfed in hospital</w:t>
            </w:r>
          </w:p>
        </w:tc>
        <w:tc>
          <w:tcPr>
            <w:tcW w:w="2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rsidR="0067050F" w:rsidRPr="0067050F" w:rsidP="003F394E" w14:paraId="297F999F" w14:textId="5137C530">
            <w:pPr>
              <w:pStyle w:val="NoSpacing"/>
            </w:pPr>
            <w:r>
              <w:t>Infertility treatment</w:t>
            </w:r>
          </w:p>
          <w:p w:rsidR="0067050F" w:rsidRPr="0067050F" w:rsidP="003F394E" w14:paraId="20E00336" w14:textId="605B16BC">
            <w:pPr>
              <w:pStyle w:val="NoSpacing"/>
            </w:pPr>
          </w:p>
        </w:tc>
        <w:tc>
          <w:tcPr>
            <w:tcW w:w="3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rsidR="0067050F" w:rsidRPr="0067050F" w:rsidP="003F394E" w14:paraId="4CE7E251" w14:textId="77777777">
            <w:pPr>
              <w:pStyle w:val="NoSpacing"/>
            </w:pPr>
            <w:r w:rsidRPr="0067050F">
              <w:t> </w:t>
            </w:r>
          </w:p>
        </w:tc>
      </w:tr>
      <w:tr w14:paraId="19CF5D42" w14:textId="77777777" w:rsidTr="47A78F89">
        <w:tblPrEx>
          <w:tblW w:w="8180" w:type="dxa"/>
          <w:tblCellMar>
            <w:left w:w="0" w:type="dxa"/>
            <w:right w:w="0" w:type="dxa"/>
          </w:tblCellMar>
          <w:tblLook w:val="0400"/>
        </w:tblPrEx>
        <w:trPr>
          <w:trHeight w:val="550"/>
        </w:trPr>
        <w:tc>
          <w:tcPr>
            <w:tcW w:w="24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rsidR="0067050F" w:rsidRPr="0067050F" w:rsidP="003F394E" w14:paraId="5C8C0763" w14:textId="77777777">
            <w:pPr>
              <w:pStyle w:val="NoSpacing"/>
            </w:pPr>
            <w:r w:rsidRPr="0067050F">
              <w:t> </w:t>
            </w:r>
          </w:p>
        </w:tc>
        <w:tc>
          <w:tcPr>
            <w:tcW w:w="2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rsidR="0067050F" w:rsidRPr="0067050F" w:rsidP="003F394E" w14:paraId="030456AE" w14:textId="262CBC1D">
            <w:pPr>
              <w:pStyle w:val="NoSpacing"/>
            </w:pPr>
            <w:r w:rsidRPr="0067050F">
              <w:t xml:space="preserve">Pre-pregnancy </w:t>
            </w:r>
            <w:r w:rsidR="00774682">
              <w:t>b</w:t>
            </w:r>
            <w:r w:rsidRPr="0067050F">
              <w:t xml:space="preserve">ody </w:t>
            </w:r>
            <w:r w:rsidR="00774682">
              <w:t>m</w:t>
            </w:r>
            <w:r w:rsidRPr="0067050F">
              <w:t xml:space="preserve">ass </w:t>
            </w:r>
            <w:r w:rsidR="00774682">
              <w:t>i</w:t>
            </w:r>
            <w:r w:rsidRPr="0067050F">
              <w:t>ndex (BMI)</w:t>
            </w:r>
          </w:p>
        </w:tc>
        <w:tc>
          <w:tcPr>
            <w:tcW w:w="3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rsidR="0067050F" w:rsidRPr="0067050F" w:rsidP="003F394E" w14:paraId="587E1266" w14:textId="77777777">
            <w:pPr>
              <w:pStyle w:val="NoSpacing"/>
            </w:pPr>
            <w:r w:rsidRPr="0067050F">
              <w:t> </w:t>
            </w:r>
          </w:p>
        </w:tc>
      </w:tr>
    </w:tbl>
    <w:p w:rsidR="0067050F" w:rsidRPr="003F394E" w:rsidP="0E3FCE43" w14:paraId="1AA23E3B" w14:textId="56C81248">
      <w:r>
        <w:t xml:space="preserve">* WIC is </w:t>
      </w:r>
      <w:r w:rsidR="6588A549">
        <w:t xml:space="preserve">the Special Supplemental Nutrition Program </w:t>
      </w:r>
      <w:r w:rsidR="190506A0">
        <w:t>for Women, Infants, and Children.</w:t>
      </w:r>
    </w:p>
    <w:p w:rsidR="00616F9C" w14:paraId="75FE1926" w14:textId="77777777">
      <w:pPr>
        <w:rPr>
          <w:b/>
          <w:bCs/>
        </w:rPr>
      </w:pPr>
      <w:r>
        <w:rPr>
          <w:b/>
          <w:bCs/>
        </w:rPr>
        <w:br w:type="page"/>
      </w:r>
    </w:p>
    <w:p w:rsidR="000E1CC9" w14:paraId="19C50B1B" w14:textId="02078821">
      <w:pPr>
        <w:rPr>
          <w:b/>
          <w:bCs/>
        </w:rPr>
      </w:pPr>
      <w:r>
        <w:rPr>
          <w:b/>
          <w:bCs/>
        </w:rPr>
        <w:t>Results</w:t>
      </w:r>
    </w:p>
    <w:p w:rsidR="0067050F" w:rsidP="0067050F" w14:paraId="5BDCA611" w14:textId="77FB4CE5">
      <w:r>
        <w:t xml:space="preserve">Figures </w:t>
      </w:r>
      <w:r w:rsidR="3070522A">
        <w:t>2</w:t>
      </w:r>
      <w:r>
        <w:t>a</w:t>
      </w:r>
      <w:r w:rsidR="3694699D">
        <w:t xml:space="preserve"> </w:t>
      </w:r>
      <w:r>
        <w:t xml:space="preserve">and </w:t>
      </w:r>
      <w:r w:rsidR="3070522A">
        <w:t>2</w:t>
      </w:r>
      <w:r w:rsidR="3694699D">
        <w:t>b</w:t>
      </w:r>
      <w:r>
        <w:t xml:space="preserve"> summarize comparisons of the population values </w:t>
      </w:r>
      <w:r w:rsidR="38D13063">
        <w:t xml:space="preserve">based on birth </w:t>
      </w:r>
      <w:r w:rsidR="009158F2">
        <w:t xml:space="preserve">certificate </w:t>
      </w:r>
      <w:r w:rsidR="38D13063">
        <w:t xml:space="preserve">files </w:t>
      </w:r>
      <w:r>
        <w:t xml:space="preserve">to the </w:t>
      </w:r>
      <w:r w:rsidR="61311268">
        <w:t xml:space="preserve">sample </w:t>
      </w:r>
      <w:r>
        <w:t>estimates</w:t>
      </w:r>
      <w:r w:rsidR="535EB87D">
        <w:t xml:space="preserve"> of population values from PRAMS </w:t>
      </w:r>
      <w:r w:rsidR="42DD1100">
        <w:t>respondents</w:t>
      </w:r>
      <w:r>
        <w:t xml:space="preserve"> for the 12 indicators over the </w:t>
      </w:r>
      <w:r w:rsidR="598C8958">
        <w:t>participating</w:t>
      </w:r>
      <w:r>
        <w:t xml:space="preserve"> sites</w:t>
      </w:r>
      <w:r w:rsidR="598C8958">
        <w:t xml:space="preserve"> in 2020 and 2021, respectively. </w:t>
      </w:r>
      <w:r>
        <w:t>A significant difference is defined as the true population value falling outside of the 95%</w:t>
      </w:r>
      <w:r w:rsidR="0A32D27F">
        <w:t xml:space="preserve"> confidence interval (</w:t>
      </w:r>
      <w:r>
        <w:t>CI</w:t>
      </w:r>
      <w:r w:rsidR="0A32D27F">
        <w:t>)</w:t>
      </w:r>
      <w:r>
        <w:t xml:space="preserve"> for the sample estimate. Blue bars indicate the sample overestimated the population value and orange bars </w:t>
      </w:r>
      <w:r w:rsidR="74567E66">
        <w:t>indicate</w:t>
      </w:r>
      <w:r>
        <w:t xml:space="preserve"> underestimates. Given the large number of comparisons conducted (47 sites X 12 indicators</w:t>
      </w:r>
      <w:r w:rsidR="1B0D7349">
        <w:t xml:space="preserve"> = 564</w:t>
      </w:r>
      <w:r w:rsidR="692FD582">
        <w:t xml:space="preserve"> comparisons</w:t>
      </w:r>
      <w:r>
        <w:t>), one would expect some significant differences due to random variation. Assuming alpha=0.05, one would expect 2-3 sites to exhibit significant differences for each indicator. Two indicators, breastfed in hospital and gestational diabetes</w:t>
      </w:r>
      <w:r w:rsidR="3694699D">
        <w:t>,</w:t>
      </w:r>
      <w:r>
        <w:t xml:space="preserve"> exceeded this range with significant differences in 9 and 4 sites</w:t>
      </w:r>
      <w:r w:rsidR="72E6E7E9">
        <w:t>,</w:t>
      </w:r>
      <w:r>
        <w:t xml:space="preserve"> respectively</w:t>
      </w:r>
      <w:r w:rsidR="72E6E7E9">
        <w:t>,</w:t>
      </w:r>
      <w:r w:rsidR="3694699D">
        <w:t xml:space="preserve"> for 2020</w:t>
      </w:r>
      <w:r>
        <w:t xml:space="preserve">.  </w:t>
      </w:r>
      <w:r w:rsidR="3694699D">
        <w:t>For 2021, there were f</w:t>
      </w:r>
      <w:r w:rsidR="72E6E7E9">
        <w:t xml:space="preserve">ive </w:t>
      </w:r>
      <w:r w:rsidR="3694699D">
        <w:t xml:space="preserve">indicators, breastfed in hospital, smoking during pregnancy, C-section delivery, gestational diabetes, and Medicaid recipient for delivery, with significant differences in 4-5 sites each. </w:t>
      </w:r>
      <w:r>
        <w:t>Positive behaviors like breastf</w:t>
      </w:r>
      <w:r w:rsidR="4FC5E994">
        <w:t>ed</w:t>
      </w:r>
      <w:r w:rsidR="0DA8B5B0">
        <w:t xml:space="preserve"> in hospital</w:t>
      </w:r>
      <w:r>
        <w:t xml:space="preserve"> and adequate prenatal care </w:t>
      </w:r>
      <w:r w:rsidR="731E31E9">
        <w:t>we</w:t>
      </w:r>
      <w:r>
        <w:t xml:space="preserve">re overestimated whereas </w:t>
      </w:r>
      <w:r w:rsidR="1E9CEEAC">
        <w:t xml:space="preserve">health </w:t>
      </w:r>
      <w:r>
        <w:t>risk behavior</w:t>
      </w:r>
      <w:r w:rsidR="499BAA2F">
        <w:t>s</w:t>
      </w:r>
      <w:r>
        <w:t xml:space="preserve"> like smoking</w:t>
      </w:r>
      <w:r w:rsidR="157ADF3C">
        <w:t xml:space="preserve"> during pregnancy</w:t>
      </w:r>
      <w:r>
        <w:t xml:space="preserve"> </w:t>
      </w:r>
      <w:r w:rsidR="731E31E9">
        <w:t>we</w:t>
      </w:r>
      <w:r>
        <w:t xml:space="preserve">re </w:t>
      </w:r>
      <w:r w:rsidR="69452A1C">
        <w:t xml:space="preserve">generally </w:t>
      </w:r>
      <w:r>
        <w:t>underestimated.</w:t>
      </w:r>
    </w:p>
    <w:p w:rsidR="2DF04DC2" w:rsidP="2DF04DC2" w14:paraId="08ADD261" w14:textId="53141075">
      <w:pPr>
        <w:rPr>
          <w:b/>
          <w:bCs/>
        </w:rPr>
      </w:pPr>
    </w:p>
    <w:p w:rsidR="004037B4" w:rsidRPr="004037B4" w:rsidP="0067050F" w14:paraId="1600A295" w14:textId="76F6F151">
      <w:pPr>
        <w:rPr>
          <w:b/>
          <w:bCs/>
        </w:rPr>
      </w:pPr>
      <w:r w:rsidRPr="0E3FCE43">
        <w:rPr>
          <w:b/>
          <w:bCs/>
        </w:rPr>
        <w:t xml:space="preserve">Figure </w:t>
      </w:r>
      <w:r w:rsidRPr="0E3FCE43" w:rsidR="7A6B4936">
        <w:rPr>
          <w:b/>
          <w:bCs/>
        </w:rPr>
        <w:t>2</w:t>
      </w:r>
      <w:r w:rsidRPr="0E3FCE43">
        <w:rPr>
          <w:b/>
          <w:bCs/>
        </w:rPr>
        <w:t xml:space="preserve">a. Comparison of </w:t>
      </w:r>
      <w:r w:rsidRPr="0E3FCE43" w:rsidR="51F32777">
        <w:rPr>
          <w:b/>
          <w:bCs/>
        </w:rPr>
        <w:t xml:space="preserve">PRAMS Sample </w:t>
      </w:r>
      <w:r w:rsidRPr="0E3FCE43">
        <w:rPr>
          <w:b/>
          <w:bCs/>
        </w:rPr>
        <w:t>Respondent Estimates to Population Values</w:t>
      </w:r>
      <w:r w:rsidRPr="0E3FCE43" w:rsidR="21DDBBCB">
        <w:rPr>
          <w:b/>
          <w:bCs/>
        </w:rPr>
        <w:t xml:space="preserve"> from Birth Certificates</w:t>
      </w:r>
      <w:r w:rsidRPr="0E3FCE43">
        <w:rPr>
          <w:b/>
          <w:bCs/>
        </w:rPr>
        <w:t xml:space="preserve">: Number of Significant Differences, </w:t>
      </w:r>
      <w:r w:rsidRPr="0E3FCE43" w:rsidR="356E1FB2">
        <w:rPr>
          <w:b/>
          <w:bCs/>
        </w:rPr>
        <w:t xml:space="preserve">Sample Over- and Under-estimates, </w:t>
      </w:r>
      <w:r w:rsidRPr="0E3FCE43">
        <w:rPr>
          <w:b/>
          <w:bCs/>
        </w:rPr>
        <w:t>47 Sites, 2020</w:t>
      </w:r>
    </w:p>
    <w:p w:rsidR="0067050F" w14:paraId="0249EE5A" w14:textId="3BA35399">
      <w:pPr>
        <w:rPr>
          <w:b/>
          <w:bCs/>
        </w:rPr>
      </w:pPr>
      <w:r w:rsidRPr="009867BB">
        <w:rPr>
          <w:b/>
          <w:bCs/>
          <w:noProof/>
          <w:color w:val="2B579A"/>
          <w:shd w:val="clear" w:color="auto" w:fill="E6E6E6"/>
        </w:rPr>
        <mc:AlternateContent>
          <mc:Choice Requires="wps">
            <w:drawing>
              <wp:anchor distT="0" distB="0" distL="114300" distR="114300" simplePos="0" relativeHeight="251662336" behindDoc="0" locked="0" layoutInCell="1" allowOverlap="1">
                <wp:simplePos x="0" y="0"/>
                <wp:positionH relativeFrom="column">
                  <wp:posOffset>12141200</wp:posOffset>
                </wp:positionH>
                <wp:positionV relativeFrom="paragraph">
                  <wp:posOffset>12827000</wp:posOffset>
                </wp:positionV>
                <wp:extent cx="614252" cy="311532"/>
                <wp:effectExtent l="0" t="0" r="0" b="0"/>
                <wp:wrapNone/>
                <wp:docPr id="6" name="Slide Number Placeholder 5">
                  <a:extLst xmlns:a="http://schemas.openxmlformats.org/drawingml/2006/main">
                    <a:ext xmlns:a="http://schemas.openxmlformats.org/drawingml/2006/main" uri="{FF2B5EF4-FFF2-40B4-BE49-F238E27FC236}">
                      <a16:creationId xmlns:a16="http://schemas.microsoft.com/office/drawing/2014/main" id="{DC7861DF-6E90-D0DB-1DB8-F230F6DD6869}"/>
                    </a:ext>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xmlns:wps="http://schemas.microsoft.com/office/word/2010/wordprocessingShape">
                      <wps:cNvSpPr>
                        <a:spLocks noGrp="1"/>
                      </wps:cNvSpPr>
                      <wps:spPr>
                        <a:xfrm>
                          <a:off x="0" y="0"/>
                          <a:ext cx="614252" cy="311532"/>
                        </a:xfrm>
                        <a:prstGeom prst="rect">
                          <a:avLst/>
                        </a:prstGeom>
                      </wps:spPr>
                      <wps:txbx>
                        <w:txbxContent>
                          <w:p w:rsidR="009867BB" w:rsidP="009867BB" w14:textId="77777777">
                            <w:pPr>
                              <w:jc w:val="right"/>
                              <w:textAlignment w:val="baseline"/>
                              <w:rPr>
                                <w:rFonts w:ascii="Calibri" w:hAnsi="Calibri" w:cs="Calibri"/>
                                <w:color w:val="0057B7"/>
                                <w:kern w:val="24"/>
                                <w:sz w:val="27"/>
                                <w:szCs w:val="27"/>
                              </w:rPr>
                            </w:pPr>
                            <w:r>
                              <w:rPr>
                                <w:rFonts w:ascii="Calibri" w:hAnsi="Calibri" w:cs="Calibri"/>
                                <w:color w:val="0057B7"/>
                                <w:kern w:val="24"/>
                                <w:sz w:val="27"/>
                                <w:szCs w:val="27"/>
                              </w:rPr>
                              <w:t>51</w:t>
                            </w:r>
                          </w:p>
                        </w:txbxContent>
                      </wps:txbx>
                      <wps:bodyPr vert="horz" lIns="91440" tIns="45720" rIns="91440" bIns="45720" rtlCol="0" anchor="ctr"/>
                    </wps:wsp>
                  </a:graphicData>
                </a:graphic>
              </wp:anchor>
            </w:drawing>
          </mc:Choice>
          <mc:Fallback>
            <w:pict>
              <v:rect id="Slide Number Placeholder 5" o:spid="_x0000_s1025" alt="&quot;&quot;" style="width:48.35pt;height:24.55pt;margin-top:1010pt;margin-left:956pt;mso-wrap-distance-bottom:0;mso-wrap-distance-left:9pt;mso-wrap-distance-right:9pt;mso-wrap-distance-top:0;mso-wrap-style:square;position:absolute;visibility:visible;v-text-anchor:middle;z-index:251663360" filled="f" stroked="f">
                <v:textbox>
                  <w:txbxContent>
                    <w:p w:rsidR="009867BB" w:rsidP="009867BB" w14:paraId="3A1EA811" w14:textId="77777777">
                      <w:pPr>
                        <w:jc w:val="right"/>
                        <w:textAlignment w:val="baseline"/>
                        <w:rPr>
                          <w:rFonts w:ascii="Calibri" w:hAnsi="Calibri" w:cs="Calibri"/>
                          <w:color w:val="0057B7"/>
                          <w:kern w:val="24"/>
                          <w:sz w:val="27"/>
                          <w:szCs w:val="27"/>
                        </w:rPr>
                      </w:pPr>
                      <w:r>
                        <w:rPr>
                          <w:rFonts w:ascii="Calibri" w:hAnsi="Calibri" w:cs="Calibri"/>
                          <w:color w:val="0057B7"/>
                          <w:kern w:val="24"/>
                          <w:sz w:val="27"/>
                          <w:szCs w:val="27"/>
                        </w:rPr>
                        <w:t>51</w:t>
                      </w:r>
                    </w:p>
                  </w:txbxContent>
                </v:textbox>
              </v:rect>
            </w:pict>
          </mc:Fallback>
        </mc:AlternateContent>
      </w:r>
      <w:r w:rsidRPr="009867BB">
        <w:rPr>
          <w:b/>
          <w:bCs/>
          <w:noProof/>
          <w:color w:val="2B579A"/>
          <w:shd w:val="clear" w:color="auto" w:fill="E6E6E6"/>
        </w:rPr>
        <w:drawing>
          <wp:inline distT="0" distB="0" distL="0" distR="0">
            <wp:extent cx="6409267" cy="4995333"/>
            <wp:effectExtent l="0" t="0" r="10795" b="15240"/>
            <wp:docPr id="352837370" name="Chart 1">
              <a:extLst xmlns:a="http://schemas.openxmlformats.org/drawingml/2006/main">
                <a:ext xmlns:a="http://schemas.openxmlformats.org/drawingml/2006/main" uri="{FF2B5EF4-FFF2-40B4-BE49-F238E27FC236}">
                  <a16:creationId xmlns:a16="http://schemas.microsoft.com/office/drawing/2014/main" id="{2244FC9A-7B37-B368-B4E2-151B0DC856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9867BB">
        <w:rPr>
          <w:b/>
          <w:bCs/>
          <w:noProof/>
          <w:color w:val="2B579A"/>
          <w:shd w:val="clear" w:color="auto" w:fill="E6E6E6"/>
        </w:rPr>
        <mc:AlternateContent>
          <mc:Choice Requires="wps">
            <w:drawing>
              <wp:anchor distT="0" distB="0" distL="114300" distR="114300" simplePos="0" relativeHeight="251664384" behindDoc="0" locked="0" layoutInCell="1" allowOverlap="1">
                <wp:simplePos x="0" y="0"/>
                <wp:positionH relativeFrom="column">
                  <wp:posOffset>2057400</wp:posOffset>
                </wp:positionH>
                <wp:positionV relativeFrom="paragraph">
                  <wp:posOffset>10498667</wp:posOffset>
                </wp:positionV>
                <wp:extent cx="7350755" cy="0"/>
                <wp:effectExtent l="0" t="0" r="0" b="0"/>
                <wp:wrapNone/>
                <wp:docPr id="545355119" name="Straight Connector 6">
                  <a:extLst xmlns:a="http://schemas.openxmlformats.org/drawingml/2006/main">
                    <a:ext xmlns:a="http://schemas.openxmlformats.org/drawingml/2006/main" uri="{FF2B5EF4-FFF2-40B4-BE49-F238E27FC236}">
                      <a16:creationId xmlns:a16="http://schemas.microsoft.com/office/drawing/2014/main" id="{09B65F5F-362F-3110-8572-20509BC49B3E}"/>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735075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mso-wrap-distance-bottom:0;mso-wrap-distance-left:9pt;mso-wrap-distance-right:9pt;mso-wrap-distance-top:0;mso-wrap-style:square;position:absolute;visibility:visible;z-index:251665408" from="162pt,826.65pt" to="740.8pt,826.65pt" strokecolor="#4472c4" strokeweight="1.5pt">
                <v:stroke joinstyle="miter"/>
              </v:line>
            </w:pict>
          </mc:Fallback>
        </mc:AlternateContent>
      </w:r>
      <w:r w:rsidRPr="009867BB">
        <w:rPr>
          <w:b/>
          <w:bCs/>
          <w:noProof/>
          <w:color w:val="2B579A"/>
          <w:shd w:val="clear" w:color="auto" w:fill="E6E6E6"/>
        </w:rPr>
        <mc:AlternateContent>
          <mc:Choice Requires="wps">
            <w:drawing>
              <wp:anchor distT="0" distB="0" distL="114300" distR="114300" simplePos="0" relativeHeight="251666432" behindDoc="0" locked="0" layoutInCell="1" allowOverlap="1">
                <wp:simplePos x="0" y="0"/>
                <wp:positionH relativeFrom="column">
                  <wp:posOffset>3073400</wp:posOffset>
                </wp:positionH>
                <wp:positionV relativeFrom="paragraph">
                  <wp:posOffset>9025467</wp:posOffset>
                </wp:positionV>
                <wp:extent cx="925551" cy="307777"/>
                <wp:effectExtent l="0" t="0" r="0" b="0"/>
                <wp:wrapNone/>
                <wp:docPr id="8" name="TextBox 7">
                  <a:extLst xmlns:a="http://schemas.openxmlformats.org/drawingml/2006/main">
                    <a:ext xmlns:a="http://schemas.openxmlformats.org/drawingml/2006/main" uri="{FF2B5EF4-FFF2-40B4-BE49-F238E27FC236}">
                      <a16:creationId xmlns:a16="http://schemas.microsoft.com/office/drawing/2014/main" id="{4AD66638-1890-A162-614B-648362F0F587}"/>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25551" cy="307777"/>
                        </a:xfrm>
                        <a:prstGeom prst="rect">
                          <a:avLst/>
                        </a:prstGeom>
                        <a:noFill/>
                      </wps:spPr>
                      <wps:txbx>
                        <w:txbxContent>
                          <w:p w:rsidR="009867BB" w:rsidP="009867BB" w14:textId="77777777">
                            <w:pPr>
                              <w:textAlignment w:val="baseline"/>
                              <w:rPr>
                                <w:rFonts w:ascii="Calibri" w:hAnsi="Calibri"/>
                                <w:i/>
                                <w:iCs/>
                                <w:color w:val="C00000"/>
                                <w:kern w:val="24"/>
                                <w:sz w:val="28"/>
                                <w:szCs w:val="28"/>
                              </w:rPr>
                            </w:pPr>
                            <w:r>
                              <w:rPr>
                                <w:rFonts w:ascii="Calibri" w:hAnsi="Calibri"/>
                                <w:i/>
                                <w:iCs/>
                                <w:color w:val="C00000"/>
                                <w:kern w:val="24"/>
                                <w:sz w:val="28"/>
                                <w:szCs w:val="28"/>
                              </w:rPr>
                              <w:t>Behaviors</w:t>
                            </w: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TextBox 7" o:spid="_x0000_s1027" type="#_x0000_t202" style="width:72.9pt;height:24.25pt;margin-top:710.65pt;margin-left:242pt;mso-wrap-distance-bottom:0;mso-wrap-distance-left:9pt;mso-wrap-distance-right:9pt;mso-wrap-distance-top:0;mso-wrap-style:square;position:absolute;visibility:visible;v-text-anchor:top;z-index:251667456" filled="f" stroked="f">
                <v:textbox style="mso-fit-shape-to-text:t">
                  <w:txbxContent>
                    <w:p w:rsidR="009867BB" w:rsidP="009867BB" w14:paraId="55FD1473" w14:textId="77777777">
                      <w:pPr>
                        <w:textAlignment w:val="baseline"/>
                        <w:rPr>
                          <w:rFonts w:ascii="Calibri" w:hAnsi="Calibri"/>
                          <w:i/>
                          <w:iCs/>
                          <w:color w:val="C00000"/>
                          <w:kern w:val="24"/>
                          <w:sz w:val="28"/>
                          <w:szCs w:val="28"/>
                        </w:rPr>
                      </w:pPr>
                      <w:r>
                        <w:rPr>
                          <w:rFonts w:ascii="Calibri" w:hAnsi="Calibri"/>
                          <w:i/>
                          <w:iCs/>
                          <w:color w:val="C00000"/>
                          <w:kern w:val="24"/>
                          <w:sz w:val="28"/>
                          <w:szCs w:val="28"/>
                        </w:rPr>
                        <w:t>Behaviors</w:t>
                      </w:r>
                    </w:p>
                  </w:txbxContent>
                </v:textbox>
              </v:shape>
            </w:pict>
          </mc:Fallback>
        </mc:AlternateContent>
      </w:r>
      <w:r w:rsidRPr="009867BB">
        <w:rPr>
          <w:b/>
          <w:bCs/>
          <w:noProof/>
          <w:color w:val="2B579A"/>
          <w:shd w:val="clear" w:color="auto" w:fill="E6E6E6"/>
        </w:rPr>
        <mc:AlternateContent>
          <mc:Choice Requires="wps">
            <w:drawing>
              <wp:anchor distT="0" distB="0" distL="114300" distR="114300" simplePos="0" relativeHeight="251668480" behindDoc="0" locked="0" layoutInCell="1" allowOverlap="1">
                <wp:simplePos x="0" y="0"/>
                <wp:positionH relativeFrom="column">
                  <wp:posOffset>4470400</wp:posOffset>
                </wp:positionH>
                <wp:positionV relativeFrom="paragraph">
                  <wp:posOffset>9025467</wp:posOffset>
                </wp:positionV>
                <wp:extent cx="925551" cy="307777"/>
                <wp:effectExtent l="0" t="0" r="0" b="0"/>
                <wp:wrapNone/>
                <wp:docPr id="935979839" name="TextBox 8">
                  <a:extLst xmlns:a="http://schemas.openxmlformats.org/drawingml/2006/main">
                    <a:ext xmlns:a="http://schemas.openxmlformats.org/drawingml/2006/main" uri="{FF2B5EF4-FFF2-40B4-BE49-F238E27FC236}">
                      <a16:creationId xmlns:a16="http://schemas.microsoft.com/office/drawing/2014/main" id="{26C26AC4-C5C5-547D-9178-1ED18F63914C}"/>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25551" cy="307777"/>
                        </a:xfrm>
                        <a:prstGeom prst="rect">
                          <a:avLst/>
                        </a:prstGeom>
                        <a:noFill/>
                      </wps:spPr>
                      <wps:txbx>
                        <w:txbxContent>
                          <w:p w:rsidR="009867BB" w:rsidP="009867BB" w14:textId="77777777">
                            <w:pPr>
                              <w:textAlignment w:val="baseline"/>
                              <w:rPr>
                                <w:rFonts w:ascii="Calibri" w:hAnsi="Calibri"/>
                                <w:i/>
                                <w:iCs/>
                                <w:color w:val="C00000"/>
                                <w:kern w:val="24"/>
                                <w:sz w:val="28"/>
                                <w:szCs w:val="28"/>
                              </w:rPr>
                            </w:pPr>
                            <w:r>
                              <w:rPr>
                                <w:rFonts w:ascii="Calibri" w:hAnsi="Calibri"/>
                                <w:i/>
                                <w:iCs/>
                                <w:color w:val="C00000"/>
                                <w:kern w:val="24"/>
                                <w:sz w:val="28"/>
                                <w:szCs w:val="28"/>
                              </w:rPr>
                              <w:t>Medical</w:t>
                            </w:r>
                          </w:p>
                        </w:txbxContent>
                      </wps:txbx>
                      <wps:bodyPr wrap="square" rtlCol="0">
                        <a:spAutoFit/>
                      </wps:bodyPr>
                    </wps:wsp>
                  </a:graphicData>
                </a:graphic>
              </wp:anchor>
            </w:drawing>
          </mc:Choice>
          <mc:Fallback>
            <w:pict>
              <v:shape id="TextBox 8" o:spid="_x0000_s1028" type="#_x0000_t202" style="width:72.9pt;height:24.25pt;margin-top:710.65pt;margin-left:352pt;mso-wrap-distance-bottom:0;mso-wrap-distance-left:9pt;mso-wrap-distance-right:9pt;mso-wrap-distance-top:0;mso-wrap-style:square;position:absolute;visibility:visible;v-text-anchor:top;z-index:251669504" filled="f" stroked="f">
                <v:textbox style="mso-fit-shape-to-text:t">
                  <w:txbxContent>
                    <w:p w:rsidR="009867BB" w:rsidP="009867BB" w14:paraId="364F358D" w14:textId="77777777">
                      <w:pPr>
                        <w:textAlignment w:val="baseline"/>
                        <w:rPr>
                          <w:rFonts w:ascii="Calibri" w:hAnsi="Calibri"/>
                          <w:i/>
                          <w:iCs/>
                          <w:color w:val="C00000"/>
                          <w:kern w:val="24"/>
                          <w:sz w:val="28"/>
                          <w:szCs w:val="28"/>
                        </w:rPr>
                      </w:pPr>
                      <w:r>
                        <w:rPr>
                          <w:rFonts w:ascii="Calibri" w:hAnsi="Calibri"/>
                          <w:i/>
                          <w:iCs/>
                          <w:color w:val="C00000"/>
                          <w:kern w:val="24"/>
                          <w:sz w:val="28"/>
                          <w:szCs w:val="28"/>
                        </w:rPr>
                        <w:t>Medical</w:t>
                      </w:r>
                    </w:p>
                  </w:txbxContent>
                </v:textbox>
              </v:shape>
            </w:pict>
          </mc:Fallback>
        </mc:AlternateContent>
      </w:r>
    </w:p>
    <w:p w:rsidR="00B128F9" w14:paraId="09E2B616" w14:textId="77777777">
      <w:pPr>
        <w:rPr>
          <w:b/>
          <w:bCs/>
        </w:rPr>
      </w:pPr>
    </w:p>
    <w:p w:rsidR="00BC4EBA" w:rsidRPr="004037B4" w:rsidP="00BC4EBA" w14:paraId="35BC8B6A" w14:textId="29CCC4E0">
      <w:pPr>
        <w:rPr>
          <w:b/>
          <w:bCs/>
        </w:rPr>
      </w:pPr>
      <w:r w:rsidRPr="2DF04DC2">
        <w:rPr>
          <w:b/>
          <w:bCs/>
        </w:rPr>
        <w:t xml:space="preserve">Figure </w:t>
      </w:r>
      <w:r w:rsidRPr="2DF04DC2" w:rsidR="00A43D16">
        <w:rPr>
          <w:b/>
          <w:bCs/>
        </w:rPr>
        <w:t>2</w:t>
      </w:r>
      <w:r w:rsidRPr="2DF04DC2">
        <w:rPr>
          <w:b/>
          <w:bCs/>
        </w:rPr>
        <w:t xml:space="preserve">b. Comparison of Respondent Estimates to Population Values: Number of Significant Differences, </w:t>
      </w:r>
      <w:r w:rsidRPr="2DF04DC2" w:rsidR="00C400C2">
        <w:rPr>
          <w:b/>
          <w:bCs/>
        </w:rPr>
        <w:t xml:space="preserve">Sample Over- and Under-estimates, </w:t>
      </w:r>
      <w:r w:rsidRPr="2DF04DC2">
        <w:rPr>
          <w:b/>
          <w:bCs/>
        </w:rPr>
        <w:t>46 Sites, 2021</w:t>
      </w:r>
    </w:p>
    <w:p w:rsidR="00B128F9" w14:paraId="3EDF227B" w14:textId="56796C8D">
      <w:pPr>
        <w:rPr>
          <w:b/>
          <w:bCs/>
        </w:rPr>
      </w:pPr>
      <w:r w:rsidRPr="000E1CC9">
        <w:rPr>
          <w:b/>
          <w:bCs/>
          <w:noProof/>
          <w:color w:val="2B579A"/>
          <w:shd w:val="clear" w:color="auto" w:fill="E6E6E6"/>
        </w:rPr>
        <w:drawing>
          <wp:inline distT="0" distB="0" distL="0" distR="0">
            <wp:extent cx="6502400" cy="4834466"/>
            <wp:effectExtent l="0" t="0" r="12700" b="4445"/>
            <wp:docPr id="459103492" name="Chart 1">
              <a:extLst xmlns:a="http://schemas.openxmlformats.org/drawingml/2006/main">
                <a:ext xmlns:a="http://schemas.openxmlformats.org/drawingml/2006/main" uri="{FF2B5EF4-FFF2-40B4-BE49-F238E27FC236}">
                  <a16:creationId xmlns:a16="http://schemas.microsoft.com/office/drawing/2014/main" id="{2244FC9A-7B37-B368-B4E2-151B0DC856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C4EBA" w14:paraId="10F7537F" w14:textId="77777777">
      <w:pPr>
        <w:rPr>
          <w:b/>
          <w:bCs/>
        </w:rPr>
      </w:pPr>
    </w:p>
    <w:p w:rsidR="00BC4EBA" w14:paraId="5713ABA2" w14:textId="41F76C1B">
      <w:pPr>
        <w:rPr>
          <w:b/>
          <w:bCs/>
        </w:rPr>
      </w:pPr>
      <w:r>
        <w:t xml:space="preserve">When comparing the full sample to respondents, </w:t>
      </w:r>
      <w:r w:rsidR="52005020">
        <w:t>most of the nonresponse biases are nonsignificant</w:t>
      </w:r>
      <w:r>
        <w:t xml:space="preserve"> or </w:t>
      </w:r>
      <w:r w:rsidR="52005020">
        <w:t>of minor magnitude</w:t>
      </w:r>
      <w:r w:rsidR="011E2A85">
        <w:t xml:space="preserve"> (data not shown)</w:t>
      </w:r>
      <w:r w:rsidR="52005020">
        <w:t xml:space="preserve">. For </w:t>
      </w:r>
      <w:r w:rsidR="42404B03">
        <w:t>2020</w:t>
      </w:r>
      <w:r w:rsidR="52005020">
        <w:t xml:space="preserve">, </w:t>
      </w:r>
      <w:r w:rsidR="752B8478">
        <w:t>81</w:t>
      </w:r>
      <w:r w:rsidR="52005020">
        <w:t>% of the nonresponse bias estimates were either nonsignificant or of minor magnitude (absolute bias &lt;1.5</w:t>
      </w:r>
      <w:r w:rsidR="04DC5730">
        <w:t xml:space="preserve"> percentage points</w:t>
      </w:r>
      <w:r w:rsidR="52005020">
        <w:t xml:space="preserve">) prior to adjusting for nonresponse, with a maximum absolute bias of </w:t>
      </w:r>
      <w:r w:rsidR="4DCA4E93">
        <w:t>6.7</w:t>
      </w:r>
      <w:r w:rsidR="021600D1">
        <w:t xml:space="preserve"> percentage points</w:t>
      </w:r>
      <w:r w:rsidR="52005020">
        <w:t xml:space="preserve">. </w:t>
      </w:r>
      <w:r w:rsidR="50DA8B7A">
        <w:t xml:space="preserve">After </w:t>
      </w:r>
      <w:r w:rsidR="52005020">
        <w:t xml:space="preserve">implementing the nonresponse adjustment, </w:t>
      </w:r>
      <w:r w:rsidR="6002AB0F">
        <w:t>t</w:t>
      </w:r>
      <w:r w:rsidR="2DA1CFAA">
        <w:t>he percentage of nonresponse bias estimates that were either nonsignificant or of minor magnitude</w:t>
      </w:r>
      <w:r w:rsidR="52005020">
        <w:t xml:space="preserve"> increased to 9</w:t>
      </w:r>
      <w:r w:rsidR="01BFBEDC">
        <w:t>1</w:t>
      </w:r>
      <w:r w:rsidR="52005020">
        <w:t xml:space="preserve">%, and the maximum absolute bias was reduced to </w:t>
      </w:r>
      <w:r w:rsidR="01BFBEDC">
        <w:t>4</w:t>
      </w:r>
      <w:r w:rsidR="52005020">
        <w:t>.4</w:t>
      </w:r>
      <w:r w:rsidR="7834CB32">
        <w:t xml:space="preserve"> percentage points</w:t>
      </w:r>
      <w:r w:rsidR="52005020">
        <w:t xml:space="preserve">.  Similar findings were observed </w:t>
      </w:r>
      <w:r w:rsidR="2FF5C631">
        <w:t>f</w:t>
      </w:r>
      <w:r w:rsidR="41DB62DE">
        <w:t>or 2021</w:t>
      </w:r>
      <w:r w:rsidR="2B6B09B3">
        <w:t>,</w:t>
      </w:r>
      <w:r w:rsidR="41DB62DE">
        <w:t xml:space="preserve"> </w:t>
      </w:r>
      <w:r w:rsidR="2FF5C631">
        <w:t xml:space="preserve">with </w:t>
      </w:r>
      <w:r w:rsidR="09C9F6C5">
        <w:t>78</w:t>
      </w:r>
      <w:r w:rsidR="6C83FBAA">
        <w:t xml:space="preserve">% of the nonresponse bias estimates either nonsignificant or of minor magnitude prior to adjusting for nonresponse, </w:t>
      </w:r>
      <w:r w:rsidR="64041F42">
        <w:t>an</w:t>
      </w:r>
      <w:r w:rsidR="7DCA85FC">
        <w:t>d</w:t>
      </w:r>
      <w:r w:rsidR="6C83FBAA">
        <w:t xml:space="preserve"> a maximum absolute bias of </w:t>
      </w:r>
      <w:r w:rsidR="272CB0D6">
        <w:t>7.0</w:t>
      </w:r>
      <w:r w:rsidR="7834CB32">
        <w:t xml:space="preserve"> percentage points</w:t>
      </w:r>
      <w:r w:rsidR="272CB0D6">
        <w:t>.</w:t>
      </w:r>
      <w:r w:rsidR="4AA0E5CD">
        <w:t xml:space="preserve"> After implementing the nonresponse adjustment, </w:t>
      </w:r>
      <w:r w:rsidR="2D46EEA9">
        <w:t>the percentage of nonresponse bias estimates that were either nonsignificant or of minor magnitude increased to 91%, and the maximum absolute bias was reduced to 4.</w:t>
      </w:r>
      <w:r w:rsidR="6B43FC03">
        <w:t>7</w:t>
      </w:r>
      <w:r w:rsidR="7834CB32">
        <w:t xml:space="preserve"> percentage points</w:t>
      </w:r>
      <w:r w:rsidR="2D46EEA9">
        <w:t>.</w:t>
      </w:r>
    </w:p>
    <w:p w:rsidR="00677FAC" w:rsidRPr="000E1CC9" w:rsidP="00677FAC" w14:paraId="4FBDFB95" w14:textId="24618657">
      <w:r w:rsidRPr="0E3FCE43">
        <w:rPr>
          <w:b/>
          <w:bCs/>
        </w:rPr>
        <w:t>Bias by Indicator</w:t>
      </w:r>
      <w:r>
        <w:t xml:space="preserve"> - </w:t>
      </w:r>
      <w:r w:rsidR="7C5ED946">
        <w:t xml:space="preserve">The bias for each indicator was averaged over all sites to produce the mean bias. Figures </w:t>
      </w:r>
      <w:r w:rsidR="7A6B4936">
        <w:t>3</w:t>
      </w:r>
      <w:r w:rsidR="7C5ED946">
        <w:t xml:space="preserve">a and </w:t>
      </w:r>
      <w:r w:rsidR="7A6B4936">
        <w:t>3</w:t>
      </w:r>
      <w:r w:rsidR="7C5ED946">
        <w:t xml:space="preserve">b </w:t>
      </w:r>
      <w:r w:rsidR="0F549C23">
        <w:t>display</w:t>
      </w:r>
      <w:r w:rsidR="7C5ED946">
        <w:t xml:space="preserve"> the mean bias with </w:t>
      </w:r>
      <w:r w:rsidR="0F549C23">
        <w:t>CIs</w:t>
      </w:r>
      <w:r w:rsidR="7C5ED946">
        <w:t xml:space="preserve"> for each indicator for 2020 and 2021. The estimates to </w:t>
      </w:r>
      <w:r w:rsidR="7C5ED946">
        <w:t xml:space="preserve">the right of the vertical x=0 line represent overestimates and those to the left </w:t>
      </w:r>
      <w:r w:rsidR="63F08362">
        <w:t xml:space="preserve">of the vertical x=0 </w:t>
      </w:r>
      <w:r w:rsidR="7C5ED946">
        <w:t>represent underestimates. Indicators where the 95% CI for bias overlaps the vertical x=</w:t>
      </w:r>
      <w:r w:rsidR="7C5ED946">
        <w:t>0 line</w:t>
      </w:r>
      <w:r w:rsidR="7C5ED946">
        <w:t xml:space="preserve"> exhibit bias not significantly different from zero.</w:t>
      </w:r>
    </w:p>
    <w:p w:rsidR="00677FAC" w:rsidRPr="000E1CC9" w:rsidP="00677FAC" w14:paraId="46696A61" w14:textId="4B095674">
      <w:r>
        <w:t xml:space="preserve">The medical indicators have the lowest levels of mean bias followed by the sociodemographic and behavior indicators. </w:t>
      </w:r>
      <w:r w:rsidR="25B07207">
        <w:t>Ten</w:t>
      </w:r>
      <w:r>
        <w:t xml:space="preserve"> of the 12 indic</w:t>
      </w:r>
      <w:r w:rsidR="7ABE157E">
        <w:t>a</w:t>
      </w:r>
      <w:r>
        <w:t>tors have a mean bias within 1 percentage point of the population estimate</w:t>
      </w:r>
      <w:r w:rsidR="606DF121">
        <w:t xml:space="preserve"> for both 2020 and 2021</w:t>
      </w:r>
      <w:r>
        <w:t xml:space="preserve">. Only breastfed </w:t>
      </w:r>
      <w:r w:rsidR="2CC04EFB">
        <w:t xml:space="preserve">in hospital </w:t>
      </w:r>
      <w:r>
        <w:t xml:space="preserve">and adequate PNC </w:t>
      </w:r>
      <w:r w:rsidR="28391C9C">
        <w:t>have point estimates</w:t>
      </w:r>
      <w:r w:rsidR="720AFA93">
        <w:t xml:space="preserve"> of mean bias</w:t>
      </w:r>
      <w:r>
        <w:t xml:space="preserve"> between 1 and 2 percentage points.  </w:t>
      </w:r>
    </w:p>
    <w:p w:rsidR="00A52485" w:rsidRPr="004037B4" w:rsidP="00A52485" w14:paraId="343A4E56" w14:textId="45815FDD">
      <w:pPr>
        <w:rPr>
          <w:b/>
          <w:bCs/>
        </w:rPr>
      </w:pPr>
      <w:r w:rsidRPr="2DF04DC2">
        <w:rPr>
          <w:b/>
          <w:bCs/>
        </w:rPr>
        <w:t xml:space="preserve">Figure </w:t>
      </w:r>
      <w:r w:rsidRPr="2DF04DC2" w:rsidR="00A43D16">
        <w:rPr>
          <w:b/>
          <w:bCs/>
        </w:rPr>
        <w:t>3</w:t>
      </w:r>
      <w:r w:rsidRPr="2DF04DC2">
        <w:rPr>
          <w:b/>
          <w:bCs/>
        </w:rPr>
        <w:t xml:space="preserve">a. Mean Bias Across </w:t>
      </w:r>
      <w:r w:rsidRPr="2DF04DC2" w:rsidR="00503E93">
        <w:rPr>
          <w:b/>
          <w:bCs/>
        </w:rPr>
        <w:t>P</w:t>
      </w:r>
      <w:r w:rsidRPr="2DF04DC2" w:rsidR="00F425D8">
        <w:rPr>
          <w:b/>
          <w:bCs/>
        </w:rPr>
        <w:t xml:space="preserve">RAMS </w:t>
      </w:r>
      <w:r w:rsidRPr="2DF04DC2">
        <w:rPr>
          <w:b/>
          <w:bCs/>
        </w:rPr>
        <w:t>Sites by Indicator, 47 Sites, 2020</w:t>
      </w:r>
    </w:p>
    <w:p w:rsidR="00BC4EBA" w14:paraId="7966E763" w14:textId="778DD623">
      <w:pPr>
        <w:rPr>
          <w:b/>
          <w:bCs/>
        </w:rPr>
      </w:pPr>
      <w:r w:rsidRPr="00677FAC">
        <w:rPr>
          <w:b/>
          <w:bCs/>
          <w:noProof/>
          <w:color w:val="2B579A"/>
          <w:shd w:val="clear" w:color="auto" w:fill="E6E6E6"/>
        </w:rPr>
        <w:drawing>
          <wp:inline distT="0" distB="0" distL="0" distR="0">
            <wp:extent cx="6320589" cy="4967605"/>
            <wp:effectExtent l="0" t="0" r="4445" b="4445"/>
            <wp:docPr id="824637613" name="Chart 1">
              <a:extLst xmlns:a="http://schemas.openxmlformats.org/drawingml/2006/main">
                <a:ext xmlns:a="http://schemas.openxmlformats.org/drawingml/2006/main" uri="{FF2B5EF4-FFF2-40B4-BE49-F238E27FC236}">
                  <a16:creationId xmlns:a16="http://schemas.microsoft.com/office/drawing/2014/main" id="{69BEC75A-12FC-3D82-033E-B1FA0B00CE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52485" w14:paraId="7A6F6D40" w14:textId="77777777">
      <w:pPr>
        <w:rPr>
          <w:b/>
          <w:bCs/>
        </w:rPr>
      </w:pPr>
    </w:p>
    <w:p w:rsidR="00A52485" w14:paraId="71DA4375" w14:textId="77777777">
      <w:pPr>
        <w:rPr>
          <w:b/>
          <w:bCs/>
        </w:rPr>
      </w:pPr>
      <w:r>
        <w:rPr>
          <w:b/>
          <w:bCs/>
        </w:rPr>
        <w:br w:type="page"/>
      </w:r>
    </w:p>
    <w:p w:rsidR="00A52485" w:rsidRPr="004037B4" w:rsidP="00A52485" w14:paraId="3F327AAE" w14:textId="0F47870B">
      <w:pPr>
        <w:rPr>
          <w:b/>
          <w:bCs/>
        </w:rPr>
      </w:pPr>
      <w:r w:rsidRPr="00C36868">
        <w:rPr>
          <w:b/>
          <w:bCs/>
        </w:rPr>
        <w:t xml:space="preserve">Figure </w:t>
      </w:r>
      <w:r w:rsidR="00A43D16">
        <w:rPr>
          <w:b/>
          <w:bCs/>
        </w:rPr>
        <w:t>3</w:t>
      </w:r>
      <w:r>
        <w:rPr>
          <w:b/>
          <w:bCs/>
        </w:rPr>
        <w:t>b</w:t>
      </w:r>
      <w:r w:rsidRPr="00C36868">
        <w:rPr>
          <w:b/>
          <w:bCs/>
        </w:rPr>
        <w:t xml:space="preserve">. </w:t>
      </w:r>
      <w:r>
        <w:rPr>
          <w:b/>
          <w:bCs/>
        </w:rPr>
        <w:t xml:space="preserve">Mean Bias Across </w:t>
      </w:r>
      <w:r w:rsidR="00196CA6">
        <w:rPr>
          <w:b/>
          <w:bCs/>
        </w:rPr>
        <w:t xml:space="preserve">PRAMS </w:t>
      </w:r>
      <w:r>
        <w:rPr>
          <w:b/>
          <w:bCs/>
        </w:rPr>
        <w:t>Sites by Indicator</w:t>
      </w:r>
      <w:r w:rsidRPr="004037B4">
        <w:rPr>
          <w:b/>
          <w:bCs/>
        </w:rPr>
        <w:t>, 4</w:t>
      </w:r>
      <w:r>
        <w:rPr>
          <w:b/>
          <w:bCs/>
        </w:rPr>
        <w:t>6</w:t>
      </w:r>
      <w:r w:rsidRPr="004037B4">
        <w:rPr>
          <w:b/>
          <w:bCs/>
        </w:rPr>
        <w:t xml:space="preserve"> Sites, 202</w:t>
      </w:r>
      <w:r>
        <w:rPr>
          <w:b/>
          <w:bCs/>
        </w:rPr>
        <w:t>1</w:t>
      </w:r>
    </w:p>
    <w:p w:rsidR="00BC4EBA" w14:paraId="304D2DAB" w14:textId="5339DDF7">
      <w:pPr>
        <w:rPr>
          <w:b/>
          <w:bCs/>
        </w:rPr>
      </w:pPr>
      <w:r>
        <w:rPr>
          <w:b/>
          <w:bCs/>
          <w:noProof/>
          <w:color w:val="2B579A"/>
          <w:shd w:val="clear" w:color="auto" w:fill="E6E6E6"/>
        </w:rPr>
        <mc:AlternateContent>
          <mc:Choice Requires="wps">
            <w:drawing>
              <wp:anchor distT="0" distB="0" distL="114300" distR="114300" simplePos="0" relativeHeight="251670528" behindDoc="0" locked="0" layoutInCell="1" allowOverlap="1">
                <wp:simplePos x="0" y="0"/>
                <wp:positionH relativeFrom="column">
                  <wp:posOffset>3483042</wp:posOffset>
                </wp:positionH>
                <wp:positionV relativeFrom="paragraph">
                  <wp:posOffset>379563</wp:posOffset>
                </wp:positionV>
                <wp:extent cx="0" cy="4021666"/>
                <wp:effectExtent l="0" t="0" r="38100" b="36195"/>
                <wp:wrapNone/>
                <wp:docPr id="1186714817"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0" cy="4021666"/>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9" style="mso-wrap-distance-bottom:0;mso-wrap-distance-left:9pt;mso-wrap-distance-right:9pt;mso-wrap-distance-top:0;mso-wrap-style:square;position:absolute;visibility:visible;z-index:251671552" from="274.25pt,29.9pt" to="274.25pt,346.55pt" strokecolor="#4472c4" strokeweight="1pt">
                <v:stroke joinstyle="miter"/>
              </v:line>
            </w:pict>
          </mc:Fallback>
        </mc:AlternateContent>
      </w:r>
      <w:r w:rsidRPr="0010003E">
        <w:rPr>
          <w:b/>
          <w:bCs/>
          <w:noProof/>
          <w:color w:val="2B579A"/>
          <w:shd w:val="clear" w:color="auto" w:fill="E6E6E6"/>
        </w:rPr>
        <w:drawing>
          <wp:inline distT="0" distB="0" distL="0" distR="0">
            <wp:extent cx="6215848" cy="4967605"/>
            <wp:effectExtent l="0" t="0" r="13970" b="4445"/>
            <wp:docPr id="1180200668" name="Chart 1">
              <a:extLst xmlns:a="http://schemas.openxmlformats.org/drawingml/2006/main">
                <a:ext xmlns:a="http://schemas.openxmlformats.org/drawingml/2006/main" uri="{FF2B5EF4-FFF2-40B4-BE49-F238E27FC236}">
                  <a16:creationId xmlns:a16="http://schemas.microsoft.com/office/drawing/2014/main" id="{381855B7-4346-F1BF-459C-037913805B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B5667" w14:paraId="2516DEF0" w14:textId="77777777">
      <w:pPr>
        <w:rPr>
          <w:b/>
          <w:bCs/>
        </w:rPr>
      </w:pPr>
    </w:p>
    <w:p w:rsidR="00CB5667" w14:paraId="5B97A665" w14:textId="77777777">
      <w:pPr>
        <w:rPr>
          <w:b/>
          <w:bCs/>
        </w:rPr>
      </w:pPr>
    </w:p>
    <w:p w:rsidR="00CB5667" w:rsidRPr="00CB5667" w:rsidP="2DF04DC2" w14:paraId="4757F3EA" w14:textId="1E875689">
      <w:r w:rsidRPr="00A4301A">
        <w:rPr>
          <w:b/>
          <w:bCs/>
        </w:rPr>
        <w:t xml:space="preserve">Bias by Site </w:t>
      </w:r>
      <w:r w:rsidRPr="000E1CC9">
        <w:t>–</w:t>
      </w:r>
      <w:r>
        <w:rPr>
          <w:b/>
          <w:bCs/>
        </w:rPr>
        <w:t xml:space="preserve"> </w:t>
      </w:r>
      <w:r>
        <w:t xml:space="preserve">We </w:t>
      </w:r>
      <w:r w:rsidRPr="000E1CC9">
        <w:t>calculated the mean absolute bias across all 12 indicators for each site to examine the relationship between bias and response rates. We then computed the least squares regression line for mean absolute error as predicted by response rate.</w:t>
      </w:r>
      <w:r w:rsidR="2B30AFB6">
        <w:t xml:space="preserve"> Figures </w:t>
      </w:r>
      <w:r w:rsidR="3070522A">
        <w:t>4</w:t>
      </w:r>
      <w:r w:rsidR="2B30AFB6">
        <w:t xml:space="preserve">a and </w:t>
      </w:r>
      <w:r w:rsidR="3070522A">
        <w:t>4</w:t>
      </w:r>
      <w:r w:rsidR="2B30AFB6">
        <w:t>b display the resulting scatter plots.</w:t>
      </w:r>
      <w:r w:rsidRPr="00F65C37" w:rsidR="2B30AFB6">
        <w:rPr>
          <w:rFonts w:ascii="Calibri" w:eastAsia="SimSun" w:hAnsi="Calibri" w:cs="Calibri"/>
          <w:color w:val="000000" w:themeColor="text1"/>
          <w:kern w:val="24"/>
        </w:rPr>
        <w:t xml:space="preserve"> </w:t>
      </w:r>
      <w:r w:rsidRPr="00F65C37" w:rsidR="2B30AFB6">
        <w:t>The correlation between response rate and bias is similar across the two years</w:t>
      </w:r>
      <w:r w:rsidR="1BE88394">
        <w:t>,</w:t>
      </w:r>
      <w:r w:rsidRPr="00F65C37" w:rsidR="2B30AFB6">
        <w:t xml:space="preserve"> -0.52 and -0.56</w:t>
      </w:r>
      <w:r w:rsidR="1BE88394">
        <w:t>, respectively</w:t>
      </w:r>
      <w:r w:rsidR="5E6A6177">
        <w:t xml:space="preserve">, indicating a </w:t>
      </w:r>
      <w:r w:rsidRPr="00F65C37" w:rsidR="2B30AFB6">
        <w:t xml:space="preserve">modest association. </w:t>
      </w:r>
      <w:r w:rsidR="16E184BE">
        <w:t>E</w:t>
      </w:r>
      <w:r w:rsidRPr="00F65C37" w:rsidR="16E184BE">
        <w:t>ach year</w:t>
      </w:r>
      <w:r w:rsidR="72E6E7E9">
        <w:t>,</w:t>
      </w:r>
      <w:r w:rsidRPr="00F65C37" w:rsidR="2B30AFB6">
        <w:t xml:space="preserve"> </w:t>
      </w:r>
      <w:r w:rsidR="16E184BE">
        <w:t>4 to 5</w:t>
      </w:r>
      <w:r w:rsidRPr="00F65C37" w:rsidR="2B30AFB6">
        <w:t xml:space="preserve"> sites have a mean absolute bias above 2.  However, as note</w:t>
      </w:r>
      <w:r w:rsidR="6B8E1D06">
        <w:t xml:space="preserve">d in </w:t>
      </w:r>
      <w:r w:rsidRPr="00F65C37" w:rsidR="2B30AFB6">
        <w:t xml:space="preserve">the graphs, </w:t>
      </w:r>
      <w:r w:rsidR="10A9745E">
        <w:t xml:space="preserve">not </w:t>
      </w:r>
      <w:r w:rsidR="10A9745E">
        <w:t>all of</w:t>
      </w:r>
      <w:r w:rsidR="10A9745E">
        <w:t xml:space="preserve"> these </w:t>
      </w:r>
      <w:r w:rsidR="16E184BE">
        <w:t xml:space="preserve">sites </w:t>
      </w:r>
      <w:r w:rsidRPr="00F65C37" w:rsidR="2B30AFB6">
        <w:t>have a response rate below 50%</w:t>
      </w:r>
      <w:r w:rsidR="2996B53D">
        <w:t>. S</w:t>
      </w:r>
      <w:r w:rsidR="41282779">
        <w:t>ome sites with a response rate abov</w:t>
      </w:r>
      <w:r w:rsidR="7DF865C7">
        <w:t xml:space="preserve">e </w:t>
      </w:r>
      <w:r w:rsidR="41282779">
        <w:t>50% ha</w:t>
      </w:r>
      <w:r w:rsidR="559B025E">
        <w:t>d</w:t>
      </w:r>
      <w:r w:rsidR="41282779">
        <w:t xml:space="preserve"> higher mean absolute bias than sites below the 50% threshold</w:t>
      </w:r>
      <w:r w:rsidR="40EEBF76">
        <w:t xml:space="preserve"> and vice versa</w:t>
      </w:r>
      <w:r w:rsidR="41282779">
        <w:t>. Th</w:t>
      </w:r>
      <w:r w:rsidR="7774B67F">
        <w:t xml:space="preserve">us, the </w:t>
      </w:r>
      <w:r w:rsidR="41282779">
        <w:t xml:space="preserve">50% response rate threshold does not </w:t>
      </w:r>
      <w:r w:rsidR="71E498EA">
        <w:t xml:space="preserve">necessarily </w:t>
      </w:r>
      <w:r w:rsidR="41282779">
        <w:t>distinguish sites with higher versus lower bias.</w:t>
      </w:r>
    </w:p>
    <w:p w:rsidR="00CB5667" w14:paraId="7E424811" w14:textId="143544F5">
      <w:pPr>
        <w:rPr>
          <w:b/>
          <w:bCs/>
        </w:rPr>
      </w:pPr>
    </w:p>
    <w:p w:rsidR="00F31945" w14:paraId="22A3D20F" w14:textId="77777777">
      <w:pPr>
        <w:rPr>
          <w:b/>
          <w:bCs/>
        </w:rPr>
      </w:pPr>
    </w:p>
    <w:p w:rsidR="0010003E" w:rsidRPr="00F65C37" w14:paraId="71CFEA48" w14:textId="63BA05B9">
      <w:pPr>
        <w:rPr>
          <w:b/>
          <w:bCs/>
        </w:rPr>
      </w:pPr>
      <w:r w:rsidRPr="000E1CC9">
        <w:rPr>
          <w:b/>
          <w:bCs/>
        </w:rPr>
        <w:t xml:space="preserve">Figures </w:t>
      </w:r>
      <w:r w:rsidR="00A43D16">
        <w:rPr>
          <w:b/>
          <w:bCs/>
        </w:rPr>
        <w:t>4</w:t>
      </w:r>
      <w:r w:rsidRPr="000E1CC9">
        <w:rPr>
          <w:b/>
          <w:bCs/>
        </w:rPr>
        <w:t xml:space="preserve">a and </w:t>
      </w:r>
      <w:r w:rsidR="00A43D16">
        <w:rPr>
          <w:b/>
          <w:bCs/>
        </w:rPr>
        <w:t>4</w:t>
      </w:r>
      <w:r w:rsidRPr="000E1CC9">
        <w:rPr>
          <w:b/>
          <w:bCs/>
        </w:rPr>
        <w:t>b. Rel</w:t>
      </w:r>
      <w:r w:rsidRPr="00F65C37">
        <w:rPr>
          <w:b/>
          <w:bCs/>
        </w:rPr>
        <w:t>ationship Between Mean Absolute Bias and Weighted Response Rates, 2020 and 2021</w:t>
      </w:r>
    </w:p>
    <w:p w:rsidR="0010003E" w14:paraId="49A61F4D" w14:textId="2BBB1234">
      <w:pPr>
        <w:rPr>
          <w:b/>
          <w:bCs/>
        </w:rPr>
      </w:pPr>
      <w:r>
        <w:rPr>
          <w:noProof/>
          <w:color w:val="2B579A"/>
          <w:shd w:val="clear" w:color="auto" w:fill="E6E6E6"/>
        </w:rPr>
        <mc:AlternateContent>
          <mc:Choice Requires="wps">
            <w:drawing>
              <wp:anchor distT="0" distB="0" distL="114300" distR="114300" simplePos="0" relativeHeight="251672576" behindDoc="0" locked="0" layoutInCell="1" allowOverlap="1">
                <wp:simplePos x="0" y="0"/>
                <wp:positionH relativeFrom="column">
                  <wp:posOffset>11499003</wp:posOffset>
                </wp:positionH>
                <wp:positionV relativeFrom="paragraph">
                  <wp:posOffset>12437533</wp:posOffset>
                </wp:positionV>
                <wp:extent cx="614252" cy="311532"/>
                <wp:effectExtent l="0" t="0" r="0" b="0"/>
                <wp:wrapNone/>
                <wp:docPr id="1196587602" name="Slide Number Placeholde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xmlns:wps="http://schemas.microsoft.com/office/word/2010/wordprocessingShape">
                      <wps:cNvSpPr>
                        <a:spLocks noGrp="1"/>
                      </wps:cNvSpPr>
                      <wps:spPr>
                        <a:xfrm>
                          <a:off x="0" y="0"/>
                          <a:ext cx="614252" cy="311532"/>
                        </a:xfrm>
                        <a:prstGeom prst="rect">
                          <a:avLst/>
                        </a:prstGeom>
                      </wps:spPr>
                      <wps:txbx>
                        <w:txbxContent>
                          <w:p w:rsidR="00CB5667" w:rsidP="00CB5667" w14:textId="77777777">
                            <w:pPr>
                              <w:jc w:val="right"/>
                              <w:textAlignment w:val="baseline"/>
                              <w:rPr>
                                <w:rFonts w:ascii="Calibri" w:eastAsia="+mn-ea" w:hAnsi="Calibri" w:cs="Calibri"/>
                                <w:color w:val="0057B7"/>
                                <w:kern w:val="24"/>
                                <w:sz w:val="27"/>
                                <w:szCs w:val="27"/>
                              </w:rPr>
                            </w:pPr>
                            <w:r>
                              <w:rPr>
                                <w:rFonts w:ascii="Calibri" w:eastAsia="+mn-ea" w:hAnsi="Calibri" w:cs="Calibri"/>
                                <w:color w:val="0057B7"/>
                                <w:kern w:val="24"/>
                                <w:sz w:val="27"/>
                                <w:szCs w:val="27"/>
                              </w:rPr>
                              <w:t>54</w:t>
                            </w:r>
                          </w:p>
                        </w:txbxContent>
                      </wps:txbx>
                      <wps:bodyPr vert="horz" lIns="91440" tIns="45720" rIns="91440" bIns="45720" rtlCol="0" anchor="ctr"/>
                    </wps:wsp>
                  </a:graphicData>
                </a:graphic>
              </wp:anchor>
            </w:drawing>
          </mc:Choice>
          <mc:Fallback>
            <w:pict>
              <v:rect id="_x0000_s1030" alt="&quot;&quot;" style="width:48.35pt;height:24.55pt;margin-top:979.35pt;margin-left:905.45pt;mso-wrap-distance-bottom:0;mso-wrap-distance-left:9pt;mso-wrap-distance-right:9pt;mso-wrap-distance-top:0;mso-wrap-style:square;position:absolute;visibility:visible;v-text-anchor:middle;z-index:251673600" filled="f" stroked="f">
                <v:textbox>
                  <w:txbxContent>
                    <w:p w:rsidR="00CB5667" w:rsidP="00CB5667" w14:paraId="1082FEAD" w14:textId="77777777">
                      <w:pPr>
                        <w:jc w:val="right"/>
                        <w:textAlignment w:val="baseline"/>
                        <w:rPr>
                          <w:rFonts w:ascii="Calibri" w:eastAsia="+mn-ea" w:hAnsi="Calibri" w:cs="Calibri"/>
                          <w:color w:val="0057B7"/>
                          <w:kern w:val="24"/>
                          <w:sz w:val="27"/>
                          <w:szCs w:val="27"/>
                        </w:rPr>
                      </w:pPr>
                      <w:r>
                        <w:rPr>
                          <w:rFonts w:ascii="Calibri" w:eastAsia="+mn-ea" w:hAnsi="Calibri" w:cs="Calibri"/>
                          <w:color w:val="0057B7"/>
                          <w:kern w:val="24"/>
                          <w:sz w:val="27"/>
                          <w:szCs w:val="27"/>
                        </w:rPr>
                        <w:t>54</w:t>
                      </w:r>
                    </w:p>
                  </w:txbxContent>
                </v:textbox>
              </v:rect>
            </w:pict>
          </mc:Fallback>
        </mc:AlternateContent>
      </w:r>
      <w:r w:rsidR="00986726">
        <w:rPr>
          <w:noProof/>
          <w:color w:val="2B579A"/>
          <w:shd w:val="clear" w:color="auto" w:fill="E6E6E6"/>
        </w:rPr>
        <w:drawing>
          <wp:inline distT="0" distB="0" distL="0" distR="0">
            <wp:extent cx="5537200" cy="2730500"/>
            <wp:effectExtent l="0" t="0" r="6350" b="12700"/>
            <wp:docPr id="243674016" name="Chart 2">
              <a:extLst xmlns:a="http://schemas.openxmlformats.org/drawingml/2006/main">
                <a:ext xmlns:a="http://schemas.openxmlformats.org/drawingml/2006/main" uri="{FF2B5EF4-FFF2-40B4-BE49-F238E27FC236}">
                  <a16:creationId xmlns:a16="http://schemas.microsoft.com/office/drawing/2014/main" id="{1C465254-3009-866A-178F-BE17E740B2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color w:val="2B579A"/>
          <w:shd w:val="clear" w:color="auto" w:fill="E6E6E6"/>
        </w:rPr>
        <w:drawing>
          <wp:inline distT="0" distB="0" distL="0" distR="0">
            <wp:extent cx="5537200" cy="2730500"/>
            <wp:effectExtent l="0" t="0" r="6350" b="12700"/>
            <wp:docPr id="1987108732" name="Chart 1">
              <a:extLst xmlns:a="http://schemas.openxmlformats.org/drawingml/2006/main">
                <a:ext xmlns:a="http://schemas.openxmlformats.org/drawingml/2006/main" uri="{FF2B5EF4-FFF2-40B4-BE49-F238E27FC236}">
                  <a16:creationId xmlns:a16="http://schemas.microsoft.com/office/drawing/2014/main" id="{4348613A-12A8-4B26-8C39-87E8CD18C9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color w:val="2B579A"/>
          <w:shd w:val="clear" w:color="auto" w:fill="E6E6E6"/>
        </w:rPr>
        <mc:AlternateContent>
          <mc:Choice Requires="wps">
            <w:drawing>
              <wp:anchor distT="0" distB="0" distL="114300" distR="114300" simplePos="0" relativeHeight="251674624" behindDoc="0" locked="0" layoutInCell="1" allowOverlap="1">
                <wp:simplePos x="0" y="0"/>
                <wp:positionH relativeFrom="column">
                  <wp:posOffset>8129270</wp:posOffset>
                </wp:positionH>
                <wp:positionV relativeFrom="paragraph">
                  <wp:posOffset>11176000</wp:posOffset>
                </wp:positionV>
                <wp:extent cx="3124200" cy="646331"/>
                <wp:effectExtent l="0" t="0" r="19050" b="20955"/>
                <wp:wrapNone/>
                <wp:docPr id="18" name="TextBox 17">
                  <a:extLst xmlns:a="http://schemas.openxmlformats.org/drawingml/2006/main">
                    <a:ext xmlns:a="http://schemas.openxmlformats.org/drawingml/2006/main" uri="{FF2B5EF4-FFF2-40B4-BE49-F238E27FC236}">
                      <a16:creationId xmlns:a16="http://schemas.microsoft.com/office/drawing/2014/main" id="{4F36C5D5-7529-21C1-46AD-4990CE076AA4}"/>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124200" cy="646331"/>
                        </a:xfrm>
                        <a:prstGeom prst="rect">
                          <a:avLst/>
                        </a:prstGeom>
                        <a:solidFill>
                          <a:srgbClr val="A1D1CA"/>
                        </a:solidFill>
                        <a:ln>
                          <a:solidFill>
                            <a:srgbClr val="7F8080"/>
                          </a:solidFill>
                        </a:ln>
                      </wps:spPr>
                      <wps:txbx>
                        <w:txbxContent>
                          <w:p w:rsidR="00CB5667" w:rsidP="00CB5667" w14:textId="77777777">
                            <w:pPr>
                              <w:textAlignment w:val="baseline"/>
                              <w:rPr>
                                <w:rFonts w:ascii="Calibri" w:eastAsia="SimSun" w:hAnsi="Calibri" w:cs="Calibri"/>
                                <w:color w:val="122C41"/>
                                <w:kern w:val="24"/>
                                <w:sz w:val="36"/>
                                <w:szCs w:val="36"/>
                              </w:rPr>
                            </w:pPr>
                            <w:r>
                              <w:rPr>
                                <w:rFonts w:ascii="Calibri" w:eastAsia="SimSun" w:hAnsi="Calibri" w:cs="Calibri"/>
                                <w:color w:val="122C41"/>
                                <w:kern w:val="24"/>
                                <w:sz w:val="36"/>
                                <w:szCs w:val="36"/>
                              </w:rPr>
                              <w:t xml:space="preserve">Correlation between response rate and bias </w:t>
                            </w:r>
                            <w:r>
                              <w:rPr>
                                <w:rFonts w:ascii="Calibri" w:eastAsia="SimSun" w:hAnsi="Calibri" w:cs="Calibri"/>
                                <w:color w:val="122C41"/>
                                <w:kern w:val="24"/>
                                <w:sz w:val="36"/>
                                <w:szCs w:val="36"/>
                              </w:rPr>
                              <w:t>=  -</w:t>
                            </w:r>
                            <w:r>
                              <w:rPr>
                                <w:rFonts w:ascii="Calibri" w:eastAsia="SimSun" w:hAnsi="Calibri" w:cs="Calibri"/>
                                <w:color w:val="122C41"/>
                                <w:kern w:val="24"/>
                                <w:sz w:val="36"/>
                                <w:szCs w:val="36"/>
                              </w:rPr>
                              <w:t>0.56</w:t>
                            </w:r>
                          </w:p>
                        </w:txbxContent>
                      </wps:txbx>
                      <wps:bodyPr wrap="square" rtlCol="0">
                        <a:spAutoFit/>
                      </wps:bodyPr>
                    </wps:wsp>
                  </a:graphicData>
                </a:graphic>
              </wp:anchor>
            </w:drawing>
          </mc:Choice>
          <mc:Fallback>
            <w:pict>
              <v:shape id="TextBox 17" o:spid="_x0000_s1031" type="#_x0000_t202" style="width:246pt;height:50.9pt;margin-top:880pt;margin-left:640.1pt;mso-wrap-distance-bottom:0;mso-wrap-distance-left:9pt;mso-wrap-distance-right:9pt;mso-wrap-distance-top:0;mso-wrap-style:square;position:absolute;visibility:visible;v-text-anchor:top;z-index:251675648" fillcolor="#a1d1ca" strokecolor="#7f8080">
                <v:textbox style="mso-fit-shape-to-text:t">
                  <w:txbxContent>
                    <w:p w:rsidR="00CB5667" w:rsidP="00CB5667" w14:paraId="0C70EB59" w14:textId="77777777">
                      <w:pPr>
                        <w:textAlignment w:val="baseline"/>
                        <w:rPr>
                          <w:rFonts w:ascii="Calibri" w:eastAsia="SimSun" w:hAnsi="Calibri" w:cs="Calibri"/>
                          <w:color w:val="122C41"/>
                          <w:kern w:val="24"/>
                          <w:sz w:val="36"/>
                          <w:szCs w:val="36"/>
                        </w:rPr>
                      </w:pPr>
                      <w:r>
                        <w:rPr>
                          <w:rFonts w:ascii="Calibri" w:eastAsia="SimSun" w:hAnsi="Calibri" w:cs="Calibri"/>
                          <w:color w:val="122C41"/>
                          <w:kern w:val="24"/>
                          <w:sz w:val="36"/>
                          <w:szCs w:val="36"/>
                        </w:rPr>
                        <w:t xml:space="preserve">Correlation between response rate and bias </w:t>
                      </w:r>
                      <w:r>
                        <w:rPr>
                          <w:rFonts w:ascii="Calibri" w:eastAsia="SimSun" w:hAnsi="Calibri" w:cs="Calibri"/>
                          <w:color w:val="122C41"/>
                          <w:kern w:val="24"/>
                          <w:sz w:val="36"/>
                          <w:szCs w:val="36"/>
                        </w:rPr>
                        <w:t>=  -</w:t>
                      </w:r>
                      <w:r>
                        <w:rPr>
                          <w:rFonts w:ascii="Calibri" w:eastAsia="SimSun" w:hAnsi="Calibri" w:cs="Calibri"/>
                          <w:color w:val="122C41"/>
                          <w:kern w:val="24"/>
                          <w:sz w:val="36"/>
                          <w:szCs w:val="36"/>
                        </w:rPr>
                        <w:t>0.56</w:t>
                      </w:r>
                    </w:p>
                  </w:txbxContent>
                </v:textbox>
              </v:shape>
            </w:pict>
          </mc:Fallback>
        </mc:AlternateContent>
      </w:r>
      <w:r>
        <w:rPr>
          <w:noProof/>
          <w:color w:val="2B579A"/>
          <w:shd w:val="clear" w:color="auto" w:fill="E6E6E6"/>
        </w:rPr>
        <mc:AlternateContent>
          <mc:Choice Requires="wps">
            <w:drawing>
              <wp:anchor distT="0" distB="0" distL="114300" distR="114300" simplePos="0" relativeHeight="251676672" behindDoc="0" locked="0" layoutInCell="1" allowOverlap="1">
                <wp:simplePos x="0" y="0"/>
                <wp:positionH relativeFrom="column">
                  <wp:posOffset>1813137</wp:posOffset>
                </wp:positionH>
                <wp:positionV relativeFrom="paragraph">
                  <wp:posOffset>11176000</wp:posOffset>
                </wp:positionV>
                <wp:extent cx="3124200" cy="646331"/>
                <wp:effectExtent l="0" t="0" r="19050" b="20955"/>
                <wp:wrapNone/>
                <wp:docPr id="19" name="TextBox 18">
                  <a:extLst xmlns:a="http://schemas.openxmlformats.org/drawingml/2006/main">
                    <a:ext xmlns:a="http://schemas.openxmlformats.org/drawingml/2006/main" uri="{FF2B5EF4-FFF2-40B4-BE49-F238E27FC236}">
                      <a16:creationId xmlns:a16="http://schemas.microsoft.com/office/drawing/2014/main" id="{B547DFEE-8A07-E0AF-29EC-F485C0C0CC79}"/>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124200" cy="646331"/>
                        </a:xfrm>
                        <a:prstGeom prst="rect">
                          <a:avLst/>
                        </a:prstGeom>
                        <a:solidFill>
                          <a:srgbClr val="A1D1CA"/>
                        </a:solidFill>
                        <a:ln>
                          <a:solidFill>
                            <a:srgbClr val="7F8080"/>
                          </a:solidFill>
                        </a:ln>
                      </wps:spPr>
                      <wps:txbx>
                        <w:txbxContent>
                          <w:p w:rsidR="00CB5667" w:rsidP="00CB5667" w14:textId="77777777">
                            <w:pPr>
                              <w:textAlignment w:val="baseline"/>
                              <w:rPr>
                                <w:rFonts w:ascii="Calibri" w:eastAsia="SimSun" w:hAnsi="Calibri" w:cs="Calibri"/>
                                <w:color w:val="122C41"/>
                                <w:kern w:val="24"/>
                                <w:sz w:val="36"/>
                                <w:szCs w:val="36"/>
                              </w:rPr>
                            </w:pPr>
                            <w:r>
                              <w:rPr>
                                <w:rFonts w:ascii="Calibri" w:eastAsia="SimSun" w:hAnsi="Calibri" w:cs="Calibri"/>
                                <w:color w:val="122C41"/>
                                <w:kern w:val="24"/>
                                <w:sz w:val="36"/>
                                <w:szCs w:val="36"/>
                              </w:rPr>
                              <w:t xml:space="preserve">Correlation between response rate and bias </w:t>
                            </w:r>
                            <w:r>
                              <w:rPr>
                                <w:rFonts w:ascii="Calibri" w:eastAsia="SimSun" w:hAnsi="Calibri" w:cs="Calibri"/>
                                <w:color w:val="122C41"/>
                                <w:kern w:val="24"/>
                                <w:sz w:val="36"/>
                                <w:szCs w:val="36"/>
                              </w:rPr>
                              <w:t>=  -</w:t>
                            </w:r>
                            <w:r>
                              <w:rPr>
                                <w:rFonts w:ascii="Calibri" w:eastAsia="SimSun" w:hAnsi="Calibri" w:cs="Calibri"/>
                                <w:color w:val="122C41"/>
                                <w:kern w:val="24"/>
                                <w:sz w:val="36"/>
                                <w:szCs w:val="36"/>
                              </w:rPr>
                              <w:t>0.52</w:t>
                            </w:r>
                          </w:p>
                        </w:txbxContent>
                      </wps:txbx>
                      <wps:bodyPr wrap="square" rtlCol="0">
                        <a:spAutoFit/>
                      </wps:bodyPr>
                    </wps:wsp>
                  </a:graphicData>
                </a:graphic>
              </wp:anchor>
            </w:drawing>
          </mc:Choice>
          <mc:Fallback>
            <w:pict>
              <v:shape id="TextBox 18" o:spid="_x0000_s1032" type="#_x0000_t202" style="width:246pt;height:50.9pt;margin-top:880pt;margin-left:142.75pt;mso-wrap-distance-bottom:0;mso-wrap-distance-left:9pt;mso-wrap-distance-right:9pt;mso-wrap-distance-top:0;mso-wrap-style:square;position:absolute;visibility:visible;v-text-anchor:top;z-index:251677696" fillcolor="#a1d1ca" strokecolor="#7f8080">
                <v:textbox style="mso-fit-shape-to-text:t">
                  <w:txbxContent>
                    <w:p w:rsidR="00CB5667" w:rsidP="00CB5667" w14:paraId="63017E29" w14:textId="77777777">
                      <w:pPr>
                        <w:textAlignment w:val="baseline"/>
                        <w:rPr>
                          <w:rFonts w:ascii="Calibri" w:eastAsia="SimSun" w:hAnsi="Calibri" w:cs="Calibri"/>
                          <w:color w:val="122C41"/>
                          <w:kern w:val="24"/>
                          <w:sz w:val="36"/>
                          <w:szCs w:val="36"/>
                        </w:rPr>
                      </w:pPr>
                      <w:r>
                        <w:rPr>
                          <w:rFonts w:ascii="Calibri" w:eastAsia="SimSun" w:hAnsi="Calibri" w:cs="Calibri"/>
                          <w:color w:val="122C41"/>
                          <w:kern w:val="24"/>
                          <w:sz w:val="36"/>
                          <w:szCs w:val="36"/>
                        </w:rPr>
                        <w:t xml:space="preserve">Correlation between response rate and bias </w:t>
                      </w:r>
                      <w:r>
                        <w:rPr>
                          <w:rFonts w:ascii="Calibri" w:eastAsia="SimSun" w:hAnsi="Calibri" w:cs="Calibri"/>
                          <w:color w:val="122C41"/>
                          <w:kern w:val="24"/>
                          <w:sz w:val="36"/>
                          <w:szCs w:val="36"/>
                        </w:rPr>
                        <w:t>=  -</w:t>
                      </w:r>
                      <w:r>
                        <w:rPr>
                          <w:rFonts w:ascii="Calibri" w:eastAsia="SimSun" w:hAnsi="Calibri" w:cs="Calibri"/>
                          <w:color w:val="122C41"/>
                          <w:kern w:val="24"/>
                          <w:sz w:val="36"/>
                          <w:szCs w:val="36"/>
                        </w:rPr>
                        <w:t>0.52</w:t>
                      </w:r>
                    </w:p>
                  </w:txbxContent>
                </v:textbox>
              </v:shape>
            </w:pict>
          </mc:Fallback>
        </mc:AlternateContent>
      </w:r>
    </w:p>
    <w:p w:rsidR="00505BEA" w14:paraId="29F0C124" w14:textId="142E3C73"/>
    <w:p w:rsidR="005B11A5" w:rsidP="000F0A77" w14:paraId="20AC94F5" w14:textId="5C22C246">
      <w:pPr>
        <w:pStyle w:val="ListParagraph"/>
        <w:ind w:left="18"/>
      </w:pPr>
      <w:r>
        <w:t>We also examined the relationship between response rates and absolute nonresponse bias for each indicator</w:t>
      </w:r>
      <w:r w:rsidR="4226C625">
        <w:t xml:space="preserve"> (data not shown)</w:t>
      </w:r>
      <w:r>
        <w:t xml:space="preserve">. The results show a </w:t>
      </w:r>
      <w:r w:rsidR="481BDBB6">
        <w:t>modest</w:t>
      </w:r>
      <w:r w:rsidR="18F3B593">
        <w:t>-</w:t>
      </w:r>
      <w:r w:rsidR="481BDBB6">
        <w:t>to</w:t>
      </w:r>
      <w:r w:rsidR="4E312E73">
        <w:t>-</w:t>
      </w:r>
      <w:r>
        <w:t xml:space="preserve">weak negative correlation between response rates and absolute nonresponse bias, ranging from -0.45 to -0.11. </w:t>
      </w:r>
      <w:r w:rsidR="6800E60D">
        <w:t>Although a 1% reduction in average absolute nonresponse bias is associated with a 23% to 56% increase in response rates across variables, the effect size is minimal.</w:t>
      </w:r>
      <w:r w:rsidR="14626F85">
        <w:t xml:space="preserve"> This </w:t>
      </w:r>
      <w:r w:rsidR="02135EAD">
        <w:t xml:space="preserve">finding </w:t>
      </w:r>
      <w:r w:rsidR="14626F85">
        <w:t>suggest</w:t>
      </w:r>
      <w:r w:rsidR="7BF9AA44">
        <w:t>s</w:t>
      </w:r>
      <w:r w:rsidR="14626F85">
        <w:t xml:space="preserve"> that</w:t>
      </w:r>
      <w:r w:rsidR="602BED92">
        <w:t xml:space="preserve"> </w:t>
      </w:r>
      <w:r w:rsidR="14626F85">
        <w:t xml:space="preserve">variations in response rates do not significantly affect nonresponse bias. </w:t>
      </w:r>
      <w:r w:rsidR="713F1760">
        <w:t>These</w:t>
      </w:r>
      <w:r w:rsidR="14626F85">
        <w:t xml:space="preserve"> findings </w:t>
      </w:r>
      <w:r w:rsidR="713F1760">
        <w:t xml:space="preserve">further support </w:t>
      </w:r>
      <w:r w:rsidR="518B679D">
        <w:t xml:space="preserve">the </w:t>
      </w:r>
      <w:r w:rsidR="713F1760">
        <w:t>argument</w:t>
      </w:r>
      <w:r w:rsidR="14626F85">
        <w:t xml:space="preserve"> that sites with response rates below the current PRAMS response rate threshold of 50% can produce reliable results.  </w:t>
      </w:r>
    </w:p>
    <w:p w:rsidR="00AF540F" w:rsidRPr="00AF540F" w:rsidP="00AF540F" w14:paraId="4475C3E0" w14:textId="571AB46B">
      <w:pPr>
        <w:rPr>
          <w:b/>
          <w:bCs/>
        </w:rPr>
      </w:pPr>
      <w:r>
        <w:t>Subpopulation analysis –</w:t>
      </w:r>
      <w:r w:rsidRPr="0E3FCE43">
        <w:rPr>
          <w:b/>
          <w:bCs/>
        </w:rPr>
        <w:t xml:space="preserve"> </w:t>
      </w:r>
      <w:r>
        <w:t>We also examined bias for subpopulation groups by maternal race, maternal education, maternal age, maternal ethnicity, and marital status. For this analysis, we aggregated data over all sites since some subpopulations have smaller numbers of respondents. Again, we looked at the mean absolute bias across the 12 indicators. Figure</w:t>
      </w:r>
      <w:r w:rsidR="199F2E52">
        <w:t>s 5a and 5b</w:t>
      </w:r>
      <w:r>
        <w:t xml:space="preserve"> display the results by subpopulation for </w:t>
      </w:r>
      <w:r w:rsidR="405896FC">
        <w:t xml:space="preserve">2020 and </w:t>
      </w:r>
      <w:r>
        <w:t xml:space="preserve">2021. For all subpopulations except for </w:t>
      </w:r>
      <w:r w:rsidR="51E02A92">
        <w:t>Native Hawaiian/Other Pacific Islander (</w:t>
      </w:r>
      <w:r>
        <w:t>NHOPI</w:t>
      </w:r>
      <w:r w:rsidR="51E02A92">
        <w:t>)</w:t>
      </w:r>
      <w:r w:rsidR="70B97142">
        <w:t>,</w:t>
      </w:r>
      <w:r>
        <w:t xml:space="preserve"> the mean absolute bias was under 2. The high</w:t>
      </w:r>
      <w:r w:rsidR="5D33A27F">
        <w:t>er</w:t>
      </w:r>
      <w:r>
        <w:t xml:space="preserve"> bias </w:t>
      </w:r>
      <w:r w:rsidR="46169925">
        <w:t>of 3.5 percentage poi</w:t>
      </w:r>
      <w:r w:rsidR="3B10A442">
        <w:t xml:space="preserve">nts </w:t>
      </w:r>
      <w:r>
        <w:t xml:space="preserve">in NHOPI is likely attributed to the small number of respondents in this group.  </w:t>
      </w:r>
    </w:p>
    <w:p w:rsidR="00AF540F" w14:paraId="77F85601" w14:textId="74E8468F">
      <w:pPr>
        <w:rPr>
          <w:b/>
          <w:bCs/>
        </w:rPr>
      </w:pPr>
    </w:p>
    <w:p w:rsidR="00590A32" w:rsidP="00590A32" w14:paraId="128C8E03" w14:textId="284C0D37">
      <w:pPr>
        <w:pStyle w:val="NoSpacing"/>
        <w:rPr>
          <w:b/>
          <w:bCs/>
        </w:rPr>
      </w:pPr>
      <w:r w:rsidRPr="47A78F89">
        <w:rPr>
          <w:b/>
          <w:bCs/>
        </w:rPr>
        <w:t xml:space="preserve">Figures </w:t>
      </w:r>
      <w:r w:rsidRPr="47A78F89" w:rsidR="12B65C14">
        <w:rPr>
          <w:b/>
          <w:bCs/>
        </w:rPr>
        <w:t>5</w:t>
      </w:r>
      <w:r w:rsidRPr="47A78F89">
        <w:rPr>
          <w:b/>
          <w:bCs/>
        </w:rPr>
        <w:t xml:space="preserve">a and </w:t>
      </w:r>
      <w:r w:rsidRPr="47A78F89" w:rsidR="12B65C14">
        <w:rPr>
          <w:b/>
          <w:bCs/>
        </w:rPr>
        <w:t>5</w:t>
      </w:r>
      <w:r w:rsidRPr="47A78F89">
        <w:rPr>
          <w:b/>
          <w:bCs/>
        </w:rPr>
        <w:t xml:space="preserve">b. Mean Absolute Bias </w:t>
      </w:r>
      <w:r w:rsidRPr="47A78F89" w:rsidR="29359FD2">
        <w:rPr>
          <w:b/>
          <w:bCs/>
        </w:rPr>
        <w:t>Across All Indicators,</w:t>
      </w:r>
      <w:r w:rsidRPr="47A78F89" w:rsidR="4A47A1C8">
        <w:rPr>
          <w:b/>
          <w:bCs/>
        </w:rPr>
        <w:t xml:space="preserve"> </w:t>
      </w:r>
      <w:r w:rsidRPr="47A78F89">
        <w:rPr>
          <w:b/>
          <w:bCs/>
        </w:rPr>
        <w:t>by Subpopulation, 2020 and 2021</w:t>
      </w:r>
    </w:p>
    <w:p w:rsidR="00590A32" w:rsidP="00590A32" w14:paraId="3530C968" w14:textId="075D9291">
      <w:pPr>
        <w:pStyle w:val="NoSpacing"/>
        <w:rPr>
          <w:b/>
          <w:bCs/>
        </w:rPr>
      </w:pPr>
    </w:p>
    <w:p w:rsidR="00590A32" w:rsidRPr="00FC2FA8" w:rsidP="00590A32" w14:paraId="2BAB7632" w14:textId="0507E5D7">
      <w:pPr>
        <w:pStyle w:val="NoSpacing"/>
        <w:rPr>
          <w:sz w:val="24"/>
          <w:szCs w:val="24"/>
        </w:rPr>
      </w:pPr>
      <w:r w:rsidRPr="00FC2FA8">
        <w:rPr>
          <w:noProof/>
          <w:sz w:val="24"/>
          <w:szCs w:val="24"/>
        </w:rPr>
        <mc:AlternateContent>
          <mc:Choice Requires="wps">
            <w:drawing>
              <wp:anchor distT="0" distB="0" distL="114300" distR="114300" simplePos="0" relativeHeight="251695104" behindDoc="0" locked="0" layoutInCell="1" allowOverlap="1">
                <wp:simplePos x="0" y="0"/>
                <wp:positionH relativeFrom="column">
                  <wp:posOffset>2534545</wp:posOffset>
                </wp:positionH>
                <wp:positionV relativeFrom="paragraph">
                  <wp:posOffset>383161</wp:posOffset>
                </wp:positionV>
                <wp:extent cx="12274" cy="1434486"/>
                <wp:effectExtent l="0" t="0" r="26035" b="32385"/>
                <wp:wrapNone/>
                <wp:docPr id="233671811"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12274" cy="1434486"/>
                        </a:xfrm>
                        <a:prstGeom prst="line">
                          <a:avLst/>
                        </a:prstGeom>
                        <a:noFill/>
                        <a:ln w="25400">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33" style="mso-height-percent:0;mso-height-relative:margin;mso-width-percent:0;mso-width-relative:margin;mso-wrap-distance-bottom:0;mso-wrap-distance-left:9pt;mso-wrap-distance-right:9pt;mso-wrap-distance-top:0;mso-wrap-style:square;position:absolute;visibility:visible;z-index:251696128" from="199.55pt,30.15pt" to="200.5pt,143.1pt" strokecolor="red" strokeweight="2pt">
                <v:stroke joinstyle="miter"/>
              </v:line>
            </w:pict>
          </mc:Fallback>
        </mc:AlternateContent>
      </w:r>
      <w:r w:rsidRPr="00FC2FA8">
        <w:rPr>
          <w:noProof/>
          <w:sz w:val="24"/>
          <w:szCs w:val="24"/>
        </w:rPr>
        <w:drawing>
          <wp:inline distT="0" distB="0" distL="0" distR="0">
            <wp:extent cx="5981700" cy="3169920"/>
            <wp:effectExtent l="0" t="0" r="0" b="0"/>
            <wp:docPr id="802738825" name="Chart 1">
              <a:extLst xmlns:a="http://schemas.openxmlformats.org/drawingml/2006/main">
                <a:ext xmlns:a="http://schemas.openxmlformats.org/drawingml/2006/main" uri="{FF2B5EF4-FFF2-40B4-BE49-F238E27FC236}">
                  <a16:creationId xmlns:a16="http://schemas.microsoft.com/office/drawing/2014/main" id="{F30AE17B-D50E-49F2-B982-7AB014B58A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90A32" w:rsidP="00590A32" w14:paraId="6BE226B7" w14:textId="0A90FDB0">
      <w:pPr>
        <w:rPr>
          <w:b/>
          <w:bCs/>
        </w:rPr>
      </w:pPr>
      <w:r>
        <w:rPr>
          <w:noProof/>
          <w:color w:val="2B579A"/>
          <w:shd w:val="clear" w:color="auto" w:fill="E6E6E6"/>
        </w:rPr>
        <mc:AlternateContent>
          <mc:Choice Requires="wps">
            <w:drawing>
              <wp:anchor distT="0" distB="0" distL="114300" distR="114300" simplePos="0" relativeHeight="251682816" behindDoc="0" locked="0" layoutInCell="1" allowOverlap="1">
                <wp:simplePos x="0" y="0"/>
                <wp:positionH relativeFrom="margin">
                  <wp:posOffset>3633150</wp:posOffset>
                </wp:positionH>
                <wp:positionV relativeFrom="paragraph">
                  <wp:posOffset>6330</wp:posOffset>
                </wp:positionV>
                <wp:extent cx="753035" cy="445135"/>
                <wp:effectExtent l="0" t="0" r="0" b="0"/>
                <wp:wrapNone/>
                <wp:docPr id="920793751" name="Text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753035" cy="445135"/>
                        </a:xfrm>
                        <a:prstGeom prst="rect">
                          <a:avLst/>
                        </a:prstGeom>
                        <a:noFill/>
                      </wps:spPr>
                      <wps:txbx>
                        <w:txbxContent>
                          <w:p w:rsidR="00590A32" w:rsidRPr="00A4301A" w:rsidP="00590A32" w14:textId="77777777">
                            <w:pPr>
                              <w:textAlignment w:val="baseline"/>
                              <w:rPr>
                                <w:rFonts w:ascii="Calibri" w:hAnsi="Calibri"/>
                                <w:color w:val="0057B7"/>
                                <w:kern w:val="24"/>
                                <w:sz w:val="24"/>
                                <w:szCs w:val="24"/>
                              </w:rPr>
                            </w:pPr>
                            <w:r w:rsidRPr="00A4301A">
                              <w:rPr>
                                <w:rFonts w:ascii="Calibri" w:hAnsi="Calibri"/>
                                <w:color w:val="0057B7"/>
                                <w:kern w:val="24"/>
                                <w:sz w:val="24"/>
                                <w:szCs w:val="24"/>
                              </w:rPr>
                              <w:t>Maternal Age</w:t>
                            </w:r>
                          </w:p>
                        </w:txbxContent>
                      </wps:txbx>
                      <wps:bodyPr wrap="square" rtlCol="0">
                        <a:spAutoFit/>
                      </wps:bodyPr>
                    </wps:wsp>
                  </a:graphicData>
                </a:graphic>
                <wp14:sizeRelH relativeFrom="margin">
                  <wp14:pctWidth>0</wp14:pctWidth>
                </wp14:sizeRelH>
              </wp:anchor>
            </w:drawing>
          </mc:Choice>
          <mc:Fallback>
            <w:pict>
              <v:shape id="TextBox 16" o:spid="_x0000_s1034" type="#_x0000_t202" style="width:59.3pt;height:35.05pt;margin-top:0.5pt;margin-left:286.05pt;mso-position-horizontal-relative:margin;mso-width-percent:0;mso-width-relative:margin;mso-wrap-distance-bottom:0;mso-wrap-distance-left:9pt;mso-wrap-distance-right:9pt;mso-wrap-distance-top:0;mso-wrap-style:square;position:absolute;visibility:visible;v-text-anchor:top;z-index:251683840" filled="f" stroked="f">
                <v:textbox style="mso-fit-shape-to-text:t">
                  <w:txbxContent>
                    <w:p w:rsidR="00590A32" w:rsidRPr="00A4301A" w:rsidP="00590A32" w14:paraId="682257CD" w14:textId="77777777">
                      <w:pPr>
                        <w:textAlignment w:val="baseline"/>
                        <w:rPr>
                          <w:rFonts w:ascii="Calibri" w:hAnsi="Calibri"/>
                          <w:color w:val="0057B7"/>
                          <w:kern w:val="24"/>
                          <w:sz w:val="24"/>
                          <w:szCs w:val="24"/>
                        </w:rPr>
                      </w:pPr>
                      <w:r w:rsidRPr="00A4301A">
                        <w:rPr>
                          <w:rFonts w:ascii="Calibri" w:hAnsi="Calibri"/>
                          <w:color w:val="0057B7"/>
                          <w:kern w:val="24"/>
                          <w:sz w:val="24"/>
                          <w:szCs w:val="24"/>
                        </w:rPr>
                        <w:t>Maternal Age</w:t>
                      </w:r>
                    </w:p>
                  </w:txbxContent>
                </v:textbox>
                <w10:wrap anchorx="margin"/>
              </v:shape>
            </w:pict>
          </mc:Fallback>
        </mc:AlternateContent>
      </w:r>
      <w:r w:rsidRPr="00B447CB">
        <w:rPr>
          <w:b/>
          <w:bCs/>
          <w:noProof/>
          <w:color w:val="2B579A"/>
          <w:shd w:val="clear" w:color="auto" w:fill="E6E6E6"/>
        </w:rPr>
        <mc:AlternateContent>
          <mc:Choice Requires="wps">
            <w:drawing>
              <wp:anchor distT="0" distB="0" distL="114300" distR="114300" simplePos="0" relativeHeight="251660288" behindDoc="0" locked="0" layoutInCell="1" allowOverlap="1">
                <wp:simplePos x="0" y="0"/>
                <wp:positionH relativeFrom="margin">
                  <wp:posOffset>5128260</wp:posOffset>
                </wp:positionH>
                <wp:positionV relativeFrom="paragraph">
                  <wp:posOffset>3175</wp:posOffset>
                </wp:positionV>
                <wp:extent cx="694055" cy="584200"/>
                <wp:effectExtent l="0" t="0" r="0" b="0"/>
                <wp:wrapNone/>
                <wp:docPr id="1553116501" name="Text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694055" cy="584200"/>
                        </a:xfrm>
                        <a:prstGeom prst="rect">
                          <a:avLst/>
                        </a:prstGeom>
                        <a:noFill/>
                      </wps:spPr>
                      <wps:txbx>
                        <w:txbxContent>
                          <w:p w:rsidR="00590A32" w:rsidRPr="000E1CC9" w:rsidP="00590A32" w14:textId="77777777">
                            <w:pPr>
                              <w:textAlignment w:val="baseline"/>
                              <w:rPr>
                                <w:rFonts w:ascii="Calibri" w:hAnsi="Calibri"/>
                                <w:color w:val="0057B7"/>
                                <w:kern w:val="24"/>
                                <w:sz w:val="24"/>
                                <w:szCs w:val="24"/>
                              </w:rPr>
                            </w:pPr>
                            <w:r w:rsidRPr="000E1CC9">
                              <w:rPr>
                                <w:rFonts w:ascii="Calibri" w:hAnsi="Calibri"/>
                                <w:color w:val="0057B7"/>
                                <w:kern w:val="24"/>
                                <w:sz w:val="24"/>
                                <w:szCs w:val="24"/>
                              </w:rPr>
                              <w:t>Marital</w:t>
                            </w:r>
                            <w:r>
                              <w:rPr>
                                <w:rFonts w:ascii="Calibri" w:hAnsi="Calibri"/>
                                <w:color w:val="0057B7"/>
                                <w:kern w:val="24"/>
                                <w:sz w:val="24"/>
                                <w:szCs w:val="24"/>
                              </w:rPr>
                              <w:t xml:space="preserve"> </w:t>
                            </w:r>
                            <w:r w:rsidRPr="000E1CC9">
                              <w:rPr>
                                <w:rFonts w:ascii="Calibri" w:hAnsi="Calibri"/>
                                <w:color w:val="0057B7"/>
                                <w:kern w:val="24"/>
                                <w:sz w:val="24"/>
                                <w:szCs w:val="24"/>
                              </w:rPr>
                              <w:t>Status</w:t>
                            </w:r>
                          </w:p>
                        </w:txbxContent>
                      </wps:txbx>
                      <wps:bodyPr wrap="square" rtlCol="0">
                        <a:spAutoFit/>
                      </wps:bodyPr>
                    </wps:wsp>
                  </a:graphicData>
                </a:graphic>
                <wp14:sizeRelH relativeFrom="margin">
                  <wp14:pctWidth>0</wp14:pctWidth>
                </wp14:sizeRelH>
              </wp:anchor>
            </w:drawing>
          </mc:Choice>
          <mc:Fallback>
            <w:pict>
              <v:shape id="_x0000_s1035" type="#_x0000_t202" style="width:54.65pt;height:46pt;margin-top:0.25pt;margin-left:403.8pt;mso-position-horizontal-relative:margin;mso-width-percent:0;mso-width-relative:margin;mso-wrap-distance-bottom:0;mso-wrap-distance-left:9pt;mso-wrap-distance-right:9pt;mso-wrap-distance-top:0;mso-wrap-style:square;position:absolute;visibility:visible;v-text-anchor:top;z-index:251661312" filled="f" stroked="f">
                <v:textbox style="mso-fit-shape-to-text:t">
                  <w:txbxContent>
                    <w:p w:rsidR="00590A32" w:rsidRPr="000E1CC9" w:rsidP="00590A32" w14:paraId="228537E8" w14:textId="77777777">
                      <w:pPr>
                        <w:textAlignment w:val="baseline"/>
                        <w:rPr>
                          <w:rFonts w:ascii="Calibri" w:hAnsi="Calibri"/>
                          <w:color w:val="0057B7"/>
                          <w:kern w:val="24"/>
                          <w:sz w:val="24"/>
                          <w:szCs w:val="24"/>
                        </w:rPr>
                      </w:pPr>
                      <w:r w:rsidRPr="000E1CC9">
                        <w:rPr>
                          <w:rFonts w:ascii="Calibri" w:hAnsi="Calibri"/>
                          <w:color w:val="0057B7"/>
                          <w:kern w:val="24"/>
                          <w:sz w:val="24"/>
                          <w:szCs w:val="24"/>
                        </w:rPr>
                        <w:t>Marital</w:t>
                      </w:r>
                      <w:r>
                        <w:rPr>
                          <w:rFonts w:ascii="Calibri" w:hAnsi="Calibri"/>
                          <w:color w:val="0057B7"/>
                          <w:kern w:val="24"/>
                          <w:sz w:val="24"/>
                          <w:szCs w:val="24"/>
                        </w:rPr>
                        <w:t xml:space="preserve"> </w:t>
                      </w:r>
                      <w:r w:rsidRPr="000E1CC9">
                        <w:rPr>
                          <w:rFonts w:ascii="Calibri" w:hAnsi="Calibri"/>
                          <w:color w:val="0057B7"/>
                          <w:kern w:val="24"/>
                          <w:sz w:val="24"/>
                          <w:szCs w:val="24"/>
                        </w:rPr>
                        <w:t>Status</w:t>
                      </w:r>
                    </w:p>
                  </w:txbxContent>
                </v:textbox>
                <w10:wrap anchorx="margin"/>
              </v:shape>
            </w:pict>
          </mc:Fallback>
        </mc:AlternateContent>
      </w:r>
      <w:r w:rsidRPr="00B447CB">
        <w:rPr>
          <w:b/>
          <w:bCs/>
          <w:noProof/>
          <w:color w:val="2B579A"/>
          <w:shd w:val="clear" w:color="auto" w:fill="E6E6E6"/>
        </w:rPr>
        <mc:AlternateContent>
          <mc:Choice Requires="wps">
            <w:drawing>
              <wp:anchor distT="0" distB="0" distL="114300" distR="114300" simplePos="0" relativeHeight="251658240" behindDoc="0" locked="0" layoutInCell="1" allowOverlap="1">
                <wp:simplePos x="0" y="0"/>
                <wp:positionH relativeFrom="margin">
                  <wp:posOffset>4385945</wp:posOffset>
                </wp:positionH>
                <wp:positionV relativeFrom="paragraph">
                  <wp:posOffset>7620</wp:posOffset>
                </wp:positionV>
                <wp:extent cx="804334" cy="609388"/>
                <wp:effectExtent l="0" t="0" r="0" b="0"/>
                <wp:wrapNone/>
                <wp:docPr id="978689317" name="Text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804334" cy="609388"/>
                        </a:xfrm>
                        <a:prstGeom prst="rect">
                          <a:avLst/>
                        </a:prstGeom>
                        <a:noFill/>
                      </wps:spPr>
                      <wps:txbx>
                        <w:txbxContent>
                          <w:p w:rsidR="00590A32" w:rsidRPr="000E1CC9" w:rsidP="00590A32" w14:textId="77777777">
                            <w:pPr>
                              <w:textAlignment w:val="baseline"/>
                              <w:rPr>
                                <w:rFonts w:ascii="Calibri" w:hAnsi="Calibri"/>
                                <w:color w:val="0057B7"/>
                                <w:kern w:val="24"/>
                                <w:sz w:val="24"/>
                                <w:szCs w:val="24"/>
                              </w:rPr>
                            </w:pPr>
                            <w:r w:rsidRPr="000E1CC9">
                              <w:rPr>
                                <w:rFonts w:ascii="Calibri" w:hAnsi="Calibri"/>
                                <w:color w:val="0057B7"/>
                                <w:kern w:val="24"/>
                                <w:sz w:val="24"/>
                                <w:szCs w:val="24"/>
                              </w:rPr>
                              <w:t>Maternal</w:t>
                            </w:r>
                            <w:r>
                              <w:rPr>
                                <w:rFonts w:ascii="Calibri" w:hAnsi="Calibri"/>
                                <w:color w:val="0057B7"/>
                                <w:kern w:val="24"/>
                                <w:sz w:val="24"/>
                                <w:szCs w:val="24"/>
                              </w:rPr>
                              <w:t xml:space="preserve"> </w:t>
                            </w:r>
                            <w:r w:rsidRPr="000E1CC9">
                              <w:rPr>
                                <w:rFonts w:ascii="Calibri" w:hAnsi="Calibri"/>
                                <w:color w:val="0057B7"/>
                                <w:kern w:val="24"/>
                                <w:sz w:val="24"/>
                                <w:szCs w:val="24"/>
                              </w:rPr>
                              <w:t>Ethnicity</w:t>
                            </w:r>
                          </w:p>
                        </w:txbxContent>
                      </wps:txbx>
                      <wps:bodyPr wrap="square" rtlCol="0"/>
                    </wps:wsp>
                  </a:graphicData>
                </a:graphic>
                <wp14:sizeRelH relativeFrom="margin">
                  <wp14:pctWidth>0</wp14:pctWidth>
                </wp14:sizeRelH>
                <wp14:sizeRelV relativeFrom="margin">
                  <wp14:pctHeight>0</wp14:pctHeight>
                </wp14:sizeRelV>
              </wp:anchor>
            </w:drawing>
          </mc:Choice>
          <mc:Fallback>
            <w:pict>
              <v:shape id="_x0000_s1036" type="#_x0000_t202" style="width:63.35pt;height:48pt;margin-top:0.6pt;margin-left:345.35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ed="f" stroked="f">
                <v:textbox>
                  <w:txbxContent>
                    <w:p w:rsidR="00590A32" w:rsidRPr="000E1CC9" w:rsidP="00590A32" w14:paraId="08A09BF9" w14:textId="77777777">
                      <w:pPr>
                        <w:textAlignment w:val="baseline"/>
                        <w:rPr>
                          <w:rFonts w:ascii="Calibri" w:hAnsi="Calibri"/>
                          <w:color w:val="0057B7"/>
                          <w:kern w:val="24"/>
                          <w:sz w:val="24"/>
                          <w:szCs w:val="24"/>
                        </w:rPr>
                      </w:pPr>
                      <w:r w:rsidRPr="000E1CC9">
                        <w:rPr>
                          <w:rFonts w:ascii="Calibri" w:hAnsi="Calibri"/>
                          <w:color w:val="0057B7"/>
                          <w:kern w:val="24"/>
                          <w:sz w:val="24"/>
                          <w:szCs w:val="24"/>
                        </w:rPr>
                        <w:t>Maternal</w:t>
                      </w:r>
                      <w:r>
                        <w:rPr>
                          <w:rFonts w:ascii="Calibri" w:hAnsi="Calibri"/>
                          <w:color w:val="0057B7"/>
                          <w:kern w:val="24"/>
                          <w:sz w:val="24"/>
                          <w:szCs w:val="24"/>
                        </w:rPr>
                        <w:t xml:space="preserve"> </w:t>
                      </w:r>
                      <w:r w:rsidRPr="000E1CC9">
                        <w:rPr>
                          <w:rFonts w:ascii="Calibri" w:hAnsi="Calibri"/>
                          <w:color w:val="0057B7"/>
                          <w:kern w:val="24"/>
                          <w:sz w:val="24"/>
                          <w:szCs w:val="24"/>
                        </w:rPr>
                        <w:t>Ethnicity</w:t>
                      </w:r>
                    </w:p>
                  </w:txbxContent>
                </v:textbox>
                <w10:wrap anchorx="margin"/>
              </v:shape>
            </w:pict>
          </mc:Fallback>
        </mc:AlternateContent>
      </w:r>
      <w:r w:rsidRPr="00B447CB">
        <w:rPr>
          <w:b/>
          <w:bCs/>
          <w:noProof/>
          <w:color w:val="2B579A"/>
          <w:shd w:val="clear" w:color="auto" w:fill="E6E6E6"/>
        </w:rPr>
        <mc:AlternateContent>
          <mc:Choice Requires="wps">
            <w:drawing>
              <wp:anchor distT="0" distB="0" distL="114300" distR="114300" simplePos="0" relativeHeight="251680768" behindDoc="0" locked="0" layoutInCell="1" allowOverlap="1">
                <wp:simplePos x="0" y="0"/>
                <wp:positionH relativeFrom="margin">
                  <wp:posOffset>2706370</wp:posOffset>
                </wp:positionH>
                <wp:positionV relativeFrom="paragraph">
                  <wp:posOffset>3175</wp:posOffset>
                </wp:positionV>
                <wp:extent cx="846455" cy="584200"/>
                <wp:effectExtent l="0" t="0" r="0" b="0"/>
                <wp:wrapNone/>
                <wp:docPr id="1917898890" name="Text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584200"/>
                        </a:xfrm>
                        <a:prstGeom prst="rect">
                          <a:avLst/>
                        </a:prstGeom>
                        <a:noFill/>
                      </wps:spPr>
                      <wps:txbx>
                        <w:txbxContent>
                          <w:p w:rsidR="00590A32" w:rsidRPr="000E1CC9" w:rsidP="00590A32" w14:textId="77777777">
                            <w:pPr>
                              <w:textAlignment w:val="baseline"/>
                              <w:rPr>
                                <w:rFonts w:ascii="Calibri" w:hAnsi="Calibri"/>
                                <w:color w:val="0057B7"/>
                                <w:kern w:val="24"/>
                                <w:sz w:val="24"/>
                                <w:szCs w:val="24"/>
                              </w:rPr>
                            </w:pPr>
                            <w:r w:rsidRPr="000E1CC9">
                              <w:rPr>
                                <w:rFonts w:ascii="Calibri" w:hAnsi="Calibri"/>
                                <w:color w:val="0057B7"/>
                                <w:kern w:val="24"/>
                                <w:sz w:val="24"/>
                                <w:szCs w:val="24"/>
                              </w:rPr>
                              <w:t>Maternal</w:t>
                            </w:r>
                            <w:r>
                              <w:rPr>
                                <w:rFonts w:ascii="Calibri" w:hAnsi="Calibri"/>
                                <w:color w:val="0057B7"/>
                                <w:kern w:val="24"/>
                                <w:sz w:val="24"/>
                                <w:szCs w:val="24"/>
                              </w:rPr>
                              <w:t xml:space="preserve"> </w:t>
                            </w:r>
                            <w:r w:rsidRPr="000E1CC9">
                              <w:rPr>
                                <w:rFonts w:ascii="Calibri" w:hAnsi="Calibri"/>
                                <w:color w:val="0057B7"/>
                                <w:kern w:val="24"/>
                                <w:sz w:val="24"/>
                                <w:szCs w:val="24"/>
                              </w:rPr>
                              <w:t>Education</w:t>
                            </w:r>
                          </w:p>
                        </w:txbxContent>
                      </wps:txbx>
                      <wps:bodyPr wrap="square" rtlCol="0">
                        <a:spAutoFit/>
                      </wps:bodyPr>
                    </wps:wsp>
                  </a:graphicData>
                </a:graphic>
                <wp14:sizeRelH relativeFrom="margin">
                  <wp14:pctWidth>0</wp14:pctWidth>
                </wp14:sizeRelH>
              </wp:anchor>
            </w:drawing>
          </mc:Choice>
          <mc:Fallback>
            <w:pict>
              <v:shape id="TextBox 15" o:spid="_x0000_s1037" type="#_x0000_t202" style="width:66.65pt;height:46pt;margin-top:0.25pt;margin-left:213.1pt;mso-position-horizontal-relative:margin;mso-width-percent:0;mso-width-relative:margin;mso-wrap-distance-bottom:0;mso-wrap-distance-left:9pt;mso-wrap-distance-right:9pt;mso-wrap-distance-top:0;mso-wrap-style:square;position:absolute;visibility:visible;v-text-anchor:top;z-index:251681792" filled="f" stroked="f">
                <v:textbox style="mso-fit-shape-to-text:t">
                  <w:txbxContent>
                    <w:p w:rsidR="00590A32" w:rsidRPr="000E1CC9" w:rsidP="00590A32" w14:paraId="7C64B2B5" w14:textId="77777777">
                      <w:pPr>
                        <w:textAlignment w:val="baseline"/>
                        <w:rPr>
                          <w:rFonts w:ascii="Calibri" w:hAnsi="Calibri"/>
                          <w:color w:val="0057B7"/>
                          <w:kern w:val="24"/>
                          <w:sz w:val="24"/>
                          <w:szCs w:val="24"/>
                        </w:rPr>
                      </w:pPr>
                      <w:r w:rsidRPr="000E1CC9">
                        <w:rPr>
                          <w:rFonts w:ascii="Calibri" w:hAnsi="Calibri"/>
                          <w:color w:val="0057B7"/>
                          <w:kern w:val="24"/>
                          <w:sz w:val="24"/>
                          <w:szCs w:val="24"/>
                        </w:rPr>
                        <w:t>Maternal</w:t>
                      </w:r>
                      <w:r>
                        <w:rPr>
                          <w:rFonts w:ascii="Calibri" w:hAnsi="Calibri"/>
                          <w:color w:val="0057B7"/>
                          <w:kern w:val="24"/>
                          <w:sz w:val="24"/>
                          <w:szCs w:val="24"/>
                        </w:rPr>
                        <w:t xml:space="preserve"> </w:t>
                      </w:r>
                      <w:r w:rsidRPr="000E1CC9">
                        <w:rPr>
                          <w:rFonts w:ascii="Calibri" w:hAnsi="Calibri"/>
                          <w:color w:val="0057B7"/>
                          <w:kern w:val="24"/>
                          <w:sz w:val="24"/>
                          <w:szCs w:val="24"/>
                        </w:rPr>
                        <w:t>Education</w:t>
                      </w:r>
                    </w:p>
                  </w:txbxContent>
                </v:textbox>
                <w10:wrap anchorx="margin"/>
              </v:shape>
            </w:pict>
          </mc:Fallback>
        </mc:AlternateContent>
      </w:r>
      <w:r w:rsidRPr="00AF540F">
        <w:rPr>
          <w:b/>
          <w:bCs/>
          <w:noProof/>
          <w:color w:val="2B579A"/>
          <w:shd w:val="clear" w:color="auto" w:fill="E6E6E6"/>
        </w:rPr>
        <mc:AlternateContent>
          <mc:Choice Requires="wps">
            <w:drawing>
              <wp:anchor distT="0" distB="0" distL="114300" distR="114300" simplePos="0" relativeHeight="251678720" behindDoc="0" locked="0" layoutInCell="1" allowOverlap="1">
                <wp:simplePos x="0" y="0"/>
                <wp:positionH relativeFrom="column">
                  <wp:posOffset>964565</wp:posOffset>
                </wp:positionH>
                <wp:positionV relativeFrom="paragraph">
                  <wp:posOffset>5715</wp:posOffset>
                </wp:positionV>
                <wp:extent cx="1083734" cy="584775"/>
                <wp:effectExtent l="0" t="0" r="0" b="0"/>
                <wp:wrapNone/>
                <wp:docPr id="1169834413" name="Text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1083734" cy="584775"/>
                        </a:xfrm>
                        <a:prstGeom prst="rect">
                          <a:avLst/>
                        </a:prstGeom>
                        <a:noFill/>
                      </wps:spPr>
                      <wps:txbx>
                        <w:txbxContent>
                          <w:p w:rsidR="00590A32" w:rsidRPr="000E1CC9" w:rsidP="00590A32" w14:textId="77777777">
                            <w:pPr>
                              <w:textAlignment w:val="baseline"/>
                              <w:rPr>
                                <w:rFonts w:ascii="Calibri" w:hAnsi="Calibri"/>
                                <w:color w:val="0057B7"/>
                                <w:kern w:val="24"/>
                                <w:sz w:val="24"/>
                                <w:szCs w:val="24"/>
                              </w:rPr>
                            </w:pPr>
                            <w:r w:rsidRPr="000E1CC9">
                              <w:rPr>
                                <w:rFonts w:ascii="Calibri" w:hAnsi="Calibri"/>
                                <w:color w:val="0057B7"/>
                                <w:kern w:val="24"/>
                                <w:sz w:val="24"/>
                                <w:szCs w:val="24"/>
                              </w:rPr>
                              <w:t>Maternal Race</w:t>
                            </w:r>
                          </w:p>
                        </w:txbxContent>
                      </wps:txbx>
                      <wps:bodyPr wrap="square" rtlCol="0">
                        <a:spAutoFit/>
                      </wps:bodyPr>
                    </wps:wsp>
                  </a:graphicData>
                </a:graphic>
                <wp14:sizeRelH relativeFrom="margin">
                  <wp14:pctWidth>0</wp14:pctWidth>
                </wp14:sizeRelH>
              </wp:anchor>
            </w:drawing>
          </mc:Choice>
          <mc:Fallback>
            <w:pict>
              <v:shape id="TextBox 14" o:spid="_x0000_s1038" type="#_x0000_t202" style="width:85.35pt;height:46.05pt;margin-top:0.45pt;margin-left:75.95pt;mso-width-percent:0;mso-width-relative:margin;mso-wrap-distance-bottom:0;mso-wrap-distance-left:9pt;mso-wrap-distance-right:9pt;mso-wrap-distance-top:0;mso-wrap-style:square;position:absolute;visibility:visible;v-text-anchor:top;z-index:251679744" filled="f" stroked="f">
                <v:textbox style="mso-fit-shape-to-text:t">
                  <w:txbxContent>
                    <w:p w:rsidR="00590A32" w:rsidRPr="000E1CC9" w:rsidP="00590A32" w14:paraId="3D88115F" w14:textId="77777777">
                      <w:pPr>
                        <w:textAlignment w:val="baseline"/>
                        <w:rPr>
                          <w:rFonts w:ascii="Calibri" w:hAnsi="Calibri"/>
                          <w:color w:val="0057B7"/>
                          <w:kern w:val="24"/>
                          <w:sz w:val="24"/>
                          <w:szCs w:val="24"/>
                        </w:rPr>
                      </w:pPr>
                      <w:r w:rsidRPr="000E1CC9">
                        <w:rPr>
                          <w:rFonts w:ascii="Calibri" w:hAnsi="Calibri"/>
                          <w:color w:val="0057B7"/>
                          <w:kern w:val="24"/>
                          <w:sz w:val="24"/>
                          <w:szCs w:val="24"/>
                        </w:rPr>
                        <w:t>Maternal Race</w:t>
                      </w:r>
                    </w:p>
                  </w:txbxContent>
                </v:textbox>
              </v:shape>
            </w:pict>
          </mc:Fallback>
        </mc:AlternateContent>
      </w:r>
      <w:r>
        <w:rPr>
          <w:noProof/>
        </w:rPr>
        <w:t xml:space="preserve"> </w:t>
      </w:r>
      <w:r w:rsidRPr="00AF540F">
        <w:rPr>
          <w:noProof/>
        </w:rPr>
        <w:t xml:space="preserve"> </w:t>
      </w:r>
    </w:p>
    <w:p w:rsidR="00590A32" w:rsidP="00590A32" w14:paraId="5DF4306B" w14:textId="7760FD02">
      <w:pPr>
        <w:rPr>
          <w:b/>
          <w:bCs/>
        </w:rPr>
      </w:pPr>
      <w:r w:rsidRPr="00C273E0">
        <w:rPr>
          <w:b/>
          <w:bCs/>
          <w:noProof/>
        </w:rPr>
        <mc:AlternateContent>
          <mc:Choice Requires="wps">
            <w:drawing>
              <wp:anchor distT="45720" distB="45720" distL="114300" distR="114300" simplePos="0" relativeHeight="251697152" behindDoc="0" locked="0" layoutInCell="1" allowOverlap="1">
                <wp:simplePos x="0" y="0"/>
                <wp:positionH relativeFrom="column">
                  <wp:posOffset>355600</wp:posOffset>
                </wp:positionH>
                <wp:positionV relativeFrom="paragraph">
                  <wp:posOffset>294005</wp:posOffset>
                </wp:positionV>
                <wp:extent cx="3675380" cy="1719072"/>
                <wp:effectExtent l="0" t="0" r="1270" b="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675380" cy="1719072"/>
                        </a:xfrm>
                        <a:prstGeom prst="rect">
                          <a:avLst/>
                        </a:prstGeom>
                        <a:solidFill>
                          <a:srgbClr val="FFFFFF"/>
                        </a:solidFill>
                        <a:ln w="9525">
                          <a:noFill/>
                          <a:miter lim="800000"/>
                          <a:headEnd/>
                          <a:tailEnd/>
                        </a:ln>
                      </wps:spPr>
                      <wps:txbx>
                        <w:txbxContent>
                          <w:p w:rsidR="00C273E0" w14:textId="50C87F88">
                            <w:r>
                              <w:t>*NHOPI – Native Hawaiian/ Other Pacific Islander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39" type="#_x0000_t202" style="width:289.4pt;height:110.6pt;margin-top:23.15pt;margin-left:28pt;mso-height-percent:200;mso-height-relative:margin;mso-width-percent:0;mso-width-relative:margin;mso-wrap-distance-bottom:3.6pt;mso-wrap-distance-left:9pt;mso-wrap-distance-right:9pt;mso-wrap-distance-top:3.6pt;mso-wrap-style:square;position:absolute;visibility:visible;v-text-anchor:top;z-index:251698176" stroked="f">
                <v:textbox style="mso-fit-shape-to-text:t">
                  <w:txbxContent>
                    <w:p w:rsidR="00C273E0" w14:paraId="48AE58D2" w14:textId="50C87F88">
                      <w:r>
                        <w:t>*NHOPI – Native Hawaiian/ Other Pacific Islander</w:t>
                      </w:r>
                    </w:p>
                  </w:txbxContent>
                </v:textbox>
                <w10:wrap type="square"/>
              </v:shape>
            </w:pict>
          </mc:Fallback>
        </mc:AlternateContent>
      </w:r>
    </w:p>
    <w:p w:rsidR="00590A32" w:rsidP="00590A32" w14:paraId="7BF24F1C" w14:textId="5DAFE15A">
      <w:pPr>
        <w:rPr>
          <w:b/>
          <w:bCs/>
        </w:rPr>
      </w:pPr>
      <w:r w:rsidRPr="00B447CB">
        <w:rPr>
          <w:b/>
          <w:bCs/>
          <w:noProof/>
          <w:color w:val="2B579A"/>
          <w:shd w:val="clear" w:color="auto" w:fill="E6E6E6"/>
        </w:rPr>
        <mc:AlternateContent>
          <mc:Choice Requires="wps">
            <w:drawing>
              <wp:anchor distT="0" distB="0" distL="114300" distR="114300" simplePos="0" relativeHeight="251693056" behindDoc="0" locked="0" layoutInCell="1" allowOverlap="1">
                <wp:simplePos x="0" y="0"/>
                <wp:positionH relativeFrom="margin">
                  <wp:posOffset>5365750</wp:posOffset>
                </wp:positionH>
                <wp:positionV relativeFrom="paragraph">
                  <wp:posOffset>3691255</wp:posOffset>
                </wp:positionV>
                <wp:extent cx="694055" cy="584200"/>
                <wp:effectExtent l="0" t="0" r="0" b="0"/>
                <wp:wrapNone/>
                <wp:docPr id="986971644" name="Text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694055" cy="584200"/>
                        </a:xfrm>
                        <a:prstGeom prst="rect">
                          <a:avLst/>
                        </a:prstGeom>
                        <a:noFill/>
                      </wps:spPr>
                      <wps:txbx>
                        <w:txbxContent>
                          <w:p w:rsidR="00590A32" w:rsidRPr="000E1CC9" w:rsidP="00590A32" w14:textId="77777777">
                            <w:pPr>
                              <w:textAlignment w:val="baseline"/>
                              <w:rPr>
                                <w:rFonts w:ascii="Calibri" w:hAnsi="Calibri"/>
                                <w:color w:val="0057B7"/>
                                <w:kern w:val="24"/>
                                <w:sz w:val="24"/>
                                <w:szCs w:val="24"/>
                              </w:rPr>
                            </w:pPr>
                            <w:r w:rsidRPr="000E1CC9">
                              <w:rPr>
                                <w:rFonts w:ascii="Calibri" w:hAnsi="Calibri"/>
                                <w:color w:val="0057B7"/>
                                <w:kern w:val="24"/>
                                <w:sz w:val="24"/>
                                <w:szCs w:val="24"/>
                              </w:rPr>
                              <w:t>Marital</w:t>
                            </w:r>
                            <w:r>
                              <w:rPr>
                                <w:rFonts w:ascii="Calibri" w:hAnsi="Calibri"/>
                                <w:color w:val="0057B7"/>
                                <w:kern w:val="24"/>
                                <w:sz w:val="24"/>
                                <w:szCs w:val="24"/>
                              </w:rPr>
                              <w:t xml:space="preserve"> </w:t>
                            </w:r>
                            <w:r w:rsidRPr="000E1CC9">
                              <w:rPr>
                                <w:rFonts w:ascii="Calibri" w:hAnsi="Calibri"/>
                                <w:color w:val="0057B7"/>
                                <w:kern w:val="24"/>
                                <w:sz w:val="24"/>
                                <w:szCs w:val="24"/>
                              </w:rPr>
                              <w:t>Status</w:t>
                            </w:r>
                          </w:p>
                        </w:txbxContent>
                      </wps:txbx>
                      <wps:bodyPr wrap="square" rtlCol="0">
                        <a:spAutoFit/>
                      </wps:bodyPr>
                    </wps:wsp>
                  </a:graphicData>
                </a:graphic>
                <wp14:sizeRelH relativeFrom="margin">
                  <wp14:pctWidth>0</wp14:pctWidth>
                </wp14:sizeRelH>
              </wp:anchor>
            </w:drawing>
          </mc:Choice>
          <mc:Fallback>
            <w:pict>
              <v:shape id="_x0000_s1040" type="#_x0000_t202" style="width:54.65pt;height:46pt;margin-top:290.65pt;margin-left:422.5pt;mso-position-horizontal-relative:margin;mso-width-percent:0;mso-width-relative:margin;mso-wrap-distance-bottom:0;mso-wrap-distance-left:9pt;mso-wrap-distance-right:9pt;mso-wrap-distance-top:0;mso-wrap-style:square;position:absolute;visibility:visible;v-text-anchor:top;z-index:251694080" filled="f" stroked="f">
                <v:textbox style="mso-fit-shape-to-text:t">
                  <w:txbxContent>
                    <w:p w:rsidR="00590A32" w:rsidRPr="000E1CC9" w:rsidP="00590A32" w14:paraId="06792FF7" w14:textId="77777777">
                      <w:pPr>
                        <w:textAlignment w:val="baseline"/>
                        <w:rPr>
                          <w:rFonts w:ascii="Calibri" w:hAnsi="Calibri"/>
                          <w:color w:val="0057B7"/>
                          <w:kern w:val="24"/>
                          <w:sz w:val="24"/>
                          <w:szCs w:val="24"/>
                        </w:rPr>
                      </w:pPr>
                      <w:r w:rsidRPr="000E1CC9">
                        <w:rPr>
                          <w:rFonts w:ascii="Calibri" w:hAnsi="Calibri"/>
                          <w:color w:val="0057B7"/>
                          <w:kern w:val="24"/>
                          <w:sz w:val="24"/>
                          <w:szCs w:val="24"/>
                        </w:rPr>
                        <w:t>Marital</w:t>
                      </w:r>
                      <w:r>
                        <w:rPr>
                          <w:rFonts w:ascii="Calibri" w:hAnsi="Calibri"/>
                          <w:color w:val="0057B7"/>
                          <w:kern w:val="24"/>
                          <w:sz w:val="24"/>
                          <w:szCs w:val="24"/>
                        </w:rPr>
                        <w:t xml:space="preserve"> </w:t>
                      </w:r>
                      <w:r w:rsidRPr="000E1CC9">
                        <w:rPr>
                          <w:rFonts w:ascii="Calibri" w:hAnsi="Calibri"/>
                          <w:color w:val="0057B7"/>
                          <w:kern w:val="24"/>
                          <w:sz w:val="24"/>
                          <w:szCs w:val="24"/>
                        </w:rPr>
                        <w:t>Status</w:t>
                      </w:r>
                    </w:p>
                  </w:txbxContent>
                </v:textbox>
                <w10:wrap anchorx="margin"/>
              </v:shape>
            </w:pict>
          </mc:Fallback>
        </mc:AlternateContent>
      </w:r>
      <w:r w:rsidRPr="00B447CB">
        <w:rPr>
          <w:b/>
          <w:bCs/>
          <w:noProof/>
          <w:color w:val="2B579A"/>
          <w:shd w:val="clear" w:color="auto" w:fill="E6E6E6"/>
        </w:rPr>
        <mc:AlternateContent>
          <mc:Choice Requires="wps">
            <w:drawing>
              <wp:anchor distT="0" distB="0" distL="114300" distR="114300" simplePos="0" relativeHeight="251691008" behindDoc="0" locked="0" layoutInCell="1" allowOverlap="1">
                <wp:simplePos x="0" y="0"/>
                <wp:positionH relativeFrom="margin">
                  <wp:posOffset>4616450</wp:posOffset>
                </wp:positionH>
                <wp:positionV relativeFrom="paragraph">
                  <wp:posOffset>3693795</wp:posOffset>
                </wp:positionV>
                <wp:extent cx="803910" cy="608965"/>
                <wp:effectExtent l="0" t="0" r="0" b="0"/>
                <wp:wrapNone/>
                <wp:docPr id="1790134741" name="Text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803910" cy="608965"/>
                        </a:xfrm>
                        <a:prstGeom prst="rect">
                          <a:avLst/>
                        </a:prstGeom>
                        <a:noFill/>
                      </wps:spPr>
                      <wps:txbx>
                        <w:txbxContent>
                          <w:p w:rsidR="00590A32" w:rsidRPr="000E1CC9" w:rsidP="00590A32" w14:textId="77777777">
                            <w:pPr>
                              <w:textAlignment w:val="baseline"/>
                              <w:rPr>
                                <w:rFonts w:ascii="Calibri" w:hAnsi="Calibri"/>
                                <w:color w:val="0057B7"/>
                                <w:kern w:val="24"/>
                                <w:sz w:val="24"/>
                                <w:szCs w:val="24"/>
                              </w:rPr>
                            </w:pPr>
                            <w:r w:rsidRPr="000E1CC9">
                              <w:rPr>
                                <w:rFonts w:ascii="Calibri" w:hAnsi="Calibri"/>
                                <w:color w:val="0057B7"/>
                                <w:kern w:val="24"/>
                                <w:sz w:val="24"/>
                                <w:szCs w:val="24"/>
                              </w:rPr>
                              <w:t>Maternal</w:t>
                            </w:r>
                            <w:r>
                              <w:rPr>
                                <w:rFonts w:ascii="Calibri" w:hAnsi="Calibri"/>
                                <w:color w:val="0057B7"/>
                                <w:kern w:val="24"/>
                                <w:sz w:val="24"/>
                                <w:szCs w:val="24"/>
                              </w:rPr>
                              <w:t xml:space="preserve"> </w:t>
                            </w:r>
                            <w:r w:rsidRPr="000E1CC9">
                              <w:rPr>
                                <w:rFonts w:ascii="Calibri" w:hAnsi="Calibri"/>
                                <w:color w:val="0057B7"/>
                                <w:kern w:val="24"/>
                                <w:sz w:val="24"/>
                                <w:szCs w:val="24"/>
                              </w:rPr>
                              <w:t>Ethnicity</w:t>
                            </w:r>
                          </w:p>
                        </w:txbxContent>
                      </wps:txbx>
                      <wps:bodyPr wrap="square" rtlCol="0"/>
                    </wps:wsp>
                  </a:graphicData>
                </a:graphic>
                <wp14:sizeRelH relativeFrom="margin">
                  <wp14:pctWidth>0</wp14:pctWidth>
                </wp14:sizeRelH>
                <wp14:sizeRelV relativeFrom="margin">
                  <wp14:pctHeight>0</wp14:pctHeight>
                </wp14:sizeRelV>
              </wp:anchor>
            </w:drawing>
          </mc:Choice>
          <mc:Fallback>
            <w:pict>
              <v:shape id="_x0000_s1041" type="#_x0000_t202" style="width:63.3pt;height:47.95pt;margin-top:290.85pt;margin-left:363.5pt;mso-height-percent:0;mso-height-relative:margin;mso-position-horizontal-relative:margin;mso-width-percent:0;mso-width-relative:margin;mso-wrap-distance-bottom:0;mso-wrap-distance-left:9pt;mso-wrap-distance-right:9pt;mso-wrap-distance-top:0;mso-wrap-style:square;position:absolute;visibility:visible;v-text-anchor:top;z-index:251692032" filled="f" stroked="f">
                <v:textbox>
                  <w:txbxContent>
                    <w:p w:rsidR="00590A32" w:rsidRPr="000E1CC9" w:rsidP="00590A32" w14:paraId="7B18C592" w14:textId="77777777">
                      <w:pPr>
                        <w:textAlignment w:val="baseline"/>
                        <w:rPr>
                          <w:rFonts w:ascii="Calibri" w:hAnsi="Calibri"/>
                          <w:color w:val="0057B7"/>
                          <w:kern w:val="24"/>
                          <w:sz w:val="24"/>
                          <w:szCs w:val="24"/>
                        </w:rPr>
                      </w:pPr>
                      <w:r w:rsidRPr="000E1CC9">
                        <w:rPr>
                          <w:rFonts w:ascii="Calibri" w:hAnsi="Calibri"/>
                          <w:color w:val="0057B7"/>
                          <w:kern w:val="24"/>
                          <w:sz w:val="24"/>
                          <w:szCs w:val="24"/>
                        </w:rPr>
                        <w:t>Maternal</w:t>
                      </w:r>
                      <w:r>
                        <w:rPr>
                          <w:rFonts w:ascii="Calibri" w:hAnsi="Calibri"/>
                          <w:color w:val="0057B7"/>
                          <w:kern w:val="24"/>
                          <w:sz w:val="24"/>
                          <w:szCs w:val="24"/>
                        </w:rPr>
                        <w:t xml:space="preserve"> </w:t>
                      </w:r>
                      <w:r w:rsidRPr="000E1CC9">
                        <w:rPr>
                          <w:rFonts w:ascii="Calibri" w:hAnsi="Calibri"/>
                          <w:color w:val="0057B7"/>
                          <w:kern w:val="24"/>
                          <w:sz w:val="24"/>
                          <w:szCs w:val="24"/>
                        </w:rPr>
                        <w:t>Ethnicity</w:t>
                      </w:r>
                    </w:p>
                  </w:txbxContent>
                </v:textbox>
                <w10:wrap anchorx="margin"/>
              </v:shape>
            </w:pict>
          </mc:Fallback>
        </mc:AlternateContent>
      </w:r>
      <w:r w:rsidRPr="00AF540F">
        <w:rPr>
          <w:b/>
          <w:bCs/>
          <w:noProof/>
          <w:color w:val="2B579A"/>
          <w:shd w:val="clear" w:color="auto" w:fill="E6E6E6"/>
        </w:rPr>
        <w:drawing>
          <wp:inline distT="0" distB="0" distL="0" distR="0">
            <wp:extent cx="5943600" cy="3568700"/>
            <wp:effectExtent l="0" t="0" r="0" b="12700"/>
            <wp:docPr id="1674651675" name="Chart 1">
              <a:extLst xmlns:a="http://schemas.openxmlformats.org/drawingml/2006/main">
                <a:ext xmlns:a="http://schemas.openxmlformats.org/drawingml/2006/main" uri="{FF2B5EF4-FFF2-40B4-BE49-F238E27FC236}">
                  <a16:creationId xmlns:a16="http://schemas.microsoft.com/office/drawing/2014/main" id="{E322BFA4-53DB-4F40-5905-D1AF50CA8A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90A32" w:rsidP="00590A32" w14:paraId="19D1E800" w14:textId="6914CAAB">
      <w:pPr>
        <w:rPr>
          <w:b/>
          <w:bCs/>
        </w:rPr>
      </w:pPr>
      <w:r>
        <w:rPr>
          <w:noProof/>
          <w:color w:val="2B579A"/>
          <w:shd w:val="clear" w:color="auto" w:fill="E6E6E6"/>
        </w:rPr>
        <mc:AlternateContent>
          <mc:Choice Requires="wps">
            <w:drawing>
              <wp:anchor distT="0" distB="0" distL="114300" distR="114300" simplePos="0" relativeHeight="251688960" behindDoc="0" locked="0" layoutInCell="1" allowOverlap="1">
                <wp:simplePos x="0" y="0"/>
                <wp:positionH relativeFrom="margin">
                  <wp:posOffset>3799205</wp:posOffset>
                </wp:positionH>
                <wp:positionV relativeFrom="paragraph">
                  <wp:posOffset>4697</wp:posOffset>
                </wp:positionV>
                <wp:extent cx="753036" cy="445135"/>
                <wp:effectExtent l="0" t="0" r="0" b="0"/>
                <wp:wrapNone/>
                <wp:docPr id="422439828" name="Text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753036" cy="445135"/>
                        </a:xfrm>
                        <a:prstGeom prst="rect">
                          <a:avLst/>
                        </a:prstGeom>
                        <a:noFill/>
                      </wps:spPr>
                      <wps:txbx>
                        <w:txbxContent>
                          <w:p w:rsidR="00590A32" w:rsidRPr="00A4301A" w:rsidP="00590A32" w14:textId="77777777">
                            <w:pPr>
                              <w:textAlignment w:val="baseline"/>
                              <w:rPr>
                                <w:rFonts w:ascii="Calibri" w:hAnsi="Calibri"/>
                                <w:color w:val="0057B7"/>
                                <w:kern w:val="24"/>
                                <w:sz w:val="24"/>
                                <w:szCs w:val="24"/>
                              </w:rPr>
                            </w:pPr>
                            <w:r w:rsidRPr="00A4301A">
                              <w:rPr>
                                <w:rFonts w:ascii="Calibri" w:hAnsi="Calibri"/>
                                <w:color w:val="0057B7"/>
                                <w:kern w:val="24"/>
                                <w:sz w:val="24"/>
                                <w:szCs w:val="24"/>
                              </w:rPr>
                              <w:t>Maternal Age</w:t>
                            </w:r>
                          </w:p>
                        </w:txbxContent>
                      </wps:txbx>
                      <wps:bodyPr wrap="square" rtlCol="0">
                        <a:spAutoFit/>
                      </wps:bodyPr>
                    </wps:wsp>
                  </a:graphicData>
                </a:graphic>
                <wp14:sizeRelH relativeFrom="margin">
                  <wp14:pctWidth>0</wp14:pctWidth>
                </wp14:sizeRelH>
              </wp:anchor>
            </w:drawing>
          </mc:Choice>
          <mc:Fallback>
            <w:pict>
              <v:shape id="_x0000_s1042" type="#_x0000_t202" style="width:59.3pt;height:35.05pt;margin-top:0.35pt;margin-left:299.15pt;mso-position-horizontal-relative:margin;mso-width-percent:0;mso-width-relative:margin;mso-wrap-distance-bottom:0;mso-wrap-distance-left:9pt;mso-wrap-distance-right:9pt;mso-wrap-distance-top:0;mso-wrap-style:square;position:absolute;visibility:visible;v-text-anchor:top;z-index:251689984" filled="f" stroked="f">
                <v:textbox style="mso-fit-shape-to-text:t">
                  <w:txbxContent>
                    <w:p w:rsidR="00590A32" w:rsidRPr="00A4301A" w:rsidP="00590A32" w14:paraId="0C53E592" w14:textId="77777777">
                      <w:pPr>
                        <w:textAlignment w:val="baseline"/>
                        <w:rPr>
                          <w:rFonts w:ascii="Calibri" w:hAnsi="Calibri"/>
                          <w:color w:val="0057B7"/>
                          <w:kern w:val="24"/>
                          <w:sz w:val="24"/>
                          <w:szCs w:val="24"/>
                        </w:rPr>
                      </w:pPr>
                      <w:r w:rsidRPr="00A4301A">
                        <w:rPr>
                          <w:rFonts w:ascii="Calibri" w:hAnsi="Calibri"/>
                          <w:color w:val="0057B7"/>
                          <w:kern w:val="24"/>
                          <w:sz w:val="24"/>
                          <w:szCs w:val="24"/>
                        </w:rPr>
                        <w:t>Maternal Age</w:t>
                      </w:r>
                    </w:p>
                  </w:txbxContent>
                </v:textbox>
                <w10:wrap anchorx="margin"/>
              </v:shape>
            </w:pict>
          </mc:Fallback>
        </mc:AlternateContent>
      </w:r>
      <w:r w:rsidRPr="00AF540F">
        <w:rPr>
          <w:b/>
          <w:bCs/>
          <w:noProof/>
          <w:color w:val="2B579A"/>
          <w:shd w:val="clear" w:color="auto" w:fill="E6E6E6"/>
        </w:rPr>
        <mc:AlternateContent>
          <mc:Choice Requires="wps">
            <w:drawing>
              <wp:anchor distT="0" distB="0" distL="114300" distR="114300" simplePos="0" relativeHeight="251684864" behindDoc="0" locked="0" layoutInCell="1" allowOverlap="1">
                <wp:simplePos x="0" y="0"/>
                <wp:positionH relativeFrom="column">
                  <wp:posOffset>1008380</wp:posOffset>
                </wp:positionH>
                <wp:positionV relativeFrom="paragraph">
                  <wp:posOffset>5080</wp:posOffset>
                </wp:positionV>
                <wp:extent cx="1083310" cy="596265"/>
                <wp:effectExtent l="0" t="0" r="0" b="0"/>
                <wp:wrapNone/>
                <wp:docPr id="1899481009" name="Text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1083310" cy="596265"/>
                        </a:xfrm>
                        <a:prstGeom prst="rect">
                          <a:avLst/>
                        </a:prstGeom>
                        <a:noFill/>
                      </wps:spPr>
                      <wps:txbx>
                        <w:txbxContent>
                          <w:p w:rsidR="00C54BEA" w:rsidRPr="000E1CC9" w:rsidP="00590A32" w14:textId="77777777">
                            <w:pPr>
                              <w:textAlignment w:val="baseline"/>
                              <w:rPr>
                                <w:rFonts w:ascii="Calibri" w:hAnsi="Calibri"/>
                                <w:color w:val="0057B7"/>
                                <w:kern w:val="24"/>
                                <w:sz w:val="24"/>
                                <w:szCs w:val="24"/>
                              </w:rPr>
                            </w:pPr>
                            <w:r w:rsidRPr="000E1CC9">
                              <w:rPr>
                                <w:rFonts w:ascii="Calibri" w:hAnsi="Calibri"/>
                                <w:color w:val="0057B7"/>
                                <w:kern w:val="24"/>
                                <w:sz w:val="24"/>
                                <w:szCs w:val="24"/>
                              </w:rPr>
                              <w:t>Maternal Race</w:t>
                            </w:r>
                          </w:p>
                        </w:txbxContent>
                      </wps:txbx>
                      <wps:bodyPr wrap="square" rtlCol="0">
                        <a:spAutoFit/>
                      </wps:bodyPr>
                    </wps:wsp>
                  </a:graphicData>
                </a:graphic>
                <wp14:sizeRelH relativeFrom="margin">
                  <wp14:pctWidth>0</wp14:pctWidth>
                </wp14:sizeRelH>
              </wp:anchor>
            </w:drawing>
          </mc:Choice>
          <mc:Fallback>
            <w:pict>
              <v:shape id="_x0000_s1043" type="#_x0000_t202" style="width:85.3pt;height:46.95pt;margin-top:0.4pt;margin-left:79.4pt;mso-width-percent:0;mso-width-relative:margin;mso-wrap-distance-bottom:0;mso-wrap-distance-left:9pt;mso-wrap-distance-right:9pt;mso-wrap-distance-top:0;mso-wrap-style:square;position:absolute;visibility:visible;v-text-anchor:top;z-index:251685888" filled="f" stroked="f">
                <v:textbox style="mso-fit-shape-to-text:t">
                  <w:txbxContent>
                    <w:p w:rsidR="00C54BEA" w:rsidRPr="000E1CC9" w:rsidP="00590A32" w14:paraId="2D371796" w14:textId="77777777">
                      <w:pPr>
                        <w:textAlignment w:val="baseline"/>
                        <w:rPr>
                          <w:rFonts w:ascii="Calibri" w:hAnsi="Calibri"/>
                          <w:color w:val="0057B7"/>
                          <w:kern w:val="24"/>
                          <w:sz w:val="24"/>
                          <w:szCs w:val="24"/>
                        </w:rPr>
                      </w:pPr>
                      <w:r w:rsidRPr="000E1CC9">
                        <w:rPr>
                          <w:rFonts w:ascii="Calibri" w:hAnsi="Calibri"/>
                          <w:color w:val="0057B7"/>
                          <w:kern w:val="24"/>
                          <w:sz w:val="24"/>
                          <w:szCs w:val="24"/>
                        </w:rPr>
                        <w:t>Maternal Race</w:t>
                      </w:r>
                    </w:p>
                  </w:txbxContent>
                </v:textbox>
              </v:shape>
            </w:pict>
          </mc:Fallback>
        </mc:AlternateContent>
      </w:r>
      <w:r w:rsidRPr="00B447CB" w:rsidR="00590A32">
        <w:rPr>
          <w:b/>
          <w:bCs/>
          <w:noProof/>
          <w:color w:val="2B579A"/>
          <w:shd w:val="clear" w:color="auto" w:fill="E6E6E6"/>
        </w:rPr>
        <mc:AlternateContent>
          <mc:Choice Requires="wps">
            <w:drawing>
              <wp:anchor distT="0" distB="0" distL="114300" distR="114300" simplePos="0" relativeHeight="251686912" behindDoc="0" locked="0" layoutInCell="1" allowOverlap="1">
                <wp:simplePos x="0" y="0"/>
                <wp:positionH relativeFrom="margin">
                  <wp:posOffset>2808605</wp:posOffset>
                </wp:positionH>
                <wp:positionV relativeFrom="paragraph">
                  <wp:posOffset>10795</wp:posOffset>
                </wp:positionV>
                <wp:extent cx="846667" cy="584200"/>
                <wp:effectExtent l="0" t="0" r="0" b="0"/>
                <wp:wrapNone/>
                <wp:docPr id="773254312" name="Text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667" cy="584200"/>
                        </a:xfrm>
                        <a:prstGeom prst="rect">
                          <a:avLst/>
                        </a:prstGeom>
                        <a:noFill/>
                      </wps:spPr>
                      <wps:txbx>
                        <w:txbxContent>
                          <w:p w:rsidR="00590A32" w:rsidRPr="000E1CC9" w:rsidP="00590A32" w14:textId="77777777">
                            <w:pPr>
                              <w:textAlignment w:val="baseline"/>
                              <w:rPr>
                                <w:rFonts w:ascii="Calibri" w:hAnsi="Calibri"/>
                                <w:color w:val="0057B7"/>
                                <w:kern w:val="24"/>
                                <w:sz w:val="24"/>
                                <w:szCs w:val="24"/>
                              </w:rPr>
                            </w:pPr>
                            <w:r w:rsidRPr="000E1CC9">
                              <w:rPr>
                                <w:rFonts w:ascii="Calibri" w:hAnsi="Calibri"/>
                                <w:color w:val="0057B7"/>
                                <w:kern w:val="24"/>
                                <w:sz w:val="24"/>
                                <w:szCs w:val="24"/>
                              </w:rPr>
                              <w:t>Maternal</w:t>
                            </w:r>
                            <w:r>
                              <w:rPr>
                                <w:rFonts w:ascii="Calibri" w:hAnsi="Calibri"/>
                                <w:color w:val="0057B7"/>
                                <w:kern w:val="24"/>
                                <w:sz w:val="24"/>
                                <w:szCs w:val="24"/>
                              </w:rPr>
                              <w:t xml:space="preserve"> </w:t>
                            </w:r>
                            <w:r w:rsidRPr="000E1CC9">
                              <w:rPr>
                                <w:rFonts w:ascii="Calibri" w:hAnsi="Calibri"/>
                                <w:color w:val="0057B7"/>
                                <w:kern w:val="24"/>
                                <w:sz w:val="24"/>
                                <w:szCs w:val="24"/>
                              </w:rPr>
                              <w:t>Education</w:t>
                            </w:r>
                          </w:p>
                        </w:txbxContent>
                      </wps:txbx>
                      <wps:bodyPr wrap="square" rtlCol="0">
                        <a:spAutoFit/>
                      </wps:bodyPr>
                    </wps:wsp>
                  </a:graphicData>
                </a:graphic>
                <wp14:sizeRelH relativeFrom="margin">
                  <wp14:pctWidth>0</wp14:pctWidth>
                </wp14:sizeRelH>
              </wp:anchor>
            </w:drawing>
          </mc:Choice>
          <mc:Fallback>
            <w:pict>
              <v:shape id="_x0000_s1044" type="#_x0000_t202" style="width:66.65pt;height:46pt;margin-top:0.85pt;margin-left:221.15pt;mso-position-horizontal-relative:margin;mso-width-percent:0;mso-width-relative:margin;mso-wrap-distance-bottom:0;mso-wrap-distance-left:9pt;mso-wrap-distance-right:9pt;mso-wrap-distance-top:0;mso-wrap-style:square;position:absolute;visibility:visible;v-text-anchor:top;z-index:251687936" filled="f" stroked="f">
                <v:textbox style="mso-fit-shape-to-text:t">
                  <w:txbxContent>
                    <w:p w:rsidR="00590A32" w:rsidRPr="000E1CC9" w:rsidP="00590A32" w14:paraId="72665ECF" w14:textId="77777777">
                      <w:pPr>
                        <w:textAlignment w:val="baseline"/>
                        <w:rPr>
                          <w:rFonts w:ascii="Calibri" w:hAnsi="Calibri"/>
                          <w:color w:val="0057B7"/>
                          <w:kern w:val="24"/>
                          <w:sz w:val="24"/>
                          <w:szCs w:val="24"/>
                        </w:rPr>
                      </w:pPr>
                      <w:r w:rsidRPr="000E1CC9">
                        <w:rPr>
                          <w:rFonts w:ascii="Calibri" w:hAnsi="Calibri"/>
                          <w:color w:val="0057B7"/>
                          <w:kern w:val="24"/>
                          <w:sz w:val="24"/>
                          <w:szCs w:val="24"/>
                        </w:rPr>
                        <w:t>Maternal</w:t>
                      </w:r>
                      <w:r>
                        <w:rPr>
                          <w:rFonts w:ascii="Calibri" w:hAnsi="Calibri"/>
                          <w:color w:val="0057B7"/>
                          <w:kern w:val="24"/>
                          <w:sz w:val="24"/>
                          <w:szCs w:val="24"/>
                        </w:rPr>
                        <w:t xml:space="preserve"> </w:t>
                      </w:r>
                      <w:r w:rsidRPr="000E1CC9">
                        <w:rPr>
                          <w:rFonts w:ascii="Calibri" w:hAnsi="Calibri"/>
                          <w:color w:val="0057B7"/>
                          <w:kern w:val="24"/>
                          <w:sz w:val="24"/>
                          <w:szCs w:val="24"/>
                        </w:rPr>
                        <w:t>Education</w:t>
                      </w:r>
                    </w:p>
                  </w:txbxContent>
                </v:textbox>
                <w10:wrap anchorx="margin"/>
              </v:shape>
            </w:pict>
          </mc:Fallback>
        </mc:AlternateContent>
      </w:r>
    </w:p>
    <w:p w:rsidR="0E3FCE43" w:rsidP="0E3FCE43" w14:paraId="48FCADD1" w14:textId="2CA7427E">
      <w:pPr>
        <w:rPr>
          <w:b/>
          <w:bCs/>
        </w:rPr>
      </w:pPr>
    </w:p>
    <w:p w:rsidR="00620329" w:rsidP="001325F6" w14:paraId="3C2288F8" w14:textId="6BA29802">
      <w:pPr>
        <w:rPr>
          <w:b/>
          <w:bCs/>
        </w:rPr>
      </w:pPr>
      <w:r>
        <w:t>When comparing the full sample to respondents</w:t>
      </w:r>
      <w:r w:rsidR="5A781860">
        <w:t xml:space="preserve"> by subpopulation</w:t>
      </w:r>
      <w:r>
        <w:t xml:space="preserve">, </w:t>
      </w:r>
      <w:r w:rsidR="7B608DB3">
        <w:t xml:space="preserve">we </w:t>
      </w:r>
      <w:r w:rsidR="79FDADE9">
        <w:t>needed</w:t>
      </w:r>
      <w:r w:rsidR="7B608DB3">
        <w:t xml:space="preserve"> to p</w:t>
      </w:r>
      <w:r w:rsidR="0937E039">
        <w:t>o</w:t>
      </w:r>
      <w:r w:rsidR="7B608DB3">
        <w:t xml:space="preserve">ol data </w:t>
      </w:r>
      <w:r w:rsidR="0937E039">
        <w:t xml:space="preserve">over three years (2019-2021) to have </w:t>
      </w:r>
      <w:r w:rsidR="0937E039">
        <w:t>sufficient numb</w:t>
      </w:r>
      <w:r w:rsidR="4D5B48DD">
        <w:t>ers</w:t>
      </w:r>
      <w:r w:rsidR="28DD1F46">
        <w:t xml:space="preserve"> (data not shown)</w:t>
      </w:r>
      <w:r w:rsidR="4D5B48DD">
        <w:t>. M</w:t>
      </w:r>
      <w:r>
        <w:t xml:space="preserve">ost of the nonresponse biases are predominantly nonsignificant or of minor magnitude. </w:t>
      </w:r>
      <w:r w:rsidR="1D9778BD">
        <w:t>B</w:t>
      </w:r>
      <w:r w:rsidR="289ECFB7">
        <w:t>efore adjusting for nonresponse, 88% of the bias estimates were either nonsignificant or minor</w:t>
      </w:r>
      <w:r w:rsidR="168CABBC">
        <w:t xml:space="preserve"> with a maximum absolute bias of </w:t>
      </w:r>
      <w:r w:rsidR="4CAE6CC8">
        <w:t>3.9</w:t>
      </w:r>
      <w:r w:rsidR="168CABBC">
        <w:t xml:space="preserve"> percentage points</w:t>
      </w:r>
      <w:r w:rsidR="289ECFB7">
        <w:t>. After applying nonresponse-adjusted weights, this proportion increased to 95%</w:t>
      </w:r>
      <w:r w:rsidR="168CABBC">
        <w:t xml:space="preserve">, with a maximum absolute bias of </w:t>
      </w:r>
      <w:r w:rsidR="4CAE6CC8">
        <w:t>2</w:t>
      </w:r>
      <w:r w:rsidR="168CABBC">
        <w:t>.7 percentage points</w:t>
      </w:r>
      <w:r w:rsidR="289ECFB7">
        <w:t>.</w:t>
      </w:r>
      <w:r w:rsidR="3B1137F0">
        <w:t xml:space="preserve">  </w:t>
      </w:r>
    </w:p>
    <w:p w:rsidR="00C9419A" w:rsidP="000E1CC9" w14:paraId="69543C78" w14:textId="77777777">
      <w:pPr>
        <w:rPr>
          <w:b/>
          <w:bCs/>
        </w:rPr>
      </w:pPr>
    </w:p>
    <w:p w:rsidR="00B17759" w:rsidRPr="00B17759" w:rsidP="000E1CC9" w14:paraId="2CC81E88" w14:textId="7DB023A4">
      <w:pPr>
        <w:rPr>
          <w:b/>
          <w:bCs/>
        </w:rPr>
      </w:pPr>
      <w:r w:rsidRPr="00B17759">
        <w:rPr>
          <w:b/>
          <w:bCs/>
        </w:rPr>
        <w:t>Summary</w:t>
      </w:r>
    </w:p>
    <w:p w:rsidR="0012562C" w:rsidP="0012562C" w14:paraId="079A4AE0" w14:textId="78D2E22A">
      <w:r>
        <w:t xml:space="preserve">There was a significant decline in response rates over the years 2019 to 2021, with an average decrease of 1.8% per year. </w:t>
      </w:r>
      <w:r w:rsidR="37AA7037">
        <w:t xml:space="preserve">We conducted analyses assessing nonresponse bias by indicator and site for 2020 and 2021. Results were consistent </w:t>
      </w:r>
      <w:r w:rsidR="209A603B">
        <w:t>with previously reported results for 2019</w:t>
      </w:r>
      <w:r w:rsidR="691A6F5F">
        <w:t xml:space="preserve"> </w:t>
      </w:r>
      <w:r w:rsidR="37AA7037">
        <w:t>although mean response rates dropped from 57</w:t>
      </w:r>
      <w:r w:rsidR="6ACCA8AE">
        <w:t>.0</w:t>
      </w:r>
      <w:r w:rsidR="37AA7037">
        <w:t xml:space="preserve">% in </w:t>
      </w:r>
      <w:r w:rsidR="6ACCA8AE">
        <w:t xml:space="preserve">2019 </w:t>
      </w:r>
      <w:r w:rsidR="37AA7037">
        <w:t>to 5</w:t>
      </w:r>
      <w:r w:rsidR="6ACCA8AE">
        <w:t>3</w:t>
      </w:r>
      <w:r w:rsidR="37AA7037">
        <w:t xml:space="preserve">.0% in 2021. By site, most sites </w:t>
      </w:r>
      <w:r w:rsidR="735CB409">
        <w:t>(91% in 2020</w:t>
      </w:r>
      <w:r w:rsidR="458B78D8">
        <w:t xml:space="preserve">, 89% in 2021) </w:t>
      </w:r>
      <w:r w:rsidR="37AA7037">
        <w:t xml:space="preserve">had a mean absolute bias between 0.5 and 2 percentage points across the 12 birth certificate indicators we examined. By indicator, </w:t>
      </w:r>
      <w:r w:rsidR="36A67EBE">
        <w:t xml:space="preserve">in both 2020 and 2021, </w:t>
      </w:r>
      <w:r w:rsidR="37AA7037">
        <w:t>10 of 12 indicators ha</w:t>
      </w:r>
      <w:r w:rsidR="77F13694">
        <w:t>d</w:t>
      </w:r>
      <w:r w:rsidR="37AA7037">
        <w:t xml:space="preserve"> a mean bias &lt; 1 percentage point across all sites.</w:t>
      </w:r>
      <w:r w:rsidR="7C485941">
        <w:t xml:space="preserve"> </w:t>
      </w:r>
      <w:r w:rsidR="2C2EA9FD">
        <w:t xml:space="preserve">Most subpopulation estimates </w:t>
      </w:r>
      <w:r w:rsidR="3A9833EB">
        <w:t>(7</w:t>
      </w:r>
      <w:r w:rsidR="2C7F6962">
        <w:t>4</w:t>
      </w:r>
      <w:r w:rsidR="3A9833EB">
        <w:t xml:space="preserve">% in 2020, 84% in 2021) </w:t>
      </w:r>
      <w:r w:rsidR="2C2EA9FD">
        <w:t>had mean absolute bias &lt;1.5 percentage points</w:t>
      </w:r>
      <w:r w:rsidR="37AA7037">
        <w:t>. The level of effort analysis</w:t>
      </w:r>
      <w:r w:rsidR="43648D5C">
        <w:t>, using data from 2019,</w:t>
      </w:r>
      <w:r w:rsidR="37AA7037">
        <w:t xml:space="preserve"> estimated </w:t>
      </w:r>
      <w:r w:rsidR="77F13694">
        <w:t>a 0.5 percentage point increase in absolute bias per 10% decrease in response rates on average over many PRAMS core indicators.</w:t>
      </w:r>
      <w:r w:rsidR="37AA7037">
        <w:t xml:space="preserve"> </w:t>
      </w:r>
      <w:r w:rsidR="77F13694">
        <w:t xml:space="preserve">These results indicate low levels of bias across various dimensions.  </w:t>
      </w:r>
      <w:r w:rsidR="5110CAA7">
        <w:t xml:space="preserve">Comparisons of bias levels before and after applying the </w:t>
      </w:r>
      <w:r w:rsidR="71DEBB69">
        <w:t xml:space="preserve">nonresponse weighting adjustment </w:t>
      </w:r>
      <w:r w:rsidR="5110CAA7">
        <w:t xml:space="preserve">indicate the </w:t>
      </w:r>
      <w:r w:rsidR="48162994">
        <w:t xml:space="preserve">weighting </w:t>
      </w:r>
      <w:r w:rsidR="5110CAA7">
        <w:t>adjust</w:t>
      </w:r>
      <w:r w:rsidR="48162994">
        <w:t xml:space="preserve">ments </w:t>
      </w:r>
      <w:r w:rsidR="1CFF8FA3">
        <w:t>performed well at</w:t>
      </w:r>
      <w:r w:rsidR="71DEBB69">
        <w:t xml:space="preserve"> reducing bias</w:t>
      </w:r>
      <w:r w:rsidR="1D0A8C34">
        <w:t xml:space="preserve"> levels</w:t>
      </w:r>
      <w:r w:rsidR="25E9D702">
        <w:t>.</w:t>
      </w:r>
      <w:r w:rsidR="71DEBB69">
        <w:t xml:space="preserve"> </w:t>
      </w:r>
    </w:p>
    <w:p w:rsidR="00D973E4" w:rsidRPr="00D973E4" w:rsidP="00B17759" w14:paraId="16408179" w14:textId="49930530">
      <w:r>
        <w:t xml:space="preserve">Finally, we examined the association between response rate and bias. There was a modest correlation of -0.52 in 2020 and -0.56 in 2021. Scatter plots of response rate versus mean absolute bias to assess the effectiveness of the PRAMS 50% response rate threshold </w:t>
      </w:r>
      <w:r w:rsidR="60F30840">
        <w:t xml:space="preserve">revealed </w:t>
      </w:r>
      <w:r>
        <w:t xml:space="preserve">that </w:t>
      </w:r>
      <w:r w:rsidR="7E526D02">
        <w:t>the response rate</w:t>
      </w:r>
      <w:r>
        <w:t xml:space="preserve"> did </w:t>
      </w:r>
      <w:r w:rsidR="41EC94D6">
        <w:t>not effectively</w:t>
      </w:r>
      <w:r>
        <w:t xml:space="preserve"> distinguish sites with higher versus lower levels of mean absolute bias. This result</w:t>
      </w:r>
      <w:r w:rsidR="28B1DFC4">
        <w:t>,</w:t>
      </w:r>
      <w:r>
        <w:t xml:space="preserve"> combined with the low levels of bias </w:t>
      </w:r>
      <w:r w:rsidR="780D525A">
        <w:t>detected</w:t>
      </w:r>
      <w:r>
        <w:t xml:space="preserve"> in PRAMS </w:t>
      </w:r>
      <w:r w:rsidR="370D3554">
        <w:t>indicators</w:t>
      </w:r>
      <w:r w:rsidR="28B1DFC4">
        <w:t>,</w:t>
      </w:r>
      <w:r w:rsidR="370D3554">
        <w:t xml:space="preserve"> </w:t>
      </w:r>
      <w:r>
        <w:t xml:space="preserve">provides strong evidence for </w:t>
      </w:r>
      <w:r w:rsidR="02A12605">
        <w:t xml:space="preserve">removing </w:t>
      </w:r>
      <w:r>
        <w:t xml:space="preserve">the response rate threshold </w:t>
      </w:r>
      <w:r w:rsidR="23FC70AA">
        <w:t>requirement</w:t>
      </w:r>
      <w:r w:rsidR="02A12605">
        <w:t xml:space="preserve"> for release of data for researchers</w:t>
      </w:r>
      <w:r>
        <w:t xml:space="preserve">.  </w:t>
      </w:r>
    </w:p>
    <w:p w:rsidR="00534EAF" w14:paraId="0B38CD71" w14:textId="0ACEEB97"/>
    <w:sectPr w:rsidSect="00AE39FE">
      <w:headerReference w:type="default" r:id="rId15"/>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22F4" w14:paraId="0697C048" w14:textId="5B5EB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4C3FB5"/>
    <w:multiLevelType w:val="hybridMultilevel"/>
    <w:tmpl w:val="9356B68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
    <w:nsid w:val="28F86F38"/>
    <w:multiLevelType w:val="hybridMultilevel"/>
    <w:tmpl w:val="F536E40A"/>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
    <w:nsid w:val="3ADB2DC0"/>
    <w:multiLevelType w:val="hybridMultilevel"/>
    <w:tmpl w:val="DEB6981C"/>
    <w:lvl w:ilvl="0">
      <w:start w:val="1"/>
      <w:numFmt w:val="bullet"/>
      <w:lvlText w:val="-"/>
      <w:lvlJc w:val="left"/>
      <w:pPr>
        <w:ind w:left="360" w:hanging="360"/>
      </w:pPr>
      <w:rPr>
        <w:rFonts w:ascii="Courier New" w:hAnsi="Courier New"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3FBF4596"/>
    <w:multiLevelType w:val="hybridMultilevel"/>
    <w:tmpl w:val="822C5F72"/>
    <w:lvl w:ilvl="0">
      <w:start w:val="1"/>
      <w:numFmt w:val="bullet"/>
      <w:lvlText w:val="•"/>
      <w:lvlJc w:val="left"/>
      <w:pPr>
        <w:tabs>
          <w:tab w:val="num" w:pos="720"/>
        </w:tabs>
        <w:ind w:left="720" w:hanging="360"/>
      </w:pPr>
      <w:rPr>
        <w:rFonts w:ascii="Arial" w:hAnsi="Arial" w:hint="default"/>
      </w:rPr>
    </w:lvl>
    <w:lvl w:ilvl="1">
      <w:start w:val="0"/>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
    <w:nsid w:val="41117BA2"/>
    <w:multiLevelType w:val="hybridMultilevel"/>
    <w:tmpl w:val="A7C259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43F6B4A"/>
    <w:multiLevelType w:val="hybridMultilevel"/>
    <w:tmpl w:val="9AD0A3E8"/>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6">
    <w:nsid w:val="5B033DDC"/>
    <w:multiLevelType w:val="hybridMultilevel"/>
    <w:tmpl w:val="B0B0E7D0"/>
    <w:lvl w:ilvl="0">
      <w:start w:val="1"/>
      <w:numFmt w:val="bullet"/>
      <w:lvlText w:val="•"/>
      <w:lvlJc w:val="left"/>
      <w:pPr>
        <w:tabs>
          <w:tab w:val="num" w:pos="720"/>
        </w:tabs>
        <w:ind w:left="720" w:hanging="360"/>
      </w:pPr>
      <w:rPr>
        <w:rFonts w:ascii="Arial" w:hAnsi="Arial" w:hint="default"/>
      </w:rPr>
    </w:lvl>
    <w:lvl w:ilvl="1">
      <w:start w:val="0"/>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7">
    <w:nsid w:val="702100A6"/>
    <w:multiLevelType w:val="hybridMultilevel"/>
    <w:tmpl w:val="3BE41554"/>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8">
    <w:nsid w:val="72851767"/>
    <w:multiLevelType w:val="hybridMultilevel"/>
    <w:tmpl w:val="033ECA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ADE7BA1"/>
    <w:multiLevelType w:val="hybridMultilevel"/>
    <w:tmpl w:val="3516077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num w:numId="1" w16cid:durableId="322852707">
    <w:abstractNumId w:val="5"/>
  </w:num>
  <w:num w:numId="2" w16cid:durableId="1193375227">
    <w:abstractNumId w:val="9"/>
  </w:num>
  <w:num w:numId="3" w16cid:durableId="384455123">
    <w:abstractNumId w:val="3"/>
  </w:num>
  <w:num w:numId="4" w16cid:durableId="1046755446">
    <w:abstractNumId w:val="0"/>
  </w:num>
  <w:num w:numId="5" w16cid:durableId="865099326">
    <w:abstractNumId w:val="1"/>
  </w:num>
  <w:num w:numId="6" w16cid:durableId="1838497819">
    <w:abstractNumId w:val="7"/>
  </w:num>
  <w:num w:numId="7" w16cid:durableId="921254115">
    <w:abstractNumId w:val="6"/>
  </w:num>
  <w:num w:numId="8" w16cid:durableId="1113014551">
    <w:abstractNumId w:val="4"/>
  </w:num>
  <w:num w:numId="9" w16cid:durableId="474564278">
    <w:abstractNumId w:val="8"/>
  </w:num>
  <w:num w:numId="10" w16cid:durableId="1462964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677"/>
    <w:rsid w:val="0000418F"/>
    <w:rsid w:val="00005F69"/>
    <w:rsid w:val="00006929"/>
    <w:rsid w:val="00017E5F"/>
    <w:rsid w:val="00020BE5"/>
    <w:rsid w:val="00020EC4"/>
    <w:rsid w:val="00020EEA"/>
    <w:rsid w:val="00021D22"/>
    <w:rsid w:val="0002621F"/>
    <w:rsid w:val="0003018E"/>
    <w:rsid w:val="00030907"/>
    <w:rsid w:val="0003229F"/>
    <w:rsid w:val="000356B5"/>
    <w:rsid w:val="000361CD"/>
    <w:rsid w:val="000410E3"/>
    <w:rsid w:val="000429B2"/>
    <w:rsid w:val="00043A73"/>
    <w:rsid w:val="00044325"/>
    <w:rsid w:val="000452CD"/>
    <w:rsid w:val="00045C20"/>
    <w:rsid w:val="00046065"/>
    <w:rsid w:val="00051D23"/>
    <w:rsid w:val="00053A6C"/>
    <w:rsid w:val="0005504D"/>
    <w:rsid w:val="00055D0A"/>
    <w:rsid w:val="00057906"/>
    <w:rsid w:val="00060705"/>
    <w:rsid w:val="00062843"/>
    <w:rsid w:val="00063111"/>
    <w:rsid w:val="000633C1"/>
    <w:rsid w:val="00063A30"/>
    <w:rsid w:val="00064402"/>
    <w:rsid w:val="00064A92"/>
    <w:rsid w:val="00066D93"/>
    <w:rsid w:val="00071DF4"/>
    <w:rsid w:val="0007365E"/>
    <w:rsid w:val="00074BEE"/>
    <w:rsid w:val="000768EA"/>
    <w:rsid w:val="00080070"/>
    <w:rsid w:val="00080558"/>
    <w:rsid w:val="00081505"/>
    <w:rsid w:val="0008323D"/>
    <w:rsid w:val="00083EB2"/>
    <w:rsid w:val="00085ED8"/>
    <w:rsid w:val="0008771E"/>
    <w:rsid w:val="000912FB"/>
    <w:rsid w:val="000917B8"/>
    <w:rsid w:val="00093131"/>
    <w:rsid w:val="00095DA7"/>
    <w:rsid w:val="000A2077"/>
    <w:rsid w:val="000A3221"/>
    <w:rsid w:val="000A3CE3"/>
    <w:rsid w:val="000A61CB"/>
    <w:rsid w:val="000A78A8"/>
    <w:rsid w:val="000B0BA0"/>
    <w:rsid w:val="000B1D66"/>
    <w:rsid w:val="000B24DF"/>
    <w:rsid w:val="000B62A5"/>
    <w:rsid w:val="000B6762"/>
    <w:rsid w:val="000B6D9F"/>
    <w:rsid w:val="000B74BF"/>
    <w:rsid w:val="000C01EA"/>
    <w:rsid w:val="000C0ADC"/>
    <w:rsid w:val="000C0B05"/>
    <w:rsid w:val="000C5313"/>
    <w:rsid w:val="000C77CA"/>
    <w:rsid w:val="000D417B"/>
    <w:rsid w:val="000D41B3"/>
    <w:rsid w:val="000D4956"/>
    <w:rsid w:val="000E14BB"/>
    <w:rsid w:val="000E1CC9"/>
    <w:rsid w:val="000E4445"/>
    <w:rsid w:val="000E60EE"/>
    <w:rsid w:val="000E7EB7"/>
    <w:rsid w:val="000F0806"/>
    <w:rsid w:val="000F0A77"/>
    <w:rsid w:val="000F58B5"/>
    <w:rsid w:val="000F59C3"/>
    <w:rsid w:val="000F5F21"/>
    <w:rsid w:val="000F65D2"/>
    <w:rsid w:val="000F9137"/>
    <w:rsid w:val="0010003E"/>
    <w:rsid w:val="00100A0A"/>
    <w:rsid w:val="00110F10"/>
    <w:rsid w:val="001130DB"/>
    <w:rsid w:val="00114741"/>
    <w:rsid w:val="00114B0B"/>
    <w:rsid w:val="001173D7"/>
    <w:rsid w:val="0011778A"/>
    <w:rsid w:val="00117D57"/>
    <w:rsid w:val="00117E8D"/>
    <w:rsid w:val="0012083F"/>
    <w:rsid w:val="00121D0A"/>
    <w:rsid w:val="0012562C"/>
    <w:rsid w:val="00125750"/>
    <w:rsid w:val="00126623"/>
    <w:rsid w:val="00127B69"/>
    <w:rsid w:val="001325F6"/>
    <w:rsid w:val="0013344B"/>
    <w:rsid w:val="00135977"/>
    <w:rsid w:val="00135AB8"/>
    <w:rsid w:val="0013700A"/>
    <w:rsid w:val="0013754C"/>
    <w:rsid w:val="00142673"/>
    <w:rsid w:val="001444B5"/>
    <w:rsid w:val="00144A69"/>
    <w:rsid w:val="00145DA4"/>
    <w:rsid w:val="001474F5"/>
    <w:rsid w:val="00151F70"/>
    <w:rsid w:val="00152CCD"/>
    <w:rsid w:val="00157A2D"/>
    <w:rsid w:val="00157EB8"/>
    <w:rsid w:val="00157FD8"/>
    <w:rsid w:val="001602E4"/>
    <w:rsid w:val="001627F9"/>
    <w:rsid w:val="00165971"/>
    <w:rsid w:val="00166F03"/>
    <w:rsid w:val="001714D6"/>
    <w:rsid w:val="001731BF"/>
    <w:rsid w:val="001748CE"/>
    <w:rsid w:val="00174B4B"/>
    <w:rsid w:val="00175782"/>
    <w:rsid w:val="00176C4F"/>
    <w:rsid w:val="00176FBA"/>
    <w:rsid w:val="001835CB"/>
    <w:rsid w:val="0019173E"/>
    <w:rsid w:val="0019248B"/>
    <w:rsid w:val="0019249F"/>
    <w:rsid w:val="00196375"/>
    <w:rsid w:val="00196CA6"/>
    <w:rsid w:val="001A32F4"/>
    <w:rsid w:val="001A4164"/>
    <w:rsid w:val="001A47AE"/>
    <w:rsid w:val="001A6960"/>
    <w:rsid w:val="001B2E7C"/>
    <w:rsid w:val="001B5B65"/>
    <w:rsid w:val="001C3CCC"/>
    <w:rsid w:val="001C4A4F"/>
    <w:rsid w:val="001C55D5"/>
    <w:rsid w:val="001C635A"/>
    <w:rsid w:val="001C6D8E"/>
    <w:rsid w:val="001C711B"/>
    <w:rsid w:val="001D0BE0"/>
    <w:rsid w:val="001D2715"/>
    <w:rsid w:val="001D4306"/>
    <w:rsid w:val="001D57B1"/>
    <w:rsid w:val="001D5FFD"/>
    <w:rsid w:val="001D774B"/>
    <w:rsid w:val="001D7E52"/>
    <w:rsid w:val="001E0F9A"/>
    <w:rsid w:val="001E47BE"/>
    <w:rsid w:val="001E4C91"/>
    <w:rsid w:val="001F13A4"/>
    <w:rsid w:val="001F23DA"/>
    <w:rsid w:val="001F242C"/>
    <w:rsid w:val="001F3C74"/>
    <w:rsid w:val="001F4D72"/>
    <w:rsid w:val="001F520D"/>
    <w:rsid w:val="001F58EC"/>
    <w:rsid w:val="001F69BF"/>
    <w:rsid w:val="001F73CC"/>
    <w:rsid w:val="001F775C"/>
    <w:rsid w:val="0020084D"/>
    <w:rsid w:val="002013BE"/>
    <w:rsid w:val="002020F6"/>
    <w:rsid w:val="00202BC2"/>
    <w:rsid w:val="002036A2"/>
    <w:rsid w:val="0020378F"/>
    <w:rsid w:val="00206E0A"/>
    <w:rsid w:val="0020747A"/>
    <w:rsid w:val="00207B06"/>
    <w:rsid w:val="00207BE4"/>
    <w:rsid w:val="00207EFB"/>
    <w:rsid w:val="00212893"/>
    <w:rsid w:val="00213EBA"/>
    <w:rsid w:val="00216E9B"/>
    <w:rsid w:val="002172CD"/>
    <w:rsid w:val="00221851"/>
    <w:rsid w:val="002237FD"/>
    <w:rsid w:val="00223845"/>
    <w:rsid w:val="0022387E"/>
    <w:rsid w:val="002322C6"/>
    <w:rsid w:val="002323E9"/>
    <w:rsid w:val="00241079"/>
    <w:rsid w:val="0024154A"/>
    <w:rsid w:val="00243A54"/>
    <w:rsid w:val="00244DB9"/>
    <w:rsid w:val="00246896"/>
    <w:rsid w:val="0024743B"/>
    <w:rsid w:val="00247BBB"/>
    <w:rsid w:val="002502BA"/>
    <w:rsid w:val="0025179D"/>
    <w:rsid w:val="002529CE"/>
    <w:rsid w:val="002537E4"/>
    <w:rsid w:val="0025395A"/>
    <w:rsid w:val="00253AA8"/>
    <w:rsid w:val="00254792"/>
    <w:rsid w:val="00255668"/>
    <w:rsid w:val="002639A3"/>
    <w:rsid w:val="00265194"/>
    <w:rsid w:val="002659F4"/>
    <w:rsid w:val="00270D11"/>
    <w:rsid w:val="002733B5"/>
    <w:rsid w:val="00273B78"/>
    <w:rsid w:val="00273C45"/>
    <w:rsid w:val="00273FE0"/>
    <w:rsid w:val="00274974"/>
    <w:rsid w:val="0027643D"/>
    <w:rsid w:val="00280E72"/>
    <w:rsid w:val="00282A8F"/>
    <w:rsid w:val="00283299"/>
    <w:rsid w:val="00283535"/>
    <w:rsid w:val="00285C2F"/>
    <w:rsid w:val="00286E21"/>
    <w:rsid w:val="00292920"/>
    <w:rsid w:val="00293360"/>
    <w:rsid w:val="002958B5"/>
    <w:rsid w:val="002959C5"/>
    <w:rsid w:val="00296DC6"/>
    <w:rsid w:val="00297C76"/>
    <w:rsid w:val="002A07F9"/>
    <w:rsid w:val="002A1997"/>
    <w:rsid w:val="002A4BDB"/>
    <w:rsid w:val="002A611B"/>
    <w:rsid w:val="002A7677"/>
    <w:rsid w:val="002B039D"/>
    <w:rsid w:val="002B054A"/>
    <w:rsid w:val="002B2820"/>
    <w:rsid w:val="002B396B"/>
    <w:rsid w:val="002B6825"/>
    <w:rsid w:val="002B7E05"/>
    <w:rsid w:val="002C1A1B"/>
    <w:rsid w:val="002C1D1F"/>
    <w:rsid w:val="002C333D"/>
    <w:rsid w:val="002C3A81"/>
    <w:rsid w:val="002C3B94"/>
    <w:rsid w:val="002C559F"/>
    <w:rsid w:val="002C5829"/>
    <w:rsid w:val="002D15C1"/>
    <w:rsid w:val="002D200E"/>
    <w:rsid w:val="002D2397"/>
    <w:rsid w:val="002D46EF"/>
    <w:rsid w:val="002D4DD6"/>
    <w:rsid w:val="002D5876"/>
    <w:rsid w:val="002D73C0"/>
    <w:rsid w:val="002D7AD4"/>
    <w:rsid w:val="002E0E01"/>
    <w:rsid w:val="002E205F"/>
    <w:rsid w:val="002E293C"/>
    <w:rsid w:val="002E5F3F"/>
    <w:rsid w:val="002E6136"/>
    <w:rsid w:val="002E6712"/>
    <w:rsid w:val="002F15BB"/>
    <w:rsid w:val="002F1D2B"/>
    <w:rsid w:val="002F4905"/>
    <w:rsid w:val="00300E87"/>
    <w:rsid w:val="003018F2"/>
    <w:rsid w:val="00301CDF"/>
    <w:rsid w:val="00303048"/>
    <w:rsid w:val="00305D29"/>
    <w:rsid w:val="00305D6F"/>
    <w:rsid w:val="0031391A"/>
    <w:rsid w:val="00315482"/>
    <w:rsid w:val="0031716E"/>
    <w:rsid w:val="00317D51"/>
    <w:rsid w:val="00321860"/>
    <w:rsid w:val="00324B6C"/>
    <w:rsid w:val="00326223"/>
    <w:rsid w:val="00326C86"/>
    <w:rsid w:val="00327DAA"/>
    <w:rsid w:val="00333763"/>
    <w:rsid w:val="00334641"/>
    <w:rsid w:val="0033510B"/>
    <w:rsid w:val="003377B1"/>
    <w:rsid w:val="00340FA6"/>
    <w:rsid w:val="0034326C"/>
    <w:rsid w:val="00350682"/>
    <w:rsid w:val="003509DF"/>
    <w:rsid w:val="003516FC"/>
    <w:rsid w:val="00352DEF"/>
    <w:rsid w:val="00362BDC"/>
    <w:rsid w:val="00373BE9"/>
    <w:rsid w:val="00375D9D"/>
    <w:rsid w:val="00376D07"/>
    <w:rsid w:val="00382DC2"/>
    <w:rsid w:val="0039361C"/>
    <w:rsid w:val="00393E4F"/>
    <w:rsid w:val="00396760"/>
    <w:rsid w:val="00396887"/>
    <w:rsid w:val="00396B94"/>
    <w:rsid w:val="003A0845"/>
    <w:rsid w:val="003A1FF3"/>
    <w:rsid w:val="003A2C41"/>
    <w:rsid w:val="003A4B3B"/>
    <w:rsid w:val="003A5010"/>
    <w:rsid w:val="003A5D27"/>
    <w:rsid w:val="003B206E"/>
    <w:rsid w:val="003B2C72"/>
    <w:rsid w:val="003B2EF6"/>
    <w:rsid w:val="003B4FD9"/>
    <w:rsid w:val="003B52FA"/>
    <w:rsid w:val="003B6297"/>
    <w:rsid w:val="003B733E"/>
    <w:rsid w:val="003C1586"/>
    <w:rsid w:val="003C305B"/>
    <w:rsid w:val="003C316C"/>
    <w:rsid w:val="003C3D67"/>
    <w:rsid w:val="003C42AD"/>
    <w:rsid w:val="003C56C9"/>
    <w:rsid w:val="003C5C95"/>
    <w:rsid w:val="003C7980"/>
    <w:rsid w:val="003D00BF"/>
    <w:rsid w:val="003D06DB"/>
    <w:rsid w:val="003D1D09"/>
    <w:rsid w:val="003D2A9C"/>
    <w:rsid w:val="003D339D"/>
    <w:rsid w:val="003D4C77"/>
    <w:rsid w:val="003E0CB7"/>
    <w:rsid w:val="003E3C31"/>
    <w:rsid w:val="003E553C"/>
    <w:rsid w:val="003E5D0F"/>
    <w:rsid w:val="003E7915"/>
    <w:rsid w:val="003F394E"/>
    <w:rsid w:val="003F5957"/>
    <w:rsid w:val="003F74C1"/>
    <w:rsid w:val="003F7769"/>
    <w:rsid w:val="003F78D4"/>
    <w:rsid w:val="004037B4"/>
    <w:rsid w:val="0040507A"/>
    <w:rsid w:val="00405089"/>
    <w:rsid w:val="00406181"/>
    <w:rsid w:val="00406AD6"/>
    <w:rsid w:val="0040708D"/>
    <w:rsid w:val="00407894"/>
    <w:rsid w:val="00410276"/>
    <w:rsid w:val="00410627"/>
    <w:rsid w:val="004134CE"/>
    <w:rsid w:val="00413864"/>
    <w:rsid w:val="0042313E"/>
    <w:rsid w:val="00423C95"/>
    <w:rsid w:val="00424158"/>
    <w:rsid w:val="004258B2"/>
    <w:rsid w:val="004278D6"/>
    <w:rsid w:val="0043053D"/>
    <w:rsid w:val="00430A5D"/>
    <w:rsid w:val="00430C04"/>
    <w:rsid w:val="00431CF8"/>
    <w:rsid w:val="00432D81"/>
    <w:rsid w:val="00437157"/>
    <w:rsid w:val="00437B62"/>
    <w:rsid w:val="00437FB8"/>
    <w:rsid w:val="00441DB1"/>
    <w:rsid w:val="004473A0"/>
    <w:rsid w:val="00452373"/>
    <w:rsid w:val="004533B0"/>
    <w:rsid w:val="00453B53"/>
    <w:rsid w:val="0045418F"/>
    <w:rsid w:val="004622D1"/>
    <w:rsid w:val="00463329"/>
    <w:rsid w:val="004676E5"/>
    <w:rsid w:val="004679D3"/>
    <w:rsid w:val="00467BBE"/>
    <w:rsid w:val="00470BEB"/>
    <w:rsid w:val="004731EC"/>
    <w:rsid w:val="00475111"/>
    <w:rsid w:val="004757A0"/>
    <w:rsid w:val="00475B20"/>
    <w:rsid w:val="00476ACF"/>
    <w:rsid w:val="00476BD6"/>
    <w:rsid w:val="00477FC3"/>
    <w:rsid w:val="00482DEE"/>
    <w:rsid w:val="00484BF3"/>
    <w:rsid w:val="004851B0"/>
    <w:rsid w:val="00485600"/>
    <w:rsid w:val="00485DF8"/>
    <w:rsid w:val="00490292"/>
    <w:rsid w:val="00493D26"/>
    <w:rsid w:val="004944F6"/>
    <w:rsid w:val="00494571"/>
    <w:rsid w:val="00494E44"/>
    <w:rsid w:val="00495D7F"/>
    <w:rsid w:val="004A0859"/>
    <w:rsid w:val="004A2990"/>
    <w:rsid w:val="004A50FE"/>
    <w:rsid w:val="004B00FD"/>
    <w:rsid w:val="004B0496"/>
    <w:rsid w:val="004B09C4"/>
    <w:rsid w:val="004B0BBF"/>
    <w:rsid w:val="004B11DA"/>
    <w:rsid w:val="004B2A37"/>
    <w:rsid w:val="004B6DEF"/>
    <w:rsid w:val="004B752A"/>
    <w:rsid w:val="004B7ED0"/>
    <w:rsid w:val="004C6A86"/>
    <w:rsid w:val="004C72C6"/>
    <w:rsid w:val="004D104D"/>
    <w:rsid w:val="004D3B2A"/>
    <w:rsid w:val="004D45A0"/>
    <w:rsid w:val="004D45EE"/>
    <w:rsid w:val="004D6A4A"/>
    <w:rsid w:val="004E6D03"/>
    <w:rsid w:val="004E6EA9"/>
    <w:rsid w:val="004F1262"/>
    <w:rsid w:val="004F145B"/>
    <w:rsid w:val="004F1F85"/>
    <w:rsid w:val="004F220A"/>
    <w:rsid w:val="004F24A8"/>
    <w:rsid w:val="004F347A"/>
    <w:rsid w:val="004F3575"/>
    <w:rsid w:val="004F7E56"/>
    <w:rsid w:val="00500D08"/>
    <w:rsid w:val="00501ED4"/>
    <w:rsid w:val="00503E93"/>
    <w:rsid w:val="005049F1"/>
    <w:rsid w:val="00505BEA"/>
    <w:rsid w:val="0050634C"/>
    <w:rsid w:val="005077AB"/>
    <w:rsid w:val="00507D13"/>
    <w:rsid w:val="00513416"/>
    <w:rsid w:val="00516923"/>
    <w:rsid w:val="00521439"/>
    <w:rsid w:val="005214CC"/>
    <w:rsid w:val="00521819"/>
    <w:rsid w:val="00522B95"/>
    <w:rsid w:val="00523E59"/>
    <w:rsid w:val="00530637"/>
    <w:rsid w:val="00530812"/>
    <w:rsid w:val="005334F4"/>
    <w:rsid w:val="00534EAF"/>
    <w:rsid w:val="00535F02"/>
    <w:rsid w:val="005363F2"/>
    <w:rsid w:val="00536BE5"/>
    <w:rsid w:val="00537565"/>
    <w:rsid w:val="005407DA"/>
    <w:rsid w:val="00541B49"/>
    <w:rsid w:val="005430E9"/>
    <w:rsid w:val="00543A85"/>
    <w:rsid w:val="0054509C"/>
    <w:rsid w:val="00553FA1"/>
    <w:rsid w:val="00555ED1"/>
    <w:rsid w:val="0055619E"/>
    <w:rsid w:val="00557674"/>
    <w:rsid w:val="0055790E"/>
    <w:rsid w:val="00557AD8"/>
    <w:rsid w:val="0056077E"/>
    <w:rsid w:val="00560889"/>
    <w:rsid w:val="005618A1"/>
    <w:rsid w:val="00562455"/>
    <w:rsid w:val="00562CAE"/>
    <w:rsid w:val="0056411C"/>
    <w:rsid w:val="005657F0"/>
    <w:rsid w:val="00565A26"/>
    <w:rsid w:val="005717A2"/>
    <w:rsid w:val="00571A51"/>
    <w:rsid w:val="00576100"/>
    <w:rsid w:val="005766E0"/>
    <w:rsid w:val="00582D3B"/>
    <w:rsid w:val="00583884"/>
    <w:rsid w:val="005905DC"/>
    <w:rsid w:val="00590A32"/>
    <w:rsid w:val="00594D49"/>
    <w:rsid w:val="00595CDA"/>
    <w:rsid w:val="005969C6"/>
    <w:rsid w:val="005A06B8"/>
    <w:rsid w:val="005A6405"/>
    <w:rsid w:val="005A6D50"/>
    <w:rsid w:val="005B11A5"/>
    <w:rsid w:val="005B1448"/>
    <w:rsid w:val="005B2CBE"/>
    <w:rsid w:val="005B55D6"/>
    <w:rsid w:val="005B64BA"/>
    <w:rsid w:val="005B75C5"/>
    <w:rsid w:val="005C133C"/>
    <w:rsid w:val="005C1DDA"/>
    <w:rsid w:val="005C23E9"/>
    <w:rsid w:val="005C24AF"/>
    <w:rsid w:val="005C295C"/>
    <w:rsid w:val="005C3D5C"/>
    <w:rsid w:val="005C5608"/>
    <w:rsid w:val="005C7C9D"/>
    <w:rsid w:val="005D3917"/>
    <w:rsid w:val="005D7381"/>
    <w:rsid w:val="005E0D61"/>
    <w:rsid w:val="005E1A37"/>
    <w:rsid w:val="005E2EE2"/>
    <w:rsid w:val="005E34EE"/>
    <w:rsid w:val="005E5111"/>
    <w:rsid w:val="005E5A66"/>
    <w:rsid w:val="005E6D01"/>
    <w:rsid w:val="005E70F7"/>
    <w:rsid w:val="005F016A"/>
    <w:rsid w:val="005F0C08"/>
    <w:rsid w:val="005F4C9D"/>
    <w:rsid w:val="005F6D62"/>
    <w:rsid w:val="005F7A30"/>
    <w:rsid w:val="00601422"/>
    <w:rsid w:val="0060436B"/>
    <w:rsid w:val="00604ACD"/>
    <w:rsid w:val="00605C37"/>
    <w:rsid w:val="0060709C"/>
    <w:rsid w:val="006112DC"/>
    <w:rsid w:val="00616F9C"/>
    <w:rsid w:val="00620329"/>
    <w:rsid w:val="00626F9F"/>
    <w:rsid w:val="00627765"/>
    <w:rsid w:val="0063067B"/>
    <w:rsid w:val="00630E54"/>
    <w:rsid w:val="006326FE"/>
    <w:rsid w:val="006329D5"/>
    <w:rsid w:val="00634405"/>
    <w:rsid w:val="006367AE"/>
    <w:rsid w:val="006371E7"/>
    <w:rsid w:val="006429F7"/>
    <w:rsid w:val="006430B1"/>
    <w:rsid w:val="006467B3"/>
    <w:rsid w:val="00652B9B"/>
    <w:rsid w:val="00652EDA"/>
    <w:rsid w:val="0065361D"/>
    <w:rsid w:val="00655B41"/>
    <w:rsid w:val="006565BF"/>
    <w:rsid w:val="006569E9"/>
    <w:rsid w:val="00656A04"/>
    <w:rsid w:val="00656DD5"/>
    <w:rsid w:val="006572AA"/>
    <w:rsid w:val="0065789C"/>
    <w:rsid w:val="00657DCB"/>
    <w:rsid w:val="00660165"/>
    <w:rsid w:val="00660CDA"/>
    <w:rsid w:val="006636D9"/>
    <w:rsid w:val="00663B2E"/>
    <w:rsid w:val="00665C78"/>
    <w:rsid w:val="00665E0D"/>
    <w:rsid w:val="0067050F"/>
    <w:rsid w:val="0067267C"/>
    <w:rsid w:val="00673011"/>
    <w:rsid w:val="00673505"/>
    <w:rsid w:val="006746B0"/>
    <w:rsid w:val="00676D58"/>
    <w:rsid w:val="00677013"/>
    <w:rsid w:val="006778A4"/>
    <w:rsid w:val="00677FAC"/>
    <w:rsid w:val="006804BA"/>
    <w:rsid w:val="006817D9"/>
    <w:rsid w:val="0069249A"/>
    <w:rsid w:val="00693CE0"/>
    <w:rsid w:val="00693D08"/>
    <w:rsid w:val="00695DEA"/>
    <w:rsid w:val="0069667A"/>
    <w:rsid w:val="006A0F5F"/>
    <w:rsid w:val="006A273C"/>
    <w:rsid w:val="006A2E0C"/>
    <w:rsid w:val="006A3E79"/>
    <w:rsid w:val="006A5DB7"/>
    <w:rsid w:val="006A5EE6"/>
    <w:rsid w:val="006A7B05"/>
    <w:rsid w:val="006B7853"/>
    <w:rsid w:val="006C2641"/>
    <w:rsid w:val="006C270E"/>
    <w:rsid w:val="006C2EEA"/>
    <w:rsid w:val="006C2FCA"/>
    <w:rsid w:val="006C4773"/>
    <w:rsid w:val="006C4D98"/>
    <w:rsid w:val="006C53FF"/>
    <w:rsid w:val="006C6180"/>
    <w:rsid w:val="006D0FC8"/>
    <w:rsid w:val="006D1874"/>
    <w:rsid w:val="006D6097"/>
    <w:rsid w:val="006E1B9B"/>
    <w:rsid w:val="006E28FB"/>
    <w:rsid w:val="006E52A9"/>
    <w:rsid w:val="006E604A"/>
    <w:rsid w:val="006E6B91"/>
    <w:rsid w:val="006F22CA"/>
    <w:rsid w:val="006F27A5"/>
    <w:rsid w:val="006F3773"/>
    <w:rsid w:val="006F3DE2"/>
    <w:rsid w:val="006F5575"/>
    <w:rsid w:val="00700B1A"/>
    <w:rsid w:val="007020A2"/>
    <w:rsid w:val="007022D5"/>
    <w:rsid w:val="00702BD8"/>
    <w:rsid w:val="00703B41"/>
    <w:rsid w:val="00705376"/>
    <w:rsid w:val="007057E9"/>
    <w:rsid w:val="00705AC1"/>
    <w:rsid w:val="00713C81"/>
    <w:rsid w:val="007144E1"/>
    <w:rsid w:val="00715419"/>
    <w:rsid w:val="00716768"/>
    <w:rsid w:val="00717085"/>
    <w:rsid w:val="007173B2"/>
    <w:rsid w:val="007212AD"/>
    <w:rsid w:val="00725CCD"/>
    <w:rsid w:val="00730C9E"/>
    <w:rsid w:val="0073139B"/>
    <w:rsid w:val="00731D49"/>
    <w:rsid w:val="00732034"/>
    <w:rsid w:val="0073291D"/>
    <w:rsid w:val="00732D31"/>
    <w:rsid w:val="007334D9"/>
    <w:rsid w:val="00737428"/>
    <w:rsid w:val="00740286"/>
    <w:rsid w:val="00740755"/>
    <w:rsid w:val="00741CEF"/>
    <w:rsid w:val="00743731"/>
    <w:rsid w:val="0074748C"/>
    <w:rsid w:val="00747ECC"/>
    <w:rsid w:val="00747FC3"/>
    <w:rsid w:val="007503FC"/>
    <w:rsid w:val="00753EED"/>
    <w:rsid w:val="007563F6"/>
    <w:rsid w:val="00765BB7"/>
    <w:rsid w:val="00767114"/>
    <w:rsid w:val="00770934"/>
    <w:rsid w:val="00770DDD"/>
    <w:rsid w:val="007716D2"/>
    <w:rsid w:val="00773705"/>
    <w:rsid w:val="00774682"/>
    <w:rsid w:val="00775315"/>
    <w:rsid w:val="00775326"/>
    <w:rsid w:val="007802BC"/>
    <w:rsid w:val="00781FC1"/>
    <w:rsid w:val="007829BB"/>
    <w:rsid w:val="007843C9"/>
    <w:rsid w:val="00787623"/>
    <w:rsid w:val="0079025F"/>
    <w:rsid w:val="00793174"/>
    <w:rsid w:val="0079341E"/>
    <w:rsid w:val="00793631"/>
    <w:rsid w:val="007950B2"/>
    <w:rsid w:val="00795D27"/>
    <w:rsid w:val="00796E66"/>
    <w:rsid w:val="007A105C"/>
    <w:rsid w:val="007A262B"/>
    <w:rsid w:val="007A296C"/>
    <w:rsid w:val="007A3F40"/>
    <w:rsid w:val="007A402E"/>
    <w:rsid w:val="007A571E"/>
    <w:rsid w:val="007A58CD"/>
    <w:rsid w:val="007A68D9"/>
    <w:rsid w:val="007B2CD8"/>
    <w:rsid w:val="007B57A6"/>
    <w:rsid w:val="007B57A8"/>
    <w:rsid w:val="007B6976"/>
    <w:rsid w:val="007C010E"/>
    <w:rsid w:val="007C1133"/>
    <w:rsid w:val="007D08B0"/>
    <w:rsid w:val="007D1A30"/>
    <w:rsid w:val="007D1C85"/>
    <w:rsid w:val="007D6149"/>
    <w:rsid w:val="007D6AF5"/>
    <w:rsid w:val="007D6ECA"/>
    <w:rsid w:val="007D7EC0"/>
    <w:rsid w:val="007E3567"/>
    <w:rsid w:val="007E5FB8"/>
    <w:rsid w:val="007E6269"/>
    <w:rsid w:val="007E68A3"/>
    <w:rsid w:val="007E6CF8"/>
    <w:rsid w:val="007E7D44"/>
    <w:rsid w:val="007F02CB"/>
    <w:rsid w:val="007F1176"/>
    <w:rsid w:val="007F1781"/>
    <w:rsid w:val="007F1F16"/>
    <w:rsid w:val="007F253F"/>
    <w:rsid w:val="007F6C03"/>
    <w:rsid w:val="00802193"/>
    <w:rsid w:val="00803B6D"/>
    <w:rsid w:val="00806AD7"/>
    <w:rsid w:val="00807511"/>
    <w:rsid w:val="00807783"/>
    <w:rsid w:val="00810336"/>
    <w:rsid w:val="00810E6E"/>
    <w:rsid w:val="008133A7"/>
    <w:rsid w:val="00813C90"/>
    <w:rsid w:val="00817148"/>
    <w:rsid w:val="008224B5"/>
    <w:rsid w:val="00823375"/>
    <w:rsid w:val="00824922"/>
    <w:rsid w:val="00827C3E"/>
    <w:rsid w:val="0083501F"/>
    <w:rsid w:val="00835C2C"/>
    <w:rsid w:val="00835DA3"/>
    <w:rsid w:val="00837004"/>
    <w:rsid w:val="008406CC"/>
    <w:rsid w:val="008422EE"/>
    <w:rsid w:val="008479FB"/>
    <w:rsid w:val="00850AF1"/>
    <w:rsid w:val="00851659"/>
    <w:rsid w:val="0085175D"/>
    <w:rsid w:val="00853740"/>
    <w:rsid w:val="0085386A"/>
    <w:rsid w:val="008545C3"/>
    <w:rsid w:val="00854BF6"/>
    <w:rsid w:val="008555AB"/>
    <w:rsid w:val="008555D8"/>
    <w:rsid w:val="008568AE"/>
    <w:rsid w:val="00856B7D"/>
    <w:rsid w:val="0085744A"/>
    <w:rsid w:val="00860431"/>
    <w:rsid w:val="00861E40"/>
    <w:rsid w:val="00862033"/>
    <w:rsid w:val="008620C6"/>
    <w:rsid w:val="00862450"/>
    <w:rsid w:val="00863F8B"/>
    <w:rsid w:val="008640A8"/>
    <w:rsid w:val="00864D16"/>
    <w:rsid w:val="008714B1"/>
    <w:rsid w:val="00872AA2"/>
    <w:rsid w:val="008756E3"/>
    <w:rsid w:val="00877410"/>
    <w:rsid w:val="00880711"/>
    <w:rsid w:val="0088251C"/>
    <w:rsid w:val="0088407F"/>
    <w:rsid w:val="00886B41"/>
    <w:rsid w:val="0088724C"/>
    <w:rsid w:val="008873B1"/>
    <w:rsid w:val="00890BCE"/>
    <w:rsid w:val="008A4047"/>
    <w:rsid w:val="008A4096"/>
    <w:rsid w:val="008A5C2D"/>
    <w:rsid w:val="008B01E8"/>
    <w:rsid w:val="008B0E56"/>
    <w:rsid w:val="008B1223"/>
    <w:rsid w:val="008B1357"/>
    <w:rsid w:val="008B1C55"/>
    <w:rsid w:val="008B2CCF"/>
    <w:rsid w:val="008B35CD"/>
    <w:rsid w:val="008B3F1C"/>
    <w:rsid w:val="008B46AF"/>
    <w:rsid w:val="008C2F29"/>
    <w:rsid w:val="008C33FC"/>
    <w:rsid w:val="008C5A91"/>
    <w:rsid w:val="008D0906"/>
    <w:rsid w:val="008D3276"/>
    <w:rsid w:val="008D3723"/>
    <w:rsid w:val="008D453D"/>
    <w:rsid w:val="008D7A5F"/>
    <w:rsid w:val="008E06D4"/>
    <w:rsid w:val="008E218B"/>
    <w:rsid w:val="008E2D15"/>
    <w:rsid w:val="008E309E"/>
    <w:rsid w:val="008E3D70"/>
    <w:rsid w:val="008E4D74"/>
    <w:rsid w:val="008E5D5F"/>
    <w:rsid w:val="008E5EA0"/>
    <w:rsid w:val="008E714B"/>
    <w:rsid w:val="008E7F25"/>
    <w:rsid w:val="008F1336"/>
    <w:rsid w:val="008F1B66"/>
    <w:rsid w:val="008F419B"/>
    <w:rsid w:val="008F5600"/>
    <w:rsid w:val="008F56F3"/>
    <w:rsid w:val="008F743C"/>
    <w:rsid w:val="009012A2"/>
    <w:rsid w:val="009013B8"/>
    <w:rsid w:val="00901E81"/>
    <w:rsid w:val="009028FC"/>
    <w:rsid w:val="00904236"/>
    <w:rsid w:val="0091147A"/>
    <w:rsid w:val="00911480"/>
    <w:rsid w:val="009117CA"/>
    <w:rsid w:val="00912335"/>
    <w:rsid w:val="00912E20"/>
    <w:rsid w:val="0091525E"/>
    <w:rsid w:val="0091556C"/>
    <w:rsid w:val="009158F2"/>
    <w:rsid w:val="00915BE8"/>
    <w:rsid w:val="009161A1"/>
    <w:rsid w:val="0091695A"/>
    <w:rsid w:val="00917280"/>
    <w:rsid w:val="00921C84"/>
    <w:rsid w:val="0092298C"/>
    <w:rsid w:val="00924D19"/>
    <w:rsid w:val="0093173C"/>
    <w:rsid w:val="0093234D"/>
    <w:rsid w:val="009403D4"/>
    <w:rsid w:val="00940FF6"/>
    <w:rsid w:val="009425E1"/>
    <w:rsid w:val="009438C5"/>
    <w:rsid w:val="0094628E"/>
    <w:rsid w:val="00950E1E"/>
    <w:rsid w:val="009532F1"/>
    <w:rsid w:val="0096340E"/>
    <w:rsid w:val="00966381"/>
    <w:rsid w:val="00966969"/>
    <w:rsid w:val="009701A5"/>
    <w:rsid w:val="00971849"/>
    <w:rsid w:val="0097194D"/>
    <w:rsid w:val="00971F0E"/>
    <w:rsid w:val="009726E2"/>
    <w:rsid w:val="00972E6A"/>
    <w:rsid w:val="00974506"/>
    <w:rsid w:val="00974DFE"/>
    <w:rsid w:val="00975914"/>
    <w:rsid w:val="00975A12"/>
    <w:rsid w:val="009768DC"/>
    <w:rsid w:val="00977D9D"/>
    <w:rsid w:val="00982B6B"/>
    <w:rsid w:val="00983AB9"/>
    <w:rsid w:val="00984335"/>
    <w:rsid w:val="00985183"/>
    <w:rsid w:val="00985E03"/>
    <w:rsid w:val="00986726"/>
    <w:rsid w:val="009867BB"/>
    <w:rsid w:val="009923B0"/>
    <w:rsid w:val="00992AC7"/>
    <w:rsid w:val="0099317F"/>
    <w:rsid w:val="0099354F"/>
    <w:rsid w:val="009952C3"/>
    <w:rsid w:val="009955E5"/>
    <w:rsid w:val="00996202"/>
    <w:rsid w:val="00997B47"/>
    <w:rsid w:val="009A54EB"/>
    <w:rsid w:val="009A5C68"/>
    <w:rsid w:val="009B03D0"/>
    <w:rsid w:val="009B0421"/>
    <w:rsid w:val="009B060D"/>
    <w:rsid w:val="009B2391"/>
    <w:rsid w:val="009B35AC"/>
    <w:rsid w:val="009B6092"/>
    <w:rsid w:val="009C2165"/>
    <w:rsid w:val="009C2B87"/>
    <w:rsid w:val="009C4BF7"/>
    <w:rsid w:val="009C628F"/>
    <w:rsid w:val="009C739B"/>
    <w:rsid w:val="009E004C"/>
    <w:rsid w:val="009E1B57"/>
    <w:rsid w:val="009E28A6"/>
    <w:rsid w:val="009E4379"/>
    <w:rsid w:val="009E452A"/>
    <w:rsid w:val="009E5538"/>
    <w:rsid w:val="009F2439"/>
    <w:rsid w:val="009F41A2"/>
    <w:rsid w:val="009F5001"/>
    <w:rsid w:val="009F60BA"/>
    <w:rsid w:val="009F6FDA"/>
    <w:rsid w:val="00A00BD2"/>
    <w:rsid w:val="00A01117"/>
    <w:rsid w:val="00A0188E"/>
    <w:rsid w:val="00A0199E"/>
    <w:rsid w:val="00A06A72"/>
    <w:rsid w:val="00A22E8A"/>
    <w:rsid w:val="00A22FC3"/>
    <w:rsid w:val="00A247CB"/>
    <w:rsid w:val="00A261A4"/>
    <w:rsid w:val="00A31337"/>
    <w:rsid w:val="00A3575D"/>
    <w:rsid w:val="00A35DE5"/>
    <w:rsid w:val="00A4301A"/>
    <w:rsid w:val="00A43387"/>
    <w:rsid w:val="00A435B2"/>
    <w:rsid w:val="00A43D16"/>
    <w:rsid w:val="00A46420"/>
    <w:rsid w:val="00A46BA5"/>
    <w:rsid w:val="00A508CD"/>
    <w:rsid w:val="00A523EE"/>
    <w:rsid w:val="00A52485"/>
    <w:rsid w:val="00A609F7"/>
    <w:rsid w:val="00A61323"/>
    <w:rsid w:val="00A62719"/>
    <w:rsid w:val="00A65F13"/>
    <w:rsid w:val="00A672F4"/>
    <w:rsid w:val="00A67CE2"/>
    <w:rsid w:val="00A71818"/>
    <w:rsid w:val="00A71D66"/>
    <w:rsid w:val="00A7330C"/>
    <w:rsid w:val="00A73516"/>
    <w:rsid w:val="00A737EF"/>
    <w:rsid w:val="00A745E2"/>
    <w:rsid w:val="00A81A33"/>
    <w:rsid w:val="00A83891"/>
    <w:rsid w:val="00A86D87"/>
    <w:rsid w:val="00A91209"/>
    <w:rsid w:val="00A95C57"/>
    <w:rsid w:val="00A96501"/>
    <w:rsid w:val="00AA0994"/>
    <w:rsid w:val="00AA1EE1"/>
    <w:rsid w:val="00AA2C59"/>
    <w:rsid w:val="00AA2EA5"/>
    <w:rsid w:val="00AA5EBE"/>
    <w:rsid w:val="00AB1B89"/>
    <w:rsid w:val="00AB2AED"/>
    <w:rsid w:val="00AB4EF1"/>
    <w:rsid w:val="00AB5193"/>
    <w:rsid w:val="00AB6406"/>
    <w:rsid w:val="00AB6D6F"/>
    <w:rsid w:val="00AC219D"/>
    <w:rsid w:val="00AC6147"/>
    <w:rsid w:val="00AC7080"/>
    <w:rsid w:val="00AD001D"/>
    <w:rsid w:val="00AD034A"/>
    <w:rsid w:val="00AD2386"/>
    <w:rsid w:val="00AD26B2"/>
    <w:rsid w:val="00AD6B02"/>
    <w:rsid w:val="00AD6BD8"/>
    <w:rsid w:val="00AD731C"/>
    <w:rsid w:val="00AE2C05"/>
    <w:rsid w:val="00AE39FE"/>
    <w:rsid w:val="00AE5E4D"/>
    <w:rsid w:val="00AE60EB"/>
    <w:rsid w:val="00AF3E64"/>
    <w:rsid w:val="00AF3EF4"/>
    <w:rsid w:val="00AF540F"/>
    <w:rsid w:val="00AF5630"/>
    <w:rsid w:val="00AF654A"/>
    <w:rsid w:val="00B01A98"/>
    <w:rsid w:val="00B035B9"/>
    <w:rsid w:val="00B03725"/>
    <w:rsid w:val="00B038B4"/>
    <w:rsid w:val="00B04194"/>
    <w:rsid w:val="00B045A9"/>
    <w:rsid w:val="00B048F2"/>
    <w:rsid w:val="00B04BC1"/>
    <w:rsid w:val="00B05B80"/>
    <w:rsid w:val="00B05EA0"/>
    <w:rsid w:val="00B0664B"/>
    <w:rsid w:val="00B11FFB"/>
    <w:rsid w:val="00B128F9"/>
    <w:rsid w:val="00B13F7F"/>
    <w:rsid w:val="00B16A6F"/>
    <w:rsid w:val="00B1751F"/>
    <w:rsid w:val="00B17759"/>
    <w:rsid w:val="00B2124D"/>
    <w:rsid w:val="00B21559"/>
    <w:rsid w:val="00B21B6E"/>
    <w:rsid w:val="00B21BA3"/>
    <w:rsid w:val="00B2282A"/>
    <w:rsid w:val="00B22AC0"/>
    <w:rsid w:val="00B232A1"/>
    <w:rsid w:val="00B2550F"/>
    <w:rsid w:val="00B25A61"/>
    <w:rsid w:val="00B25D02"/>
    <w:rsid w:val="00B25EE5"/>
    <w:rsid w:val="00B268F4"/>
    <w:rsid w:val="00B312BC"/>
    <w:rsid w:val="00B3439E"/>
    <w:rsid w:val="00B34626"/>
    <w:rsid w:val="00B3525D"/>
    <w:rsid w:val="00B3535B"/>
    <w:rsid w:val="00B35583"/>
    <w:rsid w:val="00B36A5B"/>
    <w:rsid w:val="00B36F1B"/>
    <w:rsid w:val="00B40A0D"/>
    <w:rsid w:val="00B410CE"/>
    <w:rsid w:val="00B43340"/>
    <w:rsid w:val="00B447CB"/>
    <w:rsid w:val="00B4480F"/>
    <w:rsid w:val="00B44A33"/>
    <w:rsid w:val="00B44C88"/>
    <w:rsid w:val="00B512E0"/>
    <w:rsid w:val="00B53A0E"/>
    <w:rsid w:val="00B54497"/>
    <w:rsid w:val="00B553A2"/>
    <w:rsid w:val="00B55700"/>
    <w:rsid w:val="00B55D78"/>
    <w:rsid w:val="00B5757E"/>
    <w:rsid w:val="00B60B8C"/>
    <w:rsid w:val="00B673FC"/>
    <w:rsid w:val="00B7039B"/>
    <w:rsid w:val="00B7058F"/>
    <w:rsid w:val="00B722B6"/>
    <w:rsid w:val="00B75383"/>
    <w:rsid w:val="00B75A2D"/>
    <w:rsid w:val="00B76B4A"/>
    <w:rsid w:val="00B76FD7"/>
    <w:rsid w:val="00B83185"/>
    <w:rsid w:val="00B83B7C"/>
    <w:rsid w:val="00B909DA"/>
    <w:rsid w:val="00B91065"/>
    <w:rsid w:val="00B929B0"/>
    <w:rsid w:val="00B929CE"/>
    <w:rsid w:val="00B9432C"/>
    <w:rsid w:val="00B95B97"/>
    <w:rsid w:val="00B95F16"/>
    <w:rsid w:val="00BA0C24"/>
    <w:rsid w:val="00BA47D4"/>
    <w:rsid w:val="00BA59D6"/>
    <w:rsid w:val="00BA627A"/>
    <w:rsid w:val="00BB1D76"/>
    <w:rsid w:val="00BB333E"/>
    <w:rsid w:val="00BB435B"/>
    <w:rsid w:val="00BB5B9B"/>
    <w:rsid w:val="00BB6EB4"/>
    <w:rsid w:val="00BC2EC0"/>
    <w:rsid w:val="00BC4048"/>
    <w:rsid w:val="00BC4EBA"/>
    <w:rsid w:val="00BC52BA"/>
    <w:rsid w:val="00BC72AC"/>
    <w:rsid w:val="00BD31CC"/>
    <w:rsid w:val="00BD3A87"/>
    <w:rsid w:val="00BD3B5B"/>
    <w:rsid w:val="00BD4281"/>
    <w:rsid w:val="00BD4DD2"/>
    <w:rsid w:val="00BD6D64"/>
    <w:rsid w:val="00BE37E2"/>
    <w:rsid w:val="00BE3FE1"/>
    <w:rsid w:val="00BE53BA"/>
    <w:rsid w:val="00BE6394"/>
    <w:rsid w:val="00BE7309"/>
    <w:rsid w:val="00BF092F"/>
    <w:rsid w:val="00BF25E3"/>
    <w:rsid w:val="00BF46CA"/>
    <w:rsid w:val="00BF4709"/>
    <w:rsid w:val="00BF4B24"/>
    <w:rsid w:val="00BF4DAA"/>
    <w:rsid w:val="00BF6F60"/>
    <w:rsid w:val="00C00A40"/>
    <w:rsid w:val="00C02E0B"/>
    <w:rsid w:val="00C0344B"/>
    <w:rsid w:val="00C11601"/>
    <w:rsid w:val="00C11C88"/>
    <w:rsid w:val="00C11F0A"/>
    <w:rsid w:val="00C16335"/>
    <w:rsid w:val="00C16ACB"/>
    <w:rsid w:val="00C2065E"/>
    <w:rsid w:val="00C207C4"/>
    <w:rsid w:val="00C2229D"/>
    <w:rsid w:val="00C248CC"/>
    <w:rsid w:val="00C25F97"/>
    <w:rsid w:val="00C273E0"/>
    <w:rsid w:val="00C30211"/>
    <w:rsid w:val="00C34EAC"/>
    <w:rsid w:val="00C36868"/>
    <w:rsid w:val="00C36C48"/>
    <w:rsid w:val="00C37CBF"/>
    <w:rsid w:val="00C400C2"/>
    <w:rsid w:val="00C42826"/>
    <w:rsid w:val="00C4642D"/>
    <w:rsid w:val="00C46EEF"/>
    <w:rsid w:val="00C47C70"/>
    <w:rsid w:val="00C507B2"/>
    <w:rsid w:val="00C5194E"/>
    <w:rsid w:val="00C52C85"/>
    <w:rsid w:val="00C535A7"/>
    <w:rsid w:val="00C54BEA"/>
    <w:rsid w:val="00C5504E"/>
    <w:rsid w:val="00C555E3"/>
    <w:rsid w:val="00C60886"/>
    <w:rsid w:val="00C63209"/>
    <w:rsid w:val="00C63E81"/>
    <w:rsid w:val="00C65E50"/>
    <w:rsid w:val="00C65EC6"/>
    <w:rsid w:val="00C6661B"/>
    <w:rsid w:val="00C674DA"/>
    <w:rsid w:val="00C713FF"/>
    <w:rsid w:val="00C7278D"/>
    <w:rsid w:val="00C77987"/>
    <w:rsid w:val="00C828D5"/>
    <w:rsid w:val="00C843C5"/>
    <w:rsid w:val="00C84F83"/>
    <w:rsid w:val="00C8548A"/>
    <w:rsid w:val="00C90342"/>
    <w:rsid w:val="00C92BAB"/>
    <w:rsid w:val="00C9419A"/>
    <w:rsid w:val="00C945BF"/>
    <w:rsid w:val="00C9615D"/>
    <w:rsid w:val="00C9705A"/>
    <w:rsid w:val="00CA1AC7"/>
    <w:rsid w:val="00CA1CAF"/>
    <w:rsid w:val="00CA27E9"/>
    <w:rsid w:val="00CA3651"/>
    <w:rsid w:val="00CA41BD"/>
    <w:rsid w:val="00CA51E4"/>
    <w:rsid w:val="00CA731B"/>
    <w:rsid w:val="00CB00D7"/>
    <w:rsid w:val="00CB18C9"/>
    <w:rsid w:val="00CB5667"/>
    <w:rsid w:val="00CB590F"/>
    <w:rsid w:val="00CB602C"/>
    <w:rsid w:val="00CB619B"/>
    <w:rsid w:val="00CB72A4"/>
    <w:rsid w:val="00CB7355"/>
    <w:rsid w:val="00CB7911"/>
    <w:rsid w:val="00CC2EF0"/>
    <w:rsid w:val="00CC3DF7"/>
    <w:rsid w:val="00CD0C43"/>
    <w:rsid w:val="00CD0C7F"/>
    <w:rsid w:val="00CD0F47"/>
    <w:rsid w:val="00CD16A5"/>
    <w:rsid w:val="00CD1B4C"/>
    <w:rsid w:val="00CD316C"/>
    <w:rsid w:val="00CD4504"/>
    <w:rsid w:val="00CD53BF"/>
    <w:rsid w:val="00CD568B"/>
    <w:rsid w:val="00CE05C8"/>
    <w:rsid w:val="00CE15E6"/>
    <w:rsid w:val="00CE5307"/>
    <w:rsid w:val="00CF60B0"/>
    <w:rsid w:val="00CF6ED1"/>
    <w:rsid w:val="00D0009D"/>
    <w:rsid w:val="00D004D5"/>
    <w:rsid w:val="00D00AEF"/>
    <w:rsid w:val="00D00E98"/>
    <w:rsid w:val="00D03B48"/>
    <w:rsid w:val="00D073AA"/>
    <w:rsid w:val="00D11351"/>
    <w:rsid w:val="00D12535"/>
    <w:rsid w:val="00D13B27"/>
    <w:rsid w:val="00D15AE5"/>
    <w:rsid w:val="00D1745D"/>
    <w:rsid w:val="00D23A84"/>
    <w:rsid w:val="00D27504"/>
    <w:rsid w:val="00D2792F"/>
    <w:rsid w:val="00D30785"/>
    <w:rsid w:val="00D334CE"/>
    <w:rsid w:val="00D379BD"/>
    <w:rsid w:val="00D4013C"/>
    <w:rsid w:val="00D40EA7"/>
    <w:rsid w:val="00D47830"/>
    <w:rsid w:val="00D47B51"/>
    <w:rsid w:val="00D51052"/>
    <w:rsid w:val="00D518C3"/>
    <w:rsid w:val="00D53245"/>
    <w:rsid w:val="00D54CC1"/>
    <w:rsid w:val="00D56220"/>
    <w:rsid w:val="00D604F4"/>
    <w:rsid w:val="00D60D17"/>
    <w:rsid w:val="00D657E9"/>
    <w:rsid w:val="00D66F4E"/>
    <w:rsid w:val="00D71854"/>
    <w:rsid w:val="00D72510"/>
    <w:rsid w:val="00D73016"/>
    <w:rsid w:val="00D73256"/>
    <w:rsid w:val="00D744C4"/>
    <w:rsid w:val="00D74AE4"/>
    <w:rsid w:val="00D768A8"/>
    <w:rsid w:val="00D80648"/>
    <w:rsid w:val="00D80815"/>
    <w:rsid w:val="00D8182A"/>
    <w:rsid w:val="00D81D27"/>
    <w:rsid w:val="00D82C23"/>
    <w:rsid w:val="00D83ED9"/>
    <w:rsid w:val="00D84B4F"/>
    <w:rsid w:val="00D8502A"/>
    <w:rsid w:val="00D860EB"/>
    <w:rsid w:val="00D86C41"/>
    <w:rsid w:val="00D914A0"/>
    <w:rsid w:val="00D914F5"/>
    <w:rsid w:val="00D92B9F"/>
    <w:rsid w:val="00D94AB7"/>
    <w:rsid w:val="00D950CE"/>
    <w:rsid w:val="00D950DB"/>
    <w:rsid w:val="00D95156"/>
    <w:rsid w:val="00D95BD4"/>
    <w:rsid w:val="00D973E4"/>
    <w:rsid w:val="00DA43CC"/>
    <w:rsid w:val="00DA4C5A"/>
    <w:rsid w:val="00DA669E"/>
    <w:rsid w:val="00DA6F58"/>
    <w:rsid w:val="00DA7DF6"/>
    <w:rsid w:val="00DB03E1"/>
    <w:rsid w:val="00DB0EF0"/>
    <w:rsid w:val="00DB3AD0"/>
    <w:rsid w:val="00DB4BB3"/>
    <w:rsid w:val="00DB5517"/>
    <w:rsid w:val="00DB582E"/>
    <w:rsid w:val="00DB7568"/>
    <w:rsid w:val="00DC02F8"/>
    <w:rsid w:val="00DC0D9A"/>
    <w:rsid w:val="00DC208E"/>
    <w:rsid w:val="00DC3D40"/>
    <w:rsid w:val="00DC40B8"/>
    <w:rsid w:val="00DC5F65"/>
    <w:rsid w:val="00DC6C44"/>
    <w:rsid w:val="00DC6E0C"/>
    <w:rsid w:val="00DD0FEA"/>
    <w:rsid w:val="00DD5C37"/>
    <w:rsid w:val="00DD61CB"/>
    <w:rsid w:val="00DD7A74"/>
    <w:rsid w:val="00DD7F1B"/>
    <w:rsid w:val="00DF0140"/>
    <w:rsid w:val="00DF0C2F"/>
    <w:rsid w:val="00DF17A3"/>
    <w:rsid w:val="00E022B9"/>
    <w:rsid w:val="00E0469D"/>
    <w:rsid w:val="00E04E54"/>
    <w:rsid w:val="00E075EB"/>
    <w:rsid w:val="00E11087"/>
    <w:rsid w:val="00E12D85"/>
    <w:rsid w:val="00E15C1B"/>
    <w:rsid w:val="00E1618A"/>
    <w:rsid w:val="00E23D11"/>
    <w:rsid w:val="00E255C0"/>
    <w:rsid w:val="00E2587B"/>
    <w:rsid w:val="00E25E83"/>
    <w:rsid w:val="00E26E5D"/>
    <w:rsid w:val="00E300FE"/>
    <w:rsid w:val="00E30E01"/>
    <w:rsid w:val="00E3109B"/>
    <w:rsid w:val="00E31930"/>
    <w:rsid w:val="00E342F0"/>
    <w:rsid w:val="00E345A4"/>
    <w:rsid w:val="00E358AB"/>
    <w:rsid w:val="00E42E0C"/>
    <w:rsid w:val="00E433CE"/>
    <w:rsid w:val="00E506E0"/>
    <w:rsid w:val="00E51592"/>
    <w:rsid w:val="00E522F4"/>
    <w:rsid w:val="00E52C1C"/>
    <w:rsid w:val="00E531D4"/>
    <w:rsid w:val="00E56E9A"/>
    <w:rsid w:val="00E60F20"/>
    <w:rsid w:val="00E62A92"/>
    <w:rsid w:val="00E6360C"/>
    <w:rsid w:val="00E655F0"/>
    <w:rsid w:val="00E7405C"/>
    <w:rsid w:val="00E765C2"/>
    <w:rsid w:val="00E77624"/>
    <w:rsid w:val="00E778C7"/>
    <w:rsid w:val="00E814B8"/>
    <w:rsid w:val="00E84922"/>
    <w:rsid w:val="00E86461"/>
    <w:rsid w:val="00E8779E"/>
    <w:rsid w:val="00E918B1"/>
    <w:rsid w:val="00E952BE"/>
    <w:rsid w:val="00E9573E"/>
    <w:rsid w:val="00EA35F1"/>
    <w:rsid w:val="00EA3E57"/>
    <w:rsid w:val="00EA5BCC"/>
    <w:rsid w:val="00EA69A4"/>
    <w:rsid w:val="00EB0CF2"/>
    <w:rsid w:val="00EB0D2F"/>
    <w:rsid w:val="00EB16D2"/>
    <w:rsid w:val="00EC0968"/>
    <w:rsid w:val="00EC0A14"/>
    <w:rsid w:val="00EC151D"/>
    <w:rsid w:val="00EC30C0"/>
    <w:rsid w:val="00EC71AC"/>
    <w:rsid w:val="00ED0BD9"/>
    <w:rsid w:val="00ED2D01"/>
    <w:rsid w:val="00ED38EF"/>
    <w:rsid w:val="00ED483B"/>
    <w:rsid w:val="00ED7DA4"/>
    <w:rsid w:val="00EE2F4A"/>
    <w:rsid w:val="00EE3D01"/>
    <w:rsid w:val="00EE3F40"/>
    <w:rsid w:val="00EE5410"/>
    <w:rsid w:val="00EF017F"/>
    <w:rsid w:val="00EF4980"/>
    <w:rsid w:val="00EF5430"/>
    <w:rsid w:val="00EF5EF5"/>
    <w:rsid w:val="00EF64D2"/>
    <w:rsid w:val="00EF64EF"/>
    <w:rsid w:val="00EF756E"/>
    <w:rsid w:val="00F00295"/>
    <w:rsid w:val="00F034C6"/>
    <w:rsid w:val="00F068ED"/>
    <w:rsid w:val="00F11998"/>
    <w:rsid w:val="00F1692D"/>
    <w:rsid w:val="00F16A2F"/>
    <w:rsid w:val="00F22290"/>
    <w:rsid w:val="00F223F5"/>
    <w:rsid w:val="00F22D0A"/>
    <w:rsid w:val="00F24B13"/>
    <w:rsid w:val="00F30298"/>
    <w:rsid w:val="00F31945"/>
    <w:rsid w:val="00F32158"/>
    <w:rsid w:val="00F332FE"/>
    <w:rsid w:val="00F3481E"/>
    <w:rsid w:val="00F3534D"/>
    <w:rsid w:val="00F35910"/>
    <w:rsid w:val="00F366C6"/>
    <w:rsid w:val="00F37712"/>
    <w:rsid w:val="00F40E70"/>
    <w:rsid w:val="00F425D8"/>
    <w:rsid w:val="00F43FF0"/>
    <w:rsid w:val="00F44C25"/>
    <w:rsid w:val="00F50FD3"/>
    <w:rsid w:val="00F526F5"/>
    <w:rsid w:val="00F53654"/>
    <w:rsid w:val="00F605E0"/>
    <w:rsid w:val="00F615C6"/>
    <w:rsid w:val="00F646FF"/>
    <w:rsid w:val="00F64906"/>
    <w:rsid w:val="00F64983"/>
    <w:rsid w:val="00F65C37"/>
    <w:rsid w:val="00F6630C"/>
    <w:rsid w:val="00F671EB"/>
    <w:rsid w:val="00F67BAE"/>
    <w:rsid w:val="00F72F47"/>
    <w:rsid w:val="00F73D05"/>
    <w:rsid w:val="00F74335"/>
    <w:rsid w:val="00F74D75"/>
    <w:rsid w:val="00F8182B"/>
    <w:rsid w:val="00F82784"/>
    <w:rsid w:val="00F833A4"/>
    <w:rsid w:val="00F83AB9"/>
    <w:rsid w:val="00F847E5"/>
    <w:rsid w:val="00F87808"/>
    <w:rsid w:val="00F94A15"/>
    <w:rsid w:val="00F94A76"/>
    <w:rsid w:val="00F96C62"/>
    <w:rsid w:val="00F97520"/>
    <w:rsid w:val="00F97B17"/>
    <w:rsid w:val="00FA13F7"/>
    <w:rsid w:val="00FA1607"/>
    <w:rsid w:val="00FA1644"/>
    <w:rsid w:val="00FA18B4"/>
    <w:rsid w:val="00FA7659"/>
    <w:rsid w:val="00FA7848"/>
    <w:rsid w:val="00FB12E8"/>
    <w:rsid w:val="00FB22B5"/>
    <w:rsid w:val="00FC09FE"/>
    <w:rsid w:val="00FC2C47"/>
    <w:rsid w:val="00FC2FA8"/>
    <w:rsid w:val="00FC55F6"/>
    <w:rsid w:val="00FC6C2C"/>
    <w:rsid w:val="00FC7C34"/>
    <w:rsid w:val="00FD0B99"/>
    <w:rsid w:val="00FD4B46"/>
    <w:rsid w:val="00FD705D"/>
    <w:rsid w:val="00FD72A6"/>
    <w:rsid w:val="00FE00C1"/>
    <w:rsid w:val="00FE1040"/>
    <w:rsid w:val="00FE20CF"/>
    <w:rsid w:val="00FE260A"/>
    <w:rsid w:val="00FE7210"/>
    <w:rsid w:val="00FF0728"/>
    <w:rsid w:val="00FF4EDB"/>
    <w:rsid w:val="00FF6153"/>
    <w:rsid w:val="0106F0C3"/>
    <w:rsid w:val="011E2A85"/>
    <w:rsid w:val="013116FD"/>
    <w:rsid w:val="017ED4E2"/>
    <w:rsid w:val="01BFBEDC"/>
    <w:rsid w:val="01CA59D4"/>
    <w:rsid w:val="02135EAD"/>
    <w:rsid w:val="021600D1"/>
    <w:rsid w:val="0230268F"/>
    <w:rsid w:val="0263E4FD"/>
    <w:rsid w:val="028F5366"/>
    <w:rsid w:val="02A12605"/>
    <w:rsid w:val="02C10F5B"/>
    <w:rsid w:val="030193CC"/>
    <w:rsid w:val="031273F8"/>
    <w:rsid w:val="0326C15B"/>
    <w:rsid w:val="03743E82"/>
    <w:rsid w:val="039A2B52"/>
    <w:rsid w:val="03DF232A"/>
    <w:rsid w:val="03EBFD63"/>
    <w:rsid w:val="047E1D86"/>
    <w:rsid w:val="04952150"/>
    <w:rsid w:val="049C134D"/>
    <w:rsid w:val="04A5F46A"/>
    <w:rsid w:val="04B023C7"/>
    <w:rsid w:val="04DC5730"/>
    <w:rsid w:val="052C40B2"/>
    <w:rsid w:val="05952A97"/>
    <w:rsid w:val="067AA394"/>
    <w:rsid w:val="06812D72"/>
    <w:rsid w:val="06A7357E"/>
    <w:rsid w:val="06F5D0A1"/>
    <w:rsid w:val="0714E7C2"/>
    <w:rsid w:val="07315B32"/>
    <w:rsid w:val="0740396A"/>
    <w:rsid w:val="077B4CC7"/>
    <w:rsid w:val="0794E08E"/>
    <w:rsid w:val="08169F51"/>
    <w:rsid w:val="082E1030"/>
    <w:rsid w:val="0853775F"/>
    <w:rsid w:val="0855074D"/>
    <w:rsid w:val="0857E343"/>
    <w:rsid w:val="08D8B053"/>
    <w:rsid w:val="090A3672"/>
    <w:rsid w:val="0918AE13"/>
    <w:rsid w:val="0937E039"/>
    <w:rsid w:val="09C9F6C5"/>
    <w:rsid w:val="0A32D27F"/>
    <w:rsid w:val="0A5BFBB1"/>
    <w:rsid w:val="0A6B873F"/>
    <w:rsid w:val="0A99C0E2"/>
    <w:rsid w:val="0A9B2F6C"/>
    <w:rsid w:val="0A9C9B44"/>
    <w:rsid w:val="0AECD836"/>
    <w:rsid w:val="0B7A8ECF"/>
    <w:rsid w:val="0BA53AF8"/>
    <w:rsid w:val="0C5B6923"/>
    <w:rsid w:val="0C726190"/>
    <w:rsid w:val="0D03ACA1"/>
    <w:rsid w:val="0D84F11C"/>
    <w:rsid w:val="0DA8B5B0"/>
    <w:rsid w:val="0DB86E0E"/>
    <w:rsid w:val="0E25774E"/>
    <w:rsid w:val="0E39DE59"/>
    <w:rsid w:val="0E3FCE43"/>
    <w:rsid w:val="0E89FE9E"/>
    <w:rsid w:val="0EE3E98E"/>
    <w:rsid w:val="0EFF47C0"/>
    <w:rsid w:val="0F252B47"/>
    <w:rsid w:val="0F4A494F"/>
    <w:rsid w:val="0F4AFE39"/>
    <w:rsid w:val="0F549C23"/>
    <w:rsid w:val="0F7881D7"/>
    <w:rsid w:val="0F80F400"/>
    <w:rsid w:val="0F8682DD"/>
    <w:rsid w:val="0F8D7FE9"/>
    <w:rsid w:val="0FC337B4"/>
    <w:rsid w:val="10044654"/>
    <w:rsid w:val="100B35F6"/>
    <w:rsid w:val="102F0635"/>
    <w:rsid w:val="1032D638"/>
    <w:rsid w:val="10A9745E"/>
    <w:rsid w:val="10BC9036"/>
    <w:rsid w:val="111BF355"/>
    <w:rsid w:val="111E3CFE"/>
    <w:rsid w:val="11261F00"/>
    <w:rsid w:val="113CC0C9"/>
    <w:rsid w:val="1170F18D"/>
    <w:rsid w:val="117FB92B"/>
    <w:rsid w:val="129506B2"/>
    <w:rsid w:val="12B65C14"/>
    <w:rsid w:val="12E11105"/>
    <w:rsid w:val="12E8BE94"/>
    <w:rsid w:val="135717A3"/>
    <w:rsid w:val="13EF7FE3"/>
    <w:rsid w:val="145FA795"/>
    <w:rsid w:val="14626F85"/>
    <w:rsid w:val="1499091E"/>
    <w:rsid w:val="14B460C3"/>
    <w:rsid w:val="1507BE89"/>
    <w:rsid w:val="156C7A61"/>
    <w:rsid w:val="157ADF3C"/>
    <w:rsid w:val="15D699A2"/>
    <w:rsid w:val="15F9B4F1"/>
    <w:rsid w:val="16489363"/>
    <w:rsid w:val="1672DA14"/>
    <w:rsid w:val="168CABBC"/>
    <w:rsid w:val="16E184BE"/>
    <w:rsid w:val="17041A46"/>
    <w:rsid w:val="177A6608"/>
    <w:rsid w:val="17F48205"/>
    <w:rsid w:val="17FF3F9C"/>
    <w:rsid w:val="1802E8DE"/>
    <w:rsid w:val="1802FEEA"/>
    <w:rsid w:val="1812220F"/>
    <w:rsid w:val="18137CDF"/>
    <w:rsid w:val="181BB4A0"/>
    <w:rsid w:val="18D46FE5"/>
    <w:rsid w:val="18F3B593"/>
    <w:rsid w:val="190506A0"/>
    <w:rsid w:val="191AD371"/>
    <w:rsid w:val="197C1C06"/>
    <w:rsid w:val="199F2E52"/>
    <w:rsid w:val="19BAC017"/>
    <w:rsid w:val="19C70109"/>
    <w:rsid w:val="19F18FEC"/>
    <w:rsid w:val="1A1AA3B5"/>
    <w:rsid w:val="1A67A271"/>
    <w:rsid w:val="1ABC197A"/>
    <w:rsid w:val="1AC62CD6"/>
    <w:rsid w:val="1AF455A0"/>
    <w:rsid w:val="1B0D7349"/>
    <w:rsid w:val="1B14AF94"/>
    <w:rsid w:val="1B42E505"/>
    <w:rsid w:val="1B520910"/>
    <w:rsid w:val="1B8DD352"/>
    <w:rsid w:val="1BAFB304"/>
    <w:rsid w:val="1BE88394"/>
    <w:rsid w:val="1C22A6B1"/>
    <w:rsid w:val="1C8685A4"/>
    <w:rsid w:val="1CFF8FA3"/>
    <w:rsid w:val="1D0A8C34"/>
    <w:rsid w:val="1D3F7389"/>
    <w:rsid w:val="1D753DD4"/>
    <w:rsid w:val="1D9778BD"/>
    <w:rsid w:val="1E26F0C7"/>
    <w:rsid w:val="1E6786D6"/>
    <w:rsid w:val="1E9CEEAC"/>
    <w:rsid w:val="1EAD2454"/>
    <w:rsid w:val="1EEB341D"/>
    <w:rsid w:val="1F403CDF"/>
    <w:rsid w:val="2091F090"/>
    <w:rsid w:val="2092B375"/>
    <w:rsid w:val="209A603B"/>
    <w:rsid w:val="20ABDBA2"/>
    <w:rsid w:val="20B3971D"/>
    <w:rsid w:val="20F5CEBF"/>
    <w:rsid w:val="21DDBBCB"/>
    <w:rsid w:val="221E4F07"/>
    <w:rsid w:val="2239414E"/>
    <w:rsid w:val="226C6402"/>
    <w:rsid w:val="22A570A3"/>
    <w:rsid w:val="22AFA3A3"/>
    <w:rsid w:val="22C2A4C8"/>
    <w:rsid w:val="22CB8FB5"/>
    <w:rsid w:val="231749D2"/>
    <w:rsid w:val="231D8C4F"/>
    <w:rsid w:val="23238239"/>
    <w:rsid w:val="23575A62"/>
    <w:rsid w:val="23CFE8B6"/>
    <w:rsid w:val="23E8C24E"/>
    <w:rsid w:val="23F5E637"/>
    <w:rsid w:val="23FC70AA"/>
    <w:rsid w:val="241D6020"/>
    <w:rsid w:val="24682835"/>
    <w:rsid w:val="247431DB"/>
    <w:rsid w:val="2482A2A2"/>
    <w:rsid w:val="24AC92CE"/>
    <w:rsid w:val="25B07207"/>
    <w:rsid w:val="25E9D702"/>
    <w:rsid w:val="262178BF"/>
    <w:rsid w:val="264B322A"/>
    <w:rsid w:val="2672EA32"/>
    <w:rsid w:val="26D0D81C"/>
    <w:rsid w:val="27031AA4"/>
    <w:rsid w:val="272CB0D6"/>
    <w:rsid w:val="273740F0"/>
    <w:rsid w:val="27505D63"/>
    <w:rsid w:val="27C45612"/>
    <w:rsid w:val="281CC381"/>
    <w:rsid w:val="28391C9C"/>
    <w:rsid w:val="289ECFB7"/>
    <w:rsid w:val="28B1DFC4"/>
    <w:rsid w:val="28DD1F46"/>
    <w:rsid w:val="2925EEA7"/>
    <w:rsid w:val="29359FD2"/>
    <w:rsid w:val="29798CC4"/>
    <w:rsid w:val="2996B53D"/>
    <w:rsid w:val="29BA9094"/>
    <w:rsid w:val="29C3A876"/>
    <w:rsid w:val="29C546A6"/>
    <w:rsid w:val="29CB5125"/>
    <w:rsid w:val="2A137B66"/>
    <w:rsid w:val="2A155EC3"/>
    <w:rsid w:val="2A2A8066"/>
    <w:rsid w:val="2A5FDBEA"/>
    <w:rsid w:val="2A774CC0"/>
    <w:rsid w:val="2A7B476A"/>
    <w:rsid w:val="2AC53B6F"/>
    <w:rsid w:val="2AE6EE39"/>
    <w:rsid w:val="2B01C58A"/>
    <w:rsid w:val="2B130F9E"/>
    <w:rsid w:val="2B1B8FB6"/>
    <w:rsid w:val="2B281CF7"/>
    <w:rsid w:val="2B30AFB6"/>
    <w:rsid w:val="2B430B34"/>
    <w:rsid w:val="2B6B09B3"/>
    <w:rsid w:val="2B7BBB2E"/>
    <w:rsid w:val="2BEBA8E2"/>
    <w:rsid w:val="2C2EA9FD"/>
    <w:rsid w:val="2C61E099"/>
    <w:rsid w:val="2C71C32C"/>
    <w:rsid w:val="2C7F6962"/>
    <w:rsid w:val="2CC04EFB"/>
    <w:rsid w:val="2CF15A65"/>
    <w:rsid w:val="2CF5F73C"/>
    <w:rsid w:val="2CF78B1F"/>
    <w:rsid w:val="2D20B89B"/>
    <w:rsid w:val="2D3D799F"/>
    <w:rsid w:val="2D3F8110"/>
    <w:rsid w:val="2D46EEA9"/>
    <w:rsid w:val="2DA1CFAA"/>
    <w:rsid w:val="2DB0B348"/>
    <w:rsid w:val="2DF04DC2"/>
    <w:rsid w:val="2E0B44FA"/>
    <w:rsid w:val="2E244D39"/>
    <w:rsid w:val="2E644AE4"/>
    <w:rsid w:val="2E6739C2"/>
    <w:rsid w:val="2E799807"/>
    <w:rsid w:val="2EB755B4"/>
    <w:rsid w:val="2ECA39A3"/>
    <w:rsid w:val="2F3A55D4"/>
    <w:rsid w:val="2F62E487"/>
    <w:rsid w:val="2F813AFD"/>
    <w:rsid w:val="2F89CC79"/>
    <w:rsid w:val="2FF5C631"/>
    <w:rsid w:val="3004D1E8"/>
    <w:rsid w:val="302FBBAA"/>
    <w:rsid w:val="3040BB32"/>
    <w:rsid w:val="304CF92F"/>
    <w:rsid w:val="3070522A"/>
    <w:rsid w:val="308E0C02"/>
    <w:rsid w:val="30EDE436"/>
    <w:rsid w:val="30FC1436"/>
    <w:rsid w:val="3156D7CD"/>
    <w:rsid w:val="31665467"/>
    <w:rsid w:val="31CC629D"/>
    <w:rsid w:val="31E1A51D"/>
    <w:rsid w:val="31EEF925"/>
    <w:rsid w:val="31FE2FF6"/>
    <w:rsid w:val="320C9151"/>
    <w:rsid w:val="321961FD"/>
    <w:rsid w:val="321A6794"/>
    <w:rsid w:val="322AF1CA"/>
    <w:rsid w:val="323B6148"/>
    <w:rsid w:val="327ECBB9"/>
    <w:rsid w:val="32B2BBC7"/>
    <w:rsid w:val="32CAD90D"/>
    <w:rsid w:val="32EA5D8B"/>
    <w:rsid w:val="32EC5036"/>
    <w:rsid w:val="32EFD713"/>
    <w:rsid w:val="330149D0"/>
    <w:rsid w:val="3327FF36"/>
    <w:rsid w:val="332E7DE8"/>
    <w:rsid w:val="33512E8A"/>
    <w:rsid w:val="33762857"/>
    <w:rsid w:val="339CC2BF"/>
    <w:rsid w:val="33FE0C94"/>
    <w:rsid w:val="341BA2C2"/>
    <w:rsid w:val="3430833C"/>
    <w:rsid w:val="3450ADAC"/>
    <w:rsid w:val="345C68BD"/>
    <w:rsid w:val="348E08E4"/>
    <w:rsid w:val="34D1DDBC"/>
    <w:rsid w:val="34F11AAD"/>
    <w:rsid w:val="3503789A"/>
    <w:rsid w:val="3507C224"/>
    <w:rsid w:val="3563878D"/>
    <w:rsid w:val="356E1FB2"/>
    <w:rsid w:val="35C8B60A"/>
    <w:rsid w:val="36586B72"/>
    <w:rsid w:val="3694699D"/>
    <w:rsid w:val="36A67EBE"/>
    <w:rsid w:val="36AF21A6"/>
    <w:rsid w:val="36B2B075"/>
    <w:rsid w:val="36BAA70F"/>
    <w:rsid w:val="370D3554"/>
    <w:rsid w:val="37239A41"/>
    <w:rsid w:val="374466EA"/>
    <w:rsid w:val="37710BF2"/>
    <w:rsid w:val="377BA426"/>
    <w:rsid w:val="37AA7037"/>
    <w:rsid w:val="37BACAA5"/>
    <w:rsid w:val="37D8961C"/>
    <w:rsid w:val="37DCDB3A"/>
    <w:rsid w:val="37E164CD"/>
    <w:rsid w:val="3840BC71"/>
    <w:rsid w:val="38A69757"/>
    <w:rsid w:val="38AC70AF"/>
    <w:rsid w:val="38D13063"/>
    <w:rsid w:val="3933F74A"/>
    <w:rsid w:val="3950646F"/>
    <w:rsid w:val="3953B656"/>
    <w:rsid w:val="39F2C26B"/>
    <w:rsid w:val="3A12D15F"/>
    <w:rsid w:val="3A13542B"/>
    <w:rsid w:val="3A709257"/>
    <w:rsid w:val="3A8548FE"/>
    <w:rsid w:val="3A894E83"/>
    <w:rsid w:val="3A9833EB"/>
    <w:rsid w:val="3AB433E0"/>
    <w:rsid w:val="3AB96A57"/>
    <w:rsid w:val="3AC69B09"/>
    <w:rsid w:val="3AD1073D"/>
    <w:rsid w:val="3B10A442"/>
    <w:rsid w:val="3B1137F0"/>
    <w:rsid w:val="3B20A680"/>
    <w:rsid w:val="3B3EC3EC"/>
    <w:rsid w:val="3B5651B5"/>
    <w:rsid w:val="3BA31ED5"/>
    <w:rsid w:val="3BBF2D73"/>
    <w:rsid w:val="3BE2E441"/>
    <w:rsid w:val="3C0F05D8"/>
    <w:rsid w:val="3C77F063"/>
    <w:rsid w:val="3C855BF2"/>
    <w:rsid w:val="3CF9183A"/>
    <w:rsid w:val="3D5247BF"/>
    <w:rsid w:val="3D7F552E"/>
    <w:rsid w:val="3E15B63A"/>
    <w:rsid w:val="3E3DFE48"/>
    <w:rsid w:val="3E5D2B7B"/>
    <w:rsid w:val="3F011455"/>
    <w:rsid w:val="3F5480A4"/>
    <w:rsid w:val="3F7E16CC"/>
    <w:rsid w:val="3F8A66F3"/>
    <w:rsid w:val="405896FC"/>
    <w:rsid w:val="405F5CE5"/>
    <w:rsid w:val="40991C72"/>
    <w:rsid w:val="40EEBF76"/>
    <w:rsid w:val="4110CDB5"/>
    <w:rsid w:val="4119C1AF"/>
    <w:rsid w:val="41282779"/>
    <w:rsid w:val="4144B188"/>
    <w:rsid w:val="414F29D5"/>
    <w:rsid w:val="41D18579"/>
    <w:rsid w:val="41DB62DE"/>
    <w:rsid w:val="41EB31D5"/>
    <w:rsid w:val="41EC94D6"/>
    <w:rsid w:val="4226C625"/>
    <w:rsid w:val="42404B03"/>
    <w:rsid w:val="42949093"/>
    <w:rsid w:val="429EC8FC"/>
    <w:rsid w:val="42A37B43"/>
    <w:rsid w:val="42AB1188"/>
    <w:rsid w:val="42DD1100"/>
    <w:rsid w:val="4360CE18"/>
    <w:rsid w:val="43648D5C"/>
    <w:rsid w:val="43B06989"/>
    <w:rsid w:val="4444E361"/>
    <w:rsid w:val="4481EEEB"/>
    <w:rsid w:val="448AFF23"/>
    <w:rsid w:val="44A5A0EC"/>
    <w:rsid w:val="44B6A6D3"/>
    <w:rsid w:val="44D6967F"/>
    <w:rsid w:val="450FD97D"/>
    <w:rsid w:val="45218CA4"/>
    <w:rsid w:val="452CD018"/>
    <w:rsid w:val="453426CA"/>
    <w:rsid w:val="453722DE"/>
    <w:rsid w:val="454AF793"/>
    <w:rsid w:val="458B78D8"/>
    <w:rsid w:val="45A9BF97"/>
    <w:rsid w:val="45D94159"/>
    <w:rsid w:val="45F6BBF0"/>
    <w:rsid w:val="46169925"/>
    <w:rsid w:val="461D42AC"/>
    <w:rsid w:val="462BAE2D"/>
    <w:rsid w:val="463D7CBF"/>
    <w:rsid w:val="46CCD1CC"/>
    <w:rsid w:val="47084F55"/>
    <w:rsid w:val="470A32BA"/>
    <w:rsid w:val="4711780B"/>
    <w:rsid w:val="47447D27"/>
    <w:rsid w:val="475BBC0B"/>
    <w:rsid w:val="4775FBDB"/>
    <w:rsid w:val="47A78F89"/>
    <w:rsid w:val="47BB3CCF"/>
    <w:rsid w:val="48162994"/>
    <w:rsid w:val="481BDBB6"/>
    <w:rsid w:val="485DAF08"/>
    <w:rsid w:val="4870B7FA"/>
    <w:rsid w:val="489AF76E"/>
    <w:rsid w:val="490089D4"/>
    <w:rsid w:val="493E6569"/>
    <w:rsid w:val="499BAA2F"/>
    <w:rsid w:val="49A94C74"/>
    <w:rsid w:val="49C87F58"/>
    <w:rsid w:val="49F6B37C"/>
    <w:rsid w:val="4A47A1C8"/>
    <w:rsid w:val="4AA0E5CD"/>
    <w:rsid w:val="4AE690C7"/>
    <w:rsid w:val="4B08BAE4"/>
    <w:rsid w:val="4B266DFF"/>
    <w:rsid w:val="4B45E577"/>
    <w:rsid w:val="4B73A940"/>
    <w:rsid w:val="4BDC9763"/>
    <w:rsid w:val="4C0B08A3"/>
    <w:rsid w:val="4C1FB9A7"/>
    <w:rsid w:val="4C3C26F8"/>
    <w:rsid w:val="4C545BFF"/>
    <w:rsid w:val="4C74F38A"/>
    <w:rsid w:val="4C990004"/>
    <w:rsid w:val="4C9DCA02"/>
    <w:rsid w:val="4CAE6CC8"/>
    <w:rsid w:val="4CBE65D0"/>
    <w:rsid w:val="4D02113A"/>
    <w:rsid w:val="4D2FE1AB"/>
    <w:rsid w:val="4D50DE9D"/>
    <w:rsid w:val="4D5B48DD"/>
    <w:rsid w:val="4D74F586"/>
    <w:rsid w:val="4D77474B"/>
    <w:rsid w:val="4D96207A"/>
    <w:rsid w:val="4DC87D49"/>
    <w:rsid w:val="4DCA4E93"/>
    <w:rsid w:val="4DDA5CE6"/>
    <w:rsid w:val="4DECBE05"/>
    <w:rsid w:val="4DF75159"/>
    <w:rsid w:val="4E21ED08"/>
    <w:rsid w:val="4E312E73"/>
    <w:rsid w:val="4F2C1CD8"/>
    <w:rsid w:val="4F99D169"/>
    <w:rsid w:val="4FC5E994"/>
    <w:rsid w:val="4FE06E7F"/>
    <w:rsid w:val="4FFCF624"/>
    <w:rsid w:val="501D208A"/>
    <w:rsid w:val="5058F785"/>
    <w:rsid w:val="506F906F"/>
    <w:rsid w:val="50D013D3"/>
    <w:rsid w:val="50DA8B7A"/>
    <w:rsid w:val="5106D30E"/>
    <w:rsid w:val="5110CAA7"/>
    <w:rsid w:val="511640C2"/>
    <w:rsid w:val="51509A9D"/>
    <w:rsid w:val="51778139"/>
    <w:rsid w:val="518B679D"/>
    <w:rsid w:val="51E02A92"/>
    <w:rsid w:val="51E9BEAA"/>
    <w:rsid w:val="51F32777"/>
    <w:rsid w:val="52005020"/>
    <w:rsid w:val="523434E0"/>
    <w:rsid w:val="528D5810"/>
    <w:rsid w:val="52A6B59B"/>
    <w:rsid w:val="530BC036"/>
    <w:rsid w:val="535EB87D"/>
    <w:rsid w:val="5397E82F"/>
    <w:rsid w:val="53B419AF"/>
    <w:rsid w:val="549AAB43"/>
    <w:rsid w:val="54DB24DA"/>
    <w:rsid w:val="552290E3"/>
    <w:rsid w:val="55330A5D"/>
    <w:rsid w:val="555B0F4E"/>
    <w:rsid w:val="559B025E"/>
    <w:rsid w:val="55B72532"/>
    <w:rsid w:val="55F7E9DD"/>
    <w:rsid w:val="5614E3BD"/>
    <w:rsid w:val="56150699"/>
    <w:rsid w:val="562C53E5"/>
    <w:rsid w:val="562E1563"/>
    <w:rsid w:val="565BA861"/>
    <w:rsid w:val="5669E139"/>
    <w:rsid w:val="56AD26AD"/>
    <w:rsid w:val="56E14384"/>
    <w:rsid w:val="57320C05"/>
    <w:rsid w:val="575374C8"/>
    <w:rsid w:val="5797100F"/>
    <w:rsid w:val="57C826E2"/>
    <w:rsid w:val="57FDE89E"/>
    <w:rsid w:val="5813A752"/>
    <w:rsid w:val="583B81C3"/>
    <w:rsid w:val="58A46B27"/>
    <w:rsid w:val="58B5E19C"/>
    <w:rsid w:val="58D34C07"/>
    <w:rsid w:val="590F08D3"/>
    <w:rsid w:val="59686BF7"/>
    <w:rsid w:val="598C8958"/>
    <w:rsid w:val="59909668"/>
    <w:rsid w:val="59A2A733"/>
    <w:rsid w:val="59A8C37B"/>
    <w:rsid w:val="59E96B2A"/>
    <w:rsid w:val="5A126C21"/>
    <w:rsid w:val="5A191C6E"/>
    <w:rsid w:val="5A347392"/>
    <w:rsid w:val="5A63A910"/>
    <w:rsid w:val="5A781860"/>
    <w:rsid w:val="5ABBB32C"/>
    <w:rsid w:val="5AC58C69"/>
    <w:rsid w:val="5AD5B8A3"/>
    <w:rsid w:val="5B3E54E8"/>
    <w:rsid w:val="5B64366F"/>
    <w:rsid w:val="5B81250C"/>
    <w:rsid w:val="5BACF194"/>
    <w:rsid w:val="5BD51378"/>
    <w:rsid w:val="5BE30DB8"/>
    <w:rsid w:val="5C34BBD3"/>
    <w:rsid w:val="5C855BA5"/>
    <w:rsid w:val="5D33A27F"/>
    <w:rsid w:val="5D43B798"/>
    <w:rsid w:val="5DCFC208"/>
    <w:rsid w:val="5DE1204C"/>
    <w:rsid w:val="5E6A6177"/>
    <w:rsid w:val="5E92B793"/>
    <w:rsid w:val="5E99B1C3"/>
    <w:rsid w:val="5EEFDFB3"/>
    <w:rsid w:val="5F185AF2"/>
    <w:rsid w:val="5F9ACD8E"/>
    <w:rsid w:val="5FE5F429"/>
    <w:rsid w:val="6002AB0F"/>
    <w:rsid w:val="600F1C18"/>
    <w:rsid w:val="602BED92"/>
    <w:rsid w:val="606DF121"/>
    <w:rsid w:val="60F30840"/>
    <w:rsid w:val="611EA0B4"/>
    <w:rsid w:val="6123C359"/>
    <w:rsid w:val="612B5049"/>
    <w:rsid w:val="61311268"/>
    <w:rsid w:val="615DF091"/>
    <w:rsid w:val="61F7492F"/>
    <w:rsid w:val="62205CDD"/>
    <w:rsid w:val="6261E43A"/>
    <w:rsid w:val="6262053E"/>
    <w:rsid w:val="627D4BFD"/>
    <w:rsid w:val="6293A68D"/>
    <w:rsid w:val="62A0EDFB"/>
    <w:rsid w:val="62A4BF1D"/>
    <w:rsid w:val="63938864"/>
    <w:rsid w:val="63E22E62"/>
    <w:rsid w:val="63F08362"/>
    <w:rsid w:val="64041F42"/>
    <w:rsid w:val="643E48B6"/>
    <w:rsid w:val="643FC9BC"/>
    <w:rsid w:val="649F2C8E"/>
    <w:rsid w:val="64A0C939"/>
    <w:rsid w:val="65181413"/>
    <w:rsid w:val="654ECF96"/>
    <w:rsid w:val="6577803F"/>
    <w:rsid w:val="6588A549"/>
    <w:rsid w:val="65BDEF53"/>
    <w:rsid w:val="65DF63AB"/>
    <w:rsid w:val="6667F6FE"/>
    <w:rsid w:val="66CDB04A"/>
    <w:rsid w:val="66E402C3"/>
    <w:rsid w:val="672F6326"/>
    <w:rsid w:val="67E98043"/>
    <w:rsid w:val="6800E60D"/>
    <w:rsid w:val="683B3057"/>
    <w:rsid w:val="6864EC9C"/>
    <w:rsid w:val="68A1469E"/>
    <w:rsid w:val="68E90D58"/>
    <w:rsid w:val="6900307B"/>
    <w:rsid w:val="690E0B03"/>
    <w:rsid w:val="691A6F5F"/>
    <w:rsid w:val="691BBE5F"/>
    <w:rsid w:val="692FD582"/>
    <w:rsid w:val="69452A1C"/>
    <w:rsid w:val="6988B581"/>
    <w:rsid w:val="69C95CEA"/>
    <w:rsid w:val="6A0A3B55"/>
    <w:rsid w:val="6A78B9F2"/>
    <w:rsid w:val="6ABD6DAF"/>
    <w:rsid w:val="6ACCA8AE"/>
    <w:rsid w:val="6B161699"/>
    <w:rsid w:val="6B2722B8"/>
    <w:rsid w:val="6B43FC03"/>
    <w:rsid w:val="6B8E1D06"/>
    <w:rsid w:val="6C470EB0"/>
    <w:rsid w:val="6C56BD7E"/>
    <w:rsid w:val="6C6006E7"/>
    <w:rsid w:val="6C6FBAE6"/>
    <w:rsid w:val="6C83FBAA"/>
    <w:rsid w:val="6C942131"/>
    <w:rsid w:val="6CC0F3D5"/>
    <w:rsid w:val="6D0476C3"/>
    <w:rsid w:val="6D24C1AA"/>
    <w:rsid w:val="6D4941A8"/>
    <w:rsid w:val="6D4C0B27"/>
    <w:rsid w:val="6D51A798"/>
    <w:rsid w:val="6D7D0D1B"/>
    <w:rsid w:val="6DC908EE"/>
    <w:rsid w:val="6DDCFF75"/>
    <w:rsid w:val="6E4213EB"/>
    <w:rsid w:val="6E5C997C"/>
    <w:rsid w:val="6EA6B685"/>
    <w:rsid w:val="6F3395E7"/>
    <w:rsid w:val="6F3612B8"/>
    <w:rsid w:val="6F3DBD6E"/>
    <w:rsid w:val="6F8CD520"/>
    <w:rsid w:val="6F8E2DF1"/>
    <w:rsid w:val="6FAF913E"/>
    <w:rsid w:val="6FBFD7E0"/>
    <w:rsid w:val="700B4B8E"/>
    <w:rsid w:val="700D5272"/>
    <w:rsid w:val="70342AA8"/>
    <w:rsid w:val="705238A2"/>
    <w:rsid w:val="70B0DC7C"/>
    <w:rsid w:val="70B97142"/>
    <w:rsid w:val="713F1760"/>
    <w:rsid w:val="714C313E"/>
    <w:rsid w:val="719B3B02"/>
    <w:rsid w:val="71DEBB69"/>
    <w:rsid w:val="71E498EA"/>
    <w:rsid w:val="71F44C6E"/>
    <w:rsid w:val="71FA60BD"/>
    <w:rsid w:val="720AFA93"/>
    <w:rsid w:val="72E6E7E9"/>
    <w:rsid w:val="73130033"/>
    <w:rsid w:val="731E31E9"/>
    <w:rsid w:val="735CB409"/>
    <w:rsid w:val="73D896CD"/>
    <w:rsid w:val="743E3299"/>
    <w:rsid w:val="74567E66"/>
    <w:rsid w:val="745BA1FE"/>
    <w:rsid w:val="74798F38"/>
    <w:rsid w:val="74C1B99A"/>
    <w:rsid w:val="751CACBF"/>
    <w:rsid w:val="75227426"/>
    <w:rsid w:val="752B8478"/>
    <w:rsid w:val="75535669"/>
    <w:rsid w:val="75809568"/>
    <w:rsid w:val="7596B7CA"/>
    <w:rsid w:val="75971136"/>
    <w:rsid w:val="75BAED30"/>
    <w:rsid w:val="75EB1803"/>
    <w:rsid w:val="75FFC567"/>
    <w:rsid w:val="76118E61"/>
    <w:rsid w:val="7693BD1D"/>
    <w:rsid w:val="76F2F00A"/>
    <w:rsid w:val="76F5BC7D"/>
    <w:rsid w:val="77015BBF"/>
    <w:rsid w:val="7735A96B"/>
    <w:rsid w:val="774DFBA8"/>
    <w:rsid w:val="7774B67F"/>
    <w:rsid w:val="777558CB"/>
    <w:rsid w:val="777AC619"/>
    <w:rsid w:val="77AD6628"/>
    <w:rsid w:val="77ADA653"/>
    <w:rsid w:val="77B024C7"/>
    <w:rsid w:val="77C2A8CF"/>
    <w:rsid w:val="77F13694"/>
    <w:rsid w:val="780D525A"/>
    <w:rsid w:val="7830B706"/>
    <w:rsid w:val="7834CB32"/>
    <w:rsid w:val="78DB3924"/>
    <w:rsid w:val="78EE1FD4"/>
    <w:rsid w:val="794AB253"/>
    <w:rsid w:val="795F2F05"/>
    <w:rsid w:val="79CB40D3"/>
    <w:rsid w:val="79E42B5F"/>
    <w:rsid w:val="79E54F3D"/>
    <w:rsid w:val="79F79E21"/>
    <w:rsid w:val="79FDADE9"/>
    <w:rsid w:val="7A6B3B36"/>
    <w:rsid w:val="7A6B4936"/>
    <w:rsid w:val="7A997D4A"/>
    <w:rsid w:val="7ABE157E"/>
    <w:rsid w:val="7AC8D12A"/>
    <w:rsid w:val="7B608DB3"/>
    <w:rsid w:val="7BBC5D25"/>
    <w:rsid w:val="7BBDA00F"/>
    <w:rsid w:val="7BE9483F"/>
    <w:rsid w:val="7BF9AA44"/>
    <w:rsid w:val="7BFCAD8B"/>
    <w:rsid w:val="7C078915"/>
    <w:rsid w:val="7C485941"/>
    <w:rsid w:val="7C5701C2"/>
    <w:rsid w:val="7C5ED946"/>
    <w:rsid w:val="7CE254B6"/>
    <w:rsid w:val="7D999A38"/>
    <w:rsid w:val="7DB5CFC5"/>
    <w:rsid w:val="7DC4AEC4"/>
    <w:rsid w:val="7DCA85FC"/>
    <w:rsid w:val="7DF865C7"/>
    <w:rsid w:val="7E0EE556"/>
    <w:rsid w:val="7E365B22"/>
    <w:rsid w:val="7E47D51B"/>
    <w:rsid w:val="7E526D02"/>
    <w:rsid w:val="7E70D9B2"/>
    <w:rsid w:val="7E8482A8"/>
    <w:rsid w:val="7EAC8E06"/>
    <w:rsid w:val="7F3CE398"/>
    <w:rsid w:val="7F63F647"/>
    <w:rsid w:val="7FD723B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2C040C3"/>
  <w15:chartTrackingRefBased/>
  <w15:docId w15:val="{E7FE4C74-D061-46B9-974A-5C8CB55A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0637"/>
  </w:style>
  <w:style w:type="paragraph" w:styleId="Heading1">
    <w:name w:val="heading 1"/>
    <w:basedOn w:val="Normal"/>
    <w:next w:val="Normal"/>
    <w:link w:val="Heading1Char"/>
    <w:uiPriority w:val="9"/>
    <w:qFormat/>
    <w:rsid w:val="00530637"/>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530637"/>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0637"/>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0637"/>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30637"/>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30637"/>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30637"/>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30637"/>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30637"/>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2F4"/>
  </w:style>
  <w:style w:type="paragraph" w:styleId="Footer">
    <w:name w:val="footer"/>
    <w:basedOn w:val="Normal"/>
    <w:link w:val="FooterChar"/>
    <w:uiPriority w:val="99"/>
    <w:unhideWhenUsed/>
    <w:rsid w:val="00E52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2F4"/>
  </w:style>
  <w:style w:type="paragraph" w:styleId="ListParagraph">
    <w:name w:val="List Paragraph"/>
    <w:basedOn w:val="Normal"/>
    <w:uiPriority w:val="34"/>
    <w:qFormat/>
    <w:rsid w:val="00505BEA"/>
    <w:pPr>
      <w:ind w:left="720"/>
      <w:contextualSpacing/>
    </w:pPr>
  </w:style>
  <w:style w:type="character" w:styleId="CommentReference">
    <w:name w:val="annotation reference"/>
    <w:basedOn w:val="DefaultParagraphFont"/>
    <w:uiPriority w:val="99"/>
    <w:semiHidden/>
    <w:unhideWhenUsed/>
    <w:rsid w:val="00484BF3"/>
    <w:rPr>
      <w:sz w:val="16"/>
      <w:szCs w:val="16"/>
    </w:rPr>
  </w:style>
  <w:style w:type="paragraph" w:styleId="CommentText">
    <w:name w:val="annotation text"/>
    <w:basedOn w:val="Normal"/>
    <w:link w:val="CommentTextChar"/>
    <w:uiPriority w:val="99"/>
    <w:unhideWhenUsed/>
    <w:rsid w:val="00484BF3"/>
    <w:pPr>
      <w:spacing w:line="240" w:lineRule="auto"/>
    </w:pPr>
    <w:rPr>
      <w:sz w:val="20"/>
      <w:szCs w:val="20"/>
    </w:rPr>
  </w:style>
  <w:style w:type="character" w:customStyle="1" w:styleId="CommentTextChar">
    <w:name w:val="Comment Text Char"/>
    <w:basedOn w:val="DefaultParagraphFont"/>
    <w:link w:val="CommentText"/>
    <w:uiPriority w:val="99"/>
    <w:rsid w:val="00484BF3"/>
    <w:rPr>
      <w:sz w:val="20"/>
      <w:szCs w:val="20"/>
    </w:rPr>
  </w:style>
  <w:style w:type="paragraph" w:styleId="CommentSubject">
    <w:name w:val="annotation subject"/>
    <w:basedOn w:val="CommentText"/>
    <w:next w:val="CommentText"/>
    <w:link w:val="CommentSubjectChar"/>
    <w:uiPriority w:val="99"/>
    <w:semiHidden/>
    <w:unhideWhenUsed/>
    <w:rsid w:val="00484BF3"/>
    <w:rPr>
      <w:b/>
      <w:bCs/>
    </w:rPr>
  </w:style>
  <w:style w:type="character" w:customStyle="1" w:styleId="CommentSubjectChar">
    <w:name w:val="Comment Subject Char"/>
    <w:basedOn w:val="CommentTextChar"/>
    <w:link w:val="CommentSubject"/>
    <w:uiPriority w:val="99"/>
    <w:semiHidden/>
    <w:rsid w:val="00484BF3"/>
    <w:rPr>
      <w:b/>
      <w:bCs/>
      <w:sz w:val="20"/>
      <w:szCs w:val="20"/>
    </w:rPr>
  </w:style>
  <w:style w:type="paragraph" w:styleId="Revision">
    <w:name w:val="Revision"/>
    <w:hidden/>
    <w:uiPriority w:val="99"/>
    <w:semiHidden/>
    <w:rsid w:val="0088407F"/>
    <w:pPr>
      <w:spacing w:after="0" w:line="240" w:lineRule="auto"/>
    </w:pPr>
  </w:style>
  <w:style w:type="paragraph" w:styleId="NormalWeb">
    <w:name w:val="Normal (Web)"/>
    <w:basedOn w:val="Normal"/>
    <w:uiPriority w:val="99"/>
    <w:semiHidden/>
    <w:unhideWhenUsed/>
    <w:rsid w:val="00BC4EB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30637"/>
    <w:pPr>
      <w:spacing w:after="0" w:line="240" w:lineRule="auto"/>
    </w:pPr>
  </w:style>
  <w:style w:type="character" w:styleId="Mention">
    <w:name w:val="Mention"/>
    <w:basedOn w:val="DefaultParagraphFont"/>
    <w:uiPriority w:val="99"/>
    <w:unhideWhenUsed/>
    <w:rPr>
      <w:color w:val="2B579A"/>
      <w:shd w:val="clear" w:color="auto" w:fill="E6E6E6"/>
    </w:rPr>
  </w:style>
  <w:style w:type="paragraph" w:customStyle="1" w:styleId="pf0">
    <w:name w:val="pf0"/>
    <w:basedOn w:val="Normal"/>
    <w:rsid w:val="00594D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94D49"/>
    <w:rPr>
      <w:rFonts w:ascii="Segoe UI" w:hAnsi="Segoe UI" w:cs="Segoe UI" w:hint="default"/>
      <w:sz w:val="18"/>
      <w:szCs w:val="18"/>
    </w:rPr>
  </w:style>
  <w:style w:type="paragraph" w:styleId="FootnoteText">
    <w:name w:val="footnote text"/>
    <w:basedOn w:val="Normal"/>
    <w:link w:val="FootnoteTextChar"/>
    <w:uiPriority w:val="99"/>
    <w:semiHidden/>
    <w:unhideWhenUsed/>
    <w:rsid w:val="00835D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5DA3"/>
    <w:rPr>
      <w:sz w:val="20"/>
      <w:szCs w:val="20"/>
    </w:rPr>
  </w:style>
  <w:style w:type="character" w:styleId="FootnoteReference">
    <w:name w:val="footnote reference"/>
    <w:basedOn w:val="DefaultParagraphFont"/>
    <w:uiPriority w:val="99"/>
    <w:semiHidden/>
    <w:unhideWhenUsed/>
    <w:rsid w:val="00835DA3"/>
    <w:rPr>
      <w:vertAlign w:val="superscript"/>
    </w:rPr>
  </w:style>
  <w:style w:type="character" w:styleId="Hyperlink">
    <w:name w:val="Hyperlink"/>
    <w:basedOn w:val="DefaultParagraphFont"/>
    <w:uiPriority w:val="99"/>
    <w:semiHidden/>
    <w:unhideWhenUsed/>
    <w:rsid w:val="00835DA3"/>
    <w:rPr>
      <w:color w:val="0000FF"/>
      <w:u w:val="single"/>
    </w:rPr>
  </w:style>
  <w:style w:type="paragraph" w:customStyle="1" w:styleId="paragraph">
    <w:name w:val="paragraph"/>
    <w:basedOn w:val="Normal"/>
    <w:rsid w:val="00576100"/>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576100"/>
  </w:style>
  <w:style w:type="character" w:customStyle="1" w:styleId="Heading1Char">
    <w:name w:val="Heading 1 Char"/>
    <w:basedOn w:val="DefaultParagraphFont"/>
    <w:link w:val="Heading1"/>
    <w:uiPriority w:val="9"/>
    <w:rsid w:val="00530637"/>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5306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0637"/>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0637"/>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30637"/>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30637"/>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30637"/>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30637"/>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30637"/>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30637"/>
    <w:pPr>
      <w:spacing w:line="240" w:lineRule="auto"/>
    </w:pPr>
    <w:rPr>
      <w:b/>
      <w:bCs/>
      <w:smallCaps/>
      <w:color w:val="44546A" w:themeColor="text2"/>
    </w:rPr>
  </w:style>
  <w:style w:type="paragraph" w:styleId="Title">
    <w:name w:val="Title"/>
    <w:basedOn w:val="Normal"/>
    <w:next w:val="Normal"/>
    <w:link w:val="TitleChar"/>
    <w:uiPriority w:val="10"/>
    <w:qFormat/>
    <w:rsid w:val="0053063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3063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30637"/>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30637"/>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530637"/>
    <w:rPr>
      <w:b/>
      <w:bCs/>
    </w:rPr>
  </w:style>
  <w:style w:type="character" w:styleId="Emphasis">
    <w:name w:val="Emphasis"/>
    <w:basedOn w:val="DefaultParagraphFont"/>
    <w:uiPriority w:val="20"/>
    <w:qFormat/>
    <w:rsid w:val="00530637"/>
    <w:rPr>
      <w:i/>
      <w:iCs/>
    </w:rPr>
  </w:style>
  <w:style w:type="paragraph" w:styleId="Quote">
    <w:name w:val="Quote"/>
    <w:basedOn w:val="Normal"/>
    <w:next w:val="Normal"/>
    <w:link w:val="QuoteChar"/>
    <w:uiPriority w:val="29"/>
    <w:qFormat/>
    <w:rsid w:val="0053063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30637"/>
    <w:rPr>
      <w:color w:val="44546A" w:themeColor="text2"/>
      <w:sz w:val="24"/>
      <w:szCs w:val="24"/>
    </w:rPr>
  </w:style>
  <w:style w:type="paragraph" w:styleId="IntenseQuote">
    <w:name w:val="Intense Quote"/>
    <w:basedOn w:val="Normal"/>
    <w:next w:val="Normal"/>
    <w:link w:val="IntenseQuoteChar"/>
    <w:uiPriority w:val="30"/>
    <w:qFormat/>
    <w:rsid w:val="0053063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3063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30637"/>
    <w:rPr>
      <w:i/>
      <w:iCs/>
      <w:color w:val="595959" w:themeColor="text1" w:themeTint="A6"/>
    </w:rPr>
  </w:style>
  <w:style w:type="character" w:styleId="IntenseEmphasis">
    <w:name w:val="Intense Emphasis"/>
    <w:basedOn w:val="DefaultParagraphFont"/>
    <w:uiPriority w:val="21"/>
    <w:qFormat/>
    <w:rsid w:val="00530637"/>
    <w:rPr>
      <w:b/>
      <w:bCs/>
      <w:i/>
      <w:iCs/>
    </w:rPr>
  </w:style>
  <w:style w:type="character" w:styleId="SubtleReference">
    <w:name w:val="Subtle Reference"/>
    <w:basedOn w:val="DefaultParagraphFont"/>
    <w:uiPriority w:val="31"/>
    <w:qFormat/>
    <w:rsid w:val="00530637"/>
    <w:rPr>
      <w:smallCaps/>
      <w:color w:val="595959" w:themeColor="text1" w:themeTint="A6"/>
      <w:u w:val="none" w:color="7F7F7F"/>
      <w:bdr w:val="none" w:sz="0" w:space="0" w:color="auto"/>
    </w:rPr>
  </w:style>
  <w:style w:type="character" w:styleId="IntenseReference">
    <w:name w:val="Intense Reference"/>
    <w:basedOn w:val="DefaultParagraphFont"/>
    <w:uiPriority w:val="32"/>
    <w:qFormat/>
    <w:rsid w:val="00530637"/>
    <w:rPr>
      <w:b/>
      <w:bCs/>
      <w:smallCaps/>
      <w:color w:val="44546A" w:themeColor="text2"/>
      <w:u w:val="single"/>
    </w:rPr>
  </w:style>
  <w:style w:type="character" w:styleId="BookTitle">
    <w:name w:val="Book Title"/>
    <w:basedOn w:val="DefaultParagraphFont"/>
    <w:uiPriority w:val="33"/>
    <w:qFormat/>
    <w:rsid w:val="00530637"/>
    <w:rPr>
      <w:b/>
      <w:bCs/>
      <w:smallCaps/>
      <w:spacing w:val="10"/>
    </w:rPr>
  </w:style>
  <w:style w:type="paragraph" w:styleId="TOCHeading">
    <w:name w:val="TOC Heading"/>
    <w:basedOn w:val="Heading1"/>
    <w:next w:val="Normal"/>
    <w:uiPriority w:val="39"/>
    <w:semiHidden/>
    <w:unhideWhenUsed/>
    <w:qFormat/>
    <w:rsid w:val="00530637"/>
    <w:pPr>
      <w:outlineLvl w:val="9"/>
    </w:pPr>
  </w:style>
  <w:style w:type="character" w:styleId="FollowedHyperlink">
    <w:name w:val="FollowedHyperlink"/>
    <w:basedOn w:val="DefaultParagraphFont"/>
    <w:uiPriority w:val="99"/>
    <w:semiHidden/>
    <w:unhideWhenUsed/>
    <w:rsid w:val="005E6D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hart" Target="charts/chart4.xml" /><Relationship Id="rId11" Type="http://schemas.openxmlformats.org/officeDocument/2006/relationships/chart" Target="charts/chart5.xml" /><Relationship Id="rId12" Type="http://schemas.openxmlformats.org/officeDocument/2006/relationships/chart" Target="charts/chart6.xml" /><Relationship Id="rId13" Type="http://schemas.openxmlformats.org/officeDocument/2006/relationships/chart" Target="charts/chart7.xml" /><Relationship Id="rId14" Type="http://schemas.openxmlformats.org/officeDocument/2006/relationships/chart" Target="charts/chart8.xml" /><Relationship Id="rId15" Type="http://schemas.openxmlformats.org/officeDocument/2006/relationships/header" Target="head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dc.gov/prams/php/data-research/index.html" TargetMode="External" /><Relationship Id="rId6" Type="http://schemas.openxmlformats.org/officeDocument/2006/relationships/image" Target="media/image1.png" /><Relationship Id="rId7" Type="http://schemas.openxmlformats.org/officeDocument/2006/relationships/chart" Target="charts/chart1.xml" /><Relationship Id="rId8" Type="http://schemas.openxmlformats.org/officeDocument/2006/relationships/chart" Target="charts/chart2.xml" /><Relationship Id="rId9" Type="http://schemas.openxmlformats.org/officeDocument/2006/relationships/chart" Target="charts/chart3.xml" /></Relationships>
</file>

<file path=word/charts/_rels/chart1.xml.rels><?xml version="1.0" encoding="utf-8" standalone="yes"?><Relationships xmlns="http://schemas.openxmlformats.org/package/2006/relationships"><Relationship Id="rId1" Type="http://schemas.openxmlformats.org/officeDocument/2006/relationships/package" Target="../embeddings/Microsoft_Excel_Worksheet1.xlsx" /><Relationship Id="rId2" Type="http://schemas.openxmlformats.org/officeDocument/2006/relationships/chartUserShapes" Target="../drawings/drawing1.xml" /><Relationship Id="rId3" Type="http://schemas.openxmlformats.org/officeDocument/2006/relationships/themeOverride" Target="../theme/themeOverride1.xml" /><Relationship Id="rId4" Type="http://schemas.microsoft.com/office/2011/relationships/chartColorStyle" Target="chart/colors1.xml" /><Relationship Id="rId5" Type="http://schemas.microsoft.com/office/2011/relationships/chartStyle" Target="chart/style1.xml" /></Relationships>
</file>

<file path=word/charts/_rels/chart2.xml.rels><?xml version="1.0" encoding="utf-8" standalone="yes"?><Relationships xmlns="http://schemas.openxmlformats.org/package/2006/relationships"><Relationship Id="rId1" Type="http://schemas.openxmlformats.org/officeDocument/2006/relationships/package" Target="../embeddings/Microsoft_Excel_Worksheet2.xlsx" /><Relationship Id="rId2" Type="http://schemas.openxmlformats.org/officeDocument/2006/relationships/chartUserShapes" Target="../drawings/drawing2.xml" /><Relationship Id="rId3" Type="http://schemas.openxmlformats.org/officeDocument/2006/relationships/themeOverride" Target="../theme/themeOverride2.xml" /><Relationship Id="rId4" Type="http://schemas.microsoft.com/office/2011/relationships/chartColorStyle" Target="chart/colors2.xml" /><Relationship Id="rId5" Type="http://schemas.microsoft.com/office/2011/relationships/chartStyle" Target="chart/style2.xml" /></Relationships>
</file>

<file path=word/charts/_rels/chart3.xml.rels><?xml version="1.0" encoding="utf-8" standalone="yes"?><Relationships xmlns="http://schemas.openxmlformats.org/package/2006/relationships"><Relationship Id="rId1" Type="http://schemas.openxmlformats.org/officeDocument/2006/relationships/package" Target="../embeddings/Microsoft_Excel_Worksheet3.xlsx" /><Relationship Id="rId2" Type="http://schemas.openxmlformats.org/officeDocument/2006/relationships/chartUserShapes" Target="../drawings/drawing3.xml" /><Relationship Id="rId3" Type="http://schemas.openxmlformats.org/officeDocument/2006/relationships/themeOverride" Target="../theme/themeOverride3.xml" /><Relationship Id="rId4" Type="http://schemas.microsoft.com/office/2011/relationships/chartColorStyle" Target="chart/colors3.xml" /><Relationship Id="rId5" Type="http://schemas.microsoft.com/office/2011/relationships/chartStyle" Target="chart/style3.xml" /></Relationships>
</file>

<file path=word/charts/_rels/chart4.xml.rels><?xml version="1.0" encoding="utf-8" standalone="yes"?><Relationships xmlns="http://schemas.openxmlformats.org/package/2006/relationships"><Relationship Id="rId1" Type="http://schemas.openxmlformats.org/officeDocument/2006/relationships/package" Target="../embeddings/Microsoft_Excel_Worksheet4.xlsx" /><Relationship Id="rId2" Type="http://schemas.openxmlformats.org/officeDocument/2006/relationships/chartUserShapes" Target="../drawings/drawing4.xml" /><Relationship Id="rId3" Type="http://schemas.openxmlformats.org/officeDocument/2006/relationships/themeOverride" Target="../theme/themeOverride4.xml" /><Relationship Id="rId4" Type="http://schemas.microsoft.com/office/2011/relationships/chartColorStyle" Target="chart/colors4.xml" /><Relationship Id="rId5" Type="http://schemas.microsoft.com/office/2011/relationships/chartStyle" Target="chart/style4.xml" /></Relationships>
</file>

<file path=word/charts/_rels/chart5.xml.rels><?xml version="1.0" encoding="utf-8" standalone="yes"?><Relationships xmlns="http://schemas.openxmlformats.org/package/2006/relationships"><Relationship Id="rId1" Type="http://schemas.openxmlformats.org/officeDocument/2006/relationships/oleObject" Target="file:///\\cdc.gov\project\CCHP_NCCD_DRH_PRAMS\prams\CDC-Based%20Functions\Working%20Directories\Erica%20Fuller\2020%20True%20Bias%20Result%20Tables%20by%20State.xlsx" TargetMode="External" /><Relationship Id="rId2" Type="http://schemas.openxmlformats.org/officeDocument/2006/relationships/chartUserShapes" Target="../drawings/drawing5.xml" /><Relationship Id="rId3" Type="http://schemas.openxmlformats.org/officeDocument/2006/relationships/themeOverride" Target="../theme/themeOverride5.xml" /><Relationship Id="rId4" Type="http://schemas.microsoft.com/office/2011/relationships/chartColorStyle" Target="chart/colors5.xml" /><Relationship Id="rId5" Type="http://schemas.microsoft.com/office/2011/relationships/chartStyle" Target="chart/style5.xml" /></Relationships>
</file>

<file path=word/charts/_rels/chart6.xml.rels><?xml version="1.0" encoding="utf-8" standalone="yes"?><Relationships xmlns="http://schemas.openxmlformats.org/package/2006/relationships"><Relationship Id="rId1" Type="http://schemas.openxmlformats.org/officeDocument/2006/relationships/oleObject" Target="file:///\\cdc.gov\project\CCHP_NCCD_DRH_PRAMS\prams\CDC-Based%20Functions\Working%20Directories\HP2030\SAS%20programs\2021%20NR%20Bias\2021%20True%20Bias%20Results%20Tables.xlsx" TargetMode="External" /><Relationship Id="rId2" Type="http://schemas.openxmlformats.org/officeDocument/2006/relationships/chartUserShapes" Target="../drawings/drawing6.xml" /><Relationship Id="rId3" Type="http://schemas.openxmlformats.org/officeDocument/2006/relationships/themeOverride" Target="../theme/themeOverride6.xml" /><Relationship Id="rId4" Type="http://schemas.microsoft.com/office/2011/relationships/chartColorStyle" Target="chart/colors6.xml" /><Relationship Id="rId5" Type="http://schemas.microsoft.com/office/2011/relationships/chartStyle" Target="chart/style6.xml" /></Relationships>
</file>

<file path=word/charts/_rels/chart7.xml.rels><?xml version="1.0" encoding="utf-8" standalone="yes"?><Relationships xmlns="http://schemas.openxmlformats.org/package/2006/relationships"><Relationship Id="rId1" Type="http://schemas.openxmlformats.org/officeDocument/2006/relationships/package" Target="../embeddings/Microsoft_Excel_Worksheet5.xlsx" /><Relationship Id="rId2" Type="http://schemas.openxmlformats.org/officeDocument/2006/relationships/chartUserShapes" Target="../drawings/drawing7.xml" /><Relationship Id="rId3" Type="http://schemas.microsoft.com/office/2011/relationships/chartColorStyle" Target="chart/colors7.xml" /><Relationship Id="rId4" Type="http://schemas.microsoft.com/office/2011/relationships/chartStyle" Target="chart/style7.xml" /></Relationships>
</file>

<file path=word/charts/_rels/chart8.xml.rels><?xml version="1.0" encoding="utf-8" standalone="yes"?><Relationships xmlns="http://schemas.openxmlformats.org/package/2006/relationships"><Relationship Id="rId1" Type="http://schemas.openxmlformats.org/officeDocument/2006/relationships/package" Target="../embeddings/Microsoft_Excel_Worksheet6.xlsx" /><Relationship Id="rId2" Type="http://schemas.openxmlformats.org/officeDocument/2006/relationships/chartUserShapes" Target="../drawings/drawing8.xml" /><Relationship Id="rId3" Type="http://schemas.openxmlformats.org/officeDocument/2006/relationships/themeOverride" Target="../theme/themeOverride7.xml" /><Relationship Id="rId4" Type="http://schemas.microsoft.com/office/2011/relationships/chartColorStyle" Target="chart/colors8.xml" /><Relationship Id="rId5" Type="http://schemas.microsoft.com/office/2011/relationships/chartStyle" Target="chart/style8.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7.xml><?xml version="1.0" encoding="utf-8"?>
<cs:colorStyle xmlns:cs="http://schemas.microsoft.com/office/drawing/2012/chartStyle" xmlns:a="http://schemas.openxmlformats.org/drawingml/2006/main" meth="withinLinear" id="14">
  <a:schemeClr val="accent1"/>
</cs:colorStyle>
</file>

<file path=word/charts/chart/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5.xml><?xml version="1.0" encoding="utf-8"?>
<cs:chartStyle xmlns:cs="http://schemas.microsoft.com/office/drawing/2012/chartStyle" xmlns:a="http://schemas.openxmlformats.org/drawingml/2006/main" id="269">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alpha val="75000"/>
        </a:schemeClr>
      </a:solidFill>
    </cs:spPr>
  </cs:dataPoint>
  <cs:dataPoint3D>
    <cs:lnRef idx="0"/>
    <cs:fillRef idx="1">
      <cs:styleClr val="auto"/>
    </cs:fillRef>
    <cs:effectRef idx="0"/>
    <cs:fontRef idx="minor">
      <a:schemeClr val="tx1"/>
    </cs:fontRef>
    <cs:spPr>
      <a:solidFill>
        <a:schemeClr val="phClr">
          <a:alpha val="75000"/>
        </a:schemeClr>
      </a:solidFill>
    </cs:spPr>
  </cs:dataPoint3D>
  <cs:dataPointLine>
    <cs:lnRef idx="0">
      <cs:styleClr val="auto"/>
    </cs:lnRef>
    <cs:fillRef idx="1"/>
    <cs:effectRef idx="0"/>
    <cs:fontRef idx="minor">
      <a:schemeClr val="tx1"/>
    </cs:fontRef>
    <cs:spPr>
      <a:ln w="19050" cap="rnd">
        <a:solidFill>
          <a:schemeClr val="phClr">
            <a:alpha val="50000"/>
          </a:scheme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chart/style6.xml><?xml version="1.0" encoding="utf-8"?>
<cs:chartStyle xmlns:cs="http://schemas.microsoft.com/office/drawing/2012/chartStyle" xmlns:a="http://schemas.openxmlformats.org/drawingml/2006/main" id="269">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alpha val="75000"/>
        </a:schemeClr>
      </a:solidFill>
    </cs:spPr>
  </cs:dataPoint>
  <cs:dataPoint3D>
    <cs:lnRef idx="0"/>
    <cs:fillRef idx="1">
      <cs:styleClr val="auto"/>
    </cs:fillRef>
    <cs:effectRef idx="0"/>
    <cs:fontRef idx="minor">
      <a:schemeClr val="tx1"/>
    </cs:fontRef>
    <cs:spPr>
      <a:solidFill>
        <a:schemeClr val="phClr">
          <a:alpha val="75000"/>
        </a:schemeClr>
      </a:solidFill>
    </cs:spPr>
  </cs:dataPoint3D>
  <cs:dataPointLine>
    <cs:lnRef idx="0">
      <cs:styleClr val="auto"/>
    </cs:lnRef>
    <cs:fillRef idx="1"/>
    <cs:effectRef idx="0"/>
    <cs:fontRef idx="minor">
      <a:schemeClr val="tx1"/>
    </cs:fontRef>
    <cs:spPr>
      <a:ln w="19050" cap="rnd">
        <a:solidFill>
          <a:schemeClr val="phClr">
            <a:alpha val="50000"/>
          </a:scheme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chart/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122105326956004"/>
          <c:y val="0.122558326042578"/>
          <c:w val="0.84266797311016051"/>
          <c:h val="0.61127260134149886"/>
        </c:manualLayout>
      </c:layout>
      <c:barChart>
        <c:barDir val="col"/>
        <c:grouping val="stacked"/>
        <c:varyColors val="0"/>
        <c:ser>
          <c:idx val="1"/>
          <c:order val="0"/>
          <c:tx>
            <c:v>Underestimate</c:v>
          </c:tx>
          <c:spPr>
            <a:solidFill>
              <a:schemeClr val="accent2"/>
            </a:solidFill>
            <a:ln>
              <a:noFill/>
            </a:ln>
            <a:effectLst/>
          </c:spPr>
          <c:invertIfNegative val="0"/>
          <c:dLbls>
            <c:dLbl>
              <c:idx val="1"/>
              <c:tx>
                <c:rich>
                  <a:bodyPr/>
                  <a:lstStyle/>
                  <a:p>
                    <a:r>
                      <a:rPr lang="en-US"/>
                      <a:t>1</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641-455D-9113-023B083736AE}"/>
                </c:ext>
              </c:extLst>
            </c:dLbl>
            <c:dLbl>
              <c:idx val="2"/>
              <c:tx>
                <c:rich>
                  <a:bodyPr/>
                  <a:lstStyle/>
                  <a:p>
                    <a:r>
                      <a:rPr lang="en-US"/>
                      <a:t>3</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641-455D-9113-023B083736AE}"/>
                </c:ext>
              </c:extLst>
            </c:dLbl>
            <c:dLbl>
              <c:idx val="6"/>
              <c:tx>
                <c:rich>
                  <a:bodyPr/>
                  <a:lstStyle/>
                  <a:p>
                    <a:r>
                      <a:rPr lang="en-US"/>
                      <a:t>1</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641-455D-9113-023B083736AE}"/>
                </c:ext>
              </c:extLst>
            </c:dLbl>
            <c:dLbl>
              <c:idx val="8"/>
              <c:tx>
                <c:rich>
                  <a:bodyPr/>
                  <a:lstStyle/>
                  <a:p>
                    <a:r>
                      <a:rPr lang="en-US"/>
                      <a:t>1</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6641-455D-9113-023B083736AE}"/>
                </c:ext>
              </c:extLst>
            </c:dLbl>
            <c:dLbl>
              <c:idx val="9"/>
              <c:tx>
                <c:rich>
                  <a:bodyPr/>
                  <a:lstStyle/>
                  <a:p>
                    <a:r>
                      <a:rPr lang="en-US"/>
                      <a:t>2</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641-455D-9113-023B083736AE}"/>
                </c:ext>
              </c:extLst>
            </c:dLbl>
            <c:dLbl>
              <c:idx val="11"/>
              <c:tx>
                <c:rich>
                  <a:bodyPr/>
                  <a:lstStyle/>
                  <a:p>
                    <a:r>
                      <a:rPr lang="en-US"/>
                      <a:t>2</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6641-455D-9113-023B083736AE}"/>
                </c:ext>
              </c:extLst>
            </c:dLbl>
            <c:dLbl>
              <c:idx val="12"/>
              <c:tx>
                <c:rich>
                  <a:bodyPr/>
                  <a:lstStyle/>
                  <a:p>
                    <a:r>
                      <a:rPr lang="en-US"/>
                      <a:t>2</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6641-455D-9113-023B083736AE}"/>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Graph!$A$2:$A$15</c:f>
              <c:strCache>
                <c:ptCount val="14"/>
                <c:pt idx="0">
                  <c:v>Breastfed in Hospital</c:v>
                </c:pt>
                <c:pt idx="1">
                  <c:v>Smoking before pregnancy</c:v>
                </c:pt>
                <c:pt idx="2">
                  <c:v>Smoking during pregnancy</c:v>
                </c:pt>
                <c:pt idx="3">
                  <c:v>Adequate PNC</c:v>
                </c:pt>
                <c:pt idx="5">
                  <c:v>Gestational Diabetes</c:v>
                </c:pt>
                <c:pt idx="6">
                  <c:v>Hypertension</c:v>
                </c:pt>
                <c:pt idx="7">
                  <c:v>Infertilty</c:v>
                </c:pt>
                <c:pt idx="8">
                  <c:v>C-section</c:v>
                </c:pt>
                <c:pt idx="9">
                  <c:v>Normal BMI</c:v>
                </c:pt>
                <c:pt idx="11">
                  <c:v>Previous LB</c:v>
                </c:pt>
                <c:pt idx="12">
                  <c:v>Medicaid</c:v>
                </c:pt>
                <c:pt idx="13">
                  <c:v>WIC</c:v>
                </c:pt>
              </c:strCache>
            </c:strRef>
          </c:cat>
          <c:val>
            <c:numRef>
              <c:f>Graph!$C$2:$C$15</c:f>
              <c:numCache>
                <c:formatCode>General</c:formatCode>
                <c:ptCount val="14"/>
                <c:pt idx="1">
                  <c:v>-1</c:v>
                </c:pt>
                <c:pt idx="2">
                  <c:v>-3</c:v>
                </c:pt>
                <c:pt idx="6">
                  <c:v>-1</c:v>
                </c:pt>
                <c:pt idx="8">
                  <c:v>-1</c:v>
                </c:pt>
                <c:pt idx="9">
                  <c:v>-2</c:v>
                </c:pt>
                <c:pt idx="11">
                  <c:v>-2</c:v>
                </c:pt>
                <c:pt idx="12">
                  <c:v>-2</c:v>
                </c:pt>
              </c:numCache>
            </c:numRef>
          </c:val>
          <c:extLst>
            <c:ext xmlns:c16="http://schemas.microsoft.com/office/drawing/2014/chart" uri="{C3380CC4-5D6E-409C-BE32-E72D297353CC}">
              <c16:uniqueId val="{00000000-41A3-47A4-B133-1E32DA6463EE}"/>
            </c:ext>
          </c:extLst>
        </c:ser>
        <c:ser>
          <c:idx val="0"/>
          <c:order val="1"/>
          <c:tx>
            <c:v>Overestimate</c:v>
          </c:tx>
          <c:spPr>
            <a:solidFill>
              <a:srgbClr val="5DBAC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Graph!$A$2:$A$15</c:f>
              <c:strCache>
                <c:ptCount val="14"/>
                <c:pt idx="0">
                  <c:v>Breastfed in Hospital</c:v>
                </c:pt>
                <c:pt idx="1">
                  <c:v>Smoking before pregnancy</c:v>
                </c:pt>
                <c:pt idx="2">
                  <c:v>Smoking during pregnancy</c:v>
                </c:pt>
                <c:pt idx="3">
                  <c:v>Adequate PNC</c:v>
                </c:pt>
                <c:pt idx="5">
                  <c:v>Gestational Diabetes</c:v>
                </c:pt>
                <c:pt idx="6">
                  <c:v>Hypertension</c:v>
                </c:pt>
                <c:pt idx="7">
                  <c:v>Infertilty</c:v>
                </c:pt>
                <c:pt idx="8">
                  <c:v>C-section</c:v>
                </c:pt>
                <c:pt idx="9">
                  <c:v>Normal BMI</c:v>
                </c:pt>
                <c:pt idx="11">
                  <c:v>Previous LB</c:v>
                </c:pt>
                <c:pt idx="12">
                  <c:v>Medicaid</c:v>
                </c:pt>
                <c:pt idx="13">
                  <c:v>WIC</c:v>
                </c:pt>
              </c:strCache>
            </c:strRef>
          </c:cat>
          <c:val>
            <c:numRef>
              <c:f>Graph!$B$2:$B$15</c:f>
              <c:numCache>
                <c:formatCode>General</c:formatCode>
                <c:ptCount val="14"/>
                <c:pt idx="0">
                  <c:v>9</c:v>
                </c:pt>
                <c:pt idx="1">
                  <c:v>1</c:v>
                </c:pt>
                <c:pt idx="3">
                  <c:v>2</c:v>
                </c:pt>
                <c:pt idx="5">
                  <c:v>4</c:v>
                </c:pt>
                <c:pt idx="7">
                  <c:v>1</c:v>
                </c:pt>
                <c:pt idx="8">
                  <c:v>2</c:v>
                </c:pt>
                <c:pt idx="13">
                  <c:v>1</c:v>
                </c:pt>
              </c:numCache>
            </c:numRef>
          </c:val>
          <c:extLst>
            <c:ext xmlns:c16="http://schemas.microsoft.com/office/drawing/2014/chart" uri="{C3380CC4-5D6E-409C-BE32-E72D297353CC}">
              <c16:uniqueId val="{00000001-41A3-47A4-B133-1E32DA6463EE}"/>
            </c:ext>
          </c:extLst>
        </c:ser>
        <c:dLbls>
          <c:dLblPos val="ctr"/>
          <c:showLegendKey val="0"/>
          <c:showVal val="1"/>
          <c:showCatName val="0"/>
          <c:showSerName val="0"/>
          <c:showPercent val="0"/>
          <c:showBubbleSize val="0"/>
        </c:dLbls>
        <c:gapWidth val="150"/>
        <c:overlap val="100"/>
        <c:axId val="1364842543"/>
        <c:axId val="1364843023"/>
      </c:barChart>
      <c:catAx>
        <c:axId val="1364842543"/>
        <c:scaling>
          <c:orientation val="minMax"/>
        </c:scaling>
        <c:delete val="0"/>
        <c:axPos val="b"/>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1" dirty="0"/>
                  <a:t>Indicators</a:t>
                </a:r>
              </a:p>
            </c:rich>
          </c:tx>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a:solidFill>
              <a:srgbClr val="000000"/>
            </a:solidFill>
            <a:round/>
          </a:ln>
          <a:effectLst/>
        </c:spPr>
        <c:txPr>
          <a:bodyPr rot="-60000000" spcFirstLastPara="1" vertOverflow="ellipsis" vert="horz" wrap="square" anchor="b"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364843023"/>
        <c:crossesAt val="-5"/>
        <c:lblAlgn val="ctr"/>
        <c:lblOffset val="100"/>
        <c:tickMarkSkip val="1"/>
        <c:noMultiLvlLbl val="0"/>
      </c:catAx>
      <c:valAx>
        <c:axId val="1364843023"/>
        <c:scaling>
          <c:orientation val="minMax"/>
          <c:max val="10"/>
          <c:min val="-5"/>
        </c:scaling>
        <c:delete val="0"/>
        <c:axPos val="l"/>
        <c:title>
          <c:tx>
            <c:rich>
              <a:bodyPr rot="-5400000" spcFirstLastPara="1" vertOverflow="ellipsis" vert="horz" wrap="square" anchor="ctr" anchorCtr="1"/>
              <a:lstStyle/>
              <a:p>
                <a:pPr>
                  <a:defRPr sz="1800" b="1" i="0" u="none" strike="noStrike" kern="1200" baseline="0">
                    <a:solidFill>
                      <a:schemeClr val="tx1">
                        <a:lumMod val="65000"/>
                        <a:lumOff val="35000"/>
                      </a:schemeClr>
                    </a:solidFill>
                    <a:latin typeface="+mn-lt"/>
                    <a:ea typeface="+mn-ea"/>
                    <a:cs typeface="+mn-cs"/>
                  </a:defRPr>
                </a:pPr>
                <a:r>
                  <a:rPr lang="en-US" sz="1400" b="1" dirty="0"/>
                  <a:t>Number of significant sites</a:t>
                </a:r>
              </a:p>
            </c:rich>
          </c:tx>
          <c:layout/>
          <c:overlay val="0"/>
          <c:spPr>
            <a:noFill/>
            <a:ln>
              <a:noFill/>
            </a:ln>
            <a:effectLst/>
          </c:spPr>
          <c:txPr>
            <a:bodyPr rot="-5400000" spcFirstLastPara="1" vertOverflow="ellipsis" vert="horz" wrap="square" anchor="ctr" anchorCtr="1"/>
            <a:lstStyle/>
            <a:p>
              <a:pPr>
                <a:defRPr sz="18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rgbClr val="000000"/>
            </a:solid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1364842543"/>
        <c:crossesAt val="0"/>
        <c:crossBetween val="between"/>
        <c:majorUnit val="5"/>
      </c:valAx>
      <c:spPr>
        <a:noFill/>
        <a:ln>
          <a:solidFill>
            <a:srgbClr val="000000"/>
          </a:solidFill>
        </a:ln>
        <a:effectLst/>
      </c:spPr>
    </c:plotArea>
    <c:legend>
      <c:legendPos val="l"/>
      <c:layout>
        <c:manualLayout>
          <c:xMode val="edge"/>
          <c:yMode val="edge"/>
          <c:x val="0.26910394746183336"/>
          <c:y val="0.002360202686334681"/>
          <c:w val="0.58701711874839579"/>
          <c:h val="0.15625109361329836"/>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122105326956004"/>
          <c:y val="0.122558326042578"/>
          <c:w val="0.84266797311016051"/>
          <c:h val="0.61127260134149886"/>
        </c:manualLayout>
      </c:layout>
      <c:barChart>
        <c:barDir val="col"/>
        <c:grouping val="stacked"/>
        <c:varyColors val="0"/>
        <c:ser>
          <c:idx val="1"/>
          <c:order val="0"/>
          <c:tx>
            <c:v>Underestimate</c:v>
          </c:tx>
          <c:spPr>
            <a:solidFill>
              <a:schemeClr val="accent2"/>
            </a:solidFill>
            <a:ln>
              <a:noFill/>
            </a:ln>
            <a:effectLst/>
          </c:spPr>
          <c:invertIfNegative val="0"/>
          <c:dLbls>
            <c:dLbl>
              <c:idx val="1"/>
              <c:tx>
                <c:rich>
                  <a:bodyPr/>
                  <a:lstStyle/>
                  <a:p>
                    <a:r>
                      <a:rPr lang="en-US"/>
                      <a:t>1</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315-4129-9F4F-FE1386B5E5FF}"/>
                </c:ext>
              </c:extLst>
            </c:dLbl>
            <c:dLbl>
              <c:idx val="2"/>
              <c:tx>
                <c:rich>
                  <a:bodyPr/>
                  <a:lstStyle/>
                  <a:p>
                    <a:r>
                      <a:rPr lang="en-US"/>
                      <a:t>4</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315-4129-9F4F-FE1386B5E5FF}"/>
                </c:ext>
              </c:extLst>
            </c:dLbl>
            <c:dLbl>
              <c:idx val="5"/>
              <c:tx>
                <c:rich>
                  <a:bodyPr/>
                  <a:lstStyle/>
                  <a:p>
                    <a:r>
                      <a:rPr lang="en-US"/>
                      <a:t>3</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7315-4129-9F4F-FE1386B5E5FF}"/>
                </c:ext>
              </c:extLst>
            </c:dLbl>
            <c:dLbl>
              <c:idx val="6"/>
              <c:tx>
                <c:rich>
                  <a:bodyPr/>
                  <a:lstStyle/>
                  <a:p>
                    <a:r>
                      <a:rPr lang="en-US"/>
                      <a:t>1</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315-4129-9F4F-FE1386B5E5FF}"/>
                </c:ext>
              </c:extLst>
            </c:dLbl>
            <c:dLbl>
              <c:idx val="8"/>
              <c:tx>
                <c:rich>
                  <a:bodyPr/>
                  <a:lstStyle/>
                  <a:p>
                    <a:r>
                      <a:rPr lang="en-US"/>
                      <a:t>2</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7315-4129-9F4F-FE1386B5E5FF}"/>
                </c:ext>
              </c:extLst>
            </c:dLbl>
            <c:dLbl>
              <c:idx val="11"/>
              <c:tx>
                <c:rich>
                  <a:bodyPr/>
                  <a:lstStyle/>
                  <a:p>
                    <a:r>
                      <a:rPr lang="en-US"/>
                      <a:t>2</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7315-4129-9F4F-FE1386B5E5FF}"/>
                </c:ext>
              </c:extLst>
            </c:dLbl>
            <c:dLbl>
              <c:idx val="12"/>
              <c:tx>
                <c:rich>
                  <a:bodyPr/>
                  <a:lstStyle/>
                  <a:p>
                    <a:r>
                      <a:rPr lang="en-US"/>
                      <a:t>4</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7315-4129-9F4F-FE1386B5E5FF}"/>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Graph!$A$2:$A$15</c:f>
              <c:strCache>
                <c:ptCount val="14"/>
                <c:pt idx="0">
                  <c:v>Breastfed in Hospital</c:v>
                </c:pt>
                <c:pt idx="1">
                  <c:v>Smoking before pregnancy</c:v>
                </c:pt>
                <c:pt idx="2">
                  <c:v>Smoking during pregnancy</c:v>
                </c:pt>
                <c:pt idx="3">
                  <c:v>Adequate PNC</c:v>
                </c:pt>
                <c:pt idx="5">
                  <c:v>Gestational Diabetes</c:v>
                </c:pt>
                <c:pt idx="6">
                  <c:v>Hypertension</c:v>
                </c:pt>
                <c:pt idx="7">
                  <c:v>Infertilty</c:v>
                </c:pt>
                <c:pt idx="8">
                  <c:v>C-section</c:v>
                </c:pt>
                <c:pt idx="9">
                  <c:v>Normal BMI</c:v>
                </c:pt>
                <c:pt idx="11">
                  <c:v>Previous LB</c:v>
                </c:pt>
                <c:pt idx="12">
                  <c:v>Medicaid</c:v>
                </c:pt>
                <c:pt idx="13">
                  <c:v>WIC</c:v>
                </c:pt>
              </c:strCache>
            </c:strRef>
          </c:cat>
          <c:val>
            <c:numRef>
              <c:f>Graph!$C$2:$C$15</c:f>
              <c:numCache>
                <c:formatCode>General</c:formatCode>
                <c:ptCount val="14"/>
                <c:pt idx="1">
                  <c:v>-1</c:v>
                </c:pt>
                <c:pt idx="2">
                  <c:v>-4</c:v>
                </c:pt>
                <c:pt idx="5">
                  <c:v>-3</c:v>
                </c:pt>
                <c:pt idx="6">
                  <c:v>-1</c:v>
                </c:pt>
                <c:pt idx="8">
                  <c:v>-2</c:v>
                </c:pt>
                <c:pt idx="11">
                  <c:v>-2</c:v>
                </c:pt>
                <c:pt idx="12">
                  <c:v>-4</c:v>
                </c:pt>
              </c:numCache>
            </c:numRef>
          </c:val>
          <c:extLst>
            <c:ext xmlns:c16="http://schemas.microsoft.com/office/drawing/2014/chart" uri="{C3380CC4-5D6E-409C-BE32-E72D297353CC}">
              <c16:uniqueId val="{00000000-487B-45B3-A434-DD7C213F3172}"/>
            </c:ext>
          </c:extLst>
        </c:ser>
        <c:ser>
          <c:idx val="0"/>
          <c:order val="1"/>
          <c:tx>
            <c:v>Overestimate</c:v>
          </c:tx>
          <c:spPr>
            <a:solidFill>
              <a:srgbClr val="5DBAC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Graph!$A$2:$A$15</c:f>
              <c:strCache>
                <c:ptCount val="14"/>
                <c:pt idx="0">
                  <c:v>Breastfed in Hospital</c:v>
                </c:pt>
                <c:pt idx="1">
                  <c:v>Smoking before pregnancy</c:v>
                </c:pt>
                <c:pt idx="2">
                  <c:v>Smoking during pregnancy</c:v>
                </c:pt>
                <c:pt idx="3">
                  <c:v>Adequate PNC</c:v>
                </c:pt>
                <c:pt idx="5">
                  <c:v>Gestational Diabetes</c:v>
                </c:pt>
                <c:pt idx="6">
                  <c:v>Hypertension</c:v>
                </c:pt>
                <c:pt idx="7">
                  <c:v>Infertilty</c:v>
                </c:pt>
                <c:pt idx="8">
                  <c:v>C-section</c:v>
                </c:pt>
                <c:pt idx="9">
                  <c:v>Normal BMI</c:v>
                </c:pt>
                <c:pt idx="11">
                  <c:v>Previous LB</c:v>
                </c:pt>
                <c:pt idx="12">
                  <c:v>Medicaid</c:v>
                </c:pt>
                <c:pt idx="13">
                  <c:v>WIC</c:v>
                </c:pt>
              </c:strCache>
            </c:strRef>
          </c:cat>
          <c:val>
            <c:numRef>
              <c:f>Graph!$B$2:$B$15</c:f>
              <c:numCache>
                <c:formatCode>General</c:formatCode>
                <c:ptCount val="14"/>
                <c:pt idx="0">
                  <c:v>5</c:v>
                </c:pt>
                <c:pt idx="1">
                  <c:v>1</c:v>
                </c:pt>
                <c:pt idx="3">
                  <c:v>1</c:v>
                </c:pt>
                <c:pt idx="5">
                  <c:v>1</c:v>
                </c:pt>
                <c:pt idx="6">
                  <c:v>1</c:v>
                </c:pt>
                <c:pt idx="7">
                  <c:v>2</c:v>
                </c:pt>
                <c:pt idx="8">
                  <c:v>2</c:v>
                </c:pt>
                <c:pt idx="9">
                  <c:v>2</c:v>
                </c:pt>
                <c:pt idx="12">
                  <c:v>1</c:v>
                </c:pt>
                <c:pt idx="13">
                  <c:v>2</c:v>
                </c:pt>
              </c:numCache>
            </c:numRef>
          </c:val>
          <c:extLst>
            <c:ext xmlns:c16="http://schemas.microsoft.com/office/drawing/2014/chart" uri="{C3380CC4-5D6E-409C-BE32-E72D297353CC}">
              <c16:uniqueId val="{00000001-487B-45B3-A434-DD7C213F3172}"/>
            </c:ext>
          </c:extLst>
        </c:ser>
        <c:dLbls>
          <c:dLblPos val="ctr"/>
          <c:showLegendKey val="0"/>
          <c:showVal val="1"/>
          <c:showCatName val="0"/>
          <c:showSerName val="0"/>
          <c:showPercent val="0"/>
          <c:showBubbleSize val="0"/>
        </c:dLbls>
        <c:gapWidth val="150"/>
        <c:overlap val="100"/>
        <c:axId val="1364842543"/>
        <c:axId val="1364843023"/>
      </c:barChart>
      <c:catAx>
        <c:axId val="1364842543"/>
        <c:scaling>
          <c:orientation val="minMax"/>
        </c:scaling>
        <c:delete val="0"/>
        <c:axPos val="b"/>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800" b="1" dirty="0"/>
                  <a:t>Indicators</a:t>
                </a:r>
              </a:p>
            </c:rich>
          </c:tx>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a:solidFill>
              <a:srgbClr val="000000"/>
            </a:solidFill>
            <a:round/>
          </a:ln>
          <a:effectLst/>
        </c:spPr>
        <c:txPr>
          <a:bodyPr rot="-60000000" spcFirstLastPara="1" vertOverflow="ellipsis" vert="horz" wrap="square" anchor="b"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364843023"/>
        <c:crossesAt val="-5"/>
        <c:lblAlgn val="ctr"/>
        <c:lblOffset val="100"/>
        <c:tickMarkSkip val="1"/>
        <c:noMultiLvlLbl val="0"/>
      </c:catAx>
      <c:valAx>
        <c:axId val="1364843023"/>
        <c:scaling>
          <c:orientation val="minMax"/>
          <c:max val="10"/>
          <c:min val="-5"/>
        </c:scaling>
        <c:delete val="0"/>
        <c:axPos val="l"/>
        <c:title>
          <c:tx>
            <c:rich>
              <a:bodyPr rot="-5400000" spcFirstLastPara="1" vertOverflow="ellipsis" vert="horz" wrap="square" anchor="ctr" anchorCtr="1"/>
              <a:lstStyle/>
              <a:p>
                <a:pPr>
                  <a:defRPr sz="1800" b="1" i="0" u="none" strike="noStrike" kern="1200" baseline="0">
                    <a:solidFill>
                      <a:schemeClr val="tx1">
                        <a:lumMod val="65000"/>
                        <a:lumOff val="35000"/>
                      </a:schemeClr>
                    </a:solidFill>
                    <a:latin typeface="+mn-lt"/>
                    <a:ea typeface="+mn-ea"/>
                    <a:cs typeface="+mn-cs"/>
                  </a:defRPr>
                </a:pPr>
                <a:r>
                  <a:rPr lang="en-US" sz="1400" b="1" dirty="0"/>
                  <a:t>Number of significant sites</a:t>
                </a:r>
              </a:p>
            </c:rich>
          </c:tx>
          <c:layout/>
          <c:overlay val="0"/>
          <c:spPr>
            <a:noFill/>
            <a:ln>
              <a:noFill/>
            </a:ln>
            <a:effectLst/>
          </c:spPr>
          <c:txPr>
            <a:bodyPr rot="-5400000" spcFirstLastPara="1" vertOverflow="ellipsis" vert="horz" wrap="square" anchor="ctr" anchorCtr="1"/>
            <a:lstStyle/>
            <a:p>
              <a:pPr>
                <a:defRPr sz="18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rgbClr val="000000"/>
            </a:solid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1364842543"/>
        <c:crossesAt val="0"/>
        <c:crossBetween val="between"/>
        <c:majorUnit val="5"/>
      </c:valAx>
      <c:spPr>
        <a:noFill/>
        <a:ln>
          <a:solidFill>
            <a:srgbClr val="000000"/>
          </a:solidFill>
        </a:ln>
        <a:effectLst/>
      </c:spPr>
    </c:plotArea>
    <c:legend>
      <c:legendPos val="l"/>
      <c:layout>
        <c:manualLayout>
          <c:xMode val="edge"/>
          <c:yMode val="edge"/>
          <c:x val="0.25295783095472441"/>
          <c:y val="0.00034007308261562981"/>
          <c:w val="0.577080155019685"/>
          <c:h val="0.20136875413937744"/>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735713846507722"/>
          <c:y val="0.071933441319393318"/>
          <c:w val="0.83224526490722728"/>
          <c:h val="0.8071590803718045"/>
        </c:manualLayout>
      </c:layout>
      <c:barChart>
        <c:barDir val="bar"/>
        <c:grouping val="clustered"/>
        <c:varyColors val="0"/>
        <c:ser>
          <c:idx val="0"/>
          <c:order val="0"/>
          <c:tx>
            <c:v>Mean Bias</c:v>
          </c:tx>
          <c:spPr>
            <a:solidFill>
              <a:srgbClr val="FFC000"/>
            </a:solidFill>
            <a:ln w="19050">
              <a:noFill/>
            </a:ln>
            <a:effectLst/>
          </c:spPr>
          <c:invertIfNegative val="0"/>
          <c:errBars>
            <c:errBarType val="both"/>
            <c:errValType val="cust"/>
            <c:noEndCap val="0"/>
            <c:plus>
              <c:numRef>
                <c:f>Summary!$R$6:$R$17</c:f>
                <c:numCache>
                  <c:formatCode>General</c:formatCode>
                  <c:ptCount val="12"/>
                  <c:pt idx="0">
                    <c:v>0.54173785863173729</c:v>
                  </c:pt>
                  <c:pt idx="1">
                    <c:v>0.64258000485068045</c:v>
                  </c:pt>
                  <c:pt idx="2">
                    <c:v>0.59163531194039065</c:v>
                  </c:pt>
                  <c:pt idx="3">
                    <c:v>0.72488346441489926</c:v>
                  </c:pt>
                  <c:pt idx="4">
                    <c:v>0.60615622898438326</c:v>
                  </c:pt>
                  <c:pt idx="5">
                    <c:v>0.18114272355288319</c:v>
                  </c:pt>
                  <c:pt idx="6">
                    <c:v>0.34408795153799676</c:v>
                  </c:pt>
                  <c:pt idx="7">
                    <c:v>0.37502785224019247</c:v>
                  </c:pt>
                  <c:pt idx="8">
                    <c:v>0.4267963074096161</c:v>
                  </c:pt>
                  <c:pt idx="9">
                    <c:v>0.30999331752864179</c:v>
                  </c:pt>
                  <c:pt idx="10">
                    <c:v>0.38819973830598603</c:v>
                  </c:pt>
                  <c:pt idx="11">
                    <c:v>0.42149071262712062</c:v>
                  </c:pt>
                </c:numCache>
              </c:numRef>
            </c:plus>
            <c:minus>
              <c:numRef>
                <c:f>Summary!$R$6:$R$17</c:f>
                <c:numCache>
                  <c:formatCode>General</c:formatCode>
                  <c:ptCount val="12"/>
                  <c:pt idx="0">
                    <c:v>0.54173785863173729</c:v>
                  </c:pt>
                  <c:pt idx="1">
                    <c:v>0.64258000485068045</c:v>
                  </c:pt>
                  <c:pt idx="2">
                    <c:v>0.59163531194039065</c:v>
                  </c:pt>
                  <c:pt idx="3">
                    <c:v>0.72488346441489926</c:v>
                  </c:pt>
                  <c:pt idx="4">
                    <c:v>0.60615622898438326</c:v>
                  </c:pt>
                  <c:pt idx="5">
                    <c:v>0.18114272355288319</c:v>
                  </c:pt>
                  <c:pt idx="6">
                    <c:v>0.34408795153799676</c:v>
                  </c:pt>
                  <c:pt idx="7">
                    <c:v>0.37502785224019247</c:v>
                  </c:pt>
                  <c:pt idx="8">
                    <c:v>0.4267963074096161</c:v>
                  </c:pt>
                  <c:pt idx="9">
                    <c:v>0.30999331752864179</c:v>
                  </c:pt>
                  <c:pt idx="10">
                    <c:v>0.38819973830598603</c:v>
                  </c:pt>
                  <c:pt idx="11">
                    <c:v>0.42149071262712062</c:v>
                  </c:pt>
                </c:numCache>
              </c:numRef>
            </c:minus>
            <c:spPr>
              <a:noFill/>
              <a:ln w="19050" cap="sq">
                <a:solidFill>
                  <a:schemeClr val="tx1">
                    <a:lumMod val="65000"/>
                    <a:lumOff val="35000"/>
                  </a:schemeClr>
                </a:solidFill>
                <a:round/>
              </a:ln>
              <a:effectLst/>
            </c:spPr>
          </c:errBars>
          <c:cat>
            <c:strRef>
              <c:f>Summary!$P$6:$P$17</c:f>
              <c:strCache>
                <c:ptCount val="12"/>
                <c:pt idx="0">
                  <c:v>WIC</c:v>
                </c:pt>
                <c:pt idx="1">
                  <c:v>Medicaid</c:v>
                </c:pt>
                <c:pt idx="2">
                  <c:v>Previous LB</c:v>
                </c:pt>
                <c:pt idx="3">
                  <c:v>Normal BMI</c:v>
                </c:pt>
                <c:pt idx="4">
                  <c:v>C-Section</c:v>
                </c:pt>
                <c:pt idx="5">
                  <c:v>Infertility</c:v>
                </c:pt>
                <c:pt idx="6">
                  <c:v>Hypertension</c:v>
                </c:pt>
                <c:pt idx="7">
                  <c:v>Gestational Diabetes</c:v>
                </c:pt>
                <c:pt idx="8">
                  <c:v>Adequate PNC</c:v>
                </c:pt>
                <c:pt idx="9">
                  <c:v>Smoking During Pregnancy</c:v>
                </c:pt>
                <c:pt idx="10">
                  <c:v>Smoking Before Pregnancy</c:v>
                </c:pt>
                <c:pt idx="11">
                  <c:v>Breastfed in Hospital</c:v>
                </c:pt>
              </c:strCache>
            </c:strRef>
          </c:cat>
          <c:val>
            <c:numRef>
              <c:f>Summary!$Q$6:$Q$17</c:f>
              <c:numCache>
                <c:formatCode>General</c:formatCode>
                <c:ptCount val="12"/>
                <c:pt idx="0">
                  <c:v>0.66308260869565272</c:v>
                </c:pt>
                <c:pt idx="1">
                  <c:v>-0.51170869565217347</c:v>
                </c:pt>
                <c:pt idx="2">
                  <c:v>-0.93425434782608807</c:v>
                </c:pt>
                <c:pt idx="3">
                  <c:v>-0.54135652173913051</c:v>
                </c:pt>
                <c:pt idx="4">
                  <c:v>-0.041560869565217075</c:v>
                </c:pt>
                <c:pt idx="5">
                  <c:v>0.12686739130434785</c:v>
                </c:pt>
                <c:pt idx="6">
                  <c:v>0.034132608695652232</c:v>
                </c:pt>
                <c:pt idx="7">
                  <c:v>0.36148695652173918</c:v>
                </c:pt>
                <c:pt idx="8">
                  <c:v>1.2039956521739124</c:v>
                </c:pt>
                <c:pt idx="9">
                  <c:v>-0.37552608695652184</c:v>
                </c:pt>
                <c:pt idx="10">
                  <c:v>-0.370691304347826</c:v>
                </c:pt>
                <c:pt idx="11">
                  <c:v>1.9569413043478263</c:v>
                </c:pt>
              </c:numCache>
            </c:numRef>
          </c:val>
          <c:extLst>
            <c:ext xmlns:c16="http://schemas.microsoft.com/office/drawing/2014/chart" uri="{C3380CC4-5D6E-409C-BE32-E72D297353CC}">
              <c16:uniqueId val="{00000000-0255-4404-9E98-E1D4B5F44DC4}"/>
            </c:ext>
          </c:extLst>
        </c:ser>
        <c:dLbls>
          <c:showLegendKey val="0"/>
          <c:showVal val="0"/>
          <c:showCatName val="0"/>
          <c:showSerName val="0"/>
          <c:showPercent val="0"/>
          <c:showBubbleSize val="0"/>
        </c:dLbls>
        <c:gapWidth val="84"/>
        <c:axId val="1671223487"/>
        <c:axId val="1671228287"/>
        <c:extLst>
          <c:ext xmlns:c="http://schemas.openxmlformats.org/drawingml/2006/chart" xmlns:c15="http://schemas.microsoft.com/office/drawing/2012/chart" uri="{02D57815-91ED-43cb-92C2-25804820EDAC}">
            <c15:filteredBarSeries>
              <c15:ser>
                <c:idx val="1"/>
                <c:order val="1"/>
                <c:spPr>
                  <a:solidFill xmlns:a="http://schemas.openxmlformats.org/drawingml/2006/main">
                    <a:schemeClr val="accent2"/>
                  </a:solidFill>
                  <a:ln xmlns:a="http://schemas.openxmlformats.org/drawingml/2006/main">
                    <a:noFill/>
                  </a:ln>
                  <a:effectLst xmlns:a="http://schemas.openxmlformats.org/drawingml/2006/main"/>
                </c:spPr>
                <c:invertIfNegative val="0"/>
                <c:cat>
                  <c:strRef>
                    <c:extLst>
                      <c:ext uri="{02D57815-91ED-43cb-92C2-25804820EDAC}">
                        <c15:formulaRef>
                          <c15:sqref>Summary!$P$6:$P$17</c15:sqref>
                        </c15:formulaRef>
                      </c:ext>
                    </c:extLst>
                    <c:strCache>
                      <c:ptCount val="12"/>
                      <c:pt idx="0">
                        <c:v>WIC</c:v>
                      </c:pt>
                      <c:pt idx="1">
                        <c:v>Medicaid</c:v>
                      </c:pt>
                      <c:pt idx="2">
                        <c:v>Previous LB</c:v>
                      </c:pt>
                      <c:pt idx="3">
                        <c:v>Normal BMI</c:v>
                      </c:pt>
                      <c:pt idx="4">
                        <c:v>C-Section</c:v>
                      </c:pt>
                      <c:pt idx="5">
                        <c:v>Infertility</c:v>
                      </c:pt>
                      <c:pt idx="6">
                        <c:v>Hypertension</c:v>
                      </c:pt>
                      <c:pt idx="7">
                        <c:v>Gestational Diabetes</c:v>
                      </c:pt>
                      <c:pt idx="8">
                        <c:v>Adequate PNC</c:v>
                      </c:pt>
                      <c:pt idx="9">
                        <c:v>Smoking During Pregnancy</c:v>
                      </c:pt>
                      <c:pt idx="10">
                        <c:v>Smoking Before Pregnancy</c:v>
                      </c:pt>
                      <c:pt idx="11">
                        <c:v>Breastfed in Hospital</c:v>
                      </c:pt>
                    </c:strCache>
                  </c:strRef>
                </c:cat>
                <c:val>
                  <c:numRef>
                    <c:extLst>
                      <c:ext uri="{02D57815-91ED-43cb-92C2-25804820EDAC}">
                        <c15:formulaRef>
                          <c15:sqref>Summary!$R$6:$R$17</c15:sqref>
                        </c15:formulaRef>
                      </c:ext>
                    </c:extLst>
                    <c:numCache>
                      <c:formatCode>General</c:formatCode>
                      <c:ptCount val="12"/>
                      <c:pt idx="0">
                        <c:v>0.54173785863173729</c:v>
                      </c:pt>
                      <c:pt idx="1">
                        <c:v>0.64258000485068045</c:v>
                      </c:pt>
                      <c:pt idx="2">
                        <c:v>0.59163531194039065</c:v>
                      </c:pt>
                      <c:pt idx="3">
                        <c:v>0.72488346441489926</c:v>
                      </c:pt>
                      <c:pt idx="4">
                        <c:v>0.60615622898438326</c:v>
                      </c:pt>
                      <c:pt idx="5">
                        <c:v>0.18114272355288319</c:v>
                      </c:pt>
                      <c:pt idx="6">
                        <c:v>0.34408795153799676</c:v>
                      </c:pt>
                      <c:pt idx="7">
                        <c:v>0.37502785224019247</c:v>
                      </c:pt>
                      <c:pt idx="8">
                        <c:v>0.4267963074096161</c:v>
                      </c:pt>
                      <c:pt idx="9">
                        <c:v>0.30999331752864179</c:v>
                      </c:pt>
                      <c:pt idx="10">
                        <c:v>0.38819973830598603</c:v>
                      </c:pt>
                      <c:pt idx="11">
                        <c:v>0.42149071262712062</c:v>
                      </c:pt>
                    </c:numCache>
                  </c:numRef>
                </c:val>
                <c:extLst>
                  <c:ext xmlns:c16="http://schemas.microsoft.com/office/drawing/2014/chart" uri="{C3380CC4-5D6E-409C-BE32-E72D297353CC}">
                    <c16:uniqueId val="{00000001-0255-4404-9E98-E1D4B5F44DC4}"/>
                  </c:ext>
                </c:extLst>
              </c15:ser>
            </c15:filteredBarSeries>
          </c:ext>
        </c:extLst>
      </c:barChart>
      <c:catAx>
        <c:axId val="1671223487"/>
        <c:scaling>
          <c:orientation val="minMax"/>
        </c:scaling>
        <c:delete val="0"/>
        <c:axPos val="l"/>
        <c:numFmt formatCode="General" sourceLinked="1"/>
        <c:majorTickMark val="none"/>
        <c:minorTickMark val="none"/>
        <c:tickLblPos val="low"/>
        <c:spPr>
          <a:noFill/>
          <a:ln w="9525">
            <a:solidFill>
              <a:schemeClr val="tx1">
                <a:lumMod val="15000"/>
                <a:lumOff val="85000"/>
              </a:schemeClr>
            </a:solidFill>
            <a:round/>
          </a:ln>
          <a:effectLst/>
        </c:spPr>
        <c:txPr>
          <a:bodyPr rot="-60000000" spcFirstLastPara="1" vertOverflow="ellipsis" vert="horz" wrap="square" anchor="ctr" anchorCtr="1"/>
          <a:lstStyle/>
          <a:p>
            <a:pPr>
              <a:defRPr sz="1150" b="0" i="0" u="none" strike="noStrike" kern="1200" baseline="0">
                <a:solidFill>
                  <a:schemeClr val="accent6">
                    <a:alpha val="98000"/>
                  </a:schemeClr>
                </a:solidFill>
                <a:latin typeface="+mn-lt"/>
                <a:ea typeface="+mn-ea"/>
                <a:cs typeface="+mn-cs"/>
              </a:defRPr>
            </a:pPr>
            <a:endParaRPr lang="en-US"/>
          </a:p>
        </c:txPr>
        <c:crossAx val="1671228287"/>
        <c:crosses val="autoZero"/>
        <c:auto val="1"/>
        <c:lblAlgn val="ctr"/>
        <c:lblOffset val="100"/>
        <c:noMultiLvlLbl val="0"/>
      </c:catAx>
      <c:valAx>
        <c:axId val="1671228287"/>
        <c:scaling>
          <c:orientation val="minMax"/>
        </c:scaling>
        <c:delete val="0"/>
        <c:axPos val="b"/>
        <c:majorGridlines>
          <c:spPr>
            <a:ln w="9525">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600" dirty="0">
                    <a:solidFill>
                      <a:schemeClr val="accent6"/>
                    </a:solidFill>
                  </a:rPr>
                  <a:t>Mean</a:t>
                </a:r>
                <a:r>
                  <a:rPr lang="en-US" sz="1600" baseline="0" dirty="0">
                    <a:solidFill>
                      <a:schemeClr val="accent6"/>
                    </a:solidFill>
                  </a:rPr>
                  <a:t> Bias, 2020, 47 Sites</a:t>
                </a:r>
                <a:endParaRPr lang="en-US" sz="1600" dirty="0">
                  <a:solidFill>
                    <a:schemeClr val="accent6"/>
                  </a:solidFill>
                </a:endParaRP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accent6"/>
                </a:solidFill>
                <a:latin typeface="+mn-lt"/>
                <a:ea typeface="+mn-ea"/>
                <a:cs typeface="+mn-cs"/>
              </a:defRPr>
            </a:pPr>
            <a:endParaRPr lang="en-US"/>
          </a:p>
        </c:txPr>
        <c:crossAx val="1671223487"/>
        <c:crosses val="autoZero"/>
        <c:crossBetween val="between"/>
      </c:valAx>
      <c:spPr>
        <a:noFill/>
        <a:ln>
          <a:solidFill>
            <a:schemeClr val="accent1"/>
          </a:solidFill>
        </a:ln>
        <a:effectLst/>
      </c:spPr>
    </c:plotArea>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045638400226536"/>
          <c:y val="0.07957697924855138"/>
          <c:w val="0.83224526490722728"/>
          <c:h val="0.8071590803718045"/>
        </c:manualLayout>
      </c:layout>
      <c:barChart>
        <c:barDir val="bar"/>
        <c:grouping val="clustered"/>
        <c:varyColors val="0"/>
        <c:ser>
          <c:idx val="0"/>
          <c:order val="0"/>
          <c:tx>
            <c:v>Mean Bias</c:v>
          </c:tx>
          <c:spPr>
            <a:solidFill>
              <a:srgbClr val="FFC000"/>
            </a:solidFill>
            <a:ln w="19050">
              <a:noFill/>
            </a:ln>
            <a:effectLst/>
          </c:spPr>
          <c:invertIfNegative val="0"/>
          <c:errBars>
            <c:errBarType val="both"/>
            <c:errValType val="cust"/>
            <c:noEndCap val="0"/>
            <c:plus>
              <c:numRef>
                <c:f>Summary!$R$6:$R$17</c:f>
                <c:numCache>
                  <c:formatCode>General</c:formatCode>
                  <c:ptCount val="12"/>
                  <c:pt idx="0">
                    <c:v>0.54173785863173729</c:v>
                  </c:pt>
                  <c:pt idx="1">
                    <c:v>0.64258000485068045</c:v>
                  </c:pt>
                  <c:pt idx="2">
                    <c:v>0.59163531194039065</c:v>
                  </c:pt>
                  <c:pt idx="3">
                    <c:v>0.72488346441489926</c:v>
                  </c:pt>
                  <c:pt idx="4">
                    <c:v>0.60615622898438326</c:v>
                  </c:pt>
                  <c:pt idx="5">
                    <c:v>0.18114272355288319</c:v>
                  </c:pt>
                  <c:pt idx="6">
                    <c:v>0.34408795153799676</c:v>
                  </c:pt>
                  <c:pt idx="7">
                    <c:v>0.37502785224019247</c:v>
                  </c:pt>
                  <c:pt idx="8">
                    <c:v>0.4267963074096161</c:v>
                  </c:pt>
                  <c:pt idx="9">
                    <c:v>0.30999331752864179</c:v>
                  </c:pt>
                  <c:pt idx="10">
                    <c:v>0.38819973830598603</c:v>
                  </c:pt>
                  <c:pt idx="11">
                    <c:v>0.42149071262712062</c:v>
                  </c:pt>
                </c:numCache>
              </c:numRef>
            </c:plus>
            <c:minus>
              <c:numRef>
                <c:f>Summary!$R$6:$R$17</c:f>
                <c:numCache>
                  <c:formatCode>General</c:formatCode>
                  <c:ptCount val="12"/>
                  <c:pt idx="0">
                    <c:v>0.54173785863173729</c:v>
                  </c:pt>
                  <c:pt idx="1">
                    <c:v>0.64258000485068045</c:v>
                  </c:pt>
                  <c:pt idx="2">
                    <c:v>0.59163531194039065</c:v>
                  </c:pt>
                  <c:pt idx="3">
                    <c:v>0.72488346441489926</c:v>
                  </c:pt>
                  <c:pt idx="4">
                    <c:v>0.60615622898438326</c:v>
                  </c:pt>
                  <c:pt idx="5">
                    <c:v>0.18114272355288319</c:v>
                  </c:pt>
                  <c:pt idx="6">
                    <c:v>0.34408795153799676</c:v>
                  </c:pt>
                  <c:pt idx="7">
                    <c:v>0.37502785224019247</c:v>
                  </c:pt>
                  <c:pt idx="8">
                    <c:v>0.4267963074096161</c:v>
                  </c:pt>
                  <c:pt idx="9">
                    <c:v>0.30999331752864179</c:v>
                  </c:pt>
                  <c:pt idx="10">
                    <c:v>0.38819973830598603</c:v>
                  </c:pt>
                  <c:pt idx="11">
                    <c:v>0.42149071262712062</c:v>
                  </c:pt>
                </c:numCache>
              </c:numRef>
            </c:minus>
            <c:spPr>
              <a:noFill/>
              <a:ln w="19050" cap="sq">
                <a:solidFill>
                  <a:schemeClr val="tx1">
                    <a:lumMod val="65000"/>
                    <a:lumOff val="35000"/>
                  </a:schemeClr>
                </a:solidFill>
                <a:round/>
              </a:ln>
              <a:effectLst/>
            </c:spPr>
          </c:errBars>
          <c:cat>
            <c:strRef>
              <c:f>Summary!$P$6:$P$17</c:f>
              <c:strCache>
                <c:ptCount val="12"/>
                <c:pt idx="0">
                  <c:v>WIC</c:v>
                </c:pt>
                <c:pt idx="1">
                  <c:v>Medicaid</c:v>
                </c:pt>
                <c:pt idx="2">
                  <c:v>Previous LB</c:v>
                </c:pt>
                <c:pt idx="3">
                  <c:v>Normal BMI</c:v>
                </c:pt>
                <c:pt idx="4">
                  <c:v>C-Section</c:v>
                </c:pt>
                <c:pt idx="5">
                  <c:v>Infertility</c:v>
                </c:pt>
                <c:pt idx="6">
                  <c:v>Hypertension</c:v>
                </c:pt>
                <c:pt idx="7">
                  <c:v>Gestational Diabetes</c:v>
                </c:pt>
                <c:pt idx="8">
                  <c:v>Adequate PNC</c:v>
                </c:pt>
                <c:pt idx="9">
                  <c:v>Smoking During Pregnancy</c:v>
                </c:pt>
                <c:pt idx="10">
                  <c:v>Smoking Before Pregnancy</c:v>
                </c:pt>
                <c:pt idx="11">
                  <c:v>Breastfed in Hospital</c:v>
                </c:pt>
              </c:strCache>
            </c:strRef>
          </c:cat>
          <c:val>
            <c:numRef>
              <c:f>Summary!$Q$6:$Q$17</c:f>
              <c:numCache>
                <c:formatCode>General</c:formatCode>
                <c:ptCount val="12"/>
                <c:pt idx="0">
                  <c:v>0.66130434782608649</c:v>
                </c:pt>
                <c:pt idx="1">
                  <c:v>-0.927391304347826</c:v>
                </c:pt>
                <c:pt idx="2">
                  <c:v>-0.46869565217391262</c:v>
                </c:pt>
                <c:pt idx="3">
                  <c:v>0.20369565217391344</c:v>
                </c:pt>
                <c:pt idx="4">
                  <c:v>-0.50521739130434828</c:v>
                </c:pt>
                <c:pt idx="5">
                  <c:v>0.108695652173913</c:v>
                </c:pt>
                <c:pt idx="6">
                  <c:v>0.36456521739130443</c:v>
                </c:pt>
                <c:pt idx="7">
                  <c:v>-0.17478260869565224</c:v>
                </c:pt>
                <c:pt idx="8">
                  <c:v>1.3293478260869565</c:v>
                </c:pt>
                <c:pt idx="9">
                  <c:v>-0.35021739130434787</c:v>
                </c:pt>
                <c:pt idx="10">
                  <c:v>-0.51913043478260879</c:v>
                </c:pt>
                <c:pt idx="11">
                  <c:v>1.1749999999999996</c:v>
                </c:pt>
              </c:numCache>
            </c:numRef>
          </c:val>
          <c:extLst>
            <c:ext xmlns:c16="http://schemas.microsoft.com/office/drawing/2014/chart" uri="{C3380CC4-5D6E-409C-BE32-E72D297353CC}">
              <c16:uniqueId val="{00000000-4F26-4F92-BDA1-1E9656DF0BB3}"/>
            </c:ext>
          </c:extLst>
        </c:ser>
        <c:dLbls>
          <c:showLegendKey val="0"/>
          <c:showVal val="0"/>
          <c:showCatName val="0"/>
          <c:showSerName val="0"/>
          <c:showPercent val="0"/>
          <c:showBubbleSize val="0"/>
        </c:dLbls>
        <c:gapWidth val="84"/>
        <c:axId val="1671223487"/>
        <c:axId val="1671228287"/>
        <c:extLst>
          <c:ext xmlns:c="http://schemas.openxmlformats.org/drawingml/2006/chart" xmlns:c15="http://schemas.microsoft.com/office/drawing/2012/chart" uri="{02D57815-91ED-43cb-92C2-25804820EDAC}">
            <c15:filteredBarSeries>
              <c15:ser>
                <c:idx val="1"/>
                <c:order val="1"/>
                <c:spPr>
                  <a:solidFill xmlns:a="http://schemas.openxmlformats.org/drawingml/2006/main">
                    <a:schemeClr val="accent2"/>
                  </a:solidFill>
                  <a:ln xmlns:a="http://schemas.openxmlformats.org/drawingml/2006/main">
                    <a:noFill/>
                  </a:ln>
                  <a:effectLst xmlns:a="http://schemas.openxmlformats.org/drawingml/2006/main"/>
                </c:spPr>
                <c:invertIfNegative val="0"/>
                <c:cat>
                  <c:strRef>
                    <c:extLst>
                      <c:ext uri="{02D57815-91ED-43cb-92C2-25804820EDAC}">
                        <c15:formulaRef>
                          <c15:sqref>Summary!$P$6:$P$17</c15:sqref>
                        </c15:formulaRef>
                      </c:ext>
                    </c:extLst>
                    <c:strCache>
                      <c:ptCount val="12"/>
                      <c:pt idx="0">
                        <c:v>WIC</c:v>
                      </c:pt>
                      <c:pt idx="1">
                        <c:v>Medicaid</c:v>
                      </c:pt>
                      <c:pt idx="2">
                        <c:v>Previous LB</c:v>
                      </c:pt>
                      <c:pt idx="3">
                        <c:v>Normal BMI</c:v>
                      </c:pt>
                      <c:pt idx="4">
                        <c:v>C-Section</c:v>
                      </c:pt>
                      <c:pt idx="5">
                        <c:v>Infertility</c:v>
                      </c:pt>
                      <c:pt idx="6">
                        <c:v>Hypertension</c:v>
                      </c:pt>
                      <c:pt idx="7">
                        <c:v>Gestational Diabetes</c:v>
                      </c:pt>
                      <c:pt idx="8">
                        <c:v>Adequate PNC</c:v>
                      </c:pt>
                      <c:pt idx="9">
                        <c:v>Smoking During Pregnancy</c:v>
                      </c:pt>
                      <c:pt idx="10">
                        <c:v>Smoking Before Pregnancy</c:v>
                      </c:pt>
                      <c:pt idx="11">
                        <c:v>Breastfed in Hospital</c:v>
                      </c:pt>
                    </c:strCache>
                  </c:strRef>
                </c:cat>
                <c:val>
                  <c:numRef>
                    <c:extLst>
                      <c:ext uri="{02D57815-91ED-43cb-92C2-25804820EDAC}">
                        <c15:formulaRef>
                          <c15:sqref>Summary!$R$6:$R$17</c15:sqref>
                        </c15:formulaRef>
                      </c:ext>
                    </c:extLst>
                    <c:numCache>
                      <c:formatCode>General</c:formatCode>
                      <c:ptCount val="12"/>
                      <c:pt idx="0">
                        <c:v>0.54173785863173729</c:v>
                      </c:pt>
                      <c:pt idx="1">
                        <c:v>0.64258000485068045</c:v>
                      </c:pt>
                      <c:pt idx="2">
                        <c:v>0.59163531194039065</c:v>
                      </c:pt>
                      <c:pt idx="3">
                        <c:v>0.72488346441489926</c:v>
                      </c:pt>
                      <c:pt idx="4">
                        <c:v>0.60615622898438326</c:v>
                      </c:pt>
                      <c:pt idx="5">
                        <c:v>0.18114272355288319</c:v>
                      </c:pt>
                      <c:pt idx="6">
                        <c:v>0.34408795153799676</c:v>
                      </c:pt>
                      <c:pt idx="7">
                        <c:v>0.37502785224019247</c:v>
                      </c:pt>
                      <c:pt idx="8">
                        <c:v>0.4267963074096161</c:v>
                      </c:pt>
                      <c:pt idx="9">
                        <c:v>0.30999331752864179</c:v>
                      </c:pt>
                      <c:pt idx="10">
                        <c:v>0.38819973830598603</c:v>
                      </c:pt>
                      <c:pt idx="11">
                        <c:v>0.42149071262712062</c:v>
                      </c:pt>
                    </c:numCache>
                  </c:numRef>
                </c:val>
                <c:extLst>
                  <c:ext xmlns:c16="http://schemas.microsoft.com/office/drawing/2014/chart" uri="{C3380CC4-5D6E-409C-BE32-E72D297353CC}">
                    <c16:uniqueId val="{00000001-4F26-4F92-BDA1-1E9656DF0BB3}"/>
                  </c:ext>
                </c:extLst>
              </c15:ser>
            </c15:filteredBarSeries>
          </c:ext>
        </c:extLst>
      </c:barChart>
      <c:catAx>
        <c:axId val="1671223487"/>
        <c:scaling>
          <c:orientation val="minMax"/>
        </c:scaling>
        <c:delete val="0"/>
        <c:axPos val="l"/>
        <c:numFmt formatCode="General" sourceLinked="1"/>
        <c:majorTickMark val="none"/>
        <c:minorTickMark val="none"/>
        <c:tickLblPos val="low"/>
        <c:spPr>
          <a:noFill/>
          <a:ln w="9525">
            <a:solidFill>
              <a:schemeClr val="tx1">
                <a:lumMod val="15000"/>
                <a:lumOff val="85000"/>
              </a:schemeClr>
            </a:solidFill>
            <a:round/>
          </a:ln>
          <a:effectLst/>
        </c:spPr>
        <c:txPr>
          <a:bodyPr rot="-60000000" spcFirstLastPara="1" vertOverflow="ellipsis" vert="horz" wrap="square" anchor="ctr" anchorCtr="1"/>
          <a:lstStyle/>
          <a:p>
            <a:pPr>
              <a:defRPr sz="1150" b="0" i="0" u="none" strike="noStrike" kern="1200" baseline="0">
                <a:solidFill>
                  <a:schemeClr val="accent6">
                    <a:alpha val="98000"/>
                  </a:schemeClr>
                </a:solidFill>
                <a:latin typeface="+mn-lt"/>
                <a:ea typeface="+mn-ea"/>
                <a:cs typeface="+mn-cs"/>
              </a:defRPr>
            </a:pPr>
            <a:endParaRPr lang="en-US"/>
          </a:p>
        </c:txPr>
        <c:crossAx val="1671228287"/>
        <c:crosses val="autoZero"/>
        <c:auto val="1"/>
        <c:lblAlgn val="ctr"/>
        <c:lblOffset val="100"/>
        <c:noMultiLvlLbl val="0"/>
      </c:catAx>
      <c:valAx>
        <c:axId val="1671228287"/>
        <c:scaling>
          <c:orientation val="minMax"/>
          <c:max val="3"/>
        </c:scaling>
        <c:delete val="0"/>
        <c:axPos val="b"/>
        <c:majorGridlines>
          <c:spPr>
            <a:ln w="9525">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600" dirty="0">
                    <a:solidFill>
                      <a:schemeClr val="accent6"/>
                    </a:solidFill>
                    <a:latin typeface="Calibri" panose="020F0502020204030204" pitchFamily="34" charset="0"/>
                    <a:cs typeface="Calibri" panose="020F0502020204030204" pitchFamily="34" charset="0"/>
                  </a:rPr>
                  <a:t>Mean</a:t>
                </a:r>
                <a:r>
                  <a:rPr lang="en-US" sz="1600" baseline="0" dirty="0">
                    <a:solidFill>
                      <a:schemeClr val="accent6"/>
                    </a:solidFill>
                    <a:latin typeface="Calibri" panose="020F0502020204030204" pitchFamily="34" charset="0"/>
                    <a:cs typeface="Calibri" panose="020F0502020204030204" pitchFamily="34" charset="0"/>
                  </a:rPr>
                  <a:t> Bias, 2021, 46 Sites</a:t>
                </a:r>
                <a:endParaRPr lang="en-US" sz="1600" dirty="0">
                  <a:solidFill>
                    <a:schemeClr val="accent6"/>
                  </a:solidFill>
                  <a:latin typeface="Calibri" panose="020F0502020204030204" pitchFamily="34" charset="0"/>
                  <a:cs typeface="Calibri" panose="020F0502020204030204" pitchFamily="34" charset="0"/>
                </a:endParaRPr>
              </a:p>
            </c:rich>
          </c:tx>
          <c:layout>
            <c:manualLayout>
              <c:xMode val="edge"/>
              <c:yMode val="edge"/>
              <c:x val="0.42080087667229804"/>
              <c:y val="0.9413672351509296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accent6"/>
                </a:solidFill>
                <a:latin typeface="+mn-lt"/>
                <a:ea typeface="+mn-ea"/>
                <a:cs typeface="+mn-cs"/>
              </a:defRPr>
            </a:pPr>
            <a:endParaRPr lang="en-US"/>
          </a:p>
        </c:txPr>
        <c:crossAx val="1671223487"/>
        <c:crosses val="autoZero"/>
        <c:crossBetween val="between"/>
      </c:valAx>
      <c:spPr>
        <a:noFill/>
        <a:ln>
          <a:solidFill>
            <a:schemeClr val="accent1"/>
          </a:solidFill>
        </a:ln>
        <a:effectLst/>
      </c:spPr>
    </c:plotArea>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t" anchorCtr="1"/>
          <a:lstStyle/>
          <a:p>
            <a:pPr algn="ctr">
              <a:defRPr sz="1400" b="0" i="0" u="none" strike="noStrike" kern="1200" spc="0" baseline="0">
                <a:solidFill>
                  <a:schemeClr val="tx1">
                    <a:lumMod val="65000"/>
                    <a:lumOff val="35000"/>
                  </a:schemeClr>
                </a:solidFill>
                <a:latin typeface="+mn-lt"/>
                <a:ea typeface="+mn-ea"/>
                <a:cs typeface="+mn-cs"/>
              </a:defRPr>
            </a:pPr>
            <a:r>
              <a:rPr lang="en-US" sz="1400" dirty="0">
                <a:solidFill>
                  <a:srgbClr val="0057B7"/>
                </a:solidFill>
                <a:latin typeface="Calibri" panose="020F0502020204030204" pitchFamily="34" charset="0"/>
                <a:cs typeface="Calibri" panose="020F0502020204030204" pitchFamily="34" charset="0"/>
              </a:rPr>
              <a:t>2020, 47 sites</a:t>
            </a:r>
          </a:p>
        </c:rich>
      </c:tx>
      <c:layout>
        <c:manualLayout>
          <c:xMode val="edge"/>
          <c:yMode val="edge"/>
          <c:x val="0.44836150646401318"/>
          <c:y val="0.032407251419154"/>
        </c:manualLayout>
      </c:layout>
      <c:overlay val="0"/>
      <c:spPr>
        <a:noFill/>
        <a:ln>
          <a:noFill/>
        </a:ln>
        <a:effectLst/>
      </c:spPr>
      <c:txPr>
        <a:bodyPr rot="0" spcFirstLastPara="1" vertOverflow="ellipsis" vert="horz" wrap="square" anchor="t"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Summary!$C$1</c:f>
              <c:strCache>
                <c:ptCount val="1"/>
                <c:pt idx="0">
                  <c:v>MAB</c:v>
                </c:pt>
              </c:strCache>
            </c:strRef>
          </c:tx>
          <c:spPr>
            <a:ln w="25400" cap="rnd">
              <a:noFill/>
              <a:round/>
            </a:ln>
            <a:effectLst/>
          </c:spPr>
          <c:marker>
            <c:symbol val="circle"/>
            <c:size val="5"/>
            <c:spPr>
              <a:solidFill>
                <a:schemeClr val="accent1"/>
              </a:solidFill>
              <a:ln w="9525">
                <a:solidFill>
                  <a:schemeClr val="accent1"/>
                </a:solidFill>
              </a:ln>
              <a:effectLst/>
            </c:spPr>
          </c:marker>
          <c:xVal>
            <c:numRef>
              <c:f>Summary!$B$2:$B$49</c:f>
              <c:numCache>
                <c:formatCode>General</c:formatCode>
                <c:ptCount val="48"/>
                <c:pt idx="0">
                  <c:v>54.4</c:v>
                </c:pt>
                <c:pt idx="1">
                  <c:v>55.2</c:v>
                </c:pt>
                <c:pt idx="2">
                  <c:v>58.3</c:v>
                </c:pt>
                <c:pt idx="3">
                  <c:v>53</c:v>
                </c:pt>
                <c:pt idx="4">
                  <c:v>63.3</c:v>
                </c:pt>
                <c:pt idx="5">
                  <c:v>63.2</c:v>
                </c:pt>
                <c:pt idx="6">
                  <c:v>58.6</c:v>
                </c:pt>
                <c:pt idx="7">
                  <c:v>53.7</c:v>
                </c:pt>
                <c:pt idx="8">
                  <c:v>55.6</c:v>
                </c:pt>
                <c:pt idx="9">
                  <c:v>53.1</c:v>
                </c:pt>
                <c:pt idx="10">
                  <c:v>62.3</c:v>
                </c:pt>
                <c:pt idx="11">
                  <c:v>61.1</c:v>
                </c:pt>
                <c:pt idx="12">
                  <c:v>49.2</c:v>
                </c:pt>
                <c:pt idx="13">
                  <c:v>65.8</c:v>
                </c:pt>
                <c:pt idx="14">
                  <c:v>55.4</c:v>
                </c:pt>
                <c:pt idx="15">
                  <c:v>57.3</c:v>
                </c:pt>
                <c:pt idx="16" formatCode="0.0">
                  <c:v>59.6</c:v>
                </c:pt>
                <c:pt idx="17" formatCode="0.0">
                  <c:v>49.5</c:v>
                </c:pt>
                <c:pt idx="18">
                  <c:v>55.2</c:v>
                </c:pt>
                <c:pt idx="19">
                  <c:v>59.2</c:v>
                </c:pt>
                <c:pt idx="20">
                  <c:v>54.2</c:v>
                </c:pt>
                <c:pt idx="21">
                  <c:v>57.1</c:v>
                </c:pt>
                <c:pt idx="22">
                  <c:v>60.4</c:v>
                </c:pt>
                <c:pt idx="23">
                  <c:v>53.1</c:v>
                </c:pt>
                <c:pt idx="24">
                  <c:v>44.7</c:v>
                </c:pt>
                <c:pt idx="25">
                  <c:v>60.5</c:v>
                </c:pt>
                <c:pt idx="26">
                  <c:v>66</c:v>
                </c:pt>
                <c:pt idx="27">
                  <c:v>51.9</c:v>
                </c:pt>
                <c:pt idx="28">
                  <c:v>64.8</c:v>
                </c:pt>
                <c:pt idx="29">
                  <c:v>61.7</c:v>
                </c:pt>
                <c:pt idx="30">
                  <c:v>43.2</c:v>
                </c:pt>
                <c:pt idx="31">
                  <c:v>49.5</c:v>
                </c:pt>
                <c:pt idx="32">
                  <c:v>40.1</c:v>
                </c:pt>
                <c:pt idx="33">
                  <c:v>64.2</c:v>
                </c:pt>
                <c:pt idx="34">
                  <c:v>60.3</c:v>
                </c:pt>
                <c:pt idx="35">
                  <c:v>81.3</c:v>
                </c:pt>
                <c:pt idx="36">
                  <c:v>47.4</c:v>
                </c:pt>
                <c:pt idx="37">
                  <c:v>43.2</c:v>
                </c:pt>
                <c:pt idx="38">
                  <c:v>66.8</c:v>
                </c:pt>
                <c:pt idx="39">
                  <c:v>55.5</c:v>
                </c:pt>
                <c:pt idx="40">
                  <c:v>67</c:v>
                </c:pt>
                <c:pt idx="41">
                  <c:v>57.6</c:v>
                </c:pt>
                <c:pt idx="42">
                  <c:v>66.1</c:v>
                </c:pt>
                <c:pt idx="43">
                  <c:v>64.1</c:v>
                </c:pt>
                <c:pt idx="44">
                  <c:v>50.4</c:v>
                </c:pt>
                <c:pt idx="45">
                  <c:v>51.4</c:v>
                </c:pt>
                <c:pt idx="46">
                  <c:v>61.3</c:v>
                </c:pt>
              </c:numCache>
            </c:numRef>
          </c:xVal>
          <c:yVal>
            <c:numRef>
              <c:f>Summary!$C$2:$C$49</c:f>
              <c:numCache>
                <c:formatCode>General</c:formatCode>
                <c:ptCount val="48"/>
                <c:pt idx="0">
                  <c:v>0.87922499999999959</c:v>
                </c:pt>
                <c:pt idx="1">
                  <c:v>1.155466666666668</c:v>
                </c:pt>
                <c:pt idx="2">
                  <c:v>0.99633333333333363</c:v>
                </c:pt>
                <c:pt idx="3">
                  <c:v>0.68745833333333339</c:v>
                </c:pt>
                <c:pt idx="4">
                  <c:v>0.7849166666666676</c:v>
                </c:pt>
                <c:pt idx="5">
                  <c:v>0.67426666666666746</c:v>
                </c:pt>
                <c:pt idx="6">
                  <c:v>1.1740666666666657</c:v>
                </c:pt>
                <c:pt idx="7">
                  <c:v>1.464266666666667</c:v>
                </c:pt>
                <c:pt idx="8">
                  <c:v>1.380841666666667</c:v>
                </c:pt>
                <c:pt idx="9">
                  <c:v>1.1138666666666663</c:v>
                </c:pt>
                <c:pt idx="10">
                  <c:v>1.8313916666666668</c:v>
                </c:pt>
                <c:pt idx="11">
                  <c:v>0.94829166666666731</c:v>
                </c:pt>
                <c:pt idx="12">
                  <c:v>1.9612666666666654</c:v>
                </c:pt>
                <c:pt idx="13">
                  <c:v>0.895833333333333</c:v>
                </c:pt>
                <c:pt idx="14">
                  <c:v>1.5783333333333325</c:v>
                </c:pt>
                <c:pt idx="15">
                  <c:v>1.0475000000000014</c:v>
                </c:pt>
                <c:pt idx="16">
                  <c:v>1.054166666666666</c:v>
                </c:pt>
                <c:pt idx="17">
                  <c:v>1.4075000000000013</c:v>
                </c:pt>
                <c:pt idx="18">
                  <c:v>1.5066666666666677</c:v>
                </c:pt>
                <c:pt idx="19">
                  <c:v>1.0558333333333343</c:v>
                </c:pt>
                <c:pt idx="20">
                  <c:v>1.4024999999999992</c:v>
                </c:pt>
                <c:pt idx="21">
                  <c:v>1.2508333333333335</c:v>
                </c:pt>
                <c:pt idx="22">
                  <c:v>1.2508333333333344</c:v>
                </c:pt>
                <c:pt idx="23">
                  <c:v>1.4608333333333323</c:v>
                </c:pt>
                <c:pt idx="24">
                  <c:v>1.567499999999999</c:v>
                </c:pt>
                <c:pt idx="25">
                  <c:v>2.1349999999999993</c:v>
                </c:pt>
                <c:pt idx="26">
                  <c:v>1.2174999999999976</c:v>
                </c:pt>
                <c:pt idx="27">
                  <c:v>1.3233333333333339</c:v>
                </c:pt>
                <c:pt idx="28">
                  <c:v>0.75392499999999962</c:v>
                </c:pt>
                <c:pt idx="29">
                  <c:v>1.1999999999999986</c:v>
                </c:pt>
                <c:pt idx="30">
                  <c:v>2.0541666666666654</c:v>
                </c:pt>
                <c:pt idx="31">
                  <c:v>2.1205166666666666</c:v>
                </c:pt>
                <c:pt idx="32">
                  <c:v>1.3691666666666673</c:v>
                </c:pt>
                <c:pt idx="33">
                  <c:v>1.005</c:v>
                </c:pt>
                <c:pt idx="34">
                  <c:v>0.93416666666666437</c:v>
                </c:pt>
                <c:pt idx="35">
                  <c:v>0.9907166666666658</c:v>
                </c:pt>
                <c:pt idx="36">
                  <c:v>1.0087833333333347</c:v>
                </c:pt>
                <c:pt idx="37">
                  <c:v>2.1378166666666663</c:v>
                </c:pt>
                <c:pt idx="38">
                  <c:v>0.71567499999999906</c:v>
                </c:pt>
                <c:pt idx="39">
                  <c:v>1.5766666666666669</c:v>
                </c:pt>
                <c:pt idx="40">
                  <c:v>0.37666666666666754</c:v>
                </c:pt>
                <c:pt idx="41">
                  <c:v>1.356341666666667</c:v>
                </c:pt>
                <c:pt idx="42">
                  <c:v>1.7525000000000002</c:v>
                </c:pt>
                <c:pt idx="43">
                  <c:v>1.0475000000000005</c:v>
                </c:pt>
                <c:pt idx="44">
                  <c:v>1.9133333333333349</c:v>
                </c:pt>
                <c:pt idx="45">
                  <c:v>1.7900000000000003</c:v>
                </c:pt>
                <c:pt idx="46">
                  <c:v>1.3983333333333332</c:v>
                </c:pt>
              </c:numCache>
            </c:numRef>
          </c:yVal>
          <c:smooth val="0"/>
          <c:extLst>
            <c:ext xmlns:c16="http://schemas.microsoft.com/office/drawing/2014/chart" uri="{C3380CC4-5D6E-409C-BE32-E72D297353CC}">
              <c16:uniqueId val="{00000000-C04B-43D2-BAB6-59CDAFEF7B38}"/>
            </c:ext>
          </c:extLst>
        </c:ser>
        <c:dLbls>
          <c:showLegendKey val="0"/>
          <c:showVal val="0"/>
          <c:showCatName val="0"/>
          <c:showSerName val="0"/>
          <c:showPercent val="0"/>
          <c:showBubbleSize val="0"/>
        </c:dLbls>
        <c:axId val="1798917440"/>
        <c:axId val="1852995120"/>
      </c:scatterChart>
      <c:valAx>
        <c:axId val="1798917440"/>
        <c:scaling>
          <c:orientation val="minMax"/>
          <c:min val="30"/>
        </c:scaling>
        <c:delete val="0"/>
        <c:axPos val="b"/>
        <c:majorGridlines>
          <c:spPr>
            <a:ln w="9525">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800" b="0" i="0" baseline="0" dirty="0">
                    <a:solidFill>
                      <a:schemeClr val="accent6"/>
                    </a:solidFill>
                    <a:effectLst/>
                  </a:rPr>
                  <a:t>Weighted Response Rate, %</a:t>
                </a:r>
                <a:endParaRPr lang="en-US" dirty="0">
                  <a:solidFill>
                    <a:schemeClr val="accent6"/>
                  </a:solidFill>
                  <a:effectLst/>
                </a:endParaRP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rgbClr val="0057B7"/>
                </a:solidFill>
                <a:latin typeface="+mn-lt"/>
                <a:ea typeface="+mn-ea"/>
                <a:cs typeface="+mn-cs"/>
              </a:defRPr>
            </a:pPr>
            <a:endParaRPr lang="en-US"/>
          </a:p>
        </c:txPr>
        <c:crossAx val="1852995120"/>
        <c:crosses val="autoZero"/>
        <c:crossBetween val="midCat"/>
      </c:valAx>
      <c:valAx>
        <c:axId val="1852995120"/>
        <c:scaling>
          <c:orientation val="minMax"/>
          <c:max val="3"/>
        </c:scaling>
        <c:delete val="0"/>
        <c:axPos val="l"/>
        <c:majorGridlines>
          <c:spPr>
            <a:ln w="9525">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accent6"/>
                    </a:solidFill>
                    <a:latin typeface="+mn-lt"/>
                    <a:ea typeface="+mn-ea"/>
                    <a:cs typeface="+mn-cs"/>
                  </a:defRPr>
                </a:pPr>
                <a:r>
                  <a:rPr lang="en-US" sz="1400" baseline="0" dirty="0">
                    <a:solidFill>
                      <a:schemeClr val="accent6"/>
                    </a:solidFill>
                    <a:latin typeface="Calibri" panose="020F0502020204030204" pitchFamily="34" charset="0"/>
                    <a:cs typeface="Calibri" panose="020F0502020204030204" pitchFamily="34" charset="0"/>
                  </a:rPr>
                  <a:t>Mean Absolute Bias</a:t>
                </a:r>
                <a:endParaRPr lang="en-US" sz="1400" dirty="0">
                  <a:solidFill>
                    <a:schemeClr val="accent6"/>
                  </a:solidFill>
                  <a:latin typeface="Calibri" panose="020F0502020204030204" pitchFamily="34" charset="0"/>
                  <a:cs typeface="Calibri" panose="020F0502020204030204" pitchFamily="34" charset="0"/>
                </a:endParaRPr>
              </a:p>
            </c:rich>
          </c:tx>
          <c:layout/>
          <c:overlay val="0"/>
          <c:spPr>
            <a:noFill/>
            <a:ln>
              <a:noFill/>
            </a:ln>
            <a:effectLst/>
          </c:spPr>
          <c:txPr>
            <a:bodyPr rot="-5400000" spcFirstLastPara="1" vertOverflow="ellipsis" vert="horz" wrap="square" anchor="ctr" anchorCtr="1"/>
            <a:lstStyle/>
            <a:p>
              <a:pPr>
                <a:defRPr sz="1400" b="0" i="0" u="none" strike="noStrike" kern="1200" baseline="0">
                  <a:solidFill>
                    <a:schemeClr val="accent6"/>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rgbClr val="0057B7"/>
                </a:solidFill>
                <a:latin typeface="+mn-lt"/>
                <a:ea typeface="+mn-ea"/>
                <a:cs typeface="+mn-cs"/>
              </a:defRPr>
            </a:pPr>
            <a:endParaRPr lang="en-US"/>
          </a:p>
        </c:txPr>
        <c:crossAx val="1798917440"/>
        <c:crosses val="autoZero"/>
        <c:crossBetween val="midCat"/>
      </c:valAx>
      <c:spPr>
        <a:solidFill>
          <a:sysClr val="window" lastClr="FFFFFF"/>
        </a:solidFill>
        <a:ln>
          <a:noFill/>
        </a:ln>
        <a:effectLst/>
      </c:spPr>
    </c:plotArea>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noFill/>
    <a:ln w="9525">
      <a:solidFill>
        <a:srgbClr val="000000"/>
      </a:solidFill>
      <a:round/>
    </a:ln>
    <a:effectLst/>
  </c:spPr>
  <c:txPr>
    <a:bodyPr/>
    <a:lstStyle/>
    <a:p>
      <a:pPr>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dirty="0">
                <a:solidFill>
                  <a:srgbClr val="0057B7"/>
                </a:solidFill>
                <a:latin typeface="Calibri" panose="020F0502020204030204" pitchFamily="34" charset="0"/>
                <a:cs typeface="Calibri" panose="020F0502020204030204" pitchFamily="34" charset="0"/>
              </a:rPr>
              <a:t>2021,</a:t>
            </a:r>
            <a:r>
              <a:rPr lang="en-US" baseline="0" dirty="0">
                <a:solidFill>
                  <a:srgbClr val="0057B7"/>
                </a:solidFill>
                <a:latin typeface="Calibri" panose="020F0502020204030204" pitchFamily="34" charset="0"/>
                <a:cs typeface="Calibri" panose="020F0502020204030204" pitchFamily="34" charset="0"/>
              </a:rPr>
              <a:t> </a:t>
            </a:r>
            <a:r>
              <a:rPr lang="en-US" dirty="0">
                <a:solidFill>
                  <a:srgbClr val="0057B7"/>
                </a:solidFill>
                <a:latin typeface="Calibri" panose="020F0502020204030204" pitchFamily="34" charset="0"/>
                <a:cs typeface="Calibri" panose="020F0502020204030204" pitchFamily="34" charset="0"/>
              </a:rPr>
              <a:t>46 sites</a:t>
            </a:r>
          </a:p>
        </c:rich>
      </c:tx>
      <c:layout>
        <c:manualLayout>
          <c:xMode val="edge"/>
          <c:yMode val="edge"/>
          <c:x val="0.45096438633244246"/>
          <c:y val="0.05101190258194471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Summary!$C$1</c:f>
              <c:strCache>
                <c:ptCount val="1"/>
                <c:pt idx="0">
                  <c:v>MAB</c:v>
                </c:pt>
              </c:strCache>
            </c:strRef>
          </c:tx>
          <c:spPr>
            <a:ln w="25400" cap="rnd">
              <a:noFill/>
              <a:round/>
            </a:ln>
            <a:effectLst/>
          </c:spPr>
          <c:marker>
            <c:symbol val="circle"/>
            <c:size val="5"/>
            <c:spPr>
              <a:solidFill>
                <a:schemeClr val="accent1"/>
              </a:solidFill>
              <a:ln w="9525">
                <a:solidFill>
                  <a:schemeClr val="accent1"/>
                </a:solidFill>
              </a:ln>
              <a:effectLst/>
            </c:spPr>
          </c:marker>
          <c:xVal>
            <c:numRef>
              <c:f>Summary!$B$2:$B$49</c:f>
              <c:numCache>
                <c:formatCode>General</c:formatCode>
                <c:ptCount val="48"/>
                <c:pt idx="0">
                  <c:v>49</c:v>
                </c:pt>
                <c:pt idx="1">
                  <c:v>50</c:v>
                </c:pt>
                <c:pt idx="2">
                  <c:v>53</c:v>
                </c:pt>
                <c:pt idx="3">
                  <c:v>42</c:v>
                </c:pt>
                <c:pt idx="4">
                  <c:v>60</c:v>
                </c:pt>
                <c:pt idx="5">
                  <c:v>59</c:v>
                </c:pt>
                <c:pt idx="6">
                  <c:v>55</c:v>
                </c:pt>
                <c:pt idx="7">
                  <c:v>52</c:v>
                </c:pt>
                <c:pt idx="8">
                  <c:v>43</c:v>
                </c:pt>
                <c:pt idx="9">
                  <c:v>50</c:v>
                </c:pt>
                <c:pt idx="10">
                  <c:v>56</c:v>
                </c:pt>
                <c:pt idx="11">
                  <c:v>56</c:v>
                </c:pt>
                <c:pt idx="12">
                  <c:v>45</c:v>
                </c:pt>
                <c:pt idx="13">
                  <c:v>63</c:v>
                </c:pt>
                <c:pt idx="14">
                  <c:v>45</c:v>
                </c:pt>
                <c:pt idx="15">
                  <c:v>57</c:v>
                </c:pt>
                <c:pt idx="16" formatCode="0.0">
                  <c:v>57</c:v>
                </c:pt>
                <c:pt idx="17" formatCode="0.0">
                  <c:v>44</c:v>
                </c:pt>
                <c:pt idx="18">
                  <c:v>50</c:v>
                </c:pt>
                <c:pt idx="19">
                  <c:v>57</c:v>
                </c:pt>
                <c:pt idx="20">
                  <c:v>52</c:v>
                </c:pt>
                <c:pt idx="21">
                  <c:v>50</c:v>
                </c:pt>
                <c:pt idx="22">
                  <c:v>54</c:v>
                </c:pt>
                <c:pt idx="23">
                  <c:v>55</c:v>
                </c:pt>
                <c:pt idx="24">
                  <c:v>54</c:v>
                </c:pt>
                <c:pt idx="25">
                  <c:v>59</c:v>
                </c:pt>
                <c:pt idx="26">
                  <c:v>42</c:v>
                </c:pt>
                <c:pt idx="27">
                  <c:v>56</c:v>
                </c:pt>
                <c:pt idx="28">
                  <c:v>62</c:v>
                </c:pt>
                <c:pt idx="29">
                  <c:v>34</c:v>
                </c:pt>
                <c:pt idx="30">
                  <c:v>57</c:v>
                </c:pt>
                <c:pt idx="31">
                  <c:v>53</c:v>
                </c:pt>
                <c:pt idx="32">
                  <c:v>57</c:v>
                </c:pt>
                <c:pt idx="33">
                  <c:v>56</c:v>
                </c:pt>
                <c:pt idx="34">
                  <c:v>81</c:v>
                </c:pt>
                <c:pt idx="35">
                  <c:v>46</c:v>
                </c:pt>
                <c:pt idx="36">
                  <c:v>32</c:v>
                </c:pt>
                <c:pt idx="37">
                  <c:v>66</c:v>
                </c:pt>
                <c:pt idx="38">
                  <c:v>55</c:v>
                </c:pt>
                <c:pt idx="39">
                  <c:v>58</c:v>
                </c:pt>
                <c:pt idx="40">
                  <c:v>50</c:v>
                </c:pt>
                <c:pt idx="41">
                  <c:v>63</c:v>
                </c:pt>
                <c:pt idx="42">
                  <c:v>56</c:v>
                </c:pt>
                <c:pt idx="43">
                  <c:v>51</c:v>
                </c:pt>
                <c:pt idx="44">
                  <c:v>54</c:v>
                </c:pt>
                <c:pt idx="45">
                  <c:v>59</c:v>
                </c:pt>
              </c:numCache>
            </c:numRef>
          </c:xVal>
          <c:yVal>
            <c:numRef>
              <c:f>Summary!$C$2:$C$49</c:f>
              <c:numCache>
                <c:formatCode>General</c:formatCode>
                <c:ptCount val="48"/>
                <c:pt idx="0">
                  <c:v>1.121666666666669</c:v>
                </c:pt>
                <c:pt idx="1">
                  <c:v>1.0966666666666656</c:v>
                </c:pt>
                <c:pt idx="2">
                  <c:v>0.81166666666666654</c:v>
                </c:pt>
                <c:pt idx="3">
                  <c:v>1.381666666666667</c:v>
                </c:pt>
                <c:pt idx="4">
                  <c:v>1.0741666666666685</c:v>
                </c:pt>
                <c:pt idx="5">
                  <c:v>1.2416666666666669</c:v>
                </c:pt>
                <c:pt idx="6">
                  <c:v>1.3366666666666671</c:v>
                </c:pt>
                <c:pt idx="7">
                  <c:v>1.3241666666666685</c:v>
                </c:pt>
                <c:pt idx="8">
                  <c:v>2.0533333333333328</c:v>
                </c:pt>
                <c:pt idx="9">
                  <c:v>1.2725000000000002</c:v>
                </c:pt>
                <c:pt idx="10">
                  <c:v>1.2483333333333331</c:v>
                </c:pt>
                <c:pt idx="11">
                  <c:v>1.5824999999999989</c:v>
                </c:pt>
                <c:pt idx="12">
                  <c:v>1.5941666666666663</c:v>
                </c:pt>
                <c:pt idx="13">
                  <c:v>1.2291666666666685</c:v>
                </c:pt>
                <c:pt idx="14">
                  <c:v>1.5283333333333335</c:v>
                </c:pt>
                <c:pt idx="15">
                  <c:v>1.0058333333333345</c:v>
                </c:pt>
                <c:pt idx="16">
                  <c:v>1.1816666666666664</c:v>
                </c:pt>
                <c:pt idx="17">
                  <c:v>1.450833333333333</c:v>
                </c:pt>
                <c:pt idx="18">
                  <c:v>1.4591666666666658</c:v>
                </c:pt>
                <c:pt idx="19">
                  <c:v>1.4399999999999988</c:v>
                </c:pt>
                <c:pt idx="20">
                  <c:v>2.0699999999999976</c:v>
                </c:pt>
                <c:pt idx="21">
                  <c:v>1.6516666666666682</c:v>
                </c:pt>
                <c:pt idx="22">
                  <c:v>1.961666666666666</c:v>
                </c:pt>
                <c:pt idx="23">
                  <c:v>0.49250000000000105</c:v>
                </c:pt>
                <c:pt idx="24">
                  <c:v>1.1458333333333313</c:v>
                </c:pt>
                <c:pt idx="25">
                  <c:v>0.94249999999999934</c:v>
                </c:pt>
                <c:pt idx="26">
                  <c:v>1.8291666666666648</c:v>
                </c:pt>
                <c:pt idx="27">
                  <c:v>1.304166666666666</c:v>
                </c:pt>
                <c:pt idx="28">
                  <c:v>0.83</c:v>
                </c:pt>
                <c:pt idx="29">
                  <c:v>2.4674999999999994</c:v>
                </c:pt>
                <c:pt idx="30">
                  <c:v>1.2258333333333342</c:v>
                </c:pt>
                <c:pt idx="31">
                  <c:v>2.1666666666666665</c:v>
                </c:pt>
                <c:pt idx="32">
                  <c:v>1.7241666666666677</c:v>
                </c:pt>
                <c:pt idx="33">
                  <c:v>1.2866666666666682</c:v>
                </c:pt>
                <c:pt idx="34">
                  <c:v>0.65666666666666651</c:v>
                </c:pt>
                <c:pt idx="35">
                  <c:v>1.5991666666666662</c:v>
                </c:pt>
                <c:pt idx="36">
                  <c:v>1.4018181818181807</c:v>
                </c:pt>
                <c:pt idx="37">
                  <c:v>0.80416666666666614</c:v>
                </c:pt>
                <c:pt idx="38">
                  <c:v>1.0125000000000004</c:v>
                </c:pt>
                <c:pt idx="39">
                  <c:v>0.61333333333333162</c:v>
                </c:pt>
                <c:pt idx="40">
                  <c:v>1.4641666666666655</c:v>
                </c:pt>
                <c:pt idx="41">
                  <c:v>0.986666666666666</c:v>
                </c:pt>
                <c:pt idx="42">
                  <c:v>1.7658333333333331</c:v>
                </c:pt>
                <c:pt idx="43">
                  <c:v>2.195</c:v>
                </c:pt>
                <c:pt idx="44">
                  <c:v>1.6466666666666665</c:v>
                </c:pt>
                <c:pt idx="45">
                  <c:v>0.80916666666666615</c:v>
                </c:pt>
              </c:numCache>
            </c:numRef>
          </c:yVal>
          <c:smooth val="0"/>
          <c:extLst>
            <c:ext xmlns:c16="http://schemas.microsoft.com/office/drawing/2014/chart" uri="{C3380CC4-5D6E-409C-BE32-E72D297353CC}">
              <c16:uniqueId val="{00000000-5791-428B-9182-3E1641032E25}"/>
            </c:ext>
          </c:extLst>
        </c:ser>
        <c:dLbls>
          <c:showLegendKey val="0"/>
          <c:showVal val="0"/>
          <c:showCatName val="0"/>
          <c:showSerName val="0"/>
          <c:showPercent val="0"/>
          <c:showBubbleSize val="0"/>
        </c:dLbls>
        <c:axId val="1798917440"/>
        <c:axId val="1852995120"/>
      </c:scatterChart>
      <c:valAx>
        <c:axId val="1798917440"/>
        <c:scaling>
          <c:orientation val="minMax"/>
          <c:min val="30"/>
        </c:scaling>
        <c:delete val="0"/>
        <c:axPos val="b"/>
        <c:majorGridlines>
          <c:spPr>
            <a:ln w="9525">
              <a:solidFill>
                <a:schemeClr val="tx1">
                  <a:lumMod val="15000"/>
                  <a:lumOff val="85000"/>
                </a:schemeClr>
              </a:solidFill>
              <a:round/>
            </a:ln>
            <a:effectLst/>
          </c:spPr>
        </c:majorGridlines>
        <c:title>
          <c:tx>
            <c:rich>
              <a:bodyPr rot="0" spcFirstLastPara="1" vertOverflow="ellipsis" vert="horz" wrap="square" anchor="ctr" anchorCtr="1"/>
              <a:lstStyle/>
              <a:p>
                <a:pPr>
                  <a:defRPr sz="1800" b="0" i="0" u="none" strike="noStrike" kern="1200" baseline="0">
                    <a:solidFill>
                      <a:schemeClr val="accent6"/>
                    </a:solidFill>
                    <a:latin typeface="+mn-lt"/>
                    <a:ea typeface="+mn-ea"/>
                    <a:cs typeface="+mn-cs"/>
                  </a:defRPr>
                </a:pPr>
                <a:r>
                  <a:rPr lang="en-US" sz="1800" b="0" i="0" u="none" strike="noStrike" kern="1200" baseline="0" dirty="0">
                    <a:solidFill>
                      <a:schemeClr val="accent6"/>
                    </a:solidFill>
                    <a:latin typeface="Calibri" panose="020F0502020204030204" pitchFamily="34" charset="0"/>
                    <a:cs typeface="Calibri" panose="020F0502020204030204" pitchFamily="34" charset="0"/>
                  </a:rPr>
                  <a:t>Weighted Response Rate, %</a:t>
                </a:r>
              </a:p>
            </c:rich>
          </c:tx>
          <c:layout/>
          <c:overlay val="0"/>
          <c:spPr>
            <a:noFill/>
            <a:ln>
              <a:noFill/>
            </a:ln>
            <a:effectLst/>
          </c:spPr>
          <c:txPr>
            <a:bodyPr rot="0" spcFirstLastPara="1" vertOverflow="ellipsis" vert="horz" wrap="square" anchor="ctr" anchorCtr="1"/>
            <a:lstStyle/>
            <a:p>
              <a:pPr>
                <a:defRPr sz="1800" b="0" i="0" u="none" strike="noStrike" kern="1200" baseline="0">
                  <a:solidFill>
                    <a:schemeClr val="accent6"/>
                  </a:solidFill>
                  <a:latin typeface="+mn-lt"/>
                  <a:ea typeface="+mn-ea"/>
                  <a:cs typeface="+mn-cs"/>
                </a:defRPr>
              </a:pPr>
              <a:endParaRPr lang="en-US"/>
            </a:p>
          </c:txPr>
        </c:title>
        <c:numFmt formatCode="General" sourceLinked="1"/>
        <c:majorTickMark val="out"/>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rgbClr val="0057B7"/>
                </a:solidFill>
                <a:latin typeface="+mn-lt"/>
                <a:ea typeface="+mn-ea"/>
                <a:cs typeface="+mn-cs"/>
              </a:defRPr>
            </a:pPr>
            <a:endParaRPr lang="en-US"/>
          </a:p>
        </c:txPr>
        <c:crossAx val="1852995120"/>
        <c:crosses val="autoZero"/>
        <c:crossBetween val="midCat"/>
      </c:valAx>
      <c:valAx>
        <c:axId val="1852995120"/>
        <c:scaling>
          <c:orientation val="minMax"/>
          <c:max val="3"/>
        </c:scaling>
        <c:delete val="0"/>
        <c:axPos val="l"/>
        <c:majorGridlines>
          <c:spPr>
            <a:ln w="9525">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sz="1400" b="0" i="0" u="none" strike="noStrike" kern="1200" baseline="0">
                    <a:solidFill>
                      <a:schemeClr val="accent6"/>
                    </a:solidFill>
                    <a:latin typeface="+mn-lt"/>
                    <a:ea typeface="+mn-ea"/>
                    <a:cs typeface="+mn-cs"/>
                  </a:defRPr>
                </a:pPr>
                <a:r>
                  <a:rPr lang="en-US" sz="1400" b="0" i="0" u="none" strike="noStrike" kern="1200" baseline="0" dirty="0">
                    <a:solidFill>
                      <a:schemeClr val="accent6"/>
                    </a:solidFill>
                    <a:latin typeface="Calibri" panose="020F0502020204030204" pitchFamily="34" charset="0"/>
                    <a:cs typeface="Calibri" panose="020F0502020204030204" pitchFamily="34" charset="0"/>
                  </a:rPr>
                  <a:t>Mean Absolute Bias</a:t>
                </a:r>
              </a:p>
            </c:rich>
          </c:tx>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sz="1400" b="0" i="0" u="none" strike="noStrike" kern="1200" baseline="0">
                  <a:solidFill>
                    <a:schemeClr val="accent6"/>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rgbClr val="0057B7"/>
                </a:solidFill>
                <a:latin typeface="+mn-lt"/>
                <a:ea typeface="+mn-ea"/>
                <a:cs typeface="+mn-cs"/>
              </a:defRPr>
            </a:pPr>
            <a:endParaRPr lang="en-US"/>
          </a:p>
        </c:txPr>
        <c:crossAx val="1798917440"/>
        <c:crosses val="autoZero"/>
        <c:crossBetween val="midCat"/>
      </c:valAx>
      <c:spPr>
        <a:solidFill>
          <a:sysClr val="window" lastClr="FFFFFF"/>
        </a:solidFill>
        <a:ln>
          <a:noFill/>
        </a:ln>
        <a:effectLst/>
      </c:spPr>
    </c:plotArea>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noFill/>
    <a:ln w="9525">
      <a:solidFill>
        <a:srgbClr val="000000"/>
      </a:solidFill>
      <a:round/>
    </a:ln>
    <a:effectLst/>
  </c:spPr>
  <c:txPr>
    <a:bodyPr/>
    <a:lstStyle/>
    <a:p>
      <a:pPr>
        <a:defRPr/>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dirty="0">
                <a:solidFill>
                  <a:srgbClr val="0057B7"/>
                </a:solidFill>
              </a:rPr>
              <a:t>2020, 47 sites</a:t>
            </a:r>
          </a:p>
        </c:rich>
      </c:tx>
      <c:layout>
        <c:manualLayout>
          <c:xMode val="edge"/>
          <c:yMode val="edge"/>
          <c:x val="0.429867261815203"/>
          <c:y val="0.02403846153846154"/>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786281491883579"/>
          <c:y val="0.15390640773268724"/>
          <c:w val="0.87090576257585639"/>
          <c:h val="0.34969620684433678"/>
        </c:manualLayout>
      </c:layout>
      <c:barChart>
        <c:barDir val="col"/>
        <c:grouping val="clustered"/>
        <c:varyColors val="0"/>
        <c:ser>
          <c:idx val="1"/>
          <c:order val="0"/>
          <c:tx>
            <c:strRef>
              <c:f>Summary!$D$3</c:f>
              <c:strCache>
                <c:ptCount val="1"/>
                <c:pt idx="0">
                  <c:v>MAB</c:v>
                </c:pt>
              </c:strCache>
            </c:strRef>
          </c:tx>
          <c:spPr>
            <a:solidFill>
              <a:schemeClr val="accent1"/>
            </a:solidFill>
            <a:ln>
              <a:noFill/>
            </a:ln>
            <a:effectLst/>
          </c:spPr>
          <c:invertIfNegative val="0"/>
          <c:cat>
            <c:strRef>
              <c:f>Summary!$B$4:$B$22</c:f>
              <c:strCache>
                <c:ptCount val="19"/>
                <c:pt idx="0">
                  <c:v>White</c:v>
                </c:pt>
                <c:pt idx="1">
                  <c:v>Black</c:v>
                </c:pt>
                <c:pt idx="2">
                  <c:v>American Indian</c:v>
                </c:pt>
                <c:pt idx="3">
                  <c:v>Alaska Native</c:v>
                </c:pt>
                <c:pt idx="4">
                  <c:v>Asian</c:v>
                </c:pt>
                <c:pt idx="5">
                  <c:v>NHOPI*</c:v>
                </c:pt>
                <c:pt idx="6">
                  <c:v>Other/Multiple Race</c:v>
                </c:pt>
                <c:pt idx="7">
                  <c:v>Less than High School</c:v>
                </c:pt>
                <c:pt idx="8">
                  <c:v>High School</c:v>
                </c:pt>
                <c:pt idx="9">
                  <c:v>Some College</c:v>
                </c:pt>
                <c:pt idx="10">
                  <c:v>BS or Higher</c:v>
                </c:pt>
                <c:pt idx="11">
                  <c:v>&lt; 20 Years</c:v>
                </c:pt>
                <c:pt idx="12">
                  <c:v>20-29 Years</c:v>
                </c:pt>
                <c:pt idx="13">
                  <c:v>30-39 Years</c:v>
                </c:pt>
                <c:pt idx="14">
                  <c:v>40 or More Years</c:v>
                </c:pt>
                <c:pt idx="15">
                  <c:v>Hispanic</c:v>
                </c:pt>
                <c:pt idx="16">
                  <c:v>Non-Hispanic</c:v>
                </c:pt>
                <c:pt idx="17">
                  <c:v>Married</c:v>
                </c:pt>
                <c:pt idx="18">
                  <c:v>Other</c:v>
                </c:pt>
              </c:strCache>
            </c:strRef>
          </c:cat>
          <c:val>
            <c:numRef>
              <c:f>Summary!$D$4:$D$22</c:f>
              <c:numCache>
                <c:formatCode>General</c:formatCode>
                <c:ptCount val="19"/>
                <c:pt idx="0">
                  <c:v>0.54166666666666607</c:v>
                </c:pt>
                <c:pt idx="1">
                  <c:v>1.2908333333333319</c:v>
                </c:pt>
                <c:pt idx="2">
                  <c:v>1.6716666666666657</c:v>
                </c:pt>
                <c:pt idx="3">
                  <c:v>1.5116666666666674</c:v>
                </c:pt>
                <c:pt idx="4">
                  <c:v>0.64083333333333281</c:v>
                </c:pt>
                <c:pt idx="5">
                  <c:v>4.9975000000000014</c:v>
                </c:pt>
                <c:pt idx="6">
                  <c:v>0.97250000000000048</c:v>
                </c:pt>
                <c:pt idx="7">
                  <c:v>1.6891666666666667</c:v>
                </c:pt>
                <c:pt idx="8">
                  <c:v>0.63333333333333386</c:v>
                </c:pt>
                <c:pt idx="9">
                  <c:v>0.565833333333333</c:v>
                </c:pt>
                <c:pt idx="10">
                  <c:v>1.2399999999999991</c:v>
                </c:pt>
                <c:pt idx="11">
                  <c:v>1.6891666666666667</c:v>
                </c:pt>
                <c:pt idx="12">
                  <c:v>0.63333333333333386</c:v>
                </c:pt>
                <c:pt idx="13">
                  <c:v>0.565833333333333</c:v>
                </c:pt>
                <c:pt idx="14">
                  <c:v>1.2399999999999991</c:v>
                </c:pt>
                <c:pt idx="15">
                  <c:v>0.5266666666666654</c:v>
                </c:pt>
                <c:pt idx="16">
                  <c:v>0.32666666666666572</c:v>
                </c:pt>
                <c:pt idx="17">
                  <c:v>0.28500000000000031</c:v>
                </c:pt>
                <c:pt idx="18">
                  <c:v>0.69083333333333385</c:v>
                </c:pt>
              </c:numCache>
            </c:numRef>
          </c:val>
          <c:extLst>
            <c:ext xmlns:c16="http://schemas.microsoft.com/office/drawing/2014/chart" uri="{C3380CC4-5D6E-409C-BE32-E72D297353CC}">
              <c16:uniqueId val="{00000000-2DEA-4C8C-A492-14707C1D7D24}"/>
            </c:ext>
          </c:extLst>
        </c:ser>
        <c:dLbls>
          <c:showLegendKey val="0"/>
          <c:showVal val="0"/>
          <c:showCatName val="0"/>
          <c:showSerName val="0"/>
          <c:showPercent val="0"/>
          <c:showBubbleSize val="0"/>
        </c:dLbls>
        <c:gapWidth val="219"/>
        <c:overlap val="-27"/>
        <c:axId val="256064479"/>
        <c:axId val="256058719"/>
      </c:barChart>
      <c:catAx>
        <c:axId val="256064479"/>
        <c:scaling>
          <c:orientation val="minMax"/>
        </c:scaling>
        <c:delete val="0"/>
        <c:axPos val="b"/>
        <c:numFmt formatCode="General" sourceLinked="1"/>
        <c:majorTickMark val="none"/>
        <c:minorTickMark val="none"/>
        <c:tickLblPos val="nextTo"/>
        <c:spPr>
          <a:noFill/>
          <a:ln w="9525">
            <a:solidFill>
              <a:schemeClr val="tx1"/>
            </a:solidFill>
            <a:round/>
          </a:ln>
          <a:effectLst/>
        </c:spPr>
        <c:txPr>
          <a:bodyPr rot="-2820000" spcFirstLastPara="1" vertOverflow="ellipsis" wrap="square" anchor="b" anchorCtr="0"/>
          <a:lstStyle/>
          <a:p>
            <a:pPr>
              <a:defRPr sz="1100" b="0" i="0" u="none" strike="noStrike" kern="1200" baseline="0">
                <a:ln>
                  <a:noFill/>
                </a:ln>
                <a:solidFill>
                  <a:sysClr val="windowText" lastClr="000000"/>
                </a:solidFill>
                <a:latin typeface="+mn-lt"/>
                <a:ea typeface="+mn-ea"/>
                <a:cs typeface="+mn-cs"/>
              </a:defRPr>
            </a:pPr>
            <a:endParaRPr lang="en-US"/>
          </a:p>
        </c:txPr>
        <c:crossAx val="256058719"/>
        <c:crosses val="autoZero"/>
        <c:auto val="1"/>
        <c:lblAlgn val="ctr"/>
        <c:lblOffset val="100"/>
        <c:noMultiLvlLbl val="0"/>
      </c:catAx>
      <c:valAx>
        <c:axId val="256058719"/>
        <c:scaling>
          <c:orientation val="minMax"/>
          <c:max val="5"/>
        </c:scaling>
        <c:delete val="0"/>
        <c:axPos val="l"/>
        <c:majorGridlines>
          <c:spPr>
            <a:ln w="9525">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a:t>Mean</a:t>
                </a:r>
                <a:r>
                  <a:rPr lang="en-US" sz="1400" b="0" baseline="0"/>
                  <a:t> Absolute Bias</a:t>
                </a:r>
                <a:endParaRPr lang="en-US" sz="1400" b="0"/>
              </a:p>
            </c:rich>
          </c:tx>
          <c:layout/>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256064479"/>
        <c:crosses val="autoZero"/>
        <c:crossBetween val="between"/>
        <c:majorUnit val="1"/>
      </c:valAx>
      <c:spPr>
        <a:noFill/>
        <a:ln w="15875">
          <a:solidFill>
            <a:schemeClr val="tx1"/>
          </a:solidFill>
        </a:ln>
        <a:effectLst/>
      </c:spPr>
    </c:plotArea>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2"/>
    </a:solidFill>
    <a:ln w="9525">
      <a:noFill/>
      <a:round/>
    </a:ln>
    <a:effectLst/>
  </c:spPr>
  <c:txPr>
    <a:bodyPr/>
    <a:lstStyle/>
    <a:p>
      <a:pPr>
        <a:defRPr/>
      </a:pPr>
      <a:endParaRPr lang="en-US"/>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dirty="0">
                <a:solidFill>
                  <a:srgbClr val="0057B7"/>
                </a:solidFill>
              </a:rPr>
              <a:t>2021, 46 sites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641749108284541"/>
          <c:y val="0.23102698461624682"/>
          <c:w val="0.8700782354128811"/>
          <c:h val="0.33502507916047858"/>
        </c:manualLayout>
      </c:layout>
      <c:barChart>
        <c:barDir val="col"/>
        <c:grouping val="clustered"/>
        <c:varyColors val="0"/>
        <c:ser>
          <c:idx val="0"/>
          <c:order val="0"/>
          <c:tx>
            <c:strRef>
              <c:f>Tables!$D$3</c:f>
              <c:strCache>
                <c:ptCount val="1"/>
                <c:pt idx="0">
                  <c:v>MAB</c:v>
                </c:pt>
              </c:strCache>
            </c:strRef>
          </c:tx>
          <c:spPr>
            <a:solidFill>
              <a:schemeClr val="accent2"/>
            </a:solidFill>
            <a:ln>
              <a:noFill/>
            </a:ln>
            <a:effectLst/>
          </c:spPr>
          <c:invertIfNegative val="0"/>
          <c:cat>
            <c:strRef>
              <c:f>Tables!$C$4:$C$22</c:f>
              <c:strCache>
                <c:ptCount val="19"/>
                <c:pt idx="0">
                  <c:v>White</c:v>
                </c:pt>
                <c:pt idx="1">
                  <c:v>Black</c:v>
                </c:pt>
                <c:pt idx="2">
                  <c:v>American Indian</c:v>
                </c:pt>
                <c:pt idx="3">
                  <c:v>Alaska Native</c:v>
                </c:pt>
                <c:pt idx="4">
                  <c:v>Asian</c:v>
                </c:pt>
                <c:pt idx="5">
                  <c:v>NHOPI</c:v>
                </c:pt>
                <c:pt idx="6">
                  <c:v>Other/Multiple Race</c:v>
                </c:pt>
                <c:pt idx="7">
                  <c:v>Less than High School</c:v>
                </c:pt>
                <c:pt idx="8">
                  <c:v>High School </c:v>
                </c:pt>
                <c:pt idx="9">
                  <c:v>Some College</c:v>
                </c:pt>
                <c:pt idx="10">
                  <c:v>BS or Higher</c:v>
                </c:pt>
                <c:pt idx="11">
                  <c:v>&lt; 20 Years</c:v>
                </c:pt>
                <c:pt idx="12">
                  <c:v>20-29 Years</c:v>
                </c:pt>
                <c:pt idx="13">
                  <c:v>30-39 Years</c:v>
                </c:pt>
                <c:pt idx="14">
                  <c:v>40 or More Years</c:v>
                </c:pt>
                <c:pt idx="15">
                  <c:v>Hispanic</c:v>
                </c:pt>
                <c:pt idx="16">
                  <c:v>Non-Hispanic</c:v>
                </c:pt>
                <c:pt idx="17">
                  <c:v>Married</c:v>
                </c:pt>
                <c:pt idx="18">
                  <c:v>Other</c:v>
                </c:pt>
              </c:strCache>
            </c:strRef>
          </c:cat>
          <c:val>
            <c:numRef>
              <c:f>Tables!$D$4:$D$22</c:f>
              <c:numCache>
                <c:formatCode>General</c:formatCode>
                <c:ptCount val="19"/>
                <c:pt idx="0">
                  <c:v>0.43983333333333435</c:v>
                </c:pt>
                <c:pt idx="1">
                  <c:v>1.0621666666666665</c:v>
                </c:pt>
                <c:pt idx="2">
                  <c:v>1.6154166666666681</c:v>
                </c:pt>
                <c:pt idx="3">
                  <c:v>1.767916666666667</c:v>
                </c:pt>
                <c:pt idx="4">
                  <c:v>1.2864166666666659</c:v>
                </c:pt>
                <c:pt idx="5">
                  <c:v>3.5170833333333342</c:v>
                </c:pt>
                <c:pt idx="6">
                  <c:v>0.95258333333333323</c:v>
                </c:pt>
                <c:pt idx="7">
                  <c:v>0.717249999999999</c:v>
                </c:pt>
                <c:pt idx="8">
                  <c:v>0.71899999999999886</c:v>
                </c:pt>
                <c:pt idx="9">
                  <c:v>0.654083333333334</c:v>
                </c:pt>
                <c:pt idx="10">
                  <c:v>0.50916666666666566</c:v>
                </c:pt>
                <c:pt idx="11">
                  <c:v>1.2030833333333337</c:v>
                </c:pt>
                <c:pt idx="12">
                  <c:v>0.59133333333333349</c:v>
                </c:pt>
                <c:pt idx="13">
                  <c:v>0.59458333333333524</c:v>
                </c:pt>
                <c:pt idx="14">
                  <c:v>1.0349166666666665</c:v>
                </c:pt>
                <c:pt idx="15">
                  <c:v>0.60125000000000028</c:v>
                </c:pt>
                <c:pt idx="16">
                  <c:v>0.55083333333333262</c:v>
                </c:pt>
                <c:pt idx="17">
                  <c:v>0.54766666666666508</c:v>
                </c:pt>
                <c:pt idx="18">
                  <c:v>0.77625000000000011</c:v>
                </c:pt>
              </c:numCache>
            </c:numRef>
          </c:val>
          <c:extLst>
            <c:ext xmlns:c16="http://schemas.microsoft.com/office/drawing/2014/chart" uri="{C3380CC4-5D6E-409C-BE32-E72D297353CC}">
              <c16:uniqueId val="{00000000-DF79-465A-B145-F7B2A16AAE6C}"/>
            </c:ext>
          </c:extLst>
        </c:ser>
        <c:dLbls>
          <c:showLegendKey val="0"/>
          <c:showVal val="0"/>
          <c:showCatName val="0"/>
          <c:showSerName val="0"/>
          <c:showPercent val="0"/>
          <c:showBubbleSize val="0"/>
        </c:dLbls>
        <c:gapWidth val="219"/>
        <c:overlap val="-27"/>
        <c:axId val="1082535312"/>
        <c:axId val="1092789184"/>
      </c:barChart>
      <c:catAx>
        <c:axId val="1082535312"/>
        <c:scaling>
          <c:orientation val="minMax"/>
        </c:scaling>
        <c:delete val="0"/>
        <c:axPos val="b"/>
        <c:numFmt formatCode="General" sourceLinked="1"/>
        <c:majorTickMark val="none"/>
        <c:minorTickMark val="none"/>
        <c:tickLblPos val="nextTo"/>
        <c:spPr>
          <a:noFill/>
          <a:ln w="9525">
            <a:solidFill>
              <a:srgbClr val="000000"/>
            </a:solidFill>
            <a:round/>
          </a:ln>
          <a:effectLst/>
        </c:spPr>
        <c:txPr>
          <a:bodyPr rot="-60000000" spcFirstLastPara="1" vertOverflow="ellipsis" vert="horz" wrap="square" anchor="ctr" anchorCtr="1"/>
          <a:lstStyle/>
          <a:p>
            <a:pPr>
              <a:defRPr sz="1100" b="0" i="0" u="none" strike="noStrike" kern="1200" baseline="0">
                <a:solidFill>
                  <a:srgbClr val="000000"/>
                </a:solidFill>
                <a:latin typeface="+mn-lt"/>
                <a:ea typeface="+mn-ea"/>
                <a:cs typeface="+mn-cs"/>
              </a:defRPr>
            </a:pPr>
            <a:endParaRPr lang="en-US"/>
          </a:p>
        </c:txPr>
        <c:crossAx val="1092789184"/>
        <c:crosses val="autoZero"/>
        <c:auto val="1"/>
        <c:lblAlgn val="ctr"/>
        <c:lblOffset val="100"/>
        <c:noMultiLvlLbl val="0"/>
      </c:catAx>
      <c:valAx>
        <c:axId val="1092789184"/>
        <c:scaling>
          <c:orientation val="minMax"/>
          <c:max val="5"/>
        </c:scaling>
        <c:delete val="0"/>
        <c:axPos val="l"/>
        <c:majorGridlines>
          <c:spPr>
            <a:ln w="9525">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rgbClr val="000000"/>
                    </a:solidFill>
                    <a:latin typeface="+mn-lt"/>
                    <a:ea typeface="+mn-ea"/>
                    <a:cs typeface="+mn-cs"/>
                  </a:defRPr>
                </a:pPr>
                <a:r>
                  <a:rPr lang="en-US" sz="1400" dirty="0">
                    <a:solidFill>
                      <a:srgbClr val="000000"/>
                    </a:solidFill>
                    <a:latin typeface="Calibri" panose="020F0502020204030204" pitchFamily="34" charset="0"/>
                    <a:cs typeface="Calibri" panose="020F0502020204030204" pitchFamily="34" charset="0"/>
                  </a:rPr>
                  <a:t>Mean</a:t>
                </a:r>
                <a:r>
                  <a:rPr lang="en-US" sz="1400" baseline="0" dirty="0">
                    <a:solidFill>
                      <a:srgbClr val="000000"/>
                    </a:solidFill>
                    <a:latin typeface="Calibri" panose="020F0502020204030204" pitchFamily="34" charset="0"/>
                    <a:cs typeface="Calibri" panose="020F0502020204030204" pitchFamily="34" charset="0"/>
                  </a:rPr>
                  <a:t> Absolute Bias</a:t>
                </a:r>
                <a:endParaRPr lang="en-US" sz="1400" dirty="0">
                  <a:solidFill>
                    <a:srgbClr val="000000"/>
                  </a:solidFill>
                  <a:latin typeface="Calibri" panose="020F0502020204030204" pitchFamily="34" charset="0"/>
                  <a:cs typeface="Calibri" panose="020F0502020204030204" pitchFamily="34" charset="0"/>
                </a:endParaRPr>
              </a:p>
            </c:rich>
          </c:tx>
          <c:layout>
            <c:manualLayout>
              <c:xMode val="edge"/>
              <c:yMode val="edge"/>
              <c:x val="0.0069381845249127617"/>
              <c:y val="0.16744670910641474"/>
            </c:manualLayout>
          </c:layout>
          <c:overlay val="0"/>
          <c:spPr>
            <a:noFill/>
            <a:ln>
              <a:noFill/>
            </a:ln>
            <a:effectLst/>
          </c:spPr>
          <c:txPr>
            <a:bodyPr rot="-5400000" spcFirstLastPara="1" vertOverflow="ellipsis" vert="horz" wrap="square" anchor="ctr" anchorCtr="1"/>
            <a:lstStyle/>
            <a:p>
              <a:pPr>
                <a:defRPr sz="1400" b="0" i="0" u="none" strike="noStrike" kern="1200" baseline="0">
                  <a:solidFill>
                    <a:srgbClr val="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rgbClr val="000000"/>
                </a:solidFill>
                <a:latin typeface="+mn-lt"/>
                <a:ea typeface="+mn-ea"/>
                <a:cs typeface="+mn-cs"/>
              </a:defRPr>
            </a:pPr>
            <a:endParaRPr lang="en-US"/>
          </a:p>
        </c:txPr>
        <c:crossAx val="1082535312"/>
        <c:crosses val="autoZero"/>
        <c:crossBetween val="between"/>
        <c:majorUnit val="1"/>
      </c:valAx>
      <c:spPr>
        <a:noFill/>
        <a:ln w="12700">
          <a:solidFill>
            <a:srgbClr val="000000"/>
          </a:solidFill>
        </a:ln>
        <a:effectLst/>
      </c:spPr>
    </c:plotArea>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noFill/>
    <a:ln w="9525">
      <a:solidFill>
        <a:schemeClr val="bg1"/>
      </a:solidFill>
      <a:round/>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xmlns:a="http://schemas.openxmlformats.org/drawingml/2006/main">
  <cdr:relSizeAnchor xmlns:cdr="http://schemas.openxmlformats.org/drawingml/2006/chartDrawing">
    <cdr:from>
      <cdr:x>0.39203</cdr:x>
      <cdr:y>0.12407</cdr:y>
    </cdr:from>
    <cdr:to>
      <cdr:x>0.39203</cdr:x>
      <cdr:y>0.73201</cdr:y>
    </cdr:to>
    <cdr:cxnSp>
      <cdr:nvCxnSpPr>
        <cdr:cNvPr id="3" name="Straight Connector 2">
          <a:extLst>
            <a:ext xmlns:a="http://schemas.openxmlformats.org/drawingml/2006/main" uri="{FF2B5EF4-FFF2-40B4-BE49-F238E27FC236}">
              <a16:creationId xmlns:a16="http://schemas.microsoft.com/office/drawing/2014/main" id="{090CB61A-75F6-8B48-FEE9-A50950B337CD}"/>
            </a:ext>
          </a:extLst>
        </cdr:cNvPr>
        <cdr:cNvCxnSpPr/>
      </cdr:nvCxnSpPr>
      <cdr:spPr>
        <a:xfrm>
          <a:off x="3401122" y="557561"/>
          <a:ext cx="0" cy="2732049"/>
        </a:xfrm>
        <a:prstGeom prst="line">
          <a:avLst/>
        </a:prstGeom>
        <a:ln w="28575">
          <a:solidFill>
            <a:schemeClr val="accent1">
              <a:lumMod val="60000"/>
              <a:lumOff val="40000"/>
            </a:schemeClr>
          </a:solidFill>
        </a:ln>
      </cdr:spPr>
      <cdr:style>
        <a:lnRef idx="1">
          <a:schemeClr val="accent1"/>
        </a:lnRef>
        <a:fillRef idx="0">
          <a:schemeClr val="accent1"/>
        </a:fillRef>
        <a:effectRef idx="0">
          <a:schemeClr val="accent1"/>
        </a:effectRef>
        <a:fontRef idx="minor">
          <a:schemeClr val="tx1"/>
        </a:fontRef>
      </cdr:style>
    </cdr:cxnSp>
  </cdr:relSizeAnchor>
  <cdr:relSizeAnchor xmlns:cdr="http://schemas.openxmlformats.org/drawingml/2006/chartDrawing">
    <cdr:from>
      <cdr:x>0.74364</cdr:x>
      <cdr:y>0.12407</cdr:y>
    </cdr:from>
    <cdr:to>
      <cdr:x>0.74364</cdr:x>
      <cdr:y>0.72953</cdr:y>
    </cdr:to>
    <cdr:cxnSp>
      <cdr:nvCxnSpPr>
        <cdr:cNvPr id="4" name="Straight Connector 3">
          <a:extLst>
            <a:ext xmlns:a="http://schemas.openxmlformats.org/drawingml/2006/main" uri="{FF2B5EF4-FFF2-40B4-BE49-F238E27FC236}">
              <a16:creationId xmlns:a16="http://schemas.microsoft.com/office/drawing/2014/main" id="{21294B07-1BC9-FA49-B687-2F92E7817DAB}"/>
            </a:ext>
          </a:extLst>
        </cdr:cNvPr>
        <cdr:cNvCxnSpPr/>
      </cdr:nvCxnSpPr>
      <cdr:spPr>
        <a:xfrm>
          <a:off x="6451600" y="557560"/>
          <a:ext cx="0" cy="2720899"/>
        </a:xfrm>
        <a:prstGeom prst="line">
          <a:avLst/>
        </a:prstGeom>
        <a:ln w="28575">
          <a:solidFill>
            <a:schemeClr val="accent1">
              <a:lumMod val="60000"/>
              <a:lumOff val="40000"/>
            </a:schemeClr>
          </a:solidFill>
        </a:ln>
      </cdr:spPr>
      <cdr:style>
        <a:lnRef idx="1">
          <a:schemeClr val="accent1"/>
        </a:lnRef>
        <a:fillRef idx="0">
          <a:schemeClr val="accent1"/>
        </a:fillRef>
        <a:effectRef idx="0">
          <a:schemeClr val="accent1"/>
        </a:effectRef>
        <a:fontRef idx="minor">
          <a:schemeClr val="tx1"/>
        </a:fontRef>
      </cdr:style>
    </cdr:cxnSp>
  </cdr:relSizeAnchor>
  <cdr:relSizeAnchor xmlns:cdr="http://schemas.openxmlformats.org/drawingml/2006/chartDrawing">
    <cdr:from>
      <cdr:x>0.78092</cdr:x>
      <cdr:y>0.19404</cdr:y>
    </cdr:from>
    <cdr:to>
      <cdr:x>0.98372</cdr:x>
      <cdr:y>0.26253</cdr:y>
    </cdr:to>
    <cdr:sp>
      <cdr:nvSpPr>
        <cdr:cNvPr id="5" name="TextBox 7">
          <a:extLst>
            <a:ext xmlns:a="http://schemas.openxmlformats.org/drawingml/2006/main" uri="{FF2B5EF4-FFF2-40B4-BE49-F238E27FC236}">
              <a16:creationId xmlns:a16="http://schemas.microsoft.com/office/drawing/2014/main" id="{4AD66638-1890-A162-614B-648362F0F587}"/>
            </a:ext>
          </a:extLst>
        </cdr:cNvPr>
        <cdr:cNvSpPr txBox="1"/>
      </cdr:nvSpPr>
      <cdr:spPr>
        <a:xfrm>
          <a:off x="6774985" y="872024"/>
          <a:ext cx="1759418" cy="307777"/>
        </a:xfrm>
        <a:prstGeom prst="rect">
          <a:avLst/>
        </a:prstGeom>
        <a:noFill/>
      </cdr:spPr>
      <cdr: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i="1" dirty="0">
              <a:solidFill>
                <a:srgbClr val="C00000"/>
              </a:solidFill>
              <a:latin typeface="Calibri" panose="020F0502020204030204" pitchFamily="34" charset="0"/>
            </a:rPr>
            <a:t>Socio-demographic</a:t>
          </a:r>
        </a:p>
      </cdr:txBody>
    </cdr:sp>
  </cdr:relSizeAnchor>
  <cdr:relSizeAnchor xmlns:cdr="http://schemas.openxmlformats.org/drawingml/2006/chartDrawing">
    <cdr:from>
      <cdr:x>0.50673</cdr:x>
      <cdr:y>0.20624</cdr:y>
    </cdr:from>
    <cdr:to>
      <cdr:x>0.65114</cdr:x>
      <cdr:y>0.26786</cdr:y>
    </cdr:to>
    <cdr:sp>
      <cdr:nvSpPr>
        <cdr:cNvPr id="2" name="TextBox 8">
          <a:extLst>
            <a:ext xmlns:a="http://schemas.openxmlformats.org/drawingml/2006/main" uri="{FF2B5EF4-FFF2-40B4-BE49-F238E27FC236}">
              <a16:creationId xmlns:a16="http://schemas.microsoft.com/office/drawing/2014/main" id="{26C26AC4-C5C5-547D-9178-1ED18F63914C}"/>
            </a:ext>
          </a:extLst>
        </cdr:cNvPr>
        <cdr:cNvSpPr txBox="1"/>
      </cdr:nvSpPr>
      <cdr:spPr>
        <a:xfrm>
          <a:off x="3247633" y="1030128"/>
          <a:ext cx="925532" cy="307786"/>
        </a:xfrm>
        <a:prstGeom prst="rect">
          <a:avLst/>
        </a:prstGeom>
        <a:noFill/>
      </cdr:spPr>
      <cdr: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auto" latinLnBrk="0" hangingPunct="1">
            <a:lnSpc>
              <a:spcPct val="100000"/>
            </a:lnSpc>
            <a:spcBef>
              <a:spcPts val="0"/>
            </a:spcBef>
            <a:spcAft>
              <a:spcPts val="0"/>
            </a:spcAft>
            <a:buClrTx/>
            <a:buSzTx/>
            <a:buFontTx/>
            <a:buNone/>
            <a:defRPr/>
          </a:pPr>
          <a:r>
            <a:rPr kumimoji="0" lang="en-US" sz="1400" b="0" i="1" u="none" strike="noStrike" kern="1200" cap="none" spc="0" normalizeH="0" baseline="0" noProof="0" dirty="0">
              <a:ln>
                <a:noFill/>
              </a:ln>
              <a:solidFill>
                <a:srgbClr val="C00000"/>
              </a:solidFill>
              <a:effectLst/>
              <a:uLnTx/>
              <a:uFillTx/>
              <a:latin typeface="Calibri" panose="020F0502020204030204" pitchFamily="34" charset="0"/>
              <a:ea typeface="+mn-ea"/>
              <a:cs typeface="+mn-cs"/>
            </a:rPr>
            <a:t>Medical</a:t>
          </a:r>
        </a:p>
      </cdr:txBody>
    </cdr:sp>
  </cdr:relSizeAnchor>
  <cdr:relSizeAnchor xmlns:cdr="http://schemas.openxmlformats.org/drawingml/2006/chartDrawing">
    <cdr:from>
      <cdr:x>0.11146</cdr:x>
      <cdr:y>0.49522</cdr:y>
    </cdr:from>
    <cdr:to>
      <cdr:x>0.95693</cdr:x>
      <cdr:y>0.49522</cdr:y>
    </cdr:to>
    <cdr:cxnSp>
      <cdr:nvCxnSpPr>
        <cdr:cNvPr id="7" name="Straight Connector 6"/>
        <cdr:cNvCxnSpPr/>
      </cdr:nvCxnSpPr>
      <cdr:spPr>
        <a:xfrm>
          <a:off x="714324" y="2473574"/>
          <a:ext cx="5418664" cy="0"/>
        </a:xfrm>
        <a:prstGeom prst="line">
          <a:avLst/>
        </a:prstGeom>
      </cdr:spPr>
      <cdr:style>
        <a:lnRef idx="1">
          <a:schemeClr val="accent1"/>
        </a:lnRef>
        <a:fillRef idx="0">
          <a:schemeClr val="accent1"/>
        </a:fillRef>
        <a:effectRef idx="0">
          <a:schemeClr val="accent1"/>
        </a:effectRef>
        <a:fontRef idx="minor">
          <a:schemeClr val="tx1"/>
        </a:fontRef>
      </cdr:style>
    </cdr:cxnSp>
  </cdr:relSizeAnchor>
  <cdr:relSizeAnchor xmlns:cdr="http://schemas.openxmlformats.org/drawingml/2006/chartDrawing">
    <cdr:from>
      <cdr:x>0.20151</cdr:x>
      <cdr:y>0.20481</cdr:y>
    </cdr:from>
    <cdr:to>
      <cdr:x>0.36164</cdr:x>
      <cdr:y>0.26717</cdr:y>
    </cdr:to>
    <cdr:sp>
      <cdr:nvSpPr>
        <cdr:cNvPr id="9" name="TextBox 7">
          <a:extLst>
            <a:ext xmlns:a="http://schemas.openxmlformats.org/drawingml/2006/main" uri="{FF2B5EF4-FFF2-40B4-BE49-F238E27FC236}">
              <a16:creationId xmlns:a16="http://schemas.microsoft.com/office/drawing/2014/main" id="{4AD66638-1890-A162-614B-648362F0F587}"/>
            </a:ext>
          </a:extLst>
        </cdr:cNvPr>
        <cdr:cNvSpPr txBox="1"/>
      </cdr:nvSpPr>
      <cdr:spPr>
        <a:xfrm>
          <a:off x="1291489" y="1023008"/>
          <a:ext cx="1026261" cy="311496"/>
        </a:xfrm>
        <a:prstGeom prst="rect">
          <a:avLst/>
        </a:prstGeom>
        <a:noFill/>
      </cdr:spPr>
      <cdr: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auto" latinLnBrk="0" hangingPunct="1">
            <a:lnSpc>
              <a:spcPct val="100000"/>
            </a:lnSpc>
            <a:spcBef>
              <a:spcPts val="0"/>
            </a:spcBef>
            <a:spcAft>
              <a:spcPts val="0"/>
            </a:spcAft>
            <a:buClrTx/>
            <a:buSzTx/>
            <a:buFontTx/>
            <a:buNone/>
            <a:defRPr/>
          </a:pPr>
          <a:r>
            <a:rPr kumimoji="0" lang="en-US" sz="1400" b="0" i="1" u="none" strike="noStrike" kern="1200" cap="none" spc="0" normalizeH="0" baseline="0" noProof="0" dirty="0">
              <a:ln>
                <a:noFill/>
              </a:ln>
              <a:solidFill>
                <a:srgbClr val="C00000"/>
              </a:solidFill>
              <a:effectLst/>
              <a:uLnTx/>
              <a:uFillTx/>
              <a:latin typeface="Calibri" panose="020F0502020204030204" pitchFamily="34" charset="0"/>
              <a:ea typeface="+mn-ea"/>
              <a:cs typeface="+mn-cs"/>
            </a:rPr>
            <a:t>Behaviors</a:t>
          </a:r>
        </a:p>
      </cdr:txBody>
    </cdr:sp>
  </cdr:relSizeAnchor>
</c:userShapes>
</file>

<file path=word/drawings/drawing2.xml><?xml version="1.0" encoding="utf-8"?>
<c:userShapes xmlns:c="http://schemas.openxmlformats.org/drawingml/2006/chart" xmlns:a="http://schemas.openxmlformats.org/drawingml/2006/main">
  <cdr:relSizeAnchor xmlns:cdr="http://schemas.openxmlformats.org/drawingml/2006/chartDrawing">
    <cdr:from>
      <cdr:x>0.39203</cdr:x>
      <cdr:y>0.12407</cdr:y>
    </cdr:from>
    <cdr:to>
      <cdr:x>0.39203</cdr:x>
      <cdr:y>0.73201</cdr:y>
    </cdr:to>
    <cdr:cxnSp>
      <cdr:nvCxnSpPr>
        <cdr:cNvPr id="953682261" name="Straight Connector 2">
          <a:extLst>
            <a:ext xmlns:a="http://schemas.openxmlformats.org/drawingml/2006/main" uri="{FF2B5EF4-FFF2-40B4-BE49-F238E27FC236}">
              <a16:creationId xmlns:a16="http://schemas.microsoft.com/office/drawing/2014/main" id="{090CB61A-75F6-8B48-FEE9-A50950B337CD}"/>
            </a:ext>
          </a:extLst>
        </cdr:cNvPr>
        <cdr:cNvCxnSpPr/>
      </cdr:nvCxnSpPr>
      <cdr:spPr>
        <a:xfrm>
          <a:off x="3401122" y="557561"/>
          <a:ext cx="0" cy="2732049"/>
        </a:xfrm>
        <a:prstGeom prst="line">
          <a:avLst/>
        </a:prstGeom>
        <a:ln w="28575">
          <a:solidFill>
            <a:schemeClr val="accent1">
              <a:lumMod val="60000"/>
              <a:lumOff val="40000"/>
            </a:schemeClr>
          </a:solidFill>
        </a:ln>
      </cdr:spPr>
      <cdr:style>
        <a:lnRef idx="1">
          <a:schemeClr val="accent1"/>
        </a:lnRef>
        <a:fillRef idx="0">
          <a:schemeClr val="accent1"/>
        </a:fillRef>
        <a:effectRef idx="0">
          <a:schemeClr val="accent1"/>
        </a:effectRef>
        <a:fontRef idx="minor">
          <a:schemeClr val="tx1"/>
        </a:fontRef>
      </cdr:style>
    </cdr:cxnSp>
  </cdr:relSizeAnchor>
  <cdr:relSizeAnchor xmlns:cdr="http://schemas.openxmlformats.org/drawingml/2006/chartDrawing">
    <cdr:from>
      <cdr:x>0.74364</cdr:x>
      <cdr:y>0.12407</cdr:y>
    </cdr:from>
    <cdr:to>
      <cdr:x>0.74364</cdr:x>
      <cdr:y>0.72953</cdr:y>
    </cdr:to>
    <cdr:cxnSp>
      <cdr:nvCxnSpPr>
        <cdr:cNvPr id="807430469" name="Straight Connector 3">
          <a:extLst>
            <a:ext xmlns:a="http://schemas.openxmlformats.org/drawingml/2006/main" uri="{FF2B5EF4-FFF2-40B4-BE49-F238E27FC236}">
              <a16:creationId xmlns:a16="http://schemas.microsoft.com/office/drawing/2014/main" id="{21294B07-1BC9-FA49-B687-2F92E7817DAB}"/>
            </a:ext>
          </a:extLst>
        </cdr:cNvPr>
        <cdr:cNvCxnSpPr/>
      </cdr:nvCxnSpPr>
      <cdr:spPr>
        <a:xfrm>
          <a:off x="6451600" y="557560"/>
          <a:ext cx="0" cy="2720899"/>
        </a:xfrm>
        <a:prstGeom prst="line">
          <a:avLst/>
        </a:prstGeom>
        <a:ln w="28575">
          <a:solidFill>
            <a:schemeClr val="accent1">
              <a:lumMod val="60000"/>
              <a:lumOff val="40000"/>
            </a:schemeClr>
          </a:solidFill>
        </a:ln>
      </cdr:spPr>
      <cdr:style>
        <a:lnRef idx="1">
          <a:schemeClr val="accent1"/>
        </a:lnRef>
        <a:fillRef idx="0">
          <a:schemeClr val="accent1"/>
        </a:fillRef>
        <a:effectRef idx="0">
          <a:schemeClr val="accent1"/>
        </a:effectRef>
        <a:fontRef idx="minor">
          <a:schemeClr val="tx1"/>
        </a:fontRef>
      </cdr:style>
    </cdr:cxnSp>
  </cdr:relSizeAnchor>
  <cdr:relSizeAnchor xmlns:cdr="http://schemas.openxmlformats.org/drawingml/2006/chartDrawing">
    <cdr:from>
      <cdr:x>0.78092</cdr:x>
      <cdr:y>0.19404</cdr:y>
    </cdr:from>
    <cdr:to>
      <cdr:x>0.98372</cdr:x>
      <cdr:y>0.26253</cdr:y>
    </cdr:to>
    <cdr:sp>
      <cdr:nvSpPr>
        <cdr:cNvPr id="552645387" name="TextBox 7">
          <a:extLst>
            <a:ext xmlns:a="http://schemas.openxmlformats.org/drawingml/2006/main" uri="{FF2B5EF4-FFF2-40B4-BE49-F238E27FC236}">
              <a16:creationId xmlns:a16="http://schemas.microsoft.com/office/drawing/2014/main" id="{4AD66638-1890-A162-614B-648362F0F587}"/>
            </a:ext>
          </a:extLst>
        </cdr:cNvPr>
        <cdr:cNvSpPr txBox="1"/>
      </cdr:nvSpPr>
      <cdr:spPr>
        <a:xfrm>
          <a:off x="6774985" y="872024"/>
          <a:ext cx="1759418" cy="307777"/>
        </a:xfrm>
        <a:prstGeom prst="rect">
          <a:avLst/>
        </a:prstGeom>
        <a:noFill/>
      </cdr:spPr>
      <cdr: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i="1" dirty="0">
              <a:solidFill>
                <a:srgbClr val="C00000"/>
              </a:solidFill>
              <a:latin typeface="Calibri" panose="020F0502020204030204" pitchFamily="34" charset="0"/>
            </a:rPr>
            <a:t>Socio-demographic</a:t>
          </a:r>
        </a:p>
      </cdr:txBody>
    </cdr:sp>
  </cdr:relSizeAnchor>
  <cdr:relSizeAnchor xmlns:cdr="http://schemas.openxmlformats.org/drawingml/2006/chartDrawing">
    <cdr:from>
      <cdr:x>0.11542</cdr:x>
      <cdr:y>0.49513</cdr:y>
    </cdr:from>
    <cdr:to>
      <cdr:x>0.96354</cdr:x>
      <cdr:y>0.49513</cdr:y>
    </cdr:to>
    <cdr:cxnSp>
      <cdr:nvCxnSpPr>
        <cdr:cNvPr id="1711234668" name="Straight Connector 1"/>
        <cdr:cNvCxnSpPr/>
      </cdr:nvCxnSpPr>
      <cdr:spPr>
        <a:xfrm>
          <a:off x="750530" y="2393607"/>
          <a:ext cx="5514816" cy="0"/>
        </a:xfrm>
        <a:prstGeom prst="line">
          <a:avLst/>
        </a:prstGeom>
      </cdr:spPr>
      <cdr:style>
        <a:lnRef idx="1">
          <a:schemeClr val="accent1"/>
        </a:lnRef>
        <a:fillRef idx="0">
          <a:schemeClr val="accent1"/>
        </a:fillRef>
        <a:effectRef idx="0">
          <a:schemeClr val="accent1"/>
        </a:effectRef>
        <a:fontRef idx="minor">
          <a:schemeClr val="tx1"/>
        </a:fontRef>
      </cdr:style>
    </cdr:cxnSp>
  </cdr:relSizeAnchor>
  <cdr:relSizeAnchor xmlns:cdr="http://schemas.openxmlformats.org/drawingml/2006/chartDrawing">
    <cdr:from>
      <cdr:x>0.51046</cdr:x>
      <cdr:y>0.1865</cdr:y>
    </cdr:from>
    <cdr:to>
      <cdr:x>0.65279</cdr:x>
      <cdr:y>0.2646</cdr:y>
    </cdr:to>
    <cdr:sp>
      <cdr:nvSpPr>
        <cdr:cNvPr id="626751501" name="TextBox 8"/>
        <cdr:cNvSpPr txBox="1"/>
      </cdr:nvSpPr>
      <cdr:spPr>
        <a:xfrm>
          <a:off x="3319247" y="901571"/>
          <a:ext cx="925487" cy="377556"/>
        </a:xfrm>
        <a:prstGeom prst="rect">
          <a:avLst/>
        </a:prstGeom>
        <a:noFill/>
      </cdr:spPr>
      <cdr:txBody>
        <a:bodyPr wrap="square" rtlCol="0">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marL="0" marR="0" lvl="0" indent="0" algn="l" defTabSz="914400" rtl="0" eaLnBrk="1" fontAlgn="auto" latinLnBrk="0" hangingPunct="1">
            <a:lnSpc>
              <a:spcPct val="100000"/>
            </a:lnSpc>
            <a:spcBef>
              <a:spcPts val="0"/>
            </a:spcBef>
            <a:spcAft>
              <a:spcPts val="0"/>
            </a:spcAft>
            <a:buClrTx/>
            <a:buSzTx/>
            <a:buFontTx/>
            <a:buNone/>
            <a:defRPr/>
          </a:pPr>
          <a:r>
            <a:rPr kumimoji="0" lang="en-US" sz="1400" b="0" i="1" u="none" strike="noStrike" kern="1200" cap="none" spc="0" normalizeH="0" baseline="0" noProof="0" dirty="0">
              <a:ln>
                <a:noFill/>
              </a:ln>
              <a:solidFill>
                <a:srgbClr val="C00000"/>
              </a:solidFill>
              <a:effectLst/>
              <a:uLnTx/>
              <a:uFillTx/>
              <a:latin typeface="Calibri" panose="020F0502020204030204" pitchFamily="34" charset="0"/>
              <a:ea typeface="+mn-ea"/>
              <a:cs typeface="+mn-cs"/>
            </a:rPr>
            <a:t>Medical</a:t>
          </a:r>
        </a:p>
      </cdr:txBody>
    </cdr:sp>
  </cdr:relSizeAnchor>
  <cdr:relSizeAnchor xmlns:cdr="http://schemas.openxmlformats.org/drawingml/2006/chartDrawing">
    <cdr:from>
      <cdr:x>0.17778</cdr:x>
      <cdr:y>0.1844</cdr:y>
    </cdr:from>
    <cdr:to>
      <cdr:x>0.32012</cdr:x>
      <cdr:y>0.24884</cdr:y>
    </cdr:to>
    <cdr:sp>
      <cdr:nvSpPr>
        <cdr:cNvPr id="701722617" name="TextBox 7"/>
        <cdr:cNvSpPr txBox="1"/>
      </cdr:nvSpPr>
      <cdr:spPr>
        <a:xfrm>
          <a:off x="1155997" y="891437"/>
          <a:ext cx="925551" cy="311496"/>
        </a:xfrm>
        <a:prstGeom prst="rect">
          <a:avLst/>
        </a:prstGeom>
        <a:noFill/>
      </cdr:spPr>
      <cdr:txBody>
        <a:bodyPr wrap="square" rtlCol="0">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marL="0" marR="0" lvl="0" indent="0" algn="l" defTabSz="914400" rtl="0" eaLnBrk="1" fontAlgn="auto" latinLnBrk="0" hangingPunct="1">
            <a:lnSpc>
              <a:spcPct val="100000"/>
            </a:lnSpc>
            <a:spcBef>
              <a:spcPts val="0"/>
            </a:spcBef>
            <a:spcAft>
              <a:spcPts val="0"/>
            </a:spcAft>
            <a:buClrTx/>
            <a:buSzTx/>
            <a:buFontTx/>
            <a:buNone/>
            <a:defRPr/>
          </a:pPr>
          <a:r>
            <a:rPr kumimoji="0" lang="en-US" sz="1400" b="0" i="1" u="none" strike="noStrike" kern="1200" cap="none" spc="0" normalizeH="0" baseline="0" noProof="0" dirty="0">
              <a:ln>
                <a:noFill/>
              </a:ln>
              <a:solidFill>
                <a:srgbClr val="C00000"/>
              </a:solidFill>
              <a:effectLst/>
              <a:uLnTx/>
              <a:uFillTx/>
              <a:latin typeface="Calibri" panose="020F0502020204030204" pitchFamily="34" charset="0"/>
              <a:ea typeface="+mn-ea"/>
              <a:cs typeface="+mn-cs"/>
            </a:rPr>
            <a:t>Behaviors</a:t>
          </a:r>
        </a:p>
      </cdr:txBody>
    </cdr:sp>
  </cdr:relSizeAnchor>
</c:userShapes>
</file>

<file path=word/drawings/drawing3.xml><?xml version="1.0" encoding="utf-8"?>
<c:userShapes xmlns:c="http://schemas.openxmlformats.org/drawingml/2006/chart" xmlns:a="http://schemas.openxmlformats.org/drawingml/2006/main">
  <cdr:relSizeAnchor xmlns:cdr="http://schemas.openxmlformats.org/drawingml/2006/chartDrawing">
    <cdr:from>
      <cdr:x>0.27569</cdr:x>
      <cdr:y>0.43561</cdr:y>
    </cdr:from>
    <cdr:to>
      <cdr:x>0.46238</cdr:x>
      <cdr:y>0.49757</cdr:y>
    </cdr:to>
    <cdr:sp>
      <cdr:nvSpPr>
        <cdr:cNvPr id="1453509724" name="TextBox 8">
          <a:extLst>
            <a:ext xmlns:a="http://schemas.openxmlformats.org/drawingml/2006/main" uri="{FF2B5EF4-FFF2-40B4-BE49-F238E27FC236}">
              <a16:creationId xmlns:a16="http://schemas.microsoft.com/office/drawing/2014/main" id="{26C26AC4-C5C5-547D-9178-1ED18F63914C}"/>
            </a:ext>
          </a:extLst>
        </cdr:cNvPr>
        <cdr:cNvSpPr txBox="1"/>
      </cdr:nvSpPr>
      <cdr:spPr>
        <a:xfrm>
          <a:off x="1509372" y="2163938"/>
          <a:ext cx="1022122" cy="307793"/>
        </a:xfrm>
        <a:prstGeom prst="rect">
          <a:avLst/>
        </a:prstGeom>
        <a:noFill/>
      </cdr:spPr>
      <cdr: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i="1" dirty="0">
              <a:solidFill>
                <a:srgbClr val="C00000"/>
              </a:solidFill>
              <a:latin typeface="Calibri" panose="020F0502020204030204" pitchFamily="34" charset="0"/>
            </a:rPr>
            <a:t>Medical</a:t>
          </a:r>
        </a:p>
      </cdr:txBody>
    </cdr:sp>
  </cdr:relSizeAnchor>
  <cdr:relSizeAnchor xmlns:cdr="http://schemas.openxmlformats.org/drawingml/2006/chartDrawing">
    <cdr:from>
      <cdr:x>0.27286</cdr:x>
      <cdr:y>0.77445</cdr:y>
    </cdr:from>
    <cdr:to>
      <cdr:x>0.48212</cdr:x>
      <cdr:y>0.88127</cdr:y>
    </cdr:to>
    <cdr:sp>
      <cdr:nvSpPr>
        <cdr:cNvPr id="1140059142" name="TextBox 7">
          <a:extLst>
            <a:ext xmlns:a="http://schemas.openxmlformats.org/drawingml/2006/main" uri="{FF2B5EF4-FFF2-40B4-BE49-F238E27FC236}">
              <a16:creationId xmlns:a16="http://schemas.microsoft.com/office/drawing/2014/main" id="{03891165-81A6-00D6-C42C-1C2E3C331F79}"/>
            </a:ext>
          </a:extLst>
        </cdr:cNvPr>
        <cdr:cNvSpPr txBox="1"/>
      </cdr:nvSpPr>
      <cdr:spPr>
        <a:xfrm>
          <a:off x="1493900" y="3847162"/>
          <a:ext cx="1145693" cy="530658"/>
        </a:xfrm>
        <a:prstGeom prst="rect">
          <a:avLst/>
        </a:prstGeom>
        <a:noFill/>
      </cdr:spPr>
      <cdr:txBody>
        <a:bodyPr wrap="square" rtlCol="0">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r>
            <a:rPr lang="en-US" sz="1400" i="1" dirty="0">
              <a:solidFill>
                <a:srgbClr val="C00000"/>
              </a:solidFill>
              <a:latin typeface="Calibri" panose="020F0502020204030204" pitchFamily="34" charset="0"/>
            </a:rPr>
            <a:t>Socio-demographic</a:t>
          </a:r>
        </a:p>
      </cdr:txBody>
    </cdr:sp>
  </cdr:relSizeAnchor>
  <cdr:relSizeAnchor xmlns:cdr="http://schemas.openxmlformats.org/drawingml/2006/chartDrawing">
    <cdr:from>
      <cdr:x>0.26787</cdr:x>
      <cdr:y>0.16007</cdr:y>
    </cdr:from>
    <cdr:to>
      <cdr:x>0.45456</cdr:x>
      <cdr:y>0.22202</cdr:y>
    </cdr:to>
    <cdr:sp>
      <cdr:nvSpPr>
        <cdr:cNvPr id="656278066" name="TextBox 8">
          <a:extLst>
            <a:ext xmlns:a="http://schemas.openxmlformats.org/drawingml/2006/main" uri="{FF2B5EF4-FFF2-40B4-BE49-F238E27FC236}">
              <a16:creationId xmlns:a16="http://schemas.microsoft.com/office/drawing/2014/main" id="{54B82BE6-D1F1-11D1-E62C-720F08711F98}"/>
            </a:ext>
          </a:extLst>
        </cdr:cNvPr>
        <cdr:cNvSpPr txBox="1"/>
      </cdr:nvSpPr>
      <cdr:spPr>
        <a:xfrm>
          <a:off x="1466562" y="795140"/>
          <a:ext cx="1022122" cy="307744"/>
        </a:xfrm>
        <a:prstGeom prst="rect">
          <a:avLst/>
        </a:prstGeom>
        <a:noFill/>
      </cdr:spPr>
      <cdr:txBody>
        <a:bodyPr wrap="square" rtlCol="0">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r>
            <a:rPr lang="en-US" sz="1400" i="1" dirty="0">
              <a:solidFill>
                <a:srgbClr val="C00000"/>
              </a:solidFill>
              <a:latin typeface="Calibri" panose="020F0502020204030204" pitchFamily="34" charset="0"/>
            </a:rPr>
            <a:t>Behaviors</a:t>
          </a:r>
        </a:p>
      </cdr:txBody>
    </cdr:sp>
  </cdr:relSizeAnchor>
  <cdr:relSizeAnchor xmlns:cdr="http://schemas.openxmlformats.org/drawingml/2006/chartDrawing">
    <cdr:from>
      <cdr:x>0.25585</cdr:x>
      <cdr:y>0.33917</cdr:y>
    </cdr:from>
    <cdr:to>
      <cdr:x>0.9758</cdr:x>
      <cdr:y>0.341</cdr:y>
    </cdr:to>
    <cdr:cxnSp>
      <cdr:nvCxnSpPr>
        <cdr:cNvPr id="382211734" name="Straight Connector 4">
          <a:extLst>
            <a:ext xmlns:a="http://schemas.openxmlformats.org/drawingml/2006/main" uri="{FF2B5EF4-FFF2-40B4-BE49-F238E27FC236}">
              <a16:creationId xmlns:a16="http://schemas.microsoft.com/office/drawing/2014/main" id="{5F6D12CB-9C2D-EFE1-FF1D-3055409B4FD6}"/>
            </a:ext>
          </a:extLst>
        </cdr:cNvPr>
        <cdr:cNvCxnSpPr/>
      </cdr:nvCxnSpPr>
      <cdr:spPr>
        <a:xfrm flipV="1">
          <a:off x="1400748" y="1684867"/>
          <a:ext cx="3941719" cy="9087"/>
        </a:xfrm>
        <a:prstGeom prst="line">
          <a:avLst/>
        </a:prstGeom>
        <a:ln w="50800">
          <a:solidFill>
            <a:schemeClr val="accent4">
              <a:lumMod val="40000"/>
              <a:lumOff val="60000"/>
            </a:schemeClr>
          </a:solidFill>
        </a:ln>
      </cdr:spPr>
      <cdr:style>
        <a:lnRef idx="1">
          <a:schemeClr val="accent1"/>
        </a:lnRef>
        <a:fillRef idx="0">
          <a:schemeClr val="accent1"/>
        </a:fillRef>
        <a:effectRef idx="0">
          <a:schemeClr val="accent1"/>
        </a:effectRef>
        <a:fontRef idx="minor">
          <a:schemeClr val="tx1"/>
        </a:fontRef>
      </cdr:style>
    </cdr:cxnSp>
  </cdr:relSizeAnchor>
  <cdr:relSizeAnchor xmlns:cdr="http://schemas.openxmlformats.org/drawingml/2006/chartDrawing">
    <cdr:from>
      <cdr:x>0.25894</cdr:x>
      <cdr:y>0.6805</cdr:y>
    </cdr:from>
    <cdr:to>
      <cdr:x>0.98044</cdr:x>
      <cdr:y>0.6805</cdr:y>
    </cdr:to>
    <cdr:cxnSp>
      <cdr:nvCxnSpPr>
        <cdr:cNvPr id="1885397438" name="Straight Connector 6">
          <a:extLst>
            <a:ext xmlns:a="http://schemas.openxmlformats.org/drawingml/2006/main" uri="{FF2B5EF4-FFF2-40B4-BE49-F238E27FC236}">
              <a16:creationId xmlns:a16="http://schemas.microsoft.com/office/drawing/2014/main" id="{0F210BE8-F2AC-AF61-A5AA-2ABB19EFE6EB}"/>
            </a:ext>
          </a:extLst>
        </cdr:cNvPr>
        <cdr:cNvCxnSpPr/>
      </cdr:nvCxnSpPr>
      <cdr:spPr>
        <a:xfrm>
          <a:off x="1417682" y="3380472"/>
          <a:ext cx="3950185" cy="0"/>
        </a:xfrm>
        <a:prstGeom prst="line">
          <a:avLst/>
        </a:prstGeom>
        <a:ln w="50800">
          <a:solidFill>
            <a:schemeClr val="accent4">
              <a:lumMod val="40000"/>
              <a:lumOff val="60000"/>
            </a:schemeClr>
          </a:solidFill>
        </a:ln>
      </cdr:spPr>
      <cdr:style>
        <a:lnRef idx="1">
          <a:schemeClr val="accent1"/>
        </a:lnRef>
        <a:fillRef idx="0">
          <a:schemeClr val="accent1"/>
        </a:fillRef>
        <a:effectRef idx="0">
          <a:schemeClr val="accent1"/>
        </a:effectRef>
        <a:fontRef idx="minor">
          <a:schemeClr val="tx1"/>
        </a:fontRef>
      </cdr:style>
    </cdr:cxnSp>
  </cdr:relSizeAnchor>
  <cdr:relSizeAnchor xmlns:cdr="http://schemas.openxmlformats.org/drawingml/2006/chartDrawing">
    <cdr:from>
      <cdr:x>0.5571</cdr:x>
      <cdr:y>0.0669</cdr:y>
    </cdr:from>
    <cdr:to>
      <cdr:x>0.5571</cdr:x>
      <cdr:y>0.88234</cdr:y>
    </cdr:to>
    <cdr:cxnSp>
      <cdr:nvCxnSpPr>
        <cdr:cNvPr id="10" name="Straight Connector 9"/>
        <cdr:cNvCxnSpPr/>
      </cdr:nvCxnSpPr>
      <cdr:spPr>
        <a:xfrm>
          <a:off x="3050095" y="332341"/>
          <a:ext cx="0" cy="4050784"/>
        </a:xfrm>
        <a:prstGeom prst="line">
          <a:avLst/>
        </a:prstGeom>
      </cdr:spPr>
      <cdr:style>
        <a:lnRef idx="1">
          <a:schemeClr val="dk1"/>
        </a:lnRef>
        <a:fillRef idx="0">
          <a:schemeClr val="dk1"/>
        </a:fillRef>
        <a:effectRef idx="0">
          <a:schemeClr val="dk1"/>
        </a:effectRef>
        <a:fontRef idx="minor">
          <a:schemeClr val="tx1"/>
        </a:fontRef>
      </cdr:style>
    </cdr:cxnSp>
  </cdr:relSizeAnchor>
</c:userShapes>
</file>

<file path=word/drawings/drawing4.xml><?xml version="1.0" encoding="utf-8"?>
<c:userShapes xmlns:c="http://schemas.openxmlformats.org/drawingml/2006/chart" xmlns:a="http://schemas.openxmlformats.org/drawingml/2006/main">
  <cdr:relSizeAnchor xmlns:cdr="http://schemas.openxmlformats.org/drawingml/2006/chartDrawing">
    <cdr:from>
      <cdr:x>0.28511</cdr:x>
      <cdr:y>0.43256</cdr:y>
    </cdr:from>
    <cdr:to>
      <cdr:x>0.45415</cdr:x>
      <cdr:y>0.49563</cdr:y>
    </cdr:to>
    <cdr:sp>
      <cdr:nvSpPr>
        <cdr:cNvPr id="161874750" name="TextBox 8">
          <a:extLst>
            <a:ext xmlns:a="http://schemas.openxmlformats.org/drawingml/2006/main" uri="{FF2B5EF4-FFF2-40B4-BE49-F238E27FC236}">
              <a16:creationId xmlns:a16="http://schemas.microsoft.com/office/drawing/2014/main" id="{26C26AC4-C5C5-547D-9178-1ED18F63914C}"/>
            </a:ext>
          </a:extLst>
        </cdr:cNvPr>
        <cdr:cNvSpPr txBox="1"/>
      </cdr:nvSpPr>
      <cdr:spPr>
        <a:xfrm>
          <a:off x="1560994" y="2148776"/>
          <a:ext cx="925488" cy="313306"/>
        </a:xfrm>
        <a:prstGeom prst="rect">
          <a:avLst/>
        </a:prstGeom>
        <a:noFill/>
      </cdr:spPr>
      <cdr: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i="1" dirty="0">
              <a:solidFill>
                <a:srgbClr val="C00000"/>
              </a:solidFill>
              <a:latin typeface="Calibri" panose="020F0502020204030204" pitchFamily="34" charset="0"/>
            </a:rPr>
            <a:t>Medical</a:t>
          </a:r>
        </a:p>
      </cdr:txBody>
    </cdr:sp>
  </cdr:relSizeAnchor>
  <cdr:relSizeAnchor xmlns:cdr="http://schemas.openxmlformats.org/drawingml/2006/chartDrawing">
    <cdr:from>
      <cdr:x>0.2824</cdr:x>
      <cdr:y>0.78824</cdr:y>
    </cdr:from>
    <cdr:to>
      <cdr:x>0.49166</cdr:x>
      <cdr:y>0.84999</cdr:y>
    </cdr:to>
    <cdr:sp>
      <cdr:nvSpPr>
        <cdr:cNvPr id="590486577" name="TextBox 7">
          <a:extLst>
            <a:ext xmlns:a="http://schemas.openxmlformats.org/drawingml/2006/main" uri="{FF2B5EF4-FFF2-40B4-BE49-F238E27FC236}">
              <a16:creationId xmlns:a16="http://schemas.microsoft.com/office/drawing/2014/main" id="{03891165-81A6-00D6-C42C-1C2E3C331F79}"/>
            </a:ext>
          </a:extLst>
        </cdr:cNvPr>
        <cdr:cNvSpPr txBox="1"/>
      </cdr:nvSpPr>
      <cdr:spPr>
        <a:xfrm>
          <a:off x="1546132" y="3915684"/>
          <a:ext cx="1145693" cy="306749"/>
        </a:xfrm>
        <a:prstGeom prst="rect">
          <a:avLst/>
        </a:prstGeom>
        <a:noFill/>
      </cdr:spPr>
      <cdr:txBody>
        <a:bodyPr wrap="square" rtlCol="0">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r>
            <a:rPr lang="en-US" sz="1400" i="1" dirty="0">
              <a:solidFill>
                <a:srgbClr val="C00000"/>
              </a:solidFill>
              <a:latin typeface="Calibri" panose="020F0502020204030204" pitchFamily="34" charset="0"/>
            </a:rPr>
            <a:t>Socio-demographic</a:t>
          </a:r>
        </a:p>
      </cdr:txBody>
    </cdr:sp>
  </cdr:relSizeAnchor>
  <cdr:relSizeAnchor xmlns:cdr="http://schemas.openxmlformats.org/drawingml/2006/chartDrawing">
    <cdr:from>
      <cdr:x>0.28063</cdr:x>
      <cdr:y>0.18222</cdr:y>
    </cdr:from>
    <cdr:to>
      <cdr:x>0.46732</cdr:x>
      <cdr:y>0.24492</cdr:y>
    </cdr:to>
    <cdr:sp>
      <cdr:nvSpPr>
        <cdr:cNvPr id="1567697530" name="TextBox 8"/>
        <cdr:cNvSpPr txBox="1"/>
      </cdr:nvSpPr>
      <cdr:spPr>
        <a:xfrm>
          <a:off x="1536416" y="905220"/>
          <a:ext cx="1022122" cy="311468"/>
        </a:xfrm>
        <a:prstGeom prst="rect">
          <a:avLst/>
        </a:prstGeom>
        <a:noFill/>
      </cdr:spPr>
      <cdr:txBody>
        <a:bodyPr wrap="square" rtlCol="0">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r>
            <a:rPr lang="en-US" sz="1400" i="1" dirty="0">
              <a:solidFill>
                <a:srgbClr val="C00000"/>
              </a:solidFill>
              <a:latin typeface="Calibri" panose="020F0502020204030204" pitchFamily="34" charset="0"/>
            </a:rPr>
            <a:t>Behaviors</a:t>
          </a:r>
        </a:p>
      </cdr:txBody>
    </cdr:sp>
  </cdr:relSizeAnchor>
  <cdr:relSizeAnchor xmlns:cdr="http://schemas.openxmlformats.org/drawingml/2006/chartDrawing">
    <cdr:from>
      <cdr:x>0.25739</cdr:x>
      <cdr:y>0.68732</cdr:y>
    </cdr:from>
    <cdr:to>
      <cdr:x>0.97889</cdr:x>
      <cdr:y>0.68732</cdr:y>
    </cdr:to>
    <cdr:cxnSp>
      <cdr:nvCxnSpPr>
        <cdr:cNvPr id="981552582" name="Straight Connector 4"/>
        <cdr:cNvCxnSpPr/>
      </cdr:nvCxnSpPr>
      <cdr:spPr>
        <a:xfrm>
          <a:off x="1409215" y="3414339"/>
          <a:ext cx="3950185" cy="0"/>
        </a:xfrm>
        <a:prstGeom prst="line">
          <a:avLst/>
        </a:prstGeom>
        <a:ln w="50800">
          <a:solidFill>
            <a:schemeClr val="accent4">
              <a:lumMod val="40000"/>
              <a:lumOff val="60000"/>
            </a:schemeClr>
          </a:solidFill>
        </a:ln>
      </cdr:spPr>
      <cdr:style>
        <a:lnRef idx="1">
          <a:schemeClr val="accent1"/>
        </a:lnRef>
        <a:fillRef idx="0">
          <a:schemeClr val="accent1"/>
        </a:fillRef>
        <a:effectRef idx="0">
          <a:schemeClr val="accent1"/>
        </a:effectRef>
        <a:fontRef idx="minor">
          <a:schemeClr val="tx1"/>
        </a:fontRef>
      </cdr:style>
    </cdr:cxnSp>
  </cdr:relSizeAnchor>
  <cdr:relSizeAnchor xmlns:cdr="http://schemas.openxmlformats.org/drawingml/2006/chartDrawing">
    <cdr:from>
      <cdr:x>0.26049</cdr:x>
      <cdr:y>0.35156</cdr:y>
    </cdr:from>
    <cdr:to>
      <cdr:x>0.98198</cdr:x>
      <cdr:y>0.35156</cdr:y>
    </cdr:to>
    <cdr:cxnSp>
      <cdr:nvCxnSpPr>
        <cdr:cNvPr id="554495476" name="Straight Connector 5"/>
        <cdr:cNvCxnSpPr/>
      </cdr:nvCxnSpPr>
      <cdr:spPr>
        <a:xfrm>
          <a:off x="1426148" y="1746406"/>
          <a:ext cx="3950185" cy="0"/>
        </a:xfrm>
        <a:prstGeom prst="line">
          <a:avLst/>
        </a:prstGeom>
        <a:ln w="50800">
          <a:solidFill>
            <a:schemeClr val="accent4">
              <a:lumMod val="40000"/>
              <a:lumOff val="60000"/>
            </a:schemeClr>
          </a:solidFill>
        </a:ln>
      </cdr:spPr>
      <cdr:style>
        <a:lnRef idx="1">
          <a:schemeClr val="accent1"/>
        </a:lnRef>
        <a:fillRef idx="0">
          <a:schemeClr val="accent1"/>
        </a:fillRef>
        <a:effectRef idx="0">
          <a:schemeClr val="accent1"/>
        </a:effectRef>
        <a:fontRef idx="minor">
          <a:schemeClr val="tx1"/>
        </a:fontRef>
      </cdr:style>
    </cdr:cxnSp>
  </cdr:relSizeAnchor>
</c:userShapes>
</file>

<file path=word/drawings/drawing5.xml><?xml version="1.0" encoding="utf-8"?>
<c:userShapes xmlns:c="http://schemas.openxmlformats.org/drawingml/2006/chart" xmlns:a="http://schemas.openxmlformats.org/drawingml/2006/main">
  <cdr:relSizeAnchor xmlns:cdr="http://schemas.openxmlformats.org/drawingml/2006/chartDrawing">
    <cdr:from>
      <cdr:x>0.18466</cdr:x>
      <cdr:y>0.37323</cdr:y>
    </cdr:from>
    <cdr:to>
      <cdr:x>0.82435</cdr:x>
      <cdr:y>0.64031</cdr:y>
    </cdr:to>
    <cdr:cxnSp>
      <cdr:nvCxnSpPr>
        <cdr:cNvPr id="15863214" name="Straight Connector 1">
          <a:extLst>
            <a:ext xmlns:a="http://schemas.openxmlformats.org/drawingml/2006/main" uri="{FF2B5EF4-FFF2-40B4-BE49-F238E27FC236}">
              <a16:creationId xmlns:a16="http://schemas.microsoft.com/office/drawing/2014/main" id="{40B760DC-15D8-0BFC-F492-709C4B8842AD}"/>
            </a:ext>
          </a:extLst>
        </cdr:cNvPr>
        <cdr:cNvCxnSpPr/>
      </cdr:nvCxnSpPr>
      <cdr:spPr>
        <a:xfrm>
          <a:off x="1022483" y="1019109"/>
          <a:ext cx="3542109" cy="729258"/>
        </a:xfrm>
        <a:prstGeom prst="line">
          <a:avLst/>
        </a:prstGeom>
        <a:ln>
          <a:solidFill>
            <a:srgbClr val="FF0000"/>
          </a:solidFill>
        </a:ln>
      </cdr:spPr>
      <cdr:style>
        <a:lnRef idx="1">
          <a:schemeClr val="accent1"/>
        </a:lnRef>
        <a:fillRef idx="0">
          <a:schemeClr val="accent1"/>
        </a:fillRef>
        <a:effectRef idx="0">
          <a:schemeClr val="accent1"/>
        </a:effectRef>
        <a:fontRef idx="minor">
          <a:schemeClr val="tx1"/>
        </a:fontRef>
      </cdr:style>
    </cdr:cxnSp>
  </cdr:relSizeAnchor>
</c:userShapes>
</file>

<file path=word/drawings/drawing6.xml><?xml version="1.0" encoding="utf-8"?>
<c:userShapes xmlns:c="http://schemas.openxmlformats.org/drawingml/2006/chart" xmlns:a="http://schemas.openxmlformats.org/drawingml/2006/main">
  <cdr:relSizeAnchor xmlns:cdr="http://schemas.openxmlformats.org/drawingml/2006/chartDrawing">
    <cdr:from>
      <cdr:x>0.16127</cdr:x>
      <cdr:y>0.37246</cdr:y>
    </cdr:from>
    <cdr:to>
      <cdr:x>0.87385</cdr:x>
      <cdr:y>0.67404</cdr:y>
    </cdr:to>
    <cdr:cxnSp>
      <cdr:nvCxnSpPr>
        <cdr:cNvPr id="1550972862" name="Straight Connector 1">
          <a:extLst>
            <a:ext xmlns:a="http://schemas.openxmlformats.org/drawingml/2006/main" uri="{FF2B5EF4-FFF2-40B4-BE49-F238E27FC236}">
              <a16:creationId xmlns:a16="http://schemas.microsoft.com/office/drawing/2014/main" id="{40B760DC-15D8-0BFC-F492-709C4B8842AD}"/>
            </a:ext>
          </a:extLst>
        </cdr:cNvPr>
        <cdr:cNvCxnSpPr/>
      </cdr:nvCxnSpPr>
      <cdr:spPr>
        <a:xfrm>
          <a:off x="892969" y="1016992"/>
          <a:ext cx="3945731" cy="823466"/>
        </a:xfrm>
        <a:prstGeom prst="line">
          <a:avLst/>
        </a:prstGeom>
        <a:ln>
          <a:solidFill>
            <a:srgbClr val="FF0000"/>
          </a:solidFill>
        </a:ln>
      </cdr:spPr>
      <cdr:style>
        <a:lnRef idx="1">
          <a:schemeClr val="accent1"/>
        </a:lnRef>
        <a:fillRef idx="0">
          <a:schemeClr val="accent1"/>
        </a:fillRef>
        <a:effectRef idx="0">
          <a:schemeClr val="accent1"/>
        </a:effectRef>
        <a:fontRef idx="minor">
          <a:schemeClr val="tx1"/>
        </a:fontRef>
      </cdr:style>
    </cdr:cxnSp>
  </cdr:relSizeAnchor>
</c:userShapes>
</file>

<file path=word/drawings/drawing7.xml><?xml version="1.0" encoding="utf-8"?>
<c:userShapes xmlns:c="http://schemas.openxmlformats.org/drawingml/2006/chart" xmlns:a="http://schemas.openxmlformats.org/drawingml/2006/main">
  <cdr:relSizeAnchor xmlns:cdr="http://schemas.openxmlformats.org/drawingml/2006/chartDrawing">
    <cdr:from>
      <cdr:x>0.60223</cdr:x>
      <cdr:y>0.11616</cdr:y>
    </cdr:from>
    <cdr:to>
      <cdr:x>0.60371</cdr:x>
      <cdr:y>0.56335</cdr:y>
    </cdr:to>
    <cdr:cxnSp>
      <cdr:nvCxnSpPr>
        <cdr:cNvPr id="1226441560" name="Straight Connector 1"/>
        <cdr:cNvCxnSpPr/>
      </cdr:nvCxnSpPr>
      <cdr:spPr>
        <a:xfrm>
          <a:off x="3602368" y="368215"/>
          <a:ext cx="8826" cy="1417575"/>
        </a:xfrm>
        <a:prstGeom prst="line">
          <a:avLst/>
        </a:prstGeom>
        <a:noFill/>
        <a:ln w="25400">
          <a:solidFill>
            <a:srgbClr val="FF0000"/>
          </a:solidFill>
          <a:prstDash val="solid"/>
          <a:miter lim="800000"/>
        </a:ln>
        <a:effectLst/>
      </cdr:spPr>
    </cdr:cxnSp>
  </cdr:relSizeAnchor>
  <cdr:relSizeAnchor xmlns:cdr="http://schemas.openxmlformats.org/drawingml/2006/chartDrawing">
    <cdr:from>
      <cdr:x>0.79363</cdr:x>
      <cdr:y>0.1181</cdr:y>
    </cdr:from>
    <cdr:to>
      <cdr:x>0.79511</cdr:x>
      <cdr:y>0.56229</cdr:y>
    </cdr:to>
    <cdr:cxnSp>
      <cdr:nvCxnSpPr>
        <cdr:cNvPr id="513669118" name="Straight Connector 2"/>
        <cdr:cNvCxnSpPr/>
      </cdr:nvCxnSpPr>
      <cdr:spPr>
        <a:xfrm flipH="1">
          <a:off x="4747260" y="374352"/>
          <a:ext cx="8847" cy="1408063"/>
        </a:xfrm>
        <a:prstGeom prst="line">
          <a:avLst/>
        </a:prstGeom>
        <a:noFill/>
        <a:ln w="25400">
          <a:solidFill>
            <a:srgbClr val="FF0000"/>
          </a:solidFill>
          <a:prstDash val="solid"/>
          <a:miter lim="800000"/>
        </a:ln>
        <a:effectLst/>
      </cdr:spPr>
    </cdr:cxnSp>
  </cdr:relSizeAnchor>
  <cdr:relSizeAnchor xmlns:cdr="http://schemas.openxmlformats.org/drawingml/2006/chartDrawing">
    <cdr:from>
      <cdr:x>0.88976</cdr:x>
      <cdr:y>0.1181</cdr:y>
    </cdr:from>
    <cdr:to>
      <cdr:x>0.88976</cdr:x>
      <cdr:y>0.56235</cdr:y>
    </cdr:to>
    <cdr:cxnSp>
      <cdr:nvCxnSpPr>
        <cdr:cNvPr id="1846952454" name="Straight Connector 3"/>
        <cdr:cNvCxnSpPr/>
      </cdr:nvCxnSpPr>
      <cdr:spPr>
        <a:xfrm>
          <a:off x="5322275" y="374352"/>
          <a:ext cx="0" cy="1408268"/>
        </a:xfrm>
        <a:prstGeom prst="line">
          <a:avLst/>
        </a:prstGeom>
        <a:noFill/>
        <a:ln w="25400">
          <a:solidFill>
            <a:srgbClr val="FF0000"/>
          </a:solidFill>
          <a:prstDash val="solid"/>
          <a:miter lim="800000"/>
        </a:ln>
        <a:effectLst/>
      </cdr:spPr>
    </cdr:cxnSp>
  </cdr:relSizeAnchor>
</c:userShapes>
</file>

<file path=word/drawings/drawing8.xml><?xml version="1.0" encoding="utf-8"?>
<c:userShapes xmlns:c="http://schemas.openxmlformats.org/drawingml/2006/chart" xmlns:a="http://schemas.openxmlformats.org/drawingml/2006/main">
  <cdr:relSizeAnchor xmlns:cdr="http://schemas.openxmlformats.org/drawingml/2006/chartDrawing">
    <cdr:from>
      <cdr:x>0.60684</cdr:x>
      <cdr:y>0.20625</cdr:y>
    </cdr:from>
    <cdr:to>
      <cdr:x>0.60816</cdr:x>
      <cdr:y>0.61032</cdr:y>
    </cdr:to>
    <cdr:cxnSp>
      <cdr:nvCxnSpPr>
        <cdr:cNvPr id="1372195194" name="Straight Connector 1">
          <a:extLst>
            <a:ext xmlns:a="http://schemas.openxmlformats.org/drawingml/2006/main" uri="{FF2B5EF4-FFF2-40B4-BE49-F238E27FC236}">
              <a16:creationId xmlns:a16="http://schemas.microsoft.com/office/drawing/2014/main" id="{A30191B9-7FBF-1D13-1FB3-42284468B408}"/>
            </a:ext>
          </a:extLst>
        </cdr:cNvPr>
        <cdr:cNvCxnSpPr/>
      </cdr:nvCxnSpPr>
      <cdr:spPr>
        <a:xfrm flipH="1">
          <a:off x="3606800" y="736044"/>
          <a:ext cx="7860" cy="1442006"/>
        </a:xfrm>
        <a:prstGeom prst="line">
          <a:avLst/>
        </a:prstGeom>
        <a:ln w="25400">
          <a:solidFill>
            <a:srgbClr val="FF0000"/>
          </a:solidFill>
        </a:ln>
      </cdr:spPr>
      <cdr:style>
        <a:lnRef idx="1">
          <a:schemeClr val="accent1"/>
        </a:lnRef>
        <a:fillRef idx="0">
          <a:schemeClr val="accent1"/>
        </a:fillRef>
        <a:effectRef idx="0">
          <a:schemeClr val="accent1"/>
        </a:effectRef>
        <a:fontRef idx="minor">
          <a:schemeClr val="tx1"/>
        </a:fontRef>
      </cdr:style>
    </cdr:cxnSp>
  </cdr:relSizeAnchor>
  <cdr:relSizeAnchor xmlns:cdr="http://schemas.openxmlformats.org/drawingml/2006/chartDrawing">
    <cdr:from>
      <cdr:x>0.7938</cdr:x>
      <cdr:y>0.20232</cdr:y>
    </cdr:from>
    <cdr:to>
      <cdr:x>0.79504</cdr:x>
      <cdr:y>0.6032</cdr:y>
    </cdr:to>
    <cdr:cxnSp>
      <cdr:nvCxnSpPr>
        <cdr:cNvPr id="1089540299" name="Straight Connector 2">
          <a:extLst>
            <a:ext xmlns:a="http://schemas.openxmlformats.org/drawingml/2006/main" uri="{FF2B5EF4-FFF2-40B4-BE49-F238E27FC236}">
              <a16:creationId xmlns:a16="http://schemas.microsoft.com/office/drawing/2014/main" id="{A30191B9-7FBF-1D13-1FB3-42284468B408}"/>
            </a:ext>
          </a:extLst>
        </cdr:cNvPr>
        <cdr:cNvCxnSpPr/>
      </cdr:nvCxnSpPr>
      <cdr:spPr>
        <a:xfrm flipH="1">
          <a:off x="4718050" y="722019"/>
          <a:ext cx="7350" cy="1430631"/>
        </a:xfrm>
        <a:prstGeom prst="line">
          <a:avLst/>
        </a:prstGeom>
        <a:ln w="25400">
          <a:solidFill>
            <a:srgbClr val="FF0000"/>
          </a:solidFill>
        </a:ln>
      </cdr:spPr>
      <cdr:style>
        <a:lnRef idx="1">
          <a:schemeClr val="accent1"/>
        </a:lnRef>
        <a:fillRef idx="0">
          <a:schemeClr val="accent1"/>
        </a:fillRef>
        <a:effectRef idx="0">
          <a:schemeClr val="accent1"/>
        </a:effectRef>
        <a:fontRef idx="minor">
          <a:schemeClr val="tx1"/>
        </a:fontRef>
      </cdr:style>
    </cdr:cxnSp>
  </cdr:relSizeAnchor>
  <cdr:relSizeAnchor xmlns:cdr="http://schemas.openxmlformats.org/drawingml/2006/chartDrawing">
    <cdr:from>
      <cdr:x>0.88688</cdr:x>
      <cdr:y>0.20625</cdr:y>
    </cdr:from>
    <cdr:to>
      <cdr:x>0.88688</cdr:x>
      <cdr:y>0.59964</cdr:y>
    </cdr:to>
    <cdr:cxnSp>
      <cdr:nvCxnSpPr>
        <cdr:cNvPr id="1747492852" name="Straight Connector 3">
          <a:extLst>
            <a:ext xmlns:a="http://schemas.openxmlformats.org/drawingml/2006/main" uri="{FF2B5EF4-FFF2-40B4-BE49-F238E27FC236}">
              <a16:creationId xmlns:a16="http://schemas.microsoft.com/office/drawing/2014/main" id="{A30191B9-7FBF-1D13-1FB3-42284468B408}"/>
            </a:ext>
          </a:extLst>
        </cdr:cNvPr>
        <cdr:cNvCxnSpPr/>
      </cdr:nvCxnSpPr>
      <cdr:spPr>
        <a:xfrm>
          <a:off x="5271260" y="736044"/>
          <a:ext cx="0" cy="1403906"/>
        </a:xfrm>
        <a:prstGeom prst="line">
          <a:avLst/>
        </a:prstGeom>
        <a:ln w="25400">
          <a:solidFill>
            <a:srgbClr val="FF0000"/>
          </a:solidFill>
        </a:ln>
      </cdr:spPr>
      <cdr:style>
        <a:lnRef idx="1">
          <a:schemeClr val="accent1"/>
        </a:lnRef>
        <a:fillRef idx="0">
          <a:schemeClr val="accent1"/>
        </a:fillRef>
        <a:effectRef idx="0">
          <a:schemeClr val="accent1"/>
        </a:effectRef>
        <a:fontRef idx="minor">
          <a:schemeClr val="tx1"/>
        </a:fontRef>
      </cdr:style>
    </cdr:cxnSp>
  </cdr:relSizeAnchor>
  <cdr:relSizeAnchor xmlns:cdr="http://schemas.openxmlformats.org/drawingml/2006/chartDrawing">
    <cdr:from>
      <cdr:x>0.42643</cdr:x>
      <cdr:y>0.21018</cdr:y>
    </cdr:from>
    <cdr:to>
      <cdr:x>0.42643</cdr:x>
      <cdr:y>0.60676</cdr:y>
    </cdr:to>
    <cdr:cxnSp>
      <cdr:nvCxnSpPr>
        <cdr:cNvPr id="1486586455" name="Straight Connector 5"/>
        <cdr:cNvCxnSpPr/>
      </cdr:nvCxnSpPr>
      <cdr:spPr>
        <a:xfrm>
          <a:off x="2534529" y="750069"/>
          <a:ext cx="0" cy="1415281"/>
        </a:xfrm>
        <a:prstGeom prst="line">
          <a:avLst/>
        </a:prstGeom>
        <a:ln w="25400">
          <a:solidFill>
            <a:srgbClr val="FF0000"/>
          </a:solidFill>
        </a:ln>
      </cdr:spPr>
      <cdr:style>
        <a:lnRef idx="1">
          <a:schemeClr val="accent1"/>
        </a:lnRef>
        <a:fillRef idx="0">
          <a:schemeClr val="accent1"/>
        </a:fillRef>
        <a:effectRef idx="0">
          <a:schemeClr val="accent1"/>
        </a:effectRef>
        <a:fontRef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Custom 1">
    <a:dk1>
      <a:srgbClr val="0F56DC"/>
    </a:dk1>
    <a:lt1>
      <a:srgbClr val="FFFFFF"/>
    </a:lt1>
    <a:dk2>
      <a:srgbClr val="0B7D58"/>
    </a:dk2>
    <a:lt2>
      <a:srgbClr val="FFFFFF"/>
    </a:lt2>
    <a:accent1>
      <a:srgbClr val="7F8080"/>
    </a:accent1>
    <a:accent2>
      <a:srgbClr val="546DB4"/>
    </a:accent2>
    <a:accent3>
      <a:srgbClr val="9A3B25"/>
    </a:accent3>
    <a:accent4>
      <a:srgbClr val="7F7F7F"/>
    </a:accent4>
    <a:accent5>
      <a:srgbClr val="0033A1"/>
    </a:accent5>
    <a:accent6>
      <a:srgbClr val="002060"/>
    </a:accent6>
    <a:hlink>
      <a:srgbClr val="0F56DC"/>
    </a:hlink>
    <a:folHlink>
      <a:srgbClr val="3077FF"/>
    </a:folHlink>
  </a:clrScheme>
  <a:fontScheme name="CDC Myriad Web Pro">
    <a:majorFont>
      <a:latin typeface="Myriad Web Pro"/>
      <a:ea typeface=""/>
      <a:cs typeface=""/>
    </a:majorFont>
    <a:minorFont>
      <a:latin typeface="Myriad Web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Custom 1">
    <a:dk1>
      <a:srgbClr val="0F56DC"/>
    </a:dk1>
    <a:lt1>
      <a:srgbClr val="FFFFFF"/>
    </a:lt1>
    <a:dk2>
      <a:srgbClr val="0B7D58"/>
    </a:dk2>
    <a:lt2>
      <a:srgbClr val="FFFFFF"/>
    </a:lt2>
    <a:accent1>
      <a:srgbClr val="7F8080"/>
    </a:accent1>
    <a:accent2>
      <a:srgbClr val="546DB4"/>
    </a:accent2>
    <a:accent3>
      <a:srgbClr val="9A3B25"/>
    </a:accent3>
    <a:accent4>
      <a:srgbClr val="7F7F7F"/>
    </a:accent4>
    <a:accent5>
      <a:srgbClr val="0033A1"/>
    </a:accent5>
    <a:accent6>
      <a:srgbClr val="002060"/>
    </a:accent6>
    <a:hlink>
      <a:srgbClr val="0F56DC"/>
    </a:hlink>
    <a:folHlink>
      <a:srgbClr val="3077FF"/>
    </a:folHlink>
  </a:clrScheme>
  <a:fontScheme name="CDC Myriad Web Pro">
    <a:majorFont>
      <a:latin typeface="Myriad Web Pro"/>
      <a:ea typeface=""/>
      <a:cs typeface=""/>
    </a:majorFont>
    <a:minorFont>
      <a:latin typeface="Myriad Web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Custom 1">
    <a:dk1>
      <a:srgbClr val="0F56DC"/>
    </a:dk1>
    <a:lt1>
      <a:srgbClr val="FFFFFF"/>
    </a:lt1>
    <a:dk2>
      <a:srgbClr val="0B7D58"/>
    </a:dk2>
    <a:lt2>
      <a:srgbClr val="FFFFFF"/>
    </a:lt2>
    <a:accent1>
      <a:srgbClr val="7F8080"/>
    </a:accent1>
    <a:accent2>
      <a:srgbClr val="546DB4"/>
    </a:accent2>
    <a:accent3>
      <a:srgbClr val="9A3B25"/>
    </a:accent3>
    <a:accent4>
      <a:srgbClr val="7F7F7F"/>
    </a:accent4>
    <a:accent5>
      <a:srgbClr val="0033A1"/>
    </a:accent5>
    <a:accent6>
      <a:srgbClr val="002060"/>
    </a:accent6>
    <a:hlink>
      <a:srgbClr val="0F56DC"/>
    </a:hlink>
    <a:folHlink>
      <a:srgbClr val="3077FF"/>
    </a:folHlink>
  </a:clrScheme>
  <a:fontScheme name="CDC Myriad Web Pro">
    <a:majorFont>
      <a:latin typeface="Myriad Web Pro"/>
      <a:ea typeface=""/>
      <a:cs typeface=""/>
    </a:majorFont>
    <a:minorFont>
      <a:latin typeface="Myriad Web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Custom 1">
    <a:dk1>
      <a:srgbClr val="0F56DC"/>
    </a:dk1>
    <a:lt1>
      <a:srgbClr val="FFFFFF"/>
    </a:lt1>
    <a:dk2>
      <a:srgbClr val="0B7D58"/>
    </a:dk2>
    <a:lt2>
      <a:srgbClr val="FFFFFF"/>
    </a:lt2>
    <a:accent1>
      <a:srgbClr val="7F8080"/>
    </a:accent1>
    <a:accent2>
      <a:srgbClr val="546DB4"/>
    </a:accent2>
    <a:accent3>
      <a:srgbClr val="9A3B25"/>
    </a:accent3>
    <a:accent4>
      <a:srgbClr val="7F7F7F"/>
    </a:accent4>
    <a:accent5>
      <a:srgbClr val="0033A1"/>
    </a:accent5>
    <a:accent6>
      <a:srgbClr val="002060"/>
    </a:accent6>
    <a:hlink>
      <a:srgbClr val="0F56DC"/>
    </a:hlink>
    <a:folHlink>
      <a:srgbClr val="3077FF"/>
    </a:folHlink>
  </a:clrScheme>
  <a:fontScheme name="CDC Myriad Web Pro">
    <a:majorFont>
      <a:latin typeface="Myriad Web Pro"/>
      <a:ea typeface=""/>
      <a:cs typeface=""/>
    </a:majorFont>
    <a:minorFont>
      <a:latin typeface="Myriad Web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Custom 1">
    <a:dk1>
      <a:srgbClr val="0F56DC"/>
    </a:dk1>
    <a:lt1>
      <a:srgbClr val="FFFFFF"/>
    </a:lt1>
    <a:dk2>
      <a:srgbClr val="0B7D58"/>
    </a:dk2>
    <a:lt2>
      <a:srgbClr val="FFFFFF"/>
    </a:lt2>
    <a:accent1>
      <a:srgbClr val="7F8080"/>
    </a:accent1>
    <a:accent2>
      <a:srgbClr val="546DB4"/>
    </a:accent2>
    <a:accent3>
      <a:srgbClr val="9A3B25"/>
    </a:accent3>
    <a:accent4>
      <a:srgbClr val="7F7F7F"/>
    </a:accent4>
    <a:accent5>
      <a:srgbClr val="0033A1"/>
    </a:accent5>
    <a:accent6>
      <a:srgbClr val="002060"/>
    </a:accent6>
    <a:hlink>
      <a:srgbClr val="0F56DC"/>
    </a:hlink>
    <a:folHlink>
      <a:srgbClr val="3077FF"/>
    </a:folHlink>
  </a:clrScheme>
  <a:fontScheme name="CDC Myriad Web Pro">
    <a:majorFont>
      <a:latin typeface="Myriad Web Pro"/>
      <a:ea typeface=""/>
      <a:cs typeface=""/>
    </a:majorFont>
    <a:minorFont>
      <a:latin typeface="Myriad Web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A402A-B441-40CD-BE4F-859E1CFA2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2366</Words>
  <Characters>13487</Characters>
  <Application>Microsoft Office Word</Application>
  <DocSecurity>0</DocSecurity>
  <Lines>112</Lines>
  <Paragraphs>31</Paragraphs>
  <ScaleCrop>false</ScaleCrop>
  <Company/>
  <LinksUpToDate>false</LinksUpToDate>
  <CharactersWithSpaces>15822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Shulman, Holly (CDC/DDNID/NCCDPHP/DRH)</dc:creator>
  <cp:lastModifiedBy>Demissie, Zewditu (CDC/NCCDPHP/DRH)</cp:lastModifiedBy>
  <cp:revision>3</cp:revision>
  <dcterms:created xsi:type="dcterms:W3CDTF">2024-11-13T19:09:00Z</dcterms:created>
  <dcterms:modified xsi:type="dcterms:W3CDTF">2024-11-13T19:10:00Z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141c249a-4c94-4b9f-9175-9277c1897e58</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2022-07-29T18:33:42Z</vt:lpwstr>
  </property>
  <property fmtid="{D5CDD505-2E9C-101B-9397-08002B2CF9AE}" pid="8" name="MSIP_Label_8af03ff0-41c5-4c41-b55e-fabb8fae94be_SiteId">
    <vt:lpwstr>9ce70869-60db-44fd-abe8-d2767077fc8f</vt:lpwstr>
  </property>
</Properties>
</file>