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5281A" w14:paraId="60073F48" w14:textId="77777777">
      <w:pPr>
        <w:spacing w:after="0"/>
        <w:jc w:val="center"/>
      </w:pPr>
      <w:r>
        <w:t xml:space="preserve">Supporting Statement Part A </w:t>
      </w:r>
    </w:p>
    <w:p w:rsidR="001954A9" w14:paraId="5B3745AF" w14:textId="77777777">
      <w:pPr>
        <w:spacing w:after="0"/>
        <w:ind w:right="0"/>
        <w:jc w:val="center"/>
      </w:pPr>
      <w:r>
        <w:t>Environmental Health Hazards Checklist Medicare Coverage for Individuals Exposed to Environmental Health Hazards</w:t>
      </w:r>
    </w:p>
    <w:p w:rsidR="0065281A" w14:paraId="11138AE5" w14:textId="04055269">
      <w:pPr>
        <w:spacing w:after="0"/>
        <w:ind w:right="0"/>
        <w:jc w:val="center"/>
      </w:pPr>
      <w:r>
        <w:t xml:space="preserve"> (CMS-10902, OMB 0938-NEW) </w:t>
      </w:r>
    </w:p>
    <w:p w:rsidR="0065281A" w14:paraId="35C42F96" w14:textId="77777777">
      <w:pPr>
        <w:spacing w:after="0" w:line="259" w:lineRule="auto"/>
        <w:ind w:left="0" w:right="0" w:firstLine="0"/>
        <w:jc w:val="center"/>
      </w:pPr>
      <w:r>
        <w:t xml:space="preserve"> </w:t>
      </w:r>
    </w:p>
    <w:p w:rsidR="0065281A" w14:paraId="42625067" w14:textId="77777777">
      <w:pPr>
        <w:pStyle w:val="Heading1"/>
        <w:ind w:left="-5"/>
      </w:pPr>
      <w:r>
        <w:t>Background</w:t>
      </w:r>
      <w:r>
        <w:rPr>
          <w:b w:val="0"/>
        </w:rPr>
        <w:t xml:space="preserve"> </w:t>
      </w:r>
    </w:p>
    <w:p w:rsidR="0065281A" w14:paraId="50B36120" w14:textId="77777777">
      <w:pPr>
        <w:spacing w:after="0" w:line="259" w:lineRule="auto"/>
        <w:ind w:left="0" w:right="0" w:firstLine="0"/>
      </w:pPr>
      <w:r>
        <w:t xml:space="preserve"> </w:t>
      </w:r>
    </w:p>
    <w:p w:rsidR="001954A9" w:rsidP="001954A9" w14:paraId="2EE5E9DC" w14:textId="77777777">
      <w:pPr>
        <w:ind w:right="58"/>
      </w:pPr>
      <w:r>
        <w:t xml:space="preserve">This 2024 iteration is a new request. There are no previous iterations or submissions. This form is currently in use and this data has been collected since 2010, however, it has been in use without an OMB control number. </w:t>
      </w:r>
      <w:r>
        <w:rPr>
          <w:sz w:val="20"/>
        </w:rPr>
        <w:t xml:space="preserve"> </w:t>
      </w:r>
      <w:r>
        <w:t xml:space="preserve">During the course of litigation and subsequent examination of this checklist, CMS realized that due to administrative oversight, the checklist had not undergone Paperwork Reduction Act review. CMS immediately started the process to rectify the error.  </w:t>
      </w:r>
    </w:p>
    <w:p w:rsidR="001954A9" w14:paraId="2DFF0CC8" w14:textId="77777777">
      <w:pPr>
        <w:spacing w:after="28"/>
        <w:ind w:right="58"/>
      </w:pPr>
    </w:p>
    <w:p w:rsidR="0065281A" w14:paraId="0CA1DD13" w14:textId="4549744A">
      <w:pPr>
        <w:spacing w:after="28"/>
        <w:ind w:right="58"/>
      </w:pPr>
      <w:r>
        <w:t xml:space="preserve">On July 30, 1965, P.L. 89-97 created Title XVIII of the Social Security Act (the Act). Title XVIII established the hospital insurance program (also referred to as Part A) and the supplementary medical insurance (SMI) program (also referred to as Part B). </w:t>
      </w:r>
    </w:p>
    <w:p w:rsidR="0065281A" w14:paraId="38AACA37" w14:textId="77777777">
      <w:pPr>
        <w:spacing w:after="0" w:line="259" w:lineRule="auto"/>
        <w:ind w:left="0" w:right="0" w:firstLine="0"/>
      </w:pPr>
      <w:r>
        <w:rPr>
          <w:sz w:val="28"/>
        </w:rPr>
        <w:t xml:space="preserve"> </w:t>
      </w:r>
    </w:p>
    <w:p w:rsidR="0065281A" w14:paraId="0B1C6F2F" w14:textId="77777777">
      <w:pPr>
        <w:spacing w:after="270"/>
        <w:ind w:right="58"/>
      </w:pPr>
      <w:r>
        <w:t xml:space="preserve">Part B is a voluntary program and is financed from premium payments by enrollees together with contributions from funds appropriated by the Federal government.  All individuals age 65 or older who are entitled to Part A can enroll in Part B.  There are some individuals, age 65 and over, who are not entitled to or eligible for premium-free Part A. These individuals may, however, pay a premium for Part A and/or enroll in Part B only. </w:t>
      </w:r>
    </w:p>
    <w:p w:rsidR="0065281A" w14:paraId="5CE21153" w14:textId="77777777">
      <w:pPr>
        <w:spacing w:after="268"/>
        <w:ind w:right="58"/>
      </w:pPr>
      <w:r>
        <w:t xml:space="preserve">Section 10323 of the Patient Protection and Affordable Care Act amended Title XVIII of the Act (42 U.S.C. 1395, et seq.) to establish Medicare eligibility for persons who have been affected by environmental exposure to asbestos prior to June 17, 2009, in a geographic area subject to an emergency declaration.  The form Environmental Health Hazards Checklist (CMS-10902) is used by the Social Security Administration (SSA) to determine if an individual meets the eligibility criteria to establish entitlement to </w:t>
      </w:r>
      <w:r>
        <w:t xml:space="preserve">Hospital Insurance (Part A) and enrollment in Supplementary Medical Insurance (Part B) on the basis of an Environmental Health Hazard.  Completed by a licensed provider, the CMS-10902 provides proof that an applicant was present in Lincoln County, Montana and has an asbestos-related condition.  This form is available in both English and Spanish. </w:t>
      </w:r>
    </w:p>
    <w:p w:rsidR="0065281A" w14:paraId="38A92FE9" w14:textId="77777777">
      <w:pPr>
        <w:spacing w:after="0" w:line="259" w:lineRule="auto"/>
        <w:ind w:left="0" w:right="0" w:firstLine="0"/>
      </w:pPr>
      <w:r>
        <w:t xml:space="preserve">    </w:t>
      </w:r>
    </w:p>
    <w:p w:rsidR="0065281A" w14:paraId="4D9FCABF" w14:textId="77777777">
      <w:pPr>
        <w:pStyle w:val="Heading1"/>
        <w:ind w:left="-5"/>
      </w:pPr>
      <w:r>
        <w:t>A. Justification</w:t>
      </w:r>
      <w:r>
        <w:rPr>
          <w:b w:val="0"/>
        </w:rPr>
        <w:t xml:space="preserve"> </w:t>
      </w:r>
    </w:p>
    <w:p w:rsidR="0065281A" w14:paraId="0631D7B5" w14:textId="77777777">
      <w:pPr>
        <w:spacing w:after="5" w:line="259" w:lineRule="auto"/>
        <w:ind w:left="0" w:right="0" w:firstLine="0"/>
      </w:pPr>
      <w:r>
        <w:t xml:space="preserve"> </w:t>
      </w:r>
    </w:p>
    <w:p w:rsidR="0065281A" w14:paraId="412CF7D2" w14:textId="77777777">
      <w:pPr>
        <w:pStyle w:val="Heading2"/>
        <w:tabs>
          <w:tab w:val="center" w:pos="1481"/>
        </w:tabs>
        <w:ind w:left="-15" w:firstLine="0"/>
      </w:pPr>
      <w:r>
        <w:rPr>
          <w:u w:val="none"/>
        </w:rPr>
        <w:t xml:space="preserve">1. </w:t>
      </w:r>
      <w:r>
        <w:rPr>
          <w:u w:val="none"/>
        </w:rPr>
        <w:tab/>
      </w:r>
      <w:r>
        <w:t>Need and Legal Basis</w:t>
      </w:r>
      <w:r>
        <w:rPr>
          <w:u w:val="none"/>
        </w:rPr>
        <w:t xml:space="preserve"> </w:t>
      </w:r>
    </w:p>
    <w:p w:rsidR="0065281A" w14:paraId="752C0E8C" w14:textId="77777777">
      <w:pPr>
        <w:spacing w:after="0" w:line="259" w:lineRule="auto"/>
        <w:ind w:left="0" w:right="0" w:firstLine="0"/>
      </w:pPr>
      <w:r>
        <w:t xml:space="preserve"> </w:t>
      </w:r>
    </w:p>
    <w:p w:rsidR="0065281A" w14:paraId="36371A34" w14:textId="77777777">
      <w:pPr>
        <w:ind w:left="446" w:right="58"/>
      </w:pPr>
      <w:r>
        <w:t xml:space="preserve">Section 1881A of the Act provides an enrollment basis for individuals who have been exposed to environmental health hazards.  Currently, the only individuals eligible for Medicare under </w:t>
      </w:r>
      <w:r>
        <w:t>this provision are those who were present in Lincoln County, Montana, and have an asbestos-related disease (ARD) diagnosis. Eligible individuals must be diagnosed with one or more asbestos-related conditions and have been present in Lincoln County, Montana, for a total of at least 6 months (need not be consecutive) in the period ending 10 years or more before diagnosis of an asbestos-related condition.  This form provides verification from a provider so that SSA can determine eligibility for Medicare enroll</w:t>
      </w:r>
      <w:r>
        <w:t xml:space="preserve">ment. </w:t>
      </w:r>
    </w:p>
    <w:p w:rsidR="0065281A" w14:paraId="7AF514C7" w14:textId="77777777">
      <w:pPr>
        <w:spacing w:after="5" w:line="259" w:lineRule="auto"/>
        <w:ind w:left="0" w:right="0" w:firstLine="0"/>
      </w:pPr>
      <w:r>
        <w:t xml:space="preserve"> </w:t>
      </w:r>
    </w:p>
    <w:p w:rsidR="0065281A" w14:paraId="272B18F8" w14:textId="77777777">
      <w:pPr>
        <w:pStyle w:val="Heading2"/>
        <w:tabs>
          <w:tab w:val="center" w:pos="1308"/>
        </w:tabs>
        <w:ind w:left="-15" w:firstLine="0"/>
      </w:pPr>
      <w:r>
        <w:rPr>
          <w:u w:val="none"/>
        </w:rPr>
        <w:t xml:space="preserve">2. </w:t>
      </w:r>
      <w:r>
        <w:rPr>
          <w:u w:val="none"/>
        </w:rPr>
        <w:tab/>
      </w:r>
      <w:r>
        <w:t>Information Users</w:t>
      </w:r>
      <w:r>
        <w:rPr>
          <w:u w:val="none"/>
        </w:rPr>
        <w:t xml:space="preserve"> </w:t>
      </w:r>
    </w:p>
    <w:p w:rsidR="0065281A" w14:paraId="3B69B38B" w14:textId="77777777">
      <w:pPr>
        <w:spacing w:after="0" w:line="259" w:lineRule="auto"/>
        <w:ind w:left="0" w:right="0" w:firstLine="0"/>
      </w:pPr>
      <w:r>
        <w:t xml:space="preserve"> </w:t>
      </w:r>
    </w:p>
    <w:p w:rsidR="0065281A" w14:paraId="61199FFB" w14:textId="77777777">
      <w:pPr>
        <w:ind w:left="446" w:right="58"/>
      </w:pPr>
      <w:r>
        <w:t xml:space="preserve">SSA uses this information to determine whether an individual meets the requirements for Medicare enrollment on the basis of an Environmental Health Hazard. CMS does not collect or store the information collected. </w:t>
      </w:r>
    </w:p>
    <w:p w:rsidR="0065281A" w14:paraId="2F1B3AC6" w14:textId="77777777">
      <w:pPr>
        <w:spacing w:after="5" w:line="259" w:lineRule="auto"/>
        <w:ind w:left="0" w:right="0" w:firstLine="0"/>
      </w:pPr>
      <w:r>
        <w:t xml:space="preserve"> </w:t>
      </w:r>
    </w:p>
    <w:p w:rsidR="0065281A" w14:paraId="42AA888F" w14:textId="77777777">
      <w:pPr>
        <w:pStyle w:val="Heading2"/>
        <w:tabs>
          <w:tab w:val="center" w:pos="1955"/>
        </w:tabs>
        <w:ind w:left="-15" w:firstLine="0"/>
      </w:pPr>
      <w:r>
        <w:rPr>
          <w:u w:val="none"/>
        </w:rPr>
        <w:t xml:space="preserve">3. </w:t>
      </w:r>
      <w:r>
        <w:rPr>
          <w:u w:val="none"/>
        </w:rPr>
        <w:tab/>
      </w:r>
      <w:r>
        <w:t>Use of Information Technology</w:t>
      </w:r>
      <w:r>
        <w:rPr>
          <w:u w:val="none"/>
        </w:rPr>
        <w:t xml:space="preserve"> </w:t>
      </w:r>
    </w:p>
    <w:p w:rsidR="0065281A" w14:paraId="2345AC7E" w14:textId="77777777">
      <w:pPr>
        <w:spacing w:after="0" w:line="259" w:lineRule="auto"/>
        <w:ind w:left="0" w:right="0" w:firstLine="0"/>
      </w:pPr>
      <w:r>
        <w:t xml:space="preserve"> </w:t>
      </w:r>
    </w:p>
    <w:p w:rsidR="0065281A" w14:paraId="42F72FBF" w14:textId="3C98E136">
      <w:pPr>
        <w:ind w:left="446" w:right="58"/>
      </w:pPr>
      <w:r>
        <w:t xml:space="preserve">Instructions are provided on the form and it is completed by SSA and a licensed provider. It is also available in Spanish. The form is faxed to the applicant’s provider by SSA. The provider must complete and sign the form and submit it back to SSA via fax or mail.  The information on the completed form is reviewed manually by SSA. </w:t>
      </w:r>
    </w:p>
    <w:p w:rsidR="0065281A" w14:paraId="1FEF814A" w14:textId="77777777">
      <w:pPr>
        <w:spacing w:after="0" w:line="259" w:lineRule="auto"/>
        <w:ind w:left="432" w:right="0" w:firstLine="0"/>
      </w:pPr>
      <w:r>
        <w:rPr>
          <w:b/>
        </w:rPr>
        <w:t xml:space="preserve"> </w:t>
      </w:r>
    </w:p>
    <w:p w:rsidR="0065281A" w14:paraId="423FB1A0" w14:textId="77777777">
      <w:pPr>
        <w:ind w:left="446" w:right="58"/>
      </w:pPr>
      <w:r>
        <w:t xml:space="preserve">The form consists of three steps that must be completed to determine an individual’s eligibility for Medicare. </w:t>
      </w:r>
    </w:p>
    <w:p w:rsidR="0065281A" w14:paraId="208E1461" w14:textId="77777777">
      <w:pPr>
        <w:spacing w:after="0" w:line="259" w:lineRule="auto"/>
        <w:ind w:left="432" w:right="0" w:firstLine="0"/>
      </w:pPr>
      <w:r>
        <w:rPr>
          <w:b/>
        </w:rPr>
        <w:t xml:space="preserve">  </w:t>
      </w:r>
    </w:p>
    <w:p w:rsidR="0065281A" w14:paraId="05B08B22" w14:textId="77777777">
      <w:pPr>
        <w:pStyle w:val="Heading1"/>
        <w:ind w:left="442"/>
      </w:pPr>
      <w:r>
        <w:t xml:space="preserve">Step 1 on the Environmental Health Hazards Checklist (completed by SSA) </w:t>
      </w:r>
    </w:p>
    <w:p w:rsidR="0065281A" w14:paraId="60D64C2D" w14:textId="77777777">
      <w:pPr>
        <w:spacing w:after="0" w:line="259" w:lineRule="auto"/>
        <w:ind w:left="432" w:right="0" w:firstLine="0"/>
      </w:pPr>
      <w:r>
        <w:rPr>
          <w:b/>
        </w:rPr>
        <w:t xml:space="preserve"> </w:t>
      </w:r>
    </w:p>
    <w:p w:rsidR="0065281A" w14:paraId="1835365D" w14:textId="77777777">
      <w:pPr>
        <w:ind w:left="446" w:right="58"/>
      </w:pPr>
      <w:r>
        <w:t xml:space="preserve">SSA completes Step 1 by filling in three fields. They are as follows: </w:t>
      </w:r>
    </w:p>
    <w:p w:rsidR="0065281A" w14:paraId="4C73435C" w14:textId="77777777">
      <w:pPr>
        <w:spacing w:after="0" w:line="259" w:lineRule="auto"/>
        <w:ind w:left="432" w:right="0" w:firstLine="0"/>
      </w:pPr>
      <w:r>
        <w:t xml:space="preserve"> </w:t>
      </w:r>
    </w:p>
    <w:p w:rsidR="0065281A" w14:paraId="7CEBF563" w14:textId="77777777">
      <w:pPr>
        <w:numPr>
          <w:ilvl w:val="0"/>
          <w:numId w:val="1"/>
        </w:numPr>
        <w:ind w:right="58" w:hanging="360"/>
      </w:pPr>
      <w:r>
        <w:t xml:space="preserve">First Name – Middle initial – Last Name </w:t>
      </w:r>
    </w:p>
    <w:p w:rsidR="0065281A" w14:paraId="0331D66C" w14:textId="77777777">
      <w:pPr>
        <w:numPr>
          <w:ilvl w:val="0"/>
          <w:numId w:val="1"/>
        </w:numPr>
        <w:ind w:right="58" w:hanging="360"/>
      </w:pPr>
      <w:r>
        <w:t xml:space="preserve">Social Security Number </w:t>
      </w:r>
    </w:p>
    <w:p w:rsidR="0065281A" w14:paraId="29FB9FAA" w14:textId="77777777">
      <w:pPr>
        <w:numPr>
          <w:ilvl w:val="0"/>
          <w:numId w:val="1"/>
        </w:numPr>
        <w:ind w:right="58" w:hanging="360"/>
      </w:pPr>
      <w:r>
        <w:t xml:space="preserve">Date of Birth </w:t>
      </w:r>
    </w:p>
    <w:p w:rsidR="0065281A" w14:paraId="3528F99A" w14:textId="77777777">
      <w:pPr>
        <w:spacing w:after="0" w:line="259" w:lineRule="auto"/>
        <w:ind w:left="432" w:right="0" w:firstLine="0"/>
      </w:pPr>
      <w:r>
        <w:t xml:space="preserve"> </w:t>
      </w:r>
    </w:p>
    <w:p w:rsidR="0065281A" w14:paraId="7FFC664D" w14:textId="77777777">
      <w:pPr>
        <w:pStyle w:val="Heading1"/>
        <w:ind w:left="442"/>
      </w:pPr>
      <w:r>
        <w:t xml:space="preserve">Step 2 on the Environmental Health Hazards Checklist (completed by Provider) </w:t>
      </w:r>
    </w:p>
    <w:p w:rsidR="0065281A" w14:paraId="10EDA49E" w14:textId="77777777">
      <w:pPr>
        <w:spacing w:after="0" w:line="259" w:lineRule="auto"/>
        <w:ind w:left="0" w:right="0" w:firstLine="0"/>
      </w:pPr>
      <w:r>
        <w:t xml:space="preserve"> </w:t>
      </w:r>
    </w:p>
    <w:p w:rsidR="0065281A" w14:paraId="07D0F2A1" w14:textId="77777777">
      <w:pPr>
        <w:ind w:left="446" w:right="58"/>
      </w:pPr>
      <w:r>
        <w:t xml:space="preserve">Requests the Provider to check the box next to the individual’s diagnosed asbestos-related condition and to provide the date of diagnosis.  </w:t>
      </w:r>
    </w:p>
    <w:p w:rsidR="0065281A" w14:paraId="75F8CAEC" w14:textId="77777777">
      <w:pPr>
        <w:ind w:left="446" w:right="58"/>
      </w:pPr>
      <w:r>
        <w:t xml:space="preserve">The options are as follows:  </w:t>
      </w:r>
    </w:p>
    <w:p w:rsidR="0065281A" w14:paraId="648DC807" w14:textId="77777777">
      <w:pPr>
        <w:numPr>
          <w:ilvl w:val="0"/>
          <w:numId w:val="2"/>
        </w:numPr>
        <w:ind w:right="58" w:hanging="360"/>
      </w:pPr>
      <w:r>
        <w:t xml:space="preserve">Asbestosis </w:t>
      </w:r>
    </w:p>
    <w:p w:rsidR="0065281A" w14:paraId="2E3F9DF8" w14:textId="77777777">
      <w:pPr>
        <w:numPr>
          <w:ilvl w:val="0"/>
          <w:numId w:val="2"/>
        </w:numPr>
        <w:ind w:right="58" w:hanging="360"/>
      </w:pPr>
      <w:r>
        <w:t xml:space="preserve">Pleural Thickening/Pleural Plaques </w:t>
      </w:r>
    </w:p>
    <w:p w:rsidR="0065281A" w14:paraId="599BFC5F" w14:textId="77777777">
      <w:pPr>
        <w:numPr>
          <w:ilvl w:val="0"/>
          <w:numId w:val="2"/>
        </w:numPr>
        <w:ind w:right="58" w:hanging="360"/>
      </w:pPr>
      <w:r>
        <w:t xml:space="preserve">Mesothelioma </w:t>
      </w:r>
    </w:p>
    <w:p w:rsidR="0065281A" w14:paraId="502DBB14" w14:textId="77777777">
      <w:pPr>
        <w:numPr>
          <w:ilvl w:val="0"/>
          <w:numId w:val="2"/>
        </w:numPr>
        <w:ind w:right="58" w:hanging="360"/>
      </w:pPr>
      <w:r>
        <w:t xml:space="preserve">Malignancy of the lung, colon, rectum, larynx, stomach, esophagus, pharynx and/or ovary </w:t>
      </w:r>
    </w:p>
    <w:p w:rsidR="0065281A" w14:paraId="056EBDB2" w14:textId="77777777">
      <w:pPr>
        <w:spacing w:after="0" w:line="259" w:lineRule="auto"/>
        <w:ind w:left="432" w:right="0" w:firstLine="0"/>
      </w:pPr>
      <w:r>
        <w:t xml:space="preserve"> </w:t>
      </w:r>
    </w:p>
    <w:p w:rsidR="0065281A" w14:paraId="046FF776" w14:textId="77777777">
      <w:pPr>
        <w:pStyle w:val="Heading1"/>
        <w:ind w:left="442"/>
      </w:pPr>
      <w:r>
        <w:t xml:space="preserve">Step 3 on the Environmental Health Hazards Checklist (completed by Provider) </w:t>
      </w:r>
    </w:p>
    <w:p w:rsidR="0065281A" w14:paraId="56751A45" w14:textId="77777777">
      <w:pPr>
        <w:spacing w:after="0" w:line="259" w:lineRule="auto"/>
        <w:ind w:left="432" w:right="0" w:firstLine="0"/>
      </w:pPr>
      <w:r>
        <w:rPr>
          <w:b/>
        </w:rPr>
        <w:t xml:space="preserve"> </w:t>
      </w:r>
    </w:p>
    <w:p w:rsidR="0065281A" w14:paraId="657DAFF1" w14:textId="77777777">
      <w:pPr>
        <w:ind w:left="446" w:right="58"/>
      </w:pPr>
      <w:r>
        <w:t xml:space="preserve">Requests the provider to provide the dates the individual was present in the area that is subject to the environmental health hazard and indicate if it was for the required amount of time. </w:t>
      </w:r>
    </w:p>
    <w:p w:rsidR="0065281A" w14:paraId="21D39974" w14:textId="77777777">
      <w:pPr>
        <w:ind w:left="446" w:right="58"/>
      </w:pPr>
      <w:r>
        <w:t xml:space="preserve">Lastly, a signature is required from the provider attesting that the information provided is accurate. </w:t>
      </w:r>
    </w:p>
    <w:p w:rsidR="0065281A" w14:paraId="4DB2B601" w14:textId="77777777">
      <w:pPr>
        <w:spacing w:after="0" w:line="259" w:lineRule="auto"/>
        <w:ind w:left="432" w:right="0" w:firstLine="0"/>
      </w:pPr>
      <w:r>
        <w:t xml:space="preserve"> </w:t>
      </w:r>
    </w:p>
    <w:p w:rsidR="0065281A" w14:paraId="5BFD2D69" w14:textId="77777777">
      <w:pPr>
        <w:spacing w:after="5" w:line="259" w:lineRule="auto"/>
        <w:ind w:left="0" w:right="0" w:firstLine="0"/>
      </w:pPr>
      <w:r>
        <w:t xml:space="preserve"> </w:t>
      </w:r>
    </w:p>
    <w:p w:rsidR="0065281A" w14:paraId="1AC40850" w14:textId="77777777">
      <w:pPr>
        <w:numPr>
          <w:ilvl w:val="0"/>
          <w:numId w:val="3"/>
        </w:numPr>
        <w:spacing w:after="0" w:line="259" w:lineRule="auto"/>
        <w:ind w:right="0" w:hanging="720"/>
      </w:pPr>
      <w:r>
        <w:rPr>
          <w:u w:val="single" w:color="000000"/>
        </w:rPr>
        <w:t>Duplication of Efforts</w:t>
      </w:r>
      <w:r>
        <w:t xml:space="preserve"> </w:t>
      </w:r>
    </w:p>
    <w:p w:rsidR="0065281A" w14:paraId="6D7F9F81" w14:textId="77777777">
      <w:pPr>
        <w:spacing w:after="0" w:line="259" w:lineRule="auto"/>
        <w:ind w:left="0" w:right="0" w:firstLine="0"/>
      </w:pPr>
      <w:r>
        <w:t xml:space="preserve"> </w:t>
      </w:r>
    </w:p>
    <w:p w:rsidR="0065281A" w14:paraId="54170BC7" w14:textId="77777777">
      <w:pPr>
        <w:ind w:right="58"/>
      </w:pPr>
      <w:r>
        <w:t xml:space="preserve">The collection of this information does not duplicate any other effort. </w:t>
      </w:r>
    </w:p>
    <w:p w:rsidR="0065281A" w14:paraId="132BAB23" w14:textId="77777777">
      <w:pPr>
        <w:spacing w:after="0" w:line="259" w:lineRule="auto"/>
        <w:ind w:left="0" w:right="0" w:firstLine="0"/>
      </w:pPr>
      <w:r>
        <w:t xml:space="preserve"> </w:t>
      </w:r>
    </w:p>
    <w:p w:rsidR="0065281A" w14:paraId="0D510907" w14:textId="77777777">
      <w:pPr>
        <w:spacing w:after="5" w:line="259" w:lineRule="auto"/>
        <w:ind w:left="0" w:right="0" w:firstLine="0"/>
      </w:pPr>
      <w:r>
        <w:t xml:space="preserve"> </w:t>
      </w:r>
    </w:p>
    <w:p w:rsidR="0065281A" w14:paraId="78D40491" w14:textId="77777777">
      <w:pPr>
        <w:numPr>
          <w:ilvl w:val="0"/>
          <w:numId w:val="3"/>
        </w:numPr>
        <w:spacing w:after="0" w:line="259" w:lineRule="auto"/>
        <w:ind w:right="0" w:hanging="720"/>
      </w:pPr>
      <w:r>
        <w:rPr>
          <w:u w:val="single" w:color="000000"/>
        </w:rPr>
        <w:t>Small Businesses</w:t>
      </w:r>
      <w:r>
        <w:t xml:space="preserve"> </w:t>
      </w:r>
    </w:p>
    <w:p w:rsidR="0065281A" w14:paraId="78C02343" w14:textId="77777777">
      <w:pPr>
        <w:spacing w:after="0" w:line="259" w:lineRule="auto"/>
        <w:ind w:left="0" w:right="0" w:firstLine="0"/>
      </w:pPr>
      <w:r>
        <w:t xml:space="preserve"> </w:t>
      </w:r>
    </w:p>
    <w:p w:rsidR="0065281A" w14:paraId="7E15B374" w14:textId="77777777">
      <w:pPr>
        <w:ind w:right="58"/>
      </w:pPr>
      <w:r>
        <w:t xml:space="preserve">Small businesses are not affected by the collection of this information.  </w:t>
      </w:r>
    </w:p>
    <w:p w:rsidR="0065281A" w14:paraId="21925B8F" w14:textId="77777777">
      <w:pPr>
        <w:spacing w:after="5" w:line="259" w:lineRule="auto"/>
        <w:ind w:left="0" w:right="0" w:firstLine="0"/>
      </w:pPr>
      <w:r>
        <w:t xml:space="preserve"> </w:t>
      </w:r>
    </w:p>
    <w:p w:rsidR="0065281A" w14:paraId="06CF3E84" w14:textId="77777777">
      <w:pPr>
        <w:pStyle w:val="Heading2"/>
        <w:tabs>
          <w:tab w:val="center" w:pos="1926"/>
        </w:tabs>
        <w:ind w:left="-15" w:firstLine="0"/>
      </w:pPr>
      <w:r>
        <w:rPr>
          <w:u w:val="none"/>
        </w:rPr>
        <w:t xml:space="preserve">6. </w:t>
      </w:r>
      <w:r>
        <w:rPr>
          <w:u w:val="none"/>
        </w:rPr>
        <w:tab/>
      </w:r>
      <w:r>
        <w:t>Less Frequent Collection</w:t>
      </w:r>
      <w:r>
        <w:rPr>
          <w:u w:val="none"/>
        </w:rPr>
        <w:t xml:space="preserve"> </w:t>
      </w:r>
    </w:p>
    <w:p w:rsidR="0065281A" w14:paraId="579DFEF5" w14:textId="77777777">
      <w:pPr>
        <w:spacing w:after="0" w:line="259" w:lineRule="auto"/>
        <w:ind w:left="0" w:right="0" w:firstLine="0"/>
      </w:pPr>
      <w:r>
        <w:t xml:space="preserve"> </w:t>
      </w:r>
    </w:p>
    <w:p w:rsidR="0065281A" w14:paraId="634ACEE6" w14:textId="77777777">
      <w:pPr>
        <w:ind w:right="58"/>
      </w:pPr>
      <w:r>
        <w:t xml:space="preserve">This information is collected only as needed. Less frequent collection would adversely affect beneficiary’s eligibility for Medicare enrollment since they’re only allowed to enroll using on this basis if the provider verifies eligibility based on condition and residence.  </w:t>
      </w:r>
    </w:p>
    <w:p w:rsidR="0065281A" w14:paraId="47F03BD9" w14:textId="77777777">
      <w:pPr>
        <w:spacing w:after="5" w:line="259" w:lineRule="auto"/>
        <w:ind w:left="0" w:right="0" w:firstLine="0"/>
      </w:pPr>
      <w:r>
        <w:t xml:space="preserve"> </w:t>
      </w:r>
    </w:p>
    <w:p w:rsidR="0065281A" w14:paraId="6634DC0E" w14:textId="77777777">
      <w:pPr>
        <w:pStyle w:val="Heading2"/>
        <w:tabs>
          <w:tab w:val="center" w:pos="1808"/>
        </w:tabs>
        <w:ind w:left="-15" w:firstLine="0"/>
      </w:pPr>
      <w:r>
        <w:rPr>
          <w:u w:val="none"/>
        </w:rPr>
        <w:t xml:space="preserve">7. </w:t>
      </w:r>
      <w:r>
        <w:rPr>
          <w:u w:val="none"/>
        </w:rPr>
        <w:tab/>
      </w:r>
      <w:r>
        <w:t>Special Circumstances</w:t>
      </w:r>
      <w:r>
        <w:rPr>
          <w:u w:val="none"/>
        </w:rPr>
        <w:t xml:space="preserve"> </w:t>
      </w:r>
    </w:p>
    <w:p w:rsidR="0065281A" w14:paraId="14EAF854" w14:textId="77777777">
      <w:pPr>
        <w:spacing w:after="0" w:line="259" w:lineRule="auto"/>
        <w:ind w:left="0" w:right="0" w:firstLine="0"/>
      </w:pPr>
      <w:r>
        <w:t xml:space="preserve"> </w:t>
      </w:r>
    </w:p>
    <w:p w:rsidR="0065281A" w14:paraId="15456FEE" w14:textId="77777777">
      <w:pPr>
        <w:ind w:right="58"/>
      </w:pPr>
      <w:r>
        <w:t xml:space="preserve">There are no special circumstances that would require an information collection to be conducted in a manner that requires respondents to: </w:t>
      </w:r>
    </w:p>
    <w:p w:rsidR="0065281A" w14:paraId="23E3C6E5" w14:textId="77777777">
      <w:pPr>
        <w:spacing w:after="22" w:line="259" w:lineRule="auto"/>
        <w:ind w:left="0" w:right="0" w:firstLine="0"/>
      </w:pPr>
      <w:r>
        <w:t xml:space="preserve"> </w:t>
      </w:r>
    </w:p>
    <w:p w:rsidR="0065281A" w14:paraId="7451F2F7" w14:textId="77777777">
      <w:pPr>
        <w:numPr>
          <w:ilvl w:val="0"/>
          <w:numId w:val="4"/>
        </w:numPr>
        <w:ind w:right="58" w:hanging="432"/>
      </w:pPr>
      <w:r>
        <w:t xml:space="preserve">Report information to the agency more often than quarterly; </w:t>
      </w:r>
    </w:p>
    <w:p w:rsidR="0065281A" w14:paraId="06E2DB48" w14:textId="77777777">
      <w:pPr>
        <w:numPr>
          <w:ilvl w:val="0"/>
          <w:numId w:val="4"/>
        </w:numPr>
        <w:ind w:right="58" w:hanging="432"/>
      </w:pPr>
      <w:r>
        <w:t xml:space="preserve">Prepare a written response to a collection of information in fewer than 30 days after receipt of </w:t>
      </w:r>
    </w:p>
    <w:p w:rsidR="0065281A" w14:paraId="4802FBD9" w14:textId="77777777">
      <w:pPr>
        <w:spacing w:after="32"/>
        <w:ind w:left="446" w:right="58"/>
      </w:pPr>
      <w:r>
        <w:t xml:space="preserve">it;  </w:t>
      </w:r>
    </w:p>
    <w:p w:rsidR="0065281A" w14:paraId="3584917E" w14:textId="77777777">
      <w:pPr>
        <w:numPr>
          <w:ilvl w:val="0"/>
          <w:numId w:val="4"/>
        </w:numPr>
        <w:ind w:right="58" w:hanging="432"/>
      </w:pPr>
      <w:r>
        <w:t xml:space="preserve">Submit more than an original and two copies of any document; </w:t>
      </w:r>
    </w:p>
    <w:p w:rsidR="0065281A" w14:paraId="39CE6A90" w14:textId="77777777">
      <w:pPr>
        <w:numPr>
          <w:ilvl w:val="0"/>
          <w:numId w:val="4"/>
        </w:numPr>
        <w:spacing w:after="35"/>
        <w:ind w:right="58" w:hanging="432"/>
      </w:pPr>
      <w:r>
        <w:t xml:space="preserve">Retain records, other than health, medical, government contract, grant-in-aid, or tax records for more than three years; </w:t>
      </w:r>
    </w:p>
    <w:p w:rsidR="0065281A" w14:paraId="3EDADD58" w14:textId="77777777">
      <w:pPr>
        <w:numPr>
          <w:ilvl w:val="0"/>
          <w:numId w:val="4"/>
        </w:numPr>
        <w:spacing w:after="34"/>
        <w:ind w:right="58" w:hanging="432"/>
      </w:pPr>
      <w:r>
        <w:t xml:space="preserve">Collect data in connection with a statistical survey that is not designed to produce valid and reliable results that can be generalized to the universe of study; </w:t>
      </w:r>
    </w:p>
    <w:p w:rsidR="0065281A" w14:paraId="6D6A5A4C" w14:textId="77777777">
      <w:pPr>
        <w:numPr>
          <w:ilvl w:val="0"/>
          <w:numId w:val="4"/>
        </w:numPr>
        <w:ind w:right="58" w:hanging="432"/>
      </w:pPr>
      <w:r>
        <w:t xml:space="preserve">Use a statistical data classification that has not been reviewed and approved by OMB; </w:t>
      </w:r>
    </w:p>
    <w:p w:rsidR="0065281A" w14:paraId="241713F1" w14:textId="77777777">
      <w:pPr>
        <w:numPr>
          <w:ilvl w:val="0"/>
          <w:numId w:val="4"/>
        </w:numPr>
        <w:spacing w:after="35"/>
        <w:ind w:right="58" w:hanging="432"/>
      </w:pPr>
      <w:r>
        <w:t xml:space="preserve">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65281A" w14:paraId="2464C19F" w14:textId="77777777">
      <w:pPr>
        <w:numPr>
          <w:ilvl w:val="0"/>
          <w:numId w:val="4"/>
        </w:numPr>
        <w:ind w:right="58" w:hanging="432"/>
      </w:pPr>
      <w:r>
        <w:t xml:space="preserve">Submit proprietary trade secret, or other confidential information unless the agency can demonstrate that it has instituted procedures to protect the information's confidentiality to the extent permitted by law. </w:t>
      </w:r>
    </w:p>
    <w:p w:rsidR="0065281A" w14:paraId="4864A5A9" w14:textId="77777777">
      <w:pPr>
        <w:spacing w:after="5" w:line="259" w:lineRule="auto"/>
        <w:ind w:left="0" w:right="0" w:firstLine="0"/>
      </w:pPr>
      <w:r>
        <w:t xml:space="preserve"> </w:t>
      </w:r>
    </w:p>
    <w:p w:rsidR="0065281A" w14:paraId="58342760" w14:textId="77777777">
      <w:pPr>
        <w:tabs>
          <w:tab w:val="center" w:pos="2273"/>
        </w:tabs>
        <w:spacing w:after="0" w:line="259" w:lineRule="auto"/>
        <w:ind w:left="-15" w:right="0" w:firstLine="0"/>
      </w:pPr>
      <w:r>
        <w:t xml:space="preserve">8. </w:t>
      </w:r>
      <w:r>
        <w:tab/>
      </w:r>
      <w:r>
        <w:rPr>
          <w:u w:val="single" w:color="000000"/>
        </w:rPr>
        <w:t>Federal Register/Outside Consultation</w:t>
      </w:r>
      <w:r>
        <w:t xml:space="preserve"> </w:t>
      </w:r>
    </w:p>
    <w:p w:rsidR="0065281A" w14:paraId="63D765B0" w14:textId="77777777">
      <w:pPr>
        <w:spacing w:after="0" w:line="259" w:lineRule="auto"/>
        <w:ind w:left="0" w:right="0" w:firstLine="0"/>
      </w:pPr>
      <w:r>
        <w:t xml:space="preserve"> </w:t>
      </w:r>
    </w:p>
    <w:p w:rsidR="0065281A" w:rsidRPr="001954A9" w:rsidP="001954A9" w14:paraId="59650CA5" w14:textId="4E7971D8">
      <w:pPr>
        <w:ind w:left="0" w:firstLine="0"/>
      </w:pPr>
      <w:r w:rsidRPr="001954A9">
        <w:t xml:space="preserve"> </w:t>
      </w:r>
      <w:r w:rsidR="001954A9">
        <w:t xml:space="preserve"> </w:t>
      </w:r>
      <w:r w:rsidRPr="001954A9">
        <w:t xml:space="preserve">The 60-day notice published in the Federal Register on </w:t>
      </w:r>
      <w:r w:rsidRPr="001954A9" w:rsidR="001954A9">
        <w:t>9/5/2024</w:t>
      </w:r>
      <w:r w:rsidRPr="001954A9">
        <w:t xml:space="preserve"> (</w:t>
      </w:r>
      <w:r w:rsidRPr="001954A9" w:rsidR="001954A9">
        <w:t>89 FR 72402</w:t>
      </w:r>
      <w:r w:rsidRPr="001954A9">
        <w:t>).</w:t>
      </w:r>
      <w:r w:rsidRPr="001954A9">
        <w:t xml:space="preserve"> </w:t>
      </w:r>
    </w:p>
    <w:p w:rsidR="001954A9" w:rsidRPr="001954A9" w:rsidP="001954A9" w14:paraId="629BBE0A" w14:textId="72469CAF">
      <w:pPr>
        <w:ind w:left="0" w:firstLine="0"/>
      </w:pPr>
      <w:r w:rsidRPr="001954A9">
        <w:t xml:space="preserve">  No comments were received during the 60-day comment period. </w:t>
      </w:r>
    </w:p>
    <w:p w:rsidR="001954A9" w:rsidRPr="001954A9" w:rsidP="001954A9" w14:paraId="308F1B2A" w14:textId="7B540DA0">
      <w:pPr>
        <w:ind w:left="0" w:firstLine="0"/>
      </w:pPr>
      <w:r w:rsidRPr="001954A9">
        <w:tab/>
      </w:r>
    </w:p>
    <w:p w:rsidR="001954A9" w:rsidRPr="001954A9" w:rsidP="001954A9" w14:paraId="15BF3425" w14:textId="6B26CEA4">
      <w:pPr>
        <w:ind w:left="0" w:firstLine="0"/>
      </w:pPr>
      <w:r w:rsidRPr="001954A9">
        <w:t xml:space="preserve">  </w:t>
      </w:r>
      <w:r w:rsidRPr="001954A9">
        <w:t xml:space="preserve">The </w:t>
      </w:r>
      <w:r w:rsidRPr="001954A9">
        <w:t>3</w:t>
      </w:r>
      <w:r w:rsidRPr="001954A9">
        <w:t xml:space="preserve">0-day notice published in the Federal Register on </w:t>
      </w:r>
      <w:r w:rsidRPr="001954A9">
        <w:t>11</w:t>
      </w:r>
      <w:r w:rsidRPr="001954A9">
        <w:t>/</w:t>
      </w:r>
      <w:r w:rsidRPr="001954A9">
        <w:t>22</w:t>
      </w:r>
      <w:r w:rsidRPr="001954A9">
        <w:t>/2024 (89 FR 92689</w:t>
      </w:r>
      <w:r w:rsidRPr="001954A9">
        <w:t>).</w:t>
      </w:r>
    </w:p>
    <w:p w:rsidR="0065281A" w14:paraId="14A2EB83" w14:textId="77777777">
      <w:pPr>
        <w:spacing w:after="5" w:line="259" w:lineRule="auto"/>
        <w:ind w:left="0" w:right="0" w:firstLine="0"/>
        <w:jc w:val="right"/>
      </w:pPr>
      <w:r>
        <w:t xml:space="preserve"> </w:t>
      </w:r>
    </w:p>
    <w:p w:rsidR="0065281A" w14:paraId="4931C4B3" w14:textId="77777777">
      <w:pPr>
        <w:pStyle w:val="Heading2"/>
        <w:tabs>
          <w:tab w:val="center" w:pos="1939"/>
        </w:tabs>
        <w:ind w:left="-15" w:firstLine="0"/>
      </w:pPr>
      <w:r>
        <w:rPr>
          <w:u w:val="none"/>
        </w:rPr>
        <w:t xml:space="preserve">9. </w:t>
      </w:r>
      <w:r>
        <w:rPr>
          <w:u w:val="none"/>
        </w:rPr>
        <w:tab/>
      </w:r>
      <w:r>
        <w:t>Payments/Gifts to Respondents</w:t>
      </w:r>
      <w:r>
        <w:rPr>
          <w:u w:val="none"/>
        </w:rPr>
        <w:t xml:space="preserve"> </w:t>
      </w:r>
    </w:p>
    <w:p w:rsidR="0065281A" w14:paraId="1553E524" w14:textId="77777777">
      <w:pPr>
        <w:spacing w:after="0" w:line="259" w:lineRule="auto"/>
        <w:ind w:left="0" w:right="0" w:firstLine="0"/>
      </w:pPr>
      <w:r>
        <w:t xml:space="preserve"> </w:t>
      </w:r>
    </w:p>
    <w:p w:rsidR="0065281A" w14:paraId="4E8A4EF3" w14:textId="77777777">
      <w:pPr>
        <w:ind w:left="446" w:right="58"/>
      </w:pPr>
      <w:r>
        <w:t xml:space="preserve">This form provides the evidence necessary to determine eligibility for Medicare on the basis of an Environmental Health Hazard. There are no payments or gifts to respondents. </w:t>
      </w:r>
    </w:p>
    <w:p w:rsidR="0065281A" w14:paraId="2B0394F3" w14:textId="77777777">
      <w:pPr>
        <w:spacing w:after="0" w:line="259" w:lineRule="auto"/>
        <w:ind w:left="0" w:right="0" w:firstLine="0"/>
      </w:pPr>
      <w:r>
        <w:t xml:space="preserve"> </w:t>
      </w:r>
    </w:p>
    <w:p w:rsidR="0065281A" w14:paraId="4375EB7E" w14:textId="77777777">
      <w:pPr>
        <w:pStyle w:val="Heading2"/>
        <w:ind w:left="-5"/>
      </w:pPr>
      <w:r>
        <w:rPr>
          <w:u w:val="none"/>
        </w:rPr>
        <w:t xml:space="preserve">10. </w:t>
      </w:r>
      <w:r>
        <w:t>Confidentiality</w:t>
      </w:r>
      <w:r>
        <w:rPr>
          <w:u w:val="none"/>
        </w:rPr>
        <w:t xml:space="preserve"> </w:t>
      </w:r>
    </w:p>
    <w:p w:rsidR="0065281A" w14:paraId="1DD829FA" w14:textId="77777777">
      <w:pPr>
        <w:spacing w:after="0" w:line="259" w:lineRule="auto"/>
        <w:ind w:left="432" w:right="0" w:firstLine="0"/>
      </w:pPr>
      <w:r>
        <w:t xml:space="preserve"> </w:t>
      </w:r>
    </w:p>
    <w:p w:rsidR="0065281A" w14:paraId="08CF1033" w14:textId="77777777">
      <w:pPr>
        <w:ind w:left="446" w:right="58"/>
      </w:pPr>
      <w:r>
        <w:t xml:space="preserve">The information collected is protected under provisions of the Privacy Act.  A copy of the information collected is provided to the applicant. System of Records Notice (SORN) that apply to Medicare claims:  </w:t>
      </w:r>
    </w:p>
    <w:p w:rsidR="00A2587F" w14:paraId="6558EE97" w14:textId="77777777">
      <w:pPr>
        <w:ind w:left="446" w:right="58"/>
      </w:pPr>
    </w:p>
    <w:p w:rsidR="0065281A" w14:paraId="0AAD26BC" w14:textId="77777777">
      <w:pPr>
        <w:ind w:left="730" w:right="58"/>
      </w:pPr>
      <w:r>
        <w:rPr>
          <w:rFonts w:ascii="Segoe UI Symbol" w:eastAsia="Segoe UI Symbol" w:hAnsi="Segoe UI Symbol" w:cs="Segoe UI Symbol"/>
        </w:rPr>
        <w:t>•</w:t>
      </w:r>
      <w:r>
        <w:rPr>
          <w:rFonts w:ascii="Arial" w:eastAsia="Arial" w:hAnsi="Arial" w:cs="Arial"/>
        </w:rPr>
        <w:t xml:space="preserve"> </w:t>
      </w:r>
      <w:r>
        <w:t xml:space="preserve">60-0090 - SSA’s Master Beneficiary Record (MBR). </w:t>
      </w:r>
    </w:p>
    <w:p w:rsidR="0065281A" w14:paraId="2FB3A23C" w14:textId="77777777">
      <w:pPr>
        <w:spacing w:after="0" w:line="259" w:lineRule="auto"/>
        <w:ind w:left="0" w:right="0" w:firstLine="0"/>
      </w:pPr>
      <w:r>
        <w:t xml:space="preserve"> </w:t>
      </w:r>
    </w:p>
    <w:p w:rsidR="0065281A" w14:paraId="1963AA85" w14:textId="77777777">
      <w:pPr>
        <w:pStyle w:val="Heading2"/>
        <w:ind w:left="-5"/>
      </w:pPr>
      <w:r>
        <w:rPr>
          <w:u w:val="none"/>
        </w:rPr>
        <w:t xml:space="preserve">11. </w:t>
      </w:r>
      <w:r>
        <w:t>Sensitive Questions</w:t>
      </w:r>
      <w:r>
        <w:rPr>
          <w:u w:val="none"/>
        </w:rPr>
        <w:t xml:space="preserve"> </w:t>
      </w:r>
    </w:p>
    <w:p w:rsidR="0065281A" w14:paraId="1F91782D" w14:textId="77777777">
      <w:pPr>
        <w:spacing w:after="0" w:line="259" w:lineRule="auto"/>
        <w:ind w:left="0" w:right="0" w:firstLine="0"/>
      </w:pPr>
      <w:r>
        <w:t xml:space="preserve"> </w:t>
      </w:r>
    </w:p>
    <w:p w:rsidR="0065281A" w14:paraId="2ABC113E" w14:textId="77777777">
      <w:pPr>
        <w:ind w:left="446" w:right="58"/>
      </w:pPr>
      <w:r>
        <w:t xml:space="preserve">There are no sensitive questions associated with this collection. Specifically, the collection does not solicit questions of a sensitive nature, such as sexual behavior and attitudes, religious beliefs, and other matters that are commonly considered private. However, the collection solicits questions such as SSN and the provider has to disclose a specific diagnosis.  </w:t>
      </w:r>
    </w:p>
    <w:p w:rsidR="0065281A" w14:paraId="0BEE4886" w14:textId="77777777">
      <w:pPr>
        <w:spacing w:after="0" w:line="259" w:lineRule="auto"/>
        <w:ind w:left="0" w:right="0" w:firstLine="0"/>
      </w:pPr>
      <w:r>
        <w:t xml:space="preserve"> </w:t>
      </w:r>
    </w:p>
    <w:p w:rsidR="0065281A" w14:paraId="4F60FDB8" w14:textId="77777777">
      <w:pPr>
        <w:pStyle w:val="Heading2"/>
        <w:ind w:left="-5"/>
      </w:pPr>
      <w:r>
        <w:rPr>
          <w:u w:val="none"/>
        </w:rPr>
        <w:t xml:space="preserve">12. </w:t>
      </w:r>
      <w:r>
        <w:t>Burden Estimates (Hours &amp; Wages)</w:t>
      </w:r>
      <w:r>
        <w:rPr>
          <w:u w:val="none"/>
        </w:rPr>
        <w:t xml:space="preserve"> </w:t>
      </w:r>
    </w:p>
    <w:p w:rsidR="0065281A" w14:paraId="56F248CB" w14:textId="77777777">
      <w:pPr>
        <w:spacing w:after="0" w:line="259" w:lineRule="auto"/>
        <w:ind w:left="0" w:right="0" w:firstLine="0"/>
      </w:pPr>
      <w:r>
        <w:t xml:space="preserve"> </w:t>
      </w:r>
    </w:p>
    <w:p w:rsidR="0065281A" w14:paraId="27DF827E" w14:textId="77777777">
      <w:pPr>
        <w:spacing w:after="3" w:line="259" w:lineRule="auto"/>
        <w:ind w:left="-5" w:right="0"/>
      </w:pPr>
      <w:r>
        <w:rPr>
          <w:i/>
        </w:rPr>
        <w:t xml:space="preserve">12.1. Wage Estimates </w:t>
      </w:r>
    </w:p>
    <w:p w:rsidR="0065281A" w14:paraId="449DE115" w14:textId="77777777">
      <w:pPr>
        <w:ind w:left="446" w:right="58"/>
      </w:pPr>
      <w:r>
        <w:t xml:space="preserve">The burden is computed as follows: </w:t>
      </w:r>
    </w:p>
    <w:p w:rsidR="0065281A" w14:paraId="77D0BD24" w14:textId="77777777">
      <w:pPr>
        <w:spacing w:after="0" w:line="259" w:lineRule="auto"/>
        <w:ind w:left="432" w:right="0" w:firstLine="0"/>
      </w:pPr>
      <w:r>
        <w:t xml:space="preserve"> </w:t>
      </w:r>
    </w:p>
    <w:p w:rsidR="0065281A" w14:paraId="1DF4F81B" w14:textId="77777777">
      <w:pPr>
        <w:ind w:left="446" w:right="58"/>
      </w:pPr>
      <w:r>
        <w:t xml:space="preserve">Annually, there are approximately 61 applicants who will require form CMS-10902. Based on the limited information requested for completion by the provider on the form, we estimate that it takes a provider on average 10 minutes to complete. </w:t>
      </w:r>
    </w:p>
    <w:p w:rsidR="0065281A" w14:paraId="59DED82F" w14:textId="77777777">
      <w:pPr>
        <w:spacing w:after="0" w:line="259" w:lineRule="auto"/>
        <w:ind w:left="432" w:right="0" w:firstLine="0"/>
      </w:pPr>
      <w:r>
        <w:t xml:space="preserve"> </w:t>
      </w:r>
    </w:p>
    <w:p w:rsidR="0065281A" w14:paraId="55185BA3" w14:textId="77777777">
      <w:pPr>
        <w:ind w:left="446" w:right="58"/>
      </w:pPr>
      <w:r>
        <w:t xml:space="preserve">In aggregate, the burden for 61 applicants to complete the form is 10.37 hours ((61 x 0.17 (10 minutes) = 10.37 hours). </w:t>
      </w:r>
    </w:p>
    <w:p w:rsidR="0065281A" w14:paraId="228070E1" w14:textId="77777777">
      <w:pPr>
        <w:spacing w:after="0" w:line="259" w:lineRule="auto"/>
        <w:ind w:left="432" w:right="0" w:firstLine="0"/>
      </w:pPr>
      <w:r>
        <w:t xml:space="preserve"> </w:t>
      </w:r>
    </w:p>
    <w:p w:rsidR="0065281A" w14:paraId="34773A76" w14:textId="77777777">
      <w:pPr>
        <w:ind w:left="446" w:right="58"/>
      </w:pPr>
      <w:r>
        <w:t xml:space="preserve">To derive average costs for individuals, we used data from the U.S. Bureau of Labor Statistics’ May 2023 National Occupational Employment and Wage Estimates for our salary estimate </w:t>
      </w:r>
      <w:hyperlink r:id="rId4">
        <w:r>
          <w:t>(www.bls.gov/oes/current/oes_nat.htm)</w:t>
        </w:r>
      </w:hyperlink>
      <w:r>
        <w:t>.  We believe that the burden will be addressed under Health Practitioners (occupation code 29-0000) at $38.86/</w:t>
      </w:r>
      <w:r>
        <w:t>hr</w:t>
      </w:r>
      <w:r>
        <w:t xml:space="preserve"> since the group of individual respondents varies widely from specialty and experience and by respondent age, location, years of employment, and educational attainment, etc. </w:t>
      </w:r>
    </w:p>
    <w:p w:rsidR="0065281A" w14:paraId="5D0A88B9" w14:textId="77777777">
      <w:pPr>
        <w:spacing w:after="0" w:line="259" w:lineRule="auto"/>
        <w:ind w:left="432" w:right="0" w:firstLine="0"/>
      </w:pPr>
      <w:r>
        <w:t xml:space="preserve"> </w:t>
      </w:r>
    </w:p>
    <w:p w:rsidR="0065281A" w14:paraId="782C0276" w14:textId="77777777">
      <w:pPr>
        <w:ind w:left="446" w:right="58"/>
      </w:pPr>
      <w:r>
        <w:t xml:space="preserve">We calculated fringe benefits at $38.86 for a total wage of $77.72/hr. (double the salary) </w:t>
      </w:r>
    </w:p>
    <w:p w:rsidR="0065281A" w14:paraId="4B67603A" w14:textId="77777777">
      <w:pPr>
        <w:spacing w:after="0" w:line="259" w:lineRule="auto"/>
        <w:ind w:left="432" w:right="0" w:firstLine="0"/>
      </w:pPr>
      <w:r>
        <w:rPr>
          <w:i/>
        </w:rPr>
        <w:t xml:space="preserve"> </w:t>
      </w:r>
    </w:p>
    <w:p w:rsidR="0065281A" w14:paraId="57E3788C" w14:textId="77777777">
      <w:pPr>
        <w:spacing w:after="0" w:line="259" w:lineRule="auto"/>
        <w:ind w:left="0" w:right="0" w:firstLine="0"/>
      </w:pPr>
      <w:r>
        <w:rPr>
          <w:i/>
        </w:rPr>
        <w:t xml:space="preserve"> </w:t>
      </w:r>
    </w:p>
    <w:p w:rsidR="0065281A" w14:paraId="4C9466C7" w14:textId="77777777">
      <w:pPr>
        <w:spacing w:after="3" w:line="259" w:lineRule="auto"/>
        <w:ind w:left="-5" w:right="0"/>
      </w:pPr>
      <w:r>
        <w:rPr>
          <w:i/>
        </w:rPr>
        <w:t xml:space="preserve">12.2. Burden Estimates </w:t>
      </w:r>
    </w:p>
    <w:p w:rsidR="0065281A" w14:paraId="7437CAEA" w14:textId="77777777">
      <w:pPr>
        <w:spacing w:after="0" w:line="259" w:lineRule="auto"/>
        <w:ind w:left="0" w:right="0" w:firstLine="0"/>
      </w:pPr>
      <w:r>
        <w:rPr>
          <w:i/>
        </w:rPr>
        <w:t xml:space="preserve"> </w:t>
      </w:r>
    </w:p>
    <w:p w:rsidR="0065281A" w14:paraId="1B705F0F" w14:textId="77777777">
      <w:pPr>
        <w:ind w:left="446" w:right="58"/>
      </w:pPr>
      <w:r>
        <w:t xml:space="preserve">There are approximately 61 applicants who use Form CMS-10902. Based on the information requested for completion by the applicant on the form, we estimate that it takes a provider on average 10 (.17 </w:t>
      </w:r>
      <w:r>
        <w:t>hrs</w:t>
      </w:r>
      <w:r>
        <w:t xml:space="preserve">) minutes to complete.  </w:t>
      </w:r>
    </w:p>
    <w:p w:rsidR="0065281A" w14:paraId="40FB733A" w14:textId="77777777">
      <w:pPr>
        <w:spacing w:after="0" w:line="259" w:lineRule="auto"/>
        <w:ind w:left="432" w:right="0" w:firstLine="0"/>
      </w:pPr>
      <w:r>
        <w:t xml:space="preserve"> </w:t>
      </w:r>
    </w:p>
    <w:p w:rsidR="0065281A" w14:paraId="09805B6E" w14:textId="77777777">
      <w:pPr>
        <w:ind w:left="446" w:right="58"/>
      </w:pPr>
      <w:r>
        <w:t xml:space="preserve">The burden is computed as follows: </w:t>
      </w:r>
    </w:p>
    <w:p w:rsidR="0065281A" w14:paraId="1C4038E5" w14:textId="77777777">
      <w:pPr>
        <w:spacing w:after="0" w:line="259" w:lineRule="auto"/>
        <w:ind w:left="432" w:right="0" w:firstLine="0"/>
      </w:pPr>
      <w:r>
        <w:t xml:space="preserve"> </w:t>
      </w:r>
    </w:p>
    <w:p w:rsidR="0065281A" w14:paraId="66D369ED" w14:textId="77777777">
      <w:pPr>
        <w:ind w:left="446" w:right="58"/>
      </w:pPr>
      <w:r>
        <w:t xml:space="preserve">We estimate an annual burden of 10.37 hours (61 respondents x 0.17 hours) at a cost of $805.96 (10.37 </w:t>
      </w:r>
      <w:r>
        <w:t>hr</w:t>
      </w:r>
      <w:r>
        <w:t xml:space="preserve"> x $77.72/</w:t>
      </w:r>
      <w:r>
        <w:t>hr</w:t>
      </w:r>
      <w:r>
        <w:t xml:space="preserve">) or $13.21 per respondent ($805.96/61 respondents).  </w:t>
      </w:r>
    </w:p>
    <w:p w:rsidR="0065281A" w14:paraId="5793A6E7" w14:textId="77777777">
      <w:pPr>
        <w:spacing w:after="0" w:line="259" w:lineRule="auto"/>
        <w:ind w:left="432" w:right="0" w:firstLine="0"/>
      </w:pPr>
      <w:r>
        <w:t xml:space="preserve"> </w:t>
      </w:r>
    </w:p>
    <w:tbl>
      <w:tblPr>
        <w:tblStyle w:val="TableGrid"/>
        <w:tblW w:w="7315" w:type="dxa"/>
        <w:tblInd w:w="612" w:type="dxa"/>
        <w:tblCellMar>
          <w:top w:w="4" w:type="dxa"/>
          <w:left w:w="108" w:type="dxa"/>
          <w:bottom w:w="5" w:type="dxa"/>
          <w:right w:w="28" w:type="dxa"/>
        </w:tblCellMar>
        <w:tblLook w:val="04A0"/>
      </w:tblPr>
      <w:tblGrid>
        <w:gridCol w:w="1548"/>
        <w:gridCol w:w="1260"/>
        <w:gridCol w:w="1524"/>
        <w:gridCol w:w="830"/>
        <w:gridCol w:w="972"/>
        <w:gridCol w:w="1181"/>
      </w:tblGrid>
      <w:tr w14:paraId="2A3493CF" w14:textId="77777777">
        <w:tblPrEx>
          <w:tblW w:w="7315" w:type="dxa"/>
          <w:tblInd w:w="612" w:type="dxa"/>
          <w:tblCellMar>
            <w:top w:w="4" w:type="dxa"/>
            <w:left w:w="108" w:type="dxa"/>
            <w:bottom w:w="5" w:type="dxa"/>
            <w:right w:w="28" w:type="dxa"/>
          </w:tblCellMar>
          <w:tblLook w:val="04A0"/>
        </w:tblPrEx>
        <w:trPr>
          <w:trHeight w:val="816"/>
        </w:trPr>
        <w:tc>
          <w:tcPr>
            <w:tcW w:w="1548" w:type="dxa"/>
            <w:tcBorders>
              <w:top w:val="single" w:sz="4" w:space="0" w:color="000000"/>
              <w:left w:val="single" w:sz="4" w:space="0" w:color="000000"/>
              <w:bottom w:val="single" w:sz="4" w:space="0" w:color="000000"/>
              <w:right w:val="single" w:sz="4" w:space="0" w:color="000000"/>
            </w:tcBorders>
            <w:vAlign w:val="bottom"/>
          </w:tcPr>
          <w:p w:rsidR="0065281A" w14:paraId="5676C4C8" w14:textId="77777777">
            <w:pPr>
              <w:spacing w:after="0" w:line="259" w:lineRule="auto"/>
              <w:ind w:left="0" w:right="0" w:firstLine="0"/>
            </w:pPr>
            <w:r>
              <w:rPr>
                <w:rFonts w:ascii="Calibri" w:eastAsia="Calibri" w:hAnsi="Calibri" w:cs="Calibri"/>
                <w:b/>
                <w:sz w:val="22"/>
              </w:rPr>
              <w:t xml:space="preserve">Number of applications </w:t>
            </w:r>
          </w:p>
        </w:tc>
        <w:tc>
          <w:tcPr>
            <w:tcW w:w="1260" w:type="dxa"/>
            <w:tcBorders>
              <w:top w:val="single" w:sz="4" w:space="0" w:color="000000"/>
              <w:left w:val="single" w:sz="4" w:space="0" w:color="000000"/>
              <w:bottom w:val="single" w:sz="4" w:space="0" w:color="000000"/>
              <w:right w:val="single" w:sz="4" w:space="0" w:color="000000"/>
            </w:tcBorders>
            <w:vAlign w:val="bottom"/>
          </w:tcPr>
          <w:p w:rsidR="0065281A" w14:paraId="256816D5" w14:textId="77777777">
            <w:pPr>
              <w:spacing w:after="0" w:line="259" w:lineRule="auto"/>
              <w:ind w:left="0" w:right="0" w:firstLine="0"/>
            </w:pPr>
            <w:r>
              <w:rPr>
                <w:rFonts w:ascii="Calibri" w:eastAsia="Calibri" w:hAnsi="Calibri" w:cs="Calibri"/>
                <w:b/>
                <w:sz w:val="22"/>
              </w:rPr>
              <w:t xml:space="preserve">Time required </w:t>
            </w:r>
          </w:p>
        </w:tc>
        <w:tc>
          <w:tcPr>
            <w:tcW w:w="1524" w:type="dxa"/>
            <w:tcBorders>
              <w:top w:val="single" w:sz="4" w:space="0" w:color="000000"/>
              <w:left w:val="single" w:sz="4" w:space="0" w:color="000000"/>
              <w:bottom w:val="single" w:sz="4" w:space="0" w:color="000000"/>
              <w:right w:val="single" w:sz="4" w:space="0" w:color="000000"/>
            </w:tcBorders>
          </w:tcPr>
          <w:p w:rsidR="0065281A" w14:paraId="2540AB9E" w14:textId="77777777">
            <w:pPr>
              <w:spacing w:after="0" w:line="259" w:lineRule="auto"/>
              <w:ind w:left="0" w:right="0" w:firstLine="0"/>
            </w:pPr>
            <w:r>
              <w:rPr>
                <w:rFonts w:ascii="Calibri" w:eastAsia="Calibri" w:hAnsi="Calibri" w:cs="Calibri"/>
                <w:b/>
                <w:sz w:val="22"/>
              </w:rPr>
              <w:t xml:space="preserve"> </w:t>
            </w:r>
          </w:p>
          <w:p w:rsidR="0065281A" w14:paraId="3D0495C1" w14:textId="77777777">
            <w:pPr>
              <w:spacing w:after="0" w:line="259" w:lineRule="auto"/>
              <w:ind w:left="0" w:right="0" w:firstLine="0"/>
            </w:pPr>
            <w:r>
              <w:rPr>
                <w:rFonts w:ascii="Calibri" w:eastAsia="Calibri" w:hAnsi="Calibri" w:cs="Calibri"/>
                <w:b/>
                <w:sz w:val="22"/>
              </w:rPr>
              <w:t xml:space="preserve">Total Annual </w:t>
            </w:r>
          </w:p>
          <w:p w:rsidR="0065281A" w14:paraId="73F1E048" w14:textId="77777777">
            <w:pPr>
              <w:spacing w:after="0" w:line="259" w:lineRule="auto"/>
              <w:ind w:left="0" w:right="0" w:firstLine="0"/>
            </w:pPr>
            <w:r>
              <w:rPr>
                <w:rFonts w:ascii="Calibri" w:eastAsia="Calibri" w:hAnsi="Calibri" w:cs="Calibri"/>
                <w:b/>
                <w:sz w:val="22"/>
              </w:rPr>
              <w:t xml:space="preserve">Burden </w:t>
            </w:r>
          </w:p>
        </w:tc>
        <w:tc>
          <w:tcPr>
            <w:tcW w:w="830" w:type="dxa"/>
            <w:tcBorders>
              <w:top w:val="single" w:sz="4" w:space="0" w:color="000000"/>
              <w:left w:val="single" w:sz="4" w:space="0" w:color="000000"/>
              <w:bottom w:val="single" w:sz="4" w:space="0" w:color="000000"/>
              <w:right w:val="single" w:sz="4" w:space="0" w:color="000000"/>
            </w:tcBorders>
            <w:vAlign w:val="bottom"/>
          </w:tcPr>
          <w:p w:rsidR="0065281A" w14:paraId="21361BD3" w14:textId="77777777">
            <w:pPr>
              <w:spacing w:after="0" w:line="259" w:lineRule="auto"/>
              <w:ind w:left="0" w:right="0" w:firstLine="0"/>
            </w:pPr>
            <w:r>
              <w:rPr>
                <w:rFonts w:ascii="Calibri" w:eastAsia="Calibri" w:hAnsi="Calibri" w:cs="Calibri"/>
                <w:b/>
                <w:sz w:val="22"/>
              </w:rPr>
              <w:t xml:space="preserve">Wage Cost </w:t>
            </w:r>
          </w:p>
        </w:tc>
        <w:tc>
          <w:tcPr>
            <w:tcW w:w="972" w:type="dxa"/>
            <w:tcBorders>
              <w:top w:val="single" w:sz="4" w:space="0" w:color="000000"/>
              <w:left w:val="single" w:sz="4" w:space="0" w:color="000000"/>
              <w:bottom w:val="single" w:sz="4" w:space="0" w:color="000000"/>
              <w:right w:val="single" w:sz="4" w:space="0" w:color="000000"/>
            </w:tcBorders>
          </w:tcPr>
          <w:p w:rsidR="0065281A" w14:paraId="33D63642" w14:textId="77777777">
            <w:pPr>
              <w:spacing w:after="0" w:line="259" w:lineRule="auto"/>
              <w:ind w:left="0" w:right="0" w:firstLine="0"/>
            </w:pPr>
            <w:r>
              <w:rPr>
                <w:rFonts w:ascii="Calibri" w:eastAsia="Calibri" w:hAnsi="Calibri" w:cs="Calibri"/>
                <w:b/>
                <w:sz w:val="22"/>
              </w:rPr>
              <w:t xml:space="preserve">Cost of </w:t>
            </w:r>
          </w:p>
          <w:p w:rsidR="0065281A" w14:paraId="3BEC5C31" w14:textId="77777777">
            <w:pPr>
              <w:spacing w:after="0" w:line="259" w:lineRule="auto"/>
              <w:ind w:left="0" w:right="0" w:firstLine="0"/>
            </w:pPr>
            <w:r>
              <w:rPr>
                <w:rFonts w:ascii="Calibri" w:eastAsia="Calibri" w:hAnsi="Calibri" w:cs="Calibri"/>
                <w:b/>
                <w:sz w:val="22"/>
              </w:rPr>
              <w:t xml:space="preserve">Fringe </w:t>
            </w:r>
          </w:p>
          <w:p w:rsidR="0065281A" w14:paraId="759991F3" w14:textId="77777777">
            <w:pPr>
              <w:spacing w:after="0" w:line="259" w:lineRule="auto"/>
              <w:ind w:left="0" w:right="0" w:firstLine="0"/>
            </w:pPr>
            <w:r>
              <w:rPr>
                <w:rFonts w:ascii="Calibri" w:eastAsia="Calibri" w:hAnsi="Calibri" w:cs="Calibri"/>
                <w:b/>
                <w:sz w:val="22"/>
              </w:rPr>
              <w:t xml:space="preserve">Benefits </w:t>
            </w:r>
          </w:p>
        </w:tc>
        <w:tc>
          <w:tcPr>
            <w:tcW w:w="1181" w:type="dxa"/>
            <w:tcBorders>
              <w:top w:val="single" w:sz="4" w:space="0" w:color="000000"/>
              <w:left w:val="single" w:sz="4" w:space="0" w:color="000000"/>
              <w:bottom w:val="single" w:sz="4" w:space="0" w:color="000000"/>
              <w:right w:val="single" w:sz="4" w:space="0" w:color="000000"/>
            </w:tcBorders>
          </w:tcPr>
          <w:p w:rsidR="0065281A" w14:paraId="1F81026D" w14:textId="77777777">
            <w:pPr>
              <w:spacing w:after="0" w:line="259" w:lineRule="auto"/>
              <w:ind w:left="0" w:right="61" w:firstLine="0"/>
              <w:jc w:val="right"/>
            </w:pPr>
            <w:r>
              <w:rPr>
                <w:rFonts w:ascii="Calibri" w:eastAsia="Calibri" w:hAnsi="Calibri" w:cs="Calibri"/>
                <w:b/>
                <w:sz w:val="22"/>
              </w:rPr>
              <w:t xml:space="preserve"> </w:t>
            </w:r>
          </w:p>
          <w:p w:rsidR="0065281A" w14:paraId="3346DFD9" w14:textId="77777777">
            <w:pPr>
              <w:spacing w:after="0" w:line="259" w:lineRule="auto"/>
              <w:ind w:left="0" w:right="0" w:firstLine="0"/>
            </w:pPr>
            <w:r>
              <w:rPr>
                <w:rFonts w:ascii="Calibri" w:eastAsia="Calibri" w:hAnsi="Calibri" w:cs="Calibri"/>
                <w:b/>
                <w:sz w:val="22"/>
              </w:rPr>
              <w:t xml:space="preserve">Total </w:t>
            </w:r>
          </w:p>
          <w:p w:rsidR="0065281A" w14:paraId="41064FEA" w14:textId="77777777">
            <w:pPr>
              <w:spacing w:after="0" w:line="259" w:lineRule="auto"/>
              <w:ind w:left="0" w:right="0" w:firstLine="0"/>
            </w:pPr>
            <w:r>
              <w:rPr>
                <w:rFonts w:ascii="Calibri" w:eastAsia="Calibri" w:hAnsi="Calibri" w:cs="Calibri"/>
                <w:b/>
                <w:sz w:val="22"/>
              </w:rPr>
              <w:t xml:space="preserve">Cost </w:t>
            </w:r>
          </w:p>
        </w:tc>
      </w:tr>
      <w:tr w14:paraId="70429382" w14:textId="77777777">
        <w:tblPrEx>
          <w:tblW w:w="7315" w:type="dxa"/>
          <w:tblInd w:w="612" w:type="dxa"/>
          <w:tblCellMar>
            <w:top w:w="4" w:type="dxa"/>
            <w:left w:w="108" w:type="dxa"/>
            <w:bottom w:w="5" w:type="dxa"/>
            <w:right w:w="28" w:type="dxa"/>
          </w:tblCellMar>
          <w:tblLook w:val="04A0"/>
        </w:tblPrEx>
        <w:trPr>
          <w:trHeight w:val="300"/>
        </w:trPr>
        <w:tc>
          <w:tcPr>
            <w:tcW w:w="1548" w:type="dxa"/>
            <w:tcBorders>
              <w:top w:val="single" w:sz="4" w:space="0" w:color="000000"/>
              <w:left w:val="single" w:sz="4" w:space="0" w:color="000000"/>
              <w:bottom w:val="single" w:sz="4" w:space="0" w:color="000000"/>
              <w:right w:val="single" w:sz="4" w:space="0" w:color="000000"/>
            </w:tcBorders>
          </w:tcPr>
          <w:p w:rsidR="0065281A" w14:paraId="3E1730D5" w14:textId="77777777">
            <w:pPr>
              <w:spacing w:after="0" w:line="259" w:lineRule="auto"/>
              <w:ind w:left="0" w:right="78" w:firstLine="0"/>
              <w:jc w:val="right"/>
            </w:pPr>
            <w:r>
              <w:rPr>
                <w:rFonts w:ascii="Calibri" w:eastAsia="Calibri" w:hAnsi="Calibri" w:cs="Calibri"/>
                <w:sz w:val="22"/>
              </w:rPr>
              <w:t xml:space="preserve">61 </w:t>
            </w:r>
          </w:p>
        </w:tc>
        <w:tc>
          <w:tcPr>
            <w:tcW w:w="1260" w:type="dxa"/>
            <w:tcBorders>
              <w:top w:val="single" w:sz="4" w:space="0" w:color="000000"/>
              <w:left w:val="single" w:sz="4" w:space="0" w:color="000000"/>
              <w:bottom w:val="single" w:sz="4" w:space="0" w:color="000000"/>
              <w:right w:val="single" w:sz="4" w:space="0" w:color="000000"/>
            </w:tcBorders>
          </w:tcPr>
          <w:p w:rsidR="0065281A" w14:paraId="1AB943E8" w14:textId="77777777">
            <w:pPr>
              <w:spacing w:after="0" w:line="259" w:lineRule="auto"/>
              <w:ind w:left="0" w:right="78" w:firstLine="0"/>
              <w:jc w:val="right"/>
            </w:pPr>
            <w:r>
              <w:rPr>
                <w:rFonts w:ascii="Calibri" w:eastAsia="Calibri" w:hAnsi="Calibri" w:cs="Calibri"/>
                <w:sz w:val="22"/>
              </w:rPr>
              <w:t xml:space="preserve">0.17 </w:t>
            </w:r>
          </w:p>
        </w:tc>
        <w:tc>
          <w:tcPr>
            <w:tcW w:w="1524" w:type="dxa"/>
            <w:tcBorders>
              <w:top w:val="single" w:sz="4" w:space="0" w:color="000000"/>
              <w:left w:val="single" w:sz="4" w:space="0" w:color="000000"/>
              <w:bottom w:val="single" w:sz="4" w:space="0" w:color="000000"/>
              <w:right w:val="single" w:sz="4" w:space="0" w:color="000000"/>
            </w:tcBorders>
          </w:tcPr>
          <w:p w:rsidR="0065281A" w14:paraId="506EDDAB" w14:textId="77777777">
            <w:pPr>
              <w:spacing w:after="0" w:line="259" w:lineRule="auto"/>
              <w:ind w:left="0" w:right="80" w:firstLine="0"/>
              <w:jc w:val="right"/>
            </w:pPr>
            <w:r>
              <w:t>10.37 hours</w:t>
            </w:r>
            <w:r>
              <w:rPr>
                <w:rFonts w:ascii="Calibri" w:eastAsia="Calibri" w:hAnsi="Calibri" w:cs="Calibri"/>
                <w:sz w:val="22"/>
              </w:rPr>
              <w:t xml:space="preserve"> </w:t>
            </w:r>
          </w:p>
        </w:tc>
        <w:tc>
          <w:tcPr>
            <w:tcW w:w="830" w:type="dxa"/>
            <w:tcBorders>
              <w:top w:val="single" w:sz="4" w:space="0" w:color="000000"/>
              <w:left w:val="single" w:sz="4" w:space="0" w:color="000000"/>
              <w:bottom w:val="single" w:sz="4" w:space="0" w:color="000000"/>
              <w:right w:val="single" w:sz="4" w:space="0" w:color="000000"/>
            </w:tcBorders>
          </w:tcPr>
          <w:p w:rsidR="0065281A" w14:paraId="483AC06A" w14:textId="77777777">
            <w:pPr>
              <w:spacing w:after="0" w:line="259" w:lineRule="auto"/>
              <w:ind w:left="0" w:right="0" w:firstLine="0"/>
            </w:pPr>
            <w:r>
              <w:rPr>
                <w:rFonts w:ascii="Calibri" w:eastAsia="Calibri" w:hAnsi="Calibri" w:cs="Calibri"/>
                <w:sz w:val="22"/>
              </w:rPr>
              <w:t xml:space="preserve">$38.86  </w:t>
            </w:r>
          </w:p>
        </w:tc>
        <w:tc>
          <w:tcPr>
            <w:tcW w:w="972" w:type="dxa"/>
            <w:tcBorders>
              <w:top w:val="single" w:sz="4" w:space="0" w:color="000000"/>
              <w:left w:val="single" w:sz="4" w:space="0" w:color="000000"/>
              <w:bottom w:val="single" w:sz="4" w:space="0" w:color="000000"/>
              <w:right w:val="single" w:sz="4" w:space="0" w:color="000000"/>
            </w:tcBorders>
          </w:tcPr>
          <w:p w:rsidR="0065281A" w14:paraId="10F46D70" w14:textId="77777777">
            <w:pPr>
              <w:spacing w:after="0" w:line="259" w:lineRule="auto"/>
              <w:ind w:left="0" w:right="81" w:firstLine="0"/>
              <w:jc w:val="right"/>
            </w:pPr>
            <w:r>
              <w:rPr>
                <w:rFonts w:ascii="Calibri" w:eastAsia="Calibri" w:hAnsi="Calibri" w:cs="Calibri"/>
                <w:sz w:val="22"/>
              </w:rPr>
              <w:t xml:space="preserve">$38.86  </w:t>
            </w:r>
          </w:p>
        </w:tc>
        <w:tc>
          <w:tcPr>
            <w:tcW w:w="1181" w:type="dxa"/>
            <w:tcBorders>
              <w:top w:val="single" w:sz="4" w:space="0" w:color="000000"/>
              <w:left w:val="single" w:sz="4" w:space="0" w:color="000000"/>
              <w:bottom w:val="single" w:sz="4" w:space="0" w:color="000000"/>
              <w:right w:val="single" w:sz="4" w:space="0" w:color="000000"/>
            </w:tcBorders>
          </w:tcPr>
          <w:p w:rsidR="0065281A" w14:paraId="0C172DBE" w14:textId="77777777">
            <w:pPr>
              <w:tabs>
                <w:tab w:val="center" w:pos="965"/>
              </w:tabs>
              <w:spacing w:after="0" w:line="259" w:lineRule="auto"/>
              <w:ind w:left="0" w:right="0" w:firstLine="0"/>
            </w:pPr>
            <w:r>
              <w:rPr>
                <w:rFonts w:ascii="Calibri" w:eastAsia="Calibri" w:hAnsi="Calibri" w:cs="Calibri"/>
                <w:sz w:val="22"/>
              </w:rPr>
              <w:t xml:space="preserve">$805.96  </w:t>
            </w:r>
            <w:r>
              <w:rPr>
                <w:rFonts w:ascii="Calibri" w:eastAsia="Calibri" w:hAnsi="Calibri" w:cs="Calibri"/>
                <w:sz w:val="22"/>
              </w:rPr>
              <w:tab/>
              <w:t xml:space="preserve"> </w:t>
            </w:r>
          </w:p>
        </w:tc>
      </w:tr>
    </w:tbl>
    <w:p w:rsidR="0065281A" w14:paraId="4521D8FD" w14:textId="77777777">
      <w:pPr>
        <w:tabs>
          <w:tab w:val="center" w:pos="432"/>
          <w:tab w:val="center" w:pos="1822"/>
        </w:tabs>
        <w:ind w:left="0" w:right="0" w:firstLine="0"/>
      </w:pPr>
      <w:r>
        <w:rPr>
          <w:rFonts w:ascii="Calibri" w:eastAsia="Calibri" w:hAnsi="Calibri" w:cs="Calibri"/>
          <w:sz w:val="22"/>
        </w:rPr>
        <w:tab/>
      </w:r>
      <w:r>
        <w:t xml:space="preserve"> </w:t>
      </w:r>
      <w:r>
        <w:tab/>
        <w:t xml:space="preserve">*Figures are estimates.  </w:t>
      </w:r>
    </w:p>
    <w:p w:rsidR="0065281A" w14:paraId="3E8E3801" w14:textId="77777777">
      <w:pPr>
        <w:spacing w:after="0" w:line="259" w:lineRule="auto"/>
        <w:ind w:left="432" w:right="0" w:firstLine="0"/>
      </w:pPr>
      <w:r>
        <w:t xml:space="preserve"> </w:t>
      </w:r>
    </w:p>
    <w:p w:rsidR="0065281A" w14:paraId="71074CE3" w14:textId="77777777">
      <w:pPr>
        <w:ind w:right="58"/>
      </w:pPr>
      <w:r>
        <w:t>CMS is soliciting public comments on the provider burden estimates to verify their accuracy.</w:t>
      </w:r>
      <w:r>
        <w:rPr>
          <w:i/>
        </w:rPr>
        <w:t xml:space="preserve">12.3. Information Collection Instruments and Supporting Documents </w:t>
      </w:r>
    </w:p>
    <w:p w:rsidR="0065281A" w14:paraId="401D8817" w14:textId="77777777">
      <w:pPr>
        <w:spacing w:after="1" w:line="259" w:lineRule="auto"/>
        <w:ind w:left="0" w:right="0" w:firstLine="0"/>
      </w:pPr>
      <w:r>
        <w:rPr>
          <w:i/>
        </w:rPr>
        <w:t xml:space="preserve"> </w:t>
      </w:r>
    </w:p>
    <w:p w:rsidR="0065281A" w14:paraId="47FABC49" w14:textId="77777777">
      <w:pPr>
        <w:ind w:left="446" w:right="58"/>
      </w:pPr>
      <w:r>
        <w:rPr>
          <w:rFonts w:ascii="Segoe UI Symbol" w:eastAsia="Segoe UI Symbol" w:hAnsi="Segoe UI Symbol" w:cs="Segoe UI Symbol"/>
        </w:rPr>
        <w:t>•</w:t>
      </w:r>
      <w:r>
        <w:rPr>
          <w:rFonts w:ascii="Arial" w:eastAsia="Arial" w:hAnsi="Arial" w:cs="Arial"/>
        </w:rPr>
        <w:t xml:space="preserve"> </w:t>
      </w:r>
      <w:r>
        <w:t xml:space="preserve">Environmental Health Hazards Checklist  </w:t>
      </w:r>
    </w:p>
    <w:p w:rsidR="0065281A" w14:paraId="791625DE" w14:textId="77777777">
      <w:pPr>
        <w:spacing w:after="0" w:line="259" w:lineRule="auto"/>
        <w:ind w:left="451" w:right="0" w:firstLine="0"/>
      </w:pPr>
      <w:r>
        <w:t xml:space="preserve"> </w:t>
      </w:r>
    </w:p>
    <w:p w:rsidR="0065281A" w14:paraId="61B79E52" w14:textId="77777777">
      <w:pPr>
        <w:ind w:left="446" w:right="58"/>
      </w:pPr>
      <w:r>
        <w:t xml:space="preserve">The form is available upon request from SSA.  The form includes instructions for completion.  </w:t>
      </w:r>
    </w:p>
    <w:p w:rsidR="0065281A" w14:paraId="5C41A68D" w14:textId="77777777">
      <w:pPr>
        <w:spacing w:after="0" w:line="259" w:lineRule="auto"/>
        <w:ind w:left="451" w:right="0" w:firstLine="0"/>
      </w:pPr>
      <w:r>
        <w:t xml:space="preserve"> </w:t>
      </w:r>
    </w:p>
    <w:p w:rsidR="0065281A" w14:paraId="5D9F453D" w14:textId="77777777">
      <w:pPr>
        <w:ind w:left="446" w:right="58"/>
      </w:pPr>
      <w:r>
        <w:t xml:space="preserve">Policies for SSA to process a received form are outlined in HI 00803.050 (Developing </w:t>
      </w:r>
    </w:p>
    <w:p w:rsidR="0065281A" w14:paraId="42302315" w14:textId="77777777">
      <w:pPr>
        <w:ind w:left="446" w:right="58"/>
      </w:pPr>
      <w:r>
        <w:t xml:space="preserve">Medical Requirement for Entitlement to EHH Medicare) at </w:t>
      </w:r>
      <w:hyperlink r:id="rId5">
        <w:r>
          <w:rPr>
            <w:color w:val="0000FF"/>
            <w:u w:val="single" w:color="0000FF"/>
          </w:rPr>
          <w:t>https://secure.ssa.gov/poms.nsf/lnx/0600803050</w:t>
        </w:r>
      </w:hyperlink>
      <w:hyperlink r:id="rId5">
        <w:r>
          <w:t xml:space="preserve"> </w:t>
        </w:r>
      </w:hyperlink>
      <w:r>
        <w:t xml:space="preserve"> </w:t>
      </w:r>
    </w:p>
    <w:p w:rsidR="0065281A" w14:paraId="4BBEA203" w14:textId="77777777">
      <w:pPr>
        <w:spacing w:after="0" w:line="259" w:lineRule="auto"/>
        <w:ind w:left="0" w:right="0" w:firstLine="0"/>
      </w:pPr>
      <w:r>
        <w:t xml:space="preserve"> </w:t>
      </w:r>
    </w:p>
    <w:p w:rsidR="0065281A" w14:paraId="6B5A2E92" w14:textId="77777777">
      <w:pPr>
        <w:spacing w:after="0" w:line="259" w:lineRule="auto"/>
        <w:ind w:left="-5" w:right="0"/>
      </w:pPr>
      <w:r>
        <w:t xml:space="preserve">13. </w:t>
      </w:r>
      <w:r>
        <w:rPr>
          <w:u w:val="single" w:color="000000"/>
        </w:rPr>
        <w:t>Capital Costs</w:t>
      </w:r>
      <w:r>
        <w:t xml:space="preserve"> </w:t>
      </w:r>
    </w:p>
    <w:p w:rsidR="0065281A" w14:paraId="7DB97CF0" w14:textId="77777777">
      <w:pPr>
        <w:spacing w:after="0" w:line="259" w:lineRule="auto"/>
        <w:ind w:left="0" w:right="0" w:firstLine="0"/>
      </w:pPr>
      <w:r>
        <w:t xml:space="preserve"> </w:t>
      </w:r>
    </w:p>
    <w:p w:rsidR="0065281A" w14:paraId="4FFB0497" w14:textId="77777777">
      <w:pPr>
        <w:ind w:left="446" w:right="58"/>
      </w:pPr>
      <w:r>
        <w:t xml:space="preserve">There are no capital costs. </w:t>
      </w:r>
    </w:p>
    <w:p w:rsidR="0065281A" w14:paraId="6BEBE301" w14:textId="77777777">
      <w:pPr>
        <w:spacing w:after="0" w:line="259" w:lineRule="auto"/>
        <w:ind w:left="0" w:right="0" w:firstLine="0"/>
      </w:pPr>
      <w:r>
        <w:t xml:space="preserve"> </w:t>
      </w:r>
    </w:p>
    <w:p w:rsidR="0065281A" w14:paraId="53708883" w14:textId="77777777">
      <w:pPr>
        <w:pStyle w:val="Heading2"/>
        <w:ind w:left="-5"/>
      </w:pPr>
      <w:r>
        <w:rPr>
          <w:u w:val="none"/>
        </w:rPr>
        <w:t xml:space="preserve">14. </w:t>
      </w:r>
      <w:r>
        <w:t>Cost to Federal Government</w:t>
      </w:r>
      <w:r>
        <w:rPr>
          <w:u w:val="none"/>
        </w:rPr>
        <w:t xml:space="preserve"> </w:t>
      </w:r>
    </w:p>
    <w:p w:rsidR="0065281A" w14:paraId="1F31D9D7" w14:textId="77777777">
      <w:pPr>
        <w:spacing w:after="0" w:line="259" w:lineRule="auto"/>
        <w:ind w:left="0" w:right="0" w:firstLine="0"/>
      </w:pPr>
      <w:r>
        <w:t xml:space="preserve"> </w:t>
      </w:r>
    </w:p>
    <w:p w:rsidR="0065281A" w14:paraId="567ED52F" w14:textId="77777777">
      <w:pPr>
        <w:ind w:left="446" w:right="58"/>
      </w:pPr>
      <w:r>
        <w:t xml:space="preserve">We estimate it will take a federal government employee 10 minutes to review and record the collected data.  </w:t>
      </w:r>
    </w:p>
    <w:p w:rsidR="0065281A" w14:paraId="5AC5623C" w14:textId="77777777">
      <w:pPr>
        <w:spacing w:after="0" w:line="259" w:lineRule="auto"/>
        <w:ind w:left="432" w:right="0" w:firstLine="0"/>
      </w:pPr>
      <w:r>
        <w:t xml:space="preserve"> </w:t>
      </w:r>
    </w:p>
    <w:p w:rsidR="0065281A" w14:paraId="615682CB" w14:textId="77777777">
      <w:pPr>
        <w:ind w:left="446" w:right="58"/>
      </w:pPr>
      <w:r>
        <w:t xml:space="preserve">It is calculated that the burden hours for 61 responses to be reviewed and recorded in 10 minutes per response to be 10 total hours ((61x 0.17 (10 minutes) = 10.37 total burden hours). SSA must first locate and fax/mail/email the form to the provider. Once the form is returned to SSA from the provider, SSA must then review and determine eligibility for the individual.  </w:t>
      </w:r>
    </w:p>
    <w:p w:rsidR="0065281A" w14:paraId="4EE48E45" w14:textId="77777777">
      <w:pPr>
        <w:ind w:left="446" w:right="58"/>
      </w:pPr>
      <w:r>
        <w:t xml:space="preserve">To derive average costs, we used data from the Office of Personnel Management 2024 </w:t>
      </w:r>
    </w:p>
    <w:p w:rsidR="0065281A" w14:paraId="3132D5D1" w14:textId="77777777">
      <w:pPr>
        <w:ind w:left="446" w:right="58"/>
      </w:pPr>
      <w:r>
        <w:t xml:space="preserve">General Schedule (GS) Locality Pay Table for all salary estimates </w:t>
      </w:r>
    </w:p>
    <w:p w:rsidR="0065281A" w14:paraId="06418A39" w14:textId="77777777">
      <w:pPr>
        <w:spacing w:after="0" w:line="259" w:lineRule="auto"/>
        <w:ind w:left="432" w:right="0" w:firstLine="0"/>
      </w:pPr>
      <w:hyperlink r:id="rId6">
        <w:r>
          <w:t>(</w:t>
        </w:r>
      </w:hyperlink>
      <w:hyperlink r:id="rId6">
        <w:r>
          <w:rPr>
            <w:color w:val="0000FF"/>
            <w:u w:val="single" w:color="0000FF"/>
          </w:rPr>
          <w:t>https://www.opm.gov/policy-data-oversight/pay-leave/salaries-wages/2024/general-</w:t>
        </w:r>
      </w:hyperlink>
    </w:p>
    <w:p w:rsidR="0065281A" w14:paraId="1B605146" w14:textId="77777777">
      <w:pPr>
        <w:ind w:left="446" w:right="58"/>
      </w:pPr>
      <w:hyperlink r:id="rId6">
        <w:r>
          <w:rPr>
            <w:color w:val="0000FF"/>
            <w:u w:val="single" w:color="0000FF"/>
          </w:rPr>
          <w:t>schedule</w:t>
        </w:r>
      </w:hyperlink>
      <w:hyperlink r:id="rId6">
        <w:r>
          <w:t>)</w:t>
        </w:r>
      </w:hyperlink>
      <w:r>
        <w:t xml:space="preserve">. We estimate that the average government employee at SSA to receive and record the collected data to be a Grade 11, Step 5 (GS-11-5) – which we believe is the most appropriate level for a SSA field office representative. </w:t>
      </w:r>
    </w:p>
    <w:p w:rsidR="0065281A" w14:paraId="591AB67B" w14:textId="77777777">
      <w:pPr>
        <w:spacing w:after="0" w:line="259" w:lineRule="auto"/>
        <w:ind w:left="432" w:right="0" w:firstLine="0"/>
      </w:pPr>
      <w:r>
        <w:t xml:space="preserve"> </w:t>
      </w:r>
    </w:p>
    <w:p w:rsidR="0065281A" w14:paraId="70D77488" w14:textId="77777777">
      <w:pPr>
        <w:ind w:left="446" w:right="58"/>
      </w:pPr>
      <w:r>
        <w:t>As the processing of this form occurs at the national level and not just one geographic location, we estimated the salary using the national base general schedule. Such an hourly wage is $33.73/</w:t>
      </w:r>
      <w:r>
        <w:t>hr</w:t>
      </w:r>
      <w:r>
        <w:t xml:space="preserve"> or $70,387 annually.  </w:t>
      </w:r>
      <w:r w:rsidRPr="001954A9">
        <w:rPr>
          <w:color w:val="auto"/>
        </w:rPr>
        <w:t xml:space="preserve">Therefore, the total cost to the government to complete the annual volume of responses </w:t>
      </w:r>
      <w:r w:rsidRPr="001954A9">
        <w:rPr>
          <w:color w:val="auto"/>
        </w:rPr>
        <w:t>is $349.78 (10.37 hours x $33.73/</w:t>
      </w:r>
      <w:r w:rsidRPr="001954A9">
        <w:rPr>
          <w:color w:val="auto"/>
        </w:rPr>
        <w:t>hr</w:t>
      </w:r>
      <w:r w:rsidRPr="001954A9">
        <w:rPr>
          <w:color w:val="auto"/>
        </w:rPr>
        <w:t xml:space="preserve"> = $349.78). </w:t>
      </w:r>
    </w:p>
    <w:p w:rsidR="0065281A" w14:paraId="149E7C2C" w14:textId="77777777">
      <w:pPr>
        <w:spacing w:after="0" w:line="259" w:lineRule="auto"/>
        <w:ind w:left="432" w:right="0" w:firstLine="0"/>
      </w:pPr>
      <w:r>
        <w:rPr>
          <w:color w:val="FF0000"/>
        </w:rPr>
        <w:t xml:space="preserve"> </w:t>
      </w:r>
    </w:p>
    <w:tbl>
      <w:tblPr>
        <w:tblStyle w:val="TableGrid"/>
        <w:tblW w:w="6619" w:type="dxa"/>
        <w:tblInd w:w="612" w:type="dxa"/>
        <w:tblCellMar>
          <w:top w:w="4" w:type="dxa"/>
          <w:left w:w="0" w:type="dxa"/>
          <w:bottom w:w="5" w:type="dxa"/>
          <w:right w:w="26" w:type="dxa"/>
        </w:tblCellMar>
        <w:tblLook w:val="04A0"/>
      </w:tblPr>
      <w:tblGrid>
        <w:gridCol w:w="1829"/>
        <w:gridCol w:w="331"/>
        <w:gridCol w:w="1061"/>
        <w:gridCol w:w="1601"/>
        <w:gridCol w:w="499"/>
        <w:gridCol w:w="1298"/>
      </w:tblGrid>
      <w:tr w14:paraId="4989EB0C" w14:textId="77777777" w:rsidTr="00C127A2">
        <w:tblPrEx>
          <w:tblW w:w="6619" w:type="dxa"/>
          <w:tblInd w:w="612" w:type="dxa"/>
          <w:tblCellMar>
            <w:top w:w="4" w:type="dxa"/>
            <w:left w:w="0" w:type="dxa"/>
            <w:bottom w:w="5" w:type="dxa"/>
            <w:right w:w="26" w:type="dxa"/>
          </w:tblCellMar>
          <w:tblLook w:val="04A0"/>
        </w:tblPrEx>
        <w:trPr>
          <w:trHeight w:val="547"/>
        </w:trPr>
        <w:tc>
          <w:tcPr>
            <w:tcW w:w="1829" w:type="dxa"/>
            <w:tcBorders>
              <w:top w:val="single" w:sz="4" w:space="0" w:color="000000"/>
              <w:left w:val="single" w:sz="4" w:space="0" w:color="000000"/>
              <w:bottom w:val="single" w:sz="4" w:space="0" w:color="000000"/>
              <w:right w:val="nil"/>
            </w:tcBorders>
          </w:tcPr>
          <w:p w:rsidR="0065281A" w14:paraId="1F0E53B7" w14:textId="77777777">
            <w:pPr>
              <w:spacing w:after="0" w:line="259" w:lineRule="auto"/>
              <w:ind w:left="108" w:right="0" w:firstLine="0"/>
            </w:pPr>
            <w:r>
              <w:rPr>
                <w:rFonts w:ascii="Calibri" w:eastAsia="Calibri" w:hAnsi="Calibri" w:cs="Calibri"/>
                <w:b/>
                <w:sz w:val="22"/>
              </w:rPr>
              <w:t xml:space="preserve">Number of applications </w:t>
            </w:r>
          </w:p>
        </w:tc>
        <w:tc>
          <w:tcPr>
            <w:tcW w:w="331" w:type="dxa"/>
            <w:tcBorders>
              <w:top w:val="single" w:sz="4" w:space="0" w:color="000000"/>
              <w:left w:val="nil"/>
              <w:bottom w:val="single" w:sz="4" w:space="0" w:color="000000"/>
              <w:right w:val="single" w:sz="4" w:space="0" w:color="000000"/>
            </w:tcBorders>
          </w:tcPr>
          <w:p w:rsidR="0065281A" w14:paraId="03AE6202" w14:textId="77777777">
            <w:pPr>
              <w:spacing w:after="160" w:line="259" w:lineRule="auto"/>
              <w:ind w:left="0" w:right="0" w:firstLine="0"/>
            </w:pPr>
          </w:p>
        </w:tc>
        <w:tc>
          <w:tcPr>
            <w:tcW w:w="1061" w:type="dxa"/>
            <w:tcBorders>
              <w:top w:val="single" w:sz="4" w:space="0" w:color="000000"/>
              <w:left w:val="single" w:sz="4" w:space="0" w:color="000000"/>
              <w:bottom w:val="single" w:sz="4" w:space="0" w:color="000000"/>
              <w:right w:val="single" w:sz="4" w:space="0" w:color="000000"/>
            </w:tcBorders>
          </w:tcPr>
          <w:p w:rsidR="0065281A" w14:paraId="53F2A7FD" w14:textId="77777777">
            <w:pPr>
              <w:spacing w:after="0" w:line="259" w:lineRule="auto"/>
              <w:ind w:left="108" w:right="0" w:firstLine="0"/>
            </w:pPr>
            <w:r>
              <w:rPr>
                <w:rFonts w:ascii="Calibri" w:eastAsia="Calibri" w:hAnsi="Calibri" w:cs="Calibri"/>
                <w:b/>
                <w:sz w:val="22"/>
              </w:rPr>
              <w:t xml:space="preserve">Wage Cost </w:t>
            </w:r>
          </w:p>
        </w:tc>
        <w:tc>
          <w:tcPr>
            <w:tcW w:w="1601" w:type="dxa"/>
            <w:tcBorders>
              <w:top w:val="single" w:sz="4" w:space="0" w:color="000000"/>
              <w:left w:val="single" w:sz="4" w:space="0" w:color="000000"/>
              <w:bottom w:val="single" w:sz="4" w:space="0" w:color="000000"/>
              <w:right w:val="nil"/>
            </w:tcBorders>
            <w:vAlign w:val="bottom"/>
          </w:tcPr>
          <w:p w:rsidR="0065281A" w14:paraId="1F2376C5" w14:textId="77777777">
            <w:pPr>
              <w:spacing w:after="0" w:line="259" w:lineRule="auto"/>
              <w:ind w:left="108" w:right="0" w:firstLine="0"/>
            </w:pPr>
            <w:r>
              <w:rPr>
                <w:rFonts w:ascii="Calibri" w:eastAsia="Calibri" w:hAnsi="Calibri" w:cs="Calibri"/>
                <w:b/>
                <w:sz w:val="22"/>
              </w:rPr>
              <w:t xml:space="preserve">Time required </w:t>
            </w:r>
          </w:p>
        </w:tc>
        <w:tc>
          <w:tcPr>
            <w:tcW w:w="499" w:type="dxa"/>
            <w:tcBorders>
              <w:top w:val="single" w:sz="4" w:space="0" w:color="000000"/>
              <w:left w:val="nil"/>
              <w:bottom w:val="single" w:sz="4" w:space="0" w:color="000000"/>
              <w:right w:val="single" w:sz="4" w:space="0" w:color="000000"/>
            </w:tcBorders>
          </w:tcPr>
          <w:p w:rsidR="0065281A" w14:paraId="2E901F96" w14:textId="77777777">
            <w:pPr>
              <w:spacing w:after="160" w:line="259" w:lineRule="auto"/>
              <w:ind w:left="0" w:right="0" w:firstLine="0"/>
            </w:pPr>
          </w:p>
        </w:tc>
        <w:tc>
          <w:tcPr>
            <w:tcW w:w="1298" w:type="dxa"/>
            <w:tcBorders>
              <w:top w:val="single" w:sz="4" w:space="0" w:color="000000"/>
              <w:left w:val="single" w:sz="4" w:space="0" w:color="000000"/>
              <w:bottom w:val="single" w:sz="4" w:space="0" w:color="000000"/>
              <w:right w:val="single" w:sz="4" w:space="0" w:color="000000"/>
            </w:tcBorders>
            <w:vAlign w:val="bottom"/>
          </w:tcPr>
          <w:p w:rsidR="0065281A" w14:paraId="6A1883EC" w14:textId="77777777">
            <w:pPr>
              <w:spacing w:after="0" w:line="259" w:lineRule="auto"/>
              <w:ind w:left="108" w:right="0" w:firstLine="0"/>
            </w:pPr>
            <w:r>
              <w:rPr>
                <w:rFonts w:ascii="Calibri" w:eastAsia="Calibri" w:hAnsi="Calibri" w:cs="Calibri"/>
                <w:b/>
                <w:sz w:val="22"/>
              </w:rPr>
              <w:t xml:space="preserve">Total </w:t>
            </w:r>
          </w:p>
        </w:tc>
      </w:tr>
      <w:tr w14:paraId="17089523" w14:textId="77777777" w:rsidTr="00C127A2">
        <w:tblPrEx>
          <w:tblW w:w="6619" w:type="dxa"/>
          <w:tblInd w:w="612" w:type="dxa"/>
          <w:tblCellMar>
            <w:top w:w="4" w:type="dxa"/>
            <w:left w:w="0" w:type="dxa"/>
            <w:bottom w:w="5" w:type="dxa"/>
            <w:right w:w="26" w:type="dxa"/>
          </w:tblCellMar>
          <w:tblLook w:val="04A0"/>
        </w:tblPrEx>
        <w:trPr>
          <w:trHeight w:val="300"/>
        </w:trPr>
        <w:tc>
          <w:tcPr>
            <w:tcW w:w="1829" w:type="dxa"/>
            <w:tcBorders>
              <w:top w:val="single" w:sz="4" w:space="0" w:color="000000"/>
              <w:left w:val="single" w:sz="4" w:space="0" w:color="000000"/>
              <w:bottom w:val="single" w:sz="4" w:space="0" w:color="000000"/>
              <w:right w:val="nil"/>
            </w:tcBorders>
          </w:tcPr>
          <w:p w:rsidR="0065281A" w14:paraId="4B0AFDEE" w14:textId="77777777">
            <w:pPr>
              <w:spacing w:after="160" w:line="259" w:lineRule="auto"/>
              <w:ind w:left="0" w:right="0" w:firstLine="0"/>
            </w:pPr>
          </w:p>
        </w:tc>
        <w:tc>
          <w:tcPr>
            <w:tcW w:w="331" w:type="dxa"/>
            <w:tcBorders>
              <w:top w:val="single" w:sz="4" w:space="0" w:color="000000"/>
              <w:left w:val="nil"/>
              <w:bottom w:val="single" w:sz="4" w:space="0" w:color="000000"/>
              <w:right w:val="single" w:sz="4" w:space="0" w:color="000000"/>
            </w:tcBorders>
          </w:tcPr>
          <w:p w:rsidR="0065281A" w14:paraId="7FBC73BD" w14:textId="77777777">
            <w:pPr>
              <w:spacing w:after="0" w:line="259" w:lineRule="auto"/>
              <w:ind w:left="0" w:right="0" w:firstLine="0"/>
              <w:jc w:val="both"/>
            </w:pPr>
            <w:r>
              <w:rPr>
                <w:rFonts w:ascii="Calibri" w:eastAsia="Calibri" w:hAnsi="Calibri" w:cs="Calibri"/>
                <w:sz w:val="22"/>
              </w:rPr>
              <w:t xml:space="preserve">61 </w:t>
            </w:r>
          </w:p>
        </w:tc>
        <w:tc>
          <w:tcPr>
            <w:tcW w:w="1061" w:type="dxa"/>
            <w:tcBorders>
              <w:top w:val="single" w:sz="4" w:space="0" w:color="000000"/>
              <w:left w:val="single" w:sz="4" w:space="0" w:color="000000"/>
              <w:bottom w:val="single" w:sz="4" w:space="0" w:color="000000"/>
              <w:right w:val="single" w:sz="4" w:space="0" w:color="000000"/>
            </w:tcBorders>
          </w:tcPr>
          <w:p w:rsidR="0065281A" w14:paraId="7BB12985" w14:textId="77777777">
            <w:pPr>
              <w:spacing w:after="0" w:line="259" w:lineRule="auto"/>
              <w:ind w:left="0" w:right="83" w:firstLine="0"/>
              <w:jc w:val="right"/>
            </w:pPr>
            <w:r>
              <w:rPr>
                <w:rFonts w:ascii="Calibri" w:eastAsia="Calibri" w:hAnsi="Calibri" w:cs="Calibri"/>
                <w:sz w:val="22"/>
              </w:rPr>
              <w:t xml:space="preserve">$33.73  </w:t>
            </w:r>
          </w:p>
        </w:tc>
        <w:tc>
          <w:tcPr>
            <w:tcW w:w="1601" w:type="dxa"/>
            <w:tcBorders>
              <w:top w:val="single" w:sz="4" w:space="0" w:color="000000"/>
              <w:left w:val="single" w:sz="4" w:space="0" w:color="000000"/>
              <w:bottom w:val="single" w:sz="4" w:space="0" w:color="000000"/>
              <w:right w:val="nil"/>
            </w:tcBorders>
          </w:tcPr>
          <w:p w:rsidR="0065281A" w14:paraId="5692C9ED" w14:textId="77777777">
            <w:pPr>
              <w:spacing w:after="160" w:line="259" w:lineRule="auto"/>
              <w:ind w:left="0" w:right="0" w:firstLine="0"/>
            </w:pPr>
          </w:p>
        </w:tc>
        <w:tc>
          <w:tcPr>
            <w:tcW w:w="499" w:type="dxa"/>
            <w:tcBorders>
              <w:top w:val="single" w:sz="4" w:space="0" w:color="000000"/>
              <w:left w:val="nil"/>
              <w:bottom w:val="single" w:sz="4" w:space="0" w:color="000000"/>
              <w:right w:val="single" w:sz="4" w:space="0" w:color="000000"/>
            </w:tcBorders>
          </w:tcPr>
          <w:p w:rsidR="0065281A" w14:paraId="5859779E" w14:textId="77777777">
            <w:pPr>
              <w:spacing w:after="0" w:line="259" w:lineRule="auto"/>
              <w:ind w:left="0" w:right="0" w:firstLine="0"/>
              <w:jc w:val="both"/>
            </w:pPr>
            <w:r>
              <w:rPr>
                <w:rFonts w:ascii="Calibri" w:eastAsia="Calibri" w:hAnsi="Calibri" w:cs="Calibri"/>
                <w:sz w:val="22"/>
              </w:rPr>
              <w:t xml:space="preserve">0.17 </w:t>
            </w:r>
          </w:p>
        </w:tc>
        <w:tc>
          <w:tcPr>
            <w:tcW w:w="1298" w:type="dxa"/>
            <w:tcBorders>
              <w:top w:val="single" w:sz="4" w:space="0" w:color="000000"/>
              <w:left w:val="single" w:sz="4" w:space="0" w:color="000000"/>
              <w:bottom w:val="single" w:sz="4" w:space="0" w:color="000000"/>
              <w:right w:val="single" w:sz="4" w:space="0" w:color="000000"/>
            </w:tcBorders>
          </w:tcPr>
          <w:p w:rsidR="0065281A" w14:paraId="7B4EBF29" w14:textId="77777777">
            <w:pPr>
              <w:spacing w:after="0" w:line="259" w:lineRule="auto"/>
              <w:ind w:left="0" w:right="80" w:firstLine="0"/>
              <w:jc w:val="right"/>
            </w:pPr>
            <w:r>
              <w:rPr>
                <w:rFonts w:ascii="Calibri" w:eastAsia="Calibri" w:hAnsi="Calibri" w:cs="Calibri"/>
                <w:sz w:val="22"/>
              </w:rPr>
              <w:t xml:space="preserve">$349.78  </w:t>
            </w:r>
          </w:p>
        </w:tc>
      </w:tr>
    </w:tbl>
    <w:p w:rsidR="0065281A" w14:paraId="3F4E2254" w14:textId="77777777">
      <w:pPr>
        <w:tabs>
          <w:tab w:val="center" w:pos="432"/>
          <w:tab w:val="center" w:pos="1822"/>
        </w:tabs>
        <w:ind w:left="0" w:right="0" w:firstLine="0"/>
      </w:pPr>
      <w:r>
        <w:rPr>
          <w:rFonts w:ascii="Calibri" w:eastAsia="Calibri" w:hAnsi="Calibri" w:cs="Calibri"/>
          <w:sz w:val="22"/>
        </w:rPr>
        <w:tab/>
      </w:r>
      <w:r>
        <w:t xml:space="preserve"> </w:t>
      </w:r>
      <w:r>
        <w:tab/>
        <w:t xml:space="preserve">*Figures are estimates.  </w:t>
      </w:r>
    </w:p>
    <w:p w:rsidR="0065281A" w14:paraId="3387B65A" w14:textId="77777777">
      <w:pPr>
        <w:spacing w:after="0" w:line="259" w:lineRule="auto"/>
        <w:ind w:left="0" w:right="0" w:firstLine="0"/>
      </w:pPr>
      <w:r>
        <w:t xml:space="preserve"> </w:t>
      </w:r>
    </w:p>
    <w:p w:rsidR="0065281A" w14:paraId="786B5942" w14:textId="77777777">
      <w:pPr>
        <w:numPr>
          <w:ilvl w:val="0"/>
          <w:numId w:val="5"/>
        </w:numPr>
        <w:spacing w:after="0" w:line="259" w:lineRule="auto"/>
        <w:ind w:right="0" w:hanging="432"/>
      </w:pPr>
      <w:r>
        <w:rPr>
          <w:u w:val="single" w:color="000000"/>
        </w:rPr>
        <w:t>Program and Burden Changes</w:t>
      </w:r>
      <w:r>
        <w:t xml:space="preserve">  </w:t>
      </w:r>
    </w:p>
    <w:p w:rsidR="0065281A" w14:paraId="494C2C84" w14:textId="77777777">
      <w:pPr>
        <w:spacing w:after="0" w:line="259" w:lineRule="auto"/>
        <w:ind w:left="432" w:right="0" w:firstLine="0"/>
      </w:pPr>
      <w:r>
        <w:t xml:space="preserve"> </w:t>
      </w:r>
    </w:p>
    <w:p w:rsidR="0065281A" w14:paraId="0A54A164" w14:textId="77777777">
      <w:pPr>
        <w:ind w:left="446" w:right="58"/>
      </w:pPr>
      <w:r>
        <w:t xml:space="preserve">This is a new collection.  </w:t>
      </w:r>
    </w:p>
    <w:p w:rsidR="0065281A" w14:paraId="6BC04035" w14:textId="77777777">
      <w:pPr>
        <w:spacing w:after="0" w:line="259" w:lineRule="auto"/>
        <w:ind w:left="0" w:right="0" w:firstLine="0"/>
      </w:pPr>
      <w:r>
        <w:t xml:space="preserve"> </w:t>
      </w:r>
    </w:p>
    <w:p w:rsidR="001954A9" w14:paraId="337D1900" w14:textId="77777777">
      <w:pPr>
        <w:spacing w:after="0" w:line="259" w:lineRule="auto"/>
        <w:ind w:left="0" w:right="0" w:firstLine="0"/>
      </w:pPr>
    </w:p>
    <w:p w:rsidR="0065281A" w14:paraId="496C2B03" w14:textId="77777777">
      <w:pPr>
        <w:numPr>
          <w:ilvl w:val="0"/>
          <w:numId w:val="5"/>
        </w:numPr>
        <w:spacing w:after="0" w:line="259" w:lineRule="auto"/>
        <w:ind w:right="0" w:hanging="432"/>
      </w:pPr>
      <w:r>
        <w:rPr>
          <w:u w:val="single" w:color="000000"/>
        </w:rPr>
        <w:t>Publication/Tabulation Dates</w:t>
      </w:r>
      <w:r>
        <w:t xml:space="preserve"> </w:t>
      </w:r>
    </w:p>
    <w:p w:rsidR="0065281A" w14:paraId="55BAF25F" w14:textId="77777777">
      <w:pPr>
        <w:spacing w:after="0" w:line="259" w:lineRule="auto"/>
        <w:ind w:left="0" w:right="0" w:firstLine="0"/>
      </w:pPr>
      <w:r>
        <w:t xml:space="preserve"> </w:t>
      </w:r>
    </w:p>
    <w:p w:rsidR="0065281A" w14:paraId="7FF11002" w14:textId="77777777">
      <w:pPr>
        <w:ind w:left="446" w:right="58"/>
      </w:pPr>
      <w:r>
        <w:t xml:space="preserve">There are no plans to publish or tabulate the information collected. </w:t>
      </w:r>
    </w:p>
    <w:p w:rsidR="0065281A" w14:paraId="5E001356" w14:textId="77777777">
      <w:pPr>
        <w:spacing w:after="0" w:line="259" w:lineRule="auto"/>
        <w:ind w:left="0" w:right="0" w:firstLine="0"/>
      </w:pPr>
      <w:r>
        <w:t xml:space="preserve"> </w:t>
      </w:r>
    </w:p>
    <w:p w:rsidR="0065281A" w14:paraId="43F2B8C3" w14:textId="77777777">
      <w:pPr>
        <w:numPr>
          <w:ilvl w:val="0"/>
          <w:numId w:val="5"/>
        </w:numPr>
        <w:spacing w:after="0" w:line="259" w:lineRule="auto"/>
        <w:ind w:right="0" w:hanging="432"/>
      </w:pPr>
      <w:r>
        <w:rPr>
          <w:u w:val="single" w:color="000000"/>
        </w:rPr>
        <w:t>Expiration Date</w:t>
      </w:r>
      <w:r>
        <w:t xml:space="preserve"> </w:t>
      </w:r>
    </w:p>
    <w:p w:rsidR="0065281A" w14:paraId="51A6E79B" w14:textId="77777777">
      <w:pPr>
        <w:spacing w:after="0" w:line="259" w:lineRule="auto"/>
        <w:ind w:left="432" w:right="0" w:firstLine="0"/>
      </w:pPr>
      <w:r>
        <w:t xml:space="preserve"> </w:t>
      </w:r>
    </w:p>
    <w:p w:rsidR="0065281A" w14:paraId="0B100C30" w14:textId="77777777">
      <w:pPr>
        <w:ind w:left="446" w:right="58"/>
      </w:pPr>
      <w:r>
        <w:t xml:space="preserve">The form displays the expiration date next to the OMB control number. </w:t>
      </w:r>
    </w:p>
    <w:p w:rsidR="0065281A" w14:paraId="01B04FFA" w14:textId="77777777">
      <w:pPr>
        <w:spacing w:after="0" w:line="259" w:lineRule="auto"/>
        <w:ind w:left="0" w:right="0" w:firstLine="0"/>
      </w:pPr>
      <w:r>
        <w:t xml:space="preserve"> </w:t>
      </w:r>
    </w:p>
    <w:p w:rsidR="0065281A" w14:paraId="63F8E8AF" w14:textId="77777777">
      <w:pPr>
        <w:numPr>
          <w:ilvl w:val="0"/>
          <w:numId w:val="5"/>
        </w:numPr>
        <w:spacing w:after="0" w:line="259" w:lineRule="auto"/>
        <w:ind w:right="0" w:hanging="432"/>
      </w:pPr>
      <w:r>
        <w:rPr>
          <w:u w:val="single" w:color="000000"/>
        </w:rPr>
        <w:t>Certification Statement</w:t>
      </w:r>
      <w:r>
        <w:t xml:space="preserve"> </w:t>
      </w:r>
    </w:p>
    <w:p w:rsidR="0065281A" w14:paraId="5F036AA0" w14:textId="77777777">
      <w:pPr>
        <w:spacing w:after="0" w:line="259" w:lineRule="auto"/>
        <w:ind w:left="0" w:right="0" w:firstLine="0"/>
      </w:pPr>
      <w:r>
        <w:t xml:space="preserve"> </w:t>
      </w:r>
    </w:p>
    <w:p w:rsidR="0065281A" w14:paraId="211E5FEF" w14:textId="77777777">
      <w:pPr>
        <w:ind w:left="446" w:right="58"/>
      </w:pPr>
      <w:r>
        <w:t xml:space="preserve">There are no exceptions to the certification statement. </w:t>
      </w:r>
    </w:p>
    <w:p w:rsidR="0065281A" w14:paraId="25530534" w14:textId="77777777">
      <w:pPr>
        <w:spacing w:after="9" w:line="259" w:lineRule="auto"/>
        <w:ind w:left="0" w:right="0" w:firstLine="0"/>
      </w:pPr>
      <w:r>
        <w:t xml:space="preserve"> </w:t>
      </w:r>
    </w:p>
    <w:p w:rsidR="0065281A" w14:paraId="7CFB6A43" w14:textId="77777777">
      <w:pPr>
        <w:pStyle w:val="Heading1"/>
        <w:tabs>
          <w:tab w:val="center" w:pos="3630"/>
        </w:tabs>
        <w:ind w:left="-15" w:firstLine="0"/>
      </w:pPr>
      <w:r>
        <w:t xml:space="preserve">B. </w:t>
      </w:r>
      <w:r>
        <w:tab/>
        <w:t xml:space="preserve">Collection of Information Employing Statistical Methods </w:t>
      </w:r>
    </w:p>
    <w:p w:rsidR="0065281A" w14:paraId="54288C64" w14:textId="77777777">
      <w:pPr>
        <w:spacing w:after="0" w:line="259" w:lineRule="auto"/>
        <w:ind w:left="0" w:right="0" w:firstLine="0"/>
      </w:pPr>
      <w:r>
        <w:t xml:space="preserve"> </w:t>
      </w:r>
    </w:p>
    <w:p w:rsidR="0065281A" w14:paraId="329EC281" w14:textId="77777777">
      <w:pPr>
        <w:ind w:left="730" w:right="58"/>
      </w:pPr>
      <w:r>
        <w:t xml:space="preserve">Not applicable. There are no statistical methods. </w:t>
      </w:r>
    </w:p>
    <w:p w:rsidR="0065281A" w14:paraId="0F98911A" w14:textId="77777777">
      <w:pPr>
        <w:spacing w:after="0" w:line="259" w:lineRule="auto"/>
        <w:ind w:left="0" w:right="0" w:firstLine="0"/>
      </w:pPr>
      <w:r>
        <w:rPr>
          <w:b/>
        </w:rPr>
        <w:t xml:space="preserve"> </w:t>
      </w:r>
    </w:p>
    <w:p w:rsidR="0065281A" w14:paraId="6B035BCC" w14:textId="77777777">
      <w:pPr>
        <w:spacing w:after="0" w:line="259" w:lineRule="auto"/>
        <w:ind w:left="0" w:right="0" w:firstLine="0"/>
      </w:pPr>
      <w:r>
        <w:rPr>
          <w:sz w:val="20"/>
        </w:rPr>
        <w:t xml:space="preserve"> </w:t>
      </w:r>
    </w:p>
    <w:sectPr>
      <w:footerReference w:type="even" r:id="rId7"/>
      <w:footerReference w:type="default" r:id="rId8"/>
      <w:footerReference w:type="first" r:id="rId9"/>
      <w:pgSz w:w="12240" w:h="15840"/>
      <w:pgMar w:top="1497" w:right="1236" w:bottom="2240" w:left="1440" w:header="720" w:footer="144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281A" w14:paraId="57A180D5" w14:textId="77777777">
    <w:pPr>
      <w:spacing w:after="22" w:line="259" w:lineRule="auto"/>
      <w:ind w:left="0" w:right="0" w:firstLine="0"/>
    </w:pPr>
    <w:r>
      <w:rPr>
        <w:sz w:val="20"/>
      </w:rPr>
      <w:t xml:space="preserve"> </w:t>
    </w:r>
  </w:p>
  <w:p w:rsidR="0065281A" w14:paraId="69D85207" w14:textId="77777777">
    <w:pPr>
      <w:spacing w:after="0" w:line="259" w:lineRule="auto"/>
      <w:ind w:left="0" w:firstLine="0"/>
      <w:jc w:val="center"/>
    </w:pPr>
    <w:r>
      <w:fldChar w:fldCharType="begin"/>
    </w:r>
    <w:r>
      <w:instrText xml:space="preserve"> PAGE   \* MERGEFORMAT </w:instrText>
    </w:r>
    <w:r>
      <w:fldChar w:fldCharType="separate"/>
    </w:r>
    <w:r>
      <w:t>1</w:t>
    </w:r>
    <w:r>
      <w:fldChar w:fldCharType="end"/>
    </w:r>
    <w:r>
      <w:t xml:space="preserve"> </w:t>
    </w:r>
  </w:p>
  <w:p w:rsidR="0065281A" w14:paraId="2ACFD0E7" w14:textId="77777777">
    <w:pPr>
      <w:spacing w:after="0" w:line="259" w:lineRule="auto"/>
      <w:ind w:left="0" w:righ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281A" w14:paraId="3E9BE85E" w14:textId="77777777">
    <w:pPr>
      <w:spacing w:after="22" w:line="259" w:lineRule="auto"/>
      <w:ind w:left="0" w:right="0" w:firstLine="0"/>
    </w:pPr>
    <w:r>
      <w:rPr>
        <w:sz w:val="20"/>
      </w:rPr>
      <w:t xml:space="preserve"> </w:t>
    </w:r>
  </w:p>
  <w:p w:rsidR="0065281A" w14:paraId="7E2E3583" w14:textId="77777777">
    <w:pPr>
      <w:spacing w:after="0" w:line="259" w:lineRule="auto"/>
      <w:ind w:left="0" w:firstLine="0"/>
      <w:jc w:val="center"/>
    </w:pPr>
    <w:r>
      <w:fldChar w:fldCharType="begin"/>
    </w:r>
    <w:r>
      <w:instrText xml:space="preserve"> PAGE   \* MERGEFORMAT </w:instrText>
    </w:r>
    <w:r>
      <w:fldChar w:fldCharType="separate"/>
    </w:r>
    <w:r>
      <w:t>1</w:t>
    </w:r>
    <w:r>
      <w:fldChar w:fldCharType="end"/>
    </w:r>
    <w:r>
      <w:t xml:space="preserve"> </w:t>
    </w:r>
  </w:p>
  <w:p w:rsidR="0065281A" w14:paraId="4DC7E650" w14:textId="77777777">
    <w:pPr>
      <w:spacing w:after="0" w:line="259" w:lineRule="auto"/>
      <w:ind w:left="0" w:righ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281A" w14:paraId="659DADDC" w14:textId="77777777">
    <w:pPr>
      <w:spacing w:after="22" w:line="259" w:lineRule="auto"/>
      <w:ind w:left="0" w:right="0" w:firstLine="0"/>
    </w:pPr>
    <w:r>
      <w:rPr>
        <w:sz w:val="20"/>
      </w:rPr>
      <w:t xml:space="preserve"> </w:t>
    </w:r>
  </w:p>
  <w:p w:rsidR="0065281A" w14:paraId="6D23CEE0" w14:textId="77777777">
    <w:pPr>
      <w:spacing w:after="0" w:line="259" w:lineRule="auto"/>
      <w:ind w:left="0" w:firstLine="0"/>
      <w:jc w:val="center"/>
    </w:pPr>
    <w:r>
      <w:fldChar w:fldCharType="begin"/>
    </w:r>
    <w:r>
      <w:instrText xml:space="preserve"> PAGE   \* MERGEFORMAT </w:instrText>
    </w:r>
    <w:r>
      <w:fldChar w:fldCharType="separate"/>
    </w:r>
    <w:r>
      <w:t>1</w:t>
    </w:r>
    <w:r>
      <w:fldChar w:fldCharType="end"/>
    </w:r>
    <w:r>
      <w:t xml:space="preserve"> </w:t>
    </w:r>
  </w:p>
  <w:p w:rsidR="0065281A" w14:paraId="11C44E2E" w14:textId="77777777">
    <w:pPr>
      <w:spacing w:after="0" w:line="259" w:lineRule="auto"/>
      <w:ind w:left="0" w:right="0" w:firstLine="0"/>
    </w:pPr>
    <w: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E73968"/>
    <w:multiLevelType w:val="hybridMultilevel"/>
    <w:tmpl w:val="FC1A223C"/>
    <w:lvl w:ilvl="0">
      <w:start w:val="4"/>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218624E"/>
    <w:multiLevelType w:val="hybridMultilevel"/>
    <w:tmpl w:val="48123B9A"/>
    <w:lvl w:ilvl="0">
      <w:start w:val="15"/>
      <w:numFmt w:val="decimal"/>
      <w:lvlText w:val="%1."/>
      <w:lvlJc w:val="left"/>
      <w:pPr>
        <w:ind w:left="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4D60A1E"/>
    <w:multiLevelType w:val="hybridMultilevel"/>
    <w:tmpl w:val="889C670C"/>
    <w:lvl w:ilvl="0">
      <w:start w:val="1"/>
      <w:numFmt w:val="bullet"/>
      <w:lvlText w:val="•"/>
      <w:lvlJc w:val="left"/>
      <w:pPr>
        <w:ind w:left="11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8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5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3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40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7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4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1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9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nsid w:val="27BD40AD"/>
    <w:multiLevelType w:val="hybridMultilevel"/>
    <w:tmpl w:val="F28A49A0"/>
    <w:lvl w:ilvl="0">
      <w:start w:val="1"/>
      <w:numFmt w:val="decimal"/>
      <w:lvlText w:val="%1."/>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53E65481"/>
    <w:multiLevelType w:val="hybridMultilevel"/>
    <w:tmpl w:val="60D65C8A"/>
    <w:lvl w:ilvl="0">
      <w:start w:val="1"/>
      <w:numFmt w:val="bullet"/>
      <w:lvlText w:val="•"/>
      <w:lvlJc w:val="left"/>
      <w:pPr>
        <w:ind w:left="4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431660391">
    <w:abstractNumId w:val="3"/>
  </w:num>
  <w:num w:numId="2" w16cid:durableId="236943341">
    <w:abstractNumId w:val="2"/>
  </w:num>
  <w:num w:numId="3" w16cid:durableId="335153347">
    <w:abstractNumId w:val="0"/>
  </w:num>
  <w:num w:numId="4" w16cid:durableId="443888769">
    <w:abstractNumId w:val="4"/>
  </w:num>
  <w:num w:numId="5" w16cid:durableId="1519350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81A"/>
    <w:rsid w:val="001954A9"/>
    <w:rsid w:val="004024C0"/>
    <w:rsid w:val="00542553"/>
    <w:rsid w:val="0065281A"/>
    <w:rsid w:val="00A2587F"/>
    <w:rsid w:val="00BB04F2"/>
    <w:rsid w:val="00C127A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DC3882"/>
  <w15:docId w15:val="{2D6E83DE-8090-4A18-88C3-61B0C42DE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7" w:line="249" w:lineRule="auto"/>
      <w:ind w:left="10" w:right="6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1954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4A9"/>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bls.gov/oes/current/oes_nat.htm" TargetMode="External" /><Relationship Id="rId5" Type="http://schemas.openxmlformats.org/officeDocument/2006/relationships/hyperlink" Target="https://secure.ssa.gov/poms.nsf/lnx/0600803050" TargetMode="External" /><Relationship Id="rId6" Type="http://schemas.openxmlformats.org/officeDocument/2006/relationships/hyperlink" Target="https://www.opm.gov/policy-data-oversight/pay-leave/salaries-wages/2024/general-schedule"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TotalTime>
  <Pages>7</Pages>
  <Words>1870</Words>
  <Characters>10662</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Center For Medicaid Services</Company>
  <LinksUpToDate>false</LinksUpToDate>
  <CharactersWithSpaces>12507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Woods, Tyrissa (CMS/CM)</dc:creator>
  <cp:lastModifiedBy>McKenzie, Stephan (CMS/OSORA)</cp:lastModifiedBy>
  <cp:revision>4</cp:revision>
  <dcterms:created xsi:type="dcterms:W3CDTF">2024-11-22T16:45:00Z</dcterms:created>
  <dcterms:modified xsi:type="dcterms:W3CDTF">2024-11-22T17:29:00Z</dcterms:modified>
</cp:coreProperties>
</file>