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240" w:rsidRPr="00915B18" w:rsidP="00B41240" w14:paraId="0404A608" w14:textId="5C1F8C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SSA </w:t>
      </w:r>
      <w:r w:rsidR="00055551">
        <w:rPr>
          <w:rFonts w:ascii="Times New Roman" w:hAnsi="Times New Roman" w:cs="Times New Roman"/>
        </w:rPr>
        <w:t xml:space="preserve">Beyond </w:t>
      </w:r>
      <w:r w:rsidRPr="00915B18" w:rsidR="00055551">
        <w:rPr>
          <w:rFonts w:ascii="Times New Roman" w:hAnsi="Times New Roman" w:cs="Times New Roman"/>
        </w:rPr>
        <w:t>Benefits Study (BBS)</w:t>
      </w:r>
    </w:p>
    <w:p w:rsidR="00B41240" w:rsidRPr="00BC7F42" w:rsidP="00B41240" w14:paraId="4162343B" w14:textId="2A2561C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15B18">
        <w:rPr>
          <w:rFonts w:ascii="Times New Roman" w:hAnsi="Times New Roman" w:cs="Times New Roman"/>
        </w:rPr>
        <w:t xml:space="preserve">OMB No. </w:t>
      </w:r>
      <w:r w:rsidRPr="00915B18" w:rsidR="00387B28">
        <w:rPr>
          <w:rFonts w:ascii="Times New Roman" w:hAnsi="Times New Roman" w:cs="Times New Roman"/>
        </w:rPr>
        <w:t>0960</w:t>
      </w:r>
      <w:r w:rsidR="00387B28">
        <w:rPr>
          <w:rFonts w:ascii="Times New Roman" w:hAnsi="Times New Roman" w:cs="Times New Roman"/>
        </w:rPr>
        <w:t>-NEW</w:t>
      </w:r>
    </w:p>
    <w:p w:rsidR="0041131C" w:rsidP="00A057F6" w14:paraId="14323130" w14:textId="77777777">
      <w:pPr>
        <w:rPr>
          <w:rFonts w:ascii="Times New Roman" w:hAnsi="Times New Roman"/>
        </w:rPr>
      </w:pPr>
    </w:p>
    <w:p w:rsidR="00155EBD" w:rsidP="00DE3DB6" w14:paraId="5743E1D8" w14:textId="77777777">
      <w:pPr>
        <w:pStyle w:val="ListParagraph"/>
        <w:numPr>
          <w:ilvl w:val="0"/>
          <w:numId w:val="6"/>
        </w:numPr>
        <w:rPr>
          <w:rFonts w:ascii="Times New Roman" w:hAnsi="Times New Roman"/>
          <w:b/>
          <w:u w:val="single"/>
        </w:rPr>
      </w:pPr>
      <w:r w:rsidRPr="00155EBD">
        <w:rPr>
          <w:rFonts w:ascii="Times New Roman" w:hAnsi="Times New Roman"/>
          <w:b/>
          <w:u w:val="single"/>
        </w:rPr>
        <w:t>Collections of Information Employing Statistical Method</w:t>
      </w:r>
      <w:r w:rsidRPr="00155EBD">
        <w:rPr>
          <w:rFonts w:ascii="Times New Roman" w:hAnsi="Times New Roman"/>
          <w:b/>
          <w:u w:val="single"/>
        </w:rPr>
        <w:t>s</w:t>
      </w:r>
    </w:p>
    <w:p w:rsidR="00155EBD" w:rsidP="00155EBD" w14:paraId="50A589D8" w14:textId="77777777">
      <w:pPr>
        <w:pStyle w:val="ListParagraph"/>
        <w:ind w:left="360"/>
        <w:rPr>
          <w:rFonts w:ascii="Times New Roman" w:hAnsi="Times New Roman"/>
          <w:b/>
          <w:u w:val="single"/>
        </w:rPr>
      </w:pPr>
    </w:p>
    <w:p w:rsidR="00155EBD" w:rsidP="00155EBD" w14:paraId="01AA56F5" w14:textId="77777777">
      <w:pPr>
        <w:pStyle w:val="ListParagraph"/>
        <w:ind w:left="360"/>
        <w:rPr>
          <w:rFonts w:ascii="Times New Roman" w:hAnsi="Times New Roman"/>
        </w:rPr>
      </w:pPr>
      <w:r w:rsidRPr="00155EBD">
        <w:rPr>
          <w:rFonts w:ascii="Times New Roman" w:hAnsi="Times New Roman"/>
        </w:rPr>
        <w:t>The objective of the BBS is to understand the needs (e.g., service, medical, and employment) of individuals who, due to medical improvement, have “exited” or are likely to “exit” the Social Security Disability Insurance (SSDI) program, the Supplemental Sec</w:t>
      </w:r>
      <w:r w:rsidRPr="00155EBD">
        <w:rPr>
          <w:rFonts w:ascii="Times New Roman" w:hAnsi="Times New Roman"/>
        </w:rPr>
        <w:t xml:space="preserve">urity Income (SSI) program, or both. </w:t>
      </w:r>
      <w:r w:rsidRPr="00155EBD" w:rsidR="00387B28">
        <w:rPr>
          <w:rFonts w:ascii="Times New Roman" w:hAnsi="Times New Roman"/>
        </w:rPr>
        <w:t xml:space="preserve"> </w:t>
      </w:r>
      <w:r w:rsidRPr="00155EBD">
        <w:rPr>
          <w:rFonts w:ascii="Times New Roman" w:hAnsi="Times New Roman"/>
        </w:rPr>
        <w:t>This study will provide SSA with information to identify potential interventions and policies to help Exiters and Possible Exiters achieve sustainable, substantial work leading to self</w:t>
      </w:r>
      <w:r w:rsidRPr="00155EBD" w:rsidR="00C15E5F">
        <w:rPr>
          <w:rFonts w:ascii="Times New Roman" w:hAnsi="Times New Roman"/>
        </w:rPr>
        <w:noBreakHyphen/>
      </w:r>
      <w:r w:rsidRPr="00155EBD">
        <w:rPr>
          <w:rFonts w:ascii="Times New Roman" w:hAnsi="Times New Roman"/>
        </w:rPr>
        <w:t>sufficiency.</w:t>
      </w:r>
      <w:r>
        <w:rPr>
          <w:rFonts w:ascii="Times New Roman" w:hAnsi="Times New Roman"/>
        </w:rPr>
        <w:t xml:space="preserve">  </w:t>
      </w:r>
      <w:r w:rsidRPr="00155EBD">
        <w:rPr>
          <w:rFonts w:ascii="Times New Roman" w:hAnsi="Times New Roman"/>
        </w:rPr>
        <w:t>The study aims to answer three primary research questions:</w:t>
      </w:r>
    </w:p>
    <w:p w:rsidR="00155EBD" w:rsidP="00155EBD" w14:paraId="0CC24015" w14:textId="77777777">
      <w:pPr>
        <w:pStyle w:val="ListParagraph"/>
        <w:ind w:left="360"/>
        <w:rPr>
          <w:rFonts w:ascii="Times New Roman" w:hAnsi="Times New Roman"/>
        </w:rPr>
      </w:pPr>
    </w:p>
    <w:p w:rsidR="00155EBD" w:rsidP="00155EBD" w14:paraId="26F2140A" w14:textId="77777777">
      <w:pPr>
        <w:pStyle w:val="ListParagraph"/>
        <w:numPr>
          <w:ilvl w:val="0"/>
          <w:numId w:val="7"/>
        </w:numPr>
        <w:rPr>
          <w:rFonts w:ascii="Times New Roman" w:hAnsi="Times New Roman"/>
        </w:rPr>
      </w:pPr>
      <w:r w:rsidRPr="00155EBD">
        <w:rPr>
          <w:rFonts w:ascii="Times New Roman" w:hAnsi="Times New Roman"/>
        </w:rPr>
        <w:t xml:space="preserve">What </w:t>
      </w:r>
      <w:r w:rsidRPr="00155EBD">
        <w:rPr>
          <w:rFonts w:ascii="Times New Roman" w:hAnsi="Times New Roman"/>
        </w:rPr>
        <w:t>are</w:t>
      </w:r>
      <w:r w:rsidRPr="00155EBD">
        <w:rPr>
          <w:rFonts w:ascii="Times New Roman" w:hAnsi="Times New Roman"/>
        </w:rPr>
        <w:t xml:space="preserve"> the service, medical, and employment needs to achieve sustainable, substantive employment among individuals who exit SSDI/SSI programs?</w:t>
      </w:r>
    </w:p>
    <w:p w:rsidR="00155EBD" w:rsidP="00155EBD" w14:paraId="7E70E5CF" w14:textId="77777777">
      <w:pPr>
        <w:pStyle w:val="ListParagraph"/>
        <w:ind w:left="1080"/>
        <w:rPr>
          <w:rFonts w:ascii="Times New Roman" w:hAnsi="Times New Roman"/>
        </w:rPr>
      </w:pPr>
    </w:p>
    <w:p w:rsidR="00155EBD" w:rsidP="00155EBD" w14:paraId="5620D275" w14:textId="77777777">
      <w:pPr>
        <w:pStyle w:val="ListParagraph"/>
        <w:numPr>
          <w:ilvl w:val="0"/>
          <w:numId w:val="7"/>
        </w:numPr>
        <w:rPr>
          <w:rFonts w:ascii="Times New Roman" w:hAnsi="Times New Roman"/>
        </w:rPr>
      </w:pPr>
      <w:r w:rsidRPr="00155EBD">
        <w:rPr>
          <w:rFonts w:ascii="Times New Roman" w:hAnsi="Times New Roman"/>
        </w:rPr>
        <w:t xml:space="preserve">What types of services, </w:t>
      </w:r>
      <w:r w:rsidRPr="00155EBD" w:rsidR="00004952">
        <w:rPr>
          <w:rFonts w:ascii="Times New Roman" w:hAnsi="Times New Roman"/>
        </w:rPr>
        <w:t>resources,</w:t>
      </w:r>
      <w:r w:rsidRPr="00155EBD">
        <w:rPr>
          <w:rFonts w:ascii="Times New Roman" w:hAnsi="Times New Roman"/>
        </w:rPr>
        <w:t xml:space="preserve"> and int</w:t>
      </w:r>
      <w:r w:rsidRPr="00155EBD">
        <w:rPr>
          <w:rFonts w:ascii="Times New Roman" w:hAnsi="Times New Roman"/>
        </w:rPr>
        <w:t>erventions, that help individuals exiting SSDI/SSI programs become and remain employed, should SSA consider testing in a larger study?</w:t>
      </w:r>
    </w:p>
    <w:p w:rsidR="00155EBD" w:rsidRPr="00155EBD" w:rsidP="00155EBD" w14:paraId="4436A85F" w14:textId="77777777">
      <w:pPr>
        <w:pStyle w:val="ListParagraph"/>
        <w:rPr>
          <w:rFonts w:ascii="Times New Roman" w:hAnsi="Times New Roman"/>
        </w:rPr>
      </w:pPr>
    </w:p>
    <w:p w:rsidR="00155EBD" w:rsidRPr="00155EBD" w:rsidP="00155EBD" w14:paraId="151E273F" w14:textId="35C8097D">
      <w:pPr>
        <w:pStyle w:val="ListParagraph"/>
        <w:numPr>
          <w:ilvl w:val="0"/>
          <w:numId w:val="7"/>
        </w:numPr>
        <w:rPr>
          <w:rFonts w:ascii="Times New Roman" w:hAnsi="Times New Roman"/>
        </w:rPr>
      </w:pPr>
      <w:r w:rsidRPr="00155EBD">
        <w:rPr>
          <w:rFonts w:ascii="Times New Roman" w:hAnsi="Times New Roman"/>
        </w:rPr>
        <w:t>What policy recommendations will facilitate substantive and sustainable employment among individuals who exist SSDI/</w:t>
      </w:r>
      <w:r w:rsidRPr="00155EBD">
        <w:rPr>
          <w:rFonts w:ascii="Times New Roman" w:hAnsi="Times New Roman"/>
        </w:rPr>
        <w:t>SSI programs?</w:t>
      </w:r>
    </w:p>
    <w:p w:rsidR="00155EBD" w:rsidP="00155EBD" w14:paraId="2B9698BA" w14:textId="77777777">
      <w:pPr>
        <w:pStyle w:val="ListParagraph"/>
        <w:ind w:left="360"/>
        <w:rPr>
          <w:rFonts w:ascii="Times New Roman" w:hAnsi="Times New Roman"/>
        </w:rPr>
      </w:pPr>
    </w:p>
    <w:p w:rsidR="00FF4A84" w:rsidRPr="00155EBD" w:rsidP="00155EBD" w14:paraId="793F3FBA" w14:textId="0B5CABB4">
      <w:pPr>
        <w:pStyle w:val="ListParagraph"/>
        <w:ind w:left="360"/>
        <w:rPr>
          <w:rFonts w:ascii="Times New Roman" w:hAnsi="Times New Roman"/>
          <w:b/>
          <w:u w:val="single"/>
        </w:rPr>
      </w:pPr>
      <w:r w:rsidRPr="00DE3DB6">
        <w:rPr>
          <w:rFonts w:ascii="Times New Roman" w:hAnsi="Times New Roman"/>
        </w:rPr>
        <w:t>The study will help answer these questions by collecting data through:</w:t>
      </w:r>
      <w:r w:rsidR="00E34F55">
        <w:rPr>
          <w:rFonts w:ascii="Times New Roman" w:hAnsi="Times New Roman"/>
        </w:rPr>
        <w:t xml:space="preserve">  </w:t>
      </w:r>
      <w:r w:rsidRPr="00DE3DB6">
        <w:rPr>
          <w:rFonts w:ascii="Times New Roman" w:hAnsi="Times New Roman"/>
        </w:rPr>
        <w:t>Qualitative in-depth interviews and focus groups</w:t>
      </w:r>
      <w:r w:rsidR="00EF5C68">
        <w:rPr>
          <w:rFonts w:ascii="Times New Roman" w:hAnsi="Times New Roman"/>
        </w:rPr>
        <w:t>;</w:t>
      </w:r>
      <w:r w:rsidRPr="00DE3DB6">
        <w:rPr>
          <w:rFonts w:ascii="Times New Roman" w:hAnsi="Times New Roman"/>
        </w:rPr>
        <w:t xml:space="preserve"> </w:t>
      </w:r>
      <w:r w:rsidR="00EF5C68">
        <w:rPr>
          <w:rFonts w:ascii="Times New Roman" w:hAnsi="Times New Roman"/>
        </w:rPr>
        <w:t>survey responses from a</w:t>
      </w:r>
      <w:r w:rsidRPr="00DE3DB6">
        <w:rPr>
          <w:rFonts w:ascii="Times New Roman" w:hAnsi="Times New Roman"/>
        </w:rPr>
        <w:t xml:space="preserve"> </w:t>
      </w:r>
      <w:r w:rsidRPr="00DE3DB6" w:rsidR="00155EBD">
        <w:rPr>
          <w:rFonts w:ascii="Times New Roman" w:hAnsi="Times New Roman"/>
        </w:rPr>
        <w:t>Nationally representative</w:t>
      </w:r>
      <w:r w:rsidRPr="00DE3DB6">
        <w:rPr>
          <w:rFonts w:ascii="Times New Roman" w:hAnsi="Times New Roman"/>
        </w:rPr>
        <w:t xml:space="preserve"> </w:t>
      </w:r>
      <w:r w:rsidR="00EF5C68">
        <w:rPr>
          <w:rFonts w:ascii="Times New Roman" w:hAnsi="Times New Roman"/>
        </w:rPr>
        <w:t>sample;</w:t>
      </w:r>
      <w:r w:rsidRPr="00DE3DB6">
        <w:rPr>
          <w:rFonts w:ascii="Times New Roman" w:hAnsi="Times New Roman"/>
        </w:rPr>
        <w:t xml:space="preserve"> </w:t>
      </w:r>
      <w:r w:rsidRPr="00DE3DB6">
        <w:rPr>
          <w:rFonts w:ascii="Times New Roman" w:hAnsi="Times New Roman"/>
        </w:rPr>
        <w:t>and</w:t>
      </w:r>
      <w:r w:rsidR="00EF5C68">
        <w:rPr>
          <w:rFonts w:ascii="Times New Roman" w:hAnsi="Times New Roman"/>
        </w:rPr>
        <w:t>,</w:t>
      </w:r>
      <w:r w:rsidRPr="00DE3DB6">
        <w:rPr>
          <w:rFonts w:ascii="Times New Roman" w:hAnsi="Times New Roman"/>
        </w:rPr>
        <w:t xml:space="preserve"> a Motivational Interviewing</w:t>
      </w:r>
      <w:r w:rsidR="00DF7F76">
        <w:rPr>
          <w:rFonts w:ascii="Times New Roman" w:hAnsi="Times New Roman"/>
        </w:rPr>
        <w:t xml:space="preserve"> (MI)</w:t>
      </w:r>
      <w:r w:rsidRPr="00DE3DB6">
        <w:rPr>
          <w:rFonts w:ascii="Times New Roman" w:hAnsi="Times New Roman"/>
        </w:rPr>
        <w:t xml:space="preserve"> Pilot.</w:t>
      </w:r>
    </w:p>
    <w:p w:rsidR="0014133F" w:rsidP="00960248" w14:paraId="0A7CC7F2" w14:textId="77777777">
      <w:pPr>
        <w:pStyle w:val="Header"/>
        <w:tabs>
          <w:tab w:val="clear" w:pos="4320"/>
          <w:tab w:val="clear" w:pos="8640"/>
        </w:tabs>
        <w:ind w:left="990"/>
        <w:rPr>
          <w:rFonts w:ascii="Times New Roman" w:hAnsi="Times New Roman"/>
        </w:rPr>
      </w:pPr>
    </w:p>
    <w:p w:rsidR="0014133F" w:rsidRPr="00E72912" w:rsidP="00E72912" w14:paraId="164A32CB" w14:textId="5D3D7AA8">
      <w:pPr>
        <w:pStyle w:val="Header"/>
        <w:numPr>
          <w:ilvl w:val="0"/>
          <w:numId w:val="1"/>
        </w:numPr>
        <w:ind w:left="990" w:hanging="630"/>
        <w:rPr>
          <w:rFonts w:ascii="Times New Roman" w:hAnsi="Times New Roman"/>
          <w:b/>
        </w:rPr>
      </w:pPr>
      <w:r>
        <w:rPr>
          <w:rFonts w:ascii="Times New Roman" w:hAnsi="Times New Roman"/>
          <w:b/>
        </w:rPr>
        <w:t>Statistical Met</w:t>
      </w:r>
      <w:r>
        <w:rPr>
          <w:rFonts w:ascii="Times New Roman" w:hAnsi="Times New Roman"/>
          <w:b/>
        </w:rPr>
        <w:t xml:space="preserve">hodology – The </w:t>
      </w:r>
      <w:r w:rsidRPr="0014133F">
        <w:rPr>
          <w:rFonts w:ascii="Times New Roman" w:hAnsi="Times New Roman"/>
          <w:b/>
        </w:rPr>
        <w:t>Respondent Universe and Sampling Methods</w:t>
      </w:r>
    </w:p>
    <w:p w:rsidR="0014133F" w:rsidP="0014133F" w14:paraId="378B579C" w14:textId="77AEA8CA">
      <w:pPr>
        <w:pStyle w:val="Header"/>
        <w:ind w:left="990"/>
        <w:rPr>
          <w:rFonts w:ascii="Times New Roman" w:hAnsi="Times New Roman"/>
        </w:rPr>
      </w:pPr>
      <w:r w:rsidRPr="0014133F">
        <w:rPr>
          <w:rFonts w:ascii="Times New Roman" w:hAnsi="Times New Roman"/>
        </w:rPr>
        <w:t xml:space="preserve">Westat will randomly select participants from the sample file list of Exiters </w:t>
      </w:r>
      <w:r w:rsidR="00DF7F76">
        <w:rPr>
          <w:rFonts w:ascii="Times New Roman" w:hAnsi="Times New Roman"/>
        </w:rPr>
        <w:t xml:space="preserve">and Possible Exiters </w:t>
      </w:r>
      <w:r w:rsidRPr="0014133F">
        <w:rPr>
          <w:rFonts w:ascii="Times New Roman" w:hAnsi="Times New Roman"/>
        </w:rPr>
        <w:t xml:space="preserve">that SSA provides. </w:t>
      </w:r>
      <w:r w:rsidR="00387B28">
        <w:rPr>
          <w:rFonts w:ascii="Times New Roman" w:hAnsi="Times New Roman"/>
        </w:rPr>
        <w:t xml:space="preserve"> </w:t>
      </w:r>
      <w:r w:rsidRPr="0014133F">
        <w:rPr>
          <w:rFonts w:ascii="Times New Roman" w:hAnsi="Times New Roman"/>
        </w:rPr>
        <w:t xml:space="preserve">First, we will create a single sampling frame from the master list received from </w:t>
      </w:r>
      <w:r w:rsidRPr="0014133F">
        <w:rPr>
          <w:rFonts w:ascii="Times New Roman" w:hAnsi="Times New Roman"/>
        </w:rPr>
        <w:t xml:space="preserve">the SSA. </w:t>
      </w:r>
      <w:r w:rsidR="00387B28">
        <w:rPr>
          <w:rFonts w:ascii="Times New Roman" w:hAnsi="Times New Roman"/>
        </w:rPr>
        <w:t xml:space="preserve"> </w:t>
      </w:r>
      <w:r w:rsidRPr="0014133F">
        <w:rPr>
          <w:rFonts w:ascii="Times New Roman" w:hAnsi="Times New Roman"/>
        </w:rPr>
        <w:t xml:space="preserve">From this frame, we take three different samples – one for qualitative data collection, one for survey data collection, and one for the MI pilot. </w:t>
      </w:r>
      <w:r w:rsidR="00387B28">
        <w:rPr>
          <w:rFonts w:ascii="Times New Roman" w:hAnsi="Times New Roman"/>
        </w:rPr>
        <w:t xml:space="preserve"> </w:t>
      </w:r>
      <w:r w:rsidR="00075FEF">
        <w:rPr>
          <w:rFonts w:ascii="Times New Roman" w:hAnsi="Times New Roman"/>
        </w:rPr>
        <w:t>To</w:t>
      </w:r>
      <w:r w:rsidRPr="0014133F">
        <w:rPr>
          <w:rFonts w:ascii="Times New Roman" w:hAnsi="Times New Roman"/>
        </w:rPr>
        <w:t xml:space="preserve"> ensure that no eligible individual participates in more than one type of data collection activit</w:t>
      </w:r>
      <w:r w:rsidRPr="0014133F">
        <w:rPr>
          <w:rFonts w:ascii="Times New Roman" w:hAnsi="Times New Roman"/>
        </w:rPr>
        <w:t>y and minimize respondent burden, our statisticians will use Permanent Random Number Sampling.</w:t>
      </w:r>
      <w:r w:rsidR="00387B28">
        <w:rPr>
          <w:rFonts w:ascii="Times New Roman" w:hAnsi="Times New Roman"/>
        </w:rPr>
        <w:t xml:space="preserve"> </w:t>
      </w:r>
      <w:r w:rsidRPr="0014133F">
        <w:rPr>
          <w:rFonts w:ascii="Times New Roman" w:hAnsi="Times New Roman"/>
        </w:rPr>
        <w:t xml:space="preserve"> This technique produces a simple random sample without replacement.</w:t>
      </w:r>
    </w:p>
    <w:p w:rsidR="00A34B6F" w:rsidRPr="0014133F" w:rsidP="0014133F" w14:paraId="77ACC88C" w14:textId="77777777">
      <w:pPr>
        <w:pStyle w:val="Header"/>
        <w:ind w:left="990"/>
        <w:rPr>
          <w:rFonts w:ascii="Times New Roman" w:hAnsi="Times New Roman"/>
        </w:rPr>
      </w:pPr>
    </w:p>
    <w:p w:rsidR="000E2990" w:rsidRPr="000E2990" w:rsidP="000E2990" w14:paraId="3A968AA3" w14:textId="009209EF">
      <w:pPr>
        <w:pStyle w:val="L1-FlLSp12"/>
        <w:ind w:left="990"/>
        <w:rPr>
          <w:rFonts w:ascii="Times New Roman" w:hAnsi="Times New Roman" w:cs="Times New Roman"/>
          <w:sz w:val="24"/>
          <w:szCs w:val="24"/>
        </w:rPr>
      </w:pPr>
      <w:bookmarkStart w:id="0" w:name="_Toc89111910"/>
      <w:r w:rsidRPr="000E2990">
        <w:rPr>
          <w:rFonts w:ascii="Times New Roman" w:hAnsi="Times New Roman" w:cs="Times New Roman"/>
          <w:sz w:val="24"/>
          <w:szCs w:val="24"/>
        </w:rPr>
        <w:t xml:space="preserve">The scope of work for the BBS requires </w:t>
      </w:r>
      <w:r w:rsidRPr="000E2990">
        <w:rPr>
          <w:rFonts w:ascii="Times New Roman" w:eastAsia="Calibri" w:hAnsi="Times New Roman" w:cs="Times New Roman"/>
          <w:color w:val="000000"/>
          <w:sz w:val="24"/>
          <w:szCs w:val="24"/>
        </w:rPr>
        <w:t xml:space="preserve">a minimum of 4,000 total survey participants. </w:t>
      </w:r>
      <w:r w:rsidR="00387B28">
        <w:rPr>
          <w:rFonts w:ascii="Times New Roman" w:eastAsia="Calibri" w:hAnsi="Times New Roman" w:cs="Times New Roman"/>
          <w:color w:val="000000"/>
          <w:sz w:val="24"/>
          <w:szCs w:val="24"/>
        </w:rPr>
        <w:t xml:space="preserve"> </w:t>
      </w:r>
      <w:r w:rsidRPr="000E2990">
        <w:rPr>
          <w:rFonts w:ascii="Times New Roman" w:hAnsi="Times New Roman" w:cs="Times New Roman"/>
          <w:sz w:val="24"/>
          <w:szCs w:val="24"/>
        </w:rPr>
        <w:t xml:space="preserve">Expecting 20 percent nonresponse attrition, we will recruit an initial sample of 5,000 individuals.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Based on our previous experiences, we also suggest allowing a reserve sample of 10,000 individuals to allow </w:t>
      </w:r>
      <w:r w:rsidRPr="000E2990">
        <w:rPr>
          <w:rFonts w:ascii="Times New Roman" w:hAnsi="Times New Roman" w:cs="Times New Roman"/>
          <w:sz w:val="24"/>
          <w:szCs w:val="24"/>
        </w:rPr>
        <w:t>for additional attrition.</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If needed, we will release the reserve sample in blocks of 1,000 individuals at a time to reach the total number of 4,000 completes.</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Drawing a reserve sample and increasing the pool of potential respondents will help mitigate ch</w:t>
      </w:r>
      <w:r w:rsidRPr="000E2990">
        <w:rPr>
          <w:rFonts w:ascii="Times New Roman" w:hAnsi="Times New Roman" w:cs="Times New Roman"/>
          <w:sz w:val="24"/>
          <w:szCs w:val="24"/>
        </w:rPr>
        <w:t>allenges related to locating respondents due to incorrect contact information and failure of respondents and prospective respondents to answer telephone calls.</w:t>
      </w:r>
    </w:p>
    <w:tbl>
      <w:tblPr>
        <w:tblpPr w:leftFromText="180" w:rightFromText="180" w:vertAnchor="page" w:horzAnchor="margin" w:tblpXSpec="right" w:tblpY="2833"/>
        <w:tblOverlap w:val="never"/>
        <w:tblW w:w="8375" w:type="dxa"/>
        <w:tblLayout w:type="fixed"/>
        <w:tblLook w:val="04A0"/>
      </w:tblPr>
      <w:tblGrid>
        <w:gridCol w:w="1080"/>
        <w:gridCol w:w="1171"/>
        <w:gridCol w:w="1168"/>
        <w:gridCol w:w="1531"/>
        <w:gridCol w:w="1800"/>
        <w:gridCol w:w="1625"/>
      </w:tblGrid>
      <w:tr w14:paraId="5FE78809" w14:textId="77777777" w:rsidTr="00155EBD">
        <w:tblPrEx>
          <w:tblW w:w="8375" w:type="dxa"/>
          <w:tblLayout w:type="fixed"/>
          <w:tblLook w:val="04A0"/>
        </w:tblPrEx>
        <w:trPr>
          <w:trHeight w:val="315"/>
        </w:trPr>
        <w:tc>
          <w:tcPr>
            <w:tcW w:w="8375" w:type="dxa"/>
            <w:gridSpan w:val="6"/>
            <w:tcBorders>
              <w:top w:val="nil"/>
              <w:left w:val="nil"/>
              <w:bottom w:val="nil"/>
              <w:right w:val="nil"/>
            </w:tcBorders>
            <w:shd w:val="clear" w:color="auto" w:fill="auto"/>
            <w:noWrap/>
            <w:vAlign w:val="center"/>
            <w:hideMark/>
          </w:tcPr>
          <w:p w:rsidR="00155EBD" w:rsidRPr="00EC4839" w:rsidP="00155EBD" w14:paraId="6F245541" w14:textId="77777777">
            <w:pPr>
              <w:rPr>
                <w:rFonts w:ascii="Franklin Gothic Book" w:hAnsi="Franklin Gothic Book" w:cstheme="minorHAnsi"/>
                <w:b/>
                <w:sz w:val="20"/>
                <w:szCs w:val="20"/>
              </w:rPr>
            </w:pPr>
          </w:p>
        </w:tc>
      </w:tr>
      <w:tr w14:paraId="4244AD15" w14:textId="77777777" w:rsidTr="00155EBD">
        <w:tblPrEx>
          <w:tblW w:w="8375" w:type="dxa"/>
          <w:tblLayout w:type="fixed"/>
          <w:tblLook w:val="04A0"/>
        </w:tblPrEx>
        <w:trPr>
          <w:trHeight w:val="300"/>
        </w:trPr>
        <w:tc>
          <w:tcPr>
            <w:tcW w:w="8375" w:type="dxa"/>
            <w:gridSpan w:val="6"/>
            <w:tcBorders>
              <w:top w:val="single" w:sz="8" w:space="0" w:color="0098C8"/>
              <w:left w:val="single" w:sz="8" w:space="0" w:color="0098C8"/>
              <w:bottom w:val="single" w:sz="8" w:space="0" w:color="0098C8"/>
              <w:right w:val="single" w:sz="8" w:space="0" w:color="0098C8"/>
            </w:tcBorders>
            <w:shd w:val="clear" w:color="auto" w:fill="00467F"/>
            <w:vAlign w:val="center"/>
          </w:tcPr>
          <w:p w:rsidR="00155EBD" w:rsidRPr="000A6F7D" w:rsidP="00155EBD" w14:paraId="505AB0FD" w14:textId="77777777">
            <w:pPr>
              <w:pStyle w:val="TH-TableHeading"/>
              <w:ind w:left="-19"/>
              <w:jc w:val="left"/>
              <w:rPr>
                <w:rFonts w:eastAsiaTheme="minorEastAsia"/>
                <w:color w:val="FFFFFF" w:themeColor="background1"/>
                <w:kern w:val="2"/>
                <w:position w:val="6"/>
                <w:sz w:val="22"/>
                <w:szCs w:val="22"/>
                <w:lang w:eastAsia="ja-JP"/>
              </w:rPr>
            </w:pPr>
            <w:r w:rsidRPr="000A6F7D">
              <w:rPr>
                <w:color w:val="FFFFFF" w:themeColor="background1"/>
                <w:sz w:val="22"/>
                <w:szCs w:val="22"/>
              </w:rPr>
              <w:t>Exhibit 1.</w:t>
            </w:r>
            <w:r w:rsidRPr="000A6F7D">
              <w:rPr>
                <w:color w:val="FFFFFF" w:themeColor="background1"/>
                <w:sz w:val="22"/>
                <w:szCs w:val="22"/>
              </w:rPr>
              <w:tab/>
              <w:t>Sampling statistics for varying interview sample sizes</w:t>
            </w:r>
          </w:p>
        </w:tc>
      </w:tr>
      <w:tr w14:paraId="04980E01" w14:textId="77777777" w:rsidTr="00155EBD">
        <w:tblPrEx>
          <w:tblW w:w="8375" w:type="dxa"/>
          <w:tblLayout w:type="fixed"/>
          <w:tblLook w:val="04A0"/>
        </w:tblPrEx>
        <w:trPr>
          <w:trHeight w:val="300"/>
        </w:trPr>
        <w:tc>
          <w:tcPr>
            <w:tcW w:w="108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155EBD" w:rsidRPr="000A6F7D" w:rsidP="00155EBD" w14:paraId="5FB0C9EE" w14:textId="77777777">
            <w:pPr>
              <w:pStyle w:val="TH-TableHeading"/>
            </w:pPr>
            <w:r w:rsidRPr="000A6F7D">
              <w:t>Sample Size</w:t>
            </w:r>
          </w:p>
        </w:tc>
        <w:tc>
          <w:tcPr>
            <w:tcW w:w="1171"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155EBD" w:rsidRPr="000A6F7D" w:rsidP="00155EBD" w14:paraId="1C3F9E5B" w14:textId="77777777">
            <w:pPr>
              <w:pStyle w:val="TH-TableHeading"/>
            </w:pPr>
            <w:r w:rsidRPr="000A6F7D">
              <w:t>Population Percent</w:t>
            </w:r>
          </w:p>
        </w:tc>
        <w:tc>
          <w:tcPr>
            <w:tcW w:w="1168"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155EBD" w:rsidRPr="000A6F7D" w:rsidP="00155EBD" w14:paraId="4FAADC4E" w14:textId="77777777">
            <w:pPr>
              <w:pStyle w:val="TH-TableHeading"/>
            </w:pPr>
            <w:r w:rsidRPr="000A6F7D">
              <w:t>Design Effect</w:t>
            </w:r>
          </w:p>
        </w:tc>
        <w:tc>
          <w:tcPr>
            <w:tcW w:w="1531"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155EBD" w:rsidRPr="000A6F7D" w:rsidP="00155EBD" w14:paraId="68D26E9B" w14:textId="77777777">
            <w:pPr>
              <w:pStyle w:val="TH-TableHeading"/>
            </w:pPr>
            <w:r w:rsidRPr="000A6F7D">
              <w:t xml:space="preserve">Standard Error </w:t>
            </w:r>
          </w:p>
        </w:tc>
        <w:tc>
          <w:tcPr>
            <w:tcW w:w="1800" w:type="dxa"/>
            <w:tcBorders>
              <w:top w:val="single" w:sz="8" w:space="0" w:color="0098C8"/>
              <w:left w:val="nil"/>
              <w:bottom w:val="nil"/>
              <w:right w:val="single" w:sz="8" w:space="0" w:color="0098C8"/>
            </w:tcBorders>
            <w:shd w:val="clear" w:color="000000" w:fill="BBE3F3"/>
            <w:vAlign w:val="center"/>
            <w:hideMark/>
          </w:tcPr>
          <w:p w:rsidR="00155EBD" w:rsidRPr="000A6F7D" w:rsidP="00155EBD" w14:paraId="6BEA1B14" w14:textId="77777777">
            <w:pPr>
              <w:pStyle w:val="TH-TableHeading"/>
            </w:pPr>
            <w:r w:rsidRPr="000A6F7D">
              <w:t>Half-Width</w:t>
            </w:r>
          </w:p>
        </w:tc>
        <w:tc>
          <w:tcPr>
            <w:tcW w:w="1625"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155EBD" w:rsidRPr="000A6F7D" w:rsidP="00155EBD" w14:paraId="0F1DC841" w14:textId="77777777">
            <w:pPr>
              <w:pStyle w:val="TH-TableHeading"/>
            </w:pPr>
            <w:r w:rsidRPr="000A6F7D">
              <w:t xml:space="preserve">Coefficient of Variation </w:t>
            </w:r>
          </w:p>
        </w:tc>
      </w:tr>
      <w:tr w14:paraId="7F985CAB" w14:textId="77777777" w:rsidTr="00155EBD">
        <w:tblPrEx>
          <w:tblW w:w="8375" w:type="dxa"/>
          <w:tblLayout w:type="fixed"/>
          <w:tblLook w:val="04A0"/>
        </w:tblPrEx>
        <w:trPr>
          <w:trHeight w:val="315"/>
        </w:trPr>
        <w:tc>
          <w:tcPr>
            <w:tcW w:w="1080" w:type="dxa"/>
            <w:vMerge/>
            <w:tcBorders>
              <w:top w:val="single" w:sz="8" w:space="0" w:color="0098C8"/>
              <w:left w:val="single" w:sz="8" w:space="0" w:color="0098C8"/>
              <w:bottom w:val="single" w:sz="8" w:space="0" w:color="0098C8"/>
              <w:right w:val="single" w:sz="8" w:space="0" w:color="0098C8"/>
            </w:tcBorders>
            <w:vAlign w:val="center"/>
            <w:hideMark/>
          </w:tcPr>
          <w:p w:rsidR="00155EBD" w:rsidRPr="00996183" w:rsidP="00155EBD" w14:paraId="585DEC2B" w14:textId="77777777">
            <w:pPr>
              <w:rPr>
                <w:rFonts w:ascii="Franklin Gothic Book" w:hAnsi="Franklin Gothic Book" w:cstheme="minorHAnsi"/>
                <w:b/>
                <w:bCs/>
                <w:color w:val="00467F"/>
                <w:sz w:val="20"/>
                <w:szCs w:val="20"/>
              </w:rPr>
            </w:pPr>
          </w:p>
        </w:tc>
        <w:tc>
          <w:tcPr>
            <w:tcW w:w="1171" w:type="dxa"/>
            <w:vMerge/>
            <w:tcBorders>
              <w:top w:val="single" w:sz="8" w:space="0" w:color="0098C8"/>
              <w:left w:val="single" w:sz="8" w:space="0" w:color="0098C8"/>
              <w:bottom w:val="single" w:sz="8" w:space="0" w:color="0098C8"/>
              <w:right w:val="single" w:sz="8" w:space="0" w:color="0098C8"/>
            </w:tcBorders>
            <w:vAlign w:val="center"/>
            <w:hideMark/>
          </w:tcPr>
          <w:p w:rsidR="00155EBD" w:rsidRPr="00996183" w:rsidP="00155EBD" w14:paraId="263A031E" w14:textId="77777777">
            <w:pPr>
              <w:rPr>
                <w:rFonts w:ascii="Franklin Gothic Book" w:hAnsi="Franklin Gothic Book" w:cstheme="minorHAnsi"/>
                <w:b/>
                <w:bCs/>
                <w:color w:val="00467F"/>
                <w:sz w:val="20"/>
                <w:szCs w:val="20"/>
              </w:rPr>
            </w:pPr>
          </w:p>
        </w:tc>
        <w:tc>
          <w:tcPr>
            <w:tcW w:w="1168" w:type="dxa"/>
            <w:vMerge/>
            <w:tcBorders>
              <w:top w:val="single" w:sz="8" w:space="0" w:color="0098C8"/>
              <w:left w:val="single" w:sz="8" w:space="0" w:color="0098C8"/>
              <w:bottom w:val="single" w:sz="8" w:space="0" w:color="0098C8"/>
              <w:right w:val="single" w:sz="8" w:space="0" w:color="0098C8"/>
            </w:tcBorders>
            <w:vAlign w:val="center"/>
            <w:hideMark/>
          </w:tcPr>
          <w:p w:rsidR="00155EBD" w:rsidRPr="00996183" w:rsidP="00155EBD" w14:paraId="1A96530B" w14:textId="77777777">
            <w:pPr>
              <w:rPr>
                <w:rFonts w:ascii="Franklin Gothic Book" w:hAnsi="Franklin Gothic Book" w:cstheme="minorHAnsi"/>
                <w:b/>
                <w:bCs/>
                <w:color w:val="00467F"/>
                <w:sz w:val="20"/>
                <w:szCs w:val="20"/>
              </w:rPr>
            </w:pPr>
          </w:p>
        </w:tc>
        <w:tc>
          <w:tcPr>
            <w:tcW w:w="1531" w:type="dxa"/>
            <w:vMerge/>
            <w:tcBorders>
              <w:top w:val="single" w:sz="8" w:space="0" w:color="0098C8"/>
              <w:left w:val="single" w:sz="8" w:space="0" w:color="0098C8"/>
              <w:bottom w:val="single" w:sz="8" w:space="0" w:color="0098C8"/>
              <w:right w:val="single" w:sz="8" w:space="0" w:color="0098C8"/>
            </w:tcBorders>
            <w:vAlign w:val="center"/>
            <w:hideMark/>
          </w:tcPr>
          <w:p w:rsidR="00155EBD" w:rsidRPr="00996183" w:rsidP="00155EBD" w14:paraId="13FC88DE" w14:textId="77777777">
            <w:pPr>
              <w:rPr>
                <w:rFonts w:ascii="Franklin Gothic Book" w:hAnsi="Franklin Gothic Book" w:cstheme="minorHAnsi"/>
                <w:b/>
                <w:bCs/>
                <w:color w:val="00467F"/>
                <w:sz w:val="20"/>
                <w:szCs w:val="20"/>
              </w:rPr>
            </w:pPr>
          </w:p>
        </w:tc>
        <w:tc>
          <w:tcPr>
            <w:tcW w:w="1800" w:type="dxa"/>
            <w:tcBorders>
              <w:top w:val="nil"/>
              <w:left w:val="nil"/>
              <w:bottom w:val="single" w:sz="8" w:space="0" w:color="0098C8"/>
              <w:right w:val="single" w:sz="8" w:space="0" w:color="0098C8"/>
            </w:tcBorders>
            <w:shd w:val="clear" w:color="000000" w:fill="BBE3F3"/>
            <w:vAlign w:val="center"/>
            <w:hideMark/>
          </w:tcPr>
          <w:p w:rsidR="00155EBD" w:rsidRPr="00996183" w:rsidP="00155EBD" w14:paraId="5A1B6525" w14:textId="77777777">
            <w:pPr>
              <w:pStyle w:val="TH-TableHeading"/>
              <w:rPr>
                <w:rFonts w:ascii="Franklin Gothic Book" w:hAnsi="Franklin Gothic Book"/>
                <w:b w:val="0"/>
                <w:bCs/>
              </w:rPr>
            </w:pPr>
            <w:r w:rsidRPr="000A6F7D">
              <w:t>95% CI</w:t>
            </w:r>
          </w:p>
        </w:tc>
        <w:tc>
          <w:tcPr>
            <w:tcW w:w="1625" w:type="dxa"/>
            <w:vMerge/>
            <w:tcBorders>
              <w:top w:val="single" w:sz="8" w:space="0" w:color="0098C8"/>
              <w:left w:val="single" w:sz="8" w:space="0" w:color="0098C8"/>
              <w:bottom w:val="single" w:sz="8" w:space="0" w:color="0098C8"/>
              <w:right w:val="single" w:sz="8" w:space="0" w:color="0098C8"/>
            </w:tcBorders>
            <w:vAlign w:val="center"/>
            <w:hideMark/>
          </w:tcPr>
          <w:p w:rsidR="00155EBD" w:rsidRPr="00996183" w:rsidP="00155EBD" w14:paraId="680414A1" w14:textId="77777777">
            <w:pPr>
              <w:rPr>
                <w:rFonts w:ascii="Franklin Gothic Book" w:hAnsi="Franklin Gothic Book" w:cstheme="minorHAnsi"/>
                <w:b/>
                <w:bCs/>
                <w:color w:val="00467F"/>
                <w:sz w:val="20"/>
                <w:szCs w:val="20"/>
              </w:rPr>
            </w:pPr>
          </w:p>
        </w:tc>
      </w:tr>
      <w:tr w14:paraId="72DC0B0F"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132819D0" w14:textId="77777777">
            <w:pPr>
              <w:pStyle w:val="TX-TableText"/>
            </w:pPr>
            <w:r w:rsidRPr="000A6F7D">
              <w:t>500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47306A0"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BD1D53B"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BEE1F9C" w14:textId="77777777">
            <w:pPr>
              <w:pStyle w:val="TX-TableText"/>
            </w:pPr>
            <w:r w:rsidRPr="000A6F7D">
              <w:t>2.35%</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93F8216" w14:textId="77777777">
            <w:pPr>
              <w:pStyle w:val="TX-TableText"/>
            </w:pPr>
            <w:r w:rsidRPr="000A6F7D">
              <w:t>4.60%</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646E345F" w14:textId="77777777">
            <w:pPr>
              <w:pStyle w:val="TX-TableText"/>
            </w:pPr>
            <w:r w:rsidRPr="000A6F7D">
              <w:t>4.69%</w:t>
            </w:r>
          </w:p>
        </w:tc>
      </w:tr>
      <w:tr w14:paraId="70EC38EA"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7EA12386" w14:textId="77777777">
            <w:pPr>
              <w:pStyle w:val="TX-TableText"/>
            </w:pPr>
            <w:r w:rsidRPr="000A6F7D">
              <w:t>800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6DCCD3C"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5FBA2C85"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44ACD3A" w14:textId="77777777">
            <w:pPr>
              <w:pStyle w:val="TX-TableText"/>
            </w:pPr>
            <w:r w:rsidRPr="000A6F7D">
              <w:t>1.85%</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4AFD48E" w14:textId="77777777">
            <w:pPr>
              <w:pStyle w:val="TX-TableText"/>
            </w:pPr>
            <w:r w:rsidRPr="000A6F7D">
              <w:t>3.63%</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287A250D" w14:textId="77777777">
            <w:pPr>
              <w:pStyle w:val="TX-TableText"/>
            </w:pPr>
            <w:r w:rsidRPr="000A6F7D">
              <w:t>3.71%</w:t>
            </w:r>
          </w:p>
        </w:tc>
      </w:tr>
      <w:tr w14:paraId="351D6964"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31505701" w14:textId="77777777">
            <w:pPr>
              <w:pStyle w:val="TX-TableText"/>
            </w:pPr>
            <w:r w:rsidRPr="000A6F7D">
              <w:t>1,000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2268DB6"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C1782D7"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3D035888" w14:textId="77777777">
            <w:pPr>
              <w:pStyle w:val="TX-TableText"/>
            </w:pPr>
            <w:r w:rsidRPr="000A6F7D">
              <w:t>1.66%</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4683EDC" w14:textId="77777777">
            <w:pPr>
              <w:pStyle w:val="TX-TableText"/>
            </w:pPr>
            <w:r w:rsidRPr="000A6F7D">
              <w:t>3.25%</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6E405583" w14:textId="77777777">
            <w:pPr>
              <w:pStyle w:val="TX-TableText"/>
            </w:pPr>
            <w:r w:rsidRPr="000A6F7D">
              <w:t>3.32%</w:t>
            </w:r>
          </w:p>
        </w:tc>
      </w:tr>
      <w:tr w14:paraId="53769020"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44610342" w14:textId="77777777">
            <w:pPr>
              <w:pStyle w:val="TX-TableText"/>
            </w:pPr>
            <w:r w:rsidRPr="000A6F7D">
              <w:t>1,333</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58C6E453"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61322CD3"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5CEE9156" w14:textId="77777777">
            <w:pPr>
              <w:pStyle w:val="TX-TableText"/>
            </w:pPr>
            <w:r w:rsidRPr="000A6F7D">
              <w:t>1.44%</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474A85A8" w14:textId="77777777">
            <w:pPr>
              <w:pStyle w:val="TX-TableText"/>
            </w:pPr>
            <w:r w:rsidRPr="000A6F7D">
              <w:t>2.82%</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10F649B6" w14:textId="77777777">
            <w:pPr>
              <w:pStyle w:val="TX-TableText"/>
            </w:pPr>
            <w:r w:rsidRPr="000A6F7D">
              <w:t>2.87%</w:t>
            </w:r>
          </w:p>
        </w:tc>
      </w:tr>
      <w:tr w14:paraId="040D87F6"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068400A2" w14:textId="77777777">
            <w:pPr>
              <w:pStyle w:val="TX-TableText"/>
            </w:pPr>
            <w:r w:rsidRPr="000A6F7D">
              <w:t>1,500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1118F4A3"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56DC405"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5F05AD23" w14:textId="77777777">
            <w:pPr>
              <w:pStyle w:val="TX-TableText"/>
            </w:pPr>
            <w:r w:rsidRPr="000A6F7D">
              <w:t>1.35%</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7CFEFD4" w14:textId="77777777">
            <w:pPr>
              <w:pStyle w:val="TX-TableText"/>
            </w:pPr>
            <w:r w:rsidRPr="000A6F7D">
              <w:t>2.65%</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F30893B" w14:textId="77777777">
            <w:pPr>
              <w:pStyle w:val="TX-TableText"/>
            </w:pPr>
            <w:r w:rsidRPr="000A6F7D">
              <w:t>2.71%</w:t>
            </w:r>
          </w:p>
        </w:tc>
      </w:tr>
      <w:tr w14:paraId="5D158519"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16258EA9" w14:textId="77777777">
            <w:pPr>
              <w:pStyle w:val="TX-TableText"/>
            </w:pPr>
            <w:r w:rsidRPr="000A6F7D">
              <w:t>1,600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39DE95E7"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2B2994B6"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53AE321" w14:textId="77777777">
            <w:pPr>
              <w:pStyle w:val="TX-TableText"/>
            </w:pPr>
            <w:r w:rsidRPr="000A6F7D">
              <w:t>1.31%</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6F286119" w14:textId="77777777">
            <w:pPr>
              <w:pStyle w:val="TX-TableText"/>
            </w:pPr>
            <w:r w:rsidRPr="000A6F7D">
              <w:t>2.57%</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B21DC83" w14:textId="77777777">
            <w:pPr>
              <w:pStyle w:val="TX-TableText"/>
            </w:pPr>
            <w:r w:rsidRPr="000A6F7D">
              <w:t>2.62%</w:t>
            </w:r>
          </w:p>
        </w:tc>
      </w:tr>
      <w:tr w14:paraId="03F3B902" w14:textId="77777777" w:rsidTr="00155EBD">
        <w:tblPrEx>
          <w:tblW w:w="8375" w:type="dxa"/>
          <w:tblLayout w:type="fixed"/>
          <w:tblLook w:val="04A0"/>
        </w:tblPrEx>
        <w:trPr>
          <w:trHeight w:val="315"/>
        </w:trPr>
        <w:tc>
          <w:tcPr>
            <w:tcW w:w="1080" w:type="dxa"/>
            <w:tcBorders>
              <w:top w:val="nil"/>
              <w:left w:val="single" w:sz="8" w:space="0" w:color="0098C8"/>
              <w:bottom w:val="single" w:sz="8" w:space="0" w:color="0098C8"/>
              <w:right w:val="single" w:sz="8" w:space="0" w:color="0098C8"/>
            </w:tcBorders>
            <w:shd w:val="clear" w:color="auto" w:fill="auto"/>
            <w:noWrap/>
            <w:vAlign w:val="center"/>
            <w:hideMark/>
          </w:tcPr>
          <w:p w:rsidR="00155EBD" w:rsidRPr="000A6F7D" w:rsidP="00155EBD" w14:paraId="1DA0057F" w14:textId="77777777">
            <w:pPr>
              <w:pStyle w:val="TX-TableText"/>
            </w:pPr>
            <w:r w:rsidRPr="000A6F7D">
              <w:t>2,000</w:t>
            </w:r>
          </w:p>
        </w:tc>
        <w:tc>
          <w:tcPr>
            <w:tcW w:w="117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1EFFA4D1" w14:textId="77777777">
            <w:pPr>
              <w:pStyle w:val="TX-TableText"/>
            </w:pPr>
            <w:r w:rsidRPr="000A6F7D">
              <w:t>50%</w:t>
            </w:r>
          </w:p>
        </w:tc>
        <w:tc>
          <w:tcPr>
            <w:tcW w:w="1168"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5062AAEF" w14:textId="77777777">
            <w:pPr>
              <w:pStyle w:val="TX-TableText"/>
            </w:pPr>
            <w:r w:rsidRPr="000A6F7D">
              <w:t>1.1</w:t>
            </w:r>
          </w:p>
        </w:tc>
        <w:tc>
          <w:tcPr>
            <w:tcW w:w="1531"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744477D3" w14:textId="77777777">
            <w:pPr>
              <w:pStyle w:val="TX-TableText"/>
            </w:pPr>
            <w:r w:rsidRPr="000A6F7D">
              <w:t>1.17%</w:t>
            </w:r>
          </w:p>
        </w:tc>
        <w:tc>
          <w:tcPr>
            <w:tcW w:w="1800"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01B5D42A" w14:textId="77777777">
            <w:pPr>
              <w:pStyle w:val="TX-TableText"/>
            </w:pPr>
            <w:r w:rsidRPr="000A6F7D">
              <w:t>2.30%</w:t>
            </w:r>
          </w:p>
        </w:tc>
        <w:tc>
          <w:tcPr>
            <w:tcW w:w="1625" w:type="dxa"/>
            <w:tcBorders>
              <w:top w:val="nil"/>
              <w:left w:val="nil"/>
              <w:bottom w:val="single" w:sz="8" w:space="0" w:color="0098C8"/>
              <w:right w:val="single" w:sz="8" w:space="0" w:color="0098C8"/>
            </w:tcBorders>
            <w:shd w:val="clear" w:color="auto" w:fill="auto"/>
            <w:noWrap/>
            <w:vAlign w:val="center"/>
            <w:hideMark/>
          </w:tcPr>
          <w:p w:rsidR="00155EBD" w:rsidRPr="000A6F7D" w:rsidP="00155EBD" w14:paraId="37990223" w14:textId="77777777">
            <w:pPr>
              <w:pStyle w:val="TX-TableText"/>
            </w:pPr>
            <w:r w:rsidRPr="000A6F7D">
              <w:t>2.35%</w:t>
            </w:r>
          </w:p>
        </w:tc>
      </w:tr>
    </w:tbl>
    <w:p w:rsidR="00996183" w:rsidP="000E2990" w14:paraId="59A1124C" w14:textId="279EB7AB">
      <w:pPr>
        <w:pStyle w:val="L1-FlLSp12"/>
        <w:ind w:left="990"/>
        <w:rPr>
          <w:rFonts w:ascii="Times New Roman" w:hAnsi="Times New Roman" w:cs="Times New Roman"/>
          <w:sz w:val="24"/>
          <w:szCs w:val="24"/>
        </w:rPr>
      </w:pPr>
      <w:r w:rsidRPr="000E2990">
        <w:rPr>
          <w:rFonts w:ascii="Times New Roman" w:hAnsi="Times New Roman" w:cs="Times New Roman"/>
          <w:sz w:val="24"/>
          <w:szCs w:val="24"/>
        </w:rPr>
        <w:t>We will first stratify the sample with the primary strata of Short-term Exiters (n=1,000), Long-</w:t>
      </w:r>
      <w:r w:rsidRPr="000E2990">
        <w:rPr>
          <w:rFonts w:ascii="Times New Roman" w:hAnsi="Times New Roman" w:cs="Times New Roman"/>
          <w:sz w:val="24"/>
          <w:szCs w:val="24"/>
        </w:rPr>
        <w:t>term Exiters (n=1,000) and Possible Exiters (n=2,000).</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Next, we will oversample those with high-scoring likelihood of medical improvement based on the CDR profiling model.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We will ensure that 75 percent of respondents in each group represent “high-scorin</w:t>
      </w:r>
      <w:r w:rsidRPr="000E2990">
        <w:rPr>
          <w:rFonts w:ascii="Times New Roman" w:hAnsi="Times New Roman" w:cs="Times New Roman"/>
          <w:sz w:val="24"/>
          <w:szCs w:val="24"/>
        </w:rPr>
        <w:t xml:space="preserve">g” individuals. </w:t>
      </w:r>
    </w:p>
    <w:p w:rsidR="00155EBD" w:rsidP="00155EBD" w14:paraId="7D1FA432" w14:textId="77777777">
      <w:pPr>
        <w:pStyle w:val="L1-FlLSp12"/>
        <w:spacing w:after="0"/>
        <w:ind w:left="994"/>
        <w:rPr>
          <w:rFonts w:ascii="Times New Roman" w:hAnsi="Times New Roman" w:cs="Times New Roman"/>
          <w:sz w:val="24"/>
          <w:szCs w:val="24"/>
        </w:rPr>
      </w:pPr>
    </w:p>
    <w:p w:rsidR="00996183" w:rsidP="00155EBD" w14:paraId="11E52D58" w14:textId="73436FA9">
      <w:pPr>
        <w:pStyle w:val="L1-FlLSp12"/>
        <w:spacing w:after="0"/>
        <w:ind w:left="994"/>
        <w:rPr>
          <w:rFonts w:ascii="Times New Roman" w:hAnsi="Times New Roman" w:cs="Times New Roman"/>
          <w:sz w:val="24"/>
          <w:szCs w:val="24"/>
        </w:rPr>
      </w:pPr>
      <w:r w:rsidRPr="00996183">
        <w:rPr>
          <w:rFonts w:ascii="Times New Roman" w:hAnsi="Times New Roman" w:cs="Times New Roman"/>
          <w:sz w:val="24"/>
          <w:szCs w:val="24"/>
        </w:rPr>
        <w:t>Exhibit 1 shows the sampling statistics calculated for different sample sizes</w:t>
      </w:r>
      <w:r w:rsidRPr="00996183">
        <w:rPr>
          <w:rFonts w:ascii="Times New Roman" w:hAnsi="Times New Roman" w:cs="Times New Roman"/>
          <w:sz w:val="24"/>
          <w:szCs w:val="24"/>
        </w:rPr>
        <w:t>.</w:t>
      </w:r>
      <w:r w:rsidRPr="00996183">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996183">
        <w:rPr>
          <w:rFonts w:ascii="Times New Roman" w:hAnsi="Times New Roman" w:cs="Times New Roman"/>
          <w:sz w:val="24"/>
          <w:szCs w:val="24"/>
        </w:rPr>
        <w:t>T</w:t>
      </w:r>
      <w:r w:rsidRPr="00996183">
        <w:rPr>
          <w:rFonts w:ascii="Times New Roman" w:hAnsi="Times New Roman" w:cs="Times New Roman"/>
          <w:sz w:val="24"/>
          <w:szCs w:val="24"/>
        </w:rPr>
        <w:t xml:space="preserve">he values for the percent and design effect </w:t>
      </w:r>
      <w:r w:rsidRPr="00996183">
        <w:rPr>
          <w:rFonts w:ascii="Times New Roman" w:hAnsi="Times New Roman" w:cs="Times New Roman"/>
          <w:sz w:val="24"/>
          <w:szCs w:val="24"/>
        </w:rPr>
        <w:t xml:space="preserve">were set </w:t>
      </w:r>
      <w:r w:rsidRPr="00996183">
        <w:rPr>
          <w:rFonts w:ascii="Times New Roman" w:hAnsi="Times New Roman" w:cs="Times New Roman"/>
          <w:sz w:val="24"/>
          <w:szCs w:val="24"/>
        </w:rPr>
        <w:t>to be “safe” or “conservative</w:t>
      </w:r>
      <w:r w:rsidRPr="00996183">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996183">
        <w:rPr>
          <w:rFonts w:ascii="Times New Roman" w:hAnsi="Times New Roman" w:cs="Times New Roman"/>
          <w:sz w:val="24"/>
          <w:szCs w:val="24"/>
        </w:rPr>
        <w:t>We assume that the population estimates we are interested in calculating is a proportion of 0.5 (50%) because it gives the maximum standard error, and therefore the maxim</w:t>
      </w:r>
      <w:r w:rsidRPr="00996183">
        <w:rPr>
          <w:rFonts w:ascii="Times New Roman" w:hAnsi="Times New Roman" w:cs="Times New Roman"/>
          <w:sz w:val="24"/>
          <w:szCs w:val="24"/>
        </w:rPr>
        <w:t>um</w:t>
      </w:r>
      <w:r w:rsidRPr="00996183">
        <w:rPr>
          <w:rFonts w:ascii="Times New Roman" w:hAnsi="Times New Roman" w:cs="Times New Roman"/>
          <w:sz w:val="24"/>
          <w:szCs w:val="24"/>
        </w:rPr>
        <w:t xml:space="preserve"> (most conservative) margin of error, which is the half-width of the 95% confidence interval. </w:t>
      </w:r>
      <w:r w:rsidR="00387B28">
        <w:rPr>
          <w:rFonts w:ascii="Times New Roman" w:hAnsi="Times New Roman" w:cs="Times New Roman"/>
          <w:sz w:val="24"/>
          <w:szCs w:val="24"/>
        </w:rPr>
        <w:t xml:space="preserve"> </w:t>
      </w:r>
      <w:r w:rsidRPr="00996183">
        <w:rPr>
          <w:rFonts w:ascii="Times New Roman" w:hAnsi="Times New Roman" w:cs="Times New Roman"/>
          <w:sz w:val="24"/>
          <w:szCs w:val="24"/>
        </w:rPr>
        <w:t>The real design effect is usually smaller, but 1.1 was chosen in order to b</w:t>
      </w:r>
      <w:r w:rsidRPr="00996183">
        <w:rPr>
          <w:rFonts w:ascii="Times New Roman" w:hAnsi="Times New Roman" w:cs="Times New Roman"/>
          <w:sz w:val="24"/>
          <w:szCs w:val="24"/>
        </w:rPr>
        <w:t>e</w:t>
      </w:r>
      <w:r w:rsidRPr="00996183">
        <w:rPr>
          <w:rFonts w:ascii="Times New Roman" w:hAnsi="Times New Roman" w:cs="Times New Roman"/>
          <w:sz w:val="24"/>
          <w:szCs w:val="24"/>
        </w:rPr>
        <w:t xml:space="preserve"> </w:t>
      </w:r>
      <w:r w:rsidRPr="00996183">
        <w:rPr>
          <w:rFonts w:ascii="Times New Roman" w:hAnsi="Times New Roman" w:cs="Times New Roman"/>
          <w:sz w:val="24"/>
          <w:szCs w:val="24"/>
        </w:rPr>
        <w:t xml:space="preserve">conservative. </w:t>
      </w:r>
      <w:r w:rsidR="00E34F55">
        <w:rPr>
          <w:rFonts w:ascii="Times New Roman" w:hAnsi="Times New Roman" w:cs="Times New Roman"/>
          <w:sz w:val="24"/>
          <w:szCs w:val="24"/>
        </w:rPr>
        <w:t xml:space="preserve"> </w:t>
      </w:r>
      <w:r>
        <w:rPr>
          <w:rFonts w:ascii="Times New Roman" w:hAnsi="Times New Roman" w:cs="Times New Roman"/>
          <w:sz w:val="24"/>
          <w:szCs w:val="24"/>
        </w:rPr>
        <w:t>T</w:t>
      </w:r>
      <w:r w:rsidRPr="000E2990">
        <w:rPr>
          <w:rFonts w:ascii="Times New Roman" w:hAnsi="Times New Roman" w:cs="Times New Roman"/>
          <w:sz w:val="24"/>
          <w:szCs w:val="24"/>
        </w:rPr>
        <w:t>he</w:t>
      </w:r>
      <w:r>
        <w:rPr>
          <w:rFonts w:ascii="Times New Roman" w:hAnsi="Times New Roman" w:cs="Times New Roman"/>
          <w:sz w:val="24"/>
          <w:szCs w:val="24"/>
        </w:rPr>
        <w:t xml:space="preserve"> exhibit shows that</w:t>
      </w:r>
      <w:r w:rsidRPr="000E2990">
        <w:rPr>
          <w:rFonts w:ascii="Times New Roman" w:hAnsi="Times New Roman" w:cs="Times New Roman"/>
          <w:sz w:val="24"/>
          <w:szCs w:val="24"/>
        </w:rPr>
        <w:t xml:space="preserve"> developed sample sizes will facilitate the s</w:t>
      </w:r>
      <w:r w:rsidRPr="000E2990">
        <w:rPr>
          <w:rFonts w:ascii="Times New Roman" w:hAnsi="Times New Roman" w:cs="Times New Roman"/>
          <w:sz w:val="24"/>
          <w:szCs w:val="24"/>
        </w:rPr>
        <w:t>tatistical power for comparisons across all three groups as well as comparisons between “high-scoring” and “low and medium scoring” populations.</w:t>
      </w:r>
      <w:r>
        <w:rPr>
          <w:rFonts w:ascii="Times New Roman" w:hAnsi="Times New Roman" w:cs="Times New Roman"/>
          <w:sz w:val="24"/>
          <w:szCs w:val="24"/>
        </w:rPr>
        <w:t xml:space="preserve"> </w:t>
      </w:r>
    </w:p>
    <w:p w:rsidR="00996183" w:rsidP="00155EBD" w14:paraId="25D78BFF" w14:textId="1FA7DFB7">
      <w:pPr>
        <w:ind w:left="994"/>
        <w:rPr>
          <w:rFonts w:ascii="Times New Roman" w:hAnsi="Times New Roman" w:eastAsiaTheme="minorEastAsia"/>
          <w:snapToGrid/>
          <w:lang w:eastAsia="ja-JP"/>
        </w:rPr>
      </w:pPr>
    </w:p>
    <w:p w:rsidR="000A6F7D" w:rsidRPr="00996183" w:rsidP="00155EBD" w14:paraId="063E3578" w14:textId="77777777">
      <w:pPr>
        <w:ind w:left="994"/>
        <w:rPr>
          <w:rFonts w:ascii="Times New Roman" w:hAnsi="Times New Roman" w:eastAsiaTheme="minorEastAsia"/>
          <w:snapToGrid/>
          <w:lang w:eastAsia="ja-JP"/>
        </w:rPr>
      </w:pPr>
    </w:p>
    <w:tbl>
      <w:tblPr>
        <w:tblW w:w="8550" w:type="dxa"/>
        <w:tblInd w:w="980" w:type="dxa"/>
        <w:tblLayout w:type="fixed"/>
        <w:tblLook w:val="04A0"/>
      </w:tblPr>
      <w:tblGrid>
        <w:gridCol w:w="900"/>
        <w:gridCol w:w="810"/>
        <w:gridCol w:w="1170"/>
        <w:gridCol w:w="720"/>
        <w:gridCol w:w="1080"/>
        <w:gridCol w:w="900"/>
        <w:gridCol w:w="1170"/>
        <w:gridCol w:w="1080"/>
        <w:gridCol w:w="720"/>
      </w:tblGrid>
      <w:tr w14:paraId="23E521AB" w14:textId="77777777" w:rsidTr="000A6F7D">
        <w:tblPrEx>
          <w:tblW w:w="8550" w:type="dxa"/>
          <w:tblInd w:w="980" w:type="dxa"/>
          <w:tblLayout w:type="fixed"/>
          <w:tblLook w:val="04A0"/>
        </w:tblPrEx>
        <w:trPr>
          <w:trHeight w:val="300"/>
        </w:trPr>
        <w:tc>
          <w:tcPr>
            <w:tcW w:w="8550" w:type="dxa"/>
            <w:gridSpan w:val="9"/>
            <w:tcBorders>
              <w:top w:val="single" w:sz="8" w:space="0" w:color="0098C8"/>
              <w:left w:val="single" w:sz="8" w:space="0" w:color="0098C8"/>
              <w:bottom w:val="single" w:sz="8" w:space="0" w:color="0098C8"/>
              <w:right w:val="single" w:sz="8" w:space="0" w:color="0098C8"/>
            </w:tcBorders>
            <w:shd w:val="clear" w:color="auto" w:fill="00467F"/>
            <w:vAlign w:val="center"/>
          </w:tcPr>
          <w:p w:rsidR="00D47C5B" w:rsidRPr="00D47C5B" w:rsidP="00D47C5B" w14:paraId="0A6A1CF2" w14:textId="20FA64FE">
            <w:pPr>
              <w:pStyle w:val="ET-ExhibitTitle"/>
              <w:pBdr>
                <w:top w:val="none" w:sz="0" w:space="0" w:color="auto"/>
                <w:left w:val="none" w:sz="0" w:space="0" w:color="auto"/>
                <w:bottom w:val="none" w:sz="0" w:space="0" w:color="auto"/>
                <w:right w:val="none" w:sz="0" w:space="0" w:color="auto"/>
              </w:pBdr>
              <w:ind w:left="2430" w:hanging="2356"/>
            </w:pPr>
            <w:r w:rsidRPr="00D47C5B">
              <w:t xml:space="preserve">Exhibit 2. </w:t>
            </w:r>
            <w:r w:rsidR="00004952">
              <w:t xml:space="preserve"> </w:t>
            </w:r>
            <w:r w:rsidRPr="00D47C5B">
              <w:t>Power calculations for comparing the two strata with sample sizes of 1,000</w:t>
            </w:r>
          </w:p>
        </w:tc>
      </w:tr>
      <w:tr w14:paraId="3256945A" w14:textId="77777777" w:rsidTr="000A6F7D">
        <w:tblPrEx>
          <w:tblW w:w="8550" w:type="dxa"/>
          <w:tblInd w:w="980" w:type="dxa"/>
          <w:tblLayout w:type="fixed"/>
          <w:tblLook w:val="04A0"/>
        </w:tblPrEx>
        <w:trPr>
          <w:trHeight w:val="300"/>
        </w:trPr>
        <w:tc>
          <w:tcPr>
            <w:tcW w:w="90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EC4839" w:rsidP="0002194E" w14:paraId="7EFB11B4" w14:textId="77777777">
            <w:pPr>
              <w:rPr>
                <w:rFonts w:ascii="Franklin Gothic Book" w:hAnsi="Franklin Gothic Book"/>
                <w:color w:val="000000"/>
                <w:sz w:val="20"/>
                <w:szCs w:val="20"/>
              </w:rPr>
            </w:pPr>
            <w:r w:rsidRPr="00EC4839">
              <w:rPr>
                <w:rFonts w:ascii="Franklin Gothic Book" w:hAnsi="Franklin Gothic Book"/>
                <w:color w:val="000000"/>
                <w:sz w:val="20"/>
                <w:szCs w:val="20"/>
              </w:rPr>
              <w:t> </w:t>
            </w:r>
          </w:p>
        </w:tc>
        <w:tc>
          <w:tcPr>
            <w:tcW w:w="81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00E31F1B" w14:textId="77777777">
            <w:pPr>
              <w:pStyle w:val="TH-TableHeading"/>
              <w:rPr>
                <w:sz w:val="18"/>
                <w:szCs w:val="18"/>
              </w:rPr>
            </w:pPr>
            <w:r w:rsidRPr="000A6F7D">
              <w:rPr>
                <w:sz w:val="18"/>
                <w:szCs w:val="18"/>
              </w:rPr>
              <w:t>Sample Size</w:t>
            </w:r>
          </w:p>
        </w:tc>
        <w:tc>
          <w:tcPr>
            <w:tcW w:w="1170" w:type="dxa"/>
            <w:tcBorders>
              <w:top w:val="single" w:sz="8" w:space="0" w:color="0098C8"/>
              <w:left w:val="nil"/>
              <w:bottom w:val="nil"/>
              <w:right w:val="single" w:sz="8" w:space="0" w:color="0098C8"/>
            </w:tcBorders>
            <w:shd w:val="clear" w:color="000000" w:fill="BBE3F3"/>
            <w:vAlign w:val="center"/>
            <w:hideMark/>
          </w:tcPr>
          <w:p w:rsidR="00EC4839" w:rsidRPr="000A6F7D" w:rsidP="00D47C5B" w14:paraId="242CF3E6" w14:textId="2C0A6B51">
            <w:pPr>
              <w:pStyle w:val="TH-TableHeading"/>
              <w:rPr>
                <w:sz w:val="18"/>
                <w:szCs w:val="18"/>
              </w:rPr>
            </w:pPr>
            <w:r w:rsidRPr="000A6F7D">
              <w:rPr>
                <w:sz w:val="18"/>
                <w:szCs w:val="18"/>
              </w:rPr>
              <w:t xml:space="preserve">Population Percent </w:t>
            </w:r>
          </w:p>
        </w:tc>
        <w:tc>
          <w:tcPr>
            <w:tcW w:w="72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6B959505" w14:textId="77777777">
            <w:pPr>
              <w:pStyle w:val="TH-TableHeading"/>
              <w:rPr>
                <w:sz w:val="18"/>
                <w:szCs w:val="18"/>
              </w:rPr>
            </w:pPr>
            <w:r w:rsidRPr="000A6F7D">
              <w:rPr>
                <w:sz w:val="18"/>
                <w:szCs w:val="18"/>
              </w:rPr>
              <w:t>Design effect</w:t>
            </w:r>
          </w:p>
        </w:tc>
        <w:tc>
          <w:tcPr>
            <w:tcW w:w="108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6482DDAF" w14:textId="77777777">
            <w:pPr>
              <w:pStyle w:val="TH-TableHeading"/>
              <w:rPr>
                <w:sz w:val="18"/>
                <w:szCs w:val="18"/>
              </w:rPr>
            </w:pPr>
            <w:r w:rsidRPr="000A6F7D">
              <w:rPr>
                <w:sz w:val="18"/>
                <w:szCs w:val="18"/>
              </w:rPr>
              <w:t>Standard Error – Null Hypothesis</w:t>
            </w:r>
          </w:p>
        </w:tc>
        <w:tc>
          <w:tcPr>
            <w:tcW w:w="90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0B7F645C" w14:textId="77777777">
            <w:pPr>
              <w:pStyle w:val="TH-TableHeading"/>
              <w:rPr>
                <w:sz w:val="18"/>
                <w:szCs w:val="18"/>
              </w:rPr>
            </w:pPr>
            <w:r w:rsidRPr="000A6F7D">
              <w:rPr>
                <w:sz w:val="18"/>
                <w:szCs w:val="18"/>
              </w:rPr>
              <w:t>Critical region 95% CI</w:t>
            </w:r>
          </w:p>
        </w:tc>
        <w:tc>
          <w:tcPr>
            <w:tcW w:w="117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3139D279" w14:textId="77777777">
            <w:pPr>
              <w:pStyle w:val="TH-TableHeading"/>
              <w:rPr>
                <w:sz w:val="18"/>
                <w:szCs w:val="18"/>
              </w:rPr>
            </w:pPr>
            <w:r w:rsidRPr="000A6F7D">
              <w:rPr>
                <w:sz w:val="18"/>
                <w:szCs w:val="18"/>
              </w:rPr>
              <w:t>Population Percent – Alternative Hypothesis</w:t>
            </w:r>
          </w:p>
        </w:tc>
        <w:tc>
          <w:tcPr>
            <w:tcW w:w="108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124C3684" w14:textId="77777777">
            <w:pPr>
              <w:pStyle w:val="TH-TableHeading"/>
              <w:rPr>
                <w:sz w:val="18"/>
                <w:szCs w:val="18"/>
              </w:rPr>
            </w:pPr>
            <w:r w:rsidRPr="000A6F7D">
              <w:rPr>
                <w:sz w:val="18"/>
                <w:szCs w:val="18"/>
              </w:rPr>
              <w:t>Standard Error – Alternative Hypothesis</w:t>
            </w:r>
          </w:p>
        </w:tc>
        <w:tc>
          <w:tcPr>
            <w:tcW w:w="720" w:type="dxa"/>
            <w:vMerge w:val="restart"/>
            <w:tcBorders>
              <w:top w:val="single" w:sz="8" w:space="0" w:color="0098C8"/>
              <w:left w:val="single" w:sz="8" w:space="0" w:color="0098C8"/>
              <w:bottom w:val="single" w:sz="8" w:space="0" w:color="0098C8"/>
              <w:right w:val="single" w:sz="8" w:space="0" w:color="0098C8"/>
            </w:tcBorders>
            <w:shd w:val="clear" w:color="000000" w:fill="BBE3F3"/>
            <w:vAlign w:val="center"/>
            <w:hideMark/>
          </w:tcPr>
          <w:p w:rsidR="00EC4839" w:rsidRPr="000A6F7D" w:rsidP="00D47C5B" w14:paraId="10D40F2B" w14:textId="77777777">
            <w:pPr>
              <w:pStyle w:val="TH-TableHeading"/>
              <w:rPr>
                <w:sz w:val="18"/>
                <w:szCs w:val="18"/>
              </w:rPr>
            </w:pPr>
            <w:r w:rsidRPr="000A6F7D">
              <w:rPr>
                <w:sz w:val="18"/>
                <w:szCs w:val="18"/>
              </w:rPr>
              <w:t xml:space="preserve">Power </w:t>
            </w:r>
          </w:p>
        </w:tc>
      </w:tr>
      <w:tr w14:paraId="3A5805C9" w14:textId="77777777" w:rsidTr="000A6F7D">
        <w:tblPrEx>
          <w:tblW w:w="8550" w:type="dxa"/>
          <w:tblInd w:w="980" w:type="dxa"/>
          <w:tblLayout w:type="fixed"/>
          <w:tblLook w:val="04A0"/>
        </w:tblPrEx>
        <w:trPr>
          <w:trHeight w:val="315"/>
        </w:trPr>
        <w:tc>
          <w:tcPr>
            <w:tcW w:w="90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3E860F38" w14:textId="77777777">
            <w:pPr>
              <w:rPr>
                <w:rFonts w:ascii="Franklin Gothic Book" w:hAnsi="Franklin Gothic Book"/>
                <w:color w:val="000000"/>
                <w:sz w:val="20"/>
                <w:szCs w:val="20"/>
              </w:rPr>
            </w:pPr>
          </w:p>
        </w:tc>
        <w:tc>
          <w:tcPr>
            <w:tcW w:w="81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3802BEF8" w14:textId="77777777">
            <w:pPr>
              <w:rPr>
                <w:rFonts w:ascii="Franklin Gothic Book" w:hAnsi="Franklin Gothic Book" w:cs="Calibri"/>
                <w:b/>
                <w:bCs/>
                <w:color w:val="00467F"/>
                <w:sz w:val="20"/>
                <w:szCs w:val="20"/>
              </w:rPr>
            </w:pPr>
          </w:p>
        </w:tc>
        <w:tc>
          <w:tcPr>
            <w:tcW w:w="1170" w:type="dxa"/>
            <w:tcBorders>
              <w:top w:val="nil"/>
              <w:left w:val="nil"/>
              <w:bottom w:val="single" w:sz="8" w:space="0" w:color="0098C8"/>
              <w:right w:val="single" w:sz="8" w:space="0" w:color="0098C8"/>
            </w:tcBorders>
            <w:shd w:val="clear" w:color="000000" w:fill="BBE3F3"/>
            <w:vAlign w:val="center"/>
            <w:hideMark/>
          </w:tcPr>
          <w:p w:rsidR="00EC4839" w:rsidRPr="00EC4839" w:rsidP="000A6F7D" w14:paraId="5C6511F3" w14:textId="77777777">
            <w:pPr>
              <w:pStyle w:val="TH-TableHeading"/>
              <w:rPr>
                <w:rFonts w:ascii="Franklin Gothic Book" w:hAnsi="Franklin Gothic Book" w:cs="Calibri"/>
                <w:b w:val="0"/>
                <w:bCs/>
              </w:rPr>
            </w:pPr>
            <w:r w:rsidRPr="00EC4839">
              <w:rPr>
                <w:rFonts w:ascii="Franklin Gothic Book" w:hAnsi="Franklin Gothic Book" w:cs="Calibri"/>
                <w:bCs/>
              </w:rPr>
              <w:t> </w:t>
            </w:r>
            <w:r w:rsidRPr="000A6F7D">
              <w:t>Null Hypothesis</w:t>
            </w:r>
          </w:p>
        </w:tc>
        <w:tc>
          <w:tcPr>
            <w:tcW w:w="72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2C6E79A9" w14:textId="77777777">
            <w:pPr>
              <w:rPr>
                <w:rFonts w:ascii="Franklin Gothic Book" w:hAnsi="Franklin Gothic Book" w:cs="Calibri"/>
                <w:b/>
                <w:bCs/>
                <w:color w:val="00467F"/>
                <w:sz w:val="20"/>
                <w:szCs w:val="20"/>
              </w:rPr>
            </w:pPr>
          </w:p>
        </w:tc>
        <w:tc>
          <w:tcPr>
            <w:tcW w:w="108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253E0ED4" w14:textId="77777777">
            <w:pPr>
              <w:rPr>
                <w:rFonts w:ascii="Franklin Gothic Book" w:hAnsi="Franklin Gothic Book" w:cs="Calibri"/>
                <w:b/>
                <w:bCs/>
                <w:color w:val="00467F"/>
                <w:sz w:val="20"/>
                <w:szCs w:val="20"/>
              </w:rPr>
            </w:pPr>
          </w:p>
        </w:tc>
        <w:tc>
          <w:tcPr>
            <w:tcW w:w="90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58CBAAF7" w14:textId="77777777">
            <w:pPr>
              <w:rPr>
                <w:rFonts w:ascii="Franklin Gothic Book" w:hAnsi="Franklin Gothic Book" w:cs="Calibri"/>
                <w:b/>
                <w:bCs/>
                <w:color w:val="00467F"/>
                <w:sz w:val="20"/>
                <w:szCs w:val="20"/>
              </w:rPr>
            </w:pPr>
          </w:p>
        </w:tc>
        <w:tc>
          <w:tcPr>
            <w:tcW w:w="117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186A984E" w14:textId="77777777">
            <w:pPr>
              <w:rPr>
                <w:rFonts w:ascii="Franklin Gothic Book" w:hAnsi="Franklin Gothic Book" w:cs="Calibri"/>
                <w:b/>
                <w:bCs/>
                <w:color w:val="00467F"/>
                <w:sz w:val="20"/>
                <w:szCs w:val="20"/>
              </w:rPr>
            </w:pPr>
          </w:p>
        </w:tc>
        <w:tc>
          <w:tcPr>
            <w:tcW w:w="108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4C61A241" w14:textId="77777777">
            <w:pPr>
              <w:rPr>
                <w:rFonts w:ascii="Franklin Gothic Book" w:hAnsi="Franklin Gothic Book" w:cs="Calibri"/>
                <w:b/>
                <w:bCs/>
                <w:color w:val="00467F"/>
                <w:sz w:val="20"/>
                <w:szCs w:val="20"/>
              </w:rPr>
            </w:pPr>
          </w:p>
        </w:tc>
        <w:tc>
          <w:tcPr>
            <w:tcW w:w="720" w:type="dxa"/>
            <w:vMerge/>
            <w:tcBorders>
              <w:top w:val="single" w:sz="8" w:space="0" w:color="0098C8"/>
              <w:left w:val="single" w:sz="8" w:space="0" w:color="0098C8"/>
              <w:bottom w:val="single" w:sz="8" w:space="0" w:color="0098C8"/>
              <w:right w:val="single" w:sz="8" w:space="0" w:color="0098C8"/>
            </w:tcBorders>
            <w:vAlign w:val="center"/>
            <w:hideMark/>
          </w:tcPr>
          <w:p w:rsidR="00EC4839" w:rsidRPr="00EC4839" w:rsidP="0002194E" w14:paraId="589A811C" w14:textId="77777777">
            <w:pPr>
              <w:rPr>
                <w:rFonts w:ascii="Franklin Gothic Book" w:hAnsi="Franklin Gothic Book" w:cs="Calibri"/>
                <w:b/>
                <w:bCs/>
                <w:color w:val="00467F"/>
                <w:sz w:val="20"/>
                <w:szCs w:val="20"/>
              </w:rPr>
            </w:pPr>
          </w:p>
        </w:tc>
      </w:tr>
      <w:tr w14:paraId="15EEE72B" w14:textId="77777777" w:rsidTr="000A6F7D">
        <w:tblPrEx>
          <w:tblW w:w="8550" w:type="dxa"/>
          <w:tblInd w:w="980" w:type="dxa"/>
          <w:tblLayout w:type="fixed"/>
          <w:tblLook w:val="04A0"/>
        </w:tblPrEx>
        <w:trPr>
          <w:trHeight w:val="525"/>
        </w:trPr>
        <w:tc>
          <w:tcPr>
            <w:tcW w:w="900" w:type="dxa"/>
            <w:tcBorders>
              <w:top w:val="nil"/>
              <w:left w:val="single" w:sz="8" w:space="0" w:color="0098C8"/>
              <w:bottom w:val="single" w:sz="8" w:space="0" w:color="0098C8"/>
              <w:right w:val="single" w:sz="8" w:space="0" w:color="0098C8"/>
            </w:tcBorders>
            <w:shd w:val="clear" w:color="auto" w:fill="auto"/>
            <w:vAlign w:val="center"/>
            <w:hideMark/>
          </w:tcPr>
          <w:p w:rsidR="00EC4839" w:rsidRPr="000A6F7D" w:rsidP="000A6F7D" w14:paraId="5DE2B819" w14:textId="77777777">
            <w:pPr>
              <w:pStyle w:val="TX-TableText"/>
            </w:pPr>
            <w:r w:rsidRPr="000A6F7D">
              <w:t>Group 1</w:t>
            </w:r>
          </w:p>
        </w:tc>
        <w:tc>
          <w:tcPr>
            <w:tcW w:w="81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DBD8D3E" w14:textId="77777777">
            <w:pPr>
              <w:pStyle w:val="TX-TableText"/>
            </w:pPr>
            <w:r w:rsidRPr="000A6F7D">
              <w:t>1,000</w:t>
            </w:r>
          </w:p>
        </w:tc>
        <w:tc>
          <w:tcPr>
            <w:tcW w:w="117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4BE06E85" w14:textId="77777777">
            <w:pPr>
              <w:pStyle w:val="TX-TableText"/>
            </w:pPr>
            <w:r w:rsidRPr="000A6F7D">
              <w:t>50%</w:t>
            </w:r>
          </w:p>
        </w:tc>
        <w:tc>
          <w:tcPr>
            <w:tcW w:w="72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7BFCCCD7" w14:textId="77777777">
            <w:pPr>
              <w:pStyle w:val="TX-TableText"/>
            </w:pPr>
            <w:r w:rsidRPr="000A6F7D">
              <w:t>1.1</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2C4B3CDB" w14:textId="77777777">
            <w:pPr>
              <w:pStyle w:val="TX-TableText"/>
            </w:pPr>
            <w:r w:rsidRPr="000A6F7D">
              <w:t>1.66%</w:t>
            </w:r>
          </w:p>
        </w:tc>
        <w:tc>
          <w:tcPr>
            <w:tcW w:w="90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D6A7500" w14:textId="77777777">
            <w:pPr>
              <w:pStyle w:val="TX-TableText"/>
            </w:pPr>
            <w:r w:rsidRPr="000A6F7D">
              <w:t> </w:t>
            </w:r>
          </w:p>
        </w:tc>
        <w:tc>
          <w:tcPr>
            <w:tcW w:w="117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81759DD" w14:textId="77777777">
            <w:pPr>
              <w:pStyle w:val="TX-TableText"/>
            </w:pPr>
            <w:r w:rsidRPr="000A6F7D">
              <w:t>50.00%</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12DF5D76" w14:textId="77777777">
            <w:pPr>
              <w:pStyle w:val="TX-TableText"/>
            </w:pPr>
            <w:r w:rsidRPr="000A6F7D">
              <w:t>1.66%</w:t>
            </w:r>
          </w:p>
        </w:tc>
        <w:tc>
          <w:tcPr>
            <w:tcW w:w="72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1E113A1B" w14:textId="77777777">
            <w:pPr>
              <w:pStyle w:val="TX-TableText"/>
            </w:pPr>
            <w:r w:rsidRPr="000A6F7D">
              <w:t> </w:t>
            </w:r>
          </w:p>
        </w:tc>
      </w:tr>
      <w:tr w14:paraId="3528F293" w14:textId="77777777" w:rsidTr="000A6F7D">
        <w:tblPrEx>
          <w:tblW w:w="8550" w:type="dxa"/>
          <w:tblInd w:w="980" w:type="dxa"/>
          <w:tblLayout w:type="fixed"/>
          <w:tblLook w:val="04A0"/>
        </w:tblPrEx>
        <w:trPr>
          <w:trHeight w:val="525"/>
        </w:trPr>
        <w:tc>
          <w:tcPr>
            <w:tcW w:w="900" w:type="dxa"/>
            <w:tcBorders>
              <w:top w:val="nil"/>
              <w:left w:val="single" w:sz="8" w:space="0" w:color="0098C8"/>
              <w:bottom w:val="single" w:sz="8" w:space="0" w:color="0098C8"/>
              <w:right w:val="single" w:sz="8" w:space="0" w:color="0098C8"/>
            </w:tcBorders>
            <w:shd w:val="clear" w:color="auto" w:fill="auto"/>
            <w:vAlign w:val="center"/>
            <w:hideMark/>
          </w:tcPr>
          <w:p w:rsidR="00EC4839" w:rsidRPr="000A6F7D" w:rsidP="000A6F7D" w14:paraId="0927096F" w14:textId="77777777">
            <w:pPr>
              <w:pStyle w:val="TX-TableText"/>
            </w:pPr>
            <w:r w:rsidRPr="000A6F7D">
              <w:t>Group 2</w:t>
            </w:r>
          </w:p>
        </w:tc>
        <w:tc>
          <w:tcPr>
            <w:tcW w:w="81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39A18C44" w14:textId="77777777">
            <w:pPr>
              <w:pStyle w:val="TX-TableText"/>
            </w:pPr>
            <w:r w:rsidRPr="000A6F7D">
              <w:t>1,000</w:t>
            </w:r>
          </w:p>
        </w:tc>
        <w:tc>
          <w:tcPr>
            <w:tcW w:w="117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058ED53D" w14:textId="77777777">
            <w:pPr>
              <w:pStyle w:val="TX-TableText"/>
            </w:pPr>
            <w:r w:rsidRPr="000A6F7D">
              <w:t>50%</w:t>
            </w:r>
          </w:p>
        </w:tc>
        <w:tc>
          <w:tcPr>
            <w:tcW w:w="72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397320B" w14:textId="77777777">
            <w:pPr>
              <w:pStyle w:val="TX-TableText"/>
            </w:pPr>
            <w:r w:rsidRPr="000A6F7D">
              <w:t>1.1</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6A67A244" w14:textId="77777777">
            <w:pPr>
              <w:pStyle w:val="TX-TableText"/>
            </w:pPr>
            <w:r w:rsidRPr="000A6F7D">
              <w:t>1.66%</w:t>
            </w:r>
          </w:p>
        </w:tc>
        <w:tc>
          <w:tcPr>
            <w:tcW w:w="90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24C8F57A" w14:textId="77777777">
            <w:pPr>
              <w:pStyle w:val="TX-TableText"/>
            </w:pPr>
            <w:r w:rsidRPr="000A6F7D">
              <w:t> </w:t>
            </w:r>
          </w:p>
        </w:tc>
        <w:tc>
          <w:tcPr>
            <w:tcW w:w="117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4C7E1CF1" w14:textId="77777777">
            <w:pPr>
              <w:pStyle w:val="TX-TableText"/>
            </w:pPr>
            <w:r w:rsidRPr="000A6F7D">
              <w:t>56.60%</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1D29184E" w14:textId="77777777">
            <w:pPr>
              <w:pStyle w:val="TX-TableText"/>
            </w:pPr>
            <w:r w:rsidRPr="000A6F7D">
              <w:t>1.64%</w:t>
            </w:r>
          </w:p>
        </w:tc>
        <w:tc>
          <w:tcPr>
            <w:tcW w:w="72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4C961824" w14:textId="77777777">
            <w:pPr>
              <w:pStyle w:val="TX-TableText"/>
            </w:pPr>
            <w:r w:rsidRPr="000A6F7D">
              <w:t> </w:t>
            </w:r>
          </w:p>
        </w:tc>
      </w:tr>
      <w:tr w14:paraId="7D3188D9" w14:textId="77777777" w:rsidTr="000A6F7D">
        <w:tblPrEx>
          <w:tblW w:w="8550" w:type="dxa"/>
          <w:tblInd w:w="980" w:type="dxa"/>
          <w:tblLayout w:type="fixed"/>
          <w:tblLook w:val="04A0"/>
        </w:tblPrEx>
        <w:trPr>
          <w:trHeight w:val="322"/>
        </w:trPr>
        <w:tc>
          <w:tcPr>
            <w:tcW w:w="3600" w:type="dxa"/>
            <w:gridSpan w:val="4"/>
            <w:tcBorders>
              <w:top w:val="single" w:sz="8" w:space="0" w:color="0098C8"/>
              <w:left w:val="single" w:sz="8" w:space="0" w:color="0098C8"/>
              <w:bottom w:val="single" w:sz="8" w:space="0" w:color="0098C8"/>
              <w:right w:val="single" w:sz="8" w:space="0" w:color="0098C8"/>
            </w:tcBorders>
            <w:shd w:val="clear" w:color="auto" w:fill="auto"/>
            <w:vAlign w:val="center"/>
            <w:hideMark/>
          </w:tcPr>
          <w:p w:rsidR="00EC4839" w:rsidRPr="000A6F7D" w:rsidP="000A6F7D" w14:paraId="7EEEAE8A" w14:textId="77777777">
            <w:pPr>
              <w:pStyle w:val="TX-TableText"/>
            </w:pPr>
            <w:r w:rsidRPr="000A6F7D">
              <w:t>Difference between proportions</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25AAECBB" w14:textId="77777777">
            <w:pPr>
              <w:pStyle w:val="TX-TableText"/>
            </w:pPr>
            <w:r w:rsidRPr="000A6F7D">
              <w:t>2.35%</w:t>
            </w:r>
          </w:p>
        </w:tc>
        <w:tc>
          <w:tcPr>
            <w:tcW w:w="90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C908605" w14:textId="77777777">
            <w:pPr>
              <w:pStyle w:val="TX-TableText"/>
            </w:pPr>
            <w:r w:rsidRPr="000A6F7D">
              <w:t>4.60%</w:t>
            </w:r>
          </w:p>
        </w:tc>
        <w:tc>
          <w:tcPr>
            <w:tcW w:w="117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2F7261E2" w14:textId="77777777">
            <w:pPr>
              <w:pStyle w:val="TX-TableText"/>
            </w:pPr>
            <w:r w:rsidRPr="000A6F7D">
              <w:t>6.60%</w:t>
            </w:r>
          </w:p>
        </w:tc>
        <w:tc>
          <w:tcPr>
            <w:tcW w:w="108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5221DC70" w14:textId="77777777">
            <w:pPr>
              <w:pStyle w:val="TX-TableText"/>
            </w:pPr>
            <w:r w:rsidRPr="000A6F7D">
              <w:t>2.33%</w:t>
            </w:r>
          </w:p>
        </w:tc>
        <w:tc>
          <w:tcPr>
            <w:tcW w:w="720" w:type="dxa"/>
            <w:tcBorders>
              <w:top w:val="nil"/>
              <w:left w:val="nil"/>
              <w:bottom w:val="single" w:sz="8" w:space="0" w:color="0098C8"/>
              <w:right w:val="single" w:sz="8" w:space="0" w:color="0098C8"/>
            </w:tcBorders>
            <w:shd w:val="clear" w:color="auto" w:fill="auto"/>
            <w:noWrap/>
            <w:vAlign w:val="center"/>
            <w:hideMark/>
          </w:tcPr>
          <w:p w:rsidR="00EC4839" w:rsidRPr="000A6F7D" w:rsidP="000A6F7D" w14:paraId="78129D82" w14:textId="77777777">
            <w:pPr>
              <w:pStyle w:val="TX-TableText"/>
            </w:pPr>
            <w:r w:rsidRPr="000A6F7D">
              <w:t>80.46%</w:t>
            </w:r>
          </w:p>
        </w:tc>
      </w:tr>
    </w:tbl>
    <w:p w:rsidR="00EC4839" w:rsidRPr="00EC4839" w:rsidP="00EC4839" w14:paraId="705BDA26" w14:textId="77777777">
      <w:pPr>
        <w:ind w:left="1170"/>
        <w:rPr>
          <w:rFonts w:ascii="Times New Roman" w:hAnsi="Times New Roman" w:eastAsiaTheme="minorEastAsia"/>
          <w:snapToGrid/>
          <w:lang w:eastAsia="ja-JP"/>
        </w:rPr>
      </w:pPr>
    </w:p>
    <w:p w:rsidR="00EC4839" w:rsidP="00EC4839" w14:paraId="6B260311" w14:textId="3A63599D">
      <w:pPr>
        <w:pStyle w:val="L1-FlLSp12"/>
        <w:ind w:left="990"/>
        <w:rPr>
          <w:rFonts w:ascii="Times New Roman" w:hAnsi="Times New Roman" w:cs="Times New Roman"/>
          <w:sz w:val="24"/>
          <w:szCs w:val="24"/>
        </w:rPr>
      </w:pPr>
      <w:r w:rsidRPr="000E2990">
        <w:rPr>
          <w:rFonts w:ascii="Times New Roman" w:hAnsi="Times New Roman" w:cs="Times New Roman"/>
          <w:sz w:val="24"/>
          <w:szCs w:val="24"/>
        </w:rPr>
        <w:t xml:space="preserve">Exhibit </w:t>
      </w:r>
      <w:r>
        <w:rPr>
          <w:rFonts w:ascii="Times New Roman" w:hAnsi="Times New Roman" w:cs="Times New Roman"/>
          <w:sz w:val="24"/>
          <w:szCs w:val="24"/>
        </w:rPr>
        <w:t>2</w:t>
      </w:r>
      <w:r w:rsidRPr="000E2990">
        <w:rPr>
          <w:rFonts w:ascii="Times New Roman" w:hAnsi="Times New Roman" w:cs="Times New Roman"/>
          <w:sz w:val="24"/>
          <w:szCs w:val="24"/>
        </w:rPr>
        <w:t xml:space="preserve"> presents power calculations for comparing two strata with sample sizes of 1,000. </w:t>
      </w:r>
      <w:r w:rsidR="00387B28">
        <w:rPr>
          <w:rFonts w:ascii="Times New Roman" w:hAnsi="Times New Roman" w:cs="Times New Roman"/>
          <w:sz w:val="24"/>
          <w:szCs w:val="24"/>
        </w:rPr>
        <w:t xml:space="preserve"> </w:t>
      </w:r>
      <w:r w:rsidRPr="00EC4839">
        <w:rPr>
          <w:rFonts w:ascii="Times New Roman" w:hAnsi="Times New Roman" w:cs="Times New Roman"/>
          <w:sz w:val="24"/>
          <w:szCs w:val="24"/>
        </w:rPr>
        <w:t>The null hypothesis is that the estimates for both groups are the same (both 50%) and the alternative is that they are different (differe</w:t>
      </w:r>
      <w:r w:rsidRPr="00EC4839">
        <w:rPr>
          <w:rFonts w:ascii="Times New Roman" w:hAnsi="Times New Roman" w:cs="Times New Roman"/>
          <w:sz w:val="24"/>
          <w:szCs w:val="24"/>
        </w:rPr>
        <w:t>nce of 6.6%).</w:t>
      </w:r>
      <w:r w:rsidR="00387B28">
        <w:rPr>
          <w:rFonts w:ascii="Times New Roman" w:hAnsi="Times New Roman" w:cs="Times New Roman"/>
          <w:sz w:val="24"/>
          <w:szCs w:val="24"/>
        </w:rPr>
        <w:t xml:space="preserve"> </w:t>
      </w:r>
      <w:r w:rsidRPr="00EC4839">
        <w:rPr>
          <w:rFonts w:ascii="Times New Roman" w:hAnsi="Times New Roman" w:cs="Times New Roman"/>
          <w:sz w:val="24"/>
          <w:szCs w:val="24"/>
        </w:rPr>
        <w:t xml:space="preserve"> In a similar way as above, </w:t>
      </w:r>
      <w:r w:rsidR="00155EBD">
        <w:rPr>
          <w:rFonts w:ascii="Times New Roman" w:hAnsi="Times New Roman" w:cs="Times New Roman"/>
          <w:sz w:val="24"/>
          <w:szCs w:val="24"/>
        </w:rPr>
        <w:t xml:space="preserve">we set </w:t>
      </w:r>
      <w:r w:rsidRPr="00EC4839">
        <w:rPr>
          <w:rFonts w:ascii="Times New Roman" w:hAnsi="Times New Roman" w:cs="Times New Roman"/>
          <w:sz w:val="24"/>
          <w:szCs w:val="24"/>
        </w:rPr>
        <w:t xml:space="preserve">the design effect </w:t>
      </w:r>
      <w:r w:rsidRPr="00EC4839">
        <w:rPr>
          <w:rFonts w:ascii="Times New Roman" w:hAnsi="Times New Roman" w:cs="Times New Roman"/>
          <w:sz w:val="24"/>
          <w:szCs w:val="24"/>
        </w:rPr>
        <w:t xml:space="preserve">to 1.1 and the population estimate to 50% </w:t>
      </w:r>
      <w:r w:rsidRPr="00EC4839">
        <w:rPr>
          <w:rFonts w:ascii="Times New Roman" w:hAnsi="Times New Roman" w:cs="Times New Roman"/>
          <w:sz w:val="24"/>
          <w:szCs w:val="24"/>
        </w:rPr>
        <w:t xml:space="preserve">to </w:t>
      </w:r>
      <w:r w:rsidRPr="00EC4839">
        <w:rPr>
          <w:rFonts w:ascii="Times New Roman" w:hAnsi="Times New Roman" w:cs="Times New Roman"/>
          <w:sz w:val="24"/>
          <w:szCs w:val="24"/>
        </w:rPr>
        <w:t xml:space="preserve">maximize the standard errors.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We will be able to detect a difference of 6.6 percentage points between the two strata with 80 percent </w:t>
      </w:r>
      <w:r w:rsidRPr="000E2990">
        <w:rPr>
          <w:rFonts w:ascii="Times New Roman" w:hAnsi="Times New Roman" w:cs="Times New Roman"/>
          <w:sz w:val="24"/>
          <w:szCs w:val="24"/>
        </w:rPr>
        <w:t>power (95% confidence two</w:t>
      </w:r>
      <w:r w:rsidR="00C15E5F">
        <w:rPr>
          <w:rFonts w:ascii="Times New Roman" w:hAnsi="Times New Roman" w:cs="Times New Roman"/>
          <w:sz w:val="24"/>
          <w:szCs w:val="24"/>
        </w:rPr>
        <w:noBreakHyphen/>
      </w:r>
      <w:r w:rsidRPr="000E2990">
        <w:rPr>
          <w:rFonts w:ascii="Times New Roman" w:hAnsi="Times New Roman" w:cs="Times New Roman"/>
          <w:sz w:val="24"/>
          <w:szCs w:val="24"/>
        </w:rPr>
        <w:t xml:space="preserve">sided test of the null hypothesis of no difference). </w:t>
      </w:r>
    </w:p>
    <w:p w:rsidR="000E2990" w:rsidRPr="000E2990" w:rsidP="000E2990" w14:paraId="5E6B162D" w14:textId="765C94E3">
      <w:pPr>
        <w:pStyle w:val="L1-FlLSp12"/>
        <w:ind w:left="990"/>
        <w:rPr>
          <w:rFonts w:ascii="Times New Roman" w:hAnsi="Times New Roman" w:cs="Times New Roman"/>
          <w:sz w:val="24"/>
          <w:szCs w:val="24"/>
        </w:rPr>
      </w:pPr>
      <w:r w:rsidRPr="000E2990">
        <w:rPr>
          <w:rFonts w:ascii="Times New Roman" w:hAnsi="Times New Roman" w:cs="Times New Roman"/>
          <w:sz w:val="24"/>
          <w:szCs w:val="24"/>
        </w:rPr>
        <w:t xml:space="preserve">We will stratify the sample by program type (SSDI versus SSI), and by recommended determinants of self-sufficiency, such as age group, impairment type, and urban versus </w:t>
      </w:r>
      <w:r w:rsidRPr="000E2990">
        <w:rPr>
          <w:rFonts w:ascii="Times New Roman" w:hAnsi="Times New Roman" w:cs="Times New Roman"/>
          <w:sz w:val="24"/>
          <w:szCs w:val="24"/>
        </w:rPr>
        <w:t>rural locality.</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We will revisit any of these strata and discuss any necessary changes with SSA based on findings from qualitative data collection activities.</w:t>
      </w:r>
    </w:p>
    <w:bookmarkEnd w:id="0"/>
    <w:p w:rsidR="000E2990" w:rsidRPr="000E2990" w:rsidP="000E2990" w14:paraId="4D3EA2B3" w14:textId="5ACC6DCE">
      <w:pPr>
        <w:pStyle w:val="L1-FlLSp12"/>
        <w:ind w:left="990"/>
        <w:rPr>
          <w:rFonts w:ascii="Times New Roman" w:hAnsi="Times New Roman" w:cs="Times New Roman"/>
          <w:sz w:val="24"/>
          <w:szCs w:val="24"/>
        </w:rPr>
      </w:pPr>
      <w:r>
        <w:rPr>
          <w:rFonts w:ascii="Times New Roman" w:hAnsi="Times New Roman" w:cs="Times New Roman"/>
          <w:sz w:val="24"/>
          <w:szCs w:val="24"/>
        </w:rPr>
        <w:t xml:space="preserve">The </w:t>
      </w:r>
      <w:r w:rsidRPr="000E2990">
        <w:rPr>
          <w:rFonts w:ascii="Times New Roman" w:hAnsi="Times New Roman" w:cs="Times New Roman"/>
          <w:sz w:val="24"/>
          <w:szCs w:val="24"/>
        </w:rPr>
        <w:t>Permanent Random Number (PRN) Sampling procedure prevent</w:t>
      </w:r>
      <w:r>
        <w:rPr>
          <w:rFonts w:ascii="Times New Roman" w:hAnsi="Times New Roman" w:cs="Times New Roman"/>
          <w:sz w:val="24"/>
          <w:szCs w:val="24"/>
        </w:rPr>
        <w:t>s</w:t>
      </w:r>
      <w:r w:rsidRPr="000E2990">
        <w:rPr>
          <w:rFonts w:ascii="Times New Roman" w:hAnsi="Times New Roman" w:cs="Times New Roman"/>
          <w:sz w:val="24"/>
          <w:szCs w:val="24"/>
        </w:rPr>
        <w:t xml:space="preserve"> overlap between multiple samples ta</w:t>
      </w:r>
      <w:r w:rsidRPr="000E2990">
        <w:rPr>
          <w:rFonts w:ascii="Times New Roman" w:hAnsi="Times New Roman" w:cs="Times New Roman"/>
          <w:sz w:val="24"/>
          <w:szCs w:val="24"/>
        </w:rPr>
        <w:t>ken from a single sampling frame (see for example</w:t>
      </w:r>
      <w:r w:rsidR="00C15E5F">
        <w:rPr>
          <w:rFonts w:ascii="Times New Roman" w:hAnsi="Times New Roman" w:cs="Times New Roman"/>
          <w:sz w:val="24"/>
          <w:szCs w:val="24"/>
        </w:rPr>
        <w:t>,</w:t>
      </w:r>
      <w:r w:rsidRPr="000E2990">
        <w:rPr>
          <w:rFonts w:ascii="Times New Roman" w:hAnsi="Times New Roman" w:cs="Times New Roman"/>
          <w:sz w:val="24"/>
          <w:szCs w:val="24"/>
        </w:rPr>
        <w:t xml:space="preserve"> Ohlsson, 2011; "Method: Sample Co-ordination", 2014).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The selection process begins by assigning a unique random number between 0 and 1 to each unit in the frame.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We then arrange the units in increasing o</w:t>
      </w:r>
      <w:r w:rsidRPr="000E2990">
        <w:rPr>
          <w:rFonts w:ascii="Times New Roman" w:hAnsi="Times New Roman" w:cs="Times New Roman"/>
          <w:sz w:val="24"/>
          <w:szCs w:val="24"/>
        </w:rPr>
        <w:t xml:space="preserve">rder based on their PRN and select a start point between 0 and 1. From that point, we select the first number of units as the first sample.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If we have not met the number of units wanted in the sample before reaching the maximum PRN, we continue the sample</w:t>
      </w:r>
      <w:r w:rsidRPr="000E2990">
        <w:rPr>
          <w:rFonts w:ascii="Times New Roman" w:hAnsi="Times New Roman" w:cs="Times New Roman"/>
          <w:sz w:val="24"/>
          <w:szCs w:val="24"/>
        </w:rPr>
        <w:t xml:space="preserve"> by returning to the smallest PRN.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The starting point for the next sample is the first PRN after the last PRN that belongs to the last selected unit in the previous sample.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This technique produces a simple random sample without replacement. </w:t>
      </w:r>
    </w:p>
    <w:p w:rsidR="000E2990" w:rsidRPr="000E2990" w:rsidP="000E2990" w14:paraId="76F48B82" w14:textId="6302C554">
      <w:pPr>
        <w:pStyle w:val="L1-FlLSp12"/>
        <w:ind w:left="990"/>
        <w:rPr>
          <w:rFonts w:ascii="Times New Roman" w:hAnsi="Times New Roman" w:cs="Times New Roman"/>
          <w:sz w:val="24"/>
          <w:szCs w:val="24"/>
        </w:rPr>
      </w:pPr>
      <w:r w:rsidRPr="000E2990">
        <w:rPr>
          <w:rFonts w:ascii="Times New Roman" w:hAnsi="Times New Roman" w:cs="Times New Roman"/>
          <w:sz w:val="24"/>
          <w:szCs w:val="24"/>
        </w:rPr>
        <w:t>In this case</w:t>
      </w:r>
      <w:r w:rsidRPr="000E2990">
        <w:rPr>
          <w:rFonts w:ascii="Times New Roman" w:hAnsi="Times New Roman" w:cs="Times New Roman"/>
          <w:sz w:val="24"/>
          <w:szCs w:val="24"/>
        </w:rPr>
        <w:t xml:space="preserve">, we want stratified random sampling; </w:t>
      </w:r>
      <w:r w:rsidR="00075FEF">
        <w:rPr>
          <w:rFonts w:ascii="Times New Roman" w:hAnsi="Times New Roman" w:cs="Times New Roman"/>
          <w:sz w:val="24"/>
          <w:szCs w:val="24"/>
        </w:rPr>
        <w:t xml:space="preserve">therefore, </w:t>
      </w:r>
      <w:r w:rsidRPr="000E2990">
        <w:rPr>
          <w:rFonts w:ascii="Times New Roman" w:hAnsi="Times New Roman" w:cs="Times New Roman"/>
          <w:sz w:val="24"/>
          <w:szCs w:val="24"/>
        </w:rPr>
        <w:t>we</w:t>
      </w:r>
      <w:r w:rsidR="00131D7E">
        <w:rPr>
          <w:rFonts w:ascii="Times New Roman" w:hAnsi="Times New Roman" w:cs="Times New Roman"/>
          <w:sz w:val="24"/>
          <w:szCs w:val="24"/>
        </w:rPr>
        <w:t xml:space="preserve"> will</w:t>
      </w:r>
      <w:r w:rsidRPr="000E2990">
        <w:rPr>
          <w:rFonts w:ascii="Times New Roman" w:hAnsi="Times New Roman" w:cs="Times New Roman"/>
          <w:sz w:val="24"/>
          <w:szCs w:val="24"/>
        </w:rPr>
        <w:t xml:space="preserve"> sort the sampling frame based on various characteristics, and we </w:t>
      </w:r>
      <w:r w:rsidR="00131D7E">
        <w:rPr>
          <w:rFonts w:ascii="Times New Roman" w:hAnsi="Times New Roman" w:cs="Times New Roman"/>
          <w:sz w:val="24"/>
          <w:szCs w:val="24"/>
        </w:rPr>
        <w:t xml:space="preserve">will </w:t>
      </w:r>
      <w:r w:rsidRPr="000E2990">
        <w:rPr>
          <w:rFonts w:ascii="Times New Roman" w:hAnsi="Times New Roman" w:cs="Times New Roman"/>
          <w:sz w:val="24"/>
          <w:szCs w:val="24"/>
        </w:rPr>
        <w:t xml:space="preserve">then create multiple sampling strata.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Within each one of these sampling strata, we </w:t>
      </w:r>
      <w:r w:rsidR="00131D7E">
        <w:rPr>
          <w:rFonts w:ascii="Times New Roman" w:hAnsi="Times New Roman" w:cs="Times New Roman"/>
          <w:sz w:val="24"/>
          <w:szCs w:val="24"/>
        </w:rPr>
        <w:t xml:space="preserve">will </w:t>
      </w:r>
      <w:r w:rsidRPr="000E2990">
        <w:rPr>
          <w:rFonts w:ascii="Times New Roman" w:hAnsi="Times New Roman" w:cs="Times New Roman"/>
          <w:sz w:val="24"/>
          <w:szCs w:val="24"/>
        </w:rPr>
        <w:t xml:space="preserve">apply PRN sampling.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We will recruit Possible Exiters, Short-term Exiters, and Long-term Exiters using s</w:t>
      </w:r>
      <w:r w:rsidRPr="000E2990">
        <w:rPr>
          <w:rFonts w:ascii="Times New Roman" w:hAnsi="Times New Roman" w:cs="Times New Roman"/>
          <w:sz w:val="24"/>
          <w:szCs w:val="24"/>
        </w:rPr>
        <w:t>tratified random sampling.</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This method allows us to interview enough Exiters and Possible Exiters with varying characteristics that may influence barriers and facilitators of return to work after benefit cessation. </w:t>
      </w:r>
    </w:p>
    <w:p w:rsidR="000E2990" w:rsidRPr="000E2990" w:rsidP="000E2990" w14:paraId="1E98FC4E" w14:textId="16850AC6">
      <w:pPr>
        <w:pStyle w:val="L1-FlLSp12"/>
        <w:ind w:left="990"/>
        <w:rPr>
          <w:rFonts w:ascii="Times New Roman" w:hAnsi="Times New Roman" w:cs="Times New Roman"/>
          <w:sz w:val="24"/>
          <w:szCs w:val="24"/>
        </w:rPr>
      </w:pPr>
      <w:r w:rsidRPr="000E2990">
        <w:rPr>
          <w:rFonts w:ascii="Times New Roman" w:hAnsi="Times New Roman" w:cs="Times New Roman"/>
          <w:sz w:val="24"/>
          <w:szCs w:val="24"/>
        </w:rPr>
        <w:t>SSA is particularly interested in the c</w:t>
      </w:r>
      <w:r w:rsidRPr="000E2990">
        <w:rPr>
          <w:rFonts w:ascii="Times New Roman" w:hAnsi="Times New Roman" w:cs="Times New Roman"/>
          <w:sz w:val="24"/>
          <w:szCs w:val="24"/>
        </w:rPr>
        <w:t xml:space="preserve">haracteristics and needs of Exiters and Possible Exiters who received a high score on probability of disability benefits cessation resulting from a scheduled full medical review.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Therefore, we </w:t>
      </w:r>
      <w:r w:rsidR="00131D7E">
        <w:rPr>
          <w:rFonts w:ascii="Times New Roman" w:hAnsi="Times New Roman" w:cs="Times New Roman"/>
          <w:sz w:val="24"/>
          <w:szCs w:val="24"/>
        </w:rPr>
        <w:t xml:space="preserve">will </w:t>
      </w:r>
      <w:r w:rsidRPr="000E2990">
        <w:rPr>
          <w:rFonts w:ascii="Times New Roman" w:hAnsi="Times New Roman" w:cs="Times New Roman"/>
          <w:sz w:val="24"/>
          <w:szCs w:val="24"/>
        </w:rPr>
        <w:t xml:space="preserve">oversample Possible </w:t>
      </w:r>
      <w:r w:rsidRPr="000E2990">
        <w:rPr>
          <w:rFonts w:ascii="Times New Roman" w:hAnsi="Times New Roman" w:cs="Times New Roman"/>
          <w:sz w:val="24"/>
          <w:szCs w:val="24"/>
        </w:rPr>
        <w:t>Exiters</w:t>
      </w:r>
      <w:r w:rsidRPr="000E2990">
        <w:rPr>
          <w:rFonts w:ascii="Times New Roman" w:hAnsi="Times New Roman" w:cs="Times New Roman"/>
          <w:sz w:val="24"/>
          <w:szCs w:val="24"/>
        </w:rPr>
        <w:t xml:space="preserve"> with a high score, relative to tho</w:t>
      </w:r>
      <w:r w:rsidRPr="000E2990">
        <w:rPr>
          <w:rFonts w:ascii="Times New Roman" w:hAnsi="Times New Roman" w:cs="Times New Roman"/>
          <w:sz w:val="24"/>
          <w:szCs w:val="24"/>
        </w:rPr>
        <w:t xml:space="preserve">se with low and medium scores.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We </w:t>
      </w:r>
      <w:r w:rsidR="00131D7E">
        <w:rPr>
          <w:rFonts w:ascii="Times New Roman" w:hAnsi="Times New Roman" w:cs="Times New Roman"/>
          <w:sz w:val="24"/>
          <w:szCs w:val="24"/>
        </w:rPr>
        <w:t xml:space="preserve">will </w:t>
      </w:r>
      <w:r w:rsidRPr="000E2990">
        <w:rPr>
          <w:rFonts w:ascii="Times New Roman" w:hAnsi="Times New Roman" w:cs="Times New Roman"/>
          <w:sz w:val="24"/>
          <w:szCs w:val="24"/>
        </w:rPr>
        <w:t xml:space="preserve">also stratify the sample by age group, program type (SSDI, SSI, or both), impairment type, and geography (urban and rural).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We plan to oversample younger exiters and possible exiters, SSDI recipients, and those living in</w:t>
      </w:r>
      <w:r w:rsidRPr="000E2990">
        <w:rPr>
          <w:rFonts w:ascii="Times New Roman" w:hAnsi="Times New Roman" w:cs="Times New Roman"/>
          <w:sz w:val="24"/>
          <w:szCs w:val="24"/>
        </w:rPr>
        <w:t xml:space="preserve"> rural areas, as well as those with psychological or musculoskeletal diagnoses.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We show an illustrative example in Exhibit </w:t>
      </w:r>
      <w:r w:rsidR="00DE3DB6">
        <w:rPr>
          <w:rFonts w:ascii="Times New Roman" w:hAnsi="Times New Roman" w:cs="Times New Roman"/>
          <w:sz w:val="24"/>
          <w:szCs w:val="24"/>
        </w:rPr>
        <w:t>3</w:t>
      </w:r>
      <w:r w:rsidRPr="000E2990">
        <w:rPr>
          <w:rFonts w:ascii="Times New Roman" w:hAnsi="Times New Roman" w:cs="Times New Roman"/>
          <w:sz w:val="24"/>
          <w:szCs w:val="24"/>
        </w:rPr>
        <w:t>.</w:t>
      </w:r>
    </w:p>
    <w:p w:rsidR="000E2990" w:rsidRPr="007A3F8C" w:rsidP="000A6F7D" w14:paraId="6E13FC66" w14:textId="77777777">
      <w:pPr>
        <w:pStyle w:val="ET-ExhibitTitle"/>
        <w:pBdr>
          <w:right w:val="single" w:sz="4" w:space="7" w:color="00467F"/>
        </w:pBdr>
        <w:ind w:left="2430"/>
      </w:pPr>
      <w:r>
        <w:t xml:space="preserve">Exhibit </w:t>
      </w:r>
      <w:r w:rsidR="00DE3DB6">
        <w:t>3</w:t>
      </w:r>
      <w:r>
        <w:t>.</w:t>
      </w:r>
      <w:r>
        <w:tab/>
        <w:t>Illustrative ex</w:t>
      </w:r>
      <w:r w:rsidRPr="007A3F8C">
        <w:t xml:space="preserve">ample of </w:t>
      </w:r>
      <w:r>
        <w:t>s</w:t>
      </w:r>
      <w:r w:rsidRPr="007A3F8C">
        <w:t xml:space="preserve">ampling </w:t>
      </w:r>
      <w:r>
        <w:t>p</w:t>
      </w:r>
      <w:r w:rsidRPr="007A3F8C">
        <w:t xml:space="preserve">lan for Exiters and Possible Exiters by </w:t>
      </w:r>
      <w:r>
        <w:t>s</w:t>
      </w:r>
      <w:r w:rsidRPr="007A3F8C">
        <w:t>trata</w:t>
      </w:r>
    </w:p>
    <w:tbl>
      <w:tblPr>
        <w:tblStyle w:val="D3Table-Blue"/>
        <w:tblW w:w="4473" w:type="pct"/>
        <w:tblInd w:w="990" w:type="dxa"/>
        <w:tblLook w:val="04A0"/>
      </w:tblPr>
      <w:tblGrid>
        <w:gridCol w:w="2375"/>
        <w:gridCol w:w="879"/>
        <w:gridCol w:w="1141"/>
        <w:gridCol w:w="844"/>
        <w:gridCol w:w="1141"/>
        <w:gridCol w:w="844"/>
        <w:gridCol w:w="1141"/>
      </w:tblGrid>
      <w:tr w14:paraId="7D5C6494" w14:textId="77777777" w:rsidTr="00873741">
        <w:tblPrEx>
          <w:tblW w:w="4473" w:type="pct"/>
          <w:tblInd w:w="990" w:type="dxa"/>
          <w:tblLook w:val="04A0"/>
        </w:tblPrEx>
        <w:trPr>
          <w:trHeight w:val="20"/>
        </w:trPr>
        <w:tc>
          <w:tcPr>
            <w:tcW w:w="1448" w:type="pct"/>
            <w:vMerge w:val="restart"/>
          </w:tcPr>
          <w:p w:rsidR="000E2990" w:rsidRPr="007A3F8C" w:rsidP="00DA46C1" w14:paraId="0FC6BA83" w14:textId="77777777">
            <w:pPr>
              <w:pStyle w:val="TH-TableHeading"/>
            </w:pPr>
          </w:p>
        </w:tc>
        <w:tc>
          <w:tcPr>
            <w:tcW w:w="1236" w:type="pct"/>
            <w:gridSpan w:val="2"/>
          </w:tcPr>
          <w:p w:rsidR="000E2990" w:rsidP="00DA46C1" w14:paraId="55EDE4F7" w14:textId="77777777">
            <w:pPr>
              <w:pStyle w:val="TH-TableHeading"/>
            </w:pPr>
            <w:r>
              <w:t xml:space="preserve">Possible Exiters </w:t>
            </w:r>
          </w:p>
          <w:p w:rsidR="000E2990" w:rsidRPr="007A3F8C" w:rsidP="00DA46C1" w14:paraId="2275CC79" w14:textId="77777777">
            <w:pPr>
              <w:pStyle w:val="TH-TableHeading"/>
            </w:pPr>
            <w:r>
              <w:t>(n=2,000)</w:t>
            </w:r>
          </w:p>
        </w:tc>
        <w:tc>
          <w:tcPr>
            <w:tcW w:w="1186" w:type="pct"/>
            <w:gridSpan w:val="2"/>
          </w:tcPr>
          <w:p w:rsidR="000E2990" w:rsidP="00DA46C1" w14:paraId="1C31F149" w14:textId="77777777">
            <w:pPr>
              <w:pStyle w:val="TH-TableHeading"/>
            </w:pPr>
            <w:r>
              <w:t>Short-te</w:t>
            </w:r>
            <w:r>
              <w:t>rm Exiters</w:t>
            </w:r>
          </w:p>
          <w:p w:rsidR="000E2990" w:rsidRPr="007A3F8C" w:rsidP="00DA46C1" w14:paraId="43024141" w14:textId="77777777">
            <w:pPr>
              <w:pStyle w:val="TH-TableHeading"/>
            </w:pPr>
            <w:r>
              <w:t>(n=1,000)</w:t>
            </w:r>
          </w:p>
        </w:tc>
        <w:tc>
          <w:tcPr>
            <w:tcW w:w="1130" w:type="pct"/>
            <w:gridSpan w:val="2"/>
          </w:tcPr>
          <w:p w:rsidR="000E2990" w:rsidP="00DA46C1" w14:paraId="488E3C3F" w14:textId="77777777">
            <w:pPr>
              <w:pStyle w:val="TH-TableHeading"/>
            </w:pPr>
            <w:r>
              <w:t>Long-term Exiters</w:t>
            </w:r>
          </w:p>
          <w:p w:rsidR="000E2990" w:rsidRPr="007A3F8C" w:rsidP="00DA46C1" w14:paraId="13AA0A5E" w14:textId="77777777">
            <w:pPr>
              <w:pStyle w:val="TH-TableHeading"/>
            </w:pPr>
            <w:r>
              <w:t>(n=1,000)</w:t>
            </w:r>
          </w:p>
        </w:tc>
      </w:tr>
      <w:tr w14:paraId="17545BC2" w14:textId="77777777" w:rsidTr="00873741">
        <w:tblPrEx>
          <w:tblW w:w="4473" w:type="pct"/>
          <w:tblInd w:w="990" w:type="dxa"/>
          <w:tblLook w:val="04A0"/>
        </w:tblPrEx>
        <w:trPr>
          <w:trHeight w:val="20"/>
        </w:trPr>
        <w:tc>
          <w:tcPr>
            <w:tcW w:w="1448" w:type="pct"/>
            <w:vMerge/>
          </w:tcPr>
          <w:p w:rsidR="000E2990" w:rsidRPr="007A3F8C" w:rsidP="00DA46C1" w14:paraId="5C8B76F4" w14:textId="77777777">
            <w:pPr>
              <w:spacing w:before="120" w:after="120"/>
              <w:jc w:val="center"/>
              <w:rPr>
                <w:rStyle w:val="SubtleReference"/>
                <w:rFonts w:ascii="Constantia" w:hAnsi="Constantia" w:eastAsiaTheme="minorHAnsi" w:cstheme="minorHAnsi"/>
                <w:sz w:val="20"/>
              </w:rPr>
            </w:pPr>
          </w:p>
        </w:tc>
        <w:tc>
          <w:tcPr>
            <w:tcW w:w="554" w:type="pct"/>
            <w:shd w:val="clear" w:color="auto" w:fill="BBE3F3"/>
          </w:tcPr>
          <w:p w:rsidR="000E2990" w:rsidRPr="007A3F8C" w:rsidP="00DA46C1" w14:paraId="6D5F4BC6" w14:textId="77777777">
            <w:pPr>
              <w:pStyle w:val="TH-TableHeading"/>
            </w:pPr>
            <w:r>
              <w:t>Sample size</w:t>
            </w:r>
          </w:p>
        </w:tc>
        <w:tc>
          <w:tcPr>
            <w:tcW w:w="682" w:type="pct"/>
            <w:shd w:val="clear" w:color="auto" w:fill="BBE3F3"/>
          </w:tcPr>
          <w:p w:rsidR="000E2990" w:rsidRPr="007A3F8C" w:rsidP="00DA46C1" w14:paraId="7BEAE2A9" w14:textId="77777777">
            <w:pPr>
              <w:pStyle w:val="TH-TableHeading"/>
            </w:pPr>
            <w:r>
              <w:t>Target Completed interviews</w:t>
            </w:r>
          </w:p>
        </w:tc>
        <w:tc>
          <w:tcPr>
            <w:tcW w:w="504" w:type="pct"/>
            <w:shd w:val="clear" w:color="auto" w:fill="BBE3F3"/>
          </w:tcPr>
          <w:p w:rsidR="000E2990" w:rsidRPr="007A3F8C" w:rsidP="00DA46C1" w14:paraId="7D0677C9" w14:textId="77777777">
            <w:pPr>
              <w:pStyle w:val="TH-TableHeading"/>
            </w:pPr>
            <w:r>
              <w:t>Sample size</w:t>
            </w:r>
          </w:p>
        </w:tc>
        <w:tc>
          <w:tcPr>
            <w:tcW w:w="682" w:type="pct"/>
            <w:shd w:val="clear" w:color="auto" w:fill="BBE3F3"/>
          </w:tcPr>
          <w:p w:rsidR="000E2990" w:rsidRPr="007A3F8C" w:rsidP="00DA46C1" w14:paraId="7C2E46BD" w14:textId="77777777">
            <w:pPr>
              <w:pStyle w:val="TH-TableHeading"/>
            </w:pPr>
            <w:r>
              <w:t>Target Completed interviews</w:t>
            </w:r>
          </w:p>
        </w:tc>
        <w:tc>
          <w:tcPr>
            <w:tcW w:w="504" w:type="pct"/>
            <w:shd w:val="clear" w:color="auto" w:fill="BBE3F3"/>
          </w:tcPr>
          <w:p w:rsidR="000E2990" w:rsidRPr="007A3F8C" w:rsidP="00DA46C1" w14:paraId="165CB015" w14:textId="77777777">
            <w:pPr>
              <w:pStyle w:val="TH-TableHeading"/>
            </w:pPr>
            <w:r>
              <w:t>Sample size</w:t>
            </w:r>
          </w:p>
        </w:tc>
        <w:tc>
          <w:tcPr>
            <w:tcW w:w="625" w:type="pct"/>
            <w:shd w:val="clear" w:color="auto" w:fill="BBE3F3"/>
          </w:tcPr>
          <w:p w:rsidR="000E2990" w:rsidRPr="007A3F8C" w:rsidP="00DA46C1" w14:paraId="7CDBCCFF" w14:textId="77777777">
            <w:pPr>
              <w:pStyle w:val="TH-TableHeading"/>
            </w:pPr>
            <w:r>
              <w:t>Target Completed interviews</w:t>
            </w:r>
          </w:p>
        </w:tc>
      </w:tr>
      <w:tr w14:paraId="7F0B312A" w14:textId="77777777" w:rsidTr="00873741">
        <w:tblPrEx>
          <w:tblW w:w="4473" w:type="pct"/>
          <w:tblInd w:w="990" w:type="dxa"/>
          <w:tblLook w:val="04A0"/>
        </w:tblPrEx>
        <w:trPr>
          <w:trHeight w:val="20"/>
        </w:trPr>
        <w:tc>
          <w:tcPr>
            <w:tcW w:w="1448" w:type="pct"/>
          </w:tcPr>
          <w:p w:rsidR="000E2990" w:rsidRPr="00260668" w:rsidP="00DA46C1" w14:paraId="1A50E48A" w14:textId="77777777">
            <w:pPr>
              <w:pStyle w:val="TX-TableText"/>
              <w:rPr>
                <w:b/>
              </w:rPr>
            </w:pPr>
            <w:r>
              <w:rPr>
                <w:b/>
              </w:rPr>
              <w:t>Age categories</w:t>
            </w:r>
          </w:p>
        </w:tc>
        <w:tc>
          <w:tcPr>
            <w:tcW w:w="554" w:type="pct"/>
          </w:tcPr>
          <w:p w:rsidR="000E2990" w:rsidRPr="007A3F8C" w:rsidP="00DA46C1" w14:paraId="2C5C4B6A" w14:textId="77777777">
            <w:pPr>
              <w:pStyle w:val="TX-TableText"/>
            </w:pPr>
          </w:p>
        </w:tc>
        <w:tc>
          <w:tcPr>
            <w:tcW w:w="682" w:type="pct"/>
          </w:tcPr>
          <w:p w:rsidR="000E2990" w:rsidRPr="007A3F8C" w:rsidP="00DA46C1" w14:paraId="6BC5EDB5" w14:textId="77777777">
            <w:pPr>
              <w:pStyle w:val="TX-TableText"/>
            </w:pPr>
          </w:p>
        </w:tc>
        <w:tc>
          <w:tcPr>
            <w:tcW w:w="504" w:type="pct"/>
          </w:tcPr>
          <w:p w:rsidR="000E2990" w:rsidRPr="007A3F8C" w:rsidP="00DA46C1" w14:paraId="233D2E8B" w14:textId="77777777">
            <w:pPr>
              <w:pStyle w:val="TX-TableText"/>
            </w:pPr>
          </w:p>
        </w:tc>
        <w:tc>
          <w:tcPr>
            <w:tcW w:w="682" w:type="pct"/>
          </w:tcPr>
          <w:p w:rsidR="000E2990" w:rsidRPr="007A3F8C" w:rsidP="00DA46C1" w14:paraId="7D2F52A6" w14:textId="77777777">
            <w:pPr>
              <w:pStyle w:val="TX-TableText"/>
            </w:pPr>
          </w:p>
        </w:tc>
        <w:tc>
          <w:tcPr>
            <w:tcW w:w="504" w:type="pct"/>
          </w:tcPr>
          <w:p w:rsidR="000E2990" w:rsidRPr="007A3F8C" w:rsidP="00DA46C1" w14:paraId="1B82A770" w14:textId="77777777">
            <w:pPr>
              <w:pStyle w:val="TX-TableText"/>
            </w:pPr>
          </w:p>
        </w:tc>
        <w:tc>
          <w:tcPr>
            <w:tcW w:w="625" w:type="pct"/>
          </w:tcPr>
          <w:p w:rsidR="000E2990" w:rsidRPr="007A3F8C" w:rsidP="00DA46C1" w14:paraId="7E5E3459" w14:textId="77777777">
            <w:pPr>
              <w:pStyle w:val="TX-TableText"/>
            </w:pPr>
          </w:p>
        </w:tc>
      </w:tr>
      <w:tr w14:paraId="69EC4079" w14:textId="77777777" w:rsidTr="00873741">
        <w:tblPrEx>
          <w:tblW w:w="4473" w:type="pct"/>
          <w:tblInd w:w="990" w:type="dxa"/>
          <w:tblLook w:val="04A0"/>
        </w:tblPrEx>
        <w:trPr>
          <w:trHeight w:val="20"/>
        </w:trPr>
        <w:tc>
          <w:tcPr>
            <w:tcW w:w="1448" w:type="pct"/>
          </w:tcPr>
          <w:p w:rsidR="000E2990" w:rsidRPr="00260668" w:rsidP="00DA46C1" w14:paraId="6B6A1BC1" w14:textId="77777777">
            <w:pPr>
              <w:pStyle w:val="TX-TableText"/>
              <w:ind w:left="150"/>
            </w:pPr>
            <w:r w:rsidRPr="00260668">
              <w:t>18-29</w:t>
            </w:r>
          </w:p>
        </w:tc>
        <w:tc>
          <w:tcPr>
            <w:tcW w:w="554" w:type="pct"/>
            <w:vAlign w:val="top"/>
          </w:tcPr>
          <w:p w:rsidR="000E2990" w:rsidRPr="007A3F8C" w:rsidP="00DA46C1" w14:paraId="60B7B2EC" w14:textId="77777777">
            <w:pPr>
              <w:pStyle w:val="TX-TableText"/>
            </w:pPr>
            <w:r w:rsidRPr="00EB61EA">
              <w:t xml:space="preserve"> 1,000 </w:t>
            </w:r>
          </w:p>
        </w:tc>
        <w:tc>
          <w:tcPr>
            <w:tcW w:w="682" w:type="pct"/>
            <w:vAlign w:val="top"/>
          </w:tcPr>
          <w:p w:rsidR="000E2990" w:rsidRPr="007A3F8C" w:rsidP="00DA46C1" w14:paraId="0257F2A9" w14:textId="77777777">
            <w:pPr>
              <w:pStyle w:val="TX-TableText"/>
            </w:pPr>
            <w:r w:rsidRPr="00EB61EA">
              <w:t xml:space="preserve"> 800 </w:t>
            </w:r>
          </w:p>
        </w:tc>
        <w:tc>
          <w:tcPr>
            <w:tcW w:w="504" w:type="pct"/>
            <w:vAlign w:val="top"/>
          </w:tcPr>
          <w:p w:rsidR="000E2990" w:rsidRPr="007A3F8C" w:rsidP="00DA46C1" w14:paraId="0304F898" w14:textId="77777777">
            <w:pPr>
              <w:pStyle w:val="TX-TableText"/>
            </w:pPr>
            <w:r w:rsidRPr="00307CDB">
              <w:t xml:space="preserve"> 500 </w:t>
            </w:r>
          </w:p>
        </w:tc>
        <w:tc>
          <w:tcPr>
            <w:tcW w:w="682" w:type="pct"/>
            <w:vAlign w:val="top"/>
          </w:tcPr>
          <w:p w:rsidR="000E2990" w:rsidRPr="007A3F8C" w:rsidP="00DA46C1" w14:paraId="70C17F5D" w14:textId="77777777">
            <w:pPr>
              <w:pStyle w:val="TX-TableText"/>
            </w:pPr>
            <w:r w:rsidRPr="00307CDB">
              <w:t xml:space="preserve"> 400 </w:t>
            </w:r>
          </w:p>
        </w:tc>
        <w:tc>
          <w:tcPr>
            <w:tcW w:w="504" w:type="pct"/>
            <w:vAlign w:val="top"/>
          </w:tcPr>
          <w:p w:rsidR="000E2990" w:rsidRPr="007A3F8C" w:rsidP="00DA46C1" w14:paraId="4A4000B3" w14:textId="77777777">
            <w:pPr>
              <w:pStyle w:val="TX-TableText"/>
            </w:pPr>
            <w:r w:rsidRPr="00BC23F8">
              <w:t xml:space="preserve"> 500 </w:t>
            </w:r>
          </w:p>
        </w:tc>
        <w:tc>
          <w:tcPr>
            <w:tcW w:w="625" w:type="pct"/>
            <w:vAlign w:val="top"/>
          </w:tcPr>
          <w:p w:rsidR="000E2990" w:rsidRPr="007A3F8C" w:rsidP="00DA46C1" w14:paraId="1467B736" w14:textId="77777777">
            <w:pPr>
              <w:pStyle w:val="TX-TableText"/>
            </w:pPr>
            <w:r w:rsidRPr="00BC23F8">
              <w:t xml:space="preserve"> 400 </w:t>
            </w:r>
          </w:p>
        </w:tc>
      </w:tr>
      <w:tr w14:paraId="09ED8680" w14:textId="77777777" w:rsidTr="00873741">
        <w:tblPrEx>
          <w:tblW w:w="4473" w:type="pct"/>
          <w:tblInd w:w="990" w:type="dxa"/>
          <w:tblLook w:val="04A0"/>
        </w:tblPrEx>
        <w:trPr>
          <w:trHeight w:val="20"/>
        </w:trPr>
        <w:tc>
          <w:tcPr>
            <w:tcW w:w="1448" w:type="pct"/>
          </w:tcPr>
          <w:p w:rsidR="000E2990" w:rsidRPr="007A3F8C" w:rsidP="00DA46C1" w14:paraId="27724218" w14:textId="77777777">
            <w:pPr>
              <w:pStyle w:val="TX-TableText"/>
              <w:ind w:left="150"/>
            </w:pPr>
            <w:r>
              <w:t>30-39</w:t>
            </w:r>
          </w:p>
        </w:tc>
        <w:tc>
          <w:tcPr>
            <w:tcW w:w="554" w:type="pct"/>
            <w:vAlign w:val="top"/>
          </w:tcPr>
          <w:p w:rsidR="000E2990" w:rsidRPr="007A3F8C" w:rsidP="00DA46C1" w14:paraId="655E47EA" w14:textId="77777777">
            <w:pPr>
              <w:pStyle w:val="TX-TableText"/>
            </w:pPr>
            <w:r w:rsidRPr="00EB61EA">
              <w:t xml:space="preserve"> 600 </w:t>
            </w:r>
          </w:p>
        </w:tc>
        <w:tc>
          <w:tcPr>
            <w:tcW w:w="682" w:type="pct"/>
            <w:vAlign w:val="top"/>
          </w:tcPr>
          <w:p w:rsidR="000E2990" w:rsidRPr="007A3F8C" w:rsidP="00DA46C1" w14:paraId="6CF9DADC" w14:textId="77777777">
            <w:pPr>
              <w:pStyle w:val="TX-TableText"/>
            </w:pPr>
            <w:r w:rsidRPr="00EB61EA">
              <w:t xml:space="preserve"> 500 </w:t>
            </w:r>
          </w:p>
        </w:tc>
        <w:tc>
          <w:tcPr>
            <w:tcW w:w="504" w:type="pct"/>
            <w:vAlign w:val="top"/>
          </w:tcPr>
          <w:p w:rsidR="000E2990" w:rsidRPr="007A3F8C" w:rsidP="00DA46C1" w14:paraId="484E179E" w14:textId="77777777">
            <w:pPr>
              <w:pStyle w:val="TX-TableText"/>
            </w:pPr>
            <w:r w:rsidRPr="00307CDB">
              <w:t xml:space="preserve"> 313 </w:t>
            </w:r>
          </w:p>
        </w:tc>
        <w:tc>
          <w:tcPr>
            <w:tcW w:w="682" w:type="pct"/>
            <w:vAlign w:val="top"/>
          </w:tcPr>
          <w:p w:rsidR="000E2990" w:rsidRPr="007A3F8C" w:rsidP="00DA46C1" w14:paraId="76ECDF3D" w14:textId="77777777">
            <w:pPr>
              <w:pStyle w:val="TX-TableText"/>
            </w:pPr>
            <w:r w:rsidRPr="00307CDB">
              <w:t xml:space="preserve"> 250 </w:t>
            </w:r>
          </w:p>
        </w:tc>
        <w:tc>
          <w:tcPr>
            <w:tcW w:w="504" w:type="pct"/>
            <w:vAlign w:val="top"/>
          </w:tcPr>
          <w:p w:rsidR="000E2990" w:rsidRPr="007A3F8C" w:rsidP="00DA46C1" w14:paraId="783D1500" w14:textId="77777777">
            <w:pPr>
              <w:pStyle w:val="TX-TableText"/>
            </w:pPr>
            <w:r w:rsidRPr="00BC23F8">
              <w:t xml:space="preserve"> 313 </w:t>
            </w:r>
          </w:p>
        </w:tc>
        <w:tc>
          <w:tcPr>
            <w:tcW w:w="625" w:type="pct"/>
            <w:vAlign w:val="top"/>
          </w:tcPr>
          <w:p w:rsidR="000E2990" w:rsidRPr="007A3F8C" w:rsidP="00DA46C1" w14:paraId="5A5BAC4A" w14:textId="77777777">
            <w:pPr>
              <w:pStyle w:val="TX-TableText"/>
            </w:pPr>
            <w:r w:rsidRPr="00BC23F8">
              <w:t xml:space="preserve"> 250 </w:t>
            </w:r>
          </w:p>
        </w:tc>
      </w:tr>
      <w:tr w14:paraId="26EABF7D" w14:textId="77777777" w:rsidTr="00873741">
        <w:tblPrEx>
          <w:tblW w:w="4473" w:type="pct"/>
          <w:tblInd w:w="990" w:type="dxa"/>
          <w:tblLook w:val="04A0"/>
        </w:tblPrEx>
        <w:trPr>
          <w:trHeight w:val="20"/>
        </w:trPr>
        <w:tc>
          <w:tcPr>
            <w:tcW w:w="1448" w:type="pct"/>
          </w:tcPr>
          <w:p w:rsidR="000E2990" w:rsidRPr="007A3F8C" w:rsidP="00DA46C1" w14:paraId="784D9A63" w14:textId="77777777">
            <w:pPr>
              <w:pStyle w:val="TX-TableText"/>
              <w:ind w:left="150"/>
            </w:pPr>
            <w:r>
              <w:t>40-49</w:t>
            </w:r>
          </w:p>
        </w:tc>
        <w:tc>
          <w:tcPr>
            <w:tcW w:w="554" w:type="pct"/>
            <w:vAlign w:val="top"/>
          </w:tcPr>
          <w:p w:rsidR="000E2990" w:rsidRPr="007A3F8C" w:rsidP="00DA46C1" w14:paraId="5428C984" w14:textId="77777777">
            <w:pPr>
              <w:pStyle w:val="TX-TableText"/>
            </w:pPr>
            <w:r w:rsidRPr="00EB61EA">
              <w:t xml:space="preserve"> 600 </w:t>
            </w:r>
          </w:p>
        </w:tc>
        <w:tc>
          <w:tcPr>
            <w:tcW w:w="682" w:type="pct"/>
            <w:vAlign w:val="top"/>
          </w:tcPr>
          <w:p w:rsidR="000E2990" w:rsidRPr="007A3F8C" w:rsidP="00DA46C1" w14:paraId="3BC7A90A" w14:textId="77777777">
            <w:pPr>
              <w:pStyle w:val="TX-TableText"/>
            </w:pPr>
            <w:r w:rsidRPr="00EB61EA">
              <w:t xml:space="preserve"> 500 </w:t>
            </w:r>
          </w:p>
        </w:tc>
        <w:tc>
          <w:tcPr>
            <w:tcW w:w="504" w:type="pct"/>
            <w:vAlign w:val="top"/>
          </w:tcPr>
          <w:p w:rsidR="000E2990" w:rsidRPr="007A3F8C" w:rsidP="00DA46C1" w14:paraId="75ACC789" w14:textId="77777777">
            <w:pPr>
              <w:pStyle w:val="TX-TableText"/>
            </w:pPr>
            <w:r w:rsidRPr="00307CDB">
              <w:t xml:space="preserve"> 313 </w:t>
            </w:r>
          </w:p>
        </w:tc>
        <w:tc>
          <w:tcPr>
            <w:tcW w:w="682" w:type="pct"/>
            <w:vAlign w:val="top"/>
          </w:tcPr>
          <w:p w:rsidR="000E2990" w:rsidRPr="007A3F8C" w:rsidP="00DA46C1" w14:paraId="006FC9FC" w14:textId="77777777">
            <w:pPr>
              <w:pStyle w:val="TX-TableText"/>
            </w:pPr>
            <w:r w:rsidRPr="00307CDB">
              <w:t xml:space="preserve"> 250 </w:t>
            </w:r>
          </w:p>
        </w:tc>
        <w:tc>
          <w:tcPr>
            <w:tcW w:w="504" w:type="pct"/>
            <w:vAlign w:val="top"/>
          </w:tcPr>
          <w:p w:rsidR="000E2990" w:rsidRPr="007A3F8C" w:rsidP="00DA46C1" w14:paraId="5BA47BB9" w14:textId="77777777">
            <w:pPr>
              <w:pStyle w:val="TX-TableText"/>
            </w:pPr>
            <w:r w:rsidRPr="00BC23F8">
              <w:t xml:space="preserve"> 313 </w:t>
            </w:r>
          </w:p>
        </w:tc>
        <w:tc>
          <w:tcPr>
            <w:tcW w:w="625" w:type="pct"/>
            <w:vAlign w:val="top"/>
          </w:tcPr>
          <w:p w:rsidR="000E2990" w:rsidRPr="007A3F8C" w:rsidP="00DA46C1" w14:paraId="502B445F" w14:textId="77777777">
            <w:pPr>
              <w:pStyle w:val="TX-TableText"/>
            </w:pPr>
            <w:r w:rsidRPr="00BC23F8">
              <w:t xml:space="preserve"> 250 </w:t>
            </w:r>
          </w:p>
        </w:tc>
      </w:tr>
      <w:tr w14:paraId="2F5DE581" w14:textId="77777777" w:rsidTr="00873741">
        <w:tblPrEx>
          <w:tblW w:w="4473" w:type="pct"/>
          <w:tblInd w:w="990" w:type="dxa"/>
          <w:tblLook w:val="04A0"/>
        </w:tblPrEx>
        <w:trPr>
          <w:trHeight w:val="20"/>
        </w:trPr>
        <w:tc>
          <w:tcPr>
            <w:tcW w:w="1448" w:type="pct"/>
          </w:tcPr>
          <w:p w:rsidR="000E2990" w:rsidP="00DA46C1" w14:paraId="16C0E31F" w14:textId="77777777">
            <w:pPr>
              <w:pStyle w:val="TX-TableText"/>
              <w:ind w:left="150"/>
            </w:pPr>
            <w:r>
              <w:t>50-64</w:t>
            </w:r>
          </w:p>
        </w:tc>
        <w:tc>
          <w:tcPr>
            <w:tcW w:w="554" w:type="pct"/>
            <w:vAlign w:val="top"/>
          </w:tcPr>
          <w:p w:rsidR="000E2990" w:rsidRPr="007A3F8C" w:rsidP="00DA46C1" w14:paraId="00D5E565" w14:textId="77777777">
            <w:pPr>
              <w:pStyle w:val="TX-TableText"/>
            </w:pPr>
            <w:r w:rsidRPr="00EB61EA">
              <w:t xml:space="preserve"> 600 </w:t>
            </w:r>
          </w:p>
        </w:tc>
        <w:tc>
          <w:tcPr>
            <w:tcW w:w="682" w:type="pct"/>
            <w:vAlign w:val="top"/>
          </w:tcPr>
          <w:p w:rsidR="000E2990" w:rsidRPr="007A3F8C" w:rsidP="00DA46C1" w14:paraId="28CE11F5" w14:textId="77777777">
            <w:pPr>
              <w:pStyle w:val="TX-TableText"/>
            </w:pPr>
            <w:r w:rsidRPr="00EB61EA">
              <w:t xml:space="preserve"> 200 </w:t>
            </w:r>
          </w:p>
        </w:tc>
        <w:tc>
          <w:tcPr>
            <w:tcW w:w="504" w:type="pct"/>
            <w:vAlign w:val="top"/>
          </w:tcPr>
          <w:p w:rsidR="000E2990" w:rsidRPr="007A3F8C" w:rsidP="00DA46C1" w14:paraId="0493BBAD" w14:textId="77777777">
            <w:pPr>
              <w:pStyle w:val="TX-TableText"/>
            </w:pPr>
            <w:r w:rsidRPr="00307CDB">
              <w:t xml:space="preserve"> 125 </w:t>
            </w:r>
          </w:p>
        </w:tc>
        <w:tc>
          <w:tcPr>
            <w:tcW w:w="682" w:type="pct"/>
            <w:vAlign w:val="top"/>
          </w:tcPr>
          <w:p w:rsidR="000E2990" w:rsidRPr="007A3F8C" w:rsidP="00DA46C1" w14:paraId="32938865" w14:textId="77777777">
            <w:pPr>
              <w:pStyle w:val="TX-TableText"/>
            </w:pPr>
            <w:r w:rsidRPr="00307CDB">
              <w:t xml:space="preserve"> 100 </w:t>
            </w:r>
          </w:p>
        </w:tc>
        <w:tc>
          <w:tcPr>
            <w:tcW w:w="504" w:type="pct"/>
            <w:vAlign w:val="top"/>
          </w:tcPr>
          <w:p w:rsidR="000E2990" w:rsidRPr="007A3F8C" w:rsidP="00DA46C1" w14:paraId="60E450C9" w14:textId="77777777">
            <w:pPr>
              <w:pStyle w:val="TX-TableText"/>
            </w:pPr>
            <w:r w:rsidRPr="00BC23F8">
              <w:t xml:space="preserve"> 125 </w:t>
            </w:r>
          </w:p>
        </w:tc>
        <w:tc>
          <w:tcPr>
            <w:tcW w:w="625" w:type="pct"/>
            <w:vAlign w:val="top"/>
          </w:tcPr>
          <w:p w:rsidR="000E2990" w:rsidRPr="007A3F8C" w:rsidP="00DA46C1" w14:paraId="31FC1928" w14:textId="77777777">
            <w:pPr>
              <w:pStyle w:val="TX-TableText"/>
            </w:pPr>
            <w:r w:rsidRPr="00BC23F8">
              <w:t xml:space="preserve"> 100 </w:t>
            </w:r>
          </w:p>
        </w:tc>
      </w:tr>
      <w:tr w14:paraId="0151F467" w14:textId="77777777" w:rsidTr="00873741">
        <w:tblPrEx>
          <w:tblW w:w="4473" w:type="pct"/>
          <w:tblInd w:w="990" w:type="dxa"/>
          <w:tblLook w:val="04A0"/>
        </w:tblPrEx>
        <w:trPr>
          <w:trHeight w:val="20"/>
        </w:trPr>
        <w:tc>
          <w:tcPr>
            <w:tcW w:w="1448" w:type="pct"/>
          </w:tcPr>
          <w:p w:rsidR="000E2990" w:rsidRPr="00A41C67" w:rsidP="00DA46C1" w14:paraId="403A54C3" w14:textId="77777777">
            <w:pPr>
              <w:pStyle w:val="TX-TableText"/>
              <w:rPr>
                <w:b/>
              </w:rPr>
            </w:pPr>
            <w:r w:rsidRPr="00A41C67">
              <w:rPr>
                <w:b/>
              </w:rPr>
              <w:t>Benefit status</w:t>
            </w:r>
          </w:p>
        </w:tc>
        <w:tc>
          <w:tcPr>
            <w:tcW w:w="554" w:type="pct"/>
          </w:tcPr>
          <w:p w:rsidR="000E2990" w:rsidRPr="007A3F8C" w:rsidP="00DA46C1" w14:paraId="18D2A0F2" w14:textId="77777777">
            <w:pPr>
              <w:pStyle w:val="TX-TableText"/>
            </w:pPr>
          </w:p>
        </w:tc>
        <w:tc>
          <w:tcPr>
            <w:tcW w:w="682" w:type="pct"/>
          </w:tcPr>
          <w:p w:rsidR="000E2990" w:rsidRPr="007A3F8C" w:rsidP="00DA46C1" w14:paraId="6375312A" w14:textId="77777777">
            <w:pPr>
              <w:pStyle w:val="TX-TableText"/>
            </w:pPr>
          </w:p>
        </w:tc>
        <w:tc>
          <w:tcPr>
            <w:tcW w:w="504" w:type="pct"/>
          </w:tcPr>
          <w:p w:rsidR="000E2990" w:rsidRPr="007A3F8C" w:rsidP="00DA46C1" w14:paraId="21EBFC84" w14:textId="77777777">
            <w:pPr>
              <w:pStyle w:val="TX-TableText"/>
            </w:pPr>
          </w:p>
        </w:tc>
        <w:tc>
          <w:tcPr>
            <w:tcW w:w="682" w:type="pct"/>
          </w:tcPr>
          <w:p w:rsidR="000E2990" w:rsidRPr="007A3F8C" w:rsidP="00DA46C1" w14:paraId="754308C6" w14:textId="77777777">
            <w:pPr>
              <w:pStyle w:val="TX-TableText"/>
            </w:pPr>
          </w:p>
        </w:tc>
        <w:tc>
          <w:tcPr>
            <w:tcW w:w="504" w:type="pct"/>
          </w:tcPr>
          <w:p w:rsidR="000E2990" w:rsidRPr="007A3F8C" w:rsidP="00DA46C1" w14:paraId="27B4964F" w14:textId="77777777">
            <w:pPr>
              <w:pStyle w:val="TX-TableText"/>
            </w:pPr>
          </w:p>
        </w:tc>
        <w:tc>
          <w:tcPr>
            <w:tcW w:w="625" w:type="pct"/>
          </w:tcPr>
          <w:p w:rsidR="000E2990" w:rsidRPr="007A3F8C" w:rsidP="00DA46C1" w14:paraId="55F70A46" w14:textId="77777777">
            <w:pPr>
              <w:pStyle w:val="TX-TableText"/>
            </w:pPr>
          </w:p>
        </w:tc>
      </w:tr>
      <w:tr w14:paraId="066F64A6" w14:textId="77777777" w:rsidTr="00873741">
        <w:tblPrEx>
          <w:tblW w:w="4473" w:type="pct"/>
          <w:tblInd w:w="990" w:type="dxa"/>
          <w:tblLook w:val="04A0"/>
        </w:tblPrEx>
        <w:trPr>
          <w:trHeight w:val="20"/>
        </w:trPr>
        <w:tc>
          <w:tcPr>
            <w:tcW w:w="1448" w:type="pct"/>
          </w:tcPr>
          <w:p w:rsidR="000E2990" w:rsidP="00DA46C1" w14:paraId="4019C625" w14:textId="77777777">
            <w:pPr>
              <w:pStyle w:val="TX-TableText"/>
              <w:ind w:firstLine="150"/>
            </w:pPr>
            <w:r>
              <w:t>SSI and concurrent</w:t>
            </w:r>
          </w:p>
        </w:tc>
        <w:tc>
          <w:tcPr>
            <w:tcW w:w="554" w:type="pct"/>
            <w:vAlign w:val="top"/>
          </w:tcPr>
          <w:p w:rsidR="000E2990" w:rsidRPr="007A3F8C" w:rsidP="00DA46C1" w14:paraId="37D35229" w14:textId="77777777">
            <w:pPr>
              <w:pStyle w:val="TX-TableText"/>
            </w:pPr>
            <w:r w:rsidRPr="00FD5320">
              <w:t xml:space="preserve"> 1,000 </w:t>
            </w:r>
          </w:p>
        </w:tc>
        <w:tc>
          <w:tcPr>
            <w:tcW w:w="682" w:type="pct"/>
            <w:vAlign w:val="top"/>
          </w:tcPr>
          <w:p w:rsidR="000E2990" w:rsidRPr="007A3F8C" w:rsidP="00DA46C1" w14:paraId="4103B03B" w14:textId="77777777">
            <w:pPr>
              <w:pStyle w:val="TX-TableText"/>
            </w:pPr>
            <w:r w:rsidRPr="00FD5320">
              <w:t xml:space="preserve"> 800 </w:t>
            </w:r>
          </w:p>
        </w:tc>
        <w:tc>
          <w:tcPr>
            <w:tcW w:w="504" w:type="pct"/>
            <w:vAlign w:val="top"/>
          </w:tcPr>
          <w:p w:rsidR="000E2990" w:rsidRPr="007A3F8C" w:rsidP="00DA46C1" w14:paraId="458CB042" w14:textId="77777777">
            <w:pPr>
              <w:pStyle w:val="TX-TableText"/>
            </w:pPr>
            <w:r w:rsidRPr="00861386">
              <w:t xml:space="preserve"> 500 </w:t>
            </w:r>
          </w:p>
        </w:tc>
        <w:tc>
          <w:tcPr>
            <w:tcW w:w="682" w:type="pct"/>
            <w:vAlign w:val="top"/>
          </w:tcPr>
          <w:p w:rsidR="000E2990" w:rsidRPr="007A3F8C" w:rsidP="00DA46C1" w14:paraId="4152B23D" w14:textId="77777777">
            <w:pPr>
              <w:pStyle w:val="TX-TableText"/>
            </w:pPr>
            <w:r w:rsidRPr="00861386">
              <w:t xml:space="preserve"> 400 </w:t>
            </w:r>
          </w:p>
        </w:tc>
        <w:tc>
          <w:tcPr>
            <w:tcW w:w="504" w:type="pct"/>
            <w:vAlign w:val="top"/>
          </w:tcPr>
          <w:p w:rsidR="000E2990" w:rsidRPr="007A3F8C" w:rsidP="00DA46C1" w14:paraId="1C8C94F8" w14:textId="77777777">
            <w:pPr>
              <w:pStyle w:val="TX-TableText"/>
            </w:pPr>
            <w:r w:rsidRPr="000B6B20">
              <w:t xml:space="preserve"> 500 </w:t>
            </w:r>
          </w:p>
        </w:tc>
        <w:tc>
          <w:tcPr>
            <w:tcW w:w="625" w:type="pct"/>
            <w:vAlign w:val="top"/>
          </w:tcPr>
          <w:p w:rsidR="000E2990" w:rsidRPr="007A3F8C" w:rsidP="00DA46C1" w14:paraId="583BBA85" w14:textId="77777777">
            <w:pPr>
              <w:pStyle w:val="TX-TableText"/>
            </w:pPr>
            <w:r w:rsidRPr="000B6B20">
              <w:t xml:space="preserve"> 400 </w:t>
            </w:r>
          </w:p>
        </w:tc>
      </w:tr>
      <w:tr w14:paraId="432D4DC1" w14:textId="77777777" w:rsidTr="00873741">
        <w:tblPrEx>
          <w:tblW w:w="4473" w:type="pct"/>
          <w:tblInd w:w="990" w:type="dxa"/>
          <w:tblLook w:val="04A0"/>
        </w:tblPrEx>
        <w:trPr>
          <w:trHeight w:val="20"/>
        </w:trPr>
        <w:tc>
          <w:tcPr>
            <w:tcW w:w="1448" w:type="pct"/>
          </w:tcPr>
          <w:p w:rsidR="000E2990" w:rsidP="00DA46C1" w14:paraId="7A74F018" w14:textId="77777777">
            <w:pPr>
              <w:pStyle w:val="TX-TableText"/>
              <w:ind w:firstLine="150"/>
            </w:pPr>
            <w:r>
              <w:t>SSDI</w:t>
            </w:r>
          </w:p>
        </w:tc>
        <w:tc>
          <w:tcPr>
            <w:tcW w:w="554" w:type="pct"/>
            <w:vAlign w:val="top"/>
          </w:tcPr>
          <w:p w:rsidR="000E2990" w:rsidRPr="007A3F8C" w:rsidP="00DA46C1" w14:paraId="732BC6F8" w14:textId="77777777">
            <w:pPr>
              <w:pStyle w:val="TX-TableText"/>
            </w:pPr>
            <w:r w:rsidRPr="00FD5320">
              <w:t xml:space="preserve"> 1,500 </w:t>
            </w:r>
          </w:p>
        </w:tc>
        <w:tc>
          <w:tcPr>
            <w:tcW w:w="682" w:type="pct"/>
            <w:vAlign w:val="top"/>
          </w:tcPr>
          <w:p w:rsidR="000E2990" w:rsidRPr="007A3F8C" w:rsidP="00DA46C1" w14:paraId="717D1AD7" w14:textId="77777777">
            <w:pPr>
              <w:pStyle w:val="TX-TableText"/>
            </w:pPr>
            <w:r w:rsidRPr="00FD5320">
              <w:t xml:space="preserve"> 1,200 </w:t>
            </w:r>
          </w:p>
        </w:tc>
        <w:tc>
          <w:tcPr>
            <w:tcW w:w="504" w:type="pct"/>
            <w:vAlign w:val="top"/>
          </w:tcPr>
          <w:p w:rsidR="000E2990" w:rsidRPr="007A3F8C" w:rsidP="00DA46C1" w14:paraId="677BA8F5" w14:textId="77777777">
            <w:pPr>
              <w:pStyle w:val="TX-TableText"/>
            </w:pPr>
            <w:r w:rsidRPr="00861386">
              <w:t xml:space="preserve"> 750 </w:t>
            </w:r>
          </w:p>
        </w:tc>
        <w:tc>
          <w:tcPr>
            <w:tcW w:w="682" w:type="pct"/>
            <w:vAlign w:val="top"/>
          </w:tcPr>
          <w:p w:rsidR="000E2990" w:rsidRPr="007A3F8C" w:rsidP="00DA46C1" w14:paraId="0E0DACC7" w14:textId="77777777">
            <w:pPr>
              <w:pStyle w:val="TX-TableText"/>
            </w:pPr>
            <w:r w:rsidRPr="00861386">
              <w:t xml:space="preserve"> 600 </w:t>
            </w:r>
          </w:p>
        </w:tc>
        <w:tc>
          <w:tcPr>
            <w:tcW w:w="504" w:type="pct"/>
            <w:vAlign w:val="top"/>
          </w:tcPr>
          <w:p w:rsidR="000E2990" w:rsidRPr="007A3F8C" w:rsidP="00DA46C1" w14:paraId="3DAA05BE" w14:textId="77777777">
            <w:pPr>
              <w:pStyle w:val="TX-TableText"/>
            </w:pPr>
            <w:r w:rsidRPr="000B6B20">
              <w:t xml:space="preserve"> 750 </w:t>
            </w:r>
          </w:p>
        </w:tc>
        <w:tc>
          <w:tcPr>
            <w:tcW w:w="625" w:type="pct"/>
            <w:vAlign w:val="top"/>
          </w:tcPr>
          <w:p w:rsidR="000E2990" w:rsidRPr="007A3F8C" w:rsidP="00DA46C1" w14:paraId="3EAB0D62" w14:textId="77777777">
            <w:pPr>
              <w:pStyle w:val="TX-TableText"/>
            </w:pPr>
            <w:r w:rsidRPr="000B6B20">
              <w:t xml:space="preserve"> 600 </w:t>
            </w:r>
          </w:p>
        </w:tc>
      </w:tr>
      <w:tr w14:paraId="43166D66" w14:textId="77777777" w:rsidTr="00873741">
        <w:tblPrEx>
          <w:tblW w:w="4473" w:type="pct"/>
          <w:tblInd w:w="990" w:type="dxa"/>
          <w:tblLook w:val="04A0"/>
        </w:tblPrEx>
        <w:trPr>
          <w:trHeight w:val="20"/>
        </w:trPr>
        <w:tc>
          <w:tcPr>
            <w:tcW w:w="1448" w:type="pct"/>
          </w:tcPr>
          <w:p w:rsidR="000E2990" w:rsidRPr="005D0C4A" w:rsidP="00DA46C1" w14:paraId="3C0CC732" w14:textId="77777777">
            <w:pPr>
              <w:pStyle w:val="TX-TableText"/>
              <w:rPr>
                <w:b/>
              </w:rPr>
            </w:pPr>
            <w:r w:rsidRPr="005D0C4A">
              <w:rPr>
                <w:b/>
              </w:rPr>
              <w:t>Geography</w:t>
            </w:r>
          </w:p>
        </w:tc>
        <w:tc>
          <w:tcPr>
            <w:tcW w:w="554" w:type="pct"/>
          </w:tcPr>
          <w:p w:rsidR="000E2990" w:rsidRPr="007A3F8C" w:rsidP="00DA46C1" w14:paraId="51429A16" w14:textId="77777777">
            <w:pPr>
              <w:pStyle w:val="TX-TableText"/>
            </w:pPr>
          </w:p>
        </w:tc>
        <w:tc>
          <w:tcPr>
            <w:tcW w:w="682" w:type="pct"/>
          </w:tcPr>
          <w:p w:rsidR="000E2990" w:rsidRPr="007A3F8C" w:rsidP="00DA46C1" w14:paraId="031E1E6E" w14:textId="77777777">
            <w:pPr>
              <w:pStyle w:val="TX-TableText"/>
            </w:pPr>
          </w:p>
        </w:tc>
        <w:tc>
          <w:tcPr>
            <w:tcW w:w="504" w:type="pct"/>
          </w:tcPr>
          <w:p w:rsidR="000E2990" w:rsidRPr="007A3F8C" w:rsidP="00DA46C1" w14:paraId="35820CAC" w14:textId="77777777">
            <w:pPr>
              <w:pStyle w:val="TX-TableText"/>
            </w:pPr>
          </w:p>
        </w:tc>
        <w:tc>
          <w:tcPr>
            <w:tcW w:w="682" w:type="pct"/>
          </w:tcPr>
          <w:p w:rsidR="000E2990" w:rsidRPr="007A3F8C" w:rsidP="00DA46C1" w14:paraId="592CEA7E" w14:textId="77777777">
            <w:pPr>
              <w:pStyle w:val="TX-TableText"/>
            </w:pPr>
          </w:p>
        </w:tc>
        <w:tc>
          <w:tcPr>
            <w:tcW w:w="504" w:type="pct"/>
          </w:tcPr>
          <w:p w:rsidR="000E2990" w:rsidRPr="007A3F8C" w:rsidP="00DA46C1" w14:paraId="2B2CC39C" w14:textId="77777777">
            <w:pPr>
              <w:pStyle w:val="TX-TableText"/>
            </w:pPr>
          </w:p>
        </w:tc>
        <w:tc>
          <w:tcPr>
            <w:tcW w:w="625" w:type="pct"/>
          </w:tcPr>
          <w:p w:rsidR="000E2990" w:rsidRPr="007A3F8C" w:rsidP="00DA46C1" w14:paraId="6F58F75C" w14:textId="77777777">
            <w:pPr>
              <w:pStyle w:val="TX-TableText"/>
            </w:pPr>
          </w:p>
        </w:tc>
      </w:tr>
      <w:tr w14:paraId="6BE5350C" w14:textId="77777777" w:rsidTr="00873741">
        <w:tblPrEx>
          <w:tblW w:w="4473" w:type="pct"/>
          <w:tblInd w:w="990" w:type="dxa"/>
          <w:tblLook w:val="04A0"/>
        </w:tblPrEx>
        <w:trPr>
          <w:trHeight w:val="20"/>
        </w:trPr>
        <w:tc>
          <w:tcPr>
            <w:tcW w:w="1448" w:type="pct"/>
          </w:tcPr>
          <w:p w:rsidR="000E2990" w:rsidP="00DA46C1" w14:paraId="4E6FA7F6" w14:textId="77777777">
            <w:pPr>
              <w:pStyle w:val="TX-TableText"/>
              <w:ind w:firstLine="150"/>
            </w:pPr>
            <w:r>
              <w:t>Urban</w:t>
            </w:r>
          </w:p>
        </w:tc>
        <w:tc>
          <w:tcPr>
            <w:tcW w:w="554" w:type="pct"/>
            <w:vAlign w:val="top"/>
          </w:tcPr>
          <w:p w:rsidR="000E2990" w:rsidRPr="007A3F8C" w:rsidP="00DA46C1" w14:paraId="2C8B7444" w14:textId="77777777">
            <w:pPr>
              <w:pStyle w:val="TX-TableText"/>
            </w:pPr>
            <w:r w:rsidRPr="00DC4252">
              <w:t xml:space="preserve"> 500 </w:t>
            </w:r>
          </w:p>
        </w:tc>
        <w:tc>
          <w:tcPr>
            <w:tcW w:w="682" w:type="pct"/>
            <w:vAlign w:val="top"/>
          </w:tcPr>
          <w:p w:rsidR="000E2990" w:rsidRPr="007A3F8C" w:rsidP="00DA46C1" w14:paraId="7CF81DC1" w14:textId="77777777">
            <w:pPr>
              <w:pStyle w:val="TX-TableText"/>
            </w:pPr>
            <w:r w:rsidRPr="00DC4252">
              <w:t xml:space="preserve"> 400 </w:t>
            </w:r>
          </w:p>
        </w:tc>
        <w:tc>
          <w:tcPr>
            <w:tcW w:w="504" w:type="pct"/>
            <w:vAlign w:val="top"/>
          </w:tcPr>
          <w:p w:rsidR="000E2990" w:rsidRPr="007A3F8C" w:rsidP="00DA46C1" w14:paraId="559A7923" w14:textId="77777777">
            <w:pPr>
              <w:pStyle w:val="TX-TableText"/>
            </w:pPr>
            <w:r w:rsidRPr="004C3478">
              <w:t xml:space="preserve"> 250 </w:t>
            </w:r>
          </w:p>
        </w:tc>
        <w:tc>
          <w:tcPr>
            <w:tcW w:w="682" w:type="pct"/>
            <w:vAlign w:val="top"/>
          </w:tcPr>
          <w:p w:rsidR="000E2990" w:rsidRPr="007A3F8C" w:rsidP="00DA46C1" w14:paraId="22260FA7" w14:textId="77777777">
            <w:pPr>
              <w:pStyle w:val="TX-TableText"/>
            </w:pPr>
            <w:r w:rsidRPr="004C3478">
              <w:t xml:space="preserve"> 200 </w:t>
            </w:r>
          </w:p>
        </w:tc>
        <w:tc>
          <w:tcPr>
            <w:tcW w:w="504" w:type="pct"/>
            <w:vAlign w:val="top"/>
          </w:tcPr>
          <w:p w:rsidR="000E2990" w:rsidRPr="007A3F8C" w:rsidP="00DA46C1" w14:paraId="29334EA3" w14:textId="77777777">
            <w:pPr>
              <w:pStyle w:val="TX-TableText"/>
            </w:pPr>
            <w:r w:rsidRPr="00456EAD">
              <w:t xml:space="preserve"> 250 </w:t>
            </w:r>
          </w:p>
        </w:tc>
        <w:tc>
          <w:tcPr>
            <w:tcW w:w="625" w:type="pct"/>
            <w:vAlign w:val="top"/>
          </w:tcPr>
          <w:p w:rsidR="000E2990" w:rsidRPr="007A3F8C" w:rsidP="00DA46C1" w14:paraId="305C9C4E" w14:textId="77777777">
            <w:pPr>
              <w:pStyle w:val="TX-TableText"/>
            </w:pPr>
            <w:r w:rsidRPr="00456EAD">
              <w:t xml:space="preserve"> 200 </w:t>
            </w:r>
          </w:p>
        </w:tc>
      </w:tr>
      <w:tr w14:paraId="053017EA" w14:textId="77777777" w:rsidTr="00873741">
        <w:tblPrEx>
          <w:tblW w:w="4473" w:type="pct"/>
          <w:tblInd w:w="990" w:type="dxa"/>
          <w:tblLook w:val="04A0"/>
        </w:tblPrEx>
        <w:trPr>
          <w:trHeight w:val="20"/>
        </w:trPr>
        <w:tc>
          <w:tcPr>
            <w:tcW w:w="1448" w:type="pct"/>
          </w:tcPr>
          <w:p w:rsidR="000E2990" w:rsidP="00DA46C1" w14:paraId="53310FF5" w14:textId="77777777">
            <w:pPr>
              <w:pStyle w:val="TX-TableText"/>
              <w:ind w:firstLine="150"/>
            </w:pPr>
            <w:r>
              <w:t>Rural</w:t>
            </w:r>
          </w:p>
        </w:tc>
        <w:tc>
          <w:tcPr>
            <w:tcW w:w="554" w:type="pct"/>
            <w:vAlign w:val="top"/>
          </w:tcPr>
          <w:p w:rsidR="000E2990" w:rsidRPr="007A3F8C" w:rsidP="00DA46C1" w14:paraId="1C3E1AEC" w14:textId="77777777">
            <w:pPr>
              <w:pStyle w:val="TX-TableText"/>
            </w:pPr>
            <w:r w:rsidRPr="00DC4252">
              <w:t xml:space="preserve"> 2,000 </w:t>
            </w:r>
          </w:p>
        </w:tc>
        <w:tc>
          <w:tcPr>
            <w:tcW w:w="682" w:type="pct"/>
            <w:vAlign w:val="top"/>
          </w:tcPr>
          <w:p w:rsidR="000E2990" w:rsidRPr="007A3F8C" w:rsidP="00DA46C1" w14:paraId="159B9F50" w14:textId="77777777">
            <w:pPr>
              <w:pStyle w:val="TX-TableText"/>
            </w:pPr>
            <w:r w:rsidRPr="00DC4252">
              <w:t xml:space="preserve"> 1,600 </w:t>
            </w:r>
          </w:p>
        </w:tc>
        <w:tc>
          <w:tcPr>
            <w:tcW w:w="504" w:type="pct"/>
            <w:vAlign w:val="top"/>
          </w:tcPr>
          <w:p w:rsidR="000E2990" w:rsidRPr="007A3F8C" w:rsidP="00DA46C1" w14:paraId="0E3B6FCC" w14:textId="77777777">
            <w:pPr>
              <w:pStyle w:val="TX-TableText"/>
            </w:pPr>
            <w:r w:rsidRPr="004C3478">
              <w:t xml:space="preserve"> 1,000 </w:t>
            </w:r>
          </w:p>
        </w:tc>
        <w:tc>
          <w:tcPr>
            <w:tcW w:w="682" w:type="pct"/>
            <w:vAlign w:val="top"/>
          </w:tcPr>
          <w:p w:rsidR="000E2990" w:rsidRPr="007A3F8C" w:rsidP="00DA46C1" w14:paraId="193C8D46" w14:textId="77777777">
            <w:pPr>
              <w:pStyle w:val="TX-TableText"/>
            </w:pPr>
            <w:r w:rsidRPr="004C3478">
              <w:t xml:space="preserve"> 800 </w:t>
            </w:r>
          </w:p>
        </w:tc>
        <w:tc>
          <w:tcPr>
            <w:tcW w:w="504" w:type="pct"/>
            <w:vAlign w:val="top"/>
          </w:tcPr>
          <w:p w:rsidR="000E2990" w:rsidRPr="007A3F8C" w:rsidP="00DA46C1" w14:paraId="430477B1" w14:textId="77777777">
            <w:pPr>
              <w:pStyle w:val="TX-TableText"/>
            </w:pPr>
            <w:r w:rsidRPr="00456EAD">
              <w:t xml:space="preserve"> 1,000 </w:t>
            </w:r>
          </w:p>
        </w:tc>
        <w:tc>
          <w:tcPr>
            <w:tcW w:w="625" w:type="pct"/>
            <w:vAlign w:val="top"/>
          </w:tcPr>
          <w:p w:rsidR="000E2990" w:rsidRPr="007A3F8C" w:rsidP="00DA46C1" w14:paraId="1D70A329" w14:textId="77777777">
            <w:pPr>
              <w:pStyle w:val="TX-TableText"/>
            </w:pPr>
            <w:r w:rsidRPr="00456EAD">
              <w:t xml:space="preserve"> 800 </w:t>
            </w:r>
          </w:p>
        </w:tc>
      </w:tr>
      <w:tr w14:paraId="70A1EC1F" w14:textId="77777777" w:rsidTr="00873741">
        <w:tblPrEx>
          <w:tblW w:w="4473" w:type="pct"/>
          <w:tblInd w:w="990" w:type="dxa"/>
          <w:tblLook w:val="04A0"/>
        </w:tblPrEx>
        <w:trPr>
          <w:trHeight w:val="20"/>
        </w:trPr>
        <w:tc>
          <w:tcPr>
            <w:tcW w:w="1448" w:type="pct"/>
          </w:tcPr>
          <w:p w:rsidR="000E2990" w:rsidRPr="00097B23" w:rsidP="00DA46C1" w14:paraId="21123271" w14:textId="77777777">
            <w:pPr>
              <w:pStyle w:val="TX-TableText"/>
              <w:rPr>
                <w:b/>
              </w:rPr>
            </w:pPr>
            <w:r w:rsidRPr="00097B23">
              <w:rPr>
                <w:b/>
              </w:rPr>
              <w:t>Primary diagnosis</w:t>
            </w:r>
          </w:p>
        </w:tc>
        <w:tc>
          <w:tcPr>
            <w:tcW w:w="554" w:type="pct"/>
          </w:tcPr>
          <w:p w:rsidR="000E2990" w:rsidRPr="007A3F8C" w:rsidP="00DA46C1" w14:paraId="5225E900" w14:textId="77777777">
            <w:pPr>
              <w:pStyle w:val="TX-TableText"/>
            </w:pPr>
          </w:p>
        </w:tc>
        <w:tc>
          <w:tcPr>
            <w:tcW w:w="682" w:type="pct"/>
          </w:tcPr>
          <w:p w:rsidR="000E2990" w:rsidRPr="007A3F8C" w:rsidP="00DA46C1" w14:paraId="13687793" w14:textId="77777777">
            <w:pPr>
              <w:pStyle w:val="TX-TableText"/>
            </w:pPr>
          </w:p>
        </w:tc>
        <w:tc>
          <w:tcPr>
            <w:tcW w:w="504" w:type="pct"/>
          </w:tcPr>
          <w:p w:rsidR="000E2990" w:rsidRPr="007A3F8C" w:rsidP="00DA46C1" w14:paraId="29BFFC53" w14:textId="77777777">
            <w:pPr>
              <w:pStyle w:val="TX-TableText"/>
            </w:pPr>
          </w:p>
        </w:tc>
        <w:tc>
          <w:tcPr>
            <w:tcW w:w="682" w:type="pct"/>
          </w:tcPr>
          <w:p w:rsidR="000E2990" w:rsidRPr="007A3F8C" w:rsidP="00DA46C1" w14:paraId="453FBF4A" w14:textId="77777777">
            <w:pPr>
              <w:pStyle w:val="TX-TableText"/>
            </w:pPr>
          </w:p>
        </w:tc>
        <w:tc>
          <w:tcPr>
            <w:tcW w:w="504" w:type="pct"/>
          </w:tcPr>
          <w:p w:rsidR="000E2990" w:rsidRPr="007A3F8C" w:rsidP="00DA46C1" w14:paraId="399A4A22" w14:textId="77777777">
            <w:pPr>
              <w:pStyle w:val="TX-TableText"/>
            </w:pPr>
          </w:p>
        </w:tc>
        <w:tc>
          <w:tcPr>
            <w:tcW w:w="625" w:type="pct"/>
          </w:tcPr>
          <w:p w:rsidR="000E2990" w:rsidRPr="007A3F8C" w:rsidP="00DA46C1" w14:paraId="6F1AC26E" w14:textId="77777777">
            <w:pPr>
              <w:pStyle w:val="TX-TableText"/>
            </w:pPr>
          </w:p>
        </w:tc>
      </w:tr>
      <w:tr w14:paraId="1F2AA14F" w14:textId="77777777" w:rsidTr="00873741">
        <w:tblPrEx>
          <w:tblW w:w="4473" w:type="pct"/>
          <w:tblInd w:w="990" w:type="dxa"/>
          <w:tblLook w:val="04A0"/>
        </w:tblPrEx>
        <w:trPr>
          <w:trHeight w:val="20"/>
        </w:trPr>
        <w:tc>
          <w:tcPr>
            <w:tcW w:w="1448" w:type="pct"/>
          </w:tcPr>
          <w:p w:rsidR="000E2990" w:rsidRPr="007A3F8C" w:rsidP="00DA46C1" w14:paraId="0EEC4C56" w14:textId="77777777">
            <w:pPr>
              <w:pStyle w:val="TX-TableText"/>
              <w:ind w:left="150"/>
            </w:pPr>
            <w:r>
              <w:t>Psychological (Affective, Schizoaffective, or Anxiety disorders)</w:t>
            </w:r>
          </w:p>
        </w:tc>
        <w:tc>
          <w:tcPr>
            <w:tcW w:w="554" w:type="pct"/>
            <w:vAlign w:val="top"/>
          </w:tcPr>
          <w:p w:rsidR="000E2990" w:rsidRPr="007A3F8C" w:rsidP="00DA46C1" w14:paraId="1A394873" w14:textId="77777777">
            <w:pPr>
              <w:pStyle w:val="TX-TableText"/>
            </w:pPr>
            <w:r w:rsidRPr="00BB4AA6">
              <w:t xml:space="preserve"> 813 </w:t>
            </w:r>
          </w:p>
        </w:tc>
        <w:tc>
          <w:tcPr>
            <w:tcW w:w="682" w:type="pct"/>
            <w:vAlign w:val="top"/>
          </w:tcPr>
          <w:p w:rsidR="000E2990" w:rsidRPr="007A3F8C" w:rsidP="00DA46C1" w14:paraId="229D2903" w14:textId="77777777">
            <w:pPr>
              <w:pStyle w:val="TX-TableText"/>
            </w:pPr>
            <w:r w:rsidRPr="00BB4AA6">
              <w:t xml:space="preserve"> 650 </w:t>
            </w:r>
          </w:p>
        </w:tc>
        <w:tc>
          <w:tcPr>
            <w:tcW w:w="504" w:type="pct"/>
            <w:vAlign w:val="top"/>
          </w:tcPr>
          <w:p w:rsidR="000E2990" w:rsidRPr="007A3F8C" w:rsidP="00DA46C1" w14:paraId="023B2BA4" w14:textId="77777777">
            <w:pPr>
              <w:pStyle w:val="TX-TableText"/>
            </w:pPr>
            <w:r w:rsidRPr="000B4465">
              <w:t xml:space="preserve"> 375 </w:t>
            </w:r>
          </w:p>
        </w:tc>
        <w:tc>
          <w:tcPr>
            <w:tcW w:w="682" w:type="pct"/>
            <w:vAlign w:val="top"/>
          </w:tcPr>
          <w:p w:rsidR="000E2990" w:rsidRPr="007A3F8C" w:rsidP="00DA46C1" w14:paraId="3305D3FF" w14:textId="77777777">
            <w:pPr>
              <w:pStyle w:val="TX-TableText"/>
            </w:pPr>
            <w:r w:rsidRPr="000B4465">
              <w:t xml:space="preserve"> 300 </w:t>
            </w:r>
          </w:p>
        </w:tc>
        <w:tc>
          <w:tcPr>
            <w:tcW w:w="504" w:type="pct"/>
            <w:vAlign w:val="top"/>
          </w:tcPr>
          <w:p w:rsidR="000E2990" w:rsidRPr="007A3F8C" w:rsidP="00DA46C1" w14:paraId="01A2B7EF" w14:textId="77777777">
            <w:pPr>
              <w:pStyle w:val="TX-TableText"/>
            </w:pPr>
            <w:r w:rsidRPr="003B10D9">
              <w:t xml:space="preserve"> 375 </w:t>
            </w:r>
          </w:p>
        </w:tc>
        <w:tc>
          <w:tcPr>
            <w:tcW w:w="625" w:type="pct"/>
            <w:vAlign w:val="top"/>
          </w:tcPr>
          <w:p w:rsidR="000E2990" w:rsidRPr="007A3F8C" w:rsidP="00DA46C1" w14:paraId="5A76EB38" w14:textId="77777777">
            <w:pPr>
              <w:pStyle w:val="TX-TableText"/>
            </w:pPr>
            <w:r w:rsidRPr="003B10D9">
              <w:t xml:space="preserve"> 300 </w:t>
            </w:r>
          </w:p>
        </w:tc>
      </w:tr>
      <w:tr w14:paraId="6B21FF19" w14:textId="77777777" w:rsidTr="00873741">
        <w:tblPrEx>
          <w:tblW w:w="4473" w:type="pct"/>
          <w:tblInd w:w="990" w:type="dxa"/>
          <w:tblLook w:val="04A0"/>
        </w:tblPrEx>
        <w:trPr>
          <w:trHeight w:val="20"/>
        </w:trPr>
        <w:tc>
          <w:tcPr>
            <w:tcW w:w="1448" w:type="pct"/>
          </w:tcPr>
          <w:p w:rsidR="000E2990" w:rsidRPr="007A3F8C" w:rsidP="00DA46C1" w14:paraId="417B0A19" w14:textId="77777777">
            <w:pPr>
              <w:pStyle w:val="TX-TableText"/>
              <w:ind w:left="150"/>
            </w:pPr>
            <w:r>
              <w:t>Musculoskeletal and back disorders</w:t>
            </w:r>
          </w:p>
        </w:tc>
        <w:tc>
          <w:tcPr>
            <w:tcW w:w="554" w:type="pct"/>
            <w:vAlign w:val="top"/>
          </w:tcPr>
          <w:p w:rsidR="000E2990" w:rsidRPr="007A3F8C" w:rsidP="00DA46C1" w14:paraId="283F35FA" w14:textId="77777777">
            <w:pPr>
              <w:pStyle w:val="TX-TableText"/>
            </w:pPr>
            <w:r w:rsidRPr="00BB4AA6">
              <w:t xml:space="preserve"> 813 </w:t>
            </w:r>
          </w:p>
        </w:tc>
        <w:tc>
          <w:tcPr>
            <w:tcW w:w="682" w:type="pct"/>
            <w:vAlign w:val="top"/>
          </w:tcPr>
          <w:p w:rsidR="000E2990" w:rsidRPr="007A3F8C" w:rsidP="00DA46C1" w14:paraId="1C0689F2" w14:textId="77777777">
            <w:pPr>
              <w:pStyle w:val="TX-TableText"/>
            </w:pPr>
            <w:r w:rsidRPr="00BB4AA6">
              <w:t xml:space="preserve"> 650 </w:t>
            </w:r>
          </w:p>
        </w:tc>
        <w:tc>
          <w:tcPr>
            <w:tcW w:w="504" w:type="pct"/>
            <w:vAlign w:val="top"/>
          </w:tcPr>
          <w:p w:rsidR="000E2990" w:rsidRPr="007A3F8C" w:rsidP="00DA46C1" w14:paraId="41E6BF63" w14:textId="77777777">
            <w:pPr>
              <w:pStyle w:val="TX-TableText"/>
            </w:pPr>
            <w:r w:rsidRPr="000B4465">
              <w:t xml:space="preserve"> 250 </w:t>
            </w:r>
          </w:p>
        </w:tc>
        <w:tc>
          <w:tcPr>
            <w:tcW w:w="682" w:type="pct"/>
            <w:vAlign w:val="top"/>
          </w:tcPr>
          <w:p w:rsidR="000E2990" w:rsidRPr="007A3F8C" w:rsidP="00DA46C1" w14:paraId="4C4914D4" w14:textId="77777777">
            <w:pPr>
              <w:pStyle w:val="TX-TableText"/>
            </w:pPr>
            <w:r w:rsidRPr="000B4465">
              <w:t xml:space="preserve"> 200 </w:t>
            </w:r>
          </w:p>
        </w:tc>
        <w:tc>
          <w:tcPr>
            <w:tcW w:w="504" w:type="pct"/>
            <w:vAlign w:val="top"/>
          </w:tcPr>
          <w:p w:rsidR="000E2990" w:rsidRPr="007A3F8C" w:rsidP="00DA46C1" w14:paraId="2AB0D705" w14:textId="77777777">
            <w:pPr>
              <w:pStyle w:val="TX-TableText"/>
            </w:pPr>
            <w:r w:rsidRPr="003B10D9">
              <w:t xml:space="preserve"> 250 </w:t>
            </w:r>
          </w:p>
        </w:tc>
        <w:tc>
          <w:tcPr>
            <w:tcW w:w="625" w:type="pct"/>
            <w:vAlign w:val="top"/>
          </w:tcPr>
          <w:p w:rsidR="000E2990" w:rsidRPr="007A3F8C" w:rsidP="00DA46C1" w14:paraId="5D3591AA" w14:textId="77777777">
            <w:pPr>
              <w:pStyle w:val="TX-TableText"/>
            </w:pPr>
            <w:r w:rsidRPr="003B10D9">
              <w:t xml:space="preserve"> 200 </w:t>
            </w:r>
          </w:p>
        </w:tc>
      </w:tr>
      <w:tr w14:paraId="4A06C926" w14:textId="77777777" w:rsidTr="00873741">
        <w:tblPrEx>
          <w:tblW w:w="4473" w:type="pct"/>
          <w:tblInd w:w="990" w:type="dxa"/>
          <w:tblLook w:val="04A0"/>
        </w:tblPrEx>
        <w:trPr>
          <w:trHeight w:val="20"/>
        </w:trPr>
        <w:tc>
          <w:tcPr>
            <w:tcW w:w="1448" w:type="pct"/>
          </w:tcPr>
          <w:p w:rsidR="000E2990" w:rsidRPr="007A3F8C" w:rsidP="00DA46C1" w14:paraId="124441D8" w14:textId="77777777">
            <w:pPr>
              <w:pStyle w:val="TX-TableText"/>
              <w:ind w:firstLine="150"/>
            </w:pPr>
            <w:r>
              <w:t>Other</w:t>
            </w:r>
          </w:p>
        </w:tc>
        <w:tc>
          <w:tcPr>
            <w:tcW w:w="554" w:type="pct"/>
            <w:vAlign w:val="top"/>
          </w:tcPr>
          <w:p w:rsidR="000E2990" w:rsidRPr="007A3F8C" w:rsidP="00DA46C1" w14:paraId="5F9EB456" w14:textId="77777777">
            <w:pPr>
              <w:pStyle w:val="TX-TableText"/>
            </w:pPr>
            <w:r w:rsidRPr="00BB4AA6">
              <w:t xml:space="preserve"> 875 </w:t>
            </w:r>
          </w:p>
        </w:tc>
        <w:tc>
          <w:tcPr>
            <w:tcW w:w="682" w:type="pct"/>
            <w:vAlign w:val="top"/>
          </w:tcPr>
          <w:p w:rsidR="000E2990" w:rsidRPr="007A3F8C" w:rsidP="00DA46C1" w14:paraId="66794246" w14:textId="77777777">
            <w:pPr>
              <w:pStyle w:val="TX-TableText"/>
            </w:pPr>
            <w:r w:rsidRPr="00BB4AA6">
              <w:t xml:space="preserve"> 700 </w:t>
            </w:r>
          </w:p>
        </w:tc>
        <w:tc>
          <w:tcPr>
            <w:tcW w:w="504" w:type="pct"/>
            <w:vAlign w:val="top"/>
          </w:tcPr>
          <w:p w:rsidR="000E2990" w:rsidRPr="007A3F8C" w:rsidP="00DA46C1" w14:paraId="54F05B02" w14:textId="77777777">
            <w:pPr>
              <w:pStyle w:val="TX-TableText"/>
            </w:pPr>
            <w:r w:rsidRPr="000B4465">
              <w:t xml:space="preserve"> 625 </w:t>
            </w:r>
          </w:p>
        </w:tc>
        <w:tc>
          <w:tcPr>
            <w:tcW w:w="682" w:type="pct"/>
            <w:vAlign w:val="top"/>
          </w:tcPr>
          <w:p w:rsidR="000E2990" w:rsidRPr="007A3F8C" w:rsidP="00DA46C1" w14:paraId="23E044EE" w14:textId="77777777">
            <w:pPr>
              <w:pStyle w:val="TX-TableText"/>
            </w:pPr>
            <w:r w:rsidRPr="000B4465">
              <w:t xml:space="preserve"> 500 </w:t>
            </w:r>
          </w:p>
        </w:tc>
        <w:tc>
          <w:tcPr>
            <w:tcW w:w="504" w:type="pct"/>
            <w:vAlign w:val="top"/>
          </w:tcPr>
          <w:p w:rsidR="000E2990" w:rsidRPr="007A3F8C" w:rsidP="00DA46C1" w14:paraId="6DC112D5" w14:textId="77777777">
            <w:pPr>
              <w:pStyle w:val="TX-TableText"/>
            </w:pPr>
            <w:r w:rsidRPr="003B10D9">
              <w:t xml:space="preserve"> 625 </w:t>
            </w:r>
          </w:p>
        </w:tc>
        <w:tc>
          <w:tcPr>
            <w:tcW w:w="625" w:type="pct"/>
            <w:vAlign w:val="top"/>
          </w:tcPr>
          <w:p w:rsidR="000E2990" w:rsidRPr="007A3F8C" w:rsidP="00DA46C1" w14:paraId="22FC744F" w14:textId="77777777">
            <w:pPr>
              <w:pStyle w:val="TX-TableText"/>
            </w:pPr>
            <w:r w:rsidRPr="003B10D9">
              <w:t xml:space="preserve"> 500 </w:t>
            </w:r>
          </w:p>
        </w:tc>
      </w:tr>
      <w:tr w14:paraId="58A2E524" w14:textId="77777777" w:rsidTr="00873741">
        <w:tblPrEx>
          <w:tblW w:w="4473" w:type="pct"/>
          <w:tblInd w:w="990" w:type="dxa"/>
          <w:tblLook w:val="04A0"/>
        </w:tblPrEx>
        <w:trPr>
          <w:trHeight w:val="20"/>
        </w:trPr>
        <w:tc>
          <w:tcPr>
            <w:tcW w:w="1448" w:type="pct"/>
          </w:tcPr>
          <w:p w:rsidR="000E2990" w:rsidRPr="00394664" w:rsidP="00DA46C1" w14:paraId="015F9777" w14:textId="77777777">
            <w:pPr>
              <w:pStyle w:val="TX-TableText"/>
              <w:ind w:hanging="30"/>
              <w:rPr>
                <w:b/>
              </w:rPr>
            </w:pPr>
            <w:r w:rsidRPr="00394664">
              <w:rPr>
                <w:b/>
              </w:rPr>
              <w:t>Likelihood to exit</w:t>
            </w:r>
          </w:p>
        </w:tc>
        <w:tc>
          <w:tcPr>
            <w:tcW w:w="554" w:type="pct"/>
            <w:vAlign w:val="top"/>
          </w:tcPr>
          <w:p w:rsidR="000E2990" w:rsidRPr="00BB4AA6" w:rsidP="00DA46C1" w14:paraId="4B426FD8" w14:textId="77777777">
            <w:pPr>
              <w:pStyle w:val="TX-TableText"/>
            </w:pPr>
          </w:p>
        </w:tc>
        <w:tc>
          <w:tcPr>
            <w:tcW w:w="682" w:type="pct"/>
            <w:vAlign w:val="top"/>
          </w:tcPr>
          <w:p w:rsidR="000E2990" w:rsidRPr="00BB4AA6" w:rsidP="00DA46C1" w14:paraId="4EC9937A" w14:textId="77777777">
            <w:pPr>
              <w:pStyle w:val="TX-TableText"/>
            </w:pPr>
          </w:p>
        </w:tc>
        <w:tc>
          <w:tcPr>
            <w:tcW w:w="504" w:type="pct"/>
            <w:vAlign w:val="top"/>
          </w:tcPr>
          <w:p w:rsidR="000E2990" w:rsidRPr="000B4465" w:rsidP="00DA46C1" w14:paraId="262B84BE" w14:textId="77777777">
            <w:pPr>
              <w:pStyle w:val="TX-TableText"/>
            </w:pPr>
          </w:p>
        </w:tc>
        <w:tc>
          <w:tcPr>
            <w:tcW w:w="682" w:type="pct"/>
            <w:vAlign w:val="top"/>
          </w:tcPr>
          <w:p w:rsidR="000E2990" w:rsidRPr="000B4465" w:rsidP="00DA46C1" w14:paraId="6E902332" w14:textId="77777777">
            <w:pPr>
              <w:pStyle w:val="TX-TableText"/>
            </w:pPr>
          </w:p>
        </w:tc>
        <w:tc>
          <w:tcPr>
            <w:tcW w:w="504" w:type="pct"/>
            <w:vAlign w:val="top"/>
          </w:tcPr>
          <w:p w:rsidR="000E2990" w:rsidRPr="003B10D9" w:rsidP="00DA46C1" w14:paraId="2AA31B85" w14:textId="77777777">
            <w:pPr>
              <w:pStyle w:val="TX-TableText"/>
            </w:pPr>
          </w:p>
        </w:tc>
        <w:tc>
          <w:tcPr>
            <w:tcW w:w="625" w:type="pct"/>
            <w:vAlign w:val="top"/>
          </w:tcPr>
          <w:p w:rsidR="000E2990" w:rsidRPr="003B10D9" w:rsidP="00DA46C1" w14:paraId="4E637596" w14:textId="77777777">
            <w:pPr>
              <w:pStyle w:val="TX-TableText"/>
            </w:pPr>
          </w:p>
        </w:tc>
      </w:tr>
      <w:tr w14:paraId="1A910E3A" w14:textId="77777777" w:rsidTr="00873741">
        <w:tblPrEx>
          <w:tblW w:w="4473" w:type="pct"/>
          <w:tblInd w:w="990" w:type="dxa"/>
          <w:tblLook w:val="04A0"/>
        </w:tblPrEx>
        <w:trPr>
          <w:trHeight w:val="20"/>
        </w:trPr>
        <w:tc>
          <w:tcPr>
            <w:tcW w:w="1448" w:type="pct"/>
          </w:tcPr>
          <w:p w:rsidR="000E2990" w:rsidP="00DA46C1" w14:paraId="7C3D7442" w14:textId="77777777">
            <w:pPr>
              <w:pStyle w:val="TX-TableText"/>
              <w:ind w:firstLine="150"/>
            </w:pPr>
            <w:r>
              <w:t>High</w:t>
            </w:r>
          </w:p>
        </w:tc>
        <w:tc>
          <w:tcPr>
            <w:tcW w:w="554" w:type="pct"/>
            <w:vAlign w:val="top"/>
          </w:tcPr>
          <w:p w:rsidR="000E2990" w:rsidRPr="00BB4AA6" w:rsidP="00DA46C1" w14:paraId="5CA2148A" w14:textId="77777777">
            <w:pPr>
              <w:pStyle w:val="TX-TableText"/>
            </w:pPr>
            <w:r w:rsidRPr="00B01838">
              <w:t xml:space="preserve"> 2,000 </w:t>
            </w:r>
          </w:p>
        </w:tc>
        <w:tc>
          <w:tcPr>
            <w:tcW w:w="682" w:type="pct"/>
            <w:vAlign w:val="top"/>
          </w:tcPr>
          <w:p w:rsidR="000E2990" w:rsidRPr="00BB4AA6" w:rsidP="00DA46C1" w14:paraId="50FAE90B" w14:textId="77777777">
            <w:pPr>
              <w:pStyle w:val="TX-TableText"/>
            </w:pPr>
            <w:r w:rsidRPr="00B01838">
              <w:t xml:space="preserve"> 1,600 </w:t>
            </w:r>
          </w:p>
        </w:tc>
        <w:tc>
          <w:tcPr>
            <w:tcW w:w="504" w:type="pct"/>
            <w:vAlign w:val="top"/>
          </w:tcPr>
          <w:p w:rsidR="000E2990" w:rsidRPr="000B4465" w:rsidP="00DA46C1" w14:paraId="44CB2EF3" w14:textId="77777777">
            <w:pPr>
              <w:pStyle w:val="TX-TableText"/>
            </w:pPr>
            <w:r>
              <w:t>--</w:t>
            </w:r>
          </w:p>
        </w:tc>
        <w:tc>
          <w:tcPr>
            <w:tcW w:w="682" w:type="pct"/>
            <w:vAlign w:val="top"/>
          </w:tcPr>
          <w:p w:rsidR="000E2990" w:rsidRPr="000B4465" w:rsidP="00DA46C1" w14:paraId="41D505F5" w14:textId="77777777">
            <w:pPr>
              <w:pStyle w:val="TX-TableText"/>
            </w:pPr>
            <w:r>
              <w:t>--</w:t>
            </w:r>
          </w:p>
        </w:tc>
        <w:tc>
          <w:tcPr>
            <w:tcW w:w="504" w:type="pct"/>
            <w:vAlign w:val="top"/>
          </w:tcPr>
          <w:p w:rsidR="000E2990" w:rsidRPr="003B10D9" w:rsidP="00DA46C1" w14:paraId="24524E24" w14:textId="77777777">
            <w:pPr>
              <w:pStyle w:val="TX-TableText"/>
            </w:pPr>
            <w:r>
              <w:t>--</w:t>
            </w:r>
          </w:p>
        </w:tc>
        <w:tc>
          <w:tcPr>
            <w:tcW w:w="625" w:type="pct"/>
            <w:vAlign w:val="top"/>
          </w:tcPr>
          <w:p w:rsidR="000E2990" w:rsidRPr="003B10D9" w:rsidP="00DA46C1" w14:paraId="048C6F28" w14:textId="77777777">
            <w:pPr>
              <w:pStyle w:val="TX-TableText"/>
            </w:pPr>
            <w:r>
              <w:t>--</w:t>
            </w:r>
          </w:p>
        </w:tc>
      </w:tr>
      <w:tr w14:paraId="3665A44C" w14:textId="77777777" w:rsidTr="00873741">
        <w:tblPrEx>
          <w:tblW w:w="4473" w:type="pct"/>
          <w:tblInd w:w="990" w:type="dxa"/>
          <w:tblLook w:val="04A0"/>
        </w:tblPrEx>
        <w:trPr>
          <w:trHeight w:val="20"/>
        </w:trPr>
        <w:tc>
          <w:tcPr>
            <w:tcW w:w="1448" w:type="pct"/>
          </w:tcPr>
          <w:p w:rsidR="000E2990" w:rsidP="00DA46C1" w14:paraId="49DB7F7E" w14:textId="77777777">
            <w:pPr>
              <w:pStyle w:val="TX-TableText"/>
              <w:ind w:firstLine="150"/>
            </w:pPr>
            <w:r>
              <w:t>Medium or low</w:t>
            </w:r>
          </w:p>
        </w:tc>
        <w:tc>
          <w:tcPr>
            <w:tcW w:w="554" w:type="pct"/>
            <w:vAlign w:val="top"/>
          </w:tcPr>
          <w:p w:rsidR="000E2990" w:rsidRPr="00BB4AA6" w:rsidP="00DA46C1" w14:paraId="04B6D600" w14:textId="77777777">
            <w:pPr>
              <w:pStyle w:val="TX-TableText"/>
            </w:pPr>
            <w:r w:rsidRPr="00B01838">
              <w:t xml:space="preserve"> 500 </w:t>
            </w:r>
          </w:p>
        </w:tc>
        <w:tc>
          <w:tcPr>
            <w:tcW w:w="682" w:type="pct"/>
            <w:vAlign w:val="top"/>
          </w:tcPr>
          <w:p w:rsidR="000E2990" w:rsidRPr="00BB4AA6" w:rsidP="00DA46C1" w14:paraId="753C6D94" w14:textId="77777777">
            <w:pPr>
              <w:pStyle w:val="TX-TableText"/>
            </w:pPr>
            <w:r w:rsidRPr="00B01838">
              <w:t xml:space="preserve"> 400 </w:t>
            </w:r>
          </w:p>
        </w:tc>
        <w:tc>
          <w:tcPr>
            <w:tcW w:w="504" w:type="pct"/>
            <w:vAlign w:val="top"/>
          </w:tcPr>
          <w:p w:rsidR="000E2990" w:rsidRPr="000B4465" w:rsidP="00DA46C1" w14:paraId="2A44ADB8" w14:textId="77777777">
            <w:pPr>
              <w:pStyle w:val="TX-TableText"/>
            </w:pPr>
            <w:r w:rsidRPr="00E46FDD">
              <w:t>--</w:t>
            </w:r>
          </w:p>
        </w:tc>
        <w:tc>
          <w:tcPr>
            <w:tcW w:w="682" w:type="pct"/>
            <w:vAlign w:val="top"/>
          </w:tcPr>
          <w:p w:rsidR="000E2990" w:rsidRPr="000B4465" w:rsidP="00DA46C1" w14:paraId="27C93580" w14:textId="77777777">
            <w:pPr>
              <w:pStyle w:val="TX-TableText"/>
            </w:pPr>
            <w:r w:rsidRPr="00E46FDD">
              <w:t>--</w:t>
            </w:r>
          </w:p>
        </w:tc>
        <w:tc>
          <w:tcPr>
            <w:tcW w:w="504" w:type="pct"/>
            <w:vAlign w:val="top"/>
          </w:tcPr>
          <w:p w:rsidR="000E2990" w:rsidRPr="003B10D9" w:rsidP="00DA46C1" w14:paraId="6D16382E" w14:textId="77777777">
            <w:pPr>
              <w:pStyle w:val="TX-TableText"/>
            </w:pPr>
            <w:r w:rsidRPr="00E46FDD">
              <w:t>--</w:t>
            </w:r>
          </w:p>
        </w:tc>
        <w:tc>
          <w:tcPr>
            <w:tcW w:w="625" w:type="pct"/>
            <w:vAlign w:val="top"/>
          </w:tcPr>
          <w:p w:rsidR="000E2990" w:rsidRPr="003B10D9" w:rsidP="00DA46C1" w14:paraId="08761DE6" w14:textId="77777777">
            <w:pPr>
              <w:pStyle w:val="TX-TableText"/>
            </w:pPr>
            <w:r w:rsidRPr="00E46FDD">
              <w:t>--</w:t>
            </w:r>
          </w:p>
        </w:tc>
      </w:tr>
    </w:tbl>
    <w:p w:rsidR="000E2990" w:rsidP="0014133F" w14:paraId="745CC3BC" w14:textId="77777777">
      <w:pPr>
        <w:pStyle w:val="Header"/>
        <w:tabs>
          <w:tab w:val="clear" w:pos="4320"/>
          <w:tab w:val="clear" w:pos="8640"/>
        </w:tabs>
        <w:ind w:left="990"/>
        <w:rPr>
          <w:rFonts w:ascii="Times New Roman" w:hAnsi="Times New Roman"/>
        </w:rPr>
      </w:pPr>
    </w:p>
    <w:p w:rsidR="000E2990" w:rsidRPr="000E2990" w:rsidP="001E6534" w14:paraId="25CDF21E" w14:textId="7CB07651">
      <w:pPr>
        <w:pStyle w:val="L1-FlLSp12"/>
        <w:ind w:left="990"/>
        <w:rPr>
          <w:rFonts w:ascii="Times New Roman" w:hAnsi="Times New Roman" w:cs="Times New Roman"/>
          <w:sz w:val="24"/>
          <w:szCs w:val="24"/>
        </w:rPr>
      </w:pPr>
      <w:r>
        <w:rPr>
          <w:rFonts w:ascii="Times New Roman" w:hAnsi="Times New Roman" w:cs="Times New Roman"/>
          <w:sz w:val="24"/>
          <w:szCs w:val="24"/>
        </w:rPr>
        <w:t>F</w:t>
      </w:r>
      <w:r w:rsidRPr="000E2990">
        <w:rPr>
          <w:rFonts w:ascii="Times New Roman" w:hAnsi="Times New Roman" w:cs="Times New Roman"/>
          <w:sz w:val="24"/>
          <w:szCs w:val="24"/>
        </w:rPr>
        <w:t xml:space="preserve">or each specific qualitative data collection activity, </w:t>
      </w:r>
      <w:r>
        <w:rPr>
          <w:rFonts w:ascii="Times New Roman" w:hAnsi="Times New Roman" w:cs="Times New Roman"/>
          <w:sz w:val="24"/>
          <w:szCs w:val="24"/>
        </w:rPr>
        <w:t>we will create subsamples</w:t>
      </w:r>
      <w:r w:rsidRPr="000E2990">
        <w:rPr>
          <w:rFonts w:ascii="Times New Roman" w:hAnsi="Times New Roman" w:cs="Times New Roman"/>
          <w:sz w:val="24"/>
          <w:szCs w:val="24"/>
        </w:rPr>
        <w:t xml:space="preserve"> with approximately three times the number of target</w:t>
      </w:r>
      <w:r w:rsidR="0018005A">
        <w:rPr>
          <w:rFonts w:ascii="Times New Roman" w:hAnsi="Times New Roman" w:cs="Times New Roman"/>
          <w:sz w:val="24"/>
          <w:szCs w:val="24"/>
        </w:rPr>
        <w:t>ed</w:t>
      </w:r>
      <w:r w:rsidRPr="000E2990">
        <w:rPr>
          <w:rFonts w:ascii="Times New Roman" w:hAnsi="Times New Roman" w:cs="Times New Roman"/>
          <w:sz w:val="24"/>
          <w:szCs w:val="24"/>
        </w:rPr>
        <w:t xml:space="preserve"> completes to account for nonresponse</w:t>
      </w:r>
      <w:r w:rsidR="0018005A">
        <w:rPr>
          <w:rFonts w:ascii="Times New Roman" w:hAnsi="Times New Roman" w:cs="Times New Roman"/>
          <w:sz w:val="24"/>
          <w:szCs w:val="24"/>
        </w:rPr>
        <w:t>s</w:t>
      </w:r>
      <w:r w:rsidRPr="000E2990">
        <w:rPr>
          <w:rFonts w:ascii="Times New Roman" w:hAnsi="Times New Roman" w:cs="Times New Roman"/>
          <w:sz w:val="24"/>
          <w:szCs w:val="24"/>
        </w:rPr>
        <w:t xml:space="preserve"> and </w:t>
      </w:r>
      <w:r w:rsidR="0018005A">
        <w:rPr>
          <w:rFonts w:ascii="Times New Roman" w:hAnsi="Times New Roman" w:cs="Times New Roman"/>
          <w:sz w:val="24"/>
          <w:szCs w:val="24"/>
        </w:rPr>
        <w:t xml:space="preserve">we will </w:t>
      </w:r>
      <w:r w:rsidRPr="000E2990">
        <w:rPr>
          <w:rFonts w:ascii="Times New Roman" w:hAnsi="Times New Roman" w:cs="Times New Roman"/>
          <w:sz w:val="24"/>
          <w:szCs w:val="24"/>
        </w:rPr>
        <w:t>randomly sample potential participants from these subsamples.</w:t>
      </w:r>
    </w:p>
    <w:p w:rsidR="000E2990" w:rsidRPr="000E2990" w:rsidP="001E6534" w14:paraId="68CE3540" w14:textId="111E0F93">
      <w:pPr>
        <w:pStyle w:val="L1-FlLSp12"/>
        <w:ind w:left="990"/>
        <w:rPr>
          <w:rFonts w:ascii="Times New Roman" w:hAnsi="Times New Roman" w:cs="Times New Roman"/>
          <w:sz w:val="24"/>
          <w:szCs w:val="24"/>
        </w:rPr>
      </w:pPr>
      <w:r w:rsidRPr="000E2990">
        <w:rPr>
          <w:rFonts w:ascii="Times New Roman" w:hAnsi="Times New Roman" w:cs="Times New Roman"/>
          <w:sz w:val="24"/>
          <w:szCs w:val="24"/>
        </w:rPr>
        <w:t>Exhibit 4</w:t>
      </w:r>
      <w:r w:rsidRPr="000E2990">
        <w:rPr>
          <w:rFonts w:ascii="Times New Roman" w:hAnsi="Times New Roman" w:cs="Times New Roman"/>
          <w:sz w:val="24"/>
          <w:szCs w:val="24"/>
        </w:rPr>
        <w:t xml:space="preserve"> summarizes our recruitment process for each of the other stakeholder focus groups and in-depth interviews.</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 In each case, we will develop the final sampling criteria in collaboration with SSA leadership. </w:t>
      </w:r>
    </w:p>
    <w:p w:rsidR="000E2990" w:rsidP="001E6534" w14:paraId="49DDB59C" w14:textId="77777777">
      <w:pPr>
        <w:pStyle w:val="ET-ExhibitTitle"/>
        <w:ind w:left="990" w:hanging="90"/>
      </w:pPr>
      <w:r>
        <w:t>Exhibit 4</w:t>
      </w:r>
      <w:r>
        <w:tab/>
        <w:t>Summary of stakeholder sampling</w:t>
      </w:r>
    </w:p>
    <w:tbl>
      <w:tblPr>
        <w:tblStyle w:val="D3Table-Blue"/>
        <w:tblW w:w="4621" w:type="pct"/>
        <w:tblInd w:w="715" w:type="dxa"/>
        <w:tblLayout w:type="fixed"/>
        <w:tblLook w:val="04A0"/>
      </w:tblPr>
      <w:tblGrid>
        <w:gridCol w:w="1410"/>
        <w:gridCol w:w="1739"/>
        <w:gridCol w:w="5492"/>
      </w:tblGrid>
      <w:tr w14:paraId="4EE17ED1" w14:textId="77777777" w:rsidTr="00873741">
        <w:tblPrEx>
          <w:tblW w:w="4621" w:type="pct"/>
          <w:tblInd w:w="715" w:type="dxa"/>
          <w:tblLayout w:type="fixed"/>
          <w:tblLook w:val="04A0"/>
        </w:tblPrEx>
        <w:trPr>
          <w:trHeight w:val="20"/>
        </w:trPr>
        <w:tc>
          <w:tcPr>
            <w:tcW w:w="816" w:type="pct"/>
          </w:tcPr>
          <w:p w:rsidR="000E2990" w:rsidRPr="005614CD" w:rsidP="001E6534" w14:paraId="598D07F3" w14:textId="77777777">
            <w:pPr>
              <w:pStyle w:val="TH-TableHeading"/>
              <w:ind w:left="990"/>
            </w:pPr>
          </w:p>
        </w:tc>
        <w:tc>
          <w:tcPr>
            <w:tcW w:w="1006" w:type="pct"/>
          </w:tcPr>
          <w:p w:rsidR="000E2990" w:rsidRPr="005614CD" w:rsidP="00C13AA6" w14:paraId="1276CCCC" w14:textId="77777777">
            <w:pPr>
              <w:pStyle w:val="TH-TableHeading"/>
              <w:ind w:left="94"/>
            </w:pPr>
            <w:r w:rsidRPr="005614CD">
              <w:t>Stakeho</w:t>
            </w:r>
            <w:r w:rsidRPr="005614CD">
              <w:t>lder</w:t>
            </w:r>
          </w:p>
        </w:tc>
        <w:tc>
          <w:tcPr>
            <w:tcW w:w="3177" w:type="pct"/>
          </w:tcPr>
          <w:p w:rsidR="000E2990" w:rsidRPr="005614CD" w:rsidP="001E6534" w14:paraId="729B6794" w14:textId="77777777">
            <w:pPr>
              <w:pStyle w:val="TH-TableHeading"/>
              <w:ind w:left="990"/>
            </w:pPr>
            <w:r>
              <w:t>Sampling n</w:t>
            </w:r>
            <w:r w:rsidRPr="005614CD">
              <w:t>otes</w:t>
            </w:r>
          </w:p>
        </w:tc>
      </w:tr>
      <w:tr w14:paraId="78C57242" w14:textId="77777777" w:rsidTr="00873741">
        <w:tblPrEx>
          <w:tblW w:w="4621" w:type="pct"/>
          <w:tblInd w:w="715" w:type="dxa"/>
          <w:tblLayout w:type="fixed"/>
          <w:tblLook w:val="04A0"/>
        </w:tblPrEx>
        <w:tc>
          <w:tcPr>
            <w:tcW w:w="816" w:type="pct"/>
          </w:tcPr>
          <w:p w:rsidR="000E2990" w:rsidRPr="009F2477" w:rsidP="001E6534" w14:paraId="3BCB010D" w14:textId="77777777">
            <w:pPr>
              <w:pStyle w:val="TX-TableText"/>
              <w:ind w:left="990"/>
              <w:rPr>
                <w:b/>
              </w:rPr>
            </w:pPr>
            <w:r w:rsidRPr="009F2477">
              <w:rPr>
                <w:b/>
              </w:rPr>
              <w:t>1</w:t>
            </w:r>
          </w:p>
        </w:tc>
        <w:tc>
          <w:tcPr>
            <w:tcW w:w="1006" w:type="pct"/>
          </w:tcPr>
          <w:p w:rsidR="000E2990" w:rsidRPr="009F2477" w:rsidP="00C13AA6" w14:paraId="75F4237D" w14:textId="77777777">
            <w:pPr>
              <w:pStyle w:val="TX-TableText"/>
              <w:ind w:left="94"/>
            </w:pPr>
            <w:r w:rsidRPr="009F2477">
              <w:t>Motivational Interviewers</w:t>
            </w:r>
          </w:p>
        </w:tc>
        <w:tc>
          <w:tcPr>
            <w:tcW w:w="3177" w:type="pct"/>
          </w:tcPr>
          <w:p w:rsidR="000E2990" w:rsidRPr="005614CD" w:rsidP="00C13AA6" w14:paraId="32027576" w14:textId="77777777">
            <w:pPr>
              <w:pStyle w:val="TB-TableBullet"/>
              <w:ind w:left="339" w:hanging="180"/>
            </w:pPr>
            <w:r w:rsidRPr="005614CD">
              <w:t>Participants include professionals trained in MI techniques and with at least two years of experience providing MI to participants with disabilities.</w:t>
            </w:r>
            <w:r>
              <w:t xml:space="preserve"> </w:t>
            </w:r>
          </w:p>
          <w:p w:rsidR="000E2990" w:rsidRPr="005614CD" w:rsidP="00C13AA6" w14:paraId="2360FDDF" w14:textId="77777777">
            <w:pPr>
              <w:pStyle w:val="TB-TableBullet"/>
              <w:ind w:left="339" w:hanging="180"/>
            </w:pPr>
            <w:r w:rsidRPr="005614CD">
              <w:t xml:space="preserve">Our sample includes up to five interviewers </w:t>
            </w:r>
            <w:r w:rsidRPr="005614CD">
              <w:t>featured in Westat</w:t>
            </w:r>
            <w:r>
              <w:t>’</w:t>
            </w:r>
            <w:r w:rsidRPr="005614CD">
              <w:t>s proposal, as well as vocational rehabilitation specialists and employment counselors recruited through our partners at CSAVR and NENA.</w:t>
            </w:r>
            <w:r>
              <w:t xml:space="preserve"> </w:t>
            </w:r>
          </w:p>
          <w:p w:rsidR="000E2990" w:rsidRPr="005614CD" w:rsidP="00C13AA6" w14:paraId="5AF80ADC" w14:textId="77777777">
            <w:pPr>
              <w:pStyle w:val="TB-TableBullet"/>
              <w:ind w:left="339" w:hanging="180"/>
            </w:pPr>
            <w:r w:rsidRPr="005614CD">
              <w:t>The mix of interviewers will be diverse in terms of experience and geographic location within the U</w:t>
            </w:r>
            <w:r w:rsidRPr="005614CD">
              <w:t>S</w:t>
            </w:r>
          </w:p>
        </w:tc>
      </w:tr>
      <w:tr w14:paraId="3D567A8D" w14:textId="77777777" w:rsidTr="00873741">
        <w:tblPrEx>
          <w:tblW w:w="4621" w:type="pct"/>
          <w:tblInd w:w="715" w:type="dxa"/>
          <w:tblLayout w:type="fixed"/>
          <w:tblLook w:val="04A0"/>
        </w:tblPrEx>
        <w:tc>
          <w:tcPr>
            <w:tcW w:w="816" w:type="pct"/>
          </w:tcPr>
          <w:p w:rsidR="000E2990" w:rsidRPr="009F2477" w:rsidP="001E6534" w14:paraId="49BD5419" w14:textId="77777777">
            <w:pPr>
              <w:pStyle w:val="TX-TableText"/>
              <w:ind w:left="990"/>
              <w:rPr>
                <w:b/>
              </w:rPr>
            </w:pPr>
            <w:r w:rsidRPr="009F2477">
              <w:rPr>
                <w:b/>
              </w:rPr>
              <w:t>2</w:t>
            </w:r>
          </w:p>
        </w:tc>
        <w:tc>
          <w:tcPr>
            <w:tcW w:w="1006" w:type="pct"/>
          </w:tcPr>
          <w:p w:rsidR="000E2990" w:rsidRPr="009F2477" w:rsidP="00C13AA6" w14:paraId="7F502250" w14:textId="77777777">
            <w:pPr>
              <w:pStyle w:val="TX-TableText"/>
              <w:ind w:left="94"/>
            </w:pPr>
            <w:r w:rsidRPr="009F2477">
              <w:t>Service Providers</w:t>
            </w:r>
          </w:p>
        </w:tc>
        <w:tc>
          <w:tcPr>
            <w:tcW w:w="3177" w:type="pct"/>
          </w:tcPr>
          <w:p w:rsidR="000E2990" w:rsidRPr="005614CD" w:rsidP="00C13AA6" w14:paraId="40415218" w14:textId="5023EE55">
            <w:pPr>
              <w:pStyle w:val="TB-TableBullet"/>
              <w:ind w:left="339" w:hanging="180"/>
            </w:pPr>
            <w:r w:rsidRPr="005614CD">
              <w:t>Participants will be experienced in working with individuals with disabilities</w:t>
            </w:r>
            <w:r w:rsidRPr="005614CD" w:rsidR="00004952">
              <w:t>.</w:t>
            </w:r>
            <w:r w:rsidR="00004952">
              <w:t xml:space="preserve">  </w:t>
            </w:r>
            <w:r w:rsidRPr="005614CD">
              <w:t xml:space="preserve">The group will be from a variety of </w:t>
            </w:r>
            <w:r>
              <w:t>s</w:t>
            </w:r>
            <w:r w:rsidRPr="005614CD">
              <w:t xml:space="preserve">tates and include a variety of service providers. </w:t>
            </w:r>
          </w:p>
          <w:p w:rsidR="000E2990" w:rsidRPr="005614CD" w:rsidP="00C13AA6" w14:paraId="24F74673" w14:textId="77777777">
            <w:pPr>
              <w:pStyle w:val="TB-TableBullet"/>
              <w:ind w:left="339" w:hanging="180"/>
            </w:pPr>
            <w:r w:rsidRPr="005614CD">
              <w:t xml:space="preserve">Our sample will include service providers nominated by our </w:t>
            </w:r>
            <w:r w:rsidRPr="005614CD">
              <w:t>partners at CSAVR, NENA, our provider networks from SED and the IPS Learning Community.</w:t>
            </w:r>
          </w:p>
        </w:tc>
      </w:tr>
      <w:tr w14:paraId="10832FCE" w14:textId="77777777" w:rsidTr="00873741">
        <w:tblPrEx>
          <w:tblW w:w="4621" w:type="pct"/>
          <w:tblInd w:w="715" w:type="dxa"/>
          <w:tblLayout w:type="fixed"/>
          <w:tblLook w:val="04A0"/>
        </w:tblPrEx>
        <w:tc>
          <w:tcPr>
            <w:tcW w:w="816" w:type="pct"/>
          </w:tcPr>
          <w:p w:rsidR="000E2990" w:rsidRPr="009F2477" w:rsidP="001E6534" w14:paraId="39A845B8" w14:textId="77777777">
            <w:pPr>
              <w:pStyle w:val="TX-TableText"/>
              <w:ind w:left="990"/>
              <w:rPr>
                <w:b/>
              </w:rPr>
            </w:pPr>
            <w:r w:rsidRPr="009F2477">
              <w:rPr>
                <w:b/>
              </w:rPr>
              <w:t>3</w:t>
            </w:r>
          </w:p>
        </w:tc>
        <w:tc>
          <w:tcPr>
            <w:tcW w:w="1006" w:type="pct"/>
          </w:tcPr>
          <w:p w:rsidR="000E2990" w:rsidRPr="009F2477" w:rsidP="00C13AA6" w14:paraId="07877D29" w14:textId="77777777">
            <w:pPr>
              <w:pStyle w:val="TX-TableText"/>
              <w:ind w:left="94"/>
            </w:pPr>
            <w:r w:rsidRPr="009F2477">
              <w:t>State Leaders</w:t>
            </w:r>
          </w:p>
        </w:tc>
        <w:tc>
          <w:tcPr>
            <w:tcW w:w="3177" w:type="pct"/>
          </w:tcPr>
          <w:p w:rsidR="000E2990" w:rsidRPr="005614CD" w:rsidP="00C13AA6" w14:paraId="73D95526" w14:textId="77777777">
            <w:pPr>
              <w:pStyle w:val="TB-TableBullet"/>
              <w:ind w:left="339" w:hanging="180"/>
            </w:pPr>
            <w:r w:rsidRPr="005614CD">
              <w:t>Participants employed by State Vocational Agencies and have experience in directing employment policy specific to individuals with disabilities.</w:t>
            </w:r>
            <w:r>
              <w:t xml:space="preserve"> </w:t>
            </w:r>
          </w:p>
          <w:p w:rsidR="000E2990" w:rsidRPr="005614CD" w:rsidP="00C13AA6" w14:paraId="73A4890A" w14:textId="77777777">
            <w:pPr>
              <w:pStyle w:val="TB-TableBullet"/>
              <w:ind w:left="339" w:hanging="180"/>
            </w:pPr>
            <w:r w:rsidRPr="005614CD">
              <w:t>Our p</w:t>
            </w:r>
            <w:r w:rsidRPr="005614CD">
              <w:t>artners at CSAVR and NENA will help nominate leaders.</w:t>
            </w:r>
          </w:p>
          <w:p w:rsidR="000E2990" w:rsidRPr="005614CD" w:rsidP="00C13AA6" w14:paraId="0A2A36C1" w14:textId="1829EF50">
            <w:pPr>
              <w:pStyle w:val="TB-TableBullet"/>
              <w:ind w:left="339" w:hanging="180"/>
            </w:pPr>
            <w:r w:rsidRPr="005614CD">
              <w:t xml:space="preserve">Selection will include participants from </w:t>
            </w:r>
            <w:r>
              <w:t>s</w:t>
            </w:r>
            <w:r w:rsidRPr="005614CD">
              <w:t>tates with different policies, such as states with and without CMS 1115 waivers to pay for employment services and states with varying strategies for blending a</w:t>
            </w:r>
            <w:r w:rsidRPr="005614CD">
              <w:t>nd braiding exiting VR and other public funds to pay for employment services</w:t>
            </w:r>
            <w:r w:rsidRPr="005614CD" w:rsidR="00004952">
              <w:t xml:space="preserve">.  </w:t>
            </w:r>
          </w:p>
        </w:tc>
      </w:tr>
      <w:tr w14:paraId="47379F92" w14:textId="77777777" w:rsidTr="00873741">
        <w:tblPrEx>
          <w:tblW w:w="4621" w:type="pct"/>
          <w:tblInd w:w="715" w:type="dxa"/>
          <w:tblLayout w:type="fixed"/>
          <w:tblLook w:val="04A0"/>
        </w:tblPrEx>
        <w:tc>
          <w:tcPr>
            <w:tcW w:w="816" w:type="pct"/>
          </w:tcPr>
          <w:p w:rsidR="000E2990" w:rsidRPr="009F2477" w:rsidP="001E6534" w14:paraId="13CDB354" w14:textId="77777777">
            <w:pPr>
              <w:pStyle w:val="TX-TableText"/>
              <w:ind w:left="990"/>
              <w:rPr>
                <w:b/>
              </w:rPr>
            </w:pPr>
            <w:r w:rsidRPr="009F2477">
              <w:rPr>
                <w:b/>
              </w:rPr>
              <w:t>4</w:t>
            </w:r>
          </w:p>
        </w:tc>
        <w:tc>
          <w:tcPr>
            <w:tcW w:w="1006" w:type="pct"/>
          </w:tcPr>
          <w:p w:rsidR="000E2990" w:rsidRPr="009F2477" w:rsidP="00C13AA6" w14:paraId="5565478D" w14:textId="77777777">
            <w:pPr>
              <w:pStyle w:val="TX-TableText"/>
              <w:ind w:left="94"/>
            </w:pPr>
            <w:r w:rsidRPr="009F2477">
              <w:t>Agency Leaders</w:t>
            </w:r>
          </w:p>
        </w:tc>
        <w:tc>
          <w:tcPr>
            <w:tcW w:w="3177" w:type="pct"/>
          </w:tcPr>
          <w:p w:rsidR="000E2990" w:rsidRPr="005614CD" w:rsidP="00C13AA6" w14:paraId="2976C23E" w14:textId="77777777">
            <w:pPr>
              <w:pStyle w:val="TB-TableBullet"/>
              <w:ind w:left="339" w:hanging="180"/>
            </w:pPr>
            <w:r w:rsidRPr="005614CD">
              <w:t xml:space="preserve">Participants will be leaders and decision makers that work for or with </w:t>
            </w:r>
            <w:r>
              <w:t>s</w:t>
            </w:r>
            <w:r w:rsidRPr="005614CD">
              <w:t>tate vocational rehabilitation agencies.</w:t>
            </w:r>
          </w:p>
          <w:p w:rsidR="000E2990" w:rsidRPr="005614CD" w:rsidP="00C13AA6" w14:paraId="4C068C14" w14:textId="77777777">
            <w:pPr>
              <w:pStyle w:val="TB-TableBullet"/>
              <w:ind w:left="339" w:hanging="180"/>
            </w:pPr>
            <w:r w:rsidRPr="005614CD">
              <w:t xml:space="preserve">Our partners at CSAVR and NENA will help nominate leaders. </w:t>
            </w:r>
          </w:p>
          <w:p w:rsidR="000E2990" w:rsidRPr="005614CD" w:rsidP="00C13AA6" w14:paraId="3238C704" w14:textId="77777777">
            <w:pPr>
              <w:pStyle w:val="TB-TableBullet"/>
              <w:ind w:left="339" w:hanging="180"/>
            </w:pPr>
            <w:r w:rsidRPr="005614CD">
              <w:t xml:space="preserve">Agency leaders will include participants from </w:t>
            </w:r>
            <w:r>
              <w:t>s</w:t>
            </w:r>
            <w:r w:rsidRPr="005614CD">
              <w:t>tates with different policies and will vary in their</w:t>
            </w:r>
            <w:r>
              <w:t xml:space="preserve"> agency responsibilities.</w:t>
            </w:r>
          </w:p>
        </w:tc>
      </w:tr>
    </w:tbl>
    <w:p w:rsidR="000E2990" w:rsidP="001E6534" w14:paraId="3BF189F1" w14:textId="77777777">
      <w:pPr>
        <w:pStyle w:val="Header"/>
        <w:tabs>
          <w:tab w:val="clear" w:pos="4320"/>
          <w:tab w:val="clear" w:pos="8640"/>
        </w:tabs>
        <w:rPr>
          <w:rFonts w:ascii="Times New Roman" w:hAnsi="Times New Roman"/>
        </w:rPr>
      </w:pPr>
    </w:p>
    <w:p w:rsidR="00404BAB" w:rsidRPr="00C05888" w:rsidP="00404BAB" w14:paraId="5737AA77" w14:textId="60F70D4D">
      <w:pPr>
        <w:pStyle w:val="Header"/>
        <w:tabs>
          <w:tab w:val="clear" w:pos="4320"/>
          <w:tab w:val="clear" w:pos="8640"/>
        </w:tabs>
        <w:ind w:left="990"/>
        <w:rPr>
          <w:rFonts w:ascii="Times New Roman" w:hAnsi="Times New Roman"/>
        </w:rPr>
      </w:pPr>
      <w:r w:rsidRPr="0014133F">
        <w:rPr>
          <w:rFonts w:ascii="Times New Roman" w:hAnsi="Times New Roman"/>
        </w:rPr>
        <w:t>Finally,</w:t>
      </w:r>
      <w:r w:rsidR="001E6534">
        <w:rPr>
          <w:rFonts w:ascii="Times New Roman" w:hAnsi="Times New Roman"/>
        </w:rPr>
        <w:t xml:space="preserve"> for the MI Pilot,</w:t>
      </w:r>
      <w:r w:rsidRPr="0014133F">
        <w:rPr>
          <w:rFonts w:ascii="Times New Roman" w:hAnsi="Times New Roman"/>
        </w:rPr>
        <w:t xml:space="preserve"> we will create and randomly sample a subsa</w:t>
      </w:r>
      <w:r w:rsidRPr="0014133F">
        <w:rPr>
          <w:rFonts w:ascii="Times New Roman" w:hAnsi="Times New Roman"/>
        </w:rPr>
        <w:t xml:space="preserve">mple of 2,000 </w:t>
      </w:r>
      <w:r w:rsidR="001E6534">
        <w:rPr>
          <w:rFonts w:ascii="Times New Roman" w:hAnsi="Times New Roman"/>
        </w:rPr>
        <w:t>appropriate individuals</w:t>
      </w:r>
      <w:r w:rsidRPr="0014133F">
        <w:rPr>
          <w:rFonts w:ascii="Times New Roman" w:hAnsi="Times New Roman"/>
        </w:rPr>
        <w:t xml:space="preserve">, which </w:t>
      </w:r>
      <w:r w:rsidR="000E2990">
        <w:rPr>
          <w:rFonts w:ascii="Times New Roman" w:hAnsi="Times New Roman"/>
        </w:rPr>
        <w:t>helps account for nonresponses.</w:t>
      </w:r>
      <w:r>
        <w:rPr>
          <w:rFonts w:ascii="Times New Roman" w:hAnsi="Times New Roman"/>
        </w:rPr>
        <w:t xml:space="preserve">  This also accounts for the drop-outs mentioned in Supporting Statement A.  </w:t>
      </w:r>
    </w:p>
    <w:p w:rsidR="00E835FD" w:rsidRPr="00BC7F42" w:rsidP="00E835FD" w14:paraId="5A8717EE" w14:textId="7C032727">
      <w:pPr>
        <w:pStyle w:val="Header"/>
        <w:tabs>
          <w:tab w:val="clear" w:pos="4320"/>
          <w:tab w:val="clear" w:pos="8640"/>
        </w:tabs>
        <w:rPr>
          <w:rFonts w:ascii="Times New Roman" w:hAnsi="Times New Roman"/>
        </w:rPr>
      </w:pPr>
      <w:r>
        <w:rPr>
          <w:rFonts w:ascii="Times New Roman" w:hAnsi="Times New Roman"/>
        </w:rPr>
        <w:t xml:space="preserve">  T</w:t>
      </w:r>
    </w:p>
    <w:p w:rsidR="004742A9" w:rsidRPr="00FF4A84" w:rsidP="00DE3DB6" w14:paraId="0BADE9A5" w14:textId="77777777">
      <w:pPr>
        <w:pStyle w:val="ListParagraph"/>
        <w:numPr>
          <w:ilvl w:val="0"/>
          <w:numId w:val="1"/>
        </w:numPr>
        <w:tabs>
          <w:tab w:val="left" w:pos="990"/>
        </w:tabs>
        <w:ind w:left="990" w:hanging="630"/>
        <w:rPr>
          <w:rFonts w:ascii="Times New Roman" w:hAnsi="Times New Roman"/>
          <w:b/>
        </w:rPr>
      </w:pPr>
      <w:r w:rsidRPr="00FF4A84">
        <w:rPr>
          <w:rFonts w:ascii="Times New Roman" w:hAnsi="Times New Roman"/>
          <w:b/>
        </w:rPr>
        <w:t>Procedures for Collecting the Information</w:t>
      </w:r>
    </w:p>
    <w:p w:rsidR="00121B57" w:rsidP="00395775" w14:paraId="28A70503" w14:textId="41506B40">
      <w:pPr>
        <w:pStyle w:val="L1-FlLSp12"/>
        <w:ind w:left="990"/>
        <w:rPr>
          <w:rFonts w:ascii="Times New Roman" w:hAnsi="Times New Roman" w:cs="Times New Roman"/>
          <w:noProof/>
          <w:sz w:val="24"/>
          <w:szCs w:val="24"/>
        </w:rPr>
      </w:pPr>
      <w:r>
        <w:rPr>
          <w:rFonts w:ascii="Times New Roman" w:hAnsi="Times New Roman" w:cs="Times New Roman"/>
          <w:noProof/>
          <w:sz w:val="24"/>
          <w:szCs w:val="24"/>
        </w:rPr>
        <w:t>Westat requires p</w:t>
      </w:r>
      <w:r>
        <w:rPr>
          <w:rFonts w:ascii="Times New Roman" w:hAnsi="Times New Roman" w:cs="Times New Roman"/>
          <w:noProof/>
          <w:sz w:val="24"/>
          <w:szCs w:val="24"/>
        </w:rPr>
        <w:t>re-collection questions for all study partici</w:t>
      </w:r>
      <w:r w:rsidR="00395775">
        <w:rPr>
          <w:rFonts w:ascii="Times New Roman" w:hAnsi="Times New Roman" w:cs="Times New Roman"/>
          <w:noProof/>
          <w:sz w:val="24"/>
          <w:szCs w:val="24"/>
        </w:rPr>
        <w:t>pa</w:t>
      </w:r>
      <w:r>
        <w:rPr>
          <w:rFonts w:ascii="Times New Roman" w:hAnsi="Times New Roman" w:cs="Times New Roman"/>
          <w:noProof/>
          <w:sz w:val="24"/>
          <w:szCs w:val="24"/>
        </w:rPr>
        <w:t>n</w:t>
      </w:r>
      <w:r w:rsidR="00395775">
        <w:rPr>
          <w:rFonts w:ascii="Times New Roman" w:hAnsi="Times New Roman" w:cs="Times New Roman"/>
          <w:noProof/>
          <w:sz w:val="24"/>
          <w:szCs w:val="24"/>
        </w:rPr>
        <w:t>t</w:t>
      </w:r>
      <w:r>
        <w:rPr>
          <w:rFonts w:ascii="Times New Roman" w:hAnsi="Times New Roman" w:cs="Times New Roman"/>
          <w:noProof/>
          <w:sz w:val="24"/>
          <w:szCs w:val="24"/>
        </w:rPr>
        <w:t xml:space="preserve">s before </w:t>
      </w:r>
      <w:r w:rsidR="00395775">
        <w:rPr>
          <w:rFonts w:ascii="Times New Roman" w:hAnsi="Times New Roman" w:cs="Times New Roman"/>
          <w:noProof/>
          <w:sz w:val="24"/>
          <w:szCs w:val="24"/>
        </w:rPr>
        <w:t xml:space="preserve">participation in </w:t>
      </w:r>
      <w:r>
        <w:rPr>
          <w:rFonts w:ascii="Times New Roman" w:hAnsi="Times New Roman" w:cs="Times New Roman"/>
          <w:noProof/>
          <w:sz w:val="24"/>
          <w:szCs w:val="24"/>
        </w:rPr>
        <w:t>focus group</w:t>
      </w:r>
      <w:r w:rsidR="00395775">
        <w:rPr>
          <w:rFonts w:ascii="Times New Roman" w:hAnsi="Times New Roman" w:cs="Times New Roman"/>
          <w:noProof/>
          <w:sz w:val="24"/>
          <w:szCs w:val="24"/>
        </w:rPr>
        <w:t>s</w:t>
      </w:r>
      <w:r>
        <w:rPr>
          <w:rFonts w:ascii="Times New Roman" w:hAnsi="Times New Roman" w:cs="Times New Roman"/>
          <w:noProof/>
          <w:sz w:val="24"/>
          <w:szCs w:val="24"/>
        </w:rPr>
        <w:t>, interview</w:t>
      </w:r>
      <w:r w:rsidR="00395775">
        <w:rPr>
          <w:rFonts w:ascii="Times New Roman" w:hAnsi="Times New Roman" w:cs="Times New Roman"/>
          <w:noProof/>
          <w:sz w:val="24"/>
          <w:szCs w:val="24"/>
        </w:rPr>
        <w:t>s</w:t>
      </w:r>
      <w:r>
        <w:rPr>
          <w:rFonts w:ascii="Times New Roman" w:hAnsi="Times New Roman" w:cs="Times New Roman"/>
          <w:noProof/>
          <w:sz w:val="24"/>
          <w:szCs w:val="24"/>
        </w:rPr>
        <w:t xml:space="preserve">, or </w:t>
      </w:r>
      <w:r w:rsidR="00395775">
        <w:rPr>
          <w:rFonts w:ascii="Times New Roman" w:hAnsi="Times New Roman" w:cs="Times New Roman"/>
          <w:noProof/>
          <w:sz w:val="24"/>
          <w:szCs w:val="24"/>
        </w:rPr>
        <w:t xml:space="preserve">the </w:t>
      </w:r>
      <w:r>
        <w:rPr>
          <w:rFonts w:ascii="Times New Roman" w:hAnsi="Times New Roman" w:cs="Times New Roman"/>
          <w:noProof/>
          <w:sz w:val="24"/>
          <w:szCs w:val="24"/>
        </w:rPr>
        <w:t xml:space="preserve">survey. </w:t>
      </w:r>
      <w:r w:rsidR="00387B28">
        <w:rPr>
          <w:rFonts w:ascii="Times New Roman" w:hAnsi="Times New Roman" w:cs="Times New Roman"/>
          <w:noProof/>
          <w:sz w:val="24"/>
          <w:szCs w:val="24"/>
        </w:rPr>
        <w:t xml:space="preserve"> </w:t>
      </w:r>
      <w:r w:rsidR="00395775">
        <w:rPr>
          <w:rFonts w:ascii="Times New Roman" w:hAnsi="Times New Roman" w:cs="Times New Roman"/>
          <w:noProof/>
          <w:sz w:val="24"/>
          <w:szCs w:val="24"/>
        </w:rPr>
        <w:t xml:space="preserve">The pre-collection questions will review the Privacy Act Statement, confirm receipt of study materials, collect verbal consent, collect permission to sent text message reminders and cell phone number, </w:t>
      </w:r>
      <w:r w:rsidR="00131D7E">
        <w:rPr>
          <w:rFonts w:ascii="Times New Roman" w:hAnsi="Times New Roman" w:cs="Times New Roman"/>
          <w:noProof/>
          <w:sz w:val="24"/>
          <w:szCs w:val="24"/>
        </w:rPr>
        <w:t xml:space="preserve">record </w:t>
      </w:r>
      <w:r w:rsidR="00395775">
        <w:rPr>
          <w:rFonts w:ascii="Times New Roman" w:hAnsi="Times New Roman" w:cs="Times New Roman"/>
          <w:noProof/>
          <w:sz w:val="24"/>
          <w:szCs w:val="24"/>
        </w:rPr>
        <w:t xml:space="preserve">permission (focus group only), and </w:t>
      </w:r>
      <w:r w:rsidR="00131D7E">
        <w:rPr>
          <w:rFonts w:ascii="Times New Roman" w:hAnsi="Times New Roman" w:cs="Times New Roman"/>
          <w:noProof/>
          <w:sz w:val="24"/>
          <w:szCs w:val="24"/>
        </w:rPr>
        <w:t xml:space="preserve">request a </w:t>
      </w:r>
      <w:r w:rsidR="00395775">
        <w:rPr>
          <w:rFonts w:ascii="Times New Roman" w:hAnsi="Times New Roman" w:cs="Times New Roman"/>
          <w:noProof/>
          <w:sz w:val="24"/>
          <w:szCs w:val="24"/>
        </w:rPr>
        <w:t xml:space="preserve">mailing address to send incentive payment. </w:t>
      </w:r>
      <w:r w:rsidR="00387B28">
        <w:rPr>
          <w:rFonts w:ascii="Times New Roman" w:hAnsi="Times New Roman" w:cs="Times New Roman"/>
          <w:noProof/>
          <w:sz w:val="24"/>
          <w:szCs w:val="24"/>
        </w:rPr>
        <w:t xml:space="preserve"> </w:t>
      </w:r>
      <w:r>
        <w:rPr>
          <w:rFonts w:ascii="Times New Roman" w:hAnsi="Times New Roman" w:cs="Times New Roman"/>
          <w:noProof/>
          <w:sz w:val="24"/>
          <w:szCs w:val="24"/>
        </w:rPr>
        <w:t>Westat will program p</w:t>
      </w:r>
      <w:r w:rsidR="00395775">
        <w:rPr>
          <w:rFonts w:ascii="Times New Roman" w:hAnsi="Times New Roman" w:cs="Times New Roman"/>
          <w:noProof/>
          <w:sz w:val="24"/>
          <w:szCs w:val="24"/>
        </w:rPr>
        <w:t>re-collection</w:t>
      </w:r>
      <w:r>
        <w:rPr>
          <w:rFonts w:ascii="Times New Roman" w:hAnsi="Times New Roman" w:cs="Times New Roman"/>
          <w:noProof/>
          <w:sz w:val="24"/>
          <w:szCs w:val="24"/>
        </w:rPr>
        <w:t xml:space="preserve"> quesitons in a web survey. </w:t>
      </w:r>
      <w:r w:rsidR="00387B28">
        <w:rPr>
          <w:rFonts w:ascii="Times New Roman" w:hAnsi="Times New Roman" w:cs="Times New Roman"/>
          <w:noProof/>
          <w:sz w:val="24"/>
          <w:szCs w:val="24"/>
        </w:rPr>
        <w:t xml:space="preserve"> </w:t>
      </w:r>
      <w:r>
        <w:rPr>
          <w:rFonts w:ascii="Times New Roman" w:hAnsi="Times New Roman" w:cs="Times New Roman"/>
          <w:noProof/>
          <w:sz w:val="24"/>
          <w:szCs w:val="24"/>
        </w:rPr>
        <w:t xml:space="preserve">Potential participants will be able </w:t>
      </w:r>
      <w:r>
        <w:rPr>
          <w:rFonts w:ascii="Times New Roman" w:hAnsi="Times New Roman" w:cs="Times New Roman"/>
          <w:noProof/>
          <w:sz w:val="24"/>
          <w:szCs w:val="24"/>
        </w:rPr>
        <w:t xml:space="preserve">to complete these questions online themselves or with an interviewer over the telephone. </w:t>
      </w:r>
    </w:p>
    <w:p w:rsidR="00395775" w:rsidP="00DE3DB6" w14:paraId="21B2209C" w14:textId="2DB544FE">
      <w:pPr>
        <w:pStyle w:val="L1-FlLSp12"/>
        <w:ind w:left="990"/>
        <w:rPr>
          <w:rFonts w:ascii="Times New Roman" w:hAnsi="Times New Roman" w:cs="Times New Roman"/>
          <w:noProof/>
          <w:sz w:val="24"/>
          <w:szCs w:val="24"/>
        </w:rPr>
      </w:pPr>
      <w:r>
        <w:rPr>
          <w:rFonts w:ascii="Times New Roman" w:hAnsi="Times New Roman" w:cs="Times New Roman"/>
          <w:sz w:val="24"/>
          <w:szCs w:val="24"/>
          <w:u w:val="single"/>
        </w:rPr>
        <w:t>Survey</w:t>
      </w:r>
      <w:r w:rsidRPr="00DE3DB6">
        <w:rPr>
          <w:rFonts w:ascii="Times New Roman" w:hAnsi="Times New Roman" w:cs="Times New Roman"/>
          <w:sz w:val="24"/>
          <w:szCs w:val="24"/>
          <w:u w:val="single"/>
        </w:rPr>
        <w:t xml:space="preserve"> Procedures</w:t>
      </w:r>
      <w:r w:rsidRPr="00DE3DB6">
        <w:rPr>
          <w:rFonts w:ascii="Times New Roman" w:hAnsi="Times New Roman" w:cs="Times New Roman"/>
          <w:noProof/>
          <w:sz w:val="24"/>
          <w:szCs w:val="24"/>
        </w:rPr>
        <w:t xml:space="preserve"> </w:t>
      </w:r>
    </w:p>
    <w:p w:rsidR="00DE3DB6" w:rsidRPr="00DE3DB6" w:rsidP="00DE3DB6" w14:paraId="29E90CCD" w14:textId="06D284E2">
      <w:pPr>
        <w:pStyle w:val="L1-FlLSp12"/>
        <w:ind w:left="990"/>
        <w:rPr>
          <w:rFonts w:ascii="Times New Roman" w:hAnsi="Times New Roman" w:cs="Times New Roman"/>
          <w:noProof/>
          <w:sz w:val="24"/>
          <w:szCs w:val="24"/>
        </w:rPr>
      </w:pPr>
      <w:r w:rsidRPr="00DE3DB6">
        <w:rPr>
          <w:rFonts w:ascii="Times New Roman" w:hAnsi="Times New Roman" w:cs="Times New Roman"/>
          <w:noProof/>
          <w:sz w:val="24"/>
          <w:szCs w:val="24"/>
        </w:rPr>
        <w:t>The initial contacts with sampled</w:t>
      </w:r>
      <w:r>
        <w:rPr>
          <w:rFonts w:ascii="Times New Roman" w:hAnsi="Times New Roman" w:cs="Times New Roman"/>
          <w:noProof/>
          <w:sz w:val="24"/>
          <w:szCs w:val="24"/>
        </w:rPr>
        <w:t xml:space="preserve"> survey</w:t>
      </w:r>
      <w:r w:rsidRPr="00DE3DB6">
        <w:rPr>
          <w:rFonts w:ascii="Times New Roman" w:hAnsi="Times New Roman" w:cs="Times New Roman"/>
          <w:noProof/>
          <w:sz w:val="24"/>
          <w:szCs w:val="24"/>
        </w:rPr>
        <w:t xml:space="preserve"> </w:t>
      </w:r>
      <w:r>
        <w:rPr>
          <w:rFonts w:ascii="Times New Roman" w:hAnsi="Times New Roman" w:cs="Times New Roman"/>
          <w:noProof/>
          <w:sz w:val="24"/>
          <w:szCs w:val="24"/>
        </w:rPr>
        <w:t>participants</w:t>
      </w:r>
      <w:r w:rsidRPr="00DE3DB6">
        <w:rPr>
          <w:rFonts w:ascii="Times New Roman" w:hAnsi="Times New Roman" w:cs="Times New Roman"/>
          <w:noProof/>
          <w:sz w:val="24"/>
          <w:szCs w:val="24"/>
        </w:rPr>
        <w:t xml:space="preserve"> will encourage them to go to the study website to complete the web version of the survey ques</w:t>
      </w:r>
      <w:r w:rsidRPr="00DE3DB6">
        <w:rPr>
          <w:rFonts w:ascii="Times New Roman" w:hAnsi="Times New Roman" w:cs="Times New Roman"/>
          <w:noProof/>
          <w:sz w:val="24"/>
          <w:szCs w:val="24"/>
        </w:rPr>
        <w:t>tionnaire.</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 We recognize that </w:t>
      </w:r>
      <w:r w:rsidR="004A74D5">
        <w:rPr>
          <w:rFonts w:ascii="Times New Roman" w:hAnsi="Times New Roman" w:cs="Times New Roman"/>
          <w:noProof/>
          <w:sz w:val="24"/>
          <w:szCs w:val="24"/>
        </w:rPr>
        <w:t>a respondent’s age and education level may affect whether they use the website</w:t>
      </w:r>
      <w:r w:rsidRPr="00DE3DB6">
        <w:rPr>
          <w:rFonts w:ascii="Times New Roman" w:hAnsi="Times New Roman" w:cs="Times New Roman"/>
          <w:noProof/>
          <w:sz w:val="24"/>
          <w:szCs w:val="24"/>
        </w:rPr>
        <w:t xml:space="preserve">. </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Thus, to reduce bias in recruitment, we will make subsequent contacts by telephone and offer the</w:t>
      </w:r>
      <w:r w:rsidR="004A74D5">
        <w:rPr>
          <w:rFonts w:ascii="Times New Roman" w:hAnsi="Times New Roman" w:cs="Times New Roman"/>
          <w:noProof/>
          <w:sz w:val="24"/>
          <w:szCs w:val="24"/>
        </w:rPr>
        <w:t xml:space="preserve"> computer assisted telephone interviewing (</w:t>
      </w:r>
      <w:r w:rsidRPr="00DE3DB6">
        <w:rPr>
          <w:rFonts w:ascii="Times New Roman" w:hAnsi="Times New Roman" w:cs="Times New Roman"/>
          <w:noProof/>
          <w:sz w:val="24"/>
          <w:szCs w:val="24"/>
        </w:rPr>
        <w:t>CATI</w:t>
      </w:r>
      <w:r w:rsidR="004A74D5">
        <w:rPr>
          <w:rFonts w:ascii="Times New Roman" w:hAnsi="Times New Roman" w:cs="Times New Roman"/>
          <w:noProof/>
          <w:sz w:val="24"/>
          <w:szCs w:val="24"/>
        </w:rPr>
        <w:t>)</w:t>
      </w:r>
      <w:r w:rsidRPr="00DE3DB6">
        <w:rPr>
          <w:rFonts w:ascii="Times New Roman" w:hAnsi="Times New Roman" w:cs="Times New Roman"/>
          <w:noProof/>
          <w:sz w:val="24"/>
          <w:szCs w:val="24"/>
        </w:rPr>
        <w:t xml:space="preserve"> administration mode. </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This design minimizes some of the barriers that often make survey participation challenging for those with cognitive and physical impairments. </w:t>
      </w:r>
      <w:r w:rsidR="001A202D">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It is also the most effective approach </w:t>
      </w:r>
      <w:r w:rsidR="001A202D">
        <w:rPr>
          <w:rFonts w:ascii="Times New Roman" w:hAnsi="Times New Roman" w:cs="Times New Roman"/>
          <w:noProof/>
          <w:sz w:val="24"/>
          <w:szCs w:val="24"/>
        </w:rPr>
        <w:t>for</w:t>
      </w:r>
      <w:r w:rsidRPr="00DE3DB6">
        <w:rPr>
          <w:rFonts w:ascii="Times New Roman" w:hAnsi="Times New Roman" w:cs="Times New Roman"/>
          <w:noProof/>
          <w:sz w:val="24"/>
          <w:szCs w:val="24"/>
        </w:rPr>
        <w:t xml:space="preserve"> similar population level surveys that Wes</w:t>
      </w:r>
      <w:r w:rsidRPr="00DE3DB6">
        <w:rPr>
          <w:rFonts w:ascii="Times New Roman" w:hAnsi="Times New Roman" w:cs="Times New Roman"/>
          <w:noProof/>
          <w:sz w:val="24"/>
          <w:szCs w:val="24"/>
        </w:rPr>
        <w:t>tat uses.</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 The contact protocol for the main survey includes four main steps.</w:t>
      </w:r>
    </w:p>
    <w:p w:rsidR="00DE3DB6" w:rsidRPr="00DE3DB6" w:rsidP="00DE3DB6" w14:paraId="6C9CCE3D" w14:textId="2E5FD994">
      <w:pPr>
        <w:pStyle w:val="NL-1stNumberedBullet"/>
        <w:numPr>
          <w:ilvl w:val="0"/>
          <w:numId w:val="5"/>
        </w:numPr>
        <w:ind w:left="1566"/>
        <w:rPr>
          <w:rFonts w:ascii="Times New Roman" w:hAnsi="Times New Roman" w:cs="Times New Roman"/>
          <w:sz w:val="24"/>
          <w:szCs w:val="24"/>
        </w:rPr>
      </w:pPr>
      <w:r w:rsidRPr="00DE3DB6">
        <w:rPr>
          <w:rFonts w:ascii="Times New Roman" w:hAnsi="Times New Roman" w:cs="Times New Roman"/>
          <w:b/>
          <w:bCs/>
          <w:sz w:val="24"/>
          <w:szCs w:val="24"/>
        </w:rPr>
        <w:t>Initial Letter</w:t>
      </w:r>
      <w:r w:rsidRPr="00DE3DB6">
        <w:rPr>
          <w:rFonts w:ascii="Times New Roman" w:hAnsi="Times New Roman" w:cs="Times New Roman"/>
          <w:b/>
          <w:sz w:val="24"/>
          <w:szCs w:val="24"/>
        </w:rPr>
        <w:t>.</w:t>
      </w:r>
      <w:r w:rsidRPr="00DE3DB6">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We will mail all sampled individuals an initial letter inviting them to complete a web survey.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These letters will use SSA letterhead so respondents understand t</w:t>
      </w:r>
      <w:r w:rsidRPr="00DE3DB6">
        <w:rPr>
          <w:rFonts w:ascii="Times New Roman" w:hAnsi="Times New Roman" w:cs="Times New Roman"/>
          <w:sz w:val="24"/>
          <w:szCs w:val="24"/>
        </w:rPr>
        <w:t xml:space="preserve">hat this is a legitimate survey sponsored by SSA.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To maximize response rates from this initial contact attempt, </w:t>
      </w:r>
      <w:r w:rsidR="00E93801">
        <w:rPr>
          <w:rFonts w:ascii="Times New Roman" w:hAnsi="Times New Roman" w:cs="Times New Roman"/>
          <w:sz w:val="24"/>
          <w:szCs w:val="24"/>
        </w:rPr>
        <w:t xml:space="preserve">the letter </w:t>
      </w:r>
      <w:r w:rsidRPr="00DE3DB6">
        <w:rPr>
          <w:rFonts w:ascii="Times New Roman" w:hAnsi="Times New Roman" w:cs="Times New Roman"/>
          <w:sz w:val="24"/>
          <w:szCs w:val="24"/>
        </w:rPr>
        <w:t>will include a $2 cash pre-incentive.</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Prepaid incentives of this size have been shown to significantly increase response to both we</w:t>
      </w:r>
      <w:r w:rsidRPr="00DE3DB6">
        <w:rPr>
          <w:rFonts w:ascii="Times New Roman" w:hAnsi="Times New Roman" w:cs="Times New Roman"/>
          <w:sz w:val="24"/>
          <w:szCs w:val="24"/>
        </w:rPr>
        <w:t xml:space="preserve">b surveys (e.g., Messer &amp; Dillman, 2011) and telephone surveys (Cantor et al., 2008).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The meta-analysis by Mercer </w:t>
      </w:r>
      <w:r w:rsidRPr="00DE3DB6">
        <w:rPr>
          <w:rFonts w:ascii="Times New Roman" w:hAnsi="Times New Roman" w:cs="Times New Roman"/>
          <w:sz w:val="24"/>
          <w:szCs w:val="24"/>
        </w:rPr>
        <w:t>et al. (2014) found that incentives of this size increased response rates by approximately 11 to 16 percentage points, depending on the mode.</w:t>
      </w:r>
      <w:r w:rsidRPr="00DE3DB6">
        <w:rPr>
          <w:rFonts w:ascii="Times New Roman" w:hAnsi="Times New Roman" w:cs="Times New Roman"/>
          <w:sz w:val="24"/>
          <w:szCs w:val="24"/>
        </w:rPr>
        <w:t xml:space="preserve"> </w:t>
      </w:r>
    </w:p>
    <w:p w:rsidR="00DE3DB6" w:rsidRPr="00DE3DB6" w:rsidP="00DE3DB6" w14:paraId="56A0FC16" w14:textId="7D5D71CE">
      <w:pPr>
        <w:pStyle w:val="NL-1stNumberedBullet"/>
        <w:numPr>
          <w:ilvl w:val="0"/>
          <w:numId w:val="5"/>
        </w:numPr>
        <w:ind w:left="1566"/>
        <w:rPr>
          <w:rFonts w:ascii="Times New Roman" w:hAnsi="Times New Roman" w:cs="Times New Roman"/>
          <w:sz w:val="24"/>
          <w:szCs w:val="24"/>
        </w:rPr>
      </w:pPr>
      <w:r w:rsidRPr="00DE3DB6">
        <w:rPr>
          <w:rFonts w:ascii="Times New Roman" w:hAnsi="Times New Roman" w:cs="Times New Roman"/>
          <w:b/>
          <w:sz w:val="24"/>
          <w:szCs w:val="24"/>
        </w:rPr>
        <w:t>Reminder Postcard.</w:t>
      </w:r>
      <w:r w:rsidR="00387B28">
        <w:rPr>
          <w:rFonts w:ascii="Times New Roman" w:hAnsi="Times New Roman" w:cs="Times New Roman"/>
          <w:b/>
          <w:sz w:val="24"/>
          <w:szCs w:val="24"/>
        </w:rPr>
        <w:t xml:space="preserve"> </w:t>
      </w:r>
      <w:r w:rsidRPr="00DE3DB6">
        <w:rPr>
          <w:rFonts w:ascii="Times New Roman" w:hAnsi="Times New Roman" w:cs="Times New Roman"/>
          <w:sz w:val="24"/>
          <w:szCs w:val="24"/>
        </w:rPr>
        <w:t xml:space="preserve"> At week 2 following the initial letter, we will nonrespondents a folded postcard to encourage participation.</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The information in the postcard will mirror the language included in the initial invitation letter.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We will use a folded and sealed postcard given it will include the survey URL and the unique password to access the survey.</w:t>
      </w:r>
    </w:p>
    <w:p w:rsidR="00DE3DB6" w:rsidRPr="00DE3DB6" w:rsidP="00DE3DB6" w14:paraId="78F3B0A1" w14:textId="04E3D4E4">
      <w:pPr>
        <w:pStyle w:val="NL-1stNumberedBullet"/>
        <w:numPr>
          <w:ilvl w:val="0"/>
          <w:numId w:val="5"/>
        </w:numPr>
        <w:ind w:left="1566"/>
        <w:rPr>
          <w:rFonts w:ascii="Times New Roman" w:hAnsi="Times New Roman" w:cs="Times New Roman"/>
          <w:sz w:val="24"/>
          <w:szCs w:val="24"/>
        </w:rPr>
      </w:pPr>
      <w:r w:rsidRPr="00DE3DB6">
        <w:rPr>
          <w:rFonts w:ascii="Times New Roman" w:hAnsi="Times New Roman" w:cs="Times New Roman"/>
          <w:b/>
          <w:sz w:val="24"/>
          <w:szCs w:val="24"/>
        </w:rPr>
        <w:t>Reminder Letter.</w:t>
      </w:r>
      <w:r w:rsidRPr="00DE3DB6">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At week 3 </w:t>
      </w:r>
      <w:r w:rsidRPr="00DE3DB6">
        <w:rPr>
          <w:rFonts w:ascii="Times New Roman" w:hAnsi="Times New Roman" w:cs="Times New Roman"/>
          <w:sz w:val="24"/>
          <w:szCs w:val="24"/>
        </w:rPr>
        <w:t>following the reminder postcard, we will mail nonrespondents a letter to encourage participation.</w:t>
      </w:r>
    </w:p>
    <w:p w:rsidR="00DE3DB6" w:rsidRPr="00404BAB" w:rsidP="00DE3DB6" w14:paraId="37CC0C1F" w14:textId="3F6C776F">
      <w:pPr>
        <w:pStyle w:val="NL-1stNumberedBullet"/>
        <w:numPr>
          <w:ilvl w:val="0"/>
          <w:numId w:val="5"/>
        </w:numPr>
        <w:ind w:left="1566"/>
        <w:rPr>
          <w:rFonts w:ascii="Times New Roman" w:hAnsi="Times New Roman" w:cs="Times New Roman"/>
          <w:sz w:val="24"/>
          <w:szCs w:val="24"/>
          <w:lang w:val="en"/>
        </w:rPr>
      </w:pPr>
      <w:r w:rsidRPr="00DE3DB6">
        <w:rPr>
          <w:rFonts w:ascii="Times New Roman" w:hAnsi="Times New Roman" w:cs="Times New Roman"/>
          <w:b/>
          <w:sz w:val="24"/>
          <w:szCs w:val="24"/>
        </w:rPr>
        <w:t>Phone Calls to Nonrespondents.</w:t>
      </w:r>
      <w:r w:rsidRPr="00DE3DB6">
        <w:rPr>
          <w:rFonts w:ascii="Times New Roman" w:eastAsia="Garamond" w:hAnsi="Times New Roman" w:cs="Times New Roman"/>
          <w:sz w:val="24"/>
          <w:szCs w:val="24"/>
        </w:rPr>
        <w:t xml:space="preserve"> </w:t>
      </w:r>
      <w:r w:rsidR="00387B28">
        <w:rPr>
          <w:rFonts w:ascii="Times New Roman" w:eastAsia="Garamond" w:hAnsi="Times New Roman" w:cs="Times New Roman"/>
          <w:sz w:val="24"/>
          <w:szCs w:val="24"/>
        </w:rPr>
        <w:t xml:space="preserve"> </w:t>
      </w:r>
      <w:r w:rsidRPr="00DE3DB6">
        <w:rPr>
          <w:rFonts w:ascii="Times New Roman" w:eastAsia="Garamond" w:hAnsi="Times New Roman" w:cs="Times New Roman"/>
          <w:sz w:val="24"/>
          <w:szCs w:val="24"/>
        </w:rPr>
        <w:t>Interviewers from Westat’s Telephone Research Center will initiate phone calls to survey nonrespondents at the start of week 3</w:t>
      </w:r>
      <w:r w:rsidRPr="00DE3DB6">
        <w:rPr>
          <w:rFonts w:ascii="Times New Roman" w:eastAsia="Garamond" w:hAnsi="Times New Roman" w:cs="Times New Roman"/>
          <w:sz w:val="24"/>
          <w:szCs w:val="24"/>
        </w:rPr>
        <w:t xml:space="preserve"> following the initial letter.</w:t>
      </w:r>
      <w:r w:rsidR="00404BAB">
        <w:rPr>
          <w:rFonts w:ascii="Times New Roman" w:eastAsia="Garamond" w:hAnsi="Times New Roman" w:cs="Times New Roman"/>
          <w:sz w:val="24"/>
          <w:szCs w:val="24"/>
        </w:rPr>
        <w:t xml:space="preserve">  If the respondent states they are not interested in the survey, Westat will stop calling the respondent.</w:t>
      </w:r>
    </w:p>
    <w:p w:rsidR="00DE3DB6" w:rsidRPr="00DE3DB6" w:rsidP="00DE3DB6" w14:paraId="29F9D003" w14:textId="1A6B323C">
      <w:pPr>
        <w:pStyle w:val="L1-FlLSp12"/>
        <w:ind w:left="990"/>
        <w:rPr>
          <w:rFonts w:ascii="Times New Roman" w:hAnsi="Times New Roman" w:cs="Times New Roman"/>
          <w:noProof/>
          <w:sz w:val="24"/>
          <w:szCs w:val="24"/>
        </w:rPr>
      </w:pPr>
      <w:r w:rsidRPr="00DE3DB6">
        <w:rPr>
          <w:rFonts w:ascii="Times New Roman" w:hAnsi="Times New Roman" w:cs="Times New Roman"/>
          <w:noProof/>
          <w:sz w:val="24"/>
          <w:szCs w:val="24"/>
        </w:rPr>
        <w:t>Both our CATI interviewers and respondents who complete</w:t>
      </w:r>
      <w:r w:rsidR="00131D7E">
        <w:rPr>
          <w:rFonts w:ascii="Times New Roman" w:hAnsi="Times New Roman" w:cs="Times New Roman"/>
          <w:noProof/>
          <w:sz w:val="24"/>
          <w:szCs w:val="24"/>
        </w:rPr>
        <w:t xml:space="preserve"> the survey</w:t>
      </w:r>
      <w:r w:rsidRPr="00DE3DB6">
        <w:rPr>
          <w:rFonts w:ascii="Times New Roman" w:hAnsi="Times New Roman" w:cs="Times New Roman"/>
          <w:noProof/>
          <w:sz w:val="24"/>
          <w:szCs w:val="24"/>
        </w:rPr>
        <w:t xml:space="preserve"> via the website will access a web version of the survey instrum</w:t>
      </w:r>
      <w:r w:rsidRPr="00DE3DB6">
        <w:rPr>
          <w:rFonts w:ascii="Times New Roman" w:hAnsi="Times New Roman" w:cs="Times New Roman"/>
          <w:noProof/>
          <w:sz w:val="24"/>
          <w:szCs w:val="24"/>
        </w:rPr>
        <w:t>ent allowing the study to have a single database that houses all completed surveys.</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 This design will facilitate easy access to both the English and Spanish versions of the instrument for both telephone interviewers and web respondents.</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 The telephone inst</w:t>
      </w:r>
      <w:r w:rsidRPr="00DE3DB6">
        <w:rPr>
          <w:rFonts w:ascii="Times New Roman" w:hAnsi="Times New Roman" w:cs="Times New Roman"/>
          <w:noProof/>
          <w:sz w:val="24"/>
          <w:szCs w:val="24"/>
        </w:rPr>
        <w:t xml:space="preserve">rument version of the survey will mirror the web version, with some format adaptations appropriate for interviewer administration and the addition of soft warnings to ensure interviewers record answers for each survey question. </w:t>
      </w:r>
      <w:r w:rsidR="00387B28">
        <w:rPr>
          <w:rFonts w:ascii="Times New Roman" w:hAnsi="Times New Roman" w:cs="Times New Roman"/>
          <w:noProof/>
          <w:sz w:val="24"/>
          <w:szCs w:val="24"/>
        </w:rPr>
        <w:t xml:space="preserve"> </w:t>
      </w:r>
      <w:r w:rsidRPr="00DE3DB6">
        <w:rPr>
          <w:rFonts w:ascii="Times New Roman" w:hAnsi="Times New Roman" w:cs="Times New Roman"/>
          <w:noProof/>
          <w:sz w:val="24"/>
          <w:szCs w:val="24"/>
        </w:rPr>
        <w:t>We will integrate the instr</w:t>
      </w:r>
      <w:r w:rsidRPr="00DE3DB6">
        <w:rPr>
          <w:rFonts w:ascii="Times New Roman" w:hAnsi="Times New Roman" w:cs="Times New Roman"/>
          <w:noProof/>
          <w:sz w:val="24"/>
          <w:szCs w:val="24"/>
        </w:rPr>
        <w:t>ument with the survey management system and the CATI scheduler, described in the next section.</w:t>
      </w:r>
    </w:p>
    <w:p w:rsidR="00DE3DB6" w:rsidP="00DE3DB6" w14:paraId="6FADD941" w14:textId="5C55B935">
      <w:pPr>
        <w:pStyle w:val="L1-FlLSp12"/>
        <w:ind w:left="990"/>
        <w:rPr>
          <w:rFonts w:ascii="Times New Roman" w:hAnsi="Times New Roman" w:cs="Times New Roman"/>
          <w:noProof/>
          <w:sz w:val="24"/>
          <w:szCs w:val="24"/>
        </w:rPr>
      </w:pPr>
      <w:r>
        <w:rPr>
          <w:rFonts w:ascii="Times New Roman" w:hAnsi="Times New Roman" w:cs="Times New Roman"/>
          <w:noProof/>
          <w:sz w:val="24"/>
          <w:szCs w:val="24"/>
        </w:rPr>
        <w:t>I</w:t>
      </w:r>
      <w:r w:rsidRPr="00DE3DB6">
        <w:rPr>
          <w:rFonts w:ascii="Times New Roman" w:hAnsi="Times New Roman" w:cs="Times New Roman"/>
          <w:noProof/>
          <w:sz w:val="24"/>
          <w:szCs w:val="24"/>
        </w:rPr>
        <w:t xml:space="preserve">ntroductory scripts </w:t>
      </w:r>
      <w:r>
        <w:rPr>
          <w:rFonts w:ascii="Times New Roman" w:hAnsi="Times New Roman" w:cs="Times New Roman"/>
          <w:noProof/>
          <w:sz w:val="24"/>
          <w:szCs w:val="24"/>
        </w:rPr>
        <w:t>will</w:t>
      </w:r>
      <w:r w:rsidRPr="00DE3DB6">
        <w:rPr>
          <w:rFonts w:ascii="Times New Roman" w:hAnsi="Times New Roman" w:cs="Times New Roman"/>
          <w:noProof/>
          <w:sz w:val="24"/>
          <w:szCs w:val="24"/>
        </w:rPr>
        <w:t xml:space="preserve"> display within the CATI instrument</w:t>
      </w:r>
      <w:r>
        <w:rPr>
          <w:rFonts w:ascii="Times New Roman" w:hAnsi="Times New Roman" w:cs="Times New Roman"/>
          <w:noProof/>
          <w:sz w:val="24"/>
          <w:szCs w:val="24"/>
        </w:rPr>
        <w:t>, informing the interviewer of</w:t>
      </w:r>
      <w:r w:rsidRPr="00DE3DB6">
        <w:rPr>
          <w:rFonts w:ascii="Times New Roman" w:hAnsi="Times New Roman" w:cs="Times New Roman"/>
          <w:noProof/>
          <w:sz w:val="24"/>
          <w:szCs w:val="24"/>
        </w:rPr>
        <w:t xml:space="preserve"> exactly what </w:t>
      </w:r>
      <w:r>
        <w:rPr>
          <w:rFonts w:ascii="Times New Roman" w:hAnsi="Times New Roman" w:cs="Times New Roman"/>
          <w:noProof/>
          <w:sz w:val="24"/>
          <w:szCs w:val="24"/>
        </w:rPr>
        <w:t xml:space="preserve">to </w:t>
      </w:r>
      <w:r w:rsidRPr="00DE3DB6">
        <w:rPr>
          <w:rFonts w:ascii="Times New Roman" w:hAnsi="Times New Roman" w:cs="Times New Roman"/>
          <w:noProof/>
          <w:sz w:val="24"/>
          <w:szCs w:val="24"/>
        </w:rPr>
        <w:t xml:space="preserve">read to </w:t>
      </w:r>
      <w:r>
        <w:rPr>
          <w:rFonts w:ascii="Times New Roman" w:hAnsi="Times New Roman" w:cs="Times New Roman"/>
          <w:noProof/>
          <w:sz w:val="24"/>
          <w:szCs w:val="24"/>
        </w:rPr>
        <w:t xml:space="preserve">the </w:t>
      </w:r>
      <w:r w:rsidRPr="00DE3DB6">
        <w:rPr>
          <w:rFonts w:ascii="Times New Roman" w:hAnsi="Times New Roman" w:cs="Times New Roman"/>
          <w:noProof/>
          <w:sz w:val="24"/>
          <w:szCs w:val="24"/>
        </w:rPr>
        <w:t xml:space="preserve">sampled individuals during the consent process, thus ensuring </w:t>
      </w:r>
      <w:r>
        <w:rPr>
          <w:rFonts w:ascii="Times New Roman" w:hAnsi="Times New Roman" w:cs="Times New Roman"/>
          <w:noProof/>
          <w:sz w:val="24"/>
          <w:szCs w:val="24"/>
        </w:rPr>
        <w:t xml:space="preserve">individuals </w:t>
      </w:r>
      <w:r w:rsidRPr="00DE3DB6">
        <w:rPr>
          <w:rFonts w:ascii="Times New Roman" w:hAnsi="Times New Roman" w:cs="Times New Roman"/>
          <w:noProof/>
          <w:sz w:val="24"/>
          <w:szCs w:val="24"/>
        </w:rPr>
        <w:t>receive the necessary information about the study purpose and about the voluntary nature of their participation.</w:t>
      </w:r>
    </w:p>
    <w:p w:rsidR="00DE3DB6" w:rsidRPr="00DE3DB6" w:rsidP="00DE3DB6" w14:paraId="7B748E77" w14:textId="11F7A1D1">
      <w:pPr>
        <w:pStyle w:val="L1-FlLSp12"/>
        <w:ind w:left="990"/>
        <w:rPr>
          <w:rFonts w:ascii="Times New Roman" w:hAnsi="Times New Roman" w:cs="Times New Roman"/>
          <w:sz w:val="24"/>
          <w:szCs w:val="24"/>
        </w:rPr>
      </w:pPr>
      <w:r w:rsidRPr="00DE3DB6">
        <w:rPr>
          <w:rFonts w:ascii="Times New Roman" w:hAnsi="Times New Roman" w:cs="Times New Roman"/>
          <w:sz w:val="24"/>
          <w:szCs w:val="24"/>
        </w:rPr>
        <w:t>All qualitative data collection occurs remotely, via telephone or vid</w:t>
      </w:r>
      <w:r w:rsidRPr="00DE3DB6">
        <w:rPr>
          <w:rFonts w:ascii="Times New Roman" w:hAnsi="Times New Roman" w:cs="Times New Roman"/>
          <w:sz w:val="24"/>
          <w:szCs w:val="24"/>
        </w:rPr>
        <w:t xml:space="preserve">eo call.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This poses challenges in terms of building rapport, ensuring access to technology</w:t>
      </w:r>
      <w:r w:rsidR="00E649A0">
        <w:rPr>
          <w:rFonts w:ascii="Times New Roman" w:hAnsi="Times New Roman" w:cs="Times New Roman"/>
          <w:sz w:val="24"/>
          <w:szCs w:val="24"/>
        </w:rPr>
        <w:t>,</w:t>
      </w:r>
      <w:r w:rsidRPr="00DE3DB6">
        <w:rPr>
          <w:rFonts w:ascii="Times New Roman" w:hAnsi="Times New Roman" w:cs="Times New Roman"/>
          <w:sz w:val="24"/>
          <w:szCs w:val="24"/>
        </w:rPr>
        <w:t xml:space="preserve"> and creating the conditions necessary for smooth data collection.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However, Westat has conducted hundreds of remote interviews and remote focus groups and bring</w:t>
      </w:r>
      <w:r w:rsidR="00E649A0">
        <w:rPr>
          <w:rFonts w:ascii="Times New Roman" w:hAnsi="Times New Roman" w:cs="Times New Roman"/>
          <w:sz w:val="24"/>
          <w:szCs w:val="24"/>
        </w:rPr>
        <w:t>s</w:t>
      </w:r>
      <w:r w:rsidRPr="00DE3DB6">
        <w:rPr>
          <w:rFonts w:ascii="Times New Roman" w:hAnsi="Times New Roman" w:cs="Times New Roman"/>
          <w:sz w:val="24"/>
          <w:szCs w:val="24"/>
        </w:rPr>
        <w:t xml:space="preserve"> t</w:t>
      </w:r>
      <w:r w:rsidRPr="00DE3DB6">
        <w:rPr>
          <w:rFonts w:ascii="Times New Roman" w:hAnsi="Times New Roman" w:cs="Times New Roman"/>
          <w:sz w:val="24"/>
          <w:szCs w:val="24"/>
        </w:rPr>
        <w:t xml:space="preserve">his experience </w:t>
      </w:r>
      <w:r w:rsidR="00E649A0">
        <w:rPr>
          <w:rFonts w:ascii="Times New Roman" w:hAnsi="Times New Roman" w:cs="Times New Roman"/>
          <w:sz w:val="24"/>
          <w:szCs w:val="24"/>
        </w:rPr>
        <w:t>to BBS</w:t>
      </w:r>
      <w:r w:rsidRPr="00DE3DB6">
        <w:rPr>
          <w:rFonts w:ascii="Times New Roman" w:hAnsi="Times New Roman" w:cs="Times New Roman"/>
          <w:sz w:val="24"/>
          <w:szCs w:val="24"/>
        </w:rPr>
        <w:t>.</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w:t>
      </w:r>
      <w:r w:rsidR="00131D7E">
        <w:rPr>
          <w:rFonts w:ascii="Times New Roman" w:hAnsi="Times New Roman" w:cs="Times New Roman"/>
          <w:sz w:val="24"/>
          <w:szCs w:val="24"/>
        </w:rPr>
        <w:t>We discuss the p</w:t>
      </w:r>
      <w:r w:rsidRPr="00DE3DB6">
        <w:rPr>
          <w:rFonts w:ascii="Times New Roman" w:hAnsi="Times New Roman" w:cs="Times New Roman"/>
          <w:sz w:val="24"/>
          <w:szCs w:val="24"/>
        </w:rPr>
        <w:t xml:space="preserve">rocedures </w:t>
      </w:r>
      <w:r w:rsidR="00E649A0">
        <w:rPr>
          <w:rFonts w:ascii="Times New Roman" w:hAnsi="Times New Roman" w:cs="Times New Roman"/>
          <w:sz w:val="24"/>
          <w:szCs w:val="24"/>
        </w:rPr>
        <w:t xml:space="preserve">below, </w:t>
      </w:r>
      <w:r w:rsidRPr="00DE3DB6">
        <w:rPr>
          <w:rFonts w:ascii="Times New Roman" w:hAnsi="Times New Roman" w:cs="Times New Roman"/>
          <w:sz w:val="24"/>
          <w:szCs w:val="24"/>
        </w:rPr>
        <w:t>by type of data collection.</w:t>
      </w:r>
    </w:p>
    <w:p w:rsidR="00DE3DB6" w:rsidRPr="00DE3DB6" w:rsidP="00DE3DB6" w14:paraId="418A752C" w14:textId="77777777">
      <w:pPr>
        <w:pStyle w:val="L1-FlLSp12"/>
        <w:tabs>
          <w:tab w:val="left" w:pos="990"/>
          <w:tab w:val="clear" w:pos="1152"/>
        </w:tabs>
        <w:rPr>
          <w:rFonts w:ascii="Times New Roman" w:hAnsi="Times New Roman" w:cs="Times New Roman"/>
          <w:sz w:val="24"/>
          <w:szCs w:val="24"/>
          <w:u w:val="single"/>
        </w:rPr>
      </w:pPr>
      <w:bookmarkStart w:id="1" w:name="_Toc89111917"/>
      <w:bookmarkStart w:id="2" w:name="_Toc89247057"/>
      <w:r w:rsidRPr="00DE3DB6">
        <w:rPr>
          <w:rFonts w:ascii="Times New Roman" w:hAnsi="Times New Roman" w:cs="Times New Roman"/>
          <w:sz w:val="24"/>
          <w:szCs w:val="24"/>
        </w:rPr>
        <w:tab/>
      </w:r>
      <w:r w:rsidRPr="00DE3DB6">
        <w:rPr>
          <w:rFonts w:ascii="Times New Roman" w:hAnsi="Times New Roman" w:cs="Times New Roman"/>
          <w:sz w:val="24"/>
          <w:szCs w:val="24"/>
          <w:u w:val="single"/>
        </w:rPr>
        <w:t>Interview Data Collection Procedures</w:t>
      </w:r>
      <w:bookmarkEnd w:id="1"/>
      <w:bookmarkEnd w:id="2"/>
    </w:p>
    <w:p w:rsidR="00DE3DB6" w:rsidRPr="00DE3DB6" w:rsidP="00DE3DB6" w14:paraId="77BE0241" w14:textId="29895C30">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We </w:t>
      </w:r>
      <w:r w:rsidR="009704C3">
        <w:rPr>
          <w:rFonts w:ascii="Times New Roman" w:hAnsi="Times New Roman" w:cs="Times New Roman"/>
          <w:sz w:val="24"/>
          <w:szCs w:val="24"/>
        </w:rPr>
        <w:t>will</w:t>
      </w:r>
      <w:r w:rsidRPr="00DE3DB6">
        <w:rPr>
          <w:rFonts w:ascii="Times New Roman" w:hAnsi="Times New Roman" w:cs="Times New Roman"/>
          <w:sz w:val="24"/>
          <w:szCs w:val="24"/>
        </w:rPr>
        <w:t xml:space="preserve"> conduct interviews virtually via video call.</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In our experience, it is easier to build rapport with respondents over video cal</w:t>
      </w:r>
      <w:r w:rsidRPr="00DE3DB6">
        <w:rPr>
          <w:rFonts w:ascii="Times New Roman" w:hAnsi="Times New Roman" w:cs="Times New Roman"/>
          <w:sz w:val="24"/>
          <w:szCs w:val="24"/>
        </w:rPr>
        <w:t>l, as the interviewer can respond to nonverbal cues.</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However, we understand that not all respondents feel comfortable with video calls or have access to video call technology.</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Therefore, we ask participants whether they would be comfortable conducting the interview via video call.</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If the participant is willing and has access to a computer, tablet, or other video</w:t>
      </w:r>
      <w:r w:rsidR="00C15E5F">
        <w:rPr>
          <w:rFonts w:ascii="Times New Roman" w:hAnsi="Times New Roman" w:cs="Times New Roman"/>
          <w:sz w:val="24"/>
          <w:szCs w:val="24"/>
        </w:rPr>
        <w:noBreakHyphen/>
      </w:r>
      <w:r w:rsidRPr="00DE3DB6">
        <w:rPr>
          <w:rFonts w:ascii="Times New Roman" w:hAnsi="Times New Roman" w:cs="Times New Roman"/>
          <w:sz w:val="24"/>
          <w:szCs w:val="24"/>
        </w:rPr>
        <w:t>capable internet device, we schedule the interview for a video ca</w:t>
      </w:r>
      <w:r w:rsidRPr="00DE3DB6">
        <w:rPr>
          <w:rFonts w:ascii="Times New Roman" w:hAnsi="Times New Roman" w:cs="Times New Roman"/>
          <w:sz w:val="24"/>
          <w:szCs w:val="24"/>
        </w:rPr>
        <w:t xml:space="preserve">ll using a secure, easy-to-use platform such as </w:t>
      </w:r>
      <w:r w:rsidR="00DF7F76">
        <w:rPr>
          <w:rFonts w:ascii="Times New Roman" w:hAnsi="Times New Roman" w:cs="Times New Roman"/>
          <w:sz w:val="24"/>
          <w:szCs w:val="24"/>
        </w:rPr>
        <w:t>Microsoft Teams</w:t>
      </w:r>
      <w:r w:rsidRPr="00DE3DB6">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If the participant is willing to </w:t>
      </w:r>
      <w:r w:rsidRPr="00DE3DB6">
        <w:rPr>
          <w:rFonts w:ascii="Times New Roman" w:hAnsi="Times New Roman" w:cs="Times New Roman"/>
          <w:sz w:val="24"/>
          <w:szCs w:val="24"/>
        </w:rPr>
        <w:t xml:space="preserve">have the interview via video but lacks access to an internet connection or video capable device, the study team mails them a smartphone </w:t>
      </w:r>
      <w:r w:rsidR="00DF7F76">
        <w:rPr>
          <w:rFonts w:ascii="Times New Roman" w:hAnsi="Times New Roman" w:cs="Times New Roman"/>
          <w:sz w:val="24"/>
          <w:szCs w:val="24"/>
        </w:rPr>
        <w:t>with data plan (</w:t>
      </w:r>
      <w:r w:rsidRPr="00DE3DB6">
        <w:rPr>
          <w:rFonts w:ascii="Times New Roman" w:hAnsi="Times New Roman" w:cs="Times New Roman"/>
          <w:sz w:val="24"/>
          <w:szCs w:val="24"/>
        </w:rPr>
        <w:t>and i</w:t>
      </w:r>
      <w:r w:rsidRPr="00DE3DB6">
        <w:rPr>
          <w:rFonts w:ascii="Times New Roman" w:hAnsi="Times New Roman" w:cs="Times New Roman"/>
          <w:sz w:val="24"/>
          <w:szCs w:val="24"/>
        </w:rPr>
        <w:t>nternet hot spot</w:t>
      </w:r>
      <w:r w:rsidR="00DF7F76">
        <w:rPr>
          <w:rFonts w:ascii="Times New Roman" w:hAnsi="Times New Roman" w:cs="Times New Roman"/>
          <w:sz w:val="24"/>
          <w:szCs w:val="24"/>
        </w:rPr>
        <w:t>, if needed)</w:t>
      </w:r>
      <w:r w:rsidRPr="00DE3DB6">
        <w:rPr>
          <w:rFonts w:ascii="Times New Roman" w:hAnsi="Times New Roman" w:cs="Times New Roman"/>
          <w:sz w:val="24"/>
          <w:szCs w:val="24"/>
        </w:rPr>
        <w:t xml:space="preserve"> along with instructions for use.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The package includes a paid return envelope for the respondent to mail the phone back after the interview is complete.</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If the respondent is not comfortable using a videoconferencing platform, </w:t>
      </w:r>
      <w:r w:rsidRPr="00DE3DB6">
        <w:rPr>
          <w:rFonts w:ascii="Times New Roman" w:hAnsi="Times New Roman" w:cs="Times New Roman"/>
          <w:sz w:val="24"/>
          <w:szCs w:val="24"/>
        </w:rPr>
        <w:t>we hold the interviews by phone.</w:t>
      </w:r>
    </w:p>
    <w:p w:rsidR="00DE3DB6" w:rsidRPr="00DE3DB6" w:rsidP="00DE3DB6" w14:paraId="4F697FAF" w14:textId="1B42C491">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For video interviews, we offer the respondent an opportunity before their interview to walk through the process of using the videoconferencing platform.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We schedule these walkthroughs either the day before the interview or</w:t>
      </w:r>
      <w:r w:rsidRPr="00DE3DB6">
        <w:rPr>
          <w:rFonts w:ascii="Times New Roman" w:hAnsi="Times New Roman" w:cs="Times New Roman"/>
          <w:sz w:val="24"/>
          <w:szCs w:val="24"/>
        </w:rPr>
        <w:t xml:space="preserve"> the day of and explain the process of connecting to the website and the video call features.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These walk-throughs are particularly valuable for interviews with Exiters and Possible Exiters. </w:t>
      </w:r>
    </w:p>
    <w:p w:rsidR="00DE3DB6" w:rsidRPr="00DE3DB6" w:rsidP="00DE3DB6" w14:paraId="1D543105" w14:textId="3765EAB4">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For both phone and video interviews, the interviewer starts the </w:t>
      </w:r>
      <w:r w:rsidRPr="00DE3DB6">
        <w:rPr>
          <w:rFonts w:ascii="Times New Roman" w:hAnsi="Times New Roman" w:cs="Times New Roman"/>
          <w:sz w:val="24"/>
          <w:szCs w:val="24"/>
        </w:rPr>
        <w:t xml:space="preserve">interview by introducing him or herself and the study.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The interviewer explains the purpose of the study and the data collection effort and goes over informed consent materials, including how long the interview will take</w:t>
      </w:r>
      <w:r w:rsidR="00131D7E">
        <w:rPr>
          <w:rFonts w:ascii="Times New Roman" w:hAnsi="Times New Roman" w:cs="Times New Roman"/>
          <w:sz w:val="24"/>
          <w:szCs w:val="24"/>
        </w:rPr>
        <w:t>;</w:t>
      </w:r>
      <w:r w:rsidRPr="00DE3DB6">
        <w:rPr>
          <w:rFonts w:ascii="Times New Roman" w:hAnsi="Times New Roman" w:cs="Times New Roman"/>
          <w:sz w:val="24"/>
          <w:szCs w:val="24"/>
        </w:rPr>
        <w:t xml:space="preserve"> the participant’s rights</w:t>
      </w:r>
      <w:r w:rsidR="00131D7E">
        <w:rPr>
          <w:rFonts w:ascii="Times New Roman" w:hAnsi="Times New Roman" w:cs="Times New Roman"/>
          <w:sz w:val="24"/>
          <w:szCs w:val="24"/>
        </w:rPr>
        <w:t>;</w:t>
      </w:r>
      <w:r w:rsidRPr="00DE3DB6">
        <w:rPr>
          <w:rFonts w:ascii="Times New Roman" w:hAnsi="Times New Roman" w:cs="Times New Roman"/>
          <w:sz w:val="24"/>
          <w:szCs w:val="24"/>
        </w:rPr>
        <w:t xml:space="preserve"> the ris</w:t>
      </w:r>
      <w:r w:rsidRPr="00DE3DB6">
        <w:rPr>
          <w:rFonts w:ascii="Times New Roman" w:hAnsi="Times New Roman" w:cs="Times New Roman"/>
          <w:sz w:val="24"/>
          <w:szCs w:val="24"/>
        </w:rPr>
        <w:t>ks, and benefits of the study</w:t>
      </w:r>
      <w:r w:rsidR="00131D7E">
        <w:rPr>
          <w:rFonts w:ascii="Times New Roman" w:hAnsi="Times New Roman" w:cs="Times New Roman"/>
          <w:sz w:val="24"/>
          <w:szCs w:val="24"/>
        </w:rPr>
        <w:t>;</w:t>
      </w:r>
      <w:r w:rsidRPr="00DE3DB6">
        <w:rPr>
          <w:rFonts w:ascii="Times New Roman" w:hAnsi="Times New Roman" w:cs="Times New Roman"/>
          <w:sz w:val="24"/>
          <w:szCs w:val="24"/>
        </w:rPr>
        <w:t xml:space="preserve"> plans for maintaining participant’s privacy</w:t>
      </w:r>
      <w:r w:rsidR="00131D7E">
        <w:rPr>
          <w:rFonts w:ascii="Times New Roman" w:hAnsi="Times New Roman" w:cs="Times New Roman"/>
          <w:sz w:val="24"/>
          <w:szCs w:val="24"/>
        </w:rPr>
        <w:t>;</w:t>
      </w:r>
      <w:r w:rsidRPr="00DE3DB6">
        <w:rPr>
          <w:rFonts w:ascii="Times New Roman" w:hAnsi="Times New Roman" w:cs="Times New Roman"/>
          <w:sz w:val="24"/>
          <w:szCs w:val="24"/>
        </w:rPr>
        <w:t xml:space="preserve"> and how the participant can get more information about the study if desired.</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The interviewer answers all questions the participant has and emphasizes that the participant can ask </w:t>
      </w:r>
      <w:r w:rsidRPr="00DE3DB6">
        <w:rPr>
          <w:rFonts w:ascii="Times New Roman" w:hAnsi="Times New Roman" w:cs="Times New Roman"/>
          <w:sz w:val="24"/>
          <w:szCs w:val="24"/>
        </w:rPr>
        <w:t>questions at any time during the interview, and they can skip any question they do not wish to answer or end the interview at any time without any impact on their current or future SSA benefits.</w:t>
      </w:r>
    </w:p>
    <w:p w:rsidR="00DE3DB6" w:rsidRPr="00DE3DB6" w:rsidP="00DE3DB6" w14:paraId="41E95B7E" w14:textId="506ACF02">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The interviewer then asks if the participant consents to the </w:t>
      </w:r>
      <w:r w:rsidRPr="00DE3DB6">
        <w:rPr>
          <w:rFonts w:ascii="Times New Roman" w:hAnsi="Times New Roman" w:cs="Times New Roman"/>
          <w:sz w:val="24"/>
          <w:szCs w:val="24"/>
        </w:rPr>
        <w:t>interview.</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If the participant declines, the interviewer ends the interview.</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If the participant agrees, the interview asks if the participant agrees to have the interview audio recorded.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The interviewer explains the purpose of the recording and that we w</w:t>
      </w:r>
      <w:r w:rsidRPr="00DE3DB6">
        <w:rPr>
          <w:rFonts w:ascii="Times New Roman" w:hAnsi="Times New Roman" w:cs="Times New Roman"/>
          <w:sz w:val="24"/>
          <w:szCs w:val="24"/>
        </w:rPr>
        <w:t>ill protect privacy; the interviewer also explains that the interview can still proceed if the participant does not consent to be audio recorded.</w:t>
      </w:r>
    </w:p>
    <w:p w:rsidR="00DE3DB6" w:rsidRPr="00DE3DB6" w:rsidP="00DE3DB6" w14:paraId="3067BFF9" w14:textId="124B807E">
      <w:pPr>
        <w:pStyle w:val="L1-FlLSp12"/>
        <w:ind w:left="990"/>
        <w:rPr>
          <w:rFonts w:ascii="Times New Roman" w:hAnsi="Times New Roman" w:cs="Times New Roman"/>
          <w:sz w:val="24"/>
          <w:szCs w:val="24"/>
        </w:rPr>
      </w:pPr>
      <w:r w:rsidRPr="00DE3DB6">
        <w:rPr>
          <w:rFonts w:ascii="Times New Roman" w:hAnsi="Times New Roman" w:cs="Times New Roman"/>
          <w:sz w:val="24"/>
          <w:szCs w:val="24"/>
        </w:rPr>
        <w:t>If the participant declines to be audio recorded, the interviewer explains that he or she will be taking notes</w:t>
      </w:r>
      <w:r w:rsidRPr="00DE3DB6">
        <w:rPr>
          <w:rFonts w:ascii="Times New Roman" w:hAnsi="Times New Roman" w:cs="Times New Roman"/>
          <w:sz w:val="24"/>
          <w:szCs w:val="24"/>
        </w:rPr>
        <w:t xml:space="preserve"> on the interview, and the interviewer moves on to the topics of the interview.</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If the participant agrees to be audio recorded, the interviewer turns on the recorder and asks the participant, for the recording, whether they agree to participate in the int</w:t>
      </w:r>
      <w:r w:rsidRPr="00DE3DB6">
        <w:rPr>
          <w:rFonts w:ascii="Times New Roman" w:hAnsi="Times New Roman" w:cs="Times New Roman"/>
          <w:sz w:val="24"/>
          <w:szCs w:val="24"/>
        </w:rPr>
        <w:t xml:space="preserve">erview and whether they agree to be recorded.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The interviewer then moves on to the interview topics.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After the last question, the interviewer stops the audio recorder.</w:t>
      </w:r>
    </w:p>
    <w:p w:rsidR="00DE3DB6" w:rsidRPr="00DE3DB6" w:rsidP="00DE3DB6" w14:paraId="173C8D13" w14:textId="758D1EFD">
      <w:pPr>
        <w:pStyle w:val="L1-FlLSp12"/>
        <w:ind w:left="990"/>
        <w:rPr>
          <w:rFonts w:ascii="Times New Roman" w:hAnsi="Times New Roman" w:cs="Times New Roman"/>
          <w:sz w:val="24"/>
          <w:szCs w:val="24"/>
        </w:rPr>
      </w:pPr>
      <w:r w:rsidRPr="00DE3DB6">
        <w:rPr>
          <w:rFonts w:ascii="Times New Roman" w:hAnsi="Times New Roman" w:cs="Times New Roman"/>
          <w:sz w:val="24"/>
          <w:szCs w:val="24"/>
        </w:rPr>
        <w:t>After the interviewer asks all their questions, they give the participant another oppo</w:t>
      </w:r>
      <w:r w:rsidRPr="00DE3DB6">
        <w:rPr>
          <w:rFonts w:ascii="Times New Roman" w:hAnsi="Times New Roman" w:cs="Times New Roman"/>
          <w:sz w:val="24"/>
          <w:szCs w:val="24"/>
        </w:rPr>
        <w:t xml:space="preserve">rtunity to ask questions about the study and thanks them for their participation.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We send the incentive and send an additional email or letter thanking the participant.</w:t>
      </w:r>
    </w:p>
    <w:p w:rsidR="00DE3DB6" w:rsidRPr="00DE3DB6" w:rsidP="00DE3DB6" w14:paraId="08FCCEAC" w14:textId="77777777">
      <w:pPr>
        <w:pStyle w:val="L1-FlLSp12"/>
        <w:tabs>
          <w:tab w:val="left" w:pos="990"/>
          <w:tab w:val="clear" w:pos="1152"/>
        </w:tabs>
        <w:rPr>
          <w:rFonts w:ascii="Times New Roman" w:hAnsi="Times New Roman" w:cs="Times New Roman"/>
          <w:sz w:val="24"/>
          <w:szCs w:val="24"/>
        </w:rPr>
      </w:pPr>
      <w:bookmarkStart w:id="3" w:name="_Toc89111918"/>
      <w:bookmarkStart w:id="4" w:name="_Toc89247058"/>
      <w:r w:rsidRPr="00DE3DB6">
        <w:rPr>
          <w:rFonts w:ascii="Times New Roman" w:hAnsi="Times New Roman" w:cs="Times New Roman"/>
          <w:sz w:val="24"/>
          <w:szCs w:val="24"/>
        </w:rPr>
        <w:tab/>
      </w:r>
      <w:r w:rsidRPr="00DE3DB6">
        <w:rPr>
          <w:rFonts w:ascii="Times New Roman" w:hAnsi="Times New Roman" w:cs="Times New Roman"/>
          <w:sz w:val="24"/>
          <w:szCs w:val="24"/>
          <w:u w:val="single"/>
        </w:rPr>
        <w:t>Focus Group Data Collection Procedures</w:t>
      </w:r>
      <w:bookmarkEnd w:id="3"/>
      <w:bookmarkEnd w:id="4"/>
    </w:p>
    <w:p w:rsidR="00DE3DB6" w:rsidRPr="00DE3DB6" w:rsidP="00DE3DB6" w14:paraId="65915BDF" w14:textId="01BCC5EC">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We follow </w:t>
      </w:r>
      <w:r w:rsidR="00751717">
        <w:rPr>
          <w:rFonts w:ascii="Times New Roman" w:hAnsi="Times New Roman" w:cs="Times New Roman"/>
          <w:sz w:val="24"/>
          <w:szCs w:val="24"/>
        </w:rPr>
        <w:t>similar</w:t>
      </w:r>
      <w:r w:rsidRPr="00DE3DB6">
        <w:rPr>
          <w:rFonts w:ascii="Times New Roman" w:hAnsi="Times New Roman" w:cs="Times New Roman"/>
          <w:sz w:val="24"/>
          <w:szCs w:val="24"/>
        </w:rPr>
        <w:t xml:space="preserve"> procedures for focus group d</w:t>
      </w:r>
      <w:r w:rsidRPr="00DE3DB6">
        <w:rPr>
          <w:rFonts w:ascii="Times New Roman" w:hAnsi="Times New Roman" w:cs="Times New Roman"/>
          <w:sz w:val="24"/>
          <w:szCs w:val="24"/>
        </w:rPr>
        <w:t xml:space="preserve">ata collection.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One key difference is modality.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For the focus groups, participants must be willing to be part of a group </w:t>
      </w:r>
      <w:r w:rsidRPr="00DE3DB6">
        <w:rPr>
          <w:rFonts w:ascii="Times New Roman" w:hAnsi="Times New Roman" w:cs="Times New Roman"/>
          <w:sz w:val="24"/>
          <w:szCs w:val="24"/>
        </w:rPr>
        <w:t>video call.</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As with interviews, we offer to send the participant a video-enabled device and hot spot if they lack one, but if they are not willing to participate via video call</w:t>
      </w:r>
      <w:r w:rsidR="007A6F2A">
        <w:rPr>
          <w:rFonts w:ascii="Times New Roman" w:hAnsi="Times New Roman" w:cs="Times New Roman"/>
          <w:sz w:val="24"/>
          <w:szCs w:val="24"/>
        </w:rPr>
        <w:t xml:space="preserve"> and agree to the call being recorded</w:t>
      </w:r>
      <w:r w:rsidRPr="00DE3DB6">
        <w:rPr>
          <w:rFonts w:ascii="Times New Roman" w:hAnsi="Times New Roman" w:cs="Times New Roman"/>
          <w:sz w:val="24"/>
          <w:szCs w:val="24"/>
        </w:rPr>
        <w:t>, we thank them but do not include them in the focus g</w:t>
      </w:r>
      <w:r w:rsidRPr="00DE3DB6">
        <w:rPr>
          <w:rFonts w:ascii="Times New Roman" w:hAnsi="Times New Roman" w:cs="Times New Roman"/>
          <w:sz w:val="24"/>
          <w:szCs w:val="24"/>
        </w:rPr>
        <w:t xml:space="preserve">roup.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Our experience is that when one or more group members are not on camera while others are, the dynamic between focus group members is strained.</w:t>
      </w:r>
    </w:p>
    <w:p w:rsidR="00DE3DB6" w:rsidRPr="00DE3DB6" w:rsidP="00DE3DB6" w14:paraId="147E6D7B" w14:textId="060792AB">
      <w:pPr>
        <w:pStyle w:val="L1-FlLSp12"/>
        <w:ind w:left="990"/>
        <w:rPr>
          <w:rFonts w:ascii="Times New Roman" w:hAnsi="Times New Roman" w:cs="Times New Roman"/>
          <w:sz w:val="24"/>
          <w:szCs w:val="24"/>
        </w:rPr>
      </w:pPr>
      <w:r w:rsidRPr="00DE3DB6">
        <w:rPr>
          <w:rFonts w:ascii="Times New Roman" w:hAnsi="Times New Roman" w:cs="Times New Roman"/>
          <w:sz w:val="24"/>
          <w:szCs w:val="24"/>
        </w:rPr>
        <w:t>As with interviews conducted via video call, we hold all focus groups on</w:t>
      </w:r>
      <w:r w:rsidR="00D47C5B">
        <w:rPr>
          <w:rFonts w:ascii="Times New Roman" w:hAnsi="Times New Roman" w:cs="Times New Roman"/>
          <w:sz w:val="24"/>
          <w:szCs w:val="24"/>
        </w:rPr>
        <w:t xml:space="preserve"> Microsoft Teams,</w:t>
      </w:r>
      <w:r w:rsidRPr="00DE3DB6">
        <w:rPr>
          <w:rFonts w:ascii="Times New Roman" w:hAnsi="Times New Roman" w:cs="Times New Roman"/>
          <w:sz w:val="24"/>
          <w:szCs w:val="24"/>
        </w:rPr>
        <w:t xml:space="preserve"> a secure, easy-t</w:t>
      </w:r>
      <w:r w:rsidRPr="00DE3DB6">
        <w:rPr>
          <w:rFonts w:ascii="Times New Roman" w:hAnsi="Times New Roman" w:cs="Times New Roman"/>
          <w:sz w:val="24"/>
          <w:szCs w:val="24"/>
        </w:rPr>
        <w:t xml:space="preserve">o-use </w:t>
      </w:r>
      <w:r w:rsidRPr="00DE3DB6" w:rsidR="00387B28">
        <w:rPr>
          <w:rFonts w:ascii="Times New Roman" w:hAnsi="Times New Roman" w:cs="Times New Roman"/>
          <w:sz w:val="24"/>
          <w:szCs w:val="24"/>
        </w:rPr>
        <w:t>platform.</w:t>
      </w:r>
      <w:r w:rsidRPr="00DE3DB6">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We also ask all participants to find a quiet, private location from which to connect to the focus group.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We offer all participants the opportunity to do a private walk-through of the platform the day before or the day of the focus group w</w:t>
      </w:r>
      <w:r w:rsidRPr="00DE3DB6">
        <w:rPr>
          <w:rFonts w:ascii="Times New Roman" w:hAnsi="Times New Roman" w:cs="Times New Roman"/>
          <w:sz w:val="24"/>
          <w:szCs w:val="24"/>
        </w:rPr>
        <w:t>ith a member of the study team.</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During the walk-through, the study team member highlights aspects of the platform that are particularly relevant for the focus group, including options for “raising hands” to indicate that a participant wants to talk, as we</w:t>
      </w:r>
      <w:r w:rsidRPr="00DE3DB6">
        <w:rPr>
          <w:rFonts w:ascii="Times New Roman" w:hAnsi="Times New Roman" w:cs="Times New Roman"/>
          <w:sz w:val="24"/>
          <w:szCs w:val="24"/>
        </w:rPr>
        <w:t>ll as the chat box.</w:t>
      </w:r>
    </w:p>
    <w:p w:rsidR="00DE3DB6" w:rsidRPr="00DE3DB6" w:rsidP="00DE3DB6" w14:paraId="513AB7A3" w14:textId="39442336">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We designate one member of the study team as the technological liaison for focus groups.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That team member conducts the walk-throughs with participants ahead of the focus group and helps with all last-minute technological support at the</w:t>
      </w:r>
      <w:r w:rsidRPr="00DE3DB6">
        <w:rPr>
          <w:rFonts w:ascii="Times New Roman" w:hAnsi="Times New Roman" w:cs="Times New Roman"/>
          <w:sz w:val="24"/>
          <w:szCs w:val="24"/>
        </w:rPr>
        <w:t xml:space="preserve"> focus group interview.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The tech liaison, the focus group facilitator, and an assistant to the facilitator will all join the focus group 30 minutes ahead of the scheduled time to help all participants as they join.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We encourage participants to join early</w:t>
      </w:r>
      <w:r w:rsidRPr="00DE3DB6">
        <w:rPr>
          <w:rFonts w:ascii="Times New Roman" w:hAnsi="Times New Roman" w:cs="Times New Roman"/>
          <w:sz w:val="24"/>
          <w:szCs w:val="24"/>
        </w:rPr>
        <w:t>.</w:t>
      </w:r>
    </w:p>
    <w:p w:rsidR="00DE3DB6" w:rsidRPr="00DE3DB6" w:rsidP="00DE3DB6" w14:paraId="54A3CBA5" w14:textId="5A17E43D">
      <w:pPr>
        <w:pStyle w:val="L1-FlLSp12"/>
        <w:ind w:left="990"/>
        <w:rPr>
          <w:rFonts w:ascii="Times New Roman" w:hAnsi="Times New Roman" w:cs="Times New Roman"/>
          <w:sz w:val="24"/>
          <w:szCs w:val="24"/>
        </w:rPr>
      </w:pPr>
      <w:r w:rsidRPr="007C6EAD">
        <w:rPr>
          <w:rFonts w:ascii="Times New Roman" w:hAnsi="Times New Roman" w:cs="Times New Roman"/>
          <w:sz w:val="24"/>
          <w:szCs w:val="24"/>
        </w:rPr>
        <w:t>As each participant joins the platform, the facilitator or assistant</w:t>
      </w:r>
      <w:r w:rsidRPr="007C6EAD" w:rsidR="006D5181">
        <w:rPr>
          <w:rFonts w:ascii="Times New Roman" w:hAnsi="Times New Roman" w:cs="Times New Roman"/>
          <w:sz w:val="24"/>
          <w:szCs w:val="24"/>
        </w:rPr>
        <w:t xml:space="preserve"> will ask if they prefer to change</w:t>
      </w:r>
      <w:r w:rsidRPr="007C6EAD">
        <w:rPr>
          <w:rFonts w:ascii="Times New Roman" w:hAnsi="Times New Roman" w:cs="Times New Roman"/>
          <w:sz w:val="24"/>
          <w:szCs w:val="24"/>
        </w:rPr>
        <w:t xml:space="preserve"> their display</w:t>
      </w:r>
      <w:r w:rsidRPr="007C6EAD">
        <w:rPr>
          <w:rFonts w:ascii="Times New Roman" w:hAnsi="Times New Roman"/>
          <w:sz w:val="24"/>
        </w:rPr>
        <w:t xml:space="preserve"> </w:t>
      </w:r>
      <w:r w:rsidRPr="007C6EAD">
        <w:rPr>
          <w:rFonts w:ascii="Times New Roman" w:hAnsi="Times New Roman" w:cs="Times New Roman"/>
          <w:sz w:val="24"/>
          <w:szCs w:val="24"/>
        </w:rPr>
        <w:t xml:space="preserve">name </w:t>
      </w:r>
      <w:r w:rsidRPr="007C6EAD" w:rsidR="006D5181">
        <w:rPr>
          <w:rFonts w:ascii="Times New Roman" w:hAnsi="Times New Roman" w:cs="Times New Roman"/>
          <w:sz w:val="24"/>
          <w:szCs w:val="24"/>
        </w:rPr>
        <w:t xml:space="preserve">before entering the main group with the other focus group members. </w:t>
      </w:r>
      <w:r w:rsidR="00387B28">
        <w:rPr>
          <w:rFonts w:ascii="Times New Roman" w:hAnsi="Times New Roman" w:cs="Times New Roman"/>
          <w:sz w:val="24"/>
          <w:szCs w:val="24"/>
        </w:rPr>
        <w:t xml:space="preserve"> </w:t>
      </w:r>
      <w:r w:rsidRPr="007C6EAD" w:rsidR="006D5181">
        <w:rPr>
          <w:rFonts w:ascii="Times New Roman" w:hAnsi="Times New Roman" w:cs="Times New Roman"/>
          <w:sz w:val="24"/>
          <w:szCs w:val="24"/>
        </w:rPr>
        <w:t xml:space="preserve">If so, we will ask them what they want it changed to. </w:t>
      </w:r>
      <w:r w:rsidR="00387B28">
        <w:rPr>
          <w:rFonts w:ascii="Times New Roman" w:hAnsi="Times New Roman" w:cs="Times New Roman"/>
          <w:sz w:val="24"/>
          <w:szCs w:val="24"/>
        </w:rPr>
        <w:t xml:space="preserve"> </w:t>
      </w:r>
      <w:r w:rsidRPr="007C6EAD" w:rsidR="006D5181">
        <w:rPr>
          <w:rFonts w:ascii="Times New Roman" w:hAnsi="Times New Roman" w:cs="Times New Roman"/>
          <w:sz w:val="24"/>
          <w:szCs w:val="24"/>
        </w:rPr>
        <w:t>If not, we will display first name and last initial only</w:t>
      </w:r>
      <w:r w:rsidRPr="007C6EAD">
        <w:rPr>
          <w:rFonts w:ascii="Times New Roman" w:hAnsi="Times New Roman" w:cs="Times New Roman"/>
          <w:sz w:val="24"/>
          <w:szCs w:val="24"/>
        </w:rPr>
        <w:t xml:space="preserve">. </w:t>
      </w:r>
      <w:r w:rsidR="00387B28">
        <w:rPr>
          <w:rFonts w:ascii="Times New Roman" w:hAnsi="Times New Roman" w:cs="Times New Roman"/>
          <w:sz w:val="24"/>
          <w:szCs w:val="24"/>
        </w:rPr>
        <w:t xml:space="preserve"> </w:t>
      </w:r>
      <w:r w:rsidRPr="007C6EAD">
        <w:rPr>
          <w:rFonts w:ascii="Times New Roman" w:hAnsi="Times New Roman" w:cs="Times New Roman"/>
          <w:sz w:val="24"/>
          <w:szCs w:val="24"/>
        </w:rPr>
        <w:t xml:space="preserve">We use no last names in the focus groups. </w:t>
      </w:r>
      <w:r w:rsidR="00387B28">
        <w:rPr>
          <w:rFonts w:ascii="Times New Roman" w:hAnsi="Times New Roman" w:cs="Times New Roman"/>
          <w:sz w:val="24"/>
          <w:szCs w:val="24"/>
        </w:rPr>
        <w:t xml:space="preserve"> </w:t>
      </w:r>
      <w:r w:rsidRPr="007C6EAD">
        <w:rPr>
          <w:rFonts w:ascii="Times New Roman" w:hAnsi="Times New Roman" w:cs="Times New Roman"/>
          <w:sz w:val="24"/>
          <w:szCs w:val="24"/>
        </w:rPr>
        <w:t>Once the participant has chosen a display name, the participant joins the main group</w:t>
      </w:r>
      <w:r w:rsidRPr="007C6EAD">
        <w:rPr>
          <w:rFonts w:ascii="Times New Roman" w:hAnsi="Times New Roman"/>
          <w:sz w:val="24"/>
        </w:rPr>
        <w:t>.</w:t>
      </w:r>
    </w:p>
    <w:p w:rsidR="00DE3DB6" w:rsidRPr="00DE3DB6" w:rsidP="00DE3DB6" w14:paraId="2AC85435" w14:textId="1AA3BDFE">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Once the team </w:t>
      </w:r>
      <w:r>
        <w:rPr>
          <w:rFonts w:ascii="Times New Roman" w:hAnsi="Times New Roman" w:cs="Times New Roman"/>
          <w:sz w:val="24"/>
          <w:szCs w:val="24"/>
        </w:rPr>
        <w:t xml:space="preserve">obtains </w:t>
      </w:r>
      <w:r w:rsidRPr="00DE3DB6">
        <w:rPr>
          <w:rFonts w:ascii="Times New Roman" w:hAnsi="Times New Roman" w:cs="Times New Roman"/>
          <w:sz w:val="24"/>
          <w:szCs w:val="24"/>
        </w:rPr>
        <w:t>consent</w:t>
      </w:r>
      <w:r>
        <w:rPr>
          <w:rFonts w:ascii="Times New Roman" w:hAnsi="Times New Roman" w:cs="Times New Roman"/>
          <w:sz w:val="24"/>
          <w:szCs w:val="24"/>
        </w:rPr>
        <w:t xml:space="preserve"> from</w:t>
      </w:r>
      <w:r w:rsidRPr="00DE3DB6">
        <w:rPr>
          <w:rFonts w:ascii="Times New Roman" w:hAnsi="Times New Roman" w:cs="Times New Roman"/>
          <w:sz w:val="24"/>
          <w:szCs w:val="24"/>
        </w:rPr>
        <w:t xml:space="preserve"> all participants, the facilitator introduces him or he</w:t>
      </w:r>
      <w:r w:rsidRPr="00DE3DB6">
        <w:rPr>
          <w:rFonts w:ascii="Times New Roman" w:hAnsi="Times New Roman" w:cs="Times New Roman"/>
          <w:sz w:val="24"/>
          <w:szCs w:val="24"/>
        </w:rPr>
        <w:t>rself and the assistant and the tech liaison</w:t>
      </w:r>
      <w:r w:rsidRPr="00DE3DB6" w:rsidR="00004952">
        <w:rPr>
          <w:rFonts w:ascii="Times New Roman" w:hAnsi="Times New Roman" w:cs="Times New Roman"/>
          <w:sz w:val="24"/>
          <w:szCs w:val="24"/>
        </w:rPr>
        <w:t xml:space="preserve">.  </w:t>
      </w:r>
      <w:r w:rsidRPr="00DE3DB6">
        <w:rPr>
          <w:rFonts w:ascii="Times New Roman" w:hAnsi="Times New Roman" w:cs="Times New Roman"/>
          <w:sz w:val="24"/>
          <w:szCs w:val="24"/>
        </w:rPr>
        <w:t>The facilitator introduces the study and data collection effort</w:t>
      </w:r>
      <w:r w:rsidR="00C15E5F">
        <w:rPr>
          <w:rFonts w:ascii="Times New Roman" w:hAnsi="Times New Roman" w:cs="Times New Roman"/>
          <w:sz w:val="24"/>
          <w:szCs w:val="24"/>
        </w:rPr>
        <w:t xml:space="preserve">:  </w:t>
      </w:r>
      <w:r w:rsidRPr="00DE3DB6">
        <w:rPr>
          <w:rFonts w:ascii="Times New Roman" w:hAnsi="Times New Roman" w:cs="Times New Roman"/>
          <w:sz w:val="24"/>
          <w:szCs w:val="24"/>
        </w:rPr>
        <w:t>the purpose of the focus group, how long it should last, and how we plan to use the information they provide</w:t>
      </w:r>
      <w:r w:rsidRPr="00DE3DB6" w:rsidR="00004952">
        <w:rPr>
          <w:rFonts w:ascii="Times New Roman" w:hAnsi="Times New Roman" w:cs="Times New Roman"/>
          <w:sz w:val="24"/>
          <w:szCs w:val="24"/>
        </w:rPr>
        <w:t xml:space="preserve">.  </w:t>
      </w:r>
      <w:r w:rsidRPr="00DE3DB6">
        <w:rPr>
          <w:rFonts w:ascii="Times New Roman" w:hAnsi="Times New Roman" w:cs="Times New Roman"/>
          <w:sz w:val="24"/>
          <w:szCs w:val="24"/>
        </w:rPr>
        <w:t xml:space="preserve">The facilitator also </w:t>
      </w:r>
      <w:r w:rsidRPr="00DE3DB6">
        <w:rPr>
          <w:rFonts w:ascii="Times New Roman" w:hAnsi="Times New Roman" w:cs="Times New Roman"/>
          <w:sz w:val="24"/>
          <w:szCs w:val="24"/>
        </w:rPr>
        <w:t>establishes the rules of the focus group</w:t>
      </w:r>
      <w:r w:rsidRPr="00DE3DB6" w:rsidR="00004952">
        <w:rPr>
          <w:rFonts w:ascii="Times New Roman" w:hAnsi="Times New Roman" w:cs="Times New Roman"/>
          <w:sz w:val="24"/>
          <w:szCs w:val="24"/>
        </w:rPr>
        <w:t xml:space="preserve">.  </w:t>
      </w:r>
      <w:r w:rsidRPr="00DE3DB6">
        <w:rPr>
          <w:rFonts w:ascii="Times New Roman" w:hAnsi="Times New Roman" w:cs="Times New Roman"/>
          <w:sz w:val="24"/>
          <w:szCs w:val="24"/>
        </w:rPr>
        <w:t>We instruct participants to keep private all discussion from the focus group</w:t>
      </w:r>
      <w:r w:rsidRPr="00DE3DB6" w:rsidR="00004952">
        <w:rPr>
          <w:rFonts w:ascii="Times New Roman" w:hAnsi="Times New Roman" w:cs="Times New Roman"/>
          <w:sz w:val="24"/>
          <w:szCs w:val="24"/>
        </w:rPr>
        <w:t xml:space="preserve">.  </w:t>
      </w:r>
      <w:r w:rsidRPr="00DE3DB6">
        <w:rPr>
          <w:rFonts w:ascii="Times New Roman" w:hAnsi="Times New Roman" w:cs="Times New Roman"/>
          <w:sz w:val="24"/>
          <w:szCs w:val="24"/>
        </w:rPr>
        <w:t>This is particularly important for the focus groups with Exiters and Possible Exiters</w:t>
      </w:r>
      <w:r w:rsidRPr="00DE3DB6" w:rsidR="00004952">
        <w:rPr>
          <w:rFonts w:ascii="Times New Roman" w:hAnsi="Times New Roman" w:cs="Times New Roman"/>
          <w:sz w:val="24"/>
          <w:szCs w:val="24"/>
        </w:rPr>
        <w:t xml:space="preserve">.  </w:t>
      </w:r>
      <w:r w:rsidRPr="00DE3DB6">
        <w:rPr>
          <w:rFonts w:ascii="Times New Roman" w:hAnsi="Times New Roman" w:cs="Times New Roman"/>
          <w:sz w:val="24"/>
          <w:szCs w:val="24"/>
        </w:rPr>
        <w:t xml:space="preserve">We cannot enforce confidentiality, but we can </w:t>
      </w:r>
      <w:r w:rsidRPr="00DE3DB6">
        <w:rPr>
          <w:rFonts w:ascii="Times New Roman" w:hAnsi="Times New Roman" w:cs="Times New Roman"/>
          <w:sz w:val="24"/>
          <w:szCs w:val="24"/>
        </w:rPr>
        <w:t>emphasize to participants that we are trusting them to maintain the confidentiality of their fellow participants.</w:t>
      </w:r>
    </w:p>
    <w:p w:rsidR="00DE3DB6" w:rsidRPr="00DE3DB6" w:rsidP="00DE3DB6" w14:paraId="625331DE" w14:textId="3657A7AF">
      <w:pPr>
        <w:pStyle w:val="L1-FlLSp12"/>
        <w:ind w:left="990"/>
        <w:rPr>
          <w:rFonts w:ascii="Times New Roman" w:hAnsi="Times New Roman" w:cs="Times New Roman"/>
          <w:sz w:val="24"/>
          <w:szCs w:val="24"/>
        </w:rPr>
      </w:pPr>
      <w:r w:rsidRPr="00DE3DB6">
        <w:rPr>
          <w:rFonts w:ascii="Times New Roman" w:hAnsi="Times New Roman" w:cs="Times New Roman"/>
          <w:sz w:val="24"/>
          <w:szCs w:val="24"/>
        </w:rPr>
        <w:t>The tech liaison then walks through some of the basic features of the focus group platform, including how to “raise your hand,” how to use the</w:t>
      </w:r>
      <w:r w:rsidRPr="00DE3DB6">
        <w:rPr>
          <w:rFonts w:ascii="Times New Roman" w:hAnsi="Times New Roman" w:cs="Times New Roman"/>
          <w:sz w:val="24"/>
          <w:szCs w:val="24"/>
        </w:rPr>
        <w:t xml:space="preserve"> chat box and how to mute oneself.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Participants can practice with these features.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The tech liaison is available throughout the focus group to address any technological difficulties.</w:t>
      </w:r>
    </w:p>
    <w:p w:rsidR="00DE3DB6" w:rsidRPr="00DE3DB6" w:rsidP="00DE3DB6" w14:paraId="06450D5D" w14:textId="3E1E471D">
      <w:pPr>
        <w:pStyle w:val="L1-FlLSp12"/>
        <w:ind w:left="990"/>
        <w:rPr>
          <w:rFonts w:ascii="Times New Roman" w:hAnsi="Times New Roman" w:cs="Times New Roman"/>
          <w:sz w:val="24"/>
          <w:szCs w:val="24"/>
        </w:rPr>
      </w:pPr>
      <w:r w:rsidRPr="00DE3DB6">
        <w:rPr>
          <w:rFonts w:ascii="Times New Roman" w:hAnsi="Times New Roman" w:cs="Times New Roman"/>
          <w:sz w:val="24"/>
          <w:szCs w:val="24"/>
        </w:rPr>
        <w:t>Our approach to moderating the focus group is to take a light hand whene</w:t>
      </w:r>
      <w:r w:rsidRPr="00DE3DB6">
        <w:rPr>
          <w:rFonts w:ascii="Times New Roman" w:hAnsi="Times New Roman" w:cs="Times New Roman"/>
          <w:sz w:val="24"/>
          <w:szCs w:val="24"/>
        </w:rPr>
        <w:t xml:space="preserve">ver possible.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We aim to foster discussion and to direct the discussion only as needed to ensure that we cover all topics and that each participant gets the chance to contribute.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To this end, we may mute other participants when one participant is talking,</w:t>
      </w:r>
      <w:r w:rsidRPr="00DE3DB6">
        <w:rPr>
          <w:rFonts w:ascii="Times New Roman" w:hAnsi="Times New Roman" w:cs="Times New Roman"/>
          <w:sz w:val="24"/>
          <w:szCs w:val="24"/>
        </w:rPr>
        <w:t xml:space="preserve"> to minimize </w:t>
      </w:r>
      <w:r w:rsidRPr="00DE3DB6">
        <w:rPr>
          <w:rFonts w:ascii="Times New Roman" w:hAnsi="Times New Roman" w:cs="Times New Roman"/>
          <w:sz w:val="24"/>
          <w:szCs w:val="24"/>
        </w:rPr>
        <w:t xml:space="preserve">interruptions, or break in to ensure that we address questions or comments made through the chat box. </w:t>
      </w:r>
    </w:p>
    <w:p w:rsidR="00DE3DB6" w:rsidRPr="00DE3DB6" w:rsidP="00DE3DB6" w14:paraId="221E57FE" w14:textId="05704F7B">
      <w:pPr>
        <w:pStyle w:val="L1-FlLSp12"/>
        <w:ind w:left="990"/>
        <w:rPr>
          <w:rFonts w:ascii="Times New Roman" w:hAnsi="Times New Roman" w:cs="Times New Roman"/>
          <w:sz w:val="24"/>
          <w:szCs w:val="24"/>
        </w:rPr>
      </w:pPr>
      <w:r w:rsidRPr="00DE3DB6">
        <w:rPr>
          <w:rFonts w:ascii="Times New Roman" w:hAnsi="Times New Roman" w:cs="Times New Roman"/>
          <w:sz w:val="24"/>
          <w:szCs w:val="24"/>
        </w:rPr>
        <w:t xml:space="preserve">At the conclusion of the focus group, we end the </w:t>
      </w:r>
      <w:r w:rsidRPr="00DE3DB6" w:rsidR="00A55C1F">
        <w:rPr>
          <w:rFonts w:ascii="Times New Roman" w:hAnsi="Times New Roman" w:cs="Times New Roman"/>
          <w:sz w:val="24"/>
          <w:szCs w:val="24"/>
        </w:rPr>
        <w:t>recording,</w:t>
      </w:r>
      <w:r w:rsidRPr="00DE3DB6">
        <w:rPr>
          <w:rFonts w:ascii="Times New Roman" w:hAnsi="Times New Roman" w:cs="Times New Roman"/>
          <w:sz w:val="24"/>
          <w:szCs w:val="24"/>
        </w:rPr>
        <w:t xml:space="preserve"> and we thank all participants and answer any remaining questions.</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 xml:space="preserve"> We give all p</w:t>
      </w:r>
      <w:r w:rsidRPr="00DE3DB6">
        <w:rPr>
          <w:rFonts w:ascii="Times New Roman" w:hAnsi="Times New Roman" w:cs="Times New Roman"/>
          <w:sz w:val="24"/>
          <w:szCs w:val="24"/>
        </w:rPr>
        <w:t xml:space="preserve">articipants the contact information for the study if they have any follow-up questions. </w:t>
      </w:r>
      <w:r w:rsidR="00387B28">
        <w:rPr>
          <w:rFonts w:ascii="Times New Roman" w:hAnsi="Times New Roman" w:cs="Times New Roman"/>
          <w:sz w:val="24"/>
          <w:szCs w:val="24"/>
        </w:rPr>
        <w:t xml:space="preserve"> </w:t>
      </w:r>
      <w:r w:rsidRPr="00DE3DB6">
        <w:rPr>
          <w:rFonts w:ascii="Times New Roman" w:hAnsi="Times New Roman" w:cs="Times New Roman"/>
          <w:sz w:val="24"/>
          <w:szCs w:val="24"/>
        </w:rPr>
        <w:t>After the focus group, we send out any incentives and send an additional letter to thank participants.</w:t>
      </w:r>
    </w:p>
    <w:p w:rsidR="00A34B6F" w:rsidRPr="00A34B6F" w:rsidP="00A34B6F" w14:paraId="2117E0B7" w14:textId="45312968">
      <w:pPr>
        <w:pStyle w:val="L1-FlLSp12"/>
        <w:tabs>
          <w:tab w:val="left" w:pos="990"/>
          <w:tab w:val="clear" w:pos="1152"/>
        </w:tabs>
        <w:rPr>
          <w:rFonts w:ascii="Times New Roman" w:hAnsi="Times New Roman" w:cs="Times New Roman"/>
          <w:sz w:val="24"/>
          <w:szCs w:val="24"/>
          <w:u w:val="single"/>
        </w:rPr>
      </w:pPr>
      <w:r w:rsidRPr="00DE3DB6">
        <w:rPr>
          <w:rFonts w:ascii="Times New Roman" w:hAnsi="Times New Roman" w:cs="Times New Roman"/>
          <w:sz w:val="24"/>
          <w:szCs w:val="24"/>
        </w:rPr>
        <w:tab/>
      </w:r>
      <w:r w:rsidR="007A6F2A">
        <w:rPr>
          <w:rFonts w:ascii="Times New Roman" w:hAnsi="Times New Roman" w:cs="Times New Roman"/>
          <w:sz w:val="24"/>
          <w:szCs w:val="24"/>
        </w:rPr>
        <w:t xml:space="preserve">MI Pilot </w:t>
      </w:r>
      <w:r w:rsidRPr="00A34B6F">
        <w:rPr>
          <w:rFonts w:ascii="Times New Roman" w:hAnsi="Times New Roman" w:cs="Times New Roman"/>
          <w:sz w:val="24"/>
          <w:szCs w:val="24"/>
          <w:u w:val="single"/>
        </w:rPr>
        <w:t>Recruitment and Screening</w:t>
      </w:r>
    </w:p>
    <w:p w:rsidR="00A34B6F" w:rsidRPr="000E2990" w:rsidP="00A34B6F" w14:paraId="2C14855B" w14:textId="31004468">
      <w:pPr>
        <w:pStyle w:val="L1-FlLSp12"/>
        <w:ind w:left="990"/>
        <w:rPr>
          <w:rFonts w:ascii="Times New Roman" w:hAnsi="Times New Roman" w:cs="Times New Roman"/>
          <w:sz w:val="24"/>
          <w:szCs w:val="24"/>
        </w:rPr>
      </w:pPr>
      <w:r w:rsidRPr="000E2990">
        <w:rPr>
          <w:rFonts w:ascii="Times New Roman" w:hAnsi="Times New Roman"/>
          <w:sz w:val="24"/>
          <w:szCs w:val="24"/>
        </w:rPr>
        <w:t xml:space="preserve">Out of a potential list of 2,000 Exiters, </w:t>
      </w:r>
      <w:r w:rsidRPr="000E2990">
        <w:rPr>
          <w:rFonts w:ascii="Times New Roman" w:hAnsi="Times New Roman" w:cs="Times New Roman"/>
          <w:sz w:val="24"/>
          <w:szCs w:val="24"/>
        </w:rPr>
        <w:t>Westat will send an introductory letter to 200 potential MI Pilot participants, along with consent information and a one</w:t>
      </w:r>
      <w:r w:rsidR="00F90AA1">
        <w:rPr>
          <w:rFonts w:ascii="Times New Roman" w:hAnsi="Times New Roman" w:cs="Times New Roman"/>
          <w:sz w:val="24"/>
          <w:szCs w:val="24"/>
        </w:rPr>
        <w:noBreakHyphen/>
      </w:r>
      <w:r w:rsidRPr="000E2990">
        <w:rPr>
          <w:rFonts w:ascii="Times New Roman" w:hAnsi="Times New Roman" w:cs="Times New Roman"/>
          <w:sz w:val="24"/>
          <w:szCs w:val="24"/>
        </w:rPr>
        <w:t>to</w:t>
      </w:r>
      <w:r w:rsidR="00F90AA1">
        <w:rPr>
          <w:rFonts w:ascii="Times New Roman" w:hAnsi="Times New Roman" w:cs="Times New Roman"/>
          <w:sz w:val="24"/>
          <w:szCs w:val="24"/>
        </w:rPr>
        <w:noBreakHyphen/>
      </w:r>
      <w:r w:rsidRPr="000E2990">
        <w:rPr>
          <w:rFonts w:ascii="Times New Roman" w:hAnsi="Times New Roman" w:cs="Times New Roman"/>
          <w:sz w:val="24"/>
          <w:szCs w:val="24"/>
        </w:rPr>
        <w:t>two</w:t>
      </w:r>
      <w:r w:rsidR="00F90AA1">
        <w:rPr>
          <w:rFonts w:ascii="Times New Roman" w:hAnsi="Times New Roman" w:cs="Times New Roman"/>
          <w:sz w:val="24"/>
          <w:szCs w:val="24"/>
        </w:rPr>
        <w:noBreakHyphen/>
      </w:r>
      <w:r w:rsidRPr="000E2990">
        <w:rPr>
          <w:rFonts w:ascii="Times New Roman" w:hAnsi="Times New Roman" w:cs="Times New Roman"/>
          <w:sz w:val="24"/>
          <w:szCs w:val="24"/>
        </w:rPr>
        <w:t xml:space="preserve">page brochure describing the MI pilot.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 xml:space="preserve">Within 7 days, we </w:t>
      </w:r>
      <w:r w:rsidR="00E02D16">
        <w:rPr>
          <w:rFonts w:ascii="Times New Roman" w:hAnsi="Times New Roman" w:cs="Times New Roman"/>
          <w:sz w:val="24"/>
          <w:szCs w:val="24"/>
        </w:rPr>
        <w:t xml:space="preserve">will </w:t>
      </w:r>
      <w:r w:rsidRPr="000E2990">
        <w:rPr>
          <w:rFonts w:ascii="Times New Roman" w:hAnsi="Times New Roman" w:cs="Times New Roman"/>
          <w:sz w:val="24"/>
          <w:szCs w:val="24"/>
        </w:rPr>
        <w:t xml:space="preserve">follow-up with a phone call by a Westat recruiter who can address questions and provide further information about the study. </w:t>
      </w:r>
      <w:r w:rsidR="00387B28">
        <w:rPr>
          <w:rFonts w:ascii="Times New Roman" w:hAnsi="Times New Roman" w:cs="Times New Roman"/>
          <w:sz w:val="24"/>
          <w:szCs w:val="24"/>
        </w:rPr>
        <w:t xml:space="preserve"> </w:t>
      </w:r>
      <w:r w:rsidRPr="000E2990">
        <w:rPr>
          <w:rFonts w:ascii="Times New Roman" w:hAnsi="Times New Roman" w:cs="Times New Roman"/>
          <w:sz w:val="24"/>
          <w:szCs w:val="24"/>
        </w:rPr>
        <w:t>The MI Pilot study population consists of 50 Exiters.  If someone drops out of MI after 1 session, then Westat selects a replaceme</w:t>
      </w:r>
      <w:r w:rsidRPr="000E2990">
        <w:rPr>
          <w:rFonts w:ascii="Times New Roman" w:hAnsi="Times New Roman" w:cs="Times New Roman"/>
          <w:sz w:val="24"/>
          <w:szCs w:val="24"/>
        </w:rPr>
        <w:t xml:space="preserve">nt individual from </w:t>
      </w:r>
      <w:r w:rsidR="00E02D16">
        <w:rPr>
          <w:rFonts w:ascii="Times New Roman" w:hAnsi="Times New Roman" w:cs="Times New Roman"/>
          <w:sz w:val="24"/>
          <w:szCs w:val="24"/>
        </w:rPr>
        <w:t xml:space="preserve">the list </w:t>
      </w:r>
      <w:r w:rsidRPr="000E2990">
        <w:rPr>
          <w:rFonts w:ascii="Times New Roman" w:hAnsi="Times New Roman" w:cs="Times New Roman"/>
          <w:sz w:val="24"/>
          <w:szCs w:val="24"/>
        </w:rPr>
        <w:t>sample.</w:t>
      </w:r>
    </w:p>
    <w:p w:rsidR="00A34B6F" w:rsidRPr="00A34B6F" w:rsidP="00A34B6F" w14:paraId="2A4CADDE" w14:textId="77777777">
      <w:pPr>
        <w:pStyle w:val="L1-FlLSp12"/>
        <w:ind w:left="990"/>
        <w:rPr>
          <w:rFonts w:ascii="Times New Roman" w:hAnsi="Times New Roman" w:cs="Times New Roman"/>
          <w:sz w:val="24"/>
          <w:szCs w:val="24"/>
          <w:u w:val="single"/>
        </w:rPr>
      </w:pPr>
      <w:r w:rsidRPr="00A34B6F">
        <w:rPr>
          <w:rFonts w:ascii="Times New Roman" w:hAnsi="Times New Roman" w:cs="Times New Roman"/>
          <w:sz w:val="24"/>
          <w:szCs w:val="24"/>
          <w:u w:val="single"/>
        </w:rPr>
        <w:t>MI Pilot Data Collection</w:t>
      </w:r>
    </w:p>
    <w:p w:rsidR="00A34B6F" w:rsidRPr="00A34B6F" w:rsidP="00A34B6F" w14:paraId="5AB6E983" w14:textId="7C1829FD">
      <w:pPr>
        <w:pStyle w:val="L1-FlLSp12"/>
        <w:ind w:left="990"/>
        <w:rPr>
          <w:rFonts w:ascii="Times New Roman" w:hAnsi="Times New Roman" w:cs="Times New Roman"/>
          <w:sz w:val="24"/>
          <w:szCs w:val="24"/>
        </w:rPr>
      </w:pPr>
      <w:r>
        <w:rPr>
          <w:rFonts w:ascii="Times New Roman" w:hAnsi="Times New Roman" w:cs="Times New Roman"/>
          <w:sz w:val="24"/>
          <w:szCs w:val="24"/>
        </w:rPr>
        <w:t>The</w:t>
      </w:r>
      <w:r w:rsidRPr="00A34B6F">
        <w:rPr>
          <w:rFonts w:ascii="Times New Roman" w:hAnsi="Times New Roman" w:cs="Times New Roman"/>
          <w:sz w:val="24"/>
          <w:szCs w:val="24"/>
        </w:rPr>
        <w:t xml:space="preserve"> </w:t>
      </w:r>
      <w:r>
        <w:rPr>
          <w:rFonts w:ascii="Times New Roman" w:hAnsi="Times New Roman" w:cs="Times New Roman"/>
          <w:sz w:val="24"/>
          <w:szCs w:val="24"/>
        </w:rPr>
        <w:t>MI Pilot</w:t>
      </w:r>
      <w:r w:rsidRPr="00A34B6F">
        <w:rPr>
          <w:rFonts w:ascii="Times New Roman" w:hAnsi="Times New Roman" w:cs="Times New Roman"/>
          <w:sz w:val="24"/>
          <w:szCs w:val="24"/>
        </w:rPr>
        <w:t xml:space="preserve"> will consist of the following activities:  pre and post telephone surveys with Exiters, up to six MI sessions conducted by five Motivational Interviewers; supervision sessions conduc</w:t>
      </w:r>
      <w:r w:rsidRPr="00A34B6F">
        <w:rPr>
          <w:rFonts w:ascii="Times New Roman" w:hAnsi="Times New Roman" w:cs="Times New Roman"/>
          <w:sz w:val="24"/>
          <w:szCs w:val="24"/>
        </w:rPr>
        <w:t>ted by a Senior Motivational Interviewer/Trainer; independent fidelity assessments; and post Motivational Interviewer focus group.</w:t>
      </w:r>
    </w:p>
    <w:p w:rsidR="00A34B6F" w:rsidRPr="00A34B6F" w:rsidP="00A34B6F" w14:paraId="36293034" w14:textId="77777777">
      <w:pPr>
        <w:pStyle w:val="L1-FlLSp12"/>
        <w:ind w:left="990"/>
        <w:rPr>
          <w:rFonts w:ascii="Times New Roman" w:hAnsi="Times New Roman" w:cs="Times New Roman"/>
          <w:sz w:val="24"/>
          <w:szCs w:val="24"/>
          <w:u w:val="single"/>
        </w:rPr>
      </w:pPr>
      <w:r w:rsidRPr="00A34B6F">
        <w:rPr>
          <w:rFonts w:ascii="Times New Roman" w:hAnsi="Times New Roman" w:cs="Times New Roman"/>
          <w:sz w:val="24"/>
          <w:szCs w:val="24"/>
          <w:u w:val="single"/>
        </w:rPr>
        <w:t>Pre and Post Surveys with Exiters</w:t>
      </w:r>
    </w:p>
    <w:p w:rsidR="00A34B6F" w:rsidRPr="00A34B6F" w:rsidP="00A34B6F" w14:paraId="652B025F" w14:textId="64FCDA90">
      <w:pPr>
        <w:pStyle w:val="L1-FlLSp12"/>
        <w:ind w:left="990"/>
        <w:rPr>
          <w:rFonts w:ascii="Times New Roman" w:hAnsi="Times New Roman" w:cs="Times New Roman"/>
          <w:sz w:val="24"/>
          <w:szCs w:val="24"/>
        </w:rPr>
      </w:pPr>
      <w:r w:rsidRPr="00A34B6F">
        <w:rPr>
          <w:rFonts w:ascii="Times New Roman" w:hAnsi="Times New Roman" w:cs="Times New Roman"/>
          <w:sz w:val="24"/>
          <w:szCs w:val="24"/>
        </w:rPr>
        <w:t xml:space="preserve">Westat Research Assistants will complete the Employment Change Assessment Scale, a 28-item </w:t>
      </w:r>
      <w:r w:rsidRPr="00A34B6F">
        <w:rPr>
          <w:rFonts w:ascii="Times New Roman" w:hAnsi="Times New Roman" w:cs="Times New Roman"/>
          <w:sz w:val="24"/>
          <w:szCs w:val="24"/>
        </w:rPr>
        <w:t xml:space="preserve">scale to assess how Exiters might feel when thinking about employment or getting a job with Exiters prior to and following the completion of MI appointment.  </w:t>
      </w:r>
    </w:p>
    <w:p w:rsidR="00A34B6F" w:rsidRPr="00A34B6F" w:rsidP="00A34B6F" w14:paraId="3E06DB4A" w14:textId="77777777">
      <w:pPr>
        <w:pStyle w:val="L1-FlLSp12"/>
        <w:ind w:left="990"/>
        <w:rPr>
          <w:rFonts w:ascii="Times New Roman" w:hAnsi="Times New Roman" w:cs="Times New Roman"/>
          <w:sz w:val="24"/>
          <w:szCs w:val="24"/>
          <w:u w:val="single"/>
        </w:rPr>
      </w:pPr>
      <w:r w:rsidRPr="00A34B6F">
        <w:rPr>
          <w:rFonts w:ascii="Times New Roman" w:hAnsi="Times New Roman" w:cs="Times New Roman"/>
          <w:sz w:val="24"/>
          <w:szCs w:val="24"/>
          <w:u w:val="single"/>
        </w:rPr>
        <w:t>MI Sessions</w:t>
      </w:r>
    </w:p>
    <w:p w:rsidR="00A34B6F" w:rsidRPr="00A34B6F" w:rsidP="00A34B6F" w14:paraId="28178B7D" w14:textId="0C84314F">
      <w:pPr>
        <w:pStyle w:val="L1-FlLSp12"/>
        <w:ind w:left="990"/>
        <w:rPr>
          <w:rFonts w:ascii="Times New Roman" w:hAnsi="Times New Roman" w:cs="Times New Roman"/>
          <w:sz w:val="24"/>
          <w:szCs w:val="24"/>
        </w:rPr>
      </w:pPr>
      <w:r w:rsidRPr="00A34B6F">
        <w:rPr>
          <w:rFonts w:ascii="Times New Roman" w:hAnsi="Times New Roman" w:cs="Times New Roman"/>
          <w:sz w:val="24"/>
          <w:szCs w:val="24"/>
        </w:rPr>
        <w:t xml:space="preserve">Five Motivational interviewers will conduct up to six MI sessions with each </w:t>
      </w:r>
      <w:r w:rsidR="00E02D16">
        <w:rPr>
          <w:rFonts w:ascii="Times New Roman" w:hAnsi="Times New Roman" w:cs="Times New Roman"/>
          <w:sz w:val="24"/>
          <w:szCs w:val="24"/>
        </w:rPr>
        <w:t xml:space="preserve">of the 50 </w:t>
      </w:r>
      <w:r w:rsidRPr="00A34B6F">
        <w:rPr>
          <w:rFonts w:ascii="Times New Roman" w:hAnsi="Times New Roman" w:cs="Times New Roman"/>
          <w:sz w:val="24"/>
          <w:szCs w:val="24"/>
        </w:rPr>
        <w:t>Exiter</w:t>
      </w:r>
      <w:r w:rsidR="00E02D16">
        <w:rPr>
          <w:rFonts w:ascii="Times New Roman" w:hAnsi="Times New Roman" w:cs="Times New Roman"/>
          <w:sz w:val="24"/>
          <w:szCs w:val="24"/>
        </w:rPr>
        <w:t>s</w:t>
      </w:r>
      <w:r w:rsidRPr="00A34B6F">
        <w:rPr>
          <w:rFonts w:ascii="Times New Roman" w:hAnsi="Times New Roman" w:cs="Times New Roman"/>
          <w:sz w:val="24"/>
          <w:szCs w:val="24"/>
        </w:rPr>
        <w:t>, which will take between 45 minutes and 1 hour via Microsoft Teams or telephone.  To minimize attrition, we aim to schedule MI appointments no more than 10 days in advance of their appointments, and to send reminder calls and texts (with permissio</w:t>
      </w:r>
      <w:r w:rsidRPr="00A34B6F">
        <w:rPr>
          <w:rFonts w:ascii="Times New Roman" w:hAnsi="Times New Roman" w:cs="Times New Roman"/>
          <w:sz w:val="24"/>
          <w:szCs w:val="24"/>
        </w:rPr>
        <w:t>n) the day before the appointment, and the day of their appointment.</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 If necessary, we are prepared to send pre-paid phones and hot spots to Exiters who may not have access to a phone or an internet connection.</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 After completing the first MI session, we wi</w:t>
      </w:r>
      <w:r w:rsidRPr="00A34B6F">
        <w:rPr>
          <w:rFonts w:ascii="Times New Roman" w:hAnsi="Times New Roman" w:cs="Times New Roman"/>
          <w:sz w:val="24"/>
          <w:szCs w:val="24"/>
        </w:rPr>
        <w:t>ll send $40 Visa gift cards by either mail</w:t>
      </w:r>
      <w:r w:rsidR="00121B57">
        <w:rPr>
          <w:rFonts w:ascii="Times New Roman" w:hAnsi="Times New Roman" w:cs="Times New Roman"/>
          <w:sz w:val="24"/>
          <w:szCs w:val="24"/>
        </w:rPr>
        <w:t>.</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 For each subsequent completed session, we will provide $25 Visa gift cards for a total of $165 if Exiters complete all six calls. </w:t>
      </w:r>
    </w:p>
    <w:p w:rsidR="00A34B6F" w:rsidRPr="00A34B6F" w:rsidP="00A34B6F" w14:paraId="2A4EF994" w14:textId="6D74F049">
      <w:pPr>
        <w:pStyle w:val="L1-FlLSp12"/>
        <w:ind w:left="990"/>
        <w:rPr>
          <w:rFonts w:ascii="Times New Roman" w:hAnsi="Times New Roman" w:cs="Times New Roman"/>
          <w:sz w:val="24"/>
          <w:szCs w:val="24"/>
        </w:rPr>
      </w:pPr>
      <w:r w:rsidRPr="00A34B6F">
        <w:rPr>
          <w:rFonts w:ascii="Times New Roman" w:hAnsi="Times New Roman" w:cs="Times New Roman"/>
          <w:sz w:val="24"/>
          <w:szCs w:val="24"/>
        </w:rPr>
        <w:t>During each MI session, Motivational Interviewers will complete the Stages of Change Screener for Seeking Competitive Employ</w:t>
      </w:r>
      <w:r w:rsidRPr="00A34B6F">
        <w:rPr>
          <w:rFonts w:ascii="Times New Roman" w:hAnsi="Times New Roman" w:cs="Times New Roman"/>
          <w:sz w:val="24"/>
          <w:szCs w:val="24"/>
        </w:rPr>
        <w:t>ment with Exiters at the start of the session assessing Exiters</w:t>
      </w:r>
      <w:r w:rsidR="003B7425">
        <w:rPr>
          <w:rFonts w:ascii="Times New Roman" w:hAnsi="Times New Roman" w:cs="Times New Roman"/>
          <w:sz w:val="24"/>
          <w:szCs w:val="24"/>
        </w:rPr>
        <w:t>’</w:t>
      </w:r>
      <w:r w:rsidRPr="00A34B6F">
        <w:rPr>
          <w:rFonts w:ascii="Times New Roman" w:hAnsi="Times New Roman" w:cs="Times New Roman"/>
          <w:sz w:val="24"/>
          <w:szCs w:val="24"/>
        </w:rPr>
        <w:t xml:space="preserve"> motivation for seeking employment or advancing their career.  Depending on Exiters</w:t>
      </w:r>
      <w:r w:rsidR="003B7425">
        <w:rPr>
          <w:rFonts w:ascii="Times New Roman" w:hAnsi="Times New Roman" w:cs="Times New Roman"/>
          <w:sz w:val="24"/>
          <w:szCs w:val="24"/>
        </w:rPr>
        <w:t>’</w:t>
      </w:r>
      <w:r w:rsidRPr="00A34B6F">
        <w:rPr>
          <w:rFonts w:ascii="Times New Roman" w:hAnsi="Times New Roman" w:cs="Times New Roman"/>
          <w:sz w:val="24"/>
          <w:szCs w:val="24"/>
        </w:rPr>
        <w:t xml:space="preserve"> stage of change, Motivational Interviewers will </w:t>
      </w:r>
      <w:r w:rsidRPr="00A34B6F">
        <w:rPr>
          <w:rFonts w:ascii="Times New Roman" w:hAnsi="Times New Roman" w:cs="Times New Roman"/>
          <w:sz w:val="24"/>
          <w:szCs w:val="24"/>
        </w:rPr>
        <w:t>complete appropriate MI worksheets to guide Exiters through</w:t>
      </w:r>
      <w:r w:rsidRPr="00A34B6F">
        <w:rPr>
          <w:rFonts w:ascii="Times New Roman" w:hAnsi="Times New Roman" w:cs="Times New Roman"/>
          <w:sz w:val="24"/>
          <w:szCs w:val="24"/>
        </w:rPr>
        <w:t xml:space="preserve"> the stages of change related to seeking employment or career advancement.  Following each session, Motivational Interviewers will complete the Interviewer Session Log to capture how the</w:t>
      </w:r>
      <w:r>
        <w:rPr>
          <w:rFonts w:ascii="Times New Roman" w:hAnsi="Times New Roman" w:cs="Times New Roman"/>
          <w:sz w:val="24"/>
          <w:szCs w:val="24"/>
        </w:rPr>
        <w:t>y conducted the</w:t>
      </w:r>
      <w:r w:rsidRPr="00A34B6F">
        <w:rPr>
          <w:rFonts w:ascii="Times New Roman" w:hAnsi="Times New Roman" w:cs="Times New Roman"/>
          <w:sz w:val="24"/>
          <w:szCs w:val="24"/>
        </w:rPr>
        <w:t xml:space="preserve"> session</w:t>
      </w:r>
      <w:r w:rsidRPr="00A34B6F">
        <w:rPr>
          <w:rFonts w:ascii="Times New Roman" w:hAnsi="Times New Roman" w:cs="Times New Roman"/>
          <w:sz w:val="24"/>
          <w:szCs w:val="24"/>
        </w:rPr>
        <w:t>, the types of referrals</w:t>
      </w:r>
      <w:r>
        <w:rPr>
          <w:rFonts w:ascii="Times New Roman" w:hAnsi="Times New Roman" w:cs="Times New Roman"/>
          <w:sz w:val="24"/>
          <w:szCs w:val="24"/>
        </w:rPr>
        <w:t xml:space="preserve"> they</w:t>
      </w:r>
      <w:r w:rsidRPr="00A34B6F">
        <w:rPr>
          <w:rFonts w:ascii="Times New Roman" w:hAnsi="Times New Roman" w:cs="Times New Roman"/>
          <w:sz w:val="24"/>
          <w:szCs w:val="24"/>
        </w:rPr>
        <w:t xml:space="preserve"> made during the session</w:t>
      </w:r>
      <w:r w:rsidRPr="00A34B6F">
        <w:rPr>
          <w:rFonts w:ascii="Times New Roman" w:hAnsi="Times New Roman" w:cs="Times New Roman"/>
          <w:sz w:val="24"/>
          <w:szCs w:val="24"/>
        </w:rPr>
        <w:t xml:space="preserve"> (i.e., whether the</w:t>
      </w:r>
      <w:r>
        <w:rPr>
          <w:rFonts w:ascii="Times New Roman" w:hAnsi="Times New Roman" w:cs="Times New Roman"/>
          <w:sz w:val="24"/>
          <w:szCs w:val="24"/>
        </w:rPr>
        <w:t>y referred the</w:t>
      </w:r>
      <w:r w:rsidRPr="00A34B6F">
        <w:rPr>
          <w:rFonts w:ascii="Times New Roman" w:hAnsi="Times New Roman" w:cs="Times New Roman"/>
          <w:sz w:val="24"/>
          <w:szCs w:val="24"/>
        </w:rPr>
        <w:t xml:space="preserve"> Exit</w:t>
      </w:r>
      <w:r w:rsidRPr="00A34B6F">
        <w:rPr>
          <w:rFonts w:ascii="Times New Roman" w:hAnsi="Times New Roman" w:cs="Times New Roman"/>
          <w:sz w:val="24"/>
          <w:szCs w:val="24"/>
        </w:rPr>
        <w:t>er</w:t>
      </w:r>
      <w:r w:rsidRPr="00A34B6F">
        <w:rPr>
          <w:rFonts w:ascii="Times New Roman" w:hAnsi="Times New Roman" w:cs="Times New Roman"/>
          <w:sz w:val="24"/>
          <w:szCs w:val="24"/>
        </w:rPr>
        <w:t xml:space="preserve"> </w:t>
      </w:r>
      <w:r w:rsidRPr="00A34B6F">
        <w:rPr>
          <w:rFonts w:ascii="Times New Roman" w:hAnsi="Times New Roman" w:cs="Times New Roman"/>
          <w:sz w:val="24"/>
          <w:szCs w:val="24"/>
        </w:rPr>
        <w:t xml:space="preserve">to IPS Supported Employment or Vocational Rehabilitation), any non-employment needs/barriers </w:t>
      </w:r>
      <w:r>
        <w:rPr>
          <w:rFonts w:ascii="Times New Roman" w:hAnsi="Times New Roman" w:cs="Times New Roman"/>
          <w:sz w:val="24"/>
          <w:szCs w:val="24"/>
        </w:rPr>
        <w:t xml:space="preserve">they </w:t>
      </w:r>
      <w:r w:rsidRPr="00A34B6F">
        <w:rPr>
          <w:rFonts w:ascii="Times New Roman" w:hAnsi="Times New Roman" w:cs="Times New Roman"/>
          <w:sz w:val="24"/>
          <w:szCs w:val="24"/>
        </w:rPr>
        <w:t xml:space="preserve">discussed in the session, other referrals, and the Exiter’s progress.  </w:t>
      </w:r>
    </w:p>
    <w:p w:rsidR="00A34B6F" w:rsidRPr="00A34B6F" w:rsidP="00A34B6F" w14:paraId="32C95AF7" w14:textId="77777777">
      <w:pPr>
        <w:pStyle w:val="L1-FlLSp12"/>
        <w:ind w:left="990"/>
        <w:rPr>
          <w:rFonts w:ascii="Times New Roman" w:hAnsi="Times New Roman" w:cs="Times New Roman"/>
          <w:sz w:val="24"/>
          <w:szCs w:val="24"/>
          <w:u w:val="single"/>
        </w:rPr>
      </w:pPr>
      <w:r w:rsidRPr="00A34B6F">
        <w:rPr>
          <w:rFonts w:ascii="Times New Roman" w:hAnsi="Times New Roman" w:cs="Times New Roman"/>
          <w:sz w:val="24"/>
          <w:szCs w:val="24"/>
          <w:u w:val="single"/>
        </w:rPr>
        <w:t>Supervision Sessions and Independent Fidelity Asses</w:t>
      </w:r>
      <w:r w:rsidRPr="00A34B6F">
        <w:rPr>
          <w:rFonts w:ascii="Times New Roman" w:hAnsi="Times New Roman" w:cs="Times New Roman"/>
          <w:sz w:val="24"/>
          <w:szCs w:val="24"/>
          <w:u w:val="single"/>
        </w:rPr>
        <w:t>sments</w:t>
      </w:r>
    </w:p>
    <w:p w:rsidR="00BB2CF1" w:rsidP="00A34B6F" w14:paraId="265B0A01" w14:textId="741E74F1">
      <w:pPr>
        <w:pStyle w:val="L1-FlLSp12"/>
        <w:ind w:left="990"/>
        <w:rPr>
          <w:rFonts w:ascii="Times New Roman" w:hAnsi="Times New Roman" w:cs="Times New Roman"/>
          <w:sz w:val="24"/>
          <w:szCs w:val="24"/>
        </w:rPr>
      </w:pPr>
      <w:r w:rsidRPr="00A34B6F">
        <w:rPr>
          <w:rFonts w:ascii="Times New Roman" w:hAnsi="Times New Roman" w:cs="Times New Roman"/>
          <w:sz w:val="24"/>
          <w:szCs w:val="24"/>
        </w:rPr>
        <w:t>The Senior Motivational Interviewer will conduct supervision sessions between 2-8 times for each of the five Motivational Interviewers.  We will collect progress notes from the supervision sessions to understand barriers and facilitators for providi</w:t>
      </w:r>
      <w:r w:rsidRPr="00A34B6F">
        <w:rPr>
          <w:rFonts w:ascii="Times New Roman" w:hAnsi="Times New Roman" w:cs="Times New Roman"/>
          <w:sz w:val="24"/>
          <w:szCs w:val="24"/>
        </w:rPr>
        <w:t xml:space="preserve">ng MI to this study population.  Additionally, the Senior Motivational Interviewer will use the Motivational Interviewing Treatment Integrity Coding Manual 4.2.1 (MITI) to measure fidelity.  </w:t>
      </w:r>
      <w:r>
        <w:rPr>
          <w:rFonts w:ascii="Times New Roman" w:hAnsi="Times New Roman" w:cs="Times New Roman"/>
          <w:sz w:val="24"/>
          <w:szCs w:val="24"/>
        </w:rPr>
        <w:t xml:space="preserve">A subject matter expert (i.e., Jon Larson, a Senior Motivational </w:t>
      </w:r>
      <w:r>
        <w:rPr>
          <w:rFonts w:ascii="Times New Roman" w:hAnsi="Times New Roman" w:cs="Times New Roman"/>
          <w:sz w:val="24"/>
          <w:szCs w:val="24"/>
        </w:rPr>
        <w:t>Interviewer) will make f</w:t>
      </w:r>
      <w:r w:rsidRPr="00A34B6F">
        <w:rPr>
          <w:rFonts w:ascii="Times New Roman" w:hAnsi="Times New Roman" w:cs="Times New Roman"/>
          <w:sz w:val="24"/>
          <w:szCs w:val="24"/>
        </w:rPr>
        <w:t>idelity assessments</w:t>
      </w:r>
      <w:r>
        <w:rPr>
          <w:rFonts w:ascii="Times New Roman" w:hAnsi="Times New Roman" w:cs="Times New Roman"/>
          <w:sz w:val="24"/>
          <w:szCs w:val="24"/>
        </w:rPr>
        <w:t xml:space="preserve"> </w:t>
      </w:r>
      <w:r w:rsidRPr="00A34B6F">
        <w:rPr>
          <w:rFonts w:ascii="Times New Roman" w:hAnsi="Times New Roman" w:cs="Times New Roman"/>
          <w:sz w:val="24"/>
          <w:szCs w:val="24"/>
        </w:rPr>
        <w:t>based on MI session recordings.</w:t>
      </w:r>
    </w:p>
    <w:p w:rsidR="00A34B6F" w:rsidRPr="00A34B6F" w:rsidP="00A34B6F" w14:paraId="71B3720C" w14:textId="30BB0130">
      <w:pPr>
        <w:pStyle w:val="L1-FlLSp12"/>
        <w:ind w:left="990"/>
        <w:rPr>
          <w:rFonts w:ascii="Times New Roman" w:hAnsi="Times New Roman" w:cs="Times New Roman"/>
          <w:sz w:val="24"/>
          <w:szCs w:val="24"/>
        </w:rPr>
      </w:pPr>
      <w:r>
        <w:rPr>
          <w:rFonts w:ascii="Times New Roman" w:hAnsi="Times New Roman" w:cs="Times New Roman"/>
          <w:sz w:val="24"/>
          <w:szCs w:val="24"/>
        </w:rPr>
        <w:t>Westat</w:t>
      </w:r>
      <w:r>
        <w:rPr>
          <w:rFonts w:ascii="Times New Roman" w:hAnsi="Times New Roman" w:cs="Times New Roman"/>
          <w:sz w:val="24"/>
          <w:szCs w:val="24"/>
        </w:rPr>
        <w:t xml:space="preserve"> will also</w:t>
      </w:r>
      <w:r>
        <w:rPr>
          <w:rFonts w:ascii="Times New Roman" w:hAnsi="Times New Roman" w:cs="Times New Roman"/>
          <w:sz w:val="24"/>
          <w:szCs w:val="24"/>
        </w:rPr>
        <w:t xml:space="preserve"> make f</w:t>
      </w:r>
      <w:r w:rsidRPr="00A34B6F">
        <w:rPr>
          <w:rFonts w:ascii="Times New Roman" w:hAnsi="Times New Roman" w:cs="Times New Roman"/>
          <w:sz w:val="24"/>
          <w:szCs w:val="24"/>
        </w:rPr>
        <w:t xml:space="preserve">idelity assessments </w:t>
      </w:r>
      <w:r>
        <w:rPr>
          <w:rFonts w:ascii="Times New Roman" w:hAnsi="Times New Roman" w:cs="Times New Roman"/>
          <w:sz w:val="24"/>
          <w:szCs w:val="24"/>
        </w:rPr>
        <w:t>b</w:t>
      </w:r>
      <w:r w:rsidRPr="00A34B6F">
        <w:rPr>
          <w:rFonts w:ascii="Times New Roman" w:hAnsi="Times New Roman" w:cs="Times New Roman"/>
          <w:sz w:val="24"/>
          <w:szCs w:val="24"/>
        </w:rPr>
        <w:t>ased on MI session recordings.  Westat will provide the Senior Motivational Interviewer with a random sample of ten percent of the MI sess</w:t>
      </w:r>
      <w:r w:rsidRPr="00A34B6F">
        <w:rPr>
          <w:rFonts w:ascii="Times New Roman" w:hAnsi="Times New Roman" w:cs="Times New Roman"/>
          <w:sz w:val="24"/>
          <w:szCs w:val="24"/>
        </w:rPr>
        <w:t xml:space="preserve">ion recordings (approximately 20-30 assessments) including two MI sessions from each Motivational Interviewer. </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According to the MITI, we will score recordings based on the presence or absence of certain behaviors assessed by an observer.</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 Behavior counts </w:t>
      </w:r>
      <w:r w:rsidRPr="00A34B6F">
        <w:rPr>
          <w:rFonts w:ascii="Times New Roman" w:hAnsi="Times New Roman" w:cs="Times New Roman"/>
          <w:sz w:val="24"/>
          <w:szCs w:val="24"/>
        </w:rPr>
        <w:t xml:space="preserve">capture specific MI skills </w:t>
      </w:r>
      <w:r w:rsidRPr="00A34B6F">
        <w:rPr>
          <w:rFonts w:ascii="Times New Roman" w:hAnsi="Times New Roman" w:cs="Times New Roman"/>
          <w:sz w:val="24"/>
          <w:szCs w:val="24"/>
        </w:rPr>
        <w:t>the counselor</w:t>
      </w:r>
      <w:r>
        <w:rPr>
          <w:rFonts w:ascii="Times New Roman" w:hAnsi="Times New Roman" w:cs="Times New Roman"/>
          <w:sz w:val="24"/>
          <w:szCs w:val="24"/>
        </w:rPr>
        <w:t xml:space="preserve"> uses</w:t>
      </w:r>
      <w:r w:rsidRPr="00A34B6F">
        <w:rPr>
          <w:rFonts w:ascii="Times New Roman" w:hAnsi="Times New Roman" w:cs="Times New Roman"/>
          <w:sz w:val="24"/>
          <w:szCs w:val="24"/>
        </w:rPr>
        <w:t xml:space="preserve"> during the session. </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Our Senior Motivational Interviewer, Jon Larson, </w:t>
      </w:r>
      <w:r>
        <w:rPr>
          <w:rFonts w:ascii="Times New Roman" w:hAnsi="Times New Roman" w:cs="Times New Roman"/>
          <w:sz w:val="24"/>
          <w:szCs w:val="24"/>
        </w:rPr>
        <w:t xml:space="preserve">will </w:t>
      </w:r>
      <w:r w:rsidRPr="00A34B6F">
        <w:rPr>
          <w:rFonts w:ascii="Times New Roman" w:hAnsi="Times New Roman" w:cs="Times New Roman"/>
          <w:sz w:val="24"/>
          <w:szCs w:val="24"/>
        </w:rPr>
        <w:t>assign</w:t>
      </w:r>
      <w:r w:rsidRPr="00A34B6F">
        <w:rPr>
          <w:rFonts w:ascii="Times New Roman" w:hAnsi="Times New Roman" w:cs="Times New Roman"/>
          <w:sz w:val="24"/>
          <w:szCs w:val="24"/>
        </w:rPr>
        <w:t xml:space="preserve"> adherent or non-adherent codes to each behavior.</w:t>
      </w:r>
      <w:r w:rsidR="00387B28">
        <w:rPr>
          <w:rFonts w:ascii="Times New Roman" w:hAnsi="Times New Roman" w:cs="Times New Roman"/>
          <w:sz w:val="24"/>
          <w:szCs w:val="24"/>
        </w:rPr>
        <w:t xml:space="preserve"> </w:t>
      </w:r>
      <w:r w:rsidRPr="00A34B6F">
        <w:rPr>
          <w:rFonts w:ascii="Times New Roman" w:hAnsi="Times New Roman" w:cs="Times New Roman"/>
          <w:sz w:val="24"/>
          <w:szCs w:val="24"/>
        </w:rPr>
        <w:t xml:space="preserve"> Adherent codes include affirmation, seeking collaboration, and emphasizing auto</w:t>
      </w:r>
      <w:r w:rsidRPr="00A34B6F">
        <w:rPr>
          <w:rFonts w:ascii="Times New Roman" w:hAnsi="Times New Roman" w:cs="Times New Roman"/>
          <w:sz w:val="24"/>
          <w:szCs w:val="24"/>
        </w:rPr>
        <w:t>nomy; non-adherent codes include the counselor persuading and/or confronting the client, which are not MI skills</w:t>
      </w:r>
      <w:r w:rsidR="00387B28">
        <w:rPr>
          <w:rFonts w:ascii="Times New Roman" w:hAnsi="Times New Roman" w:cs="Times New Roman"/>
          <w:sz w:val="24"/>
          <w:szCs w:val="24"/>
        </w:rPr>
        <w:t>.</w:t>
      </w:r>
      <w:r w:rsidRPr="00A34B6F">
        <w:rPr>
          <w:rFonts w:ascii="Times New Roman" w:hAnsi="Times New Roman" w:cs="Times New Roman"/>
          <w:sz w:val="24"/>
          <w:szCs w:val="24"/>
        </w:rPr>
        <w:t xml:space="preserve"> </w:t>
      </w:r>
    </w:p>
    <w:p w:rsidR="00A34B6F" w:rsidRPr="00A34B6F" w:rsidP="00A34B6F" w14:paraId="0C2B18AB" w14:textId="77777777">
      <w:pPr>
        <w:pStyle w:val="L1-FlLSp12"/>
        <w:ind w:left="990"/>
        <w:rPr>
          <w:rFonts w:ascii="Times New Roman" w:hAnsi="Times New Roman" w:cs="Times New Roman"/>
          <w:sz w:val="24"/>
          <w:szCs w:val="24"/>
          <w:u w:val="single"/>
        </w:rPr>
      </w:pPr>
      <w:r w:rsidRPr="00A34B6F">
        <w:rPr>
          <w:rFonts w:ascii="Times New Roman" w:hAnsi="Times New Roman" w:cs="Times New Roman"/>
          <w:sz w:val="24"/>
          <w:szCs w:val="24"/>
          <w:u w:val="single"/>
        </w:rPr>
        <w:t>Post Motivational Interviewer focus group</w:t>
      </w:r>
    </w:p>
    <w:p w:rsidR="00A34B6F" w:rsidRPr="00A34B6F" w:rsidP="00A34B6F" w14:paraId="6C5E1795" w14:textId="070380E7">
      <w:pPr>
        <w:pStyle w:val="L1-FlLSp12"/>
        <w:ind w:left="990"/>
        <w:rPr>
          <w:rFonts w:ascii="Times New Roman" w:hAnsi="Times New Roman" w:cs="Times New Roman"/>
          <w:sz w:val="24"/>
          <w:szCs w:val="24"/>
        </w:rPr>
      </w:pPr>
      <w:r w:rsidRPr="00A34B6F">
        <w:rPr>
          <w:rFonts w:ascii="Times New Roman" w:hAnsi="Times New Roman" w:cs="Times New Roman"/>
          <w:sz w:val="24"/>
          <w:szCs w:val="24"/>
        </w:rPr>
        <w:t>At the end of the MI Pilot, Westat will conduct a one-hour focus group with the five Motivational I</w:t>
      </w:r>
      <w:r w:rsidRPr="00A34B6F">
        <w:rPr>
          <w:rFonts w:ascii="Times New Roman" w:hAnsi="Times New Roman" w:cs="Times New Roman"/>
          <w:sz w:val="24"/>
          <w:szCs w:val="24"/>
        </w:rPr>
        <w:t>nterviewers.  The goal of this focus group is to g</w:t>
      </w:r>
      <w:r w:rsidRPr="00A34B6F">
        <w:rPr>
          <w:rFonts w:ascii="Times New Roman" w:eastAsia="Times New Roman" w:hAnsi="Times New Roman" w:cs="Times New Roman"/>
          <w:sz w:val="24"/>
          <w:szCs w:val="24"/>
        </w:rPr>
        <w:t xml:space="preserve">ather data on the motivational challenges for obtaining and maintaining employment, career advancement, and working over SGA among the Exiters. </w:t>
      </w:r>
      <w:r w:rsidR="00387B28">
        <w:rPr>
          <w:rFonts w:ascii="Times New Roman" w:eastAsia="Times New Roman" w:hAnsi="Times New Roman" w:cs="Times New Roman"/>
          <w:sz w:val="24"/>
          <w:szCs w:val="24"/>
        </w:rPr>
        <w:t xml:space="preserve"> </w:t>
      </w:r>
      <w:r w:rsidRPr="00A34B6F">
        <w:rPr>
          <w:rFonts w:ascii="Times New Roman" w:eastAsia="Times New Roman" w:hAnsi="Times New Roman" w:cs="Times New Roman"/>
          <w:sz w:val="24"/>
          <w:szCs w:val="24"/>
        </w:rPr>
        <w:t xml:space="preserve">We will examine the process of conducting MI and whether the number of sessions and the content </w:t>
      </w:r>
      <w:r w:rsidR="00121B57">
        <w:rPr>
          <w:rFonts w:ascii="Times New Roman" w:eastAsia="Times New Roman" w:hAnsi="Times New Roman" w:cs="Times New Roman"/>
          <w:sz w:val="24"/>
          <w:szCs w:val="24"/>
        </w:rPr>
        <w:t>may be</w:t>
      </w:r>
      <w:r w:rsidRPr="00A34B6F" w:rsidR="00121B57">
        <w:rPr>
          <w:rFonts w:ascii="Times New Roman" w:eastAsia="Times New Roman" w:hAnsi="Times New Roman" w:cs="Times New Roman"/>
          <w:sz w:val="24"/>
          <w:szCs w:val="24"/>
        </w:rPr>
        <w:t xml:space="preserve"> </w:t>
      </w:r>
      <w:r w:rsidRPr="00A34B6F">
        <w:rPr>
          <w:rFonts w:ascii="Times New Roman" w:eastAsia="Times New Roman" w:hAnsi="Times New Roman" w:cs="Times New Roman"/>
          <w:sz w:val="24"/>
          <w:szCs w:val="24"/>
        </w:rPr>
        <w:t>useful for this population.</w:t>
      </w:r>
    </w:p>
    <w:p w:rsidR="00E759D5" w:rsidRPr="00E759D5" w:rsidP="00A34B6F" w14:paraId="70BBA98F" w14:textId="77777777">
      <w:pPr>
        <w:pStyle w:val="Header"/>
        <w:tabs>
          <w:tab w:val="left" w:pos="990"/>
          <w:tab w:val="center" w:pos="1800"/>
        </w:tabs>
        <w:rPr>
          <w:rFonts w:ascii="Times New Roman" w:hAnsi="Times New Roman"/>
        </w:rPr>
      </w:pPr>
    </w:p>
    <w:p w:rsidR="0041131C" w:rsidRPr="004742A9" w:rsidP="00DE3DB6" w14:paraId="6A64CBA8" w14:textId="77777777">
      <w:pPr>
        <w:pStyle w:val="ListParagraph"/>
        <w:numPr>
          <w:ilvl w:val="0"/>
          <w:numId w:val="1"/>
        </w:numPr>
        <w:tabs>
          <w:tab w:val="left" w:pos="990"/>
        </w:tabs>
        <w:rPr>
          <w:rFonts w:ascii="Times New Roman" w:hAnsi="Times New Roman"/>
          <w:b/>
        </w:rPr>
      </w:pPr>
      <w:r>
        <w:rPr>
          <w:rFonts w:ascii="Times New Roman" w:hAnsi="Times New Roman"/>
          <w:b/>
        </w:rPr>
        <w:t xml:space="preserve"> </w:t>
      </w:r>
      <w:r>
        <w:rPr>
          <w:rFonts w:ascii="Times New Roman" w:hAnsi="Times New Roman"/>
          <w:b/>
        </w:rPr>
        <w:tab/>
      </w:r>
      <w:r w:rsidRPr="004742A9">
        <w:rPr>
          <w:rFonts w:ascii="Times New Roman" w:hAnsi="Times New Roman"/>
          <w:b/>
        </w:rPr>
        <w:t>Methods to Maximize Response Rates</w:t>
      </w:r>
    </w:p>
    <w:p w:rsidR="00920AB9" w:rsidP="00920AB9" w14:paraId="37E5DDD9" w14:textId="6DF1162D">
      <w:pPr>
        <w:tabs>
          <w:tab w:val="left" w:pos="1170"/>
        </w:tabs>
        <w:ind w:left="990"/>
        <w:rPr>
          <w:rFonts w:ascii="Times New Roman" w:hAnsi="Times New Roman"/>
        </w:rPr>
      </w:pPr>
      <w:r w:rsidRPr="0023137F">
        <w:rPr>
          <w:rFonts w:ascii="Times New Roman" w:hAnsi="Times New Roman"/>
          <w:color w:val="000000" w:themeColor="text1"/>
          <w:lang w:val="en"/>
        </w:rPr>
        <w:t xml:space="preserve">We will follow established </w:t>
      </w:r>
      <w:r w:rsidRPr="0023137F" w:rsidR="00253862">
        <w:rPr>
          <w:rFonts w:ascii="Times New Roman" w:hAnsi="Times New Roman"/>
          <w:color w:val="000000" w:themeColor="text1"/>
          <w:lang w:val="en"/>
        </w:rPr>
        <w:t>best practices</w:t>
      </w:r>
      <w:r w:rsidRPr="0023137F">
        <w:rPr>
          <w:rFonts w:ascii="Times New Roman" w:hAnsi="Times New Roman"/>
          <w:color w:val="000000" w:themeColor="text1"/>
          <w:lang w:val="en"/>
        </w:rPr>
        <w:t xml:space="preserve"> in survey fielding methodologies to increase </w:t>
      </w:r>
      <w:r w:rsidRPr="0023137F">
        <w:rPr>
          <w:rFonts w:ascii="Times New Roman" w:hAnsi="Times New Roman"/>
          <w:color w:val="000000" w:themeColor="text1"/>
          <w:lang w:val="en"/>
        </w:rPr>
        <w:t>response rate</w:t>
      </w:r>
      <w:r w:rsidR="00AB7BA7">
        <w:rPr>
          <w:rFonts w:ascii="Times New Roman" w:hAnsi="Times New Roman"/>
          <w:color w:val="000000" w:themeColor="text1"/>
          <w:lang w:val="en"/>
        </w:rPr>
        <w:t>s</w:t>
      </w:r>
      <w:r w:rsidRPr="0023137F">
        <w:rPr>
          <w:rFonts w:ascii="Times New Roman" w:hAnsi="Times New Roman"/>
          <w:color w:val="000000" w:themeColor="text1"/>
          <w:lang w:val="en"/>
        </w:rPr>
        <w:t xml:space="preserve"> while keeping the participant burden as low as possible. </w:t>
      </w:r>
      <w:r w:rsidR="00387B28">
        <w:rPr>
          <w:rFonts w:ascii="Times New Roman" w:hAnsi="Times New Roman"/>
          <w:color w:val="000000" w:themeColor="text1"/>
          <w:lang w:val="en"/>
        </w:rPr>
        <w:t xml:space="preserve"> </w:t>
      </w:r>
      <w:r w:rsidRPr="0023137F">
        <w:rPr>
          <w:rFonts w:ascii="Times New Roman" w:hAnsi="Times New Roman"/>
          <w:color w:val="000000" w:themeColor="text1"/>
          <w:shd w:val="clear" w:color="auto" w:fill="FFFFFF"/>
        </w:rPr>
        <w:t>Previous studies</w:t>
      </w:r>
      <w:r w:rsidRPr="0023137F">
        <w:rPr>
          <w:rFonts w:ascii="Times New Roman" w:hAnsi="Times New Roman"/>
          <w:color w:val="000000" w:themeColor="text1"/>
          <w:shd w:val="clear" w:color="auto" w:fill="FFFFFF"/>
        </w:rPr>
        <w:t xml:space="preserve"> demonstrated the positive effect of respondent reimbursement on survey response rates</w:t>
      </w:r>
      <w:r w:rsidR="0023137F">
        <w:rPr>
          <w:rFonts w:ascii="Times New Roman" w:hAnsi="Times New Roman"/>
          <w:color w:val="000000" w:themeColor="text1"/>
          <w:shd w:val="clear" w:color="auto" w:fill="FFFFFF"/>
        </w:rPr>
        <w:t>.</w:t>
      </w:r>
      <w:r w:rsidR="00387B28">
        <w:rPr>
          <w:rFonts w:ascii="Times New Roman" w:hAnsi="Times New Roman"/>
          <w:color w:val="000000" w:themeColor="text1"/>
          <w:shd w:val="clear" w:color="auto" w:fill="FFFFFF"/>
        </w:rPr>
        <w:t xml:space="preserve"> </w:t>
      </w:r>
      <w:r w:rsidRPr="0023137F" w:rsidR="00886F96">
        <w:rPr>
          <w:rFonts w:ascii="Times New Roman" w:hAnsi="Times New Roman"/>
          <w:color w:val="000000" w:themeColor="text1"/>
          <w:shd w:val="clear" w:color="auto" w:fill="FFFFFF"/>
        </w:rPr>
        <w:t xml:space="preserve"> </w:t>
      </w:r>
      <w:r w:rsidRPr="0023137F">
        <w:rPr>
          <w:rFonts w:ascii="Times New Roman" w:hAnsi="Times New Roman"/>
          <w:color w:val="000000" w:themeColor="text1"/>
          <w:shd w:val="clear" w:color="auto" w:fill="FFFFFF"/>
        </w:rPr>
        <w:t xml:space="preserve">In addition, </w:t>
      </w:r>
      <w:r w:rsidRPr="0023137F">
        <w:rPr>
          <w:rFonts w:ascii="Times New Roman" w:hAnsi="Times New Roman"/>
          <w:color w:val="000000" w:themeColor="text1"/>
          <w:lang w:val="en"/>
        </w:rPr>
        <w:t>studies have shown the reminders</w:t>
      </w:r>
      <w:r w:rsidRPr="0023137F">
        <w:rPr>
          <w:rFonts w:ascii="Times New Roman" w:hAnsi="Times New Roman"/>
          <w:color w:val="000000" w:themeColor="text1"/>
          <w:shd w:val="clear" w:color="auto" w:fill="FFFFFF"/>
        </w:rPr>
        <w:t xml:space="preserve"> in web-based data collection increase response rates</w:t>
      </w:r>
      <w:r w:rsidR="00D31B0D">
        <w:rPr>
          <w:rFonts w:ascii="Times New Roman" w:hAnsi="Times New Roman"/>
          <w:color w:val="000000" w:themeColor="text1"/>
          <w:shd w:val="clear" w:color="auto" w:fill="FFFFFF"/>
        </w:rPr>
        <w:t>.</w:t>
      </w:r>
      <w:r w:rsidR="00387B28">
        <w:rPr>
          <w:rFonts w:ascii="Times New Roman" w:hAnsi="Times New Roman"/>
          <w:color w:val="000000" w:themeColor="text1"/>
          <w:shd w:val="clear" w:color="auto" w:fill="FFFFFF"/>
        </w:rPr>
        <w:t xml:space="preserve"> </w:t>
      </w:r>
      <w:r w:rsidR="00D31B0D">
        <w:rPr>
          <w:rFonts w:ascii="Times New Roman" w:hAnsi="Times New Roman"/>
          <w:color w:val="000000" w:themeColor="text1"/>
          <w:shd w:val="clear" w:color="auto" w:fill="FFFFFF"/>
        </w:rPr>
        <w:t xml:space="preserve"> </w:t>
      </w:r>
      <w:r w:rsidRPr="0023137F" w:rsidR="0023137F">
        <w:rPr>
          <w:rFonts w:ascii="Times New Roman" w:hAnsi="Times New Roman"/>
          <w:color w:val="000000" w:themeColor="text1"/>
          <w:shd w:val="clear" w:color="auto" w:fill="FFFFFF"/>
        </w:rPr>
        <w:t>W</w:t>
      </w:r>
      <w:r w:rsidRPr="0023137F" w:rsidR="0023137F">
        <w:rPr>
          <w:rFonts w:ascii="Times New Roman" w:hAnsi="Times New Roman"/>
          <w:color w:val="000000" w:themeColor="text1"/>
          <w:lang w:val="en"/>
        </w:rPr>
        <w:t>e</w:t>
      </w:r>
      <w:r w:rsidRPr="0023137F">
        <w:rPr>
          <w:rFonts w:ascii="Times New Roman" w:hAnsi="Times New Roman"/>
          <w:color w:val="000000" w:themeColor="text1"/>
          <w:lang w:val="en"/>
        </w:rPr>
        <w:t xml:space="preserve"> offer participants reimbursement for their participation in the study, and we will also </w:t>
      </w:r>
      <w:r w:rsidRPr="00B051CA">
        <w:rPr>
          <w:rFonts w:ascii="Times New Roman" w:hAnsi="Times New Roman"/>
          <w:lang w:val="en"/>
        </w:rPr>
        <w:t xml:space="preserve">send </w:t>
      </w:r>
      <w:r w:rsidR="00E02D16">
        <w:rPr>
          <w:rFonts w:ascii="Times New Roman" w:hAnsi="Times New Roman"/>
          <w:lang w:val="en"/>
        </w:rPr>
        <w:t>text</w:t>
      </w:r>
      <w:r w:rsidRPr="00B051CA">
        <w:rPr>
          <w:rFonts w:ascii="Times New Roman" w:hAnsi="Times New Roman"/>
          <w:lang w:val="en"/>
        </w:rPr>
        <w:t xml:space="preserve"> reminders to encourage their part</w:t>
      </w:r>
      <w:r w:rsidR="00D31B0D">
        <w:rPr>
          <w:rFonts w:ascii="Times New Roman" w:hAnsi="Times New Roman"/>
          <w:lang w:val="en"/>
        </w:rPr>
        <w:t>icipation throughout the study.</w:t>
      </w:r>
      <w:r w:rsidRPr="00B051CA">
        <w:rPr>
          <w:rFonts w:ascii="Times New Roman" w:hAnsi="Times New Roman"/>
          <w:lang w:val="en"/>
        </w:rPr>
        <w:t xml:space="preserve"> </w:t>
      </w:r>
      <w:r w:rsidR="00387B28">
        <w:rPr>
          <w:rFonts w:ascii="Times New Roman" w:hAnsi="Times New Roman"/>
          <w:lang w:val="en"/>
        </w:rPr>
        <w:t xml:space="preserve"> </w:t>
      </w:r>
      <w:r>
        <w:rPr>
          <w:rFonts w:ascii="Times New Roman" w:hAnsi="Times New Roman"/>
        </w:rPr>
        <w:t>Potential survey respondents will</w:t>
      </w:r>
      <w:r>
        <w:rPr>
          <w:rFonts w:ascii="Times New Roman" w:hAnsi="Times New Roman"/>
        </w:rPr>
        <w:t xml:space="preserve"> receive a $2 </w:t>
      </w:r>
      <w:r>
        <w:rPr>
          <w:rFonts w:ascii="Times New Roman" w:hAnsi="Times New Roman"/>
        </w:rPr>
        <w:t>pre</w:t>
      </w:r>
      <w:r w:rsidR="00C072DC">
        <w:rPr>
          <w:rFonts w:ascii="Times New Roman" w:hAnsi="Times New Roman"/>
        </w:rPr>
        <w:noBreakHyphen/>
      </w:r>
      <w:r>
        <w:rPr>
          <w:rFonts w:ascii="Times New Roman" w:hAnsi="Times New Roman"/>
        </w:rPr>
        <w:t>incentive during recruitment.</w:t>
      </w:r>
      <w:r w:rsidR="00387B28">
        <w:rPr>
          <w:rFonts w:ascii="Times New Roman" w:hAnsi="Times New Roman"/>
        </w:rPr>
        <w:t xml:space="preserve"> </w:t>
      </w:r>
      <w:r>
        <w:rPr>
          <w:rFonts w:ascii="Times New Roman" w:hAnsi="Times New Roman"/>
        </w:rPr>
        <w:t xml:space="preserve"> </w:t>
      </w:r>
      <w:r w:rsidRPr="00920AB9">
        <w:rPr>
          <w:rFonts w:ascii="Times New Roman" w:hAnsi="Times New Roman"/>
        </w:rPr>
        <w:t xml:space="preserve">Prepaid incentives of this size have been shown to significantly increase response to both web surveys (e.g., Messer &amp; Dillman, 2011) and telephone surveys (Cantor et al., 2008). </w:t>
      </w:r>
      <w:r w:rsidR="00387B28">
        <w:rPr>
          <w:rFonts w:ascii="Times New Roman" w:hAnsi="Times New Roman"/>
        </w:rPr>
        <w:t xml:space="preserve"> </w:t>
      </w:r>
      <w:r w:rsidRPr="00920AB9">
        <w:rPr>
          <w:rFonts w:ascii="Times New Roman" w:hAnsi="Times New Roman"/>
        </w:rPr>
        <w:t>The meta-analysis by Mercer et al. (2014) found that incentives of this size</w:t>
      </w:r>
      <w:r w:rsidRPr="00920AB9">
        <w:rPr>
          <w:rFonts w:ascii="Times New Roman" w:hAnsi="Times New Roman"/>
        </w:rPr>
        <w:t xml:space="preserve"> increased response rates by approximately 11 to 16 percentage points, depending on the mode.</w:t>
      </w:r>
      <w:r w:rsidR="00387B28">
        <w:rPr>
          <w:rFonts w:ascii="Times New Roman" w:hAnsi="Times New Roman"/>
        </w:rPr>
        <w:t xml:space="preserve"> </w:t>
      </w:r>
      <w:r w:rsidRPr="00920AB9">
        <w:rPr>
          <w:rFonts w:ascii="Times New Roman" w:hAnsi="Times New Roman"/>
        </w:rPr>
        <w:t xml:space="preserve"> </w:t>
      </w:r>
      <w:r>
        <w:rPr>
          <w:rFonts w:ascii="Times New Roman" w:hAnsi="Times New Roman"/>
        </w:rPr>
        <w:t>Exiters and Possible Exiters who participate in the survey, in-depth interviews, or focus groups, and Motivational Interviewers who participate in the focus grou</w:t>
      </w:r>
      <w:r>
        <w:rPr>
          <w:rFonts w:ascii="Times New Roman" w:hAnsi="Times New Roman"/>
        </w:rPr>
        <w:t xml:space="preserve">p, will also receive a $40 Visa gift card. </w:t>
      </w:r>
      <w:r w:rsidR="00387B28">
        <w:rPr>
          <w:rFonts w:ascii="Times New Roman" w:hAnsi="Times New Roman"/>
        </w:rPr>
        <w:t xml:space="preserve"> </w:t>
      </w:r>
      <w:r>
        <w:rPr>
          <w:rFonts w:ascii="Times New Roman" w:hAnsi="Times New Roman"/>
        </w:rPr>
        <w:t>Last, participants in the MI Pilot will receive a $40 Visa gift card after their first session, followed by a $25 gift card for each subsequent session, for a total of $165 if they complete all six sessions.</w:t>
      </w:r>
    </w:p>
    <w:p w:rsidR="00920AB9" w:rsidP="00920AB9" w14:paraId="087CA44E" w14:textId="77777777">
      <w:pPr>
        <w:tabs>
          <w:tab w:val="left" w:pos="1170"/>
        </w:tabs>
        <w:ind w:left="990"/>
        <w:rPr>
          <w:rFonts w:ascii="Times New Roman" w:hAnsi="Times New Roman"/>
        </w:rPr>
      </w:pPr>
    </w:p>
    <w:p w:rsidR="00920AB9" w:rsidP="00920AB9" w14:paraId="30B7E8FA" w14:textId="77777777">
      <w:pPr>
        <w:tabs>
          <w:tab w:val="left" w:pos="1170"/>
        </w:tabs>
        <w:ind w:left="990"/>
        <w:rPr>
          <w:rFonts w:ascii="Times New Roman" w:hAnsi="Times New Roman"/>
        </w:rPr>
      </w:pPr>
      <w:r>
        <w:rPr>
          <w:rFonts w:ascii="Times New Roman" w:hAnsi="Times New Roman"/>
        </w:rPr>
        <w:t>Dur</w:t>
      </w:r>
      <w:r>
        <w:rPr>
          <w:rFonts w:ascii="Times New Roman" w:hAnsi="Times New Roman"/>
        </w:rPr>
        <w:t>ing recruitment for the survey, we will also send a reminder postcard to nonrespondents two weeks after initial contact, and a reminder letter 3 weeks after initial contact.</w:t>
      </w:r>
    </w:p>
    <w:p w:rsidR="00920AB9" w:rsidP="00920AB9" w14:paraId="1A7191D8" w14:textId="77777777">
      <w:pPr>
        <w:tabs>
          <w:tab w:val="left" w:pos="1170"/>
        </w:tabs>
        <w:ind w:left="990"/>
        <w:rPr>
          <w:rFonts w:ascii="Times New Roman" w:hAnsi="Times New Roman"/>
        </w:rPr>
      </w:pPr>
    </w:p>
    <w:p w:rsidR="00920AB9" w:rsidP="00920AB9" w14:paraId="11F4C8D7" w14:textId="2F7324F8">
      <w:pPr>
        <w:tabs>
          <w:tab w:val="left" w:pos="1170"/>
        </w:tabs>
        <w:ind w:left="990"/>
        <w:rPr>
          <w:rFonts w:ascii="Times New Roman" w:hAnsi="Times New Roman"/>
        </w:rPr>
      </w:pPr>
      <w:r w:rsidRPr="00920AB9">
        <w:rPr>
          <w:rFonts w:ascii="Times New Roman" w:hAnsi="Times New Roman"/>
        </w:rPr>
        <w:t>In an effort to boost response rates further, we will send the initial mailing in</w:t>
      </w:r>
      <w:r w:rsidRPr="00920AB9">
        <w:rPr>
          <w:rFonts w:ascii="Times New Roman" w:hAnsi="Times New Roman"/>
        </w:rPr>
        <w:t xml:space="preserve"> English and Spanish to all sampled individuals.</w:t>
      </w:r>
      <w:r w:rsidR="00387B28">
        <w:rPr>
          <w:rFonts w:ascii="Times New Roman" w:hAnsi="Times New Roman"/>
        </w:rPr>
        <w:t xml:space="preserve"> </w:t>
      </w:r>
      <w:r w:rsidRPr="00920AB9">
        <w:rPr>
          <w:rFonts w:ascii="Times New Roman" w:hAnsi="Times New Roman"/>
        </w:rPr>
        <w:t xml:space="preserve"> We will then send both English and Spanish versions for the reminder postcard and letter</w:t>
      </w:r>
      <w:r>
        <w:rPr>
          <w:rFonts w:ascii="Times New Roman" w:hAnsi="Times New Roman"/>
        </w:rPr>
        <w:t>.</w:t>
      </w:r>
    </w:p>
    <w:p w:rsidR="009846AF" w:rsidP="00920AB9" w14:paraId="76C98A83" w14:textId="77777777">
      <w:pPr>
        <w:tabs>
          <w:tab w:val="left" w:pos="1170"/>
        </w:tabs>
        <w:ind w:left="990"/>
        <w:rPr>
          <w:rFonts w:ascii="Times New Roman" w:hAnsi="Times New Roman"/>
        </w:rPr>
      </w:pPr>
    </w:p>
    <w:p w:rsidR="009846AF" w:rsidP="00920AB9" w14:paraId="2CD3BC73" w14:textId="77777777">
      <w:pPr>
        <w:tabs>
          <w:tab w:val="left" w:pos="1170"/>
        </w:tabs>
        <w:ind w:left="990"/>
        <w:rPr>
          <w:rFonts w:ascii="Times New Roman" w:hAnsi="Times New Roman"/>
        </w:rPr>
      </w:pPr>
      <w:r>
        <w:rPr>
          <w:rFonts w:ascii="Times New Roman" w:hAnsi="Times New Roman"/>
        </w:rPr>
        <w:t xml:space="preserve">Our mixed-mode data collection strategy, which </w:t>
      </w:r>
      <w:r w:rsidRPr="009846AF">
        <w:rPr>
          <w:rFonts w:ascii="Times New Roman" w:hAnsi="Times New Roman"/>
        </w:rPr>
        <w:t>is based on past and recent survey experiences with similar populati</w:t>
      </w:r>
      <w:r w:rsidRPr="009846AF">
        <w:rPr>
          <w:rFonts w:ascii="Times New Roman" w:hAnsi="Times New Roman"/>
        </w:rPr>
        <w:t>ons and uses a modified Dillman method</w:t>
      </w:r>
      <w:r>
        <w:rPr>
          <w:rFonts w:ascii="Times New Roman" w:hAnsi="Times New Roman"/>
        </w:rPr>
        <w:t xml:space="preserve"> </w:t>
      </w:r>
      <w:r w:rsidRPr="009846AF">
        <w:rPr>
          <w:rFonts w:ascii="Times New Roman" w:hAnsi="Times New Roman"/>
        </w:rPr>
        <w:t>(Dil</w:t>
      </w:r>
      <w:r>
        <w:rPr>
          <w:rFonts w:ascii="Times New Roman" w:hAnsi="Times New Roman"/>
        </w:rPr>
        <w:t>lman, Smyth, &amp; Christian, 2009), is also designed to maximize response rate.</w:t>
      </w:r>
    </w:p>
    <w:p w:rsidR="009846AF" w:rsidP="00920AB9" w14:paraId="51F1612B" w14:textId="77777777">
      <w:pPr>
        <w:tabs>
          <w:tab w:val="left" w:pos="1170"/>
        </w:tabs>
        <w:ind w:left="990"/>
        <w:rPr>
          <w:rFonts w:ascii="Times New Roman" w:hAnsi="Times New Roman"/>
        </w:rPr>
      </w:pPr>
    </w:p>
    <w:p w:rsidR="009846AF" w:rsidP="009846AF" w14:paraId="34297CD9" w14:textId="05AC95D0">
      <w:pPr>
        <w:tabs>
          <w:tab w:val="left" w:pos="1170"/>
        </w:tabs>
        <w:ind w:left="990"/>
        <w:rPr>
          <w:rFonts w:ascii="Times New Roman" w:hAnsi="Times New Roman"/>
        </w:rPr>
      </w:pPr>
      <w:r w:rsidRPr="009846AF">
        <w:rPr>
          <w:rFonts w:ascii="Times New Roman" w:hAnsi="Times New Roman"/>
        </w:rPr>
        <w:t xml:space="preserve">Westat’s proprietary survey delivery system integrates a customized survey software application and management system to </w:t>
      </w:r>
      <w:r w:rsidRPr="009846AF">
        <w:rPr>
          <w:rFonts w:ascii="Times New Roman" w:hAnsi="Times New Roman"/>
        </w:rPr>
        <w:t>accommodate the large volume of respondents and the simultaneous administration of multiple surveys.</w:t>
      </w:r>
      <w:r w:rsidR="00387B28">
        <w:rPr>
          <w:rFonts w:ascii="Times New Roman" w:hAnsi="Times New Roman"/>
        </w:rPr>
        <w:t xml:space="preserve"> </w:t>
      </w:r>
      <w:r w:rsidRPr="009846AF">
        <w:rPr>
          <w:rFonts w:ascii="Times New Roman" w:hAnsi="Times New Roman"/>
        </w:rPr>
        <w:t xml:space="preserve"> When we begin the CATI phase of data collection, we will load telephone numbers into the CATI database and make them available to interviewers through the</w:t>
      </w:r>
      <w:r w:rsidRPr="009846AF">
        <w:rPr>
          <w:rFonts w:ascii="Times New Roman" w:hAnsi="Times New Roman"/>
        </w:rPr>
        <w:t xml:space="preserve"> call scheduler. </w:t>
      </w:r>
      <w:r w:rsidR="00387B28">
        <w:rPr>
          <w:rFonts w:ascii="Times New Roman" w:hAnsi="Times New Roman"/>
        </w:rPr>
        <w:t xml:space="preserve"> </w:t>
      </w:r>
      <w:r w:rsidRPr="009846AF">
        <w:rPr>
          <w:rFonts w:ascii="Times New Roman" w:hAnsi="Times New Roman"/>
        </w:rPr>
        <w:t>We will make telephone contact attempts on weekdays and weekends in the morning, afternoon, and evening at different times to increase the probability of making contact with respondents.</w:t>
      </w:r>
    </w:p>
    <w:p w:rsidR="009846AF" w:rsidRPr="009846AF" w:rsidP="009846AF" w14:paraId="36A75C96" w14:textId="77777777">
      <w:pPr>
        <w:tabs>
          <w:tab w:val="left" w:pos="1170"/>
        </w:tabs>
        <w:ind w:left="990"/>
        <w:rPr>
          <w:rFonts w:ascii="Times New Roman" w:hAnsi="Times New Roman"/>
        </w:rPr>
      </w:pPr>
    </w:p>
    <w:p w:rsidR="009846AF" w:rsidP="009846AF" w14:paraId="4D97B278" w14:textId="00E0F068">
      <w:pPr>
        <w:tabs>
          <w:tab w:val="left" w:pos="1170"/>
        </w:tabs>
        <w:ind w:left="990"/>
        <w:rPr>
          <w:rFonts w:ascii="Times New Roman" w:hAnsi="Times New Roman"/>
        </w:rPr>
      </w:pPr>
      <w:r w:rsidRPr="009846AF">
        <w:rPr>
          <w:rFonts w:ascii="Times New Roman" w:hAnsi="Times New Roman"/>
        </w:rPr>
        <w:t>Westat’s CATI scheduler calling system automatical</w:t>
      </w:r>
      <w:r w:rsidRPr="009846AF">
        <w:rPr>
          <w:rFonts w:ascii="Times New Roman" w:hAnsi="Times New Roman"/>
        </w:rPr>
        <w:t>ly dials numbers for the data collectors so they do not have to manually dial the number themselves, thereby reducing interviewer dialing time as well as eliminating errors in manual dialing a number</w:t>
      </w:r>
      <w:r w:rsidRPr="009846AF" w:rsidR="00004952">
        <w:rPr>
          <w:rFonts w:ascii="Times New Roman" w:hAnsi="Times New Roman"/>
        </w:rPr>
        <w:t xml:space="preserve">.  </w:t>
      </w:r>
      <w:r w:rsidRPr="009846AF">
        <w:rPr>
          <w:rFonts w:ascii="Times New Roman" w:hAnsi="Times New Roman"/>
        </w:rPr>
        <w:t>We use this automated dialer only to eliminate a manua</w:t>
      </w:r>
      <w:r w:rsidRPr="009846AF">
        <w:rPr>
          <w:rFonts w:ascii="Times New Roman" w:hAnsi="Times New Roman"/>
        </w:rPr>
        <w:t xml:space="preserve">l dialing process. </w:t>
      </w:r>
      <w:r w:rsidR="00387B28">
        <w:rPr>
          <w:rFonts w:ascii="Times New Roman" w:hAnsi="Times New Roman"/>
        </w:rPr>
        <w:t xml:space="preserve"> </w:t>
      </w:r>
      <w:r w:rsidRPr="009846AF">
        <w:rPr>
          <w:rFonts w:ascii="Times New Roman" w:hAnsi="Times New Roman"/>
        </w:rPr>
        <w:t>A live interviewer</w:t>
      </w:r>
      <w:r w:rsidR="00712DF4">
        <w:rPr>
          <w:rFonts w:ascii="Times New Roman" w:hAnsi="Times New Roman"/>
        </w:rPr>
        <w:t xml:space="preserve"> will</w:t>
      </w:r>
      <w:r w:rsidRPr="009846AF">
        <w:rPr>
          <w:rFonts w:ascii="Times New Roman" w:hAnsi="Times New Roman"/>
        </w:rPr>
        <w:t xml:space="preserve"> always on the line to speak to whomever answers the call.</w:t>
      </w:r>
    </w:p>
    <w:p w:rsidR="009846AF" w:rsidRPr="009846AF" w:rsidP="009846AF" w14:paraId="4FA6867A" w14:textId="77777777">
      <w:pPr>
        <w:tabs>
          <w:tab w:val="left" w:pos="1170"/>
        </w:tabs>
        <w:ind w:left="990"/>
        <w:rPr>
          <w:rFonts w:ascii="Times New Roman" w:hAnsi="Times New Roman"/>
        </w:rPr>
      </w:pPr>
    </w:p>
    <w:p w:rsidR="009846AF" w:rsidP="009846AF" w14:paraId="4281CAD7" w14:textId="6642A4EB">
      <w:pPr>
        <w:tabs>
          <w:tab w:val="left" w:pos="1170"/>
        </w:tabs>
        <w:ind w:left="990"/>
        <w:rPr>
          <w:rFonts w:ascii="Times New Roman" w:hAnsi="Times New Roman"/>
        </w:rPr>
      </w:pPr>
      <w:r w:rsidRPr="009846AF">
        <w:rPr>
          <w:rFonts w:ascii="Times New Roman" w:hAnsi="Times New Roman"/>
        </w:rPr>
        <w:t>The scheduler uses an algorithm that ensures cases will be called at the appropriate times, and programmed rules to minimize the number of calls to any g</w:t>
      </w:r>
      <w:r w:rsidRPr="009846AF">
        <w:rPr>
          <w:rFonts w:ascii="Times New Roman" w:hAnsi="Times New Roman"/>
        </w:rPr>
        <w:t xml:space="preserve">iven respondent and to reduce nonresponse. </w:t>
      </w:r>
      <w:r w:rsidR="00387B28">
        <w:rPr>
          <w:rFonts w:ascii="Times New Roman" w:hAnsi="Times New Roman"/>
        </w:rPr>
        <w:t xml:space="preserve"> </w:t>
      </w:r>
      <w:r w:rsidRPr="009846AF">
        <w:rPr>
          <w:rFonts w:ascii="Times New Roman" w:hAnsi="Times New Roman"/>
        </w:rPr>
        <w:t>For example,</w:t>
      </w:r>
      <w:r w:rsidR="00712DF4">
        <w:rPr>
          <w:rFonts w:ascii="Times New Roman" w:hAnsi="Times New Roman"/>
        </w:rPr>
        <w:t xml:space="preserve"> Westat divides </w:t>
      </w:r>
      <w:r w:rsidRPr="009846AF">
        <w:rPr>
          <w:rFonts w:ascii="Times New Roman" w:hAnsi="Times New Roman"/>
        </w:rPr>
        <w:t xml:space="preserve">the week </w:t>
      </w:r>
      <w:r w:rsidR="00712DF4">
        <w:rPr>
          <w:rFonts w:ascii="Times New Roman" w:hAnsi="Times New Roman"/>
        </w:rPr>
        <w:t>int</w:t>
      </w:r>
      <w:r w:rsidRPr="009846AF">
        <w:rPr>
          <w:rFonts w:ascii="Times New Roman" w:hAnsi="Times New Roman"/>
        </w:rPr>
        <w:t>o day and time “slices” through which the system moves each case in a specified pattern of call attempts.</w:t>
      </w:r>
      <w:r w:rsidR="00387B28">
        <w:rPr>
          <w:rFonts w:ascii="Times New Roman" w:hAnsi="Times New Roman"/>
        </w:rPr>
        <w:t xml:space="preserve"> </w:t>
      </w:r>
      <w:r w:rsidRPr="009846AF">
        <w:rPr>
          <w:rFonts w:ascii="Times New Roman" w:hAnsi="Times New Roman"/>
        </w:rPr>
        <w:t xml:space="preserve"> If the first call attempt is in the evening and results in no ans</w:t>
      </w:r>
      <w:r w:rsidRPr="009846AF">
        <w:rPr>
          <w:rFonts w:ascii="Times New Roman" w:hAnsi="Times New Roman"/>
        </w:rPr>
        <w:t>wer, the scheduler can automatically set the next call attempt for another time of day and a different day of the week.</w:t>
      </w:r>
      <w:r w:rsidR="00387B28">
        <w:rPr>
          <w:rFonts w:ascii="Times New Roman" w:hAnsi="Times New Roman"/>
        </w:rPr>
        <w:t xml:space="preserve"> </w:t>
      </w:r>
      <w:r w:rsidRPr="009846AF">
        <w:rPr>
          <w:rFonts w:ascii="Times New Roman" w:hAnsi="Times New Roman"/>
        </w:rPr>
        <w:t xml:space="preserve"> Our computerized CATI scheduler will make at least seven attempts to contact each selected respondent (or the maximum number allowed by</w:t>
      </w:r>
      <w:r w:rsidRPr="009846AF">
        <w:rPr>
          <w:rFonts w:ascii="Times New Roman" w:hAnsi="Times New Roman"/>
        </w:rPr>
        <w:t xml:space="preserve"> </w:t>
      </w:r>
      <w:r w:rsidRPr="009846AF">
        <w:rPr>
          <w:rFonts w:ascii="Times New Roman" w:hAnsi="Times New Roman"/>
        </w:rPr>
        <w:t>OGC and OMB).</w:t>
      </w:r>
    </w:p>
    <w:p w:rsidR="009846AF" w:rsidP="009846AF" w14:paraId="084F6FC1" w14:textId="77777777">
      <w:pPr>
        <w:tabs>
          <w:tab w:val="left" w:pos="1170"/>
        </w:tabs>
        <w:ind w:left="990"/>
        <w:rPr>
          <w:rFonts w:ascii="Times New Roman" w:hAnsi="Times New Roman"/>
        </w:rPr>
      </w:pPr>
    </w:p>
    <w:p w:rsidR="009846AF" w:rsidRPr="00543787" w:rsidP="00543787" w14:paraId="4BEF43E3" w14:textId="5E83CB24">
      <w:pPr>
        <w:tabs>
          <w:tab w:val="left" w:pos="1170"/>
        </w:tabs>
        <w:ind w:left="990"/>
        <w:rPr>
          <w:rStyle w:val="cf01"/>
          <w:rFonts w:ascii="Times New Roman" w:hAnsi="Times New Roman" w:cs="Times New Roman"/>
          <w:sz w:val="24"/>
          <w:szCs w:val="24"/>
        </w:rPr>
      </w:pPr>
      <w:r w:rsidRPr="00543787">
        <w:rPr>
          <w:rStyle w:val="cf01"/>
          <w:rFonts w:ascii="Times New Roman" w:hAnsi="Times New Roman" w:cs="Times New Roman"/>
          <w:sz w:val="24"/>
          <w:szCs w:val="24"/>
        </w:rPr>
        <w:t>Westat trains their employees in the best methods to maximize response rates, efficiently work with the sample of participants, and respond to project needs</w:t>
      </w:r>
      <w:r w:rsidRPr="00543787" w:rsidR="00543787">
        <w:rPr>
          <w:rStyle w:val="cf01"/>
          <w:rFonts w:ascii="Times New Roman" w:hAnsi="Times New Roman" w:cs="Times New Roman"/>
          <w:sz w:val="24"/>
          <w:szCs w:val="24"/>
        </w:rPr>
        <w:t>.</w:t>
      </w:r>
    </w:p>
    <w:p w:rsidR="00543787" w:rsidRPr="009846AF" w:rsidP="00543787" w14:paraId="1735EEFE" w14:textId="77777777">
      <w:pPr>
        <w:tabs>
          <w:tab w:val="left" w:pos="1170"/>
        </w:tabs>
        <w:ind w:left="990"/>
        <w:rPr>
          <w:rFonts w:ascii="Times New Roman" w:hAnsi="Times New Roman"/>
        </w:rPr>
      </w:pPr>
    </w:p>
    <w:p w:rsidR="0041131C" w:rsidP="00DE3DB6" w14:paraId="4185DFA2" w14:textId="77777777">
      <w:pPr>
        <w:numPr>
          <w:ilvl w:val="0"/>
          <w:numId w:val="1"/>
        </w:numPr>
        <w:rPr>
          <w:rFonts w:ascii="Times New Roman" w:hAnsi="Times New Roman"/>
          <w:b/>
        </w:rPr>
      </w:pPr>
      <w:r>
        <w:rPr>
          <w:rFonts w:ascii="Times New Roman" w:hAnsi="Times New Roman"/>
          <w:b/>
        </w:rPr>
        <w:t xml:space="preserve">    </w:t>
      </w:r>
      <w:r w:rsidRPr="00BC7F42">
        <w:rPr>
          <w:rFonts w:ascii="Times New Roman" w:hAnsi="Times New Roman"/>
          <w:b/>
        </w:rPr>
        <w:t>Tests of Procedures</w:t>
      </w:r>
    </w:p>
    <w:p w:rsidR="0041131C" w:rsidP="00C13AA6" w14:paraId="47E1250A" w14:textId="573C3FCC">
      <w:pPr>
        <w:tabs>
          <w:tab w:val="left" w:pos="990"/>
        </w:tabs>
        <w:ind w:left="990"/>
        <w:rPr>
          <w:rFonts w:ascii="Times New Roman" w:hAnsi="Times New Roman"/>
        </w:rPr>
      </w:pPr>
      <w:r w:rsidRPr="00C13AA6">
        <w:rPr>
          <w:rFonts w:ascii="Times New Roman" w:hAnsi="Times New Roman"/>
        </w:rPr>
        <w:t xml:space="preserve">Westat conducted a cognitive test of new and revised </w:t>
      </w:r>
      <w:r>
        <w:rPr>
          <w:rFonts w:ascii="Times New Roman" w:hAnsi="Times New Roman"/>
        </w:rPr>
        <w:t>survey</w:t>
      </w:r>
      <w:r w:rsidRPr="00C13AA6">
        <w:rPr>
          <w:rFonts w:ascii="Times New Roman" w:hAnsi="Times New Roman"/>
        </w:rPr>
        <w:t xml:space="preserve"> items to assess respondent understanding of th</w:t>
      </w:r>
      <w:r>
        <w:rPr>
          <w:rFonts w:ascii="Times New Roman" w:hAnsi="Times New Roman"/>
        </w:rPr>
        <w:t xml:space="preserve">e questions, as well as pretest of the survey </w:t>
      </w:r>
      <w:r w:rsidRPr="00C13AA6">
        <w:rPr>
          <w:rFonts w:ascii="Times New Roman" w:hAnsi="Times New Roman"/>
        </w:rPr>
        <w:t>to confirm respondent burden and assess question flow.</w:t>
      </w:r>
      <w:r w:rsidR="00E56441">
        <w:rPr>
          <w:rFonts w:ascii="Times New Roman" w:hAnsi="Times New Roman"/>
        </w:rPr>
        <w:t xml:space="preserve"> </w:t>
      </w:r>
      <w:r w:rsidRPr="00C13AA6">
        <w:rPr>
          <w:rFonts w:ascii="Times New Roman" w:hAnsi="Times New Roman"/>
        </w:rPr>
        <w:t xml:space="preserve"> We used the results of the tests to refine the </w:t>
      </w:r>
      <w:r>
        <w:rPr>
          <w:rFonts w:ascii="Times New Roman" w:hAnsi="Times New Roman"/>
        </w:rPr>
        <w:t>s</w:t>
      </w:r>
      <w:r>
        <w:rPr>
          <w:rFonts w:ascii="Times New Roman" w:hAnsi="Times New Roman"/>
        </w:rPr>
        <w:t>urvey</w:t>
      </w:r>
      <w:r w:rsidRPr="00C13AA6">
        <w:rPr>
          <w:rFonts w:ascii="Times New Roman" w:hAnsi="Times New Roman"/>
        </w:rPr>
        <w:t xml:space="preserve"> items and minimize burden.</w:t>
      </w:r>
    </w:p>
    <w:p w:rsidR="00C13AA6" w:rsidRPr="00BC7F42" w:rsidP="00B26F7D" w14:paraId="576E644C" w14:textId="77777777">
      <w:pPr>
        <w:tabs>
          <w:tab w:val="left" w:pos="990"/>
        </w:tabs>
        <w:ind w:left="360"/>
        <w:rPr>
          <w:rFonts w:ascii="Times New Roman" w:hAnsi="Times New Roman"/>
        </w:rPr>
      </w:pPr>
    </w:p>
    <w:p w:rsidR="0041131C" w:rsidP="00DE3DB6" w14:paraId="2356CCA6" w14:textId="77777777">
      <w:pPr>
        <w:numPr>
          <w:ilvl w:val="0"/>
          <w:numId w:val="1"/>
        </w:numPr>
        <w:tabs>
          <w:tab w:val="left" w:pos="900"/>
        </w:tabs>
        <w:rPr>
          <w:rFonts w:ascii="Times New Roman" w:hAnsi="Times New Roman"/>
        </w:rPr>
      </w:pPr>
      <w:r>
        <w:rPr>
          <w:rFonts w:ascii="Times New Roman" w:hAnsi="Times New Roman"/>
          <w:b/>
        </w:rPr>
        <w:t xml:space="preserve">   </w:t>
      </w:r>
      <w:r w:rsidR="00A37B9A">
        <w:rPr>
          <w:rFonts w:ascii="Times New Roman" w:hAnsi="Times New Roman"/>
          <w:b/>
        </w:rPr>
        <w:t xml:space="preserve"> </w:t>
      </w:r>
      <w:r w:rsidRPr="00BC7F42">
        <w:rPr>
          <w:rFonts w:ascii="Times New Roman" w:hAnsi="Times New Roman"/>
          <w:b/>
        </w:rPr>
        <w:t>Statistical Agency Contact for Statistical Information</w:t>
      </w:r>
    </w:p>
    <w:p w:rsidR="00425751" w:rsidP="00A37B9A" w14:paraId="53F5B1E1" w14:textId="77777777">
      <w:pPr>
        <w:tabs>
          <w:tab w:val="left" w:pos="990"/>
        </w:tabs>
        <w:rPr>
          <w:rFonts w:ascii="Times New Roman" w:hAnsi="Times New Roman"/>
          <w:lang w:val="en"/>
        </w:rPr>
      </w:pPr>
      <w:r>
        <w:rPr>
          <w:rFonts w:ascii="Times New Roman" w:hAnsi="Times New Roman"/>
          <w:lang w:val="en"/>
        </w:rPr>
        <w:tab/>
      </w:r>
      <w:r w:rsidR="00756AC9">
        <w:rPr>
          <w:rFonts w:ascii="Times New Roman" w:hAnsi="Times New Roman"/>
          <w:lang w:val="en"/>
        </w:rPr>
        <w:t>For further information you can communicate w</w:t>
      </w:r>
      <w:r w:rsidR="0035034A">
        <w:rPr>
          <w:rFonts w:ascii="Times New Roman" w:hAnsi="Times New Roman"/>
          <w:lang w:val="en"/>
        </w:rPr>
        <w:t>ith the following staff members:</w:t>
      </w:r>
    </w:p>
    <w:p w:rsidR="00756AC9" w:rsidP="00585E74" w14:paraId="13B5D9B6" w14:textId="77777777">
      <w:pPr>
        <w:rPr>
          <w:rFonts w:ascii="Times New Roman" w:hAnsi="Times New Roman"/>
          <w:lang w:val="en"/>
        </w:rPr>
      </w:pPr>
    </w:p>
    <w:p w:rsidR="00756AC9" w:rsidP="00A37B9A" w14:paraId="426DCDD8" w14:textId="5E91A6D0">
      <w:pPr>
        <w:ind w:left="720" w:firstLine="270"/>
        <w:rPr>
          <w:rFonts w:ascii="Times New Roman" w:hAnsi="Times New Roman"/>
          <w:lang w:val="en"/>
        </w:rPr>
      </w:pPr>
      <w:r>
        <w:rPr>
          <w:rFonts w:ascii="Times New Roman" w:hAnsi="Times New Roman"/>
          <w:lang w:val="en"/>
        </w:rPr>
        <w:t>Mustafa Karakus,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Pr>
          <w:rFonts w:ascii="Times New Roman" w:hAnsi="Times New Roman"/>
          <w:lang w:val="en"/>
        </w:rPr>
        <w:t xml:space="preserve">, </w:t>
      </w:r>
      <w:r w:rsidR="0090426F">
        <w:rPr>
          <w:rFonts w:ascii="Times New Roman" w:hAnsi="Times New Roman"/>
          <w:lang w:val="en"/>
        </w:rPr>
        <w:t>Principal</w:t>
      </w:r>
      <w:r w:rsidR="00585E74">
        <w:rPr>
          <w:rFonts w:ascii="Times New Roman" w:hAnsi="Times New Roman"/>
          <w:lang w:val="en"/>
        </w:rPr>
        <w:t xml:space="preserve"> Investigator</w:t>
      </w:r>
      <w:r>
        <w:rPr>
          <w:rFonts w:ascii="Times New Roman" w:hAnsi="Times New Roman"/>
          <w:lang w:val="en"/>
        </w:rPr>
        <w:t xml:space="preserve"> </w:t>
      </w:r>
      <w:r w:rsidR="00D47C5B">
        <w:rPr>
          <w:rFonts w:ascii="Times New Roman" w:hAnsi="Times New Roman"/>
          <w:lang w:val="en"/>
        </w:rPr>
        <w:t>and Project Director</w:t>
      </w:r>
    </w:p>
    <w:p w:rsidR="00756AC9" w:rsidP="00A37B9A" w14:paraId="097EB030" w14:textId="77777777">
      <w:pPr>
        <w:ind w:left="270" w:firstLine="720"/>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xml:space="preserve">: </w:t>
      </w:r>
      <w:r>
        <w:rPr>
          <w:rFonts w:ascii="Times New Roman" w:hAnsi="Times New Roman"/>
          <w:lang w:val="en"/>
        </w:rPr>
        <w:t>240-370-4907</w:t>
      </w:r>
    </w:p>
    <w:p w:rsidR="00756AC9" w:rsidP="00A37B9A" w14:paraId="5C39D74F" w14:textId="77777777">
      <w:pPr>
        <w:ind w:left="270" w:firstLine="720"/>
        <w:rPr>
          <w:rFonts w:ascii="Times New Roman" w:hAnsi="Times New Roman"/>
          <w:lang w:val="en"/>
        </w:rPr>
      </w:pPr>
      <w:r>
        <w:rPr>
          <w:rFonts w:ascii="Times New Roman" w:hAnsi="Times New Roman"/>
          <w:lang w:val="en"/>
        </w:rPr>
        <w:t xml:space="preserve">Email: </w:t>
      </w:r>
      <w:hyperlink r:id="rId5" w:history="1">
        <w:r w:rsidRPr="00510655">
          <w:rPr>
            <w:rStyle w:val="Hyperlink"/>
            <w:rFonts w:ascii="Times New Roman" w:hAnsi="Times New Roman"/>
            <w:lang w:val="en"/>
          </w:rPr>
          <w:t>mustafakarakus@westat.com</w:t>
        </w:r>
      </w:hyperlink>
    </w:p>
    <w:p w:rsidR="00756AC9" w:rsidP="00585E74" w14:paraId="3205E28B" w14:textId="77777777">
      <w:pPr>
        <w:rPr>
          <w:rFonts w:ascii="Times New Roman" w:hAnsi="Times New Roman"/>
          <w:lang w:val="en"/>
        </w:rPr>
      </w:pPr>
    </w:p>
    <w:p w:rsidR="00585E74" w:rsidP="00952084" w14:paraId="26D0B71A" w14:textId="4620AB17">
      <w:pPr>
        <w:ind w:left="270" w:firstLine="720"/>
        <w:rPr>
          <w:rFonts w:ascii="Times New Roman" w:hAnsi="Times New Roman"/>
          <w:lang w:val="en"/>
        </w:rPr>
      </w:pPr>
      <w:r>
        <w:rPr>
          <w:rFonts w:ascii="Times New Roman" w:hAnsi="Times New Roman"/>
          <w:lang w:val="en"/>
        </w:rPr>
        <w:t>Erika Bonilla, M</w:t>
      </w:r>
      <w:r w:rsidR="00722851">
        <w:rPr>
          <w:rFonts w:ascii="Times New Roman" w:hAnsi="Times New Roman"/>
          <w:lang w:val="en"/>
        </w:rPr>
        <w:t>.</w:t>
      </w:r>
      <w:r>
        <w:rPr>
          <w:rFonts w:ascii="Times New Roman" w:hAnsi="Times New Roman"/>
          <w:lang w:val="en"/>
        </w:rPr>
        <w:t>S</w:t>
      </w:r>
      <w:r w:rsidR="00722851">
        <w:rPr>
          <w:rFonts w:ascii="Times New Roman" w:hAnsi="Times New Roman"/>
          <w:lang w:val="en"/>
        </w:rPr>
        <w:t>.</w:t>
      </w:r>
      <w:r w:rsidR="00B54C05">
        <w:rPr>
          <w:rFonts w:ascii="Times New Roman" w:hAnsi="Times New Roman"/>
          <w:lang w:val="en"/>
        </w:rPr>
        <w:t xml:space="preserve">, Project </w:t>
      </w:r>
      <w:r w:rsidR="00D47C5B">
        <w:rPr>
          <w:rFonts w:ascii="Times New Roman" w:hAnsi="Times New Roman"/>
          <w:lang w:val="en"/>
        </w:rPr>
        <w:t xml:space="preserve">Manager </w:t>
      </w:r>
    </w:p>
    <w:p w:rsidR="00585E74" w:rsidP="00234935" w14:paraId="300D3AA9" w14:textId="77777777">
      <w:pPr>
        <w:tabs>
          <w:tab w:val="left" w:pos="990"/>
        </w:tabs>
        <w:ind w:firstLine="720"/>
        <w:rPr>
          <w:rFonts w:ascii="Times New Roman" w:hAnsi="Times New Roman"/>
          <w:lang w:val="en"/>
        </w:rPr>
      </w:pPr>
      <w:r>
        <w:rPr>
          <w:rFonts w:ascii="Times New Roman" w:hAnsi="Times New Roman"/>
          <w:lang w:val="en"/>
        </w:rPr>
        <w:tab/>
        <w:t>Tel</w:t>
      </w:r>
      <w:r w:rsidR="00B02CF3">
        <w:rPr>
          <w:rFonts w:ascii="Times New Roman" w:hAnsi="Times New Roman"/>
          <w:lang w:val="en"/>
        </w:rPr>
        <w:t>ephone</w:t>
      </w:r>
      <w:r>
        <w:rPr>
          <w:rFonts w:ascii="Times New Roman" w:hAnsi="Times New Roman"/>
          <w:lang w:val="en"/>
        </w:rPr>
        <w:t xml:space="preserve">: </w:t>
      </w:r>
      <w:r w:rsidRPr="00585E74">
        <w:rPr>
          <w:rFonts w:ascii="Times New Roman" w:hAnsi="Times New Roman"/>
          <w:lang w:val="en"/>
        </w:rPr>
        <w:t>301-610-4879</w:t>
      </w:r>
    </w:p>
    <w:p w:rsidR="00756AC9" w:rsidP="00234935" w14:paraId="0690338C" w14:textId="77777777">
      <w:pPr>
        <w:ind w:left="720" w:firstLine="270"/>
        <w:rPr>
          <w:rFonts w:ascii="Times New Roman" w:hAnsi="Times New Roman"/>
          <w:lang w:val="en"/>
        </w:rPr>
      </w:pPr>
      <w:r>
        <w:rPr>
          <w:rFonts w:ascii="Times New Roman" w:hAnsi="Times New Roman"/>
          <w:lang w:val="en"/>
        </w:rPr>
        <w:t xml:space="preserve">Email: </w:t>
      </w:r>
      <w:hyperlink r:id="rId6" w:history="1">
        <w:r w:rsidRPr="005F4F71" w:rsidR="00CE5B91">
          <w:rPr>
            <w:rStyle w:val="Hyperlink"/>
            <w:rFonts w:ascii="Times New Roman" w:hAnsi="Times New Roman"/>
            <w:lang w:val="en"/>
          </w:rPr>
          <w:t>erikabonilla@westat.com</w:t>
        </w:r>
      </w:hyperlink>
      <w:r w:rsidR="00CE5B91">
        <w:rPr>
          <w:rFonts w:ascii="Times New Roman" w:hAnsi="Times New Roman"/>
          <w:lang w:val="en"/>
        </w:rPr>
        <w:t xml:space="preserve"> </w:t>
      </w:r>
    </w:p>
    <w:p w:rsidR="00756AC9" w:rsidP="00585E74" w14:paraId="651646A4" w14:textId="77777777">
      <w:pPr>
        <w:rPr>
          <w:rFonts w:ascii="Times New Roman" w:hAnsi="Times New Roman"/>
          <w:lang w:val="en"/>
        </w:rPr>
      </w:pPr>
    </w:p>
    <w:p w:rsidR="00756AC9" w:rsidP="00234935" w14:paraId="22A0F80B" w14:textId="77777777">
      <w:pPr>
        <w:ind w:left="270" w:firstLine="720"/>
        <w:rPr>
          <w:rFonts w:ascii="Times New Roman" w:hAnsi="Times New Roman"/>
          <w:lang w:val="en"/>
        </w:rPr>
      </w:pPr>
      <w:r>
        <w:rPr>
          <w:rFonts w:ascii="Times New Roman" w:hAnsi="Times New Roman"/>
          <w:lang w:val="en"/>
        </w:rPr>
        <w:t>Jeffrey Taylor,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sidR="00C00FAC">
        <w:rPr>
          <w:rFonts w:ascii="Times New Roman" w:hAnsi="Times New Roman"/>
          <w:lang w:val="en"/>
        </w:rPr>
        <w:t xml:space="preserve">, </w:t>
      </w:r>
      <w:r w:rsidR="00643F9C">
        <w:rPr>
          <w:rFonts w:ascii="Times New Roman" w:hAnsi="Times New Roman"/>
          <w:lang w:val="en"/>
        </w:rPr>
        <w:t xml:space="preserve">Lead </w:t>
      </w:r>
      <w:r w:rsidR="00C00FAC">
        <w:rPr>
          <w:rFonts w:ascii="Times New Roman" w:hAnsi="Times New Roman"/>
          <w:lang w:val="en"/>
        </w:rPr>
        <w:t>Statistician</w:t>
      </w:r>
    </w:p>
    <w:p w:rsidR="00585E74" w:rsidP="00234935" w14:paraId="14587825" w14:textId="77777777">
      <w:pPr>
        <w:ind w:left="270" w:firstLine="720"/>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xml:space="preserve">: </w:t>
      </w:r>
      <w:r w:rsidRPr="00585E74">
        <w:rPr>
          <w:rFonts w:ascii="Times New Roman" w:hAnsi="Times New Roman"/>
          <w:lang w:val="en"/>
        </w:rPr>
        <w:t>301-212-2174</w:t>
      </w:r>
    </w:p>
    <w:p w:rsidR="00585E74" w:rsidP="00234935" w14:paraId="2105D51F" w14:textId="77777777">
      <w:pPr>
        <w:ind w:left="270" w:firstLine="720"/>
        <w:rPr>
          <w:rFonts w:ascii="Times New Roman" w:hAnsi="Times New Roman"/>
          <w:lang w:val="en"/>
        </w:rPr>
      </w:pPr>
      <w:r>
        <w:rPr>
          <w:rFonts w:ascii="Times New Roman" w:hAnsi="Times New Roman"/>
          <w:lang w:val="en"/>
        </w:rPr>
        <w:t xml:space="preserve">Email: </w:t>
      </w:r>
      <w:hyperlink r:id="rId7" w:history="1">
        <w:r w:rsidRPr="005F4F71" w:rsidR="00643F9C">
          <w:rPr>
            <w:rStyle w:val="Hyperlink"/>
            <w:rFonts w:ascii="Times New Roman" w:hAnsi="Times New Roman"/>
            <w:lang w:val="en"/>
          </w:rPr>
          <w:t>JeffreyTaylor@westat.com</w:t>
        </w:r>
      </w:hyperlink>
      <w:r w:rsidR="00643F9C">
        <w:rPr>
          <w:rFonts w:ascii="Times New Roman" w:hAnsi="Times New Roman"/>
          <w:lang w:val="en"/>
        </w:rPr>
        <w:t xml:space="preserve"> </w:t>
      </w:r>
    </w:p>
    <w:p w:rsidR="002B75B9" w:rsidP="0019671F" w14:paraId="77CDCA25" w14:textId="77777777">
      <w:pPr>
        <w:ind w:left="1080"/>
        <w:rPr>
          <w:rFonts w:ascii="Times New Roman" w:hAnsi="Times New Roman"/>
          <w:lang w:val="en"/>
        </w:rPr>
      </w:pPr>
    </w:p>
    <w:p w:rsidR="00B26F7D" w:rsidP="00B26F7D" w14:paraId="2CD0DD03" w14:textId="32BDF455">
      <w:pPr>
        <w:ind w:left="270" w:firstLine="720"/>
        <w:rPr>
          <w:rFonts w:ascii="Times New Roman" w:hAnsi="Times New Roman"/>
          <w:lang w:val="en"/>
        </w:rPr>
      </w:pPr>
      <w:r>
        <w:rPr>
          <w:rFonts w:ascii="Times New Roman" w:hAnsi="Times New Roman"/>
          <w:lang w:val="en"/>
        </w:rPr>
        <w:t xml:space="preserve">Marion McCoy, </w:t>
      </w:r>
      <w:r w:rsidR="00D47C5B">
        <w:rPr>
          <w:rFonts w:ascii="Times New Roman" w:hAnsi="Times New Roman"/>
          <w:lang w:val="en"/>
        </w:rPr>
        <w:t xml:space="preserve">Ph.D., </w:t>
      </w:r>
      <w:r>
        <w:rPr>
          <w:rFonts w:ascii="Times New Roman" w:hAnsi="Times New Roman"/>
          <w:lang w:val="en"/>
        </w:rPr>
        <w:t>Contracting Officer Technical Representative</w:t>
      </w:r>
    </w:p>
    <w:p w:rsidR="00B26F7D" w:rsidP="00B26F7D" w14:paraId="63BB8166" w14:textId="77777777">
      <w:pPr>
        <w:ind w:left="270" w:firstLine="720"/>
        <w:rPr>
          <w:rFonts w:ascii="Times New Roman" w:hAnsi="Times New Roman"/>
          <w:lang w:val="en"/>
        </w:rPr>
      </w:pPr>
      <w:r>
        <w:rPr>
          <w:rFonts w:ascii="Times New Roman" w:hAnsi="Times New Roman"/>
          <w:lang w:val="en"/>
        </w:rPr>
        <w:t>The Social Security Administration</w:t>
      </w:r>
    </w:p>
    <w:p w:rsidR="00B26F7D" w:rsidP="00B26F7D" w14:paraId="2B600092" w14:textId="77777777">
      <w:pPr>
        <w:ind w:left="270" w:firstLine="720"/>
        <w:rPr>
          <w:rFonts w:ascii="Times New Roman" w:hAnsi="Times New Roman"/>
          <w:lang w:val="en"/>
        </w:rPr>
      </w:pPr>
      <w:r>
        <w:rPr>
          <w:rFonts w:ascii="Times New Roman" w:hAnsi="Times New Roman"/>
          <w:lang w:val="en"/>
        </w:rPr>
        <w:t>Tel</w:t>
      </w:r>
      <w:r>
        <w:rPr>
          <w:rFonts w:ascii="Times New Roman" w:hAnsi="Times New Roman"/>
          <w:lang w:val="en"/>
        </w:rPr>
        <w:t xml:space="preserve">ephone: </w:t>
      </w:r>
      <w:r w:rsidRPr="00455833" w:rsidR="00455833">
        <w:rPr>
          <w:rFonts w:ascii="Times New Roman" w:hAnsi="Times New Roman"/>
          <w:lang w:val="en"/>
        </w:rPr>
        <w:t>240-498-3727</w:t>
      </w:r>
    </w:p>
    <w:p w:rsidR="002F2D07" w:rsidP="002F2D07" w14:paraId="09C69646" w14:textId="37203EFB">
      <w:pPr>
        <w:ind w:left="270" w:firstLine="720"/>
        <w:rPr>
          <w:rStyle w:val="Hyperlink"/>
          <w:rFonts w:ascii="Times New Roman" w:hAnsi="Times New Roman"/>
          <w:lang w:val="en"/>
        </w:rPr>
      </w:pPr>
      <w:r>
        <w:rPr>
          <w:rFonts w:ascii="Times New Roman" w:hAnsi="Times New Roman"/>
          <w:lang w:val="en"/>
        </w:rPr>
        <w:t xml:space="preserve">Email: </w:t>
      </w:r>
      <w:hyperlink r:id="rId8" w:history="1">
        <w:r w:rsidRPr="00621E75">
          <w:rPr>
            <w:rStyle w:val="Hyperlink"/>
            <w:rFonts w:ascii="Times New Roman" w:hAnsi="Times New Roman"/>
            <w:lang w:val="en"/>
          </w:rPr>
          <w:t>Marion.mccoy@ssa.go</w:t>
        </w:r>
      </w:hyperlink>
    </w:p>
    <w:p w:rsidR="002F2D07" w14:paraId="7EE60588" w14:textId="77241335">
      <w:pPr>
        <w:widowControl/>
        <w:rPr>
          <w:rStyle w:val="Hyperlink"/>
          <w:rFonts w:ascii="Times New Roman" w:hAnsi="Times New Roman"/>
          <w:lang w:val="en"/>
        </w:rPr>
      </w:pPr>
    </w:p>
    <w:p w:rsidR="00B26F7D" w:rsidP="002F2D07" w14:paraId="078ADF52" w14:textId="682D94D5">
      <w:pPr>
        <w:ind w:left="270" w:firstLine="720"/>
        <w:rPr>
          <w:rFonts w:ascii="Times New Roman" w:hAnsi="Times New Roman"/>
          <w:b/>
          <w:lang w:val="en"/>
        </w:rPr>
      </w:pPr>
      <w:r w:rsidRPr="002F2D07">
        <w:rPr>
          <w:rFonts w:ascii="Times New Roman" w:hAnsi="Times New Roman"/>
          <w:b/>
          <w:lang w:val="en"/>
        </w:rPr>
        <w:t>References</w:t>
      </w:r>
    </w:p>
    <w:p w:rsidR="00543787" w:rsidP="00EE6B92" w14:paraId="44810F17" w14:textId="77777777">
      <w:pPr>
        <w:ind w:left="990"/>
        <w:rPr>
          <w:rFonts w:ascii="Times New Roman" w:hAnsi="Times New Roman"/>
        </w:rPr>
      </w:pPr>
    </w:p>
    <w:p w:rsidR="00EE6B92" w:rsidRPr="00EE6B92" w:rsidP="00EE6B92" w14:paraId="5D30E8A3" w14:textId="475289E6">
      <w:pPr>
        <w:ind w:left="990"/>
        <w:rPr>
          <w:rFonts w:ascii="Times New Roman" w:hAnsi="Times New Roman"/>
        </w:rPr>
      </w:pPr>
      <w:r w:rsidRPr="00EE6B92">
        <w:rPr>
          <w:rFonts w:ascii="Times New Roman" w:hAnsi="Times New Roman"/>
        </w:rPr>
        <w:t>Cantor, D., O'Hare, B., and O'Connor, K. (2007)</w:t>
      </w:r>
      <w:r w:rsidRPr="00EE6B92" w:rsidR="00004952">
        <w:rPr>
          <w:rFonts w:ascii="Times New Roman" w:hAnsi="Times New Roman"/>
        </w:rPr>
        <w:t xml:space="preserve">.  </w:t>
      </w:r>
      <w:r w:rsidRPr="00EE6B92">
        <w:rPr>
          <w:rFonts w:ascii="Times New Roman" w:hAnsi="Times New Roman"/>
        </w:rPr>
        <w:t xml:space="preserve">The use of monetary incentives to reduce non-response in random </w:t>
      </w:r>
      <w:r w:rsidRPr="00EE6B92">
        <w:rPr>
          <w:rFonts w:ascii="Times New Roman" w:hAnsi="Times New Roman"/>
        </w:rPr>
        <w:t>digit dial surveys</w:t>
      </w:r>
      <w:r w:rsidRPr="00EE6B92" w:rsidR="00004952">
        <w:rPr>
          <w:rFonts w:ascii="Times New Roman" w:hAnsi="Times New Roman"/>
        </w:rPr>
        <w:t xml:space="preserve">.  </w:t>
      </w:r>
      <w:r w:rsidRPr="00EE6B92">
        <w:rPr>
          <w:rFonts w:ascii="Times New Roman" w:hAnsi="Times New Roman"/>
        </w:rPr>
        <w:t xml:space="preserve">In J.M. Lepkowski, C. Tucker, J.M. Brick, E. DeLeeuw, L. Japec, P.J. Lavrakas, M.W. Link, and R.L. Sangster (Eds.), </w:t>
      </w:r>
      <w:r w:rsidRPr="00EE6B92">
        <w:rPr>
          <w:rFonts w:ascii="Times New Roman" w:hAnsi="Times New Roman"/>
          <w:i/>
          <w:iCs/>
        </w:rPr>
        <w:t>Telephone survey methodology</w:t>
      </w:r>
      <w:r w:rsidRPr="00EE6B92">
        <w:rPr>
          <w:rFonts w:ascii="Times New Roman" w:hAnsi="Times New Roman"/>
        </w:rPr>
        <w:t xml:space="preserve"> (pp. 471-498)</w:t>
      </w:r>
      <w:r w:rsidRPr="00EE6B92" w:rsidR="00004952">
        <w:rPr>
          <w:rFonts w:ascii="Times New Roman" w:hAnsi="Times New Roman"/>
        </w:rPr>
        <w:t xml:space="preserve">.  </w:t>
      </w:r>
      <w:r w:rsidRPr="00EE6B92">
        <w:rPr>
          <w:rFonts w:ascii="Times New Roman" w:hAnsi="Times New Roman"/>
        </w:rPr>
        <w:t>New York, NY: Wiley.</w:t>
      </w:r>
    </w:p>
    <w:p w:rsidR="00EE6B92" w:rsidP="002F2D07" w14:paraId="50F4C7FE" w14:textId="77777777">
      <w:pPr>
        <w:ind w:left="990"/>
        <w:rPr>
          <w:rFonts w:ascii="Times New Roman" w:hAnsi="Times New Roman"/>
        </w:rPr>
      </w:pPr>
    </w:p>
    <w:p w:rsidR="00EE6B92" w:rsidRPr="00EE6B92" w:rsidP="00EE6B92" w14:paraId="01E2B952" w14:textId="2D1F9FEE">
      <w:pPr>
        <w:ind w:left="990"/>
        <w:rPr>
          <w:rFonts w:ascii="Times New Roman" w:hAnsi="Times New Roman"/>
        </w:rPr>
      </w:pPr>
      <w:r w:rsidRPr="00EE6B92">
        <w:rPr>
          <w:rFonts w:ascii="Times New Roman" w:hAnsi="Times New Roman"/>
        </w:rPr>
        <w:t xml:space="preserve">Mercer, A., Caporaso, A., Cantor, D., and Townsend, </w:t>
      </w:r>
      <w:r w:rsidRPr="00EE6B92">
        <w:rPr>
          <w:rFonts w:ascii="Times New Roman" w:hAnsi="Times New Roman"/>
        </w:rPr>
        <w:t>R. (2015)</w:t>
      </w:r>
      <w:r w:rsidRPr="00EE6B92" w:rsidR="00004952">
        <w:rPr>
          <w:rFonts w:ascii="Times New Roman" w:hAnsi="Times New Roman"/>
        </w:rPr>
        <w:t xml:space="preserve">.  </w:t>
      </w:r>
      <w:r w:rsidRPr="00EE6B92">
        <w:rPr>
          <w:rFonts w:ascii="Times New Roman" w:hAnsi="Times New Roman"/>
        </w:rPr>
        <w:t>How much gets you how much</w:t>
      </w:r>
      <w:r w:rsidRPr="00EE6B92" w:rsidR="00004952">
        <w:rPr>
          <w:rFonts w:ascii="Times New Roman" w:hAnsi="Times New Roman"/>
        </w:rPr>
        <w:t xml:space="preserve">?  </w:t>
      </w:r>
      <w:r w:rsidRPr="00EE6B92">
        <w:rPr>
          <w:rFonts w:ascii="Times New Roman" w:hAnsi="Times New Roman"/>
        </w:rPr>
        <w:t>Monetary incentives and response rates in household surveys</w:t>
      </w:r>
      <w:r w:rsidRPr="00EE6B92" w:rsidR="00004952">
        <w:rPr>
          <w:rFonts w:ascii="Times New Roman" w:hAnsi="Times New Roman"/>
        </w:rPr>
        <w:t xml:space="preserve">.  </w:t>
      </w:r>
      <w:r w:rsidRPr="00EE6B92">
        <w:rPr>
          <w:rFonts w:ascii="Times New Roman" w:hAnsi="Times New Roman"/>
          <w:i/>
          <w:iCs/>
        </w:rPr>
        <w:t>Public Opinion Quarterly</w:t>
      </w:r>
      <w:r w:rsidRPr="00EE6B92">
        <w:rPr>
          <w:rFonts w:ascii="Times New Roman" w:hAnsi="Times New Roman"/>
        </w:rPr>
        <w:t>, 79(1), 105-129</w:t>
      </w:r>
      <w:r w:rsidRPr="00EE6B92" w:rsidR="00004952">
        <w:rPr>
          <w:rFonts w:ascii="Times New Roman" w:hAnsi="Times New Roman"/>
        </w:rPr>
        <w:t xml:space="preserve">.  </w:t>
      </w:r>
      <w:r w:rsidRPr="00EE6B92">
        <w:rPr>
          <w:rFonts w:ascii="Times New Roman" w:hAnsi="Times New Roman"/>
        </w:rPr>
        <w:t>doi: 10.1093/poq/nfu059</w:t>
      </w:r>
    </w:p>
    <w:p w:rsidR="00EE6B92" w:rsidRPr="001C7ECA" w14:paraId="0F25B74D" w14:textId="77777777">
      <w:pPr>
        <w:ind w:left="990"/>
        <w:rPr>
          <w:rFonts w:ascii="Times New Roman" w:hAnsi="Times New Roman"/>
        </w:rPr>
      </w:pPr>
    </w:p>
    <w:p w:rsidR="002F2D07" w:rsidP="002F2D07" w14:paraId="506946C1" w14:textId="6ED13A42">
      <w:pPr>
        <w:ind w:left="990"/>
        <w:rPr>
          <w:rFonts w:ascii="Helvetica" w:hAnsi="Helvetica" w:cs="Helvetica"/>
          <w:color w:val="2A2A2A"/>
          <w:sz w:val="23"/>
          <w:szCs w:val="23"/>
        </w:rPr>
      </w:pPr>
      <w:r w:rsidRPr="001C7ECA">
        <w:rPr>
          <w:rFonts w:ascii="Times New Roman" w:hAnsi="Times New Roman"/>
        </w:rPr>
        <w:t>Messer</w:t>
      </w:r>
      <w:r w:rsidRPr="0041476E">
        <w:rPr>
          <w:rFonts w:ascii="Times New Roman" w:hAnsi="Times New Roman"/>
          <w:bdr w:val="none" w:sz="0" w:space="0" w:color="auto" w:frame="1"/>
        </w:rPr>
        <w:t>,</w:t>
      </w:r>
      <w:r w:rsidR="0041476E">
        <w:rPr>
          <w:rFonts w:ascii="Times New Roman" w:hAnsi="Times New Roman"/>
          <w:bdr w:val="none" w:sz="0" w:space="0" w:color="auto" w:frame="1"/>
        </w:rPr>
        <w:t xml:space="preserve"> B.L., </w:t>
      </w:r>
      <w:r w:rsidRPr="0041476E">
        <w:rPr>
          <w:rFonts w:ascii="Times New Roman" w:hAnsi="Times New Roman"/>
        </w:rPr>
        <w:t>Dillman</w:t>
      </w:r>
      <w:r w:rsidR="0041476E">
        <w:rPr>
          <w:rFonts w:ascii="Times New Roman" w:hAnsi="Times New Roman"/>
        </w:rPr>
        <w:t>, D.A</w:t>
      </w:r>
      <w:r w:rsidRPr="0041476E">
        <w:rPr>
          <w:rFonts w:ascii="Times New Roman" w:hAnsi="Times New Roman"/>
        </w:rPr>
        <w:t>. (Fall 2011)</w:t>
      </w:r>
      <w:r w:rsidRPr="0041476E" w:rsidR="00004952">
        <w:rPr>
          <w:rFonts w:ascii="Times New Roman" w:hAnsi="Times New Roman"/>
        </w:rPr>
        <w:t>.</w:t>
      </w:r>
      <w:r w:rsidRPr="001C7ECA" w:rsidR="00004952">
        <w:rPr>
          <w:rFonts w:ascii="Times New Roman" w:hAnsi="Times New Roman"/>
        </w:rPr>
        <w:t xml:space="preserve">  </w:t>
      </w:r>
      <w:r w:rsidRPr="001C7ECA">
        <w:rPr>
          <w:rFonts w:ascii="Times New Roman" w:hAnsi="Times New Roman"/>
        </w:rPr>
        <w:t xml:space="preserve">Surveying the General Public over the </w:t>
      </w:r>
      <w:r w:rsidRPr="001C7ECA">
        <w:rPr>
          <w:rFonts w:ascii="Times New Roman" w:hAnsi="Times New Roman"/>
        </w:rPr>
        <w:t>Internet Using Address-Based Sampling and Mail Contact Procedures, </w:t>
      </w:r>
      <w:r w:rsidRPr="0041476E">
        <w:rPr>
          <w:rFonts w:ascii="Times New Roman" w:hAnsi="Times New Roman"/>
          <w:i/>
          <w:iCs/>
          <w:bdr w:val="none" w:sz="0" w:space="0" w:color="auto" w:frame="1"/>
        </w:rPr>
        <w:t>Public Opinion Quarterly</w:t>
      </w:r>
      <w:r w:rsidRPr="001C7ECA">
        <w:rPr>
          <w:rFonts w:ascii="Times New Roman" w:hAnsi="Times New Roman"/>
        </w:rPr>
        <w:t>, Volume 75, Issue 3, Pages 429–457</w:t>
      </w:r>
      <w:r w:rsidRPr="0041476E" w:rsidR="0041476E">
        <w:rPr>
          <w:rFonts w:ascii="Times New Roman" w:hAnsi="Times New Roman"/>
        </w:rPr>
        <w:t>.</w:t>
      </w:r>
      <w:r w:rsidRPr="0041476E">
        <w:rPr>
          <w:rFonts w:ascii="Times New Roman" w:hAnsi="Times New Roman"/>
        </w:rPr>
        <w:t xml:space="preserve"> </w:t>
      </w:r>
      <w:r w:rsidRPr="001C7ECA">
        <w:rPr>
          <w:rFonts w:ascii="Helvetica" w:hAnsi="Helvetica" w:cs="Helvetica"/>
          <w:sz w:val="23"/>
          <w:szCs w:val="23"/>
        </w:rPr>
        <w:t> </w:t>
      </w:r>
      <w:hyperlink r:id="rId9" w:history="1">
        <w:r w:rsidRPr="001C7ECA">
          <w:rPr>
            <w:rFonts w:ascii="Helvetica" w:hAnsi="Helvetica" w:cs="Helvetica"/>
            <w:color w:val="006FB7"/>
            <w:sz w:val="23"/>
            <w:szCs w:val="23"/>
            <w:u w:val="single"/>
            <w:bdr w:val="none" w:sz="0" w:space="0" w:color="auto" w:frame="1"/>
          </w:rPr>
          <w:t>https://doi.org/10.1093/poq/nfr021</w:t>
        </w:r>
      </w:hyperlink>
    </w:p>
    <w:p w:rsidR="0041476E" w:rsidP="002F2D07" w14:paraId="7E17A681" w14:textId="0E84185F">
      <w:pPr>
        <w:ind w:left="990"/>
        <w:rPr>
          <w:rFonts w:ascii="Times New Roman" w:hAnsi="Times New Roman"/>
          <w:lang w:val="en"/>
        </w:rPr>
      </w:pPr>
    </w:p>
    <w:p w:rsidR="0041476E" w:rsidRPr="0041476E" w:rsidP="0041476E" w14:paraId="7CA79F84" w14:textId="58C5AAC0">
      <w:pPr>
        <w:ind w:left="990"/>
        <w:rPr>
          <w:rFonts w:ascii="Times New Roman" w:hAnsi="Times New Roman"/>
          <w:color w:val="0000FF"/>
          <w:u w:val="single"/>
          <w:lang w:val="en"/>
        </w:rPr>
      </w:pPr>
      <w:r w:rsidRPr="0041476E">
        <w:rPr>
          <w:rFonts w:ascii="Times New Roman" w:hAnsi="Times New Roman"/>
          <w:lang w:val="en"/>
        </w:rPr>
        <w:t>Dillman</w:t>
      </w:r>
      <w:r w:rsidRPr="0041476E">
        <w:rPr>
          <w:rFonts w:ascii="Times New Roman" w:hAnsi="Times New Roman"/>
          <w:lang w:val="en"/>
        </w:rPr>
        <w:t>, D. A., Smyth, J. D., and Christian, L. M. (2009)</w:t>
      </w:r>
      <w:r w:rsidRPr="0041476E" w:rsidR="00004952">
        <w:rPr>
          <w:rFonts w:ascii="Times New Roman" w:hAnsi="Times New Roman"/>
          <w:lang w:val="en"/>
        </w:rPr>
        <w:t xml:space="preserve">.  </w:t>
      </w:r>
      <w:r w:rsidRPr="0041476E">
        <w:rPr>
          <w:rFonts w:ascii="Times New Roman" w:hAnsi="Times New Roman"/>
          <w:lang w:val="en"/>
        </w:rPr>
        <w:t>Internet, mail, and mixed-mode surveys: The tailored design method (3rd ed.)</w:t>
      </w:r>
      <w:r w:rsidRPr="0041476E" w:rsidR="00004952">
        <w:rPr>
          <w:rFonts w:ascii="Times New Roman" w:hAnsi="Times New Roman"/>
          <w:lang w:val="en"/>
        </w:rPr>
        <w:t xml:space="preserve">.  </w:t>
      </w:r>
      <w:r w:rsidRPr="0041476E">
        <w:rPr>
          <w:rFonts w:ascii="Times New Roman" w:hAnsi="Times New Roman"/>
          <w:lang w:val="en"/>
        </w:rPr>
        <w:t>Hoboken, NJ, US: John Wiley &amp; Sons Inc.</w:t>
      </w:r>
    </w:p>
    <w:sectPr w:rsidSect="00084733">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2382959"/>
      <w:docPartObj>
        <w:docPartGallery w:val="Page Numbers (Bottom of Page)"/>
        <w:docPartUnique/>
      </w:docPartObj>
    </w:sdtPr>
    <w:sdtEndPr>
      <w:rPr>
        <w:noProof/>
      </w:rPr>
    </w:sdtEndPr>
    <w:sdtContent>
      <w:p w:rsidR="00806CC9" w14:paraId="33B844B2" w14:textId="5B749212">
        <w:pPr>
          <w:pStyle w:val="Footer"/>
          <w:jc w:val="center"/>
        </w:pPr>
        <w:r>
          <w:fldChar w:fldCharType="begin"/>
        </w:r>
        <w:r>
          <w:instrText xml:space="preserve"> PAGE   \* MERGEFORMAT </w:instrText>
        </w:r>
        <w:r>
          <w:fldChar w:fldCharType="separate"/>
        </w:r>
        <w:r w:rsidR="007C6EAD">
          <w:rPr>
            <w:noProof/>
          </w:rPr>
          <w:t>15</w:t>
        </w:r>
        <w:r>
          <w:rPr>
            <w:noProof/>
          </w:rPr>
          <w:fldChar w:fldCharType="end"/>
        </w:r>
      </w:p>
    </w:sdtContent>
  </w:sdt>
  <w:p w:rsidR="00806CC9" w14:paraId="3F303C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52B" w14:paraId="66ADA2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374A6"/>
    <w:multiLevelType w:val="multilevel"/>
    <w:tmpl w:val="E2CEB9D0"/>
    <w:lvl w:ilvl="0">
      <w:start w:val="1"/>
      <w:numFmt w:val="decimal"/>
      <w:lvlText w:val="%1."/>
      <w:lvlJc w:val="left"/>
      <w:pPr>
        <w:ind w:left="576" w:hanging="360"/>
      </w:pPr>
      <w:rPr>
        <w:rFonts w:ascii="Times New Roman" w:hAnsi="Times New Roman" w:cs="Times New Roman" w:hint="default"/>
        <w:b/>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0663B25"/>
    <w:multiLevelType w:val="hybridMultilevel"/>
    <w:tmpl w:val="C8B68FE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9B1CE6"/>
    <w:multiLevelType w:val="hybridMultilevel"/>
    <w:tmpl w:val="CAD868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105586E"/>
    <w:multiLevelType w:val="hybridMultilevel"/>
    <w:tmpl w:val="B5FACD40"/>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6324561">
    <w:abstractNumId w:val="1"/>
  </w:num>
  <w:num w:numId="2" w16cid:durableId="1321425428">
    <w:abstractNumId w:val="3"/>
  </w:num>
  <w:num w:numId="3" w16cid:durableId="341706286">
    <w:abstractNumId w:val="6"/>
  </w:num>
  <w:num w:numId="4" w16cid:durableId="2043557053">
    <w:abstractNumId w:val="5"/>
  </w:num>
  <w:num w:numId="5" w16cid:durableId="1728996093">
    <w:abstractNumId w:val="0"/>
  </w:num>
  <w:num w:numId="6" w16cid:durableId="1578245107">
    <w:abstractNumId w:val="4"/>
  </w:num>
  <w:num w:numId="7" w16cid:durableId="18976195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CF7"/>
    <w:rsid w:val="00004952"/>
    <w:rsid w:val="00007583"/>
    <w:rsid w:val="00016830"/>
    <w:rsid w:val="0001714B"/>
    <w:rsid w:val="00020467"/>
    <w:rsid w:val="000214A1"/>
    <w:rsid w:val="0002194E"/>
    <w:rsid w:val="00021F83"/>
    <w:rsid w:val="000222A7"/>
    <w:rsid w:val="00025216"/>
    <w:rsid w:val="00025D75"/>
    <w:rsid w:val="0002677F"/>
    <w:rsid w:val="0003285E"/>
    <w:rsid w:val="00055551"/>
    <w:rsid w:val="000578E1"/>
    <w:rsid w:val="00063A05"/>
    <w:rsid w:val="00063E93"/>
    <w:rsid w:val="0006715D"/>
    <w:rsid w:val="0007189E"/>
    <w:rsid w:val="00075FEF"/>
    <w:rsid w:val="00077720"/>
    <w:rsid w:val="00077E0E"/>
    <w:rsid w:val="00082E8D"/>
    <w:rsid w:val="00084733"/>
    <w:rsid w:val="00084DFE"/>
    <w:rsid w:val="00086E84"/>
    <w:rsid w:val="000934FC"/>
    <w:rsid w:val="00093F54"/>
    <w:rsid w:val="000958AA"/>
    <w:rsid w:val="00097A83"/>
    <w:rsid w:val="00097B23"/>
    <w:rsid w:val="000A352B"/>
    <w:rsid w:val="000A6AE3"/>
    <w:rsid w:val="000A6F7D"/>
    <w:rsid w:val="000A7F50"/>
    <w:rsid w:val="000B2B68"/>
    <w:rsid w:val="000B3B12"/>
    <w:rsid w:val="000B4465"/>
    <w:rsid w:val="000B6B20"/>
    <w:rsid w:val="000B6F13"/>
    <w:rsid w:val="000C151C"/>
    <w:rsid w:val="000C1D18"/>
    <w:rsid w:val="000C4DE1"/>
    <w:rsid w:val="000C5506"/>
    <w:rsid w:val="000C611F"/>
    <w:rsid w:val="000D22D0"/>
    <w:rsid w:val="000D41A2"/>
    <w:rsid w:val="000D5F5C"/>
    <w:rsid w:val="000E2990"/>
    <w:rsid w:val="000E6EE6"/>
    <w:rsid w:val="000E7817"/>
    <w:rsid w:val="00121032"/>
    <w:rsid w:val="001218DA"/>
    <w:rsid w:val="00121B57"/>
    <w:rsid w:val="00122EE2"/>
    <w:rsid w:val="00127980"/>
    <w:rsid w:val="00131D7E"/>
    <w:rsid w:val="0014133F"/>
    <w:rsid w:val="00143529"/>
    <w:rsid w:val="00146005"/>
    <w:rsid w:val="00146275"/>
    <w:rsid w:val="001532BA"/>
    <w:rsid w:val="0015576E"/>
    <w:rsid w:val="00155EBD"/>
    <w:rsid w:val="0018005A"/>
    <w:rsid w:val="00192897"/>
    <w:rsid w:val="00194AE2"/>
    <w:rsid w:val="00195658"/>
    <w:rsid w:val="0019671F"/>
    <w:rsid w:val="001A0986"/>
    <w:rsid w:val="001A202D"/>
    <w:rsid w:val="001A3317"/>
    <w:rsid w:val="001A65F9"/>
    <w:rsid w:val="001A7094"/>
    <w:rsid w:val="001B7CF4"/>
    <w:rsid w:val="001C6D3A"/>
    <w:rsid w:val="001C7ECA"/>
    <w:rsid w:val="001D0B21"/>
    <w:rsid w:val="001D4362"/>
    <w:rsid w:val="001D7126"/>
    <w:rsid w:val="001D7D78"/>
    <w:rsid w:val="001E07AC"/>
    <w:rsid w:val="001E1076"/>
    <w:rsid w:val="001E5DF3"/>
    <w:rsid w:val="001E6534"/>
    <w:rsid w:val="001E6AC2"/>
    <w:rsid w:val="001F43D2"/>
    <w:rsid w:val="001F56BB"/>
    <w:rsid w:val="00202C06"/>
    <w:rsid w:val="00210F00"/>
    <w:rsid w:val="0023137F"/>
    <w:rsid w:val="002321B0"/>
    <w:rsid w:val="00234348"/>
    <w:rsid w:val="00234935"/>
    <w:rsid w:val="00241560"/>
    <w:rsid w:val="0024181D"/>
    <w:rsid w:val="00245A38"/>
    <w:rsid w:val="00246836"/>
    <w:rsid w:val="00253862"/>
    <w:rsid w:val="002563F1"/>
    <w:rsid w:val="0026052B"/>
    <w:rsid w:val="00260668"/>
    <w:rsid w:val="00266308"/>
    <w:rsid w:val="002703EF"/>
    <w:rsid w:val="00270A43"/>
    <w:rsid w:val="002740AD"/>
    <w:rsid w:val="002747E8"/>
    <w:rsid w:val="00276AAF"/>
    <w:rsid w:val="002801F8"/>
    <w:rsid w:val="002A4C30"/>
    <w:rsid w:val="002B0820"/>
    <w:rsid w:val="002B5578"/>
    <w:rsid w:val="002B75B9"/>
    <w:rsid w:val="002C2FB5"/>
    <w:rsid w:val="002C45DB"/>
    <w:rsid w:val="002D6CEE"/>
    <w:rsid w:val="002E18CF"/>
    <w:rsid w:val="002E335E"/>
    <w:rsid w:val="002F1C11"/>
    <w:rsid w:val="002F2D07"/>
    <w:rsid w:val="002F3D7C"/>
    <w:rsid w:val="00300115"/>
    <w:rsid w:val="00302545"/>
    <w:rsid w:val="00303622"/>
    <w:rsid w:val="00303BC5"/>
    <w:rsid w:val="00307CDB"/>
    <w:rsid w:val="003161B5"/>
    <w:rsid w:val="003176E1"/>
    <w:rsid w:val="00322EDB"/>
    <w:rsid w:val="00326E01"/>
    <w:rsid w:val="00331821"/>
    <w:rsid w:val="00333D3D"/>
    <w:rsid w:val="0034188D"/>
    <w:rsid w:val="00345CE2"/>
    <w:rsid w:val="003465DC"/>
    <w:rsid w:val="003469CA"/>
    <w:rsid w:val="0035034A"/>
    <w:rsid w:val="00352361"/>
    <w:rsid w:val="00354672"/>
    <w:rsid w:val="0036245F"/>
    <w:rsid w:val="0036696D"/>
    <w:rsid w:val="00366E1D"/>
    <w:rsid w:val="003743B4"/>
    <w:rsid w:val="003755F1"/>
    <w:rsid w:val="0038050B"/>
    <w:rsid w:val="00387B28"/>
    <w:rsid w:val="00394664"/>
    <w:rsid w:val="00395325"/>
    <w:rsid w:val="00395775"/>
    <w:rsid w:val="003A5B70"/>
    <w:rsid w:val="003A666A"/>
    <w:rsid w:val="003B10D9"/>
    <w:rsid w:val="003B15EC"/>
    <w:rsid w:val="003B30B4"/>
    <w:rsid w:val="003B3426"/>
    <w:rsid w:val="003B58DD"/>
    <w:rsid w:val="003B7425"/>
    <w:rsid w:val="003C10BD"/>
    <w:rsid w:val="003C280F"/>
    <w:rsid w:val="003C5F47"/>
    <w:rsid w:val="003E145C"/>
    <w:rsid w:val="003E5826"/>
    <w:rsid w:val="00404BAB"/>
    <w:rsid w:val="00404D86"/>
    <w:rsid w:val="00405548"/>
    <w:rsid w:val="0041131C"/>
    <w:rsid w:val="00413AC2"/>
    <w:rsid w:val="0041476E"/>
    <w:rsid w:val="00417435"/>
    <w:rsid w:val="0041778C"/>
    <w:rsid w:val="00417A52"/>
    <w:rsid w:val="00425751"/>
    <w:rsid w:val="0043121F"/>
    <w:rsid w:val="004317CB"/>
    <w:rsid w:val="00447EE9"/>
    <w:rsid w:val="0045065A"/>
    <w:rsid w:val="004509AD"/>
    <w:rsid w:val="004516B7"/>
    <w:rsid w:val="00455833"/>
    <w:rsid w:val="00456260"/>
    <w:rsid w:val="00456EAD"/>
    <w:rsid w:val="00465C29"/>
    <w:rsid w:val="00473B36"/>
    <w:rsid w:val="004742A9"/>
    <w:rsid w:val="00475350"/>
    <w:rsid w:val="004772E8"/>
    <w:rsid w:val="00481B44"/>
    <w:rsid w:val="00484662"/>
    <w:rsid w:val="00490B5B"/>
    <w:rsid w:val="004915B5"/>
    <w:rsid w:val="00492819"/>
    <w:rsid w:val="004A74D5"/>
    <w:rsid w:val="004C3478"/>
    <w:rsid w:val="004C5E86"/>
    <w:rsid w:val="004E146D"/>
    <w:rsid w:val="004E4053"/>
    <w:rsid w:val="004F337F"/>
    <w:rsid w:val="004F765D"/>
    <w:rsid w:val="0050197F"/>
    <w:rsid w:val="005040EC"/>
    <w:rsid w:val="00506486"/>
    <w:rsid w:val="00510655"/>
    <w:rsid w:val="00511211"/>
    <w:rsid w:val="00512A88"/>
    <w:rsid w:val="00515C60"/>
    <w:rsid w:val="00520197"/>
    <w:rsid w:val="0053036C"/>
    <w:rsid w:val="00532D91"/>
    <w:rsid w:val="00540B8B"/>
    <w:rsid w:val="00543787"/>
    <w:rsid w:val="00555BAD"/>
    <w:rsid w:val="005614CD"/>
    <w:rsid w:val="0056163C"/>
    <w:rsid w:val="00566324"/>
    <w:rsid w:val="005721D4"/>
    <w:rsid w:val="005765BE"/>
    <w:rsid w:val="00580168"/>
    <w:rsid w:val="0058174D"/>
    <w:rsid w:val="00585E74"/>
    <w:rsid w:val="005867B7"/>
    <w:rsid w:val="00590E5C"/>
    <w:rsid w:val="00593A36"/>
    <w:rsid w:val="00594CB3"/>
    <w:rsid w:val="005A1198"/>
    <w:rsid w:val="005B15E5"/>
    <w:rsid w:val="005C2C39"/>
    <w:rsid w:val="005C43F1"/>
    <w:rsid w:val="005D0C4A"/>
    <w:rsid w:val="005D4107"/>
    <w:rsid w:val="005D443B"/>
    <w:rsid w:val="005D6C52"/>
    <w:rsid w:val="005D7BE8"/>
    <w:rsid w:val="005E6BFB"/>
    <w:rsid w:val="005F208A"/>
    <w:rsid w:val="005F3CF6"/>
    <w:rsid w:val="005F4F71"/>
    <w:rsid w:val="006002DD"/>
    <w:rsid w:val="006013A3"/>
    <w:rsid w:val="00604E38"/>
    <w:rsid w:val="00610CDF"/>
    <w:rsid w:val="006111E4"/>
    <w:rsid w:val="0061155D"/>
    <w:rsid w:val="006160ED"/>
    <w:rsid w:val="00620651"/>
    <w:rsid w:val="00621E75"/>
    <w:rsid w:val="00626C22"/>
    <w:rsid w:val="00631F1B"/>
    <w:rsid w:val="0063304D"/>
    <w:rsid w:val="00637AF5"/>
    <w:rsid w:val="00640A26"/>
    <w:rsid w:val="00643F9C"/>
    <w:rsid w:val="00646446"/>
    <w:rsid w:val="00655BF4"/>
    <w:rsid w:val="00656084"/>
    <w:rsid w:val="006620BB"/>
    <w:rsid w:val="00663881"/>
    <w:rsid w:val="00664553"/>
    <w:rsid w:val="006647AC"/>
    <w:rsid w:val="006806E1"/>
    <w:rsid w:val="00683344"/>
    <w:rsid w:val="006863D2"/>
    <w:rsid w:val="006908B6"/>
    <w:rsid w:val="0069667B"/>
    <w:rsid w:val="006A179C"/>
    <w:rsid w:val="006A2FCF"/>
    <w:rsid w:val="006A3C81"/>
    <w:rsid w:val="006A5543"/>
    <w:rsid w:val="006A7011"/>
    <w:rsid w:val="006B173F"/>
    <w:rsid w:val="006B17EF"/>
    <w:rsid w:val="006B297F"/>
    <w:rsid w:val="006B4558"/>
    <w:rsid w:val="006D5181"/>
    <w:rsid w:val="006E0E8C"/>
    <w:rsid w:val="006E330A"/>
    <w:rsid w:val="006F2B8B"/>
    <w:rsid w:val="006F3C62"/>
    <w:rsid w:val="006F4D0F"/>
    <w:rsid w:val="00700E89"/>
    <w:rsid w:val="0070479A"/>
    <w:rsid w:val="00710545"/>
    <w:rsid w:val="00712DF4"/>
    <w:rsid w:val="00712F1B"/>
    <w:rsid w:val="0071437B"/>
    <w:rsid w:val="0072017B"/>
    <w:rsid w:val="00722851"/>
    <w:rsid w:val="00723EC6"/>
    <w:rsid w:val="00723F50"/>
    <w:rsid w:val="007245C9"/>
    <w:rsid w:val="00724C81"/>
    <w:rsid w:val="007256B3"/>
    <w:rsid w:val="00726BF8"/>
    <w:rsid w:val="00742B56"/>
    <w:rsid w:val="00745462"/>
    <w:rsid w:val="00746D53"/>
    <w:rsid w:val="00751717"/>
    <w:rsid w:val="00752CB2"/>
    <w:rsid w:val="00756AC9"/>
    <w:rsid w:val="0076696D"/>
    <w:rsid w:val="00775DB3"/>
    <w:rsid w:val="00784CBE"/>
    <w:rsid w:val="0078678D"/>
    <w:rsid w:val="00787FDC"/>
    <w:rsid w:val="00795BAB"/>
    <w:rsid w:val="007A08D1"/>
    <w:rsid w:val="007A2DEE"/>
    <w:rsid w:val="007A3F8C"/>
    <w:rsid w:val="007A6EEC"/>
    <w:rsid w:val="007A6F2A"/>
    <w:rsid w:val="007A7DF6"/>
    <w:rsid w:val="007B007C"/>
    <w:rsid w:val="007B0AC2"/>
    <w:rsid w:val="007B167C"/>
    <w:rsid w:val="007C1D57"/>
    <w:rsid w:val="007C3C5F"/>
    <w:rsid w:val="007C6EAD"/>
    <w:rsid w:val="007D061D"/>
    <w:rsid w:val="007D22EB"/>
    <w:rsid w:val="007E17BD"/>
    <w:rsid w:val="0080020E"/>
    <w:rsid w:val="00801CE2"/>
    <w:rsid w:val="00806984"/>
    <w:rsid w:val="00806CC9"/>
    <w:rsid w:val="00810485"/>
    <w:rsid w:val="00813868"/>
    <w:rsid w:val="00814772"/>
    <w:rsid w:val="00822E58"/>
    <w:rsid w:val="00824D72"/>
    <w:rsid w:val="00825B97"/>
    <w:rsid w:val="00835ADE"/>
    <w:rsid w:val="008406D1"/>
    <w:rsid w:val="00840BDA"/>
    <w:rsid w:val="00844B38"/>
    <w:rsid w:val="00846B06"/>
    <w:rsid w:val="0084775D"/>
    <w:rsid w:val="00861386"/>
    <w:rsid w:val="0086463A"/>
    <w:rsid w:val="00864B5C"/>
    <w:rsid w:val="00867B04"/>
    <w:rsid w:val="00873741"/>
    <w:rsid w:val="008754ED"/>
    <w:rsid w:val="00882B48"/>
    <w:rsid w:val="00883BA8"/>
    <w:rsid w:val="00886F96"/>
    <w:rsid w:val="008913FC"/>
    <w:rsid w:val="00891CA8"/>
    <w:rsid w:val="00892E12"/>
    <w:rsid w:val="00895F9A"/>
    <w:rsid w:val="008A18A5"/>
    <w:rsid w:val="008B6774"/>
    <w:rsid w:val="008D158E"/>
    <w:rsid w:val="008E12D5"/>
    <w:rsid w:val="008E3A3A"/>
    <w:rsid w:val="008E6367"/>
    <w:rsid w:val="008F097F"/>
    <w:rsid w:val="0090426F"/>
    <w:rsid w:val="00906892"/>
    <w:rsid w:val="00911D3C"/>
    <w:rsid w:val="0091231B"/>
    <w:rsid w:val="00915B18"/>
    <w:rsid w:val="00915C68"/>
    <w:rsid w:val="00916826"/>
    <w:rsid w:val="00920AB9"/>
    <w:rsid w:val="00924F7E"/>
    <w:rsid w:val="009252AB"/>
    <w:rsid w:val="00927551"/>
    <w:rsid w:val="00932BA6"/>
    <w:rsid w:val="00951258"/>
    <w:rsid w:val="00952084"/>
    <w:rsid w:val="00952C5B"/>
    <w:rsid w:val="00954803"/>
    <w:rsid w:val="009559FC"/>
    <w:rsid w:val="00955EC4"/>
    <w:rsid w:val="00960248"/>
    <w:rsid w:val="00961C6C"/>
    <w:rsid w:val="00962960"/>
    <w:rsid w:val="00963A7B"/>
    <w:rsid w:val="00967FBA"/>
    <w:rsid w:val="009704C3"/>
    <w:rsid w:val="009748B6"/>
    <w:rsid w:val="00975DD8"/>
    <w:rsid w:val="009846AF"/>
    <w:rsid w:val="00985820"/>
    <w:rsid w:val="009909B3"/>
    <w:rsid w:val="00996183"/>
    <w:rsid w:val="009A0B16"/>
    <w:rsid w:val="009A2CE5"/>
    <w:rsid w:val="009B35E7"/>
    <w:rsid w:val="009C1497"/>
    <w:rsid w:val="009C30BB"/>
    <w:rsid w:val="009E3C50"/>
    <w:rsid w:val="009F23D6"/>
    <w:rsid w:val="009F2477"/>
    <w:rsid w:val="009F7BB3"/>
    <w:rsid w:val="00A057F6"/>
    <w:rsid w:val="00A10F6F"/>
    <w:rsid w:val="00A11FE5"/>
    <w:rsid w:val="00A141BF"/>
    <w:rsid w:val="00A315C8"/>
    <w:rsid w:val="00A31D96"/>
    <w:rsid w:val="00A337E4"/>
    <w:rsid w:val="00A33C65"/>
    <w:rsid w:val="00A34222"/>
    <w:rsid w:val="00A347C7"/>
    <w:rsid w:val="00A34B6F"/>
    <w:rsid w:val="00A37B9A"/>
    <w:rsid w:val="00A41C67"/>
    <w:rsid w:val="00A45819"/>
    <w:rsid w:val="00A45D82"/>
    <w:rsid w:val="00A55C1F"/>
    <w:rsid w:val="00A57864"/>
    <w:rsid w:val="00A651A7"/>
    <w:rsid w:val="00A652F0"/>
    <w:rsid w:val="00A67D76"/>
    <w:rsid w:val="00A67EB7"/>
    <w:rsid w:val="00A706B8"/>
    <w:rsid w:val="00A70759"/>
    <w:rsid w:val="00A812B9"/>
    <w:rsid w:val="00A85CC2"/>
    <w:rsid w:val="00A9153E"/>
    <w:rsid w:val="00A97524"/>
    <w:rsid w:val="00AA0306"/>
    <w:rsid w:val="00AA06A4"/>
    <w:rsid w:val="00AA0858"/>
    <w:rsid w:val="00AA0C27"/>
    <w:rsid w:val="00AA7A90"/>
    <w:rsid w:val="00AB0C2F"/>
    <w:rsid w:val="00AB0CA7"/>
    <w:rsid w:val="00AB162A"/>
    <w:rsid w:val="00AB7BA7"/>
    <w:rsid w:val="00AC39FD"/>
    <w:rsid w:val="00AD0977"/>
    <w:rsid w:val="00AD6E10"/>
    <w:rsid w:val="00AE0527"/>
    <w:rsid w:val="00AE2ABB"/>
    <w:rsid w:val="00AE356B"/>
    <w:rsid w:val="00AE7352"/>
    <w:rsid w:val="00AF0317"/>
    <w:rsid w:val="00AF2A85"/>
    <w:rsid w:val="00AF3BEA"/>
    <w:rsid w:val="00AF4A37"/>
    <w:rsid w:val="00B00213"/>
    <w:rsid w:val="00B007C5"/>
    <w:rsid w:val="00B01838"/>
    <w:rsid w:val="00B01D57"/>
    <w:rsid w:val="00B02CF3"/>
    <w:rsid w:val="00B040E4"/>
    <w:rsid w:val="00B04572"/>
    <w:rsid w:val="00B051CA"/>
    <w:rsid w:val="00B05FBE"/>
    <w:rsid w:val="00B11571"/>
    <w:rsid w:val="00B2495A"/>
    <w:rsid w:val="00B26F7D"/>
    <w:rsid w:val="00B27F60"/>
    <w:rsid w:val="00B3771F"/>
    <w:rsid w:val="00B41240"/>
    <w:rsid w:val="00B50D50"/>
    <w:rsid w:val="00B53039"/>
    <w:rsid w:val="00B53298"/>
    <w:rsid w:val="00B53CB2"/>
    <w:rsid w:val="00B54C05"/>
    <w:rsid w:val="00B55F32"/>
    <w:rsid w:val="00B64BCC"/>
    <w:rsid w:val="00B71630"/>
    <w:rsid w:val="00B741F6"/>
    <w:rsid w:val="00B92550"/>
    <w:rsid w:val="00BA1653"/>
    <w:rsid w:val="00BA401A"/>
    <w:rsid w:val="00BA5AC2"/>
    <w:rsid w:val="00BA6B58"/>
    <w:rsid w:val="00BB2CF1"/>
    <w:rsid w:val="00BB4AA6"/>
    <w:rsid w:val="00BB6130"/>
    <w:rsid w:val="00BC23F8"/>
    <w:rsid w:val="00BC5531"/>
    <w:rsid w:val="00BC7F42"/>
    <w:rsid w:val="00BF026F"/>
    <w:rsid w:val="00BF3C91"/>
    <w:rsid w:val="00BF769E"/>
    <w:rsid w:val="00BF79ED"/>
    <w:rsid w:val="00C00B49"/>
    <w:rsid w:val="00C00FAC"/>
    <w:rsid w:val="00C0290B"/>
    <w:rsid w:val="00C05888"/>
    <w:rsid w:val="00C072DC"/>
    <w:rsid w:val="00C13AA6"/>
    <w:rsid w:val="00C15E5F"/>
    <w:rsid w:val="00C22097"/>
    <w:rsid w:val="00C239D4"/>
    <w:rsid w:val="00C25FDC"/>
    <w:rsid w:val="00C34A91"/>
    <w:rsid w:val="00C3570C"/>
    <w:rsid w:val="00C377BC"/>
    <w:rsid w:val="00C4534B"/>
    <w:rsid w:val="00C5104E"/>
    <w:rsid w:val="00C60E61"/>
    <w:rsid w:val="00C678C6"/>
    <w:rsid w:val="00C67C8A"/>
    <w:rsid w:val="00C67F83"/>
    <w:rsid w:val="00C704D8"/>
    <w:rsid w:val="00C70D78"/>
    <w:rsid w:val="00C941E2"/>
    <w:rsid w:val="00C94CE2"/>
    <w:rsid w:val="00CA0B15"/>
    <w:rsid w:val="00CA5F75"/>
    <w:rsid w:val="00CA6CAE"/>
    <w:rsid w:val="00CA6F26"/>
    <w:rsid w:val="00CB7253"/>
    <w:rsid w:val="00CB7557"/>
    <w:rsid w:val="00CD07B4"/>
    <w:rsid w:val="00CD1D01"/>
    <w:rsid w:val="00CD667A"/>
    <w:rsid w:val="00CE23C1"/>
    <w:rsid w:val="00CE5B91"/>
    <w:rsid w:val="00D0011E"/>
    <w:rsid w:val="00D03E8A"/>
    <w:rsid w:val="00D046FA"/>
    <w:rsid w:val="00D125EC"/>
    <w:rsid w:val="00D3084D"/>
    <w:rsid w:val="00D31B0D"/>
    <w:rsid w:val="00D42EFE"/>
    <w:rsid w:val="00D43CEB"/>
    <w:rsid w:val="00D44900"/>
    <w:rsid w:val="00D47C5B"/>
    <w:rsid w:val="00D51361"/>
    <w:rsid w:val="00D54D43"/>
    <w:rsid w:val="00D5531A"/>
    <w:rsid w:val="00D5647F"/>
    <w:rsid w:val="00D678F8"/>
    <w:rsid w:val="00DA09C5"/>
    <w:rsid w:val="00DA30CF"/>
    <w:rsid w:val="00DA46C1"/>
    <w:rsid w:val="00DA6E80"/>
    <w:rsid w:val="00DB16CB"/>
    <w:rsid w:val="00DB1DB4"/>
    <w:rsid w:val="00DC10AB"/>
    <w:rsid w:val="00DC4252"/>
    <w:rsid w:val="00DD023D"/>
    <w:rsid w:val="00DD2477"/>
    <w:rsid w:val="00DD24E0"/>
    <w:rsid w:val="00DD494D"/>
    <w:rsid w:val="00DE3DB6"/>
    <w:rsid w:val="00DE43D4"/>
    <w:rsid w:val="00DE4B0D"/>
    <w:rsid w:val="00DE6186"/>
    <w:rsid w:val="00DF4E17"/>
    <w:rsid w:val="00DF7F76"/>
    <w:rsid w:val="00E0137B"/>
    <w:rsid w:val="00E0155D"/>
    <w:rsid w:val="00E02D16"/>
    <w:rsid w:val="00E0332E"/>
    <w:rsid w:val="00E04DD3"/>
    <w:rsid w:val="00E065DA"/>
    <w:rsid w:val="00E11710"/>
    <w:rsid w:val="00E143EA"/>
    <w:rsid w:val="00E22354"/>
    <w:rsid w:val="00E26B1E"/>
    <w:rsid w:val="00E30C12"/>
    <w:rsid w:val="00E310A4"/>
    <w:rsid w:val="00E3164F"/>
    <w:rsid w:val="00E34F55"/>
    <w:rsid w:val="00E4101A"/>
    <w:rsid w:val="00E437C5"/>
    <w:rsid w:val="00E46FDD"/>
    <w:rsid w:val="00E56441"/>
    <w:rsid w:val="00E63800"/>
    <w:rsid w:val="00E649A0"/>
    <w:rsid w:val="00E72912"/>
    <w:rsid w:val="00E74605"/>
    <w:rsid w:val="00E759D5"/>
    <w:rsid w:val="00E75DB0"/>
    <w:rsid w:val="00E80456"/>
    <w:rsid w:val="00E835FD"/>
    <w:rsid w:val="00E93801"/>
    <w:rsid w:val="00E956F3"/>
    <w:rsid w:val="00E9593E"/>
    <w:rsid w:val="00EB1F89"/>
    <w:rsid w:val="00EB61EA"/>
    <w:rsid w:val="00EC4839"/>
    <w:rsid w:val="00EC755A"/>
    <w:rsid w:val="00EC7EFD"/>
    <w:rsid w:val="00ED36D8"/>
    <w:rsid w:val="00EE6086"/>
    <w:rsid w:val="00EE6B92"/>
    <w:rsid w:val="00EE7228"/>
    <w:rsid w:val="00EF4071"/>
    <w:rsid w:val="00EF4EF2"/>
    <w:rsid w:val="00EF5C68"/>
    <w:rsid w:val="00EF5FB4"/>
    <w:rsid w:val="00EF765F"/>
    <w:rsid w:val="00F028DE"/>
    <w:rsid w:val="00F0533E"/>
    <w:rsid w:val="00F0585C"/>
    <w:rsid w:val="00F107B7"/>
    <w:rsid w:val="00F11F57"/>
    <w:rsid w:val="00F1392A"/>
    <w:rsid w:val="00F14BA8"/>
    <w:rsid w:val="00F15EF8"/>
    <w:rsid w:val="00F22671"/>
    <w:rsid w:val="00F36B03"/>
    <w:rsid w:val="00F36E53"/>
    <w:rsid w:val="00F403DD"/>
    <w:rsid w:val="00F40E8F"/>
    <w:rsid w:val="00F4316C"/>
    <w:rsid w:val="00F46176"/>
    <w:rsid w:val="00F5149E"/>
    <w:rsid w:val="00F5195E"/>
    <w:rsid w:val="00F56A74"/>
    <w:rsid w:val="00F57AD9"/>
    <w:rsid w:val="00F675CA"/>
    <w:rsid w:val="00F67CAE"/>
    <w:rsid w:val="00F832E5"/>
    <w:rsid w:val="00F870A3"/>
    <w:rsid w:val="00F90AA1"/>
    <w:rsid w:val="00F91762"/>
    <w:rsid w:val="00F9405B"/>
    <w:rsid w:val="00FA0FE2"/>
    <w:rsid w:val="00FA34E8"/>
    <w:rsid w:val="00FA788A"/>
    <w:rsid w:val="00FA7D4E"/>
    <w:rsid w:val="00FB1644"/>
    <w:rsid w:val="00FB2D86"/>
    <w:rsid w:val="00FB6782"/>
    <w:rsid w:val="00FC24F6"/>
    <w:rsid w:val="00FD5320"/>
    <w:rsid w:val="00FD549D"/>
    <w:rsid w:val="00FD6374"/>
    <w:rsid w:val="00FD703A"/>
    <w:rsid w:val="00FE420A"/>
    <w:rsid w:val="00FF2E2D"/>
    <w:rsid w:val="00FF4A84"/>
    <w:rsid w:val="00FF6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D10529"/>
  <w15:chartTrackingRefBased/>
  <w15:docId w15:val="{DD0AB2F4-3D60-48A8-A15B-36783D96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DE3DB6"/>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0E29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5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352361"/>
    <w:rPr>
      <w:rFonts w:ascii="Courier" w:eastAsia="Times New Roman" w:hAnsi="Courier"/>
      <w:snapToGrid w:val="0"/>
    </w:rPr>
  </w:style>
  <w:style w:type="character" w:customStyle="1" w:styleId="Heading1Char">
    <w:name w:val="Heading 1 Char"/>
    <w:basedOn w:val="DefaultParagraphFont"/>
    <w:link w:val="Heading1"/>
    <w:rsid w:val="00B41240"/>
    <w:rPr>
      <w:rFonts w:ascii="Courier New" w:eastAsia="Times New Roman" w:hAnsi="Courier New" w:cs="Courier New"/>
      <w:b/>
      <w:bCs/>
      <w:snapToGrid w:val="0"/>
      <w:sz w:val="24"/>
      <w:szCs w:val="24"/>
    </w:rPr>
  </w:style>
  <w:style w:type="paragraph" w:styleId="FootnoteText">
    <w:name w:val="footnote text"/>
    <w:aliases w:val="F1"/>
    <w:basedOn w:val="Normal"/>
    <w:link w:val="FootnoteTextChar"/>
    <w:rsid w:val="00E835FD"/>
    <w:rPr>
      <w:sz w:val="20"/>
      <w:szCs w:val="20"/>
    </w:rPr>
  </w:style>
  <w:style w:type="character" w:customStyle="1" w:styleId="FootnoteTextChar">
    <w:name w:val="Footnote Text Char"/>
    <w:aliases w:val="F1 Char"/>
    <w:basedOn w:val="DefaultParagraphFont"/>
    <w:link w:val="FootnoteText"/>
    <w:rsid w:val="00E835FD"/>
    <w:rPr>
      <w:rFonts w:ascii="Courier" w:eastAsia="Times New Roman" w:hAnsi="Courier"/>
      <w:snapToGrid w:val="0"/>
    </w:rPr>
  </w:style>
  <w:style w:type="character" w:styleId="FootnoteReference">
    <w:name w:val="footnote reference"/>
    <w:basedOn w:val="DefaultParagraphFont"/>
    <w:uiPriority w:val="99"/>
    <w:rsid w:val="00E835FD"/>
    <w:rPr>
      <w:vertAlign w:val="superscript"/>
    </w:rPr>
  </w:style>
  <w:style w:type="paragraph" w:customStyle="1" w:styleId="font12em">
    <w:name w:val="font1_2em"/>
    <w:basedOn w:val="Normal"/>
    <w:rsid w:val="00E835FD"/>
    <w:pPr>
      <w:widowControl/>
      <w:spacing w:before="100" w:beforeAutospacing="1" w:after="100" w:afterAutospacing="1"/>
    </w:pPr>
    <w:rPr>
      <w:rFonts w:ascii="Times New Roman" w:hAnsi="Times New Roman"/>
      <w:snapToGrid/>
    </w:rPr>
  </w:style>
  <w:style w:type="character" w:styleId="Emphasis">
    <w:name w:val="Emphasis"/>
    <w:basedOn w:val="DefaultParagraphFont"/>
    <w:uiPriority w:val="20"/>
    <w:qFormat/>
    <w:rsid w:val="00E835FD"/>
    <w:rPr>
      <w:i/>
      <w:iCs/>
    </w:rPr>
  </w:style>
  <w:style w:type="paragraph" w:customStyle="1" w:styleId="R1-ResPara">
    <w:name w:val="R1-Res. Para"/>
    <w:basedOn w:val="Normal"/>
    <w:rsid w:val="00B26F7D"/>
    <w:pPr>
      <w:widowControl/>
      <w:spacing w:line="240" w:lineRule="atLeast"/>
      <w:ind w:left="288"/>
    </w:pPr>
    <w:rPr>
      <w:rFonts w:ascii="Garamond" w:hAnsi="Garamond"/>
      <w:snapToGrid/>
      <w:szCs w:val="20"/>
    </w:rPr>
  </w:style>
  <w:style w:type="character" w:customStyle="1" w:styleId="FooterChar">
    <w:name w:val="Footer Char"/>
    <w:basedOn w:val="DefaultParagraphFont"/>
    <w:link w:val="Footer"/>
    <w:uiPriority w:val="99"/>
    <w:rsid w:val="00655BF4"/>
    <w:rPr>
      <w:rFonts w:ascii="Courier" w:eastAsia="Times New Roman" w:hAnsi="Courier"/>
      <w:snapToGrid w:val="0"/>
      <w:sz w:val="24"/>
      <w:szCs w:val="24"/>
    </w:rPr>
  </w:style>
  <w:style w:type="paragraph" w:styleId="Caption">
    <w:name w:val="caption"/>
    <w:basedOn w:val="Normal"/>
    <w:next w:val="Normal"/>
    <w:unhideWhenUsed/>
    <w:qFormat/>
    <w:rsid w:val="00806CC9"/>
    <w:pPr>
      <w:spacing w:after="200"/>
    </w:pPr>
    <w:rPr>
      <w:i/>
      <w:iCs/>
      <w:color w:val="44546A" w:themeColor="text2"/>
      <w:sz w:val="18"/>
      <w:szCs w:val="18"/>
    </w:rPr>
  </w:style>
  <w:style w:type="paragraph" w:customStyle="1" w:styleId="B1-1stLevelCalloutBullet">
    <w:name w:val="B1-1st Level Callout Bullet"/>
    <w:rsid w:val="00A34B6F"/>
    <w:pPr>
      <w:numPr>
        <w:numId w:val="2"/>
      </w:numPr>
      <w:spacing w:line="240" w:lineRule="atLeast"/>
    </w:pPr>
    <w:rPr>
      <w:rFonts w:eastAsia="Times New Roman" w:asciiTheme="minorHAnsi" w:hAnsiTheme="minorHAnsi"/>
      <w:color w:val="00467F"/>
      <w:szCs w:val="24"/>
    </w:rPr>
  </w:style>
  <w:style w:type="paragraph" w:customStyle="1" w:styleId="B2-2ndLevelCalloutBullet">
    <w:name w:val="B2-2nd Level Callout Bullet"/>
    <w:basedOn w:val="B1-1stLevelCalloutBullet"/>
    <w:qFormat/>
    <w:rsid w:val="00A34B6F"/>
    <w:pPr>
      <w:numPr>
        <w:ilvl w:val="1"/>
      </w:numPr>
    </w:pPr>
  </w:style>
  <w:style w:type="paragraph" w:customStyle="1" w:styleId="L1-FlLSp12">
    <w:name w:val="L1-FlL Sp&amp;1/2"/>
    <w:basedOn w:val="Normal"/>
    <w:link w:val="L1-FlLSp12Char"/>
    <w:qFormat/>
    <w:rsid w:val="00A34B6F"/>
    <w:pPr>
      <w:widowControl/>
      <w:tabs>
        <w:tab w:val="left" w:pos="1152"/>
      </w:tabs>
      <w:spacing w:after="240"/>
    </w:pPr>
    <w:rPr>
      <w:rFonts w:asciiTheme="majorHAnsi" w:eastAsiaTheme="minorEastAsia" w:hAnsiTheme="majorHAnsi" w:cstheme="minorBidi"/>
      <w:snapToGrid/>
      <w:sz w:val="22"/>
      <w:szCs w:val="20"/>
      <w:lang w:eastAsia="ja-JP"/>
    </w:rPr>
  </w:style>
  <w:style w:type="character" w:customStyle="1" w:styleId="L1-FlLSp12Char">
    <w:name w:val="L1-FlL Sp&amp;1/2 Char"/>
    <w:basedOn w:val="DefaultParagraphFont"/>
    <w:link w:val="L1-FlLSp12"/>
    <w:rsid w:val="00A34B6F"/>
    <w:rPr>
      <w:rFonts w:asciiTheme="majorHAnsi" w:eastAsiaTheme="minorEastAsia" w:hAnsiTheme="majorHAnsi" w:cstheme="minorBidi"/>
      <w:sz w:val="22"/>
      <w:lang w:eastAsia="ja-JP"/>
    </w:rPr>
  </w:style>
  <w:style w:type="paragraph" w:customStyle="1" w:styleId="SL-FlLftSgl">
    <w:name w:val="SL-Fl Lft Sgl"/>
    <w:basedOn w:val="Normal"/>
    <w:link w:val="SL-FlLftSglChar"/>
    <w:rsid w:val="000E2990"/>
    <w:pPr>
      <w:widowControl/>
    </w:pPr>
    <w:rPr>
      <w:rFonts w:asciiTheme="majorHAnsi" w:eastAsiaTheme="minorEastAsia" w:hAnsiTheme="majorHAnsi" w:cstheme="minorBidi"/>
      <w:snapToGrid/>
      <w:sz w:val="22"/>
      <w:szCs w:val="22"/>
      <w:lang w:eastAsia="ja-JP"/>
    </w:rPr>
  </w:style>
  <w:style w:type="paragraph" w:customStyle="1" w:styleId="TH-TableHeading">
    <w:name w:val="TH-Table Heading"/>
    <w:rsid w:val="000E2990"/>
    <w:pPr>
      <w:jc w:val="center"/>
    </w:pPr>
    <w:rPr>
      <w:rFonts w:eastAsia="Times New Roman" w:asciiTheme="minorHAnsi" w:hAnsiTheme="minorHAnsi" w:cstheme="minorHAnsi"/>
      <w:b/>
      <w:color w:val="00467F"/>
    </w:rPr>
  </w:style>
  <w:style w:type="paragraph" w:customStyle="1" w:styleId="TX-TableText">
    <w:name w:val="TX-Table Text"/>
    <w:rsid w:val="000E2990"/>
    <w:rPr>
      <w:rFonts w:eastAsia="Times New Roman" w:asciiTheme="minorHAnsi" w:hAnsiTheme="minorHAnsi" w:cstheme="minorHAnsi"/>
      <w:color w:val="00467F"/>
    </w:rPr>
  </w:style>
  <w:style w:type="paragraph" w:customStyle="1" w:styleId="ET-ExhibitTitle">
    <w:name w:val="ET-Exhibit Title"/>
    <w:basedOn w:val="Heading5"/>
    <w:next w:val="TH-TableHeading"/>
    <w:link w:val="ET-ExhibitTitleChar"/>
    <w:rsid w:val="000E2990"/>
    <w:pPr>
      <w:widowControl/>
      <w:pBdr>
        <w:top w:val="single" w:sz="4" w:space="4" w:color="00467F"/>
        <w:left w:val="single" w:sz="4" w:space="6" w:color="00467F"/>
        <w:bottom w:val="single" w:sz="4" w:space="4" w:color="00467F"/>
        <w:right w:val="single" w:sz="4" w:space="6" w:color="00467F"/>
      </w:pBdr>
      <w:shd w:val="clear" w:color="auto" w:fill="00467F"/>
      <w:spacing w:before="120"/>
      <w:ind w:left="1440" w:right="158" w:hanging="1282"/>
    </w:pPr>
    <w:rPr>
      <w:rFonts w:asciiTheme="minorHAnsi" w:eastAsiaTheme="minorEastAsia" w:hAnsiTheme="minorHAnsi" w:cstheme="minorBidi"/>
      <w:b/>
      <w:snapToGrid/>
      <w:color w:val="FFFFFF" w:themeColor="background1"/>
      <w:kern w:val="2"/>
      <w:position w:val="6"/>
      <w:sz w:val="22"/>
      <w:szCs w:val="22"/>
      <w:lang w:eastAsia="ja-JP"/>
    </w:rPr>
  </w:style>
  <w:style w:type="character" w:customStyle="1" w:styleId="ET-ExhibitTitleChar">
    <w:name w:val="ET-Exhibit Title Char"/>
    <w:basedOn w:val="DefaultParagraphFont"/>
    <w:link w:val="ET-ExhibitTitle"/>
    <w:rsid w:val="000E2990"/>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customStyle="1" w:styleId="0-MatrixTable-Blue">
    <w:name w:val="0-Matrix Table-Blue"/>
    <w:basedOn w:val="TableNormal"/>
    <w:uiPriority w:val="99"/>
    <w:rsid w:val="000E2990"/>
    <w:rPr>
      <w:rFonts w:eastAsia="Times New Roman"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43" w:leftChars="0"/>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character" w:customStyle="1" w:styleId="SL-FlLftSglChar">
    <w:name w:val="SL-Fl Lft Sgl Char"/>
    <w:link w:val="SL-FlLftSgl"/>
    <w:rsid w:val="000E2990"/>
    <w:rPr>
      <w:rFonts w:asciiTheme="majorHAnsi" w:eastAsiaTheme="minorEastAsia" w:hAnsiTheme="majorHAnsi" w:cstheme="minorBidi"/>
      <w:sz w:val="22"/>
      <w:szCs w:val="22"/>
      <w:lang w:eastAsia="ja-JP"/>
    </w:rPr>
  </w:style>
  <w:style w:type="table" w:customStyle="1" w:styleId="D3Table-Blue">
    <w:name w:val="D3 Table-Blue"/>
    <w:basedOn w:val="TableNormal"/>
    <w:uiPriority w:val="99"/>
    <w:rsid w:val="000E2990"/>
    <w:rPr>
      <w:rFonts w:eastAsia="Times New Roman"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character" w:styleId="SubtleReference">
    <w:name w:val="Subtle Reference"/>
    <w:basedOn w:val="DefaultParagraphFont"/>
    <w:uiPriority w:val="31"/>
    <w:qFormat/>
    <w:rsid w:val="000E2990"/>
    <w:rPr>
      <w:smallCaps/>
      <w:color w:val="5A5A5A" w:themeColor="text1" w:themeTint="A5"/>
    </w:rPr>
  </w:style>
  <w:style w:type="character" w:customStyle="1" w:styleId="Heading5Char">
    <w:name w:val="Heading 5 Char"/>
    <w:basedOn w:val="DefaultParagraphFont"/>
    <w:link w:val="Heading5"/>
    <w:semiHidden/>
    <w:rsid w:val="000E2990"/>
    <w:rPr>
      <w:rFonts w:asciiTheme="majorHAnsi" w:eastAsiaTheme="majorEastAsia" w:hAnsiTheme="majorHAnsi" w:cstheme="majorBidi"/>
      <w:snapToGrid w:val="0"/>
      <w:color w:val="2E74B5" w:themeColor="accent1" w:themeShade="BF"/>
      <w:sz w:val="24"/>
      <w:szCs w:val="24"/>
    </w:rPr>
  </w:style>
  <w:style w:type="paragraph" w:customStyle="1" w:styleId="TB-TableBullet">
    <w:name w:val="TB-Table Bullet"/>
    <w:basedOn w:val="TX-TableText"/>
    <w:qFormat/>
    <w:rsid w:val="000E2990"/>
    <w:pPr>
      <w:numPr>
        <w:numId w:val="3"/>
      </w:numPr>
    </w:pPr>
  </w:style>
  <w:style w:type="paragraph" w:customStyle="1" w:styleId="NL-1stNumberedBullet">
    <w:name w:val="NL-1st Numbered Bullet"/>
    <w:basedOn w:val="Normal"/>
    <w:qFormat/>
    <w:rsid w:val="00DE3DB6"/>
    <w:pPr>
      <w:widowControl/>
      <w:numPr>
        <w:numId w:val="4"/>
      </w:numPr>
      <w:spacing w:after="240"/>
    </w:pPr>
    <w:rPr>
      <w:rFonts w:asciiTheme="majorHAnsi" w:eastAsiaTheme="minorEastAsia" w:hAnsiTheme="majorHAnsi" w:cstheme="minorBidi"/>
      <w:snapToGrid/>
      <w:sz w:val="22"/>
      <w:szCs w:val="20"/>
      <w:lang w:eastAsia="ja-JP"/>
    </w:rPr>
  </w:style>
  <w:style w:type="character" w:customStyle="1" w:styleId="Heading3Char">
    <w:name w:val="Heading 3 Char"/>
    <w:basedOn w:val="DefaultParagraphFont"/>
    <w:link w:val="Heading3"/>
    <w:semiHidden/>
    <w:rsid w:val="00DE3DB6"/>
    <w:rPr>
      <w:rFonts w:asciiTheme="majorHAnsi" w:eastAsiaTheme="majorEastAsia" w:hAnsiTheme="majorHAnsi" w:cstheme="majorBidi"/>
      <w:snapToGrid w:val="0"/>
      <w:color w:val="1F4D78" w:themeColor="accent1" w:themeShade="7F"/>
      <w:sz w:val="24"/>
      <w:szCs w:val="24"/>
    </w:rPr>
  </w:style>
  <w:style w:type="paragraph" w:customStyle="1" w:styleId="SP-SglSpBoxText">
    <w:name w:val="SP-Sgl Sp Box Text"/>
    <w:rsid w:val="00DE3DB6"/>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CT-CalloutBoxTitle">
    <w:name w:val="CT-CalloutBox Title"/>
    <w:qFormat/>
    <w:rsid w:val="00DE3DB6"/>
    <w:pPr>
      <w:jc w:val="center"/>
    </w:pPr>
    <w:rPr>
      <w:rFonts w:asciiTheme="minorHAnsi" w:eastAsiaTheme="minorEastAsia" w:hAnsiTheme="minorHAnsi"/>
      <w:b/>
      <w:color w:val="00467F"/>
      <w:sz w:val="22"/>
      <w:szCs w:val="22"/>
      <w:lang w:eastAsia="ko-KR"/>
    </w:rPr>
  </w:style>
  <w:style w:type="character" w:customStyle="1" w:styleId="cf01">
    <w:name w:val="cf01"/>
    <w:basedOn w:val="DefaultParagraphFont"/>
    <w:rsid w:val="00404B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ustafakarakus@westat.com" TargetMode="External" /><Relationship Id="rId6" Type="http://schemas.openxmlformats.org/officeDocument/2006/relationships/hyperlink" Target="mailto:erikabonilla@westat.com" TargetMode="External" /><Relationship Id="rId7" Type="http://schemas.openxmlformats.org/officeDocument/2006/relationships/hyperlink" Target="mailto:JeffreyTaylor@westat.com" TargetMode="External" /><Relationship Id="rId8" Type="http://schemas.openxmlformats.org/officeDocument/2006/relationships/hyperlink" Target="mailto:Marion.mccoy@ssa.go" TargetMode="External" /><Relationship Id="rId9" Type="http://schemas.openxmlformats.org/officeDocument/2006/relationships/hyperlink" Target="https://doi.org/10.1093/poq/nfr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444F-87E3-4840-8A70-F0B2D1C7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5113</Words>
  <Characters>28761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Phil Masiakowski</dc:creator>
  <cp:lastModifiedBy>Naomi Sipple</cp:lastModifiedBy>
  <cp:revision>2</cp:revision>
  <dcterms:created xsi:type="dcterms:W3CDTF">2024-02-20T16:43:00Z</dcterms:created>
  <dcterms:modified xsi:type="dcterms:W3CDTF">2024-02-20T16:43:00Z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-656384486</vt:i4>
  </property>
  <property fmtid="{D5CDD505-2E9C-101B-9397-08002B2CF9AE}" pid="3" name="_AuthorEmail">
    <vt:lpwstr>Kathleen.Hicks@ssa.gov</vt:lpwstr>
  </property>
  <property fmtid="{D5CDD505-2E9C-101B-9397-08002B2CF9AE}" pid="4" name="_AuthorEmailDisplayName">
    <vt:lpwstr>Hicks, Kathleen</vt:lpwstr>
  </property>
  <property fmtid="{D5CDD505-2E9C-101B-9397-08002B2CF9AE}" pid="5" name="_EmailSubject">
    <vt:lpwstr>BBS Stmts Attached for review</vt:lpwstr>
  </property>
  <property fmtid="{D5CDD505-2E9C-101B-9397-08002B2CF9AE}" pid="6" name="_NewReviewCycle">
    <vt:lpwstr/>
  </property>
  <property fmtid="{D5CDD505-2E9C-101B-9397-08002B2CF9AE}" pid="7" name="_PreviousAdHocReviewCycleID">
    <vt:i4>526030143</vt:i4>
  </property>
  <property fmtid="{D5CDD505-2E9C-101B-9397-08002B2CF9AE}" pid="8" name="_ReviewingToolsShownOnce">
    <vt:lpwstr/>
  </property>
</Properties>
</file>