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761E" w:rsidP="0041353A" w14:paraId="6092A0FD" w14:textId="7FF7C0AA">
      <w:pPr>
        <w:pStyle w:val="Title"/>
        <w:jc w:val="center"/>
        <w:rPr>
          <w:rFonts w:ascii="Times New Roman" w:eastAsia="Times New Roman" w:hAnsi="Times New Roman" w:cs="Times New Roman"/>
          <w:sz w:val="24"/>
          <w:szCs w:val="24"/>
        </w:rPr>
      </w:pPr>
      <w:r w:rsidRPr="1220AE68">
        <w:rPr>
          <w:rFonts w:eastAsia="Arial"/>
        </w:rPr>
        <w:t>Appendix A</w:t>
      </w:r>
    </w:p>
    <w:p w:rsidR="008D53E0" w:rsidP="0041353A" w14:paraId="7173315B" w14:textId="77777777">
      <w:pPr>
        <w:pStyle w:val="Subtitle"/>
        <w:rPr>
          <w:rFonts w:eastAsia="Times New Roman"/>
        </w:rPr>
      </w:pPr>
    </w:p>
    <w:p w:rsidR="0012761E" w:rsidP="0041353A" w14:paraId="0B0AB64F" w14:textId="6FDFA2BD">
      <w:pPr>
        <w:pStyle w:val="Subtitle"/>
        <w:rPr>
          <w:rFonts w:eastAsia="Times New Roman"/>
        </w:rPr>
      </w:pPr>
      <w:r w:rsidRPr="1220AE68">
        <w:rPr>
          <w:rFonts w:eastAsia="Times New Roman"/>
        </w:rPr>
        <w:t xml:space="preserve">Comments in Response to the Federal Register Notice and Efforts to Consult Outside the Agency </w:t>
      </w:r>
    </w:p>
    <w:p w:rsidR="009B64A5" w:rsidP="1220AE68" w14:paraId="3C24A378" w14:textId="77777777">
      <w:pPr>
        <w:tabs>
          <w:tab w:val="left" w:pos="360"/>
        </w:tabs>
        <w:spacing w:line="257" w:lineRule="auto"/>
        <w:rPr>
          <w:rFonts w:ascii="Times New Roman" w:eastAsia="Times New Roman" w:hAnsi="Times New Roman" w:cs="Times New Roman"/>
          <w:sz w:val="24"/>
          <w:szCs w:val="24"/>
        </w:rPr>
      </w:pPr>
    </w:p>
    <w:p w:rsidR="009A65AE" w:rsidRPr="00A115E1" w:rsidP="009A65AE" w14:paraId="19404965" w14:textId="08FF630F">
      <w:pPr>
        <w:ind w:left="360"/>
        <w:rPr>
          <w:rFonts w:ascii="Times New Roman" w:hAnsi="Times New Roman"/>
          <w:sz w:val="24"/>
          <w:szCs w:val="24"/>
        </w:rPr>
      </w:pPr>
      <w:r w:rsidRPr="001025FE">
        <w:rPr>
          <w:rFonts w:ascii="Times New Roman" w:hAnsi="Times New Roman"/>
          <w:sz w:val="24"/>
          <w:szCs w:val="24"/>
        </w:rPr>
        <w:t xml:space="preserve">The </w:t>
      </w:r>
      <w:r>
        <w:rPr>
          <w:rFonts w:ascii="Times New Roman" w:hAnsi="Times New Roman"/>
          <w:sz w:val="24"/>
          <w:szCs w:val="24"/>
        </w:rPr>
        <w:t>Interim</w:t>
      </w:r>
      <w:r w:rsidRPr="001025FE">
        <w:rPr>
          <w:rFonts w:ascii="Times New Roman" w:hAnsi="Times New Roman"/>
          <w:sz w:val="24"/>
          <w:szCs w:val="24"/>
        </w:rPr>
        <w:t xml:space="preserve"> Final Rule (IFR) for proposed regulatory changes to 45 CFR section 265 (Data Collection and Reporting Requirements) was published on June 28, 2024 (</w:t>
      </w:r>
      <w:hyperlink r:id="rId8" w:history="1">
        <w:r w:rsidRPr="001025FE">
          <w:rPr>
            <w:rStyle w:val="Hyperlink"/>
            <w:rFonts w:ascii="Times New Roman" w:hAnsi="Times New Roman"/>
            <w:sz w:val="24"/>
            <w:szCs w:val="24"/>
          </w:rPr>
          <w:t>89 FR 53870</w:t>
        </w:r>
      </w:hyperlink>
      <w:r w:rsidRPr="001025FE">
        <w:rPr>
          <w:rFonts w:ascii="Times New Roman" w:hAnsi="Times New Roman"/>
          <w:sz w:val="24"/>
          <w:szCs w:val="24"/>
        </w:rPr>
        <w:t xml:space="preserve">) and was concurrently used as a vehicle </w:t>
      </w:r>
      <w:r>
        <w:rPr>
          <w:rFonts w:ascii="Times New Roman" w:hAnsi="Times New Roman"/>
          <w:sz w:val="24"/>
          <w:szCs w:val="24"/>
        </w:rPr>
        <w:t xml:space="preserve">to fulfill the requirements of </w:t>
      </w:r>
      <w:r w:rsidRPr="00A115E1">
        <w:rPr>
          <w:rFonts w:ascii="Times New Roman" w:hAnsi="Times New Roman"/>
          <w:sz w:val="24"/>
          <w:szCs w:val="24"/>
        </w:rPr>
        <w:t>the Paperwork Reduction Act of 1995 (Pub. L. 104-13) and Office of Management and Budget (OMB) regulations at 5 CFR Part 1320 (60 FR 44978, August 29, 1995)</w:t>
      </w:r>
      <w:r>
        <w:rPr>
          <w:rFonts w:ascii="Times New Roman" w:hAnsi="Times New Roman"/>
          <w:sz w:val="24"/>
          <w:szCs w:val="24"/>
        </w:rPr>
        <w:t xml:space="preserve"> to provide </w:t>
      </w:r>
      <w:r w:rsidRPr="00A115E1">
        <w:rPr>
          <w:rFonts w:ascii="Times New Roman" w:hAnsi="Times New Roman"/>
          <w:sz w:val="24"/>
          <w:szCs w:val="24"/>
        </w:rPr>
        <w:t xml:space="preserve">a sixty-day period for public comment. During the notice and comment period, </w:t>
      </w:r>
      <w:r w:rsidR="00473A47">
        <w:rPr>
          <w:rFonts w:ascii="Times New Roman" w:hAnsi="Times New Roman"/>
          <w:sz w:val="24"/>
          <w:szCs w:val="24"/>
        </w:rPr>
        <w:t>12</w:t>
      </w:r>
      <w:r w:rsidRPr="00A115E1">
        <w:rPr>
          <w:rFonts w:ascii="Times New Roman" w:hAnsi="Times New Roman"/>
          <w:sz w:val="24"/>
          <w:szCs w:val="24"/>
        </w:rPr>
        <w:t xml:space="preserve"> comment(s) were received from </w:t>
      </w:r>
      <w:r w:rsidR="00473A47">
        <w:rPr>
          <w:rFonts w:ascii="Times New Roman" w:hAnsi="Times New Roman"/>
          <w:sz w:val="24"/>
          <w:szCs w:val="24"/>
        </w:rPr>
        <w:t>6</w:t>
      </w:r>
      <w:r w:rsidRPr="00A115E1">
        <w:rPr>
          <w:rFonts w:ascii="Times New Roman" w:hAnsi="Times New Roman"/>
          <w:sz w:val="24"/>
          <w:szCs w:val="24"/>
        </w:rPr>
        <w:t xml:space="preserve"> states and one membership association. </w:t>
      </w:r>
    </w:p>
    <w:p w:rsidR="009B64A5" w:rsidP="1220AE68" w14:paraId="6B23AED4" w14:textId="77777777">
      <w:pPr>
        <w:tabs>
          <w:tab w:val="left" w:pos="360"/>
        </w:tabs>
        <w:spacing w:line="257" w:lineRule="auto"/>
        <w:rPr>
          <w:rFonts w:ascii="Times New Roman" w:eastAsia="Times New Roman" w:hAnsi="Times New Roman" w:cs="Times New Roman"/>
          <w:sz w:val="24"/>
          <w:szCs w:val="24"/>
        </w:rPr>
      </w:pPr>
    </w:p>
    <w:p w:rsidR="0012761E" w:rsidP="1220AE68" w14:paraId="6597321A" w14:textId="338229E7">
      <w:pPr>
        <w:spacing w:line="257" w:lineRule="auto"/>
        <w:rPr>
          <w:rFonts w:ascii="Calibri" w:eastAsia="Calibri" w:hAnsi="Calibri" w:cs="Calibri"/>
          <w:color w:val="FF0000"/>
        </w:rPr>
      </w:pPr>
      <w:r w:rsidRPr="122205F8">
        <w:rPr>
          <w:rFonts w:ascii="Calibri" w:eastAsia="Calibri" w:hAnsi="Calibri" w:cs="Calibri"/>
          <w:color w:val="FF0000"/>
        </w:rPr>
        <w:t xml:space="preserve">The comments </w:t>
      </w:r>
      <w:r w:rsidRPr="122205F8" w:rsidR="7C7015BD">
        <w:rPr>
          <w:rFonts w:ascii="Calibri" w:eastAsia="Calibri" w:hAnsi="Calibri" w:cs="Calibri"/>
          <w:color w:val="FF0000"/>
        </w:rPr>
        <w:t>and questions</w:t>
      </w:r>
      <w:r w:rsidRPr="122205F8">
        <w:rPr>
          <w:rFonts w:ascii="Calibri" w:eastAsia="Calibri" w:hAnsi="Calibri" w:cs="Calibri"/>
          <w:color w:val="FF0000"/>
        </w:rPr>
        <w:t xml:space="preserve"> received from </w:t>
      </w:r>
      <w:r w:rsidR="003C4CC6">
        <w:rPr>
          <w:rFonts w:ascii="Calibri" w:eastAsia="Calibri" w:hAnsi="Calibri" w:cs="Calibri"/>
          <w:color w:val="FF0000"/>
        </w:rPr>
        <w:t>six</w:t>
      </w:r>
      <w:r w:rsidRPr="122205F8" w:rsidR="4BC268A7">
        <w:rPr>
          <w:rFonts w:ascii="Calibri" w:eastAsia="Calibri" w:hAnsi="Calibri" w:cs="Calibri"/>
          <w:color w:val="FF0000"/>
        </w:rPr>
        <w:t xml:space="preserve"> </w:t>
      </w:r>
      <w:r w:rsidRPr="122205F8">
        <w:rPr>
          <w:rFonts w:ascii="Calibri" w:eastAsia="Calibri" w:hAnsi="Calibri" w:cs="Calibri"/>
          <w:color w:val="FF0000"/>
        </w:rPr>
        <w:t xml:space="preserve">states </w:t>
      </w:r>
      <w:r w:rsidRPr="122205F8" w:rsidR="18A612CC">
        <w:rPr>
          <w:rFonts w:ascii="Calibri" w:eastAsia="Calibri" w:hAnsi="Calibri" w:cs="Calibri"/>
          <w:color w:val="FF0000"/>
        </w:rPr>
        <w:t xml:space="preserve">and </w:t>
      </w:r>
      <w:r w:rsidRPr="122205F8" w:rsidR="7AB4D9D3">
        <w:rPr>
          <w:rFonts w:ascii="Calibri" w:eastAsia="Calibri" w:hAnsi="Calibri" w:cs="Calibri"/>
          <w:color w:val="FF0000"/>
        </w:rPr>
        <w:t xml:space="preserve">a state </w:t>
      </w:r>
      <w:r w:rsidRPr="122205F8" w:rsidR="66C62A2A">
        <w:rPr>
          <w:rFonts w:ascii="Calibri" w:eastAsia="Calibri" w:hAnsi="Calibri" w:cs="Calibri"/>
          <w:color w:val="FF0000"/>
        </w:rPr>
        <w:t xml:space="preserve">human services </w:t>
      </w:r>
      <w:r w:rsidRPr="122205F8" w:rsidR="7AB4D9D3">
        <w:rPr>
          <w:rFonts w:ascii="Calibri" w:eastAsia="Calibri" w:hAnsi="Calibri" w:cs="Calibri"/>
          <w:color w:val="FF0000"/>
        </w:rPr>
        <w:t xml:space="preserve">membership </w:t>
      </w:r>
      <w:r w:rsidRPr="122205F8" w:rsidR="1FF060AA">
        <w:rPr>
          <w:rFonts w:ascii="Calibri" w:eastAsia="Calibri" w:hAnsi="Calibri" w:cs="Calibri"/>
          <w:color w:val="FF0000"/>
        </w:rPr>
        <w:t>association</w:t>
      </w:r>
      <w:r w:rsidRPr="122205F8" w:rsidR="646C24D6">
        <w:rPr>
          <w:rFonts w:ascii="Calibri" w:eastAsia="Calibri" w:hAnsi="Calibri" w:cs="Calibri"/>
          <w:color w:val="FF0000"/>
        </w:rPr>
        <w:t xml:space="preserve"> </w:t>
      </w:r>
      <w:r w:rsidRPr="122205F8">
        <w:rPr>
          <w:rFonts w:ascii="Calibri" w:eastAsia="Calibri" w:hAnsi="Calibri" w:cs="Calibri"/>
          <w:color w:val="FF0000"/>
        </w:rPr>
        <w:t xml:space="preserve">and </w:t>
      </w:r>
      <w:r w:rsidR="009F383A">
        <w:rPr>
          <w:rFonts w:ascii="Calibri" w:eastAsia="Calibri" w:hAnsi="Calibri" w:cs="Calibri"/>
          <w:color w:val="FF0000"/>
        </w:rPr>
        <w:t>ACF’s</w:t>
      </w:r>
      <w:r w:rsidRPr="122205F8">
        <w:rPr>
          <w:rFonts w:ascii="Calibri" w:eastAsia="Calibri" w:hAnsi="Calibri" w:cs="Calibri"/>
          <w:color w:val="FF0000"/>
        </w:rPr>
        <w:t xml:space="preserve"> associated responses are detailed below. </w:t>
      </w:r>
    </w:p>
    <w:p w:rsidR="0012761E" w:rsidP="5E27DC35" w14:paraId="2C078E63" w14:textId="5ECFA832"/>
    <w:p w:rsidR="5418AFE6" w:rsidP="00335DE2" w14:paraId="0857742D" w14:textId="25B086B3">
      <w:pPr>
        <w:pStyle w:val="ListParagraph"/>
        <w:numPr>
          <w:ilvl w:val="0"/>
          <w:numId w:val="10"/>
        </w:numPr>
      </w:pPr>
      <w:r w:rsidRPr="00335DE2">
        <w:rPr>
          <w:rFonts w:asciiTheme="majorHAnsi" w:eastAsiaTheme="majorEastAsia" w:hAnsiTheme="majorHAnsi" w:cstheme="majorBidi"/>
          <w:color w:val="2F5496" w:themeColor="accent1" w:themeShade="BF"/>
          <w:sz w:val="32"/>
          <w:szCs w:val="32"/>
        </w:rPr>
        <w:t>General</w:t>
      </w:r>
    </w:p>
    <w:p w:rsidR="4C6B2576" w:rsidP="122205F8" w14:paraId="7E02D240" w14:textId="652DEAC9">
      <w:pPr>
        <w:pStyle w:val="ListParagraph"/>
        <w:numPr>
          <w:ilvl w:val="0"/>
          <w:numId w:val="9"/>
        </w:numPr>
        <w:rPr>
          <w:b/>
          <w:bCs/>
        </w:rPr>
      </w:pPr>
      <w:r w:rsidRPr="122205F8">
        <w:rPr>
          <w:b/>
          <w:bCs/>
        </w:rPr>
        <w:t>Comment re: reporting deadlines</w:t>
      </w:r>
    </w:p>
    <w:p w:rsidR="3A3CDCB7" w:rsidP="5717D382" w14:paraId="69657392" w14:textId="54491412">
      <w:pPr>
        <w:pStyle w:val="ListParagraph"/>
        <w:numPr>
          <w:ilvl w:val="1"/>
          <w:numId w:val="9"/>
        </w:numPr>
      </w:pPr>
      <w:r>
        <w:t>We recommend OFA change all three new reporting requirement deadlines FROM each state needing to file each report within 45 days following the end of the quarter (QE) or the fiscal year’s end TO within 75 days following the end of the quarter (QE) or the fiscal year’s end.</w:t>
      </w:r>
    </w:p>
    <w:p w:rsidR="5717D382" w:rsidP="5ABBC0E1" w14:paraId="015649B3" w14:textId="178DEF16">
      <w:pPr>
        <w:ind w:left="1440"/>
        <w:rPr>
          <w:color w:val="FF0000"/>
        </w:rPr>
      </w:pPr>
      <w:r w:rsidRPr="122205F8">
        <w:rPr>
          <w:b/>
          <w:bCs/>
        </w:rPr>
        <w:t>ACF Response:</w:t>
      </w:r>
      <w:r>
        <w:t xml:space="preserve"> </w:t>
      </w:r>
      <w:r w:rsidRPr="00BB05C0" w:rsidR="002D32B8">
        <w:rPr>
          <w:color w:val="FF0000"/>
        </w:rPr>
        <w:t xml:space="preserve">We cannot extend the deadline under the current Interim Final Rule but will consider this comment </w:t>
      </w:r>
      <w:r w:rsidRPr="00BB05C0" w:rsidR="00BB05C0">
        <w:rPr>
          <w:color w:val="FF0000"/>
        </w:rPr>
        <w:t xml:space="preserve">when finalizing the rule after that comment period has ended. </w:t>
      </w:r>
    </w:p>
    <w:p w:rsidR="1220AE68" w:rsidP="00335DE2" w14:paraId="4506A1DD" w14:textId="6508E8A5">
      <w:pPr>
        <w:pStyle w:val="Heading1"/>
        <w:numPr>
          <w:ilvl w:val="0"/>
          <w:numId w:val="10"/>
        </w:numPr>
      </w:pPr>
      <w:r>
        <w:t>Work Outcomes</w:t>
      </w:r>
      <w:r w:rsidR="002E3441">
        <w:t xml:space="preserve"> </w:t>
      </w:r>
      <w:r w:rsidR="00414625">
        <w:t xml:space="preserve">of TANF </w:t>
      </w:r>
      <w:r w:rsidR="00414625">
        <w:t>Exiters</w:t>
      </w:r>
    </w:p>
    <w:p w:rsidR="008E509C" w:rsidP="008E509C" w14:paraId="33C05A1E" w14:textId="1E243192">
      <w:pPr>
        <w:pStyle w:val="ListParagraph"/>
        <w:numPr>
          <w:ilvl w:val="0"/>
          <w:numId w:val="3"/>
        </w:numPr>
        <w:rPr>
          <w:b/>
          <w:bCs/>
        </w:rPr>
      </w:pPr>
      <w:r>
        <w:rPr>
          <w:b/>
          <w:bCs/>
        </w:rPr>
        <w:t xml:space="preserve">Comment re: </w:t>
      </w:r>
      <w:r w:rsidRPr="00CA714F" w:rsidR="00CA714F">
        <w:rPr>
          <w:b/>
          <w:bCs/>
        </w:rPr>
        <w:t>Flexibility in Exit Definition</w:t>
      </w:r>
    </w:p>
    <w:p w:rsidR="003C4CC6" w:rsidP="003C4CC6" w14:paraId="1D9619A4" w14:textId="452BAB96">
      <w:pPr>
        <w:pStyle w:val="ListParagraph"/>
        <w:numPr>
          <w:ilvl w:val="1"/>
          <w:numId w:val="5"/>
        </w:numPr>
      </w:pPr>
      <w:r w:rsidRPr="00CA714F">
        <w:t>OFA should offer states the flexibility to count 90 days OR three months since a family’s last day of assistance has elapsed, depending on which is more feasible for states’ data systems.</w:t>
      </w:r>
    </w:p>
    <w:p w:rsidR="003C4CC6" w:rsidRPr="00534176" w:rsidP="003C4CC6" w14:paraId="4C8CD7D5" w14:textId="22625BE8">
      <w:pPr>
        <w:pStyle w:val="ListParagraph"/>
        <w:numPr>
          <w:ilvl w:val="1"/>
          <w:numId w:val="5"/>
        </w:numPr>
      </w:pPr>
      <w:r>
        <w:t xml:space="preserve"> The current Interim Final Rule, Section III.A defines “exit” as “a family having not received TANF assistance for at least </w:t>
      </w:r>
      <w:r>
        <w:rPr>
          <w:b/>
          <w:bCs/>
        </w:rPr>
        <w:t>90 days</w:t>
      </w:r>
      <w:r>
        <w:t xml:space="preserve">.” We recommend that the Interim Final Rule language be amended to define TANF exit (for the purposes of calculating the Work Outcomes metrics) as follows: “a family having not received TANF assistance for at least </w:t>
      </w:r>
      <w:r>
        <w:rPr>
          <w:b/>
          <w:bCs/>
        </w:rPr>
        <w:t>3 report months</w:t>
      </w:r>
      <w:r>
        <w:t>.”</w:t>
      </w:r>
    </w:p>
    <w:p w:rsidR="00944D51" w:rsidRPr="00944D51" w:rsidP="271A2544" w14:paraId="067D4BBC" w14:textId="54376446">
      <w:pPr>
        <w:ind w:left="1440"/>
        <w:rPr>
          <w:rFonts w:ascii="Calibri" w:hAnsi="Calibri" w:cs="Calibri"/>
          <w:color w:val="FF0000"/>
        </w:rPr>
      </w:pPr>
      <w:r>
        <w:rPr>
          <w:b/>
          <w:bCs/>
        </w:rPr>
        <w:t>ACF Response:</w:t>
      </w:r>
      <w:r w:rsidR="005C5E7B">
        <w:rPr>
          <w:b/>
          <w:bCs/>
        </w:rPr>
        <w:t xml:space="preserve"> </w:t>
      </w:r>
      <w:r w:rsidRPr="00402528" w:rsidR="00B44BD6">
        <w:rPr>
          <w:color w:val="FF0000"/>
        </w:rPr>
        <w:t>We</w:t>
      </w:r>
      <w:r w:rsidRPr="00402528" w:rsidR="00B71692">
        <w:rPr>
          <w:color w:val="FF0000"/>
        </w:rPr>
        <w:t xml:space="preserve"> </w:t>
      </w:r>
      <w:r w:rsidRPr="1569DB41" w:rsidR="004E4A63">
        <w:rPr>
          <w:color w:val="FF0000"/>
        </w:rPr>
        <w:t>h</w:t>
      </w:r>
      <w:r w:rsidRPr="1569DB41" w:rsidR="5B0AEA27">
        <w:rPr>
          <w:color w:val="FF0000"/>
        </w:rPr>
        <w:t>ave</w:t>
      </w:r>
      <w:r w:rsidRPr="00402528" w:rsidR="00B71692">
        <w:rPr>
          <w:color w:val="FF0000"/>
        </w:rPr>
        <w:t xml:space="preserve"> added </w:t>
      </w:r>
      <w:r w:rsidRPr="00402528" w:rsidR="00B71692">
        <w:rPr>
          <w:rFonts w:ascii="Calibri" w:hAnsi="Calibri" w:cs="Calibri"/>
          <w:color w:val="FF0000"/>
        </w:rPr>
        <w:t>"or three months</w:t>
      </w:r>
      <w:r w:rsidRPr="1569DB41" w:rsidR="00B71692">
        <w:rPr>
          <w:rFonts w:ascii="Calibri" w:hAnsi="Calibri" w:cs="Calibri"/>
          <w:color w:val="FF0000"/>
        </w:rPr>
        <w:t>"</w:t>
      </w:r>
      <w:r w:rsidRPr="23CA8F77" w:rsidR="5F1A1DB6">
        <w:rPr>
          <w:rFonts w:ascii="Calibri" w:hAnsi="Calibri" w:cs="Calibri"/>
          <w:color w:val="FF0000"/>
        </w:rPr>
        <w:t xml:space="preserve"> to the </w:t>
      </w:r>
      <w:r w:rsidRPr="6C7D0C3C" w:rsidR="5F1A1DB6">
        <w:rPr>
          <w:rFonts w:ascii="Calibri" w:hAnsi="Calibri" w:cs="Calibri"/>
          <w:color w:val="FF0000"/>
        </w:rPr>
        <w:t xml:space="preserve">definition of exit to </w:t>
      </w:r>
      <w:r w:rsidRPr="4CF78C05" w:rsidR="5F1A1DB6">
        <w:rPr>
          <w:rFonts w:ascii="Calibri" w:hAnsi="Calibri" w:cs="Calibri"/>
          <w:color w:val="FF0000"/>
        </w:rPr>
        <w:t xml:space="preserve">accommodate </w:t>
      </w:r>
      <w:r w:rsidRPr="7161340E" w:rsidR="5F1A1DB6">
        <w:rPr>
          <w:rFonts w:ascii="Calibri" w:hAnsi="Calibri" w:cs="Calibri"/>
          <w:color w:val="FF0000"/>
        </w:rPr>
        <w:t>states’</w:t>
      </w:r>
      <w:r w:rsidRPr="506BAB08" w:rsidR="5F1A1DB6">
        <w:rPr>
          <w:rFonts w:ascii="Calibri" w:hAnsi="Calibri" w:cs="Calibri"/>
          <w:color w:val="FF0000"/>
        </w:rPr>
        <w:t xml:space="preserve"> different</w:t>
      </w:r>
      <w:r w:rsidRPr="7161340E" w:rsidR="5F1A1DB6">
        <w:rPr>
          <w:rFonts w:ascii="Calibri" w:hAnsi="Calibri" w:cs="Calibri"/>
          <w:color w:val="FF0000"/>
        </w:rPr>
        <w:t xml:space="preserve"> systems</w:t>
      </w:r>
      <w:r w:rsidRPr="271A2544" w:rsidR="5F1A1DB6">
        <w:rPr>
          <w:rFonts w:ascii="Calibri" w:hAnsi="Calibri" w:cs="Calibri"/>
          <w:color w:val="FF0000"/>
        </w:rPr>
        <w:t>.</w:t>
      </w:r>
    </w:p>
    <w:p w:rsidR="00181648" w:rsidP="00181648" w14:paraId="6EA71F54" w14:textId="604E049D">
      <w:pPr>
        <w:pStyle w:val="ListParagraph"/>
        <w:numPr>
          <w:ilvl w:val="0"/>
          <w:numId w:val="3"/>
        </w:numPr>
        <w:rPr>
          <w:b/>
          <w:bCs/>
        </w:rPr>
      </w:pPr>
      <w:r>
        <w:rPr>
          <w:b/>
          <w:bCs/>
        </w:rPr>
        <w:t xml:space="preserve">Comment re: </w:t>
      </w:r>
      <w:r w:rsidR="000E724E">
        <w:rPr>
          <w:b/>
          <w:bCs/>
        </w:rPr>
        <w:t>Clarification of “Family”</w:t>
      </w:r>
    </w:p>
    <w:p w:rsidR="00181648" w:rsidP="7E4B901F" w14:paraId="3BA42C79" w14:textId="28BA66CA">
      <w:pPr>
        <w:pStyle w:val="ListParagraph"/>
        <w:numPr>
          <w:ilvl w:val="1"/>
          <w:numId w:val="3"/>
        </w:numPr>
      </w:pPr>
      <w:r>
        <w:t xml:space="preserve">OFA should revise its Work Outcomes of TANF </w:t>
      </w:r>
      <w:r>
        <w:t>Exiters</w:t>
      </w:r>
      <w:r>
        <w:t xml:space="preserve"> Report Instructions to clarify the use of the word “family” in the definition of “exit” and provide example scenarios of how this definition could impact the report.</w:t>
      </w:r>
    </w:p>
    <w:p w:rsidR="00B65A83" w:rsidP="00B65A83" w14:paraId="75D818A7" w14:textId="77777777">
      <w:pPr>
        <w:pStyle w:val="ListParagraph"/>
        <w:ind w:left="1440"/>
        <w:rPr>
          <w:b/>
          <w:bCs/>
        </w:rPr>
      </w:pPr>
    </w:p>
    <w:p w:rsidR="0044726E" w:rsidP="0044726E" w14:paraId="392A87FA" w14:textId="733E8665">
      <w:pPr>
        <w:pStyle w:val="ListParagraph"/>
        <w:ind w:left="1440"/>
      </w:pPr>
      <w:r w:rsidRPr="7E4B901F">
        <w:rPr>
          <w:b/>
          <w:bCs/>
        </w:rPr>
        <w:t xml:space="preserve">ACF Response: </w:t>
      </w:r>
      <w:r w:rsidRPr="00402528" w:rsidR="00AB792B">
        <w:rPr>
          <w:color w:val="FF0000"/>
        </w:rPr>
        <w:t>We</w:t>
      </w:r>
      <w:r w:rsidRPr="00402528" w:rsidR="0043507C">
        <w:rPr>
          <w:color w:val="FF0000"/>
        </w:rPr>
        <w:t xml:space="preserve"> </w:t>
      </w:r>
      <w:r w:rsidRPr="00402528" w:rsidR="00461258">
        <w:rPr>
          <w:color w:val="FF0000"/>
        </w:rPr>
        <w:t>provide</w:t>
      </w:r>
      <w:r w:rsidRPr="00402528" w:rsidR="0043507C">
        <w:rPr>
          <w:color w:val="FF0000"/>
        </w:rPr>
        <w:t xml:space="preserve"> the </w:t>
      </w:r>
      <w:r w:rsidRPr="00402528" w:rsidR="00126CD1">
        <w:rPr>
          <w:color w:val="FF0000"/>
        </w:rPr>
        <w:t xml:space="preserve">definition of “family” </w:t>
      </w:r>
      <w:r w:rsidRPr="00402528" w:rsidR="00F36FD0">
        <w:rPr>
          <w:color w:val="FF0000"/>
        </w:rPr>
        <w:t xml:space="preserve">and </w:t>
      </w:r>
      <w:r w:rsidRPr="00402528" w:rsidR="00BB2710">
        <w:rPr>
          <w:color w:val="FF0000"/>
        </w:rPr>
        <w:t xml:space="preserve">address example scenarios in the Technical Resource. </w:t>
      </w:r>
      <w:r w:rsidRPr="00402528">
        <w:rPr>
          <w:color w:val="FF0000"/>
        </w:rPr>
        <w:t xml:space="preserve">We have </w:t>
      </w:r>
      <w:r w:rsidRPr="00402528" w:rsidR="00AB792B">
        <w:rPr>
          <w:color w:val="FF0000"/>
        </w:rPr>
        <w:t xml:space="preserve">also </w:t>
      </w:r>
      <w:r w:rsidRPr="00402528">
        <w:rPr>
          <w:color w:val="FF0000"/>
        </w:rPr>
        <w:t xml:space="preserve">added the following: "A work-eligible individual will be included as an </w:t>
      </w:r>
      <w:r w:rsidRPr="00402528">
        <w:rPr>
          <w:color w:val="FF0000"/>
        </w:rPr>
        <w:t>exiter</w:t>
      </w:r>
      <w:r w:rsidRPr="00402528">
        <w:rPr>
          <w:color w:val="FF0000"/>
        </w:rPr>
        <w:t xml:space="preserve"> in these measures only when their family ceases to receive </w:t>
      </w:r>
      <w:r w:rsidRPr="00402528">
        <w:rPr>
          <w:color w:val="FF0000"/>
        </w:rPr>
        <w:t>assistance, and</w:t>
      </w:r>
      <w:r w:rsidRPr="00402528">
        <w:rPr>
          <w:color w:val="FF0000"/>
        </w:rPr>
        <w:t xml:space="preserve"> will not meet the definition of an </w:t>
      </w:r>
      <w:r w:rsidRPr="00402528">
        <w:rPr>
          <w:color w:val="FF0000"/>
        </w:rPr>
        <w:t>exiter</w:t>
      </w:r>
      <w:r w:rsidRPr="00402528">
        <w:rPr>
          <w:color w:val="FF0000"/>
        </w:rPr>
        <w:t xml:space="preserve"> when the needs of the work-eligible individual are removed from the assistance payment but the family continues to receive assistance and the individual remains work-eligible.  An individual in the family must have been “a work-eligible individual,” as defined in 45 CFR 261.2(n)(1), in their last month of assistance."</w:t>
      </w:r>
      <w:r w:rsidRPr="00402528" w:rsidR="005D1D5F">
        <w:rPr>
          <w:color w:val="FF0000"/>
        </w:rPr>
        <w:t xml:space="preserve"> </w:t>
      </w:r>
    </w:p>
    <w:p w:rsidR="00B65A83" w:rsidP="00B65A83" w14:paraId="0C260637" w14:textId="77777777">
      <w:pPr>
        <w:pStyle w:val="ListParagraph"/>
        <w:ind w:left="1440"/>
        <w:rPr>
          <w:b/>
          <w:bCs/>
        </w:rPr>
      </w:pPr>
    </w:p>
    <w:p w:rsidR="00181648" w:rsidP="00181648" w14:paraId="17B19AF0" w14:textId="4906DCA9">
      <w:pPr>
        <w:pStyle w:val="ListParagraph"/>
        <w:numPr>
          <w:ilvl w:val="0"/>
          <w:numId w:val="3"/>
        </w:numPr>
        <w:rPr>
          <w:b/>
          <w:bCs/>
        </w:rPr>
      </w:pPr>
      <w:r w:rsidRPr="3C1A44A5">
        <w:rPr>
          <w:b/>
          <w:bCs/>
        </w:rPr>
        <w:t>Comment re: SSN</w:t>
      </w:r>
      <w:r w:rsidRPr="5C5A323C">
        <w:rPr>
          <w:b/>
          <w:bCs/>
        </w:rPr>
        <w:t xml:space="preserve"> validation</w:t>
      </w:r>
    </w:p>
    <w:p w:rsidR="085D41CB" w:rsidP="5C5A323C" w14:paraId="390BC329" w14:textId="0A4D66A9">
      <w:pPr>
        <w:pStyle w:val="ListParagraph"/>
        <w:numPr>
          <w:ilvl w:val="1"/>
          <w:numId w:val="3"/>
        </w:numPr>
        <w:rPr>
          <w:b/>
          <w:bCs/>
        </w:rPr>
      </w:pPr>
      <w:r w:rsidRPr="5C5A323C">
        <w:rPr>
          <w:rFonts w:ascii="Calibri" w:eastAsia="Calibri" w:hAnsi="Calibri" w:cs="Calibri"/>
        </w:rPr>
        <w:t>For questions regarding the new SSN/Exit Date file, can we send those to you as well? My question is regarding the SSN: according to the instructions, ‘does not begin with 9; fifth digit is not 0; does not end with 0’. My SSN ends with zero, don’t know if all SSNs follow the other rules. Is there a particular reason the validation is stating SSNs don’t end with zeros?</w:t>
      </w:r>
    </w:p>
    <w:p w:rsidR="085D41CB" w:rsidP="009F383A" w14:paraId="7729AFF9" w14:textId="351C2C61">
      <w:pPr>
        <w:spacing w:after="0" w:line="240" w:lineRule="auto"/>
        <w:ind w:left="1440"/>
        <w:rPr>
          <w:rFonts w:ascii="Calibri" w:eastAsia="Calibri" w:hAnsi="Calibri" w:cs="Calibri"/>
          <w:color w:val="FF0000"/>
        </w:rPr>
      </w:pPr>
      <w:r w:rsidRPr="70D37A90">
        <w:rPr>
          <w:b/>
          <w:bCs/>
        </w:rPr>
        <w:t xml:space="preserve">ACF Response: </w:t>
      </w:r>
      <w:r w:rsidRPr="75E679B9" w:rsidR="7A9A3AA2">
        <w:rPr>
          <w:color w:val="FF0000"/>
        </w:rPr>
        <w:t>Thank you for catching this. We</w:t>
      </w:r>
      <w:r w:rsidRPr="75E679B9" w:rsidR="124C131E">
        <w:rPr>
          <w:color w:val="FF0000"/>
        </w:rPr>
        <w:t xml:space="preserve"> confirmed with SSA documentation and</w:t>
      </w:r>
      <w:r w:rsidRPr="75E679B9" w:rsidR="7A9A3AA2">
        <w:rPr>
          <w:color w:val="FF0000"/>
        </w:rPr>
        <w:t xml:space="preserve"> have revised the validation to </w:t>
      </w:r>
      <w:r w:rsidRPr="75E679B9" w:rsidR="7A9A3AA2">
        <w:rPr>
          <w:color w:val="FF0000"/>
        </w:rPr>
        <w:t>say</w:t>
      </w:r>
      <w:r w:rsidRPr="75E679B9" w:rsidR="7A9A3AA2">
        <w:rPr>
          <w:color w:val="FF0000"/>
        </w:rPr>
        <w:t xml:space="preserve"> “</w:t>
      </w:r>
      <w:r w:rsidRPr="75E679B9" w:rsidR="451EE49C">
        <w:rPr>
          <w:rFonts w:ascii="Calibri" w:eastAsia="Calibri" w:hAnsi="Calibri" w:cs="Calibri"/>
          <w:color w:val="FF0000"/>
        </w:rPr>
        <w:t>SSNs cannot contain all zeros in any digit group (e.g., 000-XX-XXXX, XXX-00-XXXX, XXX-XX-0000) and SSNs should not be repeated numbers like 111-11-1111</w:t>
      </w:r>
      <w:r w:rsidRPr="75E679B9" w:rsidR="43A25741">
        <w:rPr>
          <w:rFonts w:ascii="Calibri" w:eastAsia="Calibri" w:hAnsi="Calibri" w:cs="Calibri"/>
          <w:color w:val="FF0000"/>
        </w:rPr>
        <w:t>.”</w:t>
      </w:r>
    </w:p>
    <w:p w:rsidR="009F383A" w:rsidP="00A012C0" w14:paraId="2134D912" w14:textId="77777777">
      <w:pPr>
        <w:spacing w:after="0" w:line="240" w:lineRule="auto"/>
        <w:ind w:left="1440"/>
        <w:rPr>
          <w:rFonts w:ascii="Calibri" w:eastAsia="Calibri" w:hAnsi="Calibri" w:cs="Calibri"/>
          <w:strike/>
          <w:u w:val="single"/>
        </w:rPr>
      </w:pPr>
    </w:p>
    <w:p w:rsidR="4DF41F32" w:rsidP="00A012C0" w14:paraId="4D7A9D00" w14:textId="428AA069">
      <w:pPr>
        <w:pStyle w:val="ListParagraph"/>
        <w:numPr>
          <w:ilvl w:val="1"/>
          <w:numId w:val="3"/>
        </w:numPr>
        <w:spacing w:line="240" w:lineRule="auto"/>
        <w:rPr>
          <w:rFonts w:ascii="Calibri" w:eastAsia="Calibri" w:hAnsi="Calibri" w:cs="Calibri"/>
        </w:rPr>
      </w:pPr>
      <w:r w:rsidRPr="489AA515">
        <w:rPr>
          <w:rFonts w:ascii="Calibri" w:eastAsia="Calibri" w:hAnsi="Calibri" w:cs="Calibri"/>
          <w:color w:val="000000" w:themeColor="text1"/>
        </w:rPr>
        <w:t xml:space="preserve">How do we handle work eligible individuals who do not have </w:t>
      </w:r>
      <w:r w:rsidRPr="489AA515">
        <w:rPr>
          <w:rFonts w:ascii="Calibri" w:eastAsia="Calibri" w:hAnsi="Calibri" w:cs="Calibri"/>
          <w:color w:val="000000" w:themeColor="text1"/>
        </w:rPr>
        <w:t>a</w:t>
      </w:r>
      <w:r w:rsidRPr="489AA515">
        <w:rPr>
          <w:rFonts w:ascii="Calibri" w:eastAsia="Calibri" w:hAnsi="Calibri" w:cs="Calibri"/>
          <w:color w:val="000000" w:themeColor="text1"/>
        </w:rPr>
        <w:t xml:space="preserve"> SSN?</w:t>
      </w:r>
    </w:p>
    <w:p w:rsidR="5EEFD381" w:rsidP="00B521A2" w14:paraId="1769B346" w14:textId="41E71656">
      <w:pPr>
        <w:ind w:left="1440"/>
        <w:rPr>
          <w:rFonts w:ascii="Calibri" w:eastAsia="Calibri" w:hAnsi="Calibri" w:cs="Calibri"/>
        </w:rPr>
      </w:pPr>
      <w:r w:rsidRPr="3A5AEC6F">
        <w:rPr>
          <w:rFonts w:ascii="Calibri" w:eastAsia="Calibri" w:hAnsi="Calibri" w:cs="Calibri"/>
          <w:b/>
        </w:rPr>
        <w:t>ACF Response:</w:t>
      </w:r>
      <w:r w:rsidRPr="5D3B993E">
        <w:rPr>
          <w:rFonts w:ascii="Calibri" w:eastAsia="Calibri" w:hAnsi="Calibri" w:cs="Calibri"/>
        </w:rPr>
        <w:t xml:space="preserve"> </w:t>
      </w:r>
      <w:r w:rsidRPr="4DD65522">
        <w:rPr>
          <w:rFonts w:ascii="Calibri" w:eastAsia="Calibri" w:hAnsi="Calibri" w:cs="Calibri"/>
          <w:color w:val="FF0000"/>
        </w:rPr>
        <w:t>We added the following instruction: “</w:t>
      </w:r>
      <w:r w:rsidRPr="7F14A053">
        <w:rPr>
          <w:rStyle w:val="normaltextrun"/>
          <w:rFonts w:ascii="Calibri" w:eastAsia="Calibri" w:hAnsi="Calibri" w:cs="Calibri"/>
          <w:color w:val="FF0000"/>
        </w:rPr>
        <w:t>The only exception is if a WEI does not have an SSN, in which case the indiv</w:t>
      </w:r>
      <w:r w:rsidRPr="42DC922E">
        <w:rPr>
          <w:rStyle w:val="normaltextrun"/>
          <w:rFonts w:eastAsiaTheme="minorEastAsia"/>
          <w:color w:val="FF0000"/>
        </w:rPr>
        <w:t>idual WEIs without an SSN sho</w:t>
      </w:r>
      <w:r w:rsidRPr="7F14A053">
        <w:rPr>
          <w:rStyle w:val="normaltextrun"/>
          <w:rFonts w:ascii="Calibri" w:eastAsia="Calibri" w:hAnsi="Calibri" w:cs="Calibri"/>
          <w:color w:val="FF0000"/>
        </w:rPr>
        <w:t>uld be reported as “999999999” in order to get a sense of the true exiting population and to understand missingness in the work outcomes measures. Since those individuals won’t be able to be matched with the National Directory of New Hires, any positive work outcomes would only be captured if a state chooses to submit a Supplemental Work Outcomes report and includes those individuals.”</w:t>
      </w:r>
    </w:p>
    <w:p w:rsidR="085D41CB" w:rsidP="0044726E" w14:paraId="0B320913" w14:textId="1727149D">
      <w:pPr>
        <w:pStyle w:val="ListParagraph"/>
        <w:numPr>
          <w:ilvl w:val="0"/>
          <w:numId w:val="3"/>
        </w:numPr>
        <w:rPr>
          <w:b/>
          <w:bCs/>
        </w:rPr>
      </w:pPr>
      <w:r w:rsidRPr="7F4B6200">
        <w:rPr>
          <w:b/>
          <w:bCs/>
        </w:rPr>
        <w:t>Comment</w:t>
      </w:r>
      <w:r w:rsidRPr="7F4B6200" w:rsidR="32AC8512">
        <w:rPr>
          <w:b/>
          <w:bCs/>
        </w:rPr>
        <w:t>s</w:t>
      </w:r>
      <w:r>
        <w:rPr>
          <w:b/>
          <w:bCs/>
        </w:rPr>
        <w:t xml:space="preserve"> re: Reporting Deadlines</w:t>
      </w:r>
    </w:p>
    <w:p w:rsidR="224A3E96" w:rsidP="224A3E96" w14:paraId="792F89AF" w14:textId="3BEE83E2">
      <w:pPr>
        <w:pStyle w:val="ListParagraph"/>
        <w:numPr>
          <w:ilvl w:val="1"/>
          <w:numId w:val="3"/>
        </w:numPr>
        <w:rPr>
          <w:rFonts w:ascii="Calibri" w:eastAsia="Calibri" w:hAnsi="Calibri" w:cs="Calibri"/>
        </w:rPr>
      </w:pPr>
      <w:r w:rsidRPr="224A3E96">
        <w:rPr>
          <w:rFonts w:ascii="Calibri" w:eastAsia="Calibri" w:hAnsi="Calibri" w:cs="Calibri"/>
        </w:rPr>
        <w:t xml:space="preserve">Regarding the Work Outcomes of TANF </w:t>
      </w:r>
      <w:r w:rsidRPr="224A3E96">
        <w:rPr>
          <w:rFonts w:ascii="Calibri" w:eastAsia="Calibri" w:hAnsi="Calibri" w:cs="Calibri"/>
        </w:rPr>
        <w:t>Exiters</w:t>
      </w:r>
      <w:r w:rsidRPr="224A3E96">
        <w:rPr>
          <w:rFonts w:ascii="Calibri" w:eastAsia="Calibri" w:hAnsi="Calibri" w:cs="Calibri"/>
        </w:rPr>
        <w:t xml:space="preserve"> Report, [</w:t>
      </w:r>
      <w:r w:rsidRPr="37643710">
        <w:rPr>
          <w:rFonts w:ascii="Calibri" w:eastAsia="Calibri" w:hAnsi="Calibri" w:cs="Calibri"/>
        </w:rPr>
        <w:t>STATE] respectfully</w:t>
      </w:r>
      <w:r w:rsidRPr="224A3E96">
        <w:rPr>
          <w:rFonts w:ascii="Calibri" w:eastAsia="Calibri" w:hAnsi="Calibri" w:cs="Calibri"/>
        </w:rPr>
        <w:t xml:space="preserve"> requests a longer data collection period, increasing it from </w:t>
      </w:r>
      <w:r w:rsidRPr="224A3E96">
        <w:rPr>
          <w:rFonts w:ascii="Calibri" w:eastAsia="Calibri" w:hAnsi="Calibri" w:cs="Calibri"/>
          <w:b/>
          <w:bCs/>
        </w:rPr>
        <w:t>45 to 75 days.</w:t>
      </w:r>
      <w:r w:rsidRPr="224A3E96">
        <w:rPr>
          <w:rFonts w:ascii="Calibri" w:eastAsia="Calibri" w:hAnsi="Calibri" w:cs="Calibri"/>
        </w:rPr>
        <w:t xml:space="preserve"> Thirty additional days will allow data to fully mature, particularly for program participants who exited at the end of the quarter. With an extension of the deadline, states will be able to submit cleaner and more thorough datasets. While </w:t>
      </w:r>
      <w:r w:rsidRPr="127D6132" w:rsidR="1D8034E0">
        <w:rPr>
          <w:rFonts w:ascii="Calibri" w:eastAsia="Calibri" w:hAnsi="Calibri" w:cs="Calibri"/>
        </w:rPr>
        <w:t>the</w:t>
      </w:r>
      <w:r w:rsidRPr="224A3E96">
        <w:rPr>
          <w:rFonts w:ascii="Calibri" w:eastAsia="Calibri" w:hAnsi="Calibri" w:cs="Calibri"/>
        </w:rPr>
        <w:t xml:space="preserve"> state understands the </w:t>
      </w:r>
      <w:r w:rsidRPr="224A3E96">
        <w:rPr>
          <w:rFonts w:ascii="Calibri" w:eastAsia="Calibri" w:hAnsi="Calibri" w:cs="Calibri"/>
        </w:rPr>
        <w:t>45 day</w:t>
      </w:r>
      <w:r w:rsidRPr="224A3E96">
        <w:rPr>
          <w:rFonts w:ascii="Calibri" w:eastAsia="Calibri" w:hAnsi="Calibri" w:cs="Calibri"/>
        </w:rPr>
        <w:t xml:space="preserve"> deadline for submission of the work outcome measures is a component of the interim final rule (IFR), this is an important issue we are elevating here. </w:t>
      </w:r>
    </w:p>
    <w:p w:rsidR="00741875" w:rsidP="44342160" w14:paraId="3316BB84" w14:textId="2D4A04B8">
      <w:pPr>
        <w:ind w:left="1440"/>
        <w:rPr>
          <w:color w:val="FF0000"/>
        </w:rPr>
      </w:pPr>
      <w:r>
        <w:rPr>
          <w:b/>
          <w:bCs/>
        </w:rPr>
        <w:t xml:space="preserve">ACF Response: </w:t>
      </w:r>
      <w:r w:rsidRPr="00BB05C0" w:rsidR="00BB05C0">
        <w:rPr>
          <w:color w:val="FF0000"/>
        </w:rPr>
        <w:t>We cannot extend the deadline under the current Interim Final Rule but will consider this comment when finalizing the rule after that comment period has ended.</w:t>
      </w:r>
    </w:p>
    <w:p w:rsidR="4E89A596" w:rsidP="122205F8" w14:paraId="795ED6A3" w14:textId="37DFC9CA">
      <w:pPr>
        <w:pStyle w:val="ListParagraph"/>
        <w:numPr>
          <w:ilvl w:val="1"/>
          <w:numId w:val="3"/>
        </w:numPr>
      </w:pPr>
      <w:r w:rsidRPr="122205F8">
        <w:t xml:space="preserve">Example: Work Eligible Individual Exits in 11/2024 (which is within FFY Q1) and verified as Exited 90 Days (aka 3 Months) later in 02/2025. Is that Individual reported in the Q1 Report due May 15, 2025, or is that individual reported in the Q2 Report due August 14, 2025?  Should we point out that this is the example provided on page 2-3 of “1A. Instructions –Work Outcomes of TANF </w:t>
      </w:r>
      <w:r w:rsidRPr="122205F8">
        <w:t>Exiters</w:t>
      </w:r>
      <w:r w:rsidRPr="122205F8">
        <w:t xml:space="preserve"> Report” but it is confusing because the text does not appear to</w:t>
      </w:r>
      <w:r w:rsidRPr="122205F8" w:rsidR="09A4437E">
        <w:t xml:space="preserve"> </w:t>
      </w:r>
      <w:r w:rsidRPr="122205F8">
        <w:t>be consistent with the chart on page 3 of the document?</w:t>
      </w:r>
    </w:p>
    <w:p w:rsidR="2FDC0F48" w:rsidP="6B6D1557" w14:paraId="2193F0D4" w14:textId="5A74A4C1">
      <w:pPr>
        <w:pStyle w:val="ListParagraph"/>
        <w:ind w:left="1440"/>
        <w:rPr>
          <w:color w:val="FF0000"/>
        </w:rPr>
      </w:pPr>
      <w:r w:rsidRPr="122205F8">
        <w:rPr>
          <w:b/>
          <w:bCs/>
        </w:rPr>
        <w:t xml:space="preserve">ACF Response: </w:t>
      </w:r>
      <w:r w:rsidRPr="122205F8">
        <w:rPr>
          <w:color w:val="FF0000"/>
        </w:rPr>
        <w:t>We understand how this is confusing. In this example, the individual would be included in the Q1 report (due May 15). To minimize confusion</w:t>
      </w:r>
      <w:r w:rsidRPr="122205F8" w:rsidR="219B043F">
        <w:rPr>
          <w:color w:val="FF0000"/>
        </w:rPr>
        <w:t xml:space="preserve">, we </w:t>
      </w:r>
      <w:r w:rsidRPr="122205F8" w:rsidR="5D7063CC">
        <w:rPr>
          <w:color w:val="FF0000"/>
        </w:rPr>
        <w:t xml:space="preserve">have revised the table: </w:t>
      </w:r>
    </w:p>
    <w:p w:rsidR="6B423283" w:rsidP="6B423283" w14:paraId="132090A3" w14:textId="5C2D3A2A">
      <w:pPr>
        <w:pStyle w:val="ListParagraph"/>
        <w:ind w:left="1440"/>
        <w:rPr>
          <w:color w:val="FF0000"/>
        </w:rPr>
      </w:pPr>
    </w:p>
    <w:tbl>
      <w:tblPr>
        <w:tblStyle w:val="GridTable4Accent1"/>
        <w:tblW w:w="0" w:type="auto"/>
        <w:tblBorders>
          <w:top w:val="single" w:sz="6" w:space="0" w:color="auto"/>
          <w:left w:val="single" w:sz="6" w:space="0" w:color="auto"/>
          <w:bottom w:val="single" w:sz="6" w:space="0" w:color="auto"/>
          <w:right w:val="single" w:sz="6" w:space="0" w:color="auto"/>
        </w:tblBorders>
        <w:tblLayout w:type="fixed"/>
        <w:tblLook w:val="04A0"/>
      </w:tblPr>
      <w:tblGrid>
        <w:gridCol w:w="2424"/>
        <w:gridCol w:w="2013"/>
        <w:gridCol w:w="2823"/>
        <w:gridCol w:w="1944"/>
      </w:tblGrid>
      <w:tr w14:paraId="097310E0" w14:textId="77777777" w:rsidTr="75424594">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405"/>
        </w:trPr>
        <w:tc>
          <w:tcPr>
            <w:tcW w:w="2424" w:type="dxa"/>
            <w:tcBorders>
              <w:top w:val="single" w:sz="6" w:space="0" w:color="4472C4" w:themeColor="accent1"/>
              <w:left w:val="single" w:sz="6" w:space="0" w:color="4472C4" w:themeColor="accent1"/>
              <w:bottom w:val="single" w:sz="6" w:space="0" w:color="4472C4" w:themeColor="accent1"/>
            </w:tcBorders>
            <w:tcMar>
              <w:left w:w="105" w:type="dxa"/>
              <w:right w:w="105" w:type="dxa"/>
            </w:tcMar>
          </w:tcPr>
          <w:p w:rsidR="75424594" w:rsidP="75424594" w14:paraId="77BDB0EA" w14:textId="531A4D9E">
            <w:pPr>
              <w:rPr>
                <w:rFonts w:ascii="Calibri" w:eastAsia="Calibri" w:hAnsi="Calibri" w:cs="Calibri"/>
              </w:rPr>
            </w:pPr>
            <w:r w:rsidRPr="75424594">
              <w:rPr>
                <w:rFonts w:ascii="Calibri" w:eastAsia="Calibri" w:hAnsi="Calibri" w:cs="Calibri"/>
                <w:strike/>
                <w:color w:val="D13438"/>
              </w:rPr>
              <w:t xml:space="preserve">Fiscal Year/Quarter </w:t>
            </w:r>
            <w:r w:rsidRPr="75424594">
              <w:rPr>
                <w:rFonts w:ascii="Calibri" w:eastAsia="Calibri" w:hAnsi="Calibri" w:cs="Calibri"/>
                <w:color w:val="D13438"/>
                <w:u w:val="single"/>
              </w:rPr>
              <w:t>Individual Exits in</w:t>
            </w:r>
          </w:p>
        </w:tc>
        <w:tc>
          <w:tcPr>
            <w:tcW w:w="2013" w:type="dxa"/>
            <w:tcBorders>
              <w:top w:val="single" w:sz="6" w:space="0" w:color="4472C4" w:themeColor="accent1"/>
              <w:bottom w:val="single" w:sz="6" w:space="0" w:color="4472C4" w:themeColor="accent1"/>
            </w:tcBorders>
            <w:tcMar>
              <w:left w:w="105" w:type="dxa"/>
              <w:right w:w="105" w:type="dxa"/>
            </w:tcMar>
          </w:tcPr>
          <w:p w:rsidR="75424594" w:rsidP="75424594" w14:paraId="60E449BC" w14:textId="39C809A0">
            <w:pPr>
              <w:rPr>
                <w:rFonts w:ascii="Calibri" w:eastAsia="Calibri" w:hAnsi="Calibri" w:cs="Calibri"/>
                <w:b w:val="0"/>
                <w:bCs w:val="0"/>
              </w:rPr>
            </w:pPr>
            <w:r w:rsidRPr="75424594">
              <w:rPr>
                <w:rFonts w:ascii="Calibri" w:eastAsia="Calibri" w:hAnsi="Calibri" w:cs="Calibri"/>
                <w:b w:val="0"/>
                <w:bCs w:val="0"/>
              </w:rPr>
              <w:t>Exit Date Confirmed in</w:t>
            </w:r>
          </w:p>
        </w:tc>
        <w:tc>
          <w:tcPr>
            <w:tcW w:w="2823" w:type="dxa"/>
            <w:tcBorders>
              <w:top w:val="single" w:sz="6" w:space="0" w:color="4472C4" w:themeColor="accent1"/>
              <w:bottom w:val="single" w:sz="6" w:space="0" w:color="4472C4" w:themeColor="accent1"/>
            </w:tcBorders>
            <w:tcMar>
              <w:left w:w="105" w:type="dxa"/>
              <w:right w:w="105" w:type="dxa"/>
            </w:tcMar>
          </w:tcPr>
          <w:p w:rsidR="75424594" w:rsidP="75424594" w14:paraId="5BA8FDA1" w14:textId="4DB50EB9">
            <w:pPr>
              <w:rPr>
                <w:rFonts w:ascii="Calibri" w:eastAsia="Calibri" w:hAnsi="Calibri" w:cs="Calibri"/>
                <w:b w:val="0"/>
                <w:bCs w:val="0"/>
              </w:rPr>
            </w:pPr>
            <w:r w:rsidRPr="75424594">
              <w:rPr>
                <w:rFonts w:ascii="Calibri" w:eastAsia="Calibri" w:hAnsi="Calibri" w:cs="Calibri"/>
                <w:b w:val="0"/>
                <w:bCs w:val="0"/>
                <w:color w:val="D13438"/>
                <w:u w:val="single"/>
              </w:rPr>
              <w:t xml:space="preserve">Individual appears in </w:t>
            </w:r>
            <w:r w:rsidRPr="75424594">
              <w:rPr>
                <w:rFonts w:ascii="Calibri" w:eastAsia="Calibri" w:hAnsi="Calibri" w:cs="Calibri"/>
                <w:b w:val="0"/>
                <w:bCs w:val="0"/>
              </w:rPr>
              <w:t xml:space="preserve">Quarterly Reporting Period  </w:t>
            </w:r>
          </w:p>
        </w:tc>
        <w:tc>
          <w:tcPr>
            <w:tcW w:w="1944" w:type="dxa"/>
            <w:tcBorders>
              <w:top w:val="single" w:sz="6" w:space="0" w:color="4472C4" w:themeColor="accent1"/>
              <w:bottom w:val="single" w:sz="6" w:space="0" w:color="4472C4" w:themeColor="accent1"/>
              <w:right w:val="single" w:sz="6" w:space="0" w:color="4472C4" w:themeColor="accent1"/>
            </w:tcBorders>
            <w:tcMar>
              <w:left w:w="105" w:type="dxa"/>
              <w:right w:w="105" w:type="dxa"/>
            </w:tcMar>
          </w:tcPr>
          <w:p w:rsidR="75424594" w:rsidP="75424594" w14:paraId="335E9CCB" w14:textId="0D640D1F">
            <w:pPr>
              <w:rPr>
                <w:rFonts w:ascii="Calibri" w:eastAsia="Calibri" w:hAnsi="Calibri" w:cs="Calibri"/>
                <w:b w:val="0"/>
                <w:bCs w:val="0"/>
              </w:rPr>
            </w:pPr>
            <w:r w:rsidRPr="75424594">
              <w:rPr>
                <w:rFonts w:ascii="Calibri" w:eastAsia="Calibri" w:hAnsi="Calibri" w:cs="Calibri"/>
                <w:b w:val="0"/>
                <w:bCs w:val="0"/>
              </w:rPr>
              <w:t xml:space="preserve">Due Date  </w:t>
            </w:r>
          </w:p>
        </w:tc>
      </w:tr>
      <w:tr w14:paraId="5834C09A" w14:textId="77777777" w:rsidTr="75424594">
        <w:tblPrEx>
          <w:tblW w:w="0" w:type="auto"/>
          <w:tblLayout w:type="fixed"/>
          <w:tblLook w:val="04A0"/>
        </w:tblPrEx>
        <w:trPr>
          <w:trHeight w:val="405"/>
        </w:trPr>
        <w:tc>
          <w:tcPr>
            <w:tcW w:w="2424" w:type="dxa"/>
            <w:tcBorders>
              <w:left w:val="single" w:sz="6" w:space="0" w:color="auto"/>
            </w:tcBorders>
            <w:tcMar>
              <w:left w:w="105" w:type="dxa"/>
              <w:right w:w="105" w:type="dxa"/>
            </w:tcMar>
          </w:tcPr>
          <w:p w:rsidR="75424594" w:rsidP="75424594" w14:paraId="582E4AF3" w14:textId="0EE51F27">
            <w:pPr>
              <w:rPr>
                <w:rFonts w:ascii="Calibri" w:eastAsia="Calibri" w:hAnsi="Calibri" w:cs="Calibri"/>
                <w:color w:val="323A45"/>
              </w:rPr>
            </w:pPr>
            <w:r w:rsidRPr="75424594">
              <w:rPr>
                <w:rFonts w:ascii="Calibri" w:eastAsia="Calibri" w:hAnsi="Calibri" w:cs="Calibri"/>
                <w:b w:val="0"/>
                <w:bCs w:val="0"/>
                <w:color w:val="323A45"/>
              </w:rPr>
              <w:t xml:space="preserve">FY Q1 </w:t>
            </w:r>
          </w:p>
        </w:tc>
        <w:tc>
          <w:tcPr>
            <w:tcW w:w="2013" w:type="dxa"/>
            <w:tcMar>
              <w:left w:w="105" w:type="dxa"/>
              <w:right w:w="105" w:type="dxa"/>
            </w:tcMar>
          </w:tcPr>
          <w:p w:rsidR="75424594" w:rsidP="75424594" w14:paraId="3A74369B" w14:textId="0A99259F">
            <w:pPr>
              <w:rPr>
                <w:rFonts w:ascii="Calibri" w:eastAsia="Calibri" w:hAnsi="Calibri" w:cs="Calibri"/>
                <w:color w:val="323A45"/>
              </w:rPr>
            </w:pPr>
            <w:r w:rsidRPr="75424594">
              <w:rPr>
                <w:rFonts w:ascii="Calibri" w:eastAsia="Calibri" w:hAnsi="Calibri" w:cs="Calibri"/>
                <w:color w:val="323A45"/>
              </w:rPr>
              <w:t>FY Q2</w:t>
            </w:r>
          </w:p>
        </w:tc>
        <w:tc>
          <w:tcPr>
            <w:tcW w:w="2823" w:type="dxa"/>
            <w:tcMar>
              <w:left w:w="105" w:type="dxa"/>
              <w:right w:w="105" w:type="dxa"/>
            </w:tcMar>
          </w:tcPr>
          <w:p w:rsidR="75424594" w:rsidP="75424594" w14:paraId="267CEB3D" w14:textId="603EF4F0">
            <w:pPr>
              <w:rPr>
                <w:rFonts w:ascii="Calibri" w:eastAsia="Calibri" w:hAnsi="Calibri" w:cs="Calibri"/>
                <w:color w:val="323A45"/>
              </w:rPr>
            </w:pPr>
            <w:r w:rsidRPr="75424594">
              <w:rPr>
                <w:rFonts w:ascii="Calibri" w:eastAsia="Calibri" w:hAnsi="Calibri" w:cs="Calibri"/>
                <w:color w:val="D13438"/>
                <w:u w:val="single"/>
              </w:rPr>
              <w:t xml:space="preserve">FY Q1, </w:t>
            </w:r>
            <w:r w:rsidRPr="75424594">
              <w:rPr>
                <w:rFonts w:ascii="Calibri" w:eastAsia="Calibri" w:hAnsi="Calibri" w:cs="Calibri"/>
                <w:color w:val="323A45"/>
              </w:rPr>
              <w:t xml:space="preserve">October-December  </w:t>
            </w:r>
          </w:p>
        </w:tc>
        <w:tc>
          <w:tcPr>
            <w:tcW w:w="1944" w:type="dxa"/>
            <w:tcBorders>
              <w:right w:val="single" w:sz="6" w:space="0" w:color="auto"/>
            </w:tcBorders>
            <w:tcMar>
              <w:left w:w="105" w:type="dxa"/>
              <w:right w:w="105" w:type="dxa"/>
            </w:tcMar>
          </w:tcPr>
          <w:p w:rsidR="75424594" w:rsidP="75424594" w14:paraId="024364DA" w14:textId="5DBA6243">
            <w:pPr>
              <w:rPr>
                <w:rFonts w:ascii="Calibri" w:eastAsia="Calibri" w:hAnsi="Calibri" w:cs="Calibri"/>
                <w:color w:val="323A45"/>
              </w:rPr>
            </w:pPr>
            <w:r w:rsidRPr="008414AE">
              <w:rPr>
                <w:rFonts w:ascii="Calibri" w:eastAsia="Calibri" w:hAnsi="Calibri" w:cs="Calibri"/>
                <w:color w:val="323A45"/>
              </w:rPr>
              <w:t xml:space="preserve">May </w:t>
            </w:r>
            <w:r w:rsidRPr="008414AE" w:rsidR="008414AE">
              <w:rPr>
                <w:rFonts w:ascii="Calibri" w:eastAsia="Calibri" w:hAnsi="Calibri" w:cs="Calibri"/>
                <w:color w:val="323A45"/>
              </w:rPr>
              <w:t>15</w:t>
            </w:r>
            <w:r w:rsidRPr="75424594">
              <w:rPr>
                <w:rFonts w:ascii="Calibri" w:eastAsia="Calibri" w:hAnsi="Calibri" w:cs="Calibri"/>
                <w:color w:val="323A45"/>
              </w:rPr>
              <w:t xml:space="preserve">  </w:t>
            </w:r>
          </w:p>
        </w:tc>
      </w:tr>
      <w:tr w14:paraId="48D3CA33" w14:textId="77777777" w:rsidTr="75424594">
        <w:tblPrEx>
          <w:tblW w:w="0" w:type="auto"/>
          <w:tblLayout w:type="fixed"/>
          <w:tblLook w:val="04A0"/>
        </w:tblPrEx>
        <w:trPr>
          <w:trHeight w:val="405"/>
        </w:trPr>
        <w:tc>
          <w:tcPr>
            <w:tcW w:w="2424" w:type="dxa"/>
            <w:tcBorders>
              <w:left w:val="single" w:sz="6" w:space="0" w:color="auto"/>
            </w:tcBorders>
            <w:tcMar>
              <w:left w:w="105" w:type="dxa"/>
              <w:right w:w="105" w:type="dxa"/>
            </w:tcMar>
          </w:tcPr>
          <w:p w:rsidR="75424594" w:rsidP="75424594" w14:paraId="68758A0A" w14:textId="3680C73F">
            <w:pPr>
              <w:rPr>
                <w:rFonts w:ascii="Calibri" w:eastAsia="Calibri" w:hAnsi="Calibri" w:cs="Calibri"/>
                <w:color w:val="323A45"/>
              </w:rPr>
            </w:pPr>
            <w:r w:rsidRPr="75424594">
              <w:rPr>
                <w:rFonts w:ascii="Calibri" w:eastAsia="Calibri" w:hAnsi="Calibri" w:cs="Calibri"/>
                <w:b w:val="0"/>
                <w:bCs w:val="0"/>
                <w:color w:val="323A45"/>
              </w:rPr>
              <w:t xml:space="preserve">FY Q2 </w:t>
            </w:r>
          </w:p>
        </w:tc>
        <w:tc>
          <w:tcPr>
            <w:tcW w:w="2013" w:type="dxa"/>
            <w:tcMar>
              <w:left w:w="105" w:type="dxa"/>
              <w:right w:w="105" w:type="dxa"/>
            </w:tcMar>
          </w:tcPr>
          <w:p w:rsidR="75424594" w:rsidP="75424594" w14:paraId="5D74326F" w14:textId="28D77D58">
            <w:pPr>
              <w:rPr>
                <w:rFonts w:ascii="Calibri" w:eastAsia="Calibri" w:hAnsi="Calibri" w:cs="Calibri"/>
                <w:color w:val="323A45"/>
              </w:rPr>
            </w:pPr>
            <w:r w:rsidRPr="75424594">
              <w:rPr>
                <w:rFonts w:ascii="Calibri" w:eastAsia="Calibri" w:hAnsi="Calibri" w:cs="Calibri"/>
                <w:color w:val="323A45"/>
              </w:rPr>
              <w:t>FY Q3</w:t>
            </w:r>
          </w:p>
        </w:tc>
        <w:tc>
          <w:tcPr>
            <w:tcW w:w="2823" w:type="dxa"/>
            <w:tcMar>
              <w:left w:w="105" w:type="dxa"/>
              <w:right w:w="105" w:type="dxa"/>
            </w:tcMar>
          </w:tcPr>
          <w:p w:rsidR="75424594" w:rsidP="75424594" w14:paraId="1091B41D" w14:textId="5B698000">
            <w:pPr>
              <w:rPr>
                <w:rFonts w:ascii="Calibri" w:eastAsia="Calibri" w:hAnsi="Calibri" w:cs="Calibri"/>
                <w:color w:val="323A45"/>
              </w:rPr>
            </w:pPr>
            <w:r w:rsidRPr="75424594">
              <w:rPr>
                <w:rFonts w:ascii="Calibri" w:eastAsia="Calibri" w:hAnsi="Calibri" w:cs="Calibri"/>
                <w:color w:val="D13438"/>
                <w:u w:val="single"/>
              </w:rPr>
              <w:t xml:space="preserve">FY Q2, </w:t>
            </w:r>
            <w:r w:rsidRPr="75424594">
              <w:rPr>
                <w:rFonts w:ascii="Calibri" w:eastAsia="Calibri" w:hAnsi="Calibri" w:cs="Calibri"/>
                <w:color w:val="323A45"/>
              </w:rPr>
              <w:t xml:space="preserve">January-March  </w:t>
            </w:r>
          </w:p>
        </w:tc>
        <w:tc>
          <w:tcPr>
            <w:tcW w:w="1944" w:type="dxa"/>
            <w:tcBorders>
              <w:right w:val="single" w:sz="6" w:space="0" w:color="auto"/>
            </w:tcBorders>
            <w:tcMar>
              <w:left w:w="105" w:type="dxa"/>
              <w:right w:w="105" w:type="dxa"/>
            </w:tcMar>
          </w:tcPr>
          <w:p w:rsidR="75424594" w:rsidP="75424594" w14:paraId="740C3508" w14:textId="70DA3904">
            <w:pPr>
              <w:rPr>
                <w:rFonts w:ascii="Calibri" w:eastAsia="Calibri" w:hAnsi="Calibri" w:cs="Calibri"/>
                <w:color w:val="323A45"/>
              </w:rPr>
            </w:pPr>
            <w:r w:rsidRPr="008414AE">
              <w:rPr>
                <w:rFonts w:ascii="Calibri" w:eastAsia="Calibri" w:hAnsi="Calibri" w:cs="Calibri"/>
                <w:color w:val="323A45"/>
              </w:rPr>
              <w:t xml:space="preserve">August </w:t>
            </w:r>
            <w:r w:rsidRPr="008414AE" w:rsidR="008414AE">
              <w:rPr>
                <w:rFonts w:ascii="Calibri" w:eastAsia="Calibri" w:hAnsi="Calibri" w:cs="Calibri"/>
                <w:color w:val="323A45"/>
              </w:rPr>
              <w:t>14</w:t>
            </w:r>
            <w:r w:rsidRPr="75424594">
              <w:rPr>
                <w:rFonts w:ascii="Calibri" w:eastAsia="Calibri" w:hAnsi="Calibri" w:cs="Calibri"/>
                <w:color w:val="323A45"/>
              </w:rPr>
              <w:t xml:space="preserve"> </w:t>
            </w:r>
          </w:p>
        </w:tc>
      </w:tr>
      <w:tr w14:paraId="5C0D119A" w14:textId="77777777" w:rsidTr="75424594">
        <w:tblPrEx>
          <w:tblW w:w="0" w:type="auto"/>
          <w:tblLayout w:type="fixed"/>
          <w:tblLook w:val="04A0"/>
        </w:tblPrEx>
        <w:trPr>
          <w:trHeight w:val="405"/>
        </w:trPr>
        <w:tc>
          <w:tcPr>
            <w:tcW w:w="2424" w:type="dxa"/>
            <w:tcBorders>
              <w:left w:val="single" w:sz="6" w:space="0" w:color="auto"/>
            </w:tcBorders>
            <w:tcMar>
              <w:left w:w="105" w:type="dxa"/>
              <w:right w:w="105" w:type="dxa"/>
            </w:tcMar>
          </w:tcPr>
          <w:p w:rsidR="75424594" w:rsidP="75424594" w14:paraId="6987810C" w14:textId="1EE1B9F2">
            <w:pPr>
              <w:rPr>
                <w:rFonts w:ascii="Calibri" w:eastAsia="Calibri" w:hAnsi="Calibri" w:cs="Calibri"/>
                <w:color w:val="323A45"/>
              </w:rPr>
            </w:pPr>
            <w:r w:rsidRPr="75424594">
              <w:rPr>
                <w:rFonts w:ascii="Calibri" w:eastAsia="Calibri" w:hAnsi="Calibri" w:cs="Calibri"/>
                <w:b w:val="0"/>
                <w:bCs w:val="0"/>
                <w:color w:val="323A45"/>
              </w:rPr>
              <w:t xml:space="preserve">FY Q3 </w:t>
            </w:r>
          </w:p>
        </w:tc>
        <w:tc>
          <w:tcPr>
            <w:tcW w:w="2013" w:type="dxa"/>
            <w:tcMar>
              <w:left w:w="105" w:type="dxa"/>
              <w:right w:w="105" w:type="dxa"/>
            </w:tcMar>
          </w:tcPr>
          <w:p w:rsidR="75424594" w:rsidP="75424594" w14:paraId="2D986659" w14:textId="6B0003F1">
            <w:pPr>
              <w:rPr>
                <w:rFonts w:ascii="Calibri" w:eastAsia="Calibri" w:hAnsi="Calibri" w:cs="Calibri"/>
                <w:color w:val="323A45"/>
              </w:rPr>
            </w:pPr>
            <w:r w:rsidRPr="75424594">
              <w:rPr>
                <w:rFonts w:ascii="Calibri" w:eastAsia="Calibri" w:hAnsi="Calibri" w:cs="Calibri"/>
                <w:color w:val="323A45"/>
              </w:rPr>
              <w:t>FY Q4</w:t>
            </w:r>
          </w:p>
        </w:tc>
        <w:tc>
          <w:tcPr>
            <w:tcW w:w="2823" w:type="dxa"/>
            <w:tcMar>
              <w:left w:w="105" w:type="dxa"/>
              <w:right w:w="105" w:type="dxa"/>
            </w:tcMar>
          </w:tcPr>
          <w:p w:rsidR="75424594" w:rsidP="75424594" w14:paraId="6C6FD21F" w14:textId="0529F445">
            <w:pPr>
              <w:rPr>
                <w:rFonts w:ascii="Calibri" w:eastAsia="Calibri" w:hAnsi="Calibri" w:cs="Calibri"/>
                <w:color w:val="323A45"/>
              </w:rPr>
            </w:pPr>
            <w:r w:rsidRPr="75424594">
              <w:rPr>
                <w:rFonts w:ascii="Calibri" w:eastAsia="Calibri" w:hAnsi="Calibri" w:cs="Calibri"/>
                <w:color w:val="D13438"/>
                <w:u w:val="single"/>
              </w:rPr>
              <w:t xml:space="preserve">FY Q3, </w:t>
            </w:r>
            <w:r w:rsidRPr="75424594">
              <w:rPr>
                <w:rFonts w:ascii="Calibri" w:eastAsia="Calibri" w:hAnsi="Calibri" w:cs="Calibri"/>
                <w:color w:val="323A45"/>
              </w:rPr>
              <w:t xml:space="preserve">April-June </w:t>
            </w:r>
          </w:p>
        </w:tc>
        <w:tc>
          <w:tcPr>
            <w:tcW w:w="1944" w:type="dxa"/>
            <w:tcBorders>
              <w:right w:val="single" w:sz="6" w:space="0" w:color="auto"/>
            </w:tcBorders>
            <w:tcMar>
              <w:left w:w="105" w:type="dxa"/>
              <w:right w:w="105" w:type="dxa"/>
            </w:tcMar>
          </w:tcPr>
          <w:p w:rsidR="75424594" w:rsidP="75424594" w14:paraId="0135DD46" w14:textId="3A8C6DED">
            <w:pPr>
              <w:rPr>
                <w:rFonts w:ascii="Calibri" w:eastAsia="Calibri" w:hAnsi="Calibri" w:cs="Calibri"/>
                <w:color w:val="323A45"/>
              </w:rPr>
            </w:pPr>
            <w:r w:rsidRPr="008414AE">
              <w:rPr>
                <w:rFonts w:ascii="Calibri" w:eastAsia="Calibri" w:hAnsi="Calibri" w:cs="Calibri"/>
                <w:color w:val="323A45"/>
              </w:rPr>
              <w:t xml:space="preserve">November </w:t>
            </w:r>
            <w:r w:rsidRPr="008414AE" w:rsidR="008414AE">
              <w:rPr>
                <w:rFonts w:ascii="Calibri" w:eastAsia="Calibri" w:hAnsi="Calibri" w:cs="Calibri"/>
                <w:color w:val="323A45"/>
              </w:rPr>
              <w:t>14</w:t>
            </w:r>
            <w:r w:rsidRPr="75424594">
              <w:rPr>
                <w:rFonts w:ascii="Calibri" w:eastAsia="Calibri" w:hAnsi="Calibri" w:cs="Calibri"/>
                <w:color w:val="323A45"/>
              </w:rPr>
              <w:t xml:space="preserve"> </w:t>
            </w:r>
          </w:p>
        </w:tc>
      </w:tr>
      <w:tr w14:paraId="7FF8E6D6" w14:textId="77777777" w:rsidTr="75424594">
        <w:tblPrEx>
          <w:tblW w:w="0" w:type="auto"/>
          <w:tblLayout w:type="fixed"/>
          <w:tblLook w:val="04A0"/>
        </w:tblPrEx>
        <w:trPr>
          <w:trHeight w:val="405"/>
        </w:trPr>
        <w:tc>
          <w:tcPr>
            <w:tcW w:w="2424" w:type="dxa"/>
            <w:tcBorders>
              <w:left w:val="single" w:sz="6" w:space="0" w:color="auto"/>
              <w:bottom w:val="single" w:sz="6" w:space="0" w:color="auto"/>
            </w:tcBorders>
            <w:tcMar>
              <w:left w:w="105" w:type="dxa"/>
              <w:right w:w="105" w:type="dxa"/>
            </w:tcMar>
          </w:tcPr>
          <w:p w:rsidR="75424594" w:rsidP="75424594" w14:paraId="7A6AEB52" w14:textId="3AF01C7A">
            <w:pPr>
              <w:rPr>
                <w:rFonts w:ascii="Calibri" w:eastAsia="Calibri" w:hAnsi="Calibri" w:cs="Calibri"/>
                <w:color w:val="323A45"/>
              </w:rPr>
            </w:pPr>
            <w:r w:rsidRPr="75424594">
              <w:rPr>
                <w:rFonts w:ascii="Calibri" w:eastAsia="Calibri" w:hAnsi="Calibri" w:cs="Calibri"/>
                <w:b w:val="0"/>
                <w:bCs w:val="0"/>
                <w:color w:val="323A45"/>
              </w:rPr>
              <w:t xml:space="preserve">FY Q4 </w:t>
            </w:r>
          </w:p>
        </w:tc>
        <w:tc>
          <w:tcPr>
            <w:tcW w:w="2013" w:type="dxa"/>
            <w:tcBorders>
              <w:bottom w:val="single" w:sz="6" w:space="0" w:color="auto"/>
            </w:tcBorders>
            <w:tcMar>
              <w:left w:w="105" w:type="dxa"/>
              <w:right w:w="105" w:type="dxa"/>
            </w:tcMar>
          </w:tcPr>
          <w:p w:rsidR="75424594" w:rsidP="75424594" w14:paraId="1E3D3041" w14:textId="23020E15">
            <w:pPr>
              <w:rPr>
                <w:rFonts w:ascii="Calibri" w:eastAsia="Calibri" w:hAnsi="Calibri" w:cs="Calibri"/>
                <w:color w:val="323A45"/>
              </w:rPr>
            </w:pPr>
            <w:r w:rsidRPr="75424594">
              <w:rPr>
                <w:rFonts w:ascii="Calibri" w:eastAsia="Calibri" w:hAnsi="Calibri" w:cs="Calibri"/>
                <w:color w:val="323A45"/>
              </w:rPr>
              <w:t>Following FY Q1</w:t>
            </w:r>
          </w:p>
        </w:tc>
        <w:tc>
          <w:tcPr>
            <w:tcW w:w="2823" w:type="dxa"/>
            <w:tcBorders>
              <w:bottom w:val="single" w:sz="6" w:space="0" w:color="auto"/>
            </w:tcBorders>
            <w:tcMar>
              <w:left w:w="105" w:type="dxa"/>
              <w:right w:w="105" w:type="dxa"/>
            </w:tcMar>
          </w:tcPr>
          <w:p w:rsidR="75424594" w:rsidP="75424594" w14:paraId="2417871C" w14:textId="6A1E5186">
            <w:pPr>
              <w:rPr>
                <w:rFonts w:ascii="Calibri" w:eastAsia="Calibri" w:hAnsi="Calibri" w:cs="Calibri"/>
                <w:color w:val="323A45"/>
              </w:rPr>
            </w:pPr>
            <w:r w:rsidRPr="75424594">
              <w:rPr>
                <w:rFonts w:ascii="Calibri" w:eastAsia="Calibri" w:hAnsi="Calibri" w:cs="Calibri"/>
                <w:color w:val="D13438"/>
                <w:u w:val="single"/>
              </w:rPr>
              <w:t xml:space="preserve">FY Q4, </w:t>
            </w:r>
            <w:r w:rsidRPr="75424594">
              <w:rPr>
                <w:rFonts w:ascii="Calibri" w:eastAsia="Calibri" w:hAnsi="Calibri" w:cs="Calibri"/>
                <w:color w:val="323A45"/>
              </w:rPr>
              <w:t xml:space="preserve">July-September </w:t>
            </w:r>
          </w:p>
        </w:tc>
        <w:tc>
          <w:tcPr>
            <w:tcW w:w="1944" w:type="dxa"/>
            <w:tcBorders>
              <w:bottom w:val="single" w:sz="6" w:space="0" w:color="auto"/>
              <w:right w:val="single" w:sz="6" w:space="0" w:color="auto"/>
            </w:tcBorders>
            <w:tcMar>
              <w:left w:w="105" w:type="dxa"/>
              <w:right w:w="105" w:type="dxa"/>
            </w:tcMar>
          </w:tcPr>
          <w:p w:rsidR="75424594" w:rsidP="75424594" w14:paraId="57D5F377" w14:textId="11AE4A76">
            <w:pPr>
              <w:rPr>
                <w:rFonts w:ascii="Calibri" w:eastAsia="Calibri" w:hAnsi="Calibri" w:cs="Calibri"/>
                <w:color w:val="323A45"/>
              </w:rPr>
            </w:pPr>
            <w:r w:rsidRPr="008414AE">
              <w:rPr>
                <w:rFonts w:ascii="Calibri" w:eastAsia="Calibri" w:hAnsi="Calibri" w:cs="Calibri"/>
                <w:color w:val="323A45"/>
              </w:rPr>
              <w:t xml:space="preserve">February </w:t>
            </w:r>
            <w:r w:rsidRPr="008414AE" w:rsidR="008414AE">
              <w:rPr>
                <w:rFonts w:ascii="Calibri" w:eastAsia="Calibri" w:hAnsi="Calibri" w:cs="Calibri"/>
                <w:color w:val="323A45"/>
              </w:rPr>
              <w:t>14</w:t>
            </w:r>
          </w:p>
        </w:tc>
      </w:tr>
    </w:tbl>
    <w:p w:rsidR="75424594" w:rsidP="75424594" w14:paraId="131EC3B7" w14:textId="71CD1082">
      <w:pPr>
        <w:pStyle w:val="ListParagraph"/>
        <w:ind w:left="1440"/>
        <w:rPr>
          <w:color w:val="FF0000"/>
        </w:rPr>
      </w:pPr>
    </w:p>
    <w:p w:rsidR="00D11AB5" w:rsidP="002919AB" w14:paraId="22FF9AAB" w14:textId="348E376A">
      <w:pPr>
        <w:pStyle w:val="ListParagraph"/>
        <w:numPr>
          <w:ilvl w:val="0"/>
          <w:numId w:val="3"/>
        </w:numPr>
        <w:rPr>
          <w:b/>
          <w:bCs/>
        </w:rPr>
      </w:pPr>
      <w:r w:rsidRPr="002919AB">
        <w:rPr>
          <w:b/>
          <w:bCs/>
        </w:rPr>
        <w:t>Comment re:</w:t>
      </w:r>
      <w:r>
        <w:rPr>
          <w:b/>
          <w:bCs/>
        </w:rPr>
        <w:t xml:space="preserve"> Update Burden Hours</w:t>
      </w:r>
    </w:p>
    <w:p w:rsidR="002D71AF" w:rsidP="002D71AF" w14:paraId="686811FB" w14:textId="16BD1B3C">
      <w:pPr>
        <w:pStyle w:val="ListParagraph"/>
        <w:numPr>
          <w:ilvl w:val="1"/>
          <w:numId w:val="3"/>
        </w:numPr>
      </w:pPr>
      <w:r>
        <w:t xml:space="preserve">[STATE] </w:t>
      </w:r>
      <w:r w:rsidR="762EA449">
        <w:t xml:space="preserve">estimates that the development and reporting of the new TANF outcome metrics will take approximately 551 burden hours to complete. This estimate assumes that </w:t>
      </w:r>
      <w:r w:rsidR="5172F83A">
        <w:t>the state</w:t>
      </w:r>
      <w:r w:rsidR="762EA449">
        <w:t xml:space="preserve"> will need two months to review the information, define the process including metric development, and make changes to our systems.</w:t>
      </w:r>
    </w:p>
    <w:p w:rsidR="002D71AF" w:rsidRPr="008105FD" w:rsidP="16AE9F3B" w14:paraId="61CA86E9" w14:textId="024C74A5">
      <w:pPr>
        <w:ind w:left="1440"/>
        <w:rPr>
          <w:color w:val="FF0000"/>
        </w:rPr>
      </w:pPr>
      <w:r w:rsidRPr="002D71AF">
        <w:rPr>
          <w:b/>
          <w:bCs/>
        </w:rPr>
        <w:t xml:space="preserve">ACF Response: </w:t>
      </w:r>
      <w:r w:rsidRPr="000D1CEF" w:rsidR="49E8DFF9">
        <w:rPr>
          <w:color w:val="FF0000"/>
        </w:rPr>
        <w:t>Thank you for this information.</w:t>
      </w:r>
      <w:r w:rsidRPr="5C722129" w:rsidR="49E8DFF9">
        <w:rPr>
          <w:b/>
          <w:bCs/>
        </w:rPr>
        <w:t xml:space="preserve"> </w:t>
      </w:r>
      <w:r w:rsidR="000D1CEF">
        <w:rPr>
          <w:color w:val="FF0000"/>
        </w:rPr>
        <w:t xml:space="preserve">We will consider this estimate as part of the </w:t>
      </w:r>
      <w:r w:rsidR="009A65AE">
        <w:rPr>
          <w:color w:val="FF0000"/>
        </w:rPr>
        <w:t>start up</w:t>
      </w:r>
      <w:r w:rsidR="009A65AE">
        <w:rPr>
          <w:color w:val="FF0000"/>
        </w:rPr>
        <w:t xml:space="preserve"> costs and will provide technical assistance to ease this burden as much as possible. </w:t>
      </w:r>
    </w:p>
    <w:p w:rsidR="002E3441" w:rsidP="002E3441" w14:paraId="5C1B6F71" w14:textId="77777777"/>
    <w:p w:rsidR="002E3441" w:rsidP="00335DE2" w14:paraId="46897057" w14:textId="287D8DAD">
      <w:pPr>
        <w:pStyle w:val="Heading1"/>
        <w:numPr>
          <w:ilvl w:val="0"/>
          <w:numId w:val="10"/>
        </w:numPr>
      </w:pPr>
      <w:r>
        <w:t>Secondary School Attainment Measure</w:t>
      </w:r>
    </w:p>
    <w:p w:rsidR="00D83BAB" w:rsidP="00032209" w14:paraId="33069A6F" w14:textId="59899946">
      <w:pPr>
        <w:pStyle w:val="ListParagraph"/>
        <w:numPr>
          <w:ilvl w:val="0"/>
          <w:numId w:val="11"/>
        </w:numPr>
        <w:rPr>
          <w:b/>
          <w:bCs/>
        </w:rPr>
      </w:pPr>
      <w:r>
        <w:rPr>
          <w:b/>
          <w:bCs/>
        </w:rPr>
        <w:t xml:space="preserve">Comment re: </w:t>
      </w:r>
      <w:r w:rsidRPr="4ABB835C" w:rsidR="6177ADF9">
        <w:rPr>
          <w:b/>
          <w:bCs/>
        </w:rPr>
        <w:t>Exit scenario</w:t>
      </w:r>
    </w:p>
    <w:p w:rsidR="00D83BAB" w:rsidP="00032209" w14:paraId="3D6B3BA2" w14:textId="486E7EC4">
      <w:pPr>
        <w:pStyle w:val="ListParagraph"/>
        <w:numPr>
          <w:ilvl w:val="1"/>
          <w:numId w:val="11"/>
        </w:numPr>
        <w:rPr>
          <w:b/>
          <w:bCs/>
        </w:rPr>
      </w:pPr>
      <w:r w:rsidRPr="4ABB835C">
        <w:rPr>
          <w:rFonts w:ascii="Calibri" w:eastAsia="Calibri" w:hAnsi="Calibri" w:cs="Calibri"/>
        </w:rPr>
        <w:t>For the education measure, please consider this example and inform how we should determine inclusion in the numerator and denominator:</w:t>
      </w:r>
    </w:p>
    <w:p w:rsidR="00D83BAB" w:rsidP="00032209" w14:paraId="0FA1FB03" w14:textId="71B7AE74">
      <w:pPr>
        <w:pStyle w:val="ListParagraph"/>
        <w:numPr>
          <w:ilvl w:val="2"/>
          <w:numId w:val="11"/>
        </w:numPr>
        <w:spacing w:after="0"/>
        <w:rPr>
          <w:rFonts w:eastAsiaTheme="minorEastAsia"/>
        </w:rPr>
      </w:pPr>
      <w:r w:rsidRPr="122205F8">
        <w:rPr>
          <w:rFonts w:ascii="Calibri" w:eastAsia="Calibri" w:hAnsi="Calibri" w:cs="Calibri"/>
        </w:rPr>
        <w:t>A program participant exits TANF in October 2024, returns to TANF in August 2025, and then ex</w:t>
      </w:r>
      <w:r w:rsidRPr="122205F8">
        <w:rPr>
          <w:rFonts w:eastAsiaTheme="minorEastAsia"/>
        </w:rPr>
        <w:t>its again in November 2025. They meet the criteria for eligibility. In this scenario, should a state count this individual in both the “Current Recipient” denominator and the “</w:t>
      </w:r>
      <w:r w:rsidRPr="122205F8">
        <w:rPr>
          <w:rFonts w:eastAsiaTheme="minorEastAsia"/>
        </w:rPr>
        <w:t>Exiter</w:t>
      </w:r>
      <w:r w:rsidRPr="122205F8">
        <w:rPr>
          <w:rFonts w:eastAsiaTheme="minorEastAsia"/>
        </w:rPr>
        <w:t>” denominator?</w:t>
      </w:r>
    </w:p>
    <w:p w:rsidR="00725BD0" w:rsidP="00032209" w14:paraId="09CE3391" w14:textId="21C55AEA">
      <w:pPr>
        <w:pStyle w:val="ListParagraph"/>
        <w:numPr>
          <w:ilvl w:val="1"/>
          <w:numId w:val="11"/>
        </w:numPr>
        <w:spacing w:after="0"/>
        <w:rPr>
          <w:rFonts w:eastAsiaTheme="minorEastAsia"/>
        </w:rPr>
      </w:pPr>
      <w:r w:rsidRPr="122205F8">
        <w:rPr>
          <w:rFonts w:eastAsiaTheme="minorEastAsia"/>
          <w:color w:val="000000" w:themeColor="text1"/>
        </w:rPr>
        <w:t xml:space="preserve">In other words, are they considered exited if they exit in any quarter during the reporting year, regardless of their program status in the 4th quarter? Or should we only consider them exited if they are </w:t>
      </w:r>
      <w:r w:rsidRPr="122205F8">
        <w:rPr>
          <w:rFonts w:eastAsiaTheme="minorEastAsia"/>
          <w:color w:val="000000" w:themeColor="text1"/>
        </w:rPr>
        <w:t>exited</w:t>
      </w:r>
      <w:r w:rsidRPr="122205F8">
        <w:rPr>
          <w:rFonts w:eastAsiaTheme="minorEastAsia"/>
          <w:color w:val="000000" w:themeColor="text1"/>
        </w:rPr>
        <w:t xml:space="preserve"> in the 4th quarter?</w:t>
      </w:r>
    </w:p>
    <w:p w:rsidR="00D83BAB" w:rsidP="00725BD0" w14:paraId="72B4DFD1" w14:textId="475D7255">
      <w:pPr>
        <w:spacing w:after="0"/>
        <w:ind w:left="720" w:firstLine="720"/>
        <w:rPr>
          <w:rFonts w:ascii="Calibri" w:eastAsia="Calibri" w:hAnsi="Calibri" w:cs="Calibri"/>
          <w:color w:val="FF0000"/>
        </w:rPr>
      </w:pPr>
      <w:r w:rsidRPr="00610520">
        <w:rPr>
          <w:rFonts w:ascii="Calibri" w:eastAsia="Calibri" w:hAnsi="Calibri" w:cs="Calibri"/>
          <w:b/>
          <w:bCs/>
        </w:rPr>
        <w:t>ACF Response:</w:t>
      </w:r>
      <w:r w:rsidRPr="00610520">
        <w:rPr>
          <w:rFonts w:ascii="Calibri" w:eastAsia="Calibri" w:hAnsi="Calibri" w:cs="Calibri"/>
        </w:rPr>
        <w:t xml:space="preserve"> </w:t>
      </w:r>
      <w:r w:rsidRPr="00B521A2">
        <w:rPr>
          <w:rFonts w:ascii="Calibri" w:eastAsia="Calibri" w:hAnsi="Calibri" w:cs="Calibri"/>
          <w:color w:val="FF0000"/>
        </w:rPr>
        <w:t>This will be addressed in technical resource scenarios</w:t>
      </w:r>
      <w:r w:rsidRPr="00B521A2" w:rsidR="00610520">
        <w:rPr>
          <w:rFonts w:ascii="Calibri" w:eastAsia="Calibri" w:hAnsi="Calibri" w:cs="Calibri"/>
          <w:color w:val="FF0000"/>
        </w:rPr>
        <w:t>.</w:t>
      </w:r>
    </w:p>
    <w:p w:rsidR="00B521A2" w:rsidRPr="00B521A2" w:rsidP="00610520" w14:paraId="617C6759" w14:textId="77777777">
      <w:pPr>
        <w:spacing w:after="0"/>
        <w:ind w:left="360" w:firstLine="720"/>
        <w:rPr>
          <w:rFonts w:ascii="Calibri" w:eastAsia="Calibri" w:hAnsi="Calibri" w:cs="Calibri"/>
          <w:color w:val="FF0000"/>
        </w:rPr>
      </w:pPr>
    </w:p>
    <w:p w:rsidR="00D83BAB" w:rsidP="00032209" w14:paraId="0F4ECBB2" w14:textId="708D01EC">
      <w:pPr>
        <w:pStyle w:val="ListParagraph"/>
        <w:numPr>
          <w:ilvl w:val="0"/>
          <w:numId w:val="11"/>
        </w:numPr>
        <w:rPr>
          <w:b/>
          <w:bCs/>
        </w:rPr>
      </w:pPr>
      <w:r>
        <w:rPr>
          <w:b/>
          <w:bCs/>
        </w:rPr>
        <w:t xml:space="preserve">Comment re: </w:t>
      </w:r>
      <w:r w:rsidR="00034FE5">
        <w:rPr>
          <w:b/>
          <w:bCs/>
        </w:rPr>
        <w:t>Clarification of measure</w:t>
      </w:r>
    </w:p>
    <w:p w:rsidR="00D83BAB" w:rsidRPr="00944D51" w:rsidP="00032209" w14:paraId="5CE91686" w14:textId="3F26D6B6">
      <w:pPr>
        <w:pStyle w:val="ListParagraph"/>
        <w:numPr>
          <w:ilvl w:val="1"/>
          <w:numId w:val="11"/>
        </w:numPr>
        <w:rPr>
          <w:b/>
          <w:bCs/>
        </w:rPr>
      </w:pPr>
      <w:r>
        <w:t>Education directly related to employment is considered a non-core activity for those who are under age 20 p</w:t>
      </w:r>
      <w:r w:rsidR="65F40B2C">
        <w:t>er 45 CFR 261.33</w:t>
      </w:r>
      <w:r w:rsidR="6BFDF7DF">
        <w:t>; if the new requirement is requesting tracking for those who obtained a Secondary School Diploma or equivalent, will it allow this to be a core activity to fulfill the obtainment requirement of this outcome measure? We request consideration on what is an allowable core activity.</w:t>
      </w:r>
      <w:r w:rsidR="0BC8B94A">
        <w:t xml:space="preserve"> </w:t>
      </w:r>
    </w:p>
    <w:p w:rsidR="00D83BAB" w:rsidRPr="00217376" w:rsidP="2978ADD4" w14:paraId="7511E89F" w14:textId="29D49385">
      <w:pPr>
        <w:ind w:left="1440"/>
        <w:rPr>
          <w:color w:val="FF0000"/>
        </w:rPr>
      </w:pPr>
      <w:r w:rsidRPr="122205F8">
        <w:rPr>
          <w:b/>
          <w:bCs/>
        </w:rPr>
        <w:t>ACF Response:</w:t>
      </w:r>
      <w:r w:rsidRPr="122205F8" w:rsidR="1B86D924">
        <w:rPr>
          <w:b/>
          <w:bCs/>
        </w:rPr>
        <w:t xml:space="preserve"> </w:t>
      </w:r>
      <w:r w:rsidRPr="122205F8" w:rsidR="675C3A48">
        <w:rPr>
          <w:color w:val="FF0000"/>
        </w:rPr>
        <w:t>T</w:t>
      </w:r>
      <w:r w:rsidRPr="122205F8" w:rsidR="1B3CB92B">
        <w:rPr>
          <w:color w:val="FF0000"/>
        </w:rPr>
        <w:t xml:space="preserve">he Fiscal Responsibility Act did not modify what counts as a core activity for the work participation rate. </w:t>
      </w:r>
    </w:p>
    <w:p w:rsidR="00235EE8" w:rsidP="003C7849" w14:paraId="48AAD125" w14:textId="77777777"/>
    <w:p w:rsidR="003C7849" w:rsidP="00032209" w14:paraId="2066E445" w14:textId="4D03B1C3">
      <w:pPr>
        <w:pStyle w:val="Heading1"/>
        <w:numPr>
          <w:ilvl w:val="0"/>
          <w:numId w:val="10"/>
        </w:numPr>
      </w:pPr>
      <w:r>
        <w:t xml:space="preserve">Supplemental Work Outcomes </w:t>
      </w:r>
      <w:r w:rsidR="00D83BAB">
        <w:t>Report</w:t>
      </w:r>
    </w:p>
    <w:p w:rsidR="00D83BAB" w:rsidP="00D83BAB" w14:paraId="3F05B509" w14:textId="3E0B2070">
      <w:pPr>
        <w:pStyle w:val="ListParagraph"/>
        <w:numPr>
          <w:ilvl w:val="0"/>
          <w:numId w:val="4"/>
        </w:numPr>
        <w:rPr>
          <w:b/>
          <w:bCs/>
        </w:rPr>
      </w:pPr>
      <w:r>
        <w:rPr>
          <w:b/>
          <w:bCs/>
        </w:rPr>
        <w:t xml:space="preserve">Comment re: </w:t>
      </w:r>
      <w:r w:rsidR="00D13A3D">
        <w:rPr>
          <w:b/>
          <w:bCs/>
        </w:rPr>
        <w:t xml:space="preserve">State-level </w:t>
      </w:r>
      <w:r w:rsidRPr="00DF2296" w:rsidR="00DF2296">
        <w:rPr>
          <w:b/>
          <w:bCs/>
        </w:rPr>
        <w:t>Matching for the Supplemental Work Outcomes Report</w:t>
      </w:r>
    </w:p>
    <w:p w:rsidR="001B61B5" w:rsidP="001B61B5" w14:paraId="4AD31C2E" w14:textId="7F500FE6">
      <w:pPr>
        <w:pStyle w:val="ListParagraph"/>
        <w:numPr>
          <w:ilvl w:val="1"/>
          <w:numId w:val="4"/>
        </w:numPr>
      </w:pPr>
      <w:r w:rsidRPr="00D95190">
        <w:t>In our conversations with states, several scenarios have surfaced wherein the outcomes data might not accurately represent a family’s actual circumstances.</w:t>
      </w:r>
      <w:r w:rsidRPr="00D95190" w:rsidR="00D95190">
        <w:cr/>
      </w:r>
    </w:p>
    <w:p w:rsidR="00D83BAB" w:rsidP="001B61B5" w14:paraId="58FEDFBA" w14:textId="237800FC">
      <w:pPr>
        <w:pStyle w:val="ListParagraph"/>
        <w:ind w:left="1440"/>
      </w:pPr>
      <w:r>
        <w:t>As is the case in WIOA programs, for families that receive assistance in October, meet the exit definition in March, reapply for assistance in April, and meet the exit definition again in September, within one fiscal year this family will be counted twice as having exited the program.</w:t>
      </w:r>
    </w:p>
    <w:p w:rsidR="00623A81" w:rsidP="001B61B5" w14:paraId="4EA65974" w14:textId="017E2A7E">
      <w:pPr>
        <w:pStyle w:val="ListParagraph"/>
        <w:ind w:left="1440"/>
      </w:pPr>
    </w:p>
    <w:p w:rsidR="00623A81" w:rsidRPr="00DB519B" w:rsidP="00623A81" w14:paraId="6A9F6F13" w14:textId="177E6372">
      <w:pPr>
        <w:pStyle w:val="ListParagraph"/>
        <w:ind w:left="1440"/>
      </w:pPr>
      <w:r>
        <w:t>If OFA does not plan to filter out “returners” such as those in the example above, nor request states to report how many "leavers" each quarter have since returned to the program, OFA should acknowledge individuals may likely be counted multiple times within one fiscal year</w:t>
      </w:r>
      <w:r w:rsidR="004B2849">
        <w:t>.</w:t>
      </w:r>
    </w:p>
    <w:p w:rsidR="23FBBF2C" w:rsidP="122205F8" w14:paraId="534E17FB" w14:textId="6A62F487">
      <w:pPr>
        <w:ind w:left="1440"/>
        <w:rPr>
          <w:rFonts w:ascii="Calibri" w:eastAsia="Calibri" w:hAnsi="Calibri" w:cs="Calibri"/>
        </w:rPr>
      </w:pPr>
      <w:r w:rsidRPr="122205F8">
        <w:rPr>
          <w:b/>
          <w:bCs/>
        </w:rPr>
        <w:t>ACF Response:</w:t>
      </w:r>
      <w:r w:rsidRPr="122205F8" w:rsidR="2E9CD5B4">
        <w:rPr>
          <w:b/>
          <w:bCs/>
        </w:rPr>
        <w:t xml:space="preserve"> </w:t>
      </w:r>
      <w:r w:rsidRPr="122205F8" w:rsidR="2E9CD5B4">
        <w:rPr>
          <w:rFonts w:ascii="Calibri" w:eastAsia="Calibri" w:hAnsi="Calibri" w:cs="Calibri"/>
          <w:color w:val="FF0000"/>
        </w:rPr>
        <w:t xml:space="preserve">Each individual should only be counted once. It is up to the state whether they count an individual as an </w:t>
      </w:r>
      <w:r w:rsidRPr="122205F8" w:rsidR="2E9CD5B4">
        <w:rPr>
          <w:rFonts w:ascii="Calibri" w:eastAsia="Calibri" w:hAnsi="Calibri" w:cs="Calibri"/>
          <w:color w:val="FF0000"/>
        </w:rPr>
        <w:t>exiter</w:t>
      </w:r>
      <w:r w:rsidRPr="122205F8" w:rsidR="2E9CD5B4">
        <w:rPr>
          <w:rFonts w:ascii="Calibri" w:eastAsia="Calibri" w:hAnsi="Calibri" w:cs="Calibri"/>
          <w:color w:val="FF0000"/>
        </w:rPr>
        <w:t xml:space="preserve"> if they return by the fourth quarter.  Scenarios such as this will be addressed further in the technical resource guide.</w:t>
      </w:r>
    </w:p>
    <w:p w:rsidR="00D83BAB" w:rsidRPr="00D83BAB" w:rsidP="00D83BAB" w14:paraId="3BA188B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3439A"/>
    <w:multiLevelType w:val="hybridMultilevel"/>
    <w:tmpl w:val="886C0AA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2487765"/>
    <w:multiLevelType w:val="hybridMultilevel"/>
    <w:tmpl w:val="634E45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4492596"/>
    <w:multiLevelType w:val="hybridMultilevel"/>
    <w:tmpl w:val="634E45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D860B3"/>
    <w:multiLevelType w:val="hybridMultilevel"/>
    <w:tmpl w:val="634E45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22C2DB6"/>
    <w:multiLevelType w:val="hybridMultilevel"/>
    <w:tmpl w:val="634E45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7BC0E7C"/>
    <w:multiLevelType w:val="hybridMultilevel"/>
    <w:tmpl w:val="4D18DF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9242AFC"/>
    <w:multiLevelType w:val="hybridMultilevel"/>
    <w:tmpl w:val="EDFEE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FA30A6"/>
    <w:multiLevelType w:val="multilevel"/>
    <w:tmpl w:val="36ACCB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6A4641E7"/>
    <w:multiLevelType w:val="hybridMultilevel"/>
    <w:tmpl w:val="04D8485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6142FCE"/>
    <w:multiLevelType w:val="hybridMultilevel"/>
    <w:tmpl w:val="FB2C48FE"/>
    <w:lvl w:ilvl="0">
      <w:start w:val="1"/>
      <w:numFmt w:val="upperLetter"/>
      <w:lvlText w:val="%1."/>
      <w:lvlJc w:val="left"/>
      <w:pPr>
        <w:ind w:left="720" w:hanging="360"/>
      </w:pPr>
      <w:rPr>
        <w:rFonts w:asciiTheme="majorHAnsi" w:eastAsiaTheme="majorEastAsia" w:hAnsiTheme="majorHAnsi" w:cstheme="majorBidi" w:hint="default"/>
        <w:color w:val="2F5496" w:themeColor="accent1" w:themeShade="BF"/>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81D1F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9773872">
    <w:abstractNumId w:val="6"/>
  </w:num>
  <w:num w:numId="2" w16cid:durableId="375198935">
    <w:abstractNumId w:val="5"/>
  </w:num>
  <w:num w:numId="3" w16cid:durableId="771170426">
    <w:abstractNumId w:val="2"/>
  </w:num>
  <w:num w:numId="4" w16cid:durableId="896472136">
    <w:abstractNumId w:val="1"/>
  </w:num>
  <w:num w:numId="5" w16cid:durableId="123500303">
    <w:abstractNumId w:val="3"/>
  </w:num>
  <w:num w:numId="6" w16cid:durableId="386759122">
    <w:abstractNumId w:val="7"/>
  </w:num>
  <w:num w:numId="7" w16cid:durableId="301081629">
    <w:abstractNumId w:val="0"/>
  </w:num>
  <w:num w:numId="8" w16cid:durableId="244807912">
    <w:abstractNumId w:val="8"/>
  </w:num>
  <w:num w:numId="9" w16cid:durableId="358941041">
    <w:abstractNumId w:val="10"/>
  </w:num>
  <w:num w:numId="10" w16cid:durableId="2126188617">
    <w:abstractNumId w:val="9"/>
  </w:num>
  <w:num w:numId="11" w16cid:durableId="1292250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4350A"/>
    <w:rsid w:val="00001EC1"/>
    <w:rsid w:val="00005E2C"/>
    <w:rsid w:val="00014E11"/>
    <w:rsid w:val="000206A5"/>
    <w:rsid w:val="00022D8E"/>
    <w:rsid w:val="00032209"/>
    <w:rsid w:val="00034FDA"/>
    <w:rsid w:val="00034FE5"/>
    <w:rsid w:val="00035AAD"/>
    <w:rsid w:val="00045CCA"/>
    <w:rsid w:val="00060B22"/>
    <w:rsid w:val="00060ECF"/>
    <w:rsid w:val="000668A2"/>
    <w:rsid w:val="00081B76"/>
    <w:rsid w:val="00090640"/>
    <w:rsid w:val="00092379"/>
    <w:rsid w:val="00097419"/>
    <w:rsid w:val="000A5554"/>
    <w:rsid w:val="000B1A40"/>
    <w:rsid w:val="000C783D"/>
    <w:rsid w:val="000D1CEF"/>
    <w:rsid w:val="000D605E"/>
    <w:rsid w:val="000D6F17"/>
    <w:rsid w:val="000E3165"/>
    <w:rsid w:val="000E3D86"/>
    <w:rsid w:val="000E4DC2"/>
    <w:rsid w:val="000E6894"/>
    <w:rsid w:val="000E724E"/>
    <w:rsid w:val="000F5D0C"/>
    <w:rsid w:val="000F633D"/>
    <w:rsid w:val="001025FE"/>
    <w:rsid w:val="00104456"/>
    <w:rsid w:val="00114E14"/>
    <w:rsid w:val="00126CD1"/>
    <w:rsid w:val="0012761E"/>
    <w:rsid w:val="00130332"/>
    <w:rsid w:val="00136FA9"/>
    <w:rsid w:val="00137426"/>
    <w:rsid w:val="00151743"/>
    <w:rsid w:val="00155350"/>
    <w:rsid w:val="0016540E"/>
    <w:rsid w:val="0017542E"/>
    <w:rsid w:val="00181648"/>
    <w:rsid w:val="00197087"/>
    <w:rsid w:val="001A051C"/>
    <w:rsid w:val="001B61B5"/>
    <w:rsid w:val="001C357A"/>
    <w:rsid w:val="001C66EB"/>
    <w:rsid w:val="001D144B"/>
    <w:rsid w:val="001E0136"/>
    <w:rsid w:val="001E3E22"/>
    <w:rsid w:val="001E60EA"/>
    <w:rsid w:val="001F412C"/>
    <w:rsid w:val="0021228B"/>
    <w:rsid w:val="00217376"/>
    <w:rsid w:val="00235EE8"/>
    <w:rsid w:val="00254304"/>
    <w:rsid w:val="002548FF"/>
    <w:rsid w:val="00260FED"/>
    <w:rsid w:val="00261E6B"/>
    <w:rsid w:val="002746D4"/>
    <w:rsid w:val="00276104"/>
    <w:rsid w:val="002850DF"/>
    <w:rsid w:val="002919AB"/>
    <w:rsid w:val="00292D18"/>
    <w:rsid w:val="0029355C"/>
    <w:rsid w:val="002A27D3"/>
    <w:rsid w:val="002B48C1"/>
    <w:rsid w:val="002C1B3E"/>
    <w:rsid w:val="002D09D3"/>
    <w:rsid w:val="002D1BF9"/>
    <w:rsid w:val="002D32B8"/>
    <w:rsid w:val="002D71AF"/>
    <w:rsid w:val="002E3441"/>
    <w:rsid w:val="002F01A9"/>
    <w:rsid w:val="002F61BD"/>
    <w:rsid w:val="00307A30"/>
    <w:rsid w:val="00311DA2"/>
    <w:rsid w:val="003121A6"/>
    <w:rsid w:val="00312E30"/>
    <w:rsid w:val="00313B8B"/>
    <w:rsid w:val="003159FD"/>
    <w:rsid w:val="003212BF"/>
    <w:rsid w:val="00325785"/>
    <w:rsid w:val="00325E0F"/>
    <w:rsid w:val="00325F52"/>
    <w:rsid w:val="00335DE2"/>
    <w:rsid w:val="00345051"/>
    <w:rsid w:val="00348AB9"/>
    <w:rsid w:val="0035681C"/>
    <w:rsid w:val="003714C1"/>
    <w:rsid w:val="00375125"/>
    <w:rsid w:val="00386E2F"/>
    <w:rsid w:val="00387776"/>
    <w:rsid w:val="00397A61"/>
    <w:rsid w:val="003A577D"/>
    <w:rsid w:val="003A6A81"/>
    <w:rsid w:val="003B11B1"/>
    <w:rsid w:val="003C06D7"/>
    <w:rsid w:val="003C4CC6"/>
    <w:rsid w:val="003C63C8"/>
    <w:rsid w:val="003C7849"/>
    <w:rsid w:val="003D442C"/>
    <w:rsid w:val="003D759E"/>
    <w:rsid w:val="003E4347"/>
    <w:rsid w:val="003F0E63"/>
    <w:rsid w:val="003F52F9"/>
    <w:rsid w:val="003F78F0"/>
    <w:rsid w:val="00400E9A"/>
    <w:rsid w:val="00402528"/>
    <w:rsid w:val="00402612"/>
    <w:rsid w:val="0040487B"/>
    <w:rsid w:val="00407078"/>
    <w:rsid w:val="00410610"/>
    <w:rsid w:val="00413159"/>
    <w:rsid w:val="0041353A"/>
    <w:rsid w:val="00414625"/>
    <w:rsid w:val="00416333"/>
    <w:rsid w:val="00417354"/>
    <w:rsid w:val="00434201"/>
    <w:rsid w:val="0043507C"/>
    <w:rsid w:val="00440E00"/>
    <w:rsid w:val="0044726E"/>
    <w:rsid w:val="00448F02"/>
    <w:rsid w:val="004519C0"/>
    <w:rsid w:val="004519D7"/>
    <w:rsid w:val="00456FFB"/>
    <w:rsid w:val="00461258"/>
    <w:rsid w:val="00462983"/>
    <w:rsid w:val="00473A47"/>
    <w:rsid w:val="00480DC7"/>
    <w:rsid w:val="004928B3"/>
    <w:rsid w:val="00495053"/>
    <w:rsid w:val="004A12A8"/>
    <w:rsid w:val="004A32A7"/>
    <w:rsid w:val="004A4D52"/>
    <w:rsid w:val="004A710A"/>
    <w:rsid w:val="004B1081"/>
    <w:rsid w:val="004B2849"/>
    <w:rsid w:val="004B3288"/>
    <w:rsid w:val="004C11D3"/>
    <w:rsid w:val="004C471F"/>
    <w:rsid w:val="004E33AD"/>
    <w:rsid w:val="004E404E"/>
    <w:rsid w:val="004E4A63"/>
    <w:rsid w:val="004E6D30"/>
    <w:rsid w:val="004F2E0A"/>
    <w:rsid w:val="004F5054"/>
    <w:rsid w:val="004F7D9A"/>
    <w:rsid w:val="00504308"/>
    <w:rsid w:val="00514BF4"/>
    <w:rsid w:val="00531EAC"/>
    <w:rsid w:val="00534176"/>
    <w:rsid w:val="0053555C"/>
    <w:rsid w:val="0053585D"/>
    <w:rsid w:val="00537656"/>
    <w:rsid w:val="00545DD8"/>
    <w:rsid w:val="00547F8E"/>
    <w:rsid w:val="0055295A"/>
    <w:rsid w:val="00555A52"/>
    <w:rsid w:val="00574130"/>
    <w:rsid w:val="00581180"/>
    <w:rsid w:val="005822D3"/>
    <w:rsid w:val="005851F3"/>
    <w:rsid w:val="00591B8F"/>
    <w:rsid w:val="00593481"/>
    <w:rsid w:val="005965D3"/>
    <w:rsid w:val="005B5813"/>
    <w:rsid w:val="005C5E7B"/>
    <w:rsid w:val="005D0B0C"/>
    <w:rsid w:val="005D1D5F"/>
    <w:rsid w:val="005D34B6"/>
    <w:rsid w:val="005D6EBA"/>
    <w:rsid w:val="005E03FA"/>
    <w:rsid w:val="005F093E"/>
    <w:rsid w:val="005F348A"/>
    <w:rsid w:val="00601157"/>
    <w:rsid w:val="00610520"/>
    <w:rsid w:val="00623A81"/>
    <w:rsid w:val="00647EAC"/>
    <w:rsid w:val="006568AE"/>
    <w:rsid w:val="00663350"/>
    <w:rsid w:val="006640DF"/>
    <w:rsid w:val="006708FA"/>
    <w:rsid w:val="00684AAB"/>
    <w:rsid w:val="0069651D"/>
    <w:rsid w:val="00696D1D"/>
    <w:rsid w:val="006B4152"/>
    <w:rsid w:val="006B6015"/>
    <w:rsid w:val="006C14F9"/>
    <w:rsid w:val="006C5BE6"/>
    <w:rsid w:val="006C6674"/>
    <w:rsid w:val="006E21C1"/>
    <w:rsid w:val="006E2997"/>
    <w:rsid w:val="006E7DF0"/>
    <w:rsid w:val="006F22A8"/>
    <w:rsid w:val="006F2BB1"/>
    <w:rsid w:val="006F68E9"/>
    <w:rsid w:val="00705B7E"/>
    <w:rsid w:val="0072494E"/>
    <w:rsid w:val="00725BD0"/>
    <w:rsid w:val="00733596"/>
    <w:rsid w:val="00741875"/>
    <w:rsid w:val="00742C12"/>
    <w:rsid w:val="00745E0C"/>
    <w:rsid w:val="00753FAE"/>
    <w:rsid w:val="00755A1F"/>
    <w:rsid w:val="00761ACB"/>
    <w:rsid w:val="007718A9"/>
    <w:rsid w:val="00772F67"/>
    <w:rsid w:val="00783AA5"/>
    <w:rsid w:val="00796427"/>
    <w:rsid w:val="00797958"/>
    <w:rsid w:val="007A099B"/>
    <w:rsid w:val="007A6A6D"/>
    <w:rsid w:val="007B045F"/>
    <w:rsid w:val="007B0578"/>
    <w:rsid w:val="007C2C54"/>
    <w:rsid w:val="007E063F"/>
    <w:rsid w:val="007E4983"/>
    <w:rsid w:val="007F0CA8"/>
    <w:rsid w:val="007F30D2"/>
    <w:rsid w:val="007F4C06"/>
    <w:rsid w:val="007F6690"/>
    <w:rsid w:val="008069EA"/>
    <w:rsid w:val="00807F56"/>
    <w:rsid w:val="008105FD"/>
    <w:rsid w:val="00831AB1"/>
    <w:rsid w:val="00831CEF"/>
    <w:rsid w:val="008414AE"/>
    <w:rsid w:val="00851E32"/>
    <w:rsid w:val="008709C7"/>
    <w:rsid w:val="00874742"/>
    <w:rsid w:val="008805CA"/>
    <w:rsid w:val="008A367D"/>
    <w:rsid w:val="008A3F91"/>
    <w:rsid w:val="008C1091"/>
    <w:rsid w:val="008D1DDA"/>
    <w:rsid w:val="008D53E0"/>
    <w:rsid w:val="008D544A"/>
    <w:rsid w:val="008E0CAB"/>
    <w:rsid w:val="008E4E88"/>
    <w:rsid w:val="008E509C"/>
    <w:rsid w:val="008E6329"/>
    <w:rsid w:val="008F1C55"/>
    <w:rsid w:val="00911EF5"/>
    <w:rsid w:val="009165F9"/>
    <w:rsid w:val="009211E1"/>
    <w:rsid w:val="00925C1D"/>
    <w:rsid w:val="00926AB5"/>
    <w:rsid w:val="00930536"/>
    <w:rsid w:val="009447B6"/>
    <w:rsid w:val="00944D51"/>
    <w:rsid w:val="00945567"/>
    <w:rsid w:val="009455CC"/>
    <w:rsid w:val="00961303"/>
    <w:rsid w:val="00965C13"/>
    <w:rsid w:val="009721E4"/>
    <w:rsid w:val="00992C53"/>
    <w:rsid w:val="009A41F7"/>
    <w:rsid w:val="009A65AE"/>
    <w:rsid w:val="009B1CB6"/>
    <w:rsid w:val="009B41A1"/>
    <w:rsid w:val="009B64A5"/>
    <w:rsid w:val="009C441E"/>
    <w:rsid w:val="009D5943"/>
    <w:rsid w:val="009E3185"/>
    <w:rsid w:val="009E71F8"/>
    <w:rsid w:val="009F19F1"/>
    <w:rsid w:val="009F383A"/>
    <w:rsid w:val="009F5182"/>
    <w:rsid w:val="009F543A"/>
    <w:rsid w:val="00A012C0"/>
    <w:rsid w:val="00A02E05"/>
    <w:rsid w:val="00A03AE7"/>
    <w:rsid w:val="00A06E07"/>
    <w:rsid w:val="00A06E43"/>
    <w:rsid w:val="00A115E1"/>
    <w:rsid w:val="00A1686C"/>
    <w:rsid w:val="00A26BCD"/>
    <w:rsid w:val="00A50FDE"/>
    <w:rsid w:val="00A5405A"/>
    <w:rsid w:val="00A614A3"/>
    <w:rsid w:val="00A71664"/>
    <w:rsid w:val="00A80DBA"/>
    <w:rsid w:val="00A8705D"/>
    <w:rsid w:val="00A87AEB"/>
    <w:rsid w:val="00A9404E"/>
    <w:rsid w:val="00AA6104"/>
    <w:rsid w:val="00AA7CE9"/>
    <w:rsid w:val="00AB6969"/>
    <w:rsid w:val="00AB792B"/>
    <w:rsid w:val="00AD1214"/>
    <w:rsid w:val="00AD241A"/>
    <w:rsid w:val="00AE11D4"/>
    <w:rsid w:val="00AE5A8A"/>
    <w:rsid w:val="00B11852"/>
    <w:rsid w:val="00B22965"/>
    <w:rsid w:val="00B22B8D"/>
    <w:rsid w:val="00B23C5B"/>
    <w:rsid w:val="00B33E2E"/>
    <w:rsid w:val="00B3765B"/>
    <w:rsid w:val="00B44BD6"/>
    <w:rsid w:val="00B44C0A"/>
    <w:rsid w:val="00B47F76"/>
    <w:rsid w:val="00B521A2"/>
    <w:rsid w:val="00B56DC6"/>
    <w:rsid w:val="00B6253D"/>
    <w:rsid w:val="00B65A83"/>
    <w:rsid w:val="00B71692"/>
    <w:rsid w:val="00B81988"/>
    <w:rsid w:val="00B90E23"/>
    <w:rsid w:val="00B9365B"/>
    <w:rsid w:val="00B96FCC"/>
    <w:rsid w:val="00BB05C0"/>
    <w:rsid w:val="00BB2710"/>
    <w:rsid w:val="00BD0F06"/>
    <w:rsid w:val="00BD0F69"/>
    <w:rsid w:val="00BD2343"/>
    <w:rsid w:val="00BD4ED5"/>
    <w:rsid w:val="00BE75BF"/>
    <w:rsid w:val="00BF1D43"/>
    <w:rsid w:val="00BF3919"/>
    <w:rsid w:val="00C070A1"/>
    <w:rsid w:val="00C17E14"/>
    <w:rsid w:val="00C25F06"/>
    <w:rsid w:val="00C278DD"/>
    <w:rsid w:val="00C279F8"/>
    <w:rsid w:val="00C35C57"/>
    <w:rsid w:val="00C5086F"/>
    <w:rsid w:val="00C7360F"/>
    <w:rsid w:val="00C81DD7"/>
    <w:rsid w:val="00C9198A"/>
    <w:rsid w:val="00C91FC7"/>
    <w:rsid w:val="00CA4A72"/>
    <w:rsid w:val="00CA5847"/>
    <w:rsid w:val="00CA714F"/>
    <w:rsid w:val="00CB7617"/>
    <w:rsid w:val="00CC37A1"/>
    <w:rsid w:val="00CC5A54"/>
    <w:rsid w:val="00CE0905"/>
    <w:rsid w:val="00CE180E"/>
    <w:rsid w:val="00CF1F1E"/>
    <w:rsid w:val="00CF4E0B"/>
    <w:rsid w:val="00CF683C"/>
    <w:rsid w:val="00D04941"/>
    <w:rsid w:val="00D07A34"/>
    <w:rsid w:val="00D1113E"/>
    <w:rsid w:val="00D11AB5"/>
    <w:rsid w:val="00D13A3D"/>
    <w:rsid w:val="00D242A4"/>
    <w:rsid w:val="00D25864"/>
    <w:rsid w:val="00D441CA"/>
    <w:rsid w:val="00D46396"/>
    <w:rsid w:val="00D4659D"/>
    <w:rsid w:val="00D52190"/>
    <w:rsid w:val="00D52F76"/>
    <w:rsid w:val="00D5454A"/>
    <w:rsid w:val="00D5457C"/>
    <w:rsid w:val="00D5472F"/>
    <w:rsid w:val="00D62203"/>
    <w:rsid w:val="00D83BAB"/>
    <w:rsid w:val="00D85EDB"/>
    <w:rsid w:val="00D95190"/>
    <w:rsid w:val="00DA0F70"/>
    <w:rsid w:val="00DA2719"/>
    <w:rsid w:val="00DB519B"/>
    <w:rsid w:val="00DD1EF8"/>
    <w:rsid w:val="00DE2ED2"/>
    <w:rsid w:val="00DE584A"/>
    <w:rsid w:val="00DE7BCA"/>
    <w:rsid w:val="00DF2296"/>
    <w:rsid w:val="00DF4C2D"/>
    <w:rsid w:val="00E0004B"/>
    <w:rsid w:val="00E004D3"/>
    <w:rsid w:val="00E12480"/>
    <w:rsid w:val="00E34DA8"/>
    <w:rsid w:val="00E3671E"/>
    <w:rsid w:val="00E514CF"/>
    <w:rsid w:val="00E55715"/>
    <w:rsid w:val="00E75F90"/>
    <w:rsid w:val="00E83B8F"/>
    <w:rsid w:val="00E84FB5"/>
    <w:rsid w:val="00E91135"/>
    <w:rsid w:val="00EA0CE0"/>
    <w:rsid w:val="00EA68F4"/>
    <w:rsid w:val="00EC5809"/>
    <w:rsid w:val="00ED0EAD"/>
    <w:rsid w:val="00ED1F28"/>
    <w:rsid w:val="00ED656A"/>
    <w:rsid w:val="00EF5D31"/>
    <w:rsid w:val="00F00379"/>
    <w:rsid w:val="00F11254"/>
    <w:rsid w:val="00F1586B"/>
    <w:rsid w:val="00F36FD0"/>
    <w:rsid w:val="00F41CFB"/>
    <w:rsid w:val="00F70EEA"/>
    <w:rsid w:val="00F81990"/>
    <w:rsid w:val="00F819B0"/>
    <w:rsid w:val="00F828CD"/>
    <w:rsid w:val="00F96A75"/>
    <w:rsid w:val="00FB5AE2"/>
    <w:rsid w:val="00FB6CB8"/>
    <w:rsid w:val="00FB6F26"/>
    <w:rsid w:val="00FC18B7"/>
    <w:rsid w:val="00FC632A"/>
    <w:rsid w:val="00FD3474"/>
    <w:rsid w:val="00FE06E2"/>
    <w:rsid w:val="00FE3554"/>
    <w:rsid w:val="00FF2989"/>
    <w:rsid w:val="0112FDAE"/>
    <w:rsid w:val="021F6669"/>
    <w:rsid w:val="024052EF"/>
    <w:rsid w:val="02858A82"/>
    <w:rsid w:val="02D62F39"/>
    <w:rsid w:val="03527ECF"/>
    <w:rsid w:val="037D5834"/>
    <w:rsid w:val="03DA3E08"/>
    <w:rsid w:val="03FD2E1A"/>
    <w:rsid w:val="0482F137"/>
    <w:rsid w:val="0524B440"/>
    <w:rsid w:val="05E3F398"/>
    <w:rsid w:val="068803FA"/>
    <w:rsid w:val="07B57404"/>
    <w:rsid w:val="085D41CB"/>
    <w:rsid w:val="093BBDF4"/>
    <w:rsid w:val="09566CB8"/>
    <w:rsid w:val="098E6D25"/>
    <w:rsid w:val="09A4437E"/>
    <w:rsid w:val="0BC8B94A"/>
    <w:rsid w:val="0C165403"/>
    <w:rsid w:val="0C650CCE"/>
    <w:rsid w:val="0E6C2D57"/>
    <w:rsid w:val="0ECCD961"/>
    <w:rsid w:val="0EE56295"/>
    <w:rsid w:val="0F568AB7"/>
    <w:rsid w:val="0FAFBBC9"/>
    <w:rsid w:val="1091A49B"/>
    <w:rsid w:val="1092D6D1"/>
    <w:rsid w:val="10AD17F7"/>
    <w:rsid w:val="110EBD00"/>
    <w:rsid w:val="1181FA59"/>
    <w:rsid w:val="1220AE68"/>
    <w:rsid w:val="122205F8"/>
    <w:rsid w:val="124C131E"/>
    <w:rsid w:val="127D6132"/>
    <w:rsid w:val="12ACA293"/>
    <w:rsid w:val="12E0A5BB"/>
    <w:rsid w:val="131B5885"/>
    <w:rsid w:val="13B91875"/>
    <w:rsid w:val="13CF9661"/>
    <w:rsid w:val="13DADABD"/>
    <w:rsid w:val="141FD50C"/>
    <w:rsid w:val="14B3B999"/>
    <w:rsid w:val="1502437A"/>
    <w:rsid w:val="15344D8E"/>
    <w:rsid w:val="1569DB41"/>
    <w:rsid w:val="16AE9F3B"/>
    <w:rsid w:val="171CB6EB"/>
    <w:rsid w:val="1739F234"/>
    <w:rsid w:val="18A612CC"/>
    <w:rsid w:val="1A2DCCA0"/>
    <w:rsid w:val="1B3CB92B"/>
    <w:rsid w:val="1B86D924"/>
    <w:rsid w:val="1BCBD27A"/>
    <w:rsid w:val="1C954079"/>
    <w:rsid w:val="1D64F402"/>
    <w:rsid w:val="1D8034E0"/>
    <w:rsid w:val="1DB2FE7B"/>
    <w:rsid w:val="1DD5625B"/>
    <w:rsid w:val="1E627017"/>
    <w:rsid w:val="1FC2E85C"/>
    <w:rsid w:val="1FF060AA"/>
    <w:rsid w:val="200659F8"/>
    <w:rsid w:val="20705C61"/>
    <w:rsid w:val="219B043F"/>
    <w:rsid w:val="21A61AD0"/>
    <w:rsid w:val="2204E836"/>
    <w:rsid w:val="224A3E96"/>
    <w:rsid w:val="2256210F"/>
    <w:rsid w:val="229A47AC"/>
    <w:rsid w:val="22E2E458"/>
    <w:rsid w:val="2303CF9D"/>
    <w:rsid w:val="231B87D4"/>
    <w:rsid w:val="23CA8F77"/>
    <w:rsid w:val="23FBBF2C"/>
    <w:rsid w:val="24A4F4F2"/>
    <w:rsid w:val="24E363CF"/>
    <w:rsid w:val="271A2544"/>
    <w:rsid w:val="27201492"/>
    <w:rsid w:val="2833B8A7"/>
    <w:rsid w:val="28414724"/>
    <w:rsid w:val="28963130"/>
    <w:rsid w:val="28B4B58B"/>
    <w:rsid w:val="2978ADD4"/>
    <w:rsid w:val="29C31A06"/>
    <w:rsid w:val="2A1ECDE2"/>
    <w:rsid w:val="2A2C7492"/>
    <w:rsid w:val="2B5760C9"/>
    <w:rsid w:val="2B896C93"/>
    <w:rsid w:val="2C1D9318"/>
    <w:rsid w:val="2DC4350A"/>
    <w:rsid w:val="2E12B2C4"/>
    <w:rsid w:val="2E3EE7F5"/>
    <w:rsid w:val="2E9CD5B4"/>
    <w:rsid w:val="2FDC0F48"/>
    <w:rsid w:val="304D6ACE"/>
    <w:rsid w:val="30F6128D"/>
    <w:rsid w:val="31D151B5"/>
    <w:rsid w:val="3252255C"/>
    <w:rsid w:val="32AC8512"/>
    <w:rsid w:val="32D0E318"/>
    <w:rsid w:val="32D177B8"/>
    <w:rsid w:val="32DB692A"/>
    <w:rsid w:val="3413DC19"/>
    <w:rsid w:val="35543D6D"/>
    <w:rsid w:val="35809E56"/>
    <w:rsid w:val="36AEFD33"/>
    <w:rsid w:val="37643710"/>
    <w:rsid w:val="38145FD3"/>
    <w:rsid w:val="38513D4C"/>
    <w:rsid w:val="397DB68A"/>
    <w:rsid w:val="39E5F6FA"/>
    <w:rsid w:val="3A093A30"/>
    <w:rsid w:val="3A3CDCB7"/>
    <w:rsid w:val="3A55FD4D"/>
    <w:rsid w:val="3A5AEC6F"/>
    <w:rsid w:val="3A7AAF8A"/>
    <w:rsid w:val="3A7D471B"/>
    <w:rsid w:val="3B34E336"/>
    <w:rsid w:val="3BCAE2C4"/>
    <w:rsid w:val="3C1A44A5"/>
    <w:rsid w:val="3C4F162F"/>
    <w:rsid w:val="3C685A09"/>
    <w:rsid w:val="3D3FE788"/>
    <w:rsid w:val="3E6A7FB0"/>
    <w:rsid w:val="403279E2"/>
    <w:rsid w:val="40F69623"/>
    <w:rsid w:val="41DECE93"/>
    <w:rsid w:val="42502EBF"/>
    <w:rsid w:val="427D0303"/>
    <w:rsid w:val="42DC922E"/>
    <w:rsid w:val="437E0F18"/>
    <w:rsid w:val="43A25741"/>
    <w:rsid w:val="43E0332C"/>
    <w:rsid w:val="43EEA7F2"/>
    <w:rsid w:val="44325C0A"/>
    <w:rsid w:val="44342160"/>
    <w:rsid w:val="443D2FA1"/>
    <w:rsid w:val="44821F76"/>
    <w:rsid w:val="44B17476"/>
    <w:rsid w:val="451BD0F1"/>
    <w:rsid w:val="451EE49C"/>
    <w:rsid w:val="45EDCD7B"/>
    <w:rsid w:val="46C8280D"/>
    <w:rsid w:val="487083D1"/>
    <w:rsid w:val="489AA515"/>
    <w:rsid w:val="490B40CC"/>
    <w:rsid w:val="49CF78DF"/>
    <w:rsid w:val="49DADD89"/>
    <w:rsid w:val="49E8DFF9"/>
    <w:rsid w:val="4A4ADD91"/>
    <w:rsid w:val="4AA75E64"/>
    <w:rsid w:val="4ABB835C"/>
    <w:rsid w:val="4B9BA892"/>
    <w:rsid w:val="4BC268A7"/>
    <w:rsid w:val="4C0A1A16"/>
    <w:rsid w:val="4C1CDE01"/>
    <w:rsid w:val="4C6B2576"/>
    <w:rsid w:val="4C7254EC"/>
    <w:rsid w:val="4CF78C05"/>
    <w:rsid w:val="4DD65522"/>
    <w:rsid w:val="4DF41F32"/>
    <w:rsid w:val="4E89A596"/>
    <w:rsid w:val="4EC71DEA"/>
    <w:rsid w:val="4F80EED3"/>
    <w:rsid w:val="50289E7E"/>
    <w:rsid w:val="503C2A69"/>
    <w:rsid w:val="504AF3A8"/>
    <w:rsid w:val="506BAB08"/>
    <w:rsid w:val="5172F83A"/>
    <w:rsid w:val="51C1B912"/>
    <w:rsid w:val="5257F427"/>
    <w:rsid w:val="52A960F0"/>
    <w:rsid w:val="52F9E3C7"/>
    <w:rsid w:val="5344EE1B"/>
    <w:rsid w:val="5360DF00"/>
    <w:rsid w:val="538D537C"/>
    <w:rsid w:val="53B730F7"/>
    <w:rsid w:val="54022688"/>
    <w:rsid w:val="5418AFE6"/>
    <w:rsid w:val="5483DC2D"/>
    <w:rsid w:val="5492A6B2"/>
    <w:rsid w:val="5717D382"/>
    <w:rsid w:val="57B0099F"/>
    <w:rsid w:val="57E89AF4"/>
    <w:rsid w:val="57FC5EF4"/>
    <w:rsid w:val="5A2AB6B6"/>
    <w:rsid w:val="5AA4DB8A"/>
    <w:rsid w:val="5ABBC0E1"/>
    <w:rsid w:val="5B02A422"/>
    <w:rsid w:val="5B0AEA27"/>
    <w:rsid w:val="5B405D6A"/>
    <w:rsid w:val="5C5A323C"/>
    <w:rsid w:val="5C71EA80"/>
    <w:rsid w:val="5C722129"/>
    <w:rsid w:val="5D09B920"/>
    <w:rsid w:val="5D3B993E"/>
    <w:rsid w:val="5D4B3DEB"/>
    <w:rsid w:val="5D6388E8"/>
    <w:rsid w:val="5D7063CC"/>
    <w:rsid w:val="5E27DC35"/>
    <w:rsid w:val="5EEFD381"/>
    <w:rsid w:val="5F1A1DB6"/>
    <w:rsid w:val="5F72F429"/>
    <w:rsid w:val="611863E0"/>
    <w:rsid w:val="61207718"/>
    <w:rsid w:val="61555CC8"/>
    <w:rsid w:val="6177ADF9"/>
    <w:rsid w:val="6204116A"/>
    <w:rsid w:val="628457F0"/>
    <w:rsid w:val="635543D4"/>
    <w:rsid w:val="6411823D"/>
    <w:rsid w:val="646C24D6"/>
    <w:rsid w:val="64C64B63"/>
    <w:rsid w:val="65F40B2C"/>
    <w:rsid w:val="66190883"/>
    <w:rsid w:val="66870A0D"/>
    <w:rsid w:val="66C62A2A"/>
    <w:rsid w:val="672DA99E"/>
    <w:rsid w:val="675C3A48"/>
    <w:rsid w:val="69601362"/>
    <w:rsid w:val="699FFC84"/>
    <w:rsid w:val="6AA2F147"/>
    <w:rsid w:val="6B2F2826"/>
    <w:rsid w:val="6B423283"/>
    <w:rsid w:val="6B6D1557"/>
    <w:rsid w:val="6BA214E5"/>
    <w:rsid w:val="6BFDF7DF"/>
    <w:rsid w:val="6C7D0C3C"/>
    <w:rsid w:val="6E770FD8"/>
    <w:rsid w:val="6FD5CB81"/>
    <w:rsid w:val="6FF7AD7B"/>
    <w:rsid w:val="704A21DE"/>
    <w:rsid w:val="707F3A32"/>
    <w:rsid w:val="70D37A90"/>
    <w:rsid w:val="7161340E"/>
    <w:rsid w:val="71722528"/>
    <w:rsid w:val="7204FC91"/>
    <w:rsid w:val="7228D18A"/>
    <w:rsid w:val="724BAB59"/>
    <w:rsid w:val="73490FEE"/>
    <w:rsid w:val="73D4CF76"/>
    <w:rsid w:val="75424594"/>
    <w:rsid w:val="75E679B9"/>
    <w:rsid w:val="762EA449"/>
    <w:rsid w:val="76441C1B"/>
    <w:rsid w:val="76AE6A8C"/>
    <w:rsid w:val="7743ED18"/>
    <w:rsid w:val="775D4A6D"/>
    <w:rsid w:val="78C6F6D2"/>
    <w:rsid w:val="7A9A3AA2"/>
    <w:rsid w:val="7AB4D9D3"/>
    <w:rsid w:val="7B56A052"/>
    <w:rsid w:val="7B63D35B"/>
    <w:rsid w:val="7BAB39EB"/>
    <w:rsid w:val="7C1AD255"/>
    <w:rsid w:val="7C659EBE"/>
    <w:rsid w:val="7C7015BD"/>
    <w:rsid w:val="7E4B901F"/>
    <w:rsid w:val="7F14A053"/>
    <w:rsid w:val="7F4B6200"/>
    <w:rsid w:val="7F6590D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C4350A"/>
  <w15:chartTrackingRefBased/>
  <w15:docId w15:val="{3C317744-9ECF-486E-9A9B-1189300E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3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Subtitle">
    <w:name w:val="Subtitle"/>
    <w:basedOn w:val="Normal"/>
    <w:next w:val="Normal"/>
    <w:link w:val="SubtitleChar"/>
    <w:uiPriority w:val="11"/>
    <w:qFormat/>
    <w:rsid w:val="0041353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1353A"/>
    <w:rPr>
      <w:rFonts w:eastAsiaTheme="minorEastAsia"/>
      <w:color w:val="5A5A5A" w:themeColor="text1" w:themeTint="A5"/>
      <w:spacing w:val="15"/>
    </w:rPr>
  </w:style>
  <w:style w:type="paragraph" w:styleId="Title">
    <w:name w:val="Title"/>
    <w:basedOn w:val="Normal"/>
    <w:next w:val="Normal"/>
    <w:link w:val="TitleChar"/>
    <w:uiPriority w:val="10"/>
    <w:qFormat/>
    <w:rsid w:val="004135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53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3E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81648"/>
    <w:pPr>
      <w:ind w:left="720"/>
      <w:contextualSpacing/>
    </w:pPr>
  </w:style>
  <w:style w:type="character" w:customStyle="1" w:styleId="normaltextrun">
    <w:name w:val="normaltextrun"/>
    <w:basedOn w:val="DefaultParagraphFont"/>
    <w:uiPriority w:val="1"/>
    <w:rsid w:val="006C5BE6"/>
  </w:style>
  <w:style w:type="paragraph" w:styleId="CommentSubject">
    <w:name w:val="annotation subject"/>
    <w:basedOn w:val="CommentText"/>
    <w:next w:val="CommentText"/>
    <w:link w:val="CommentSubjectChar"/>
    <w:uiPriority w:val="99"/>
    <w:semiHidden/>
    <w:unhideWhenUsed/>
    <w:rsid w:val="00504308"/>
    <w:rPr>
      <w:b/>
      <w:bCs/>
    </w:rPr>
  </w:style>
  <w:style w:type="character" w:customStyle="1" w:styleId="CommentSubjectChar">
    <w:name w:val="Comment Subject Char"/>
    <w:basedOn w:val="CommentTextChar"/>
    <w:link w:val="CommentSubject"/>
    <w:uiPriority w:val="99"/>
    <w:semiHidden/>
    <w:rsid w:val="00504308"/>
    <w:rPr>
      <w:b/>
      <w:bCs/>
      <w:sz w:val="20"/>
      <w:szCs w:val="20"/>
    </w:rPr>
  </w:style>
  <w:style w:type="table" w:styleId="TableGrid">
    <w:name w:val="Table Grid"/>
    <w:basedOn w:val="TableNormal"/>
    <w:uiPriority w:val="59"/>
    <w:rsid w:val="007335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rsid w:val="0073359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537656"/>
    <w:pPr>
      <w:spacing w:after="0" w:line="240" w:lineRule="auto"/>
    </w:pPr>
  </w:style>
  <w:style w:type="character" w:styleId="Hyperlink">
    <w:name w:val="Hyperlink"/>
    <w:rsid w:val="009B64A5"/>
    <w:rPr>
      <w:color w:val="0000FF"/>
      <w:u w:val="single"/>
    </w:rPr>
  </w:style>
  <w:style w:type="paragraph" w:customStyle="1" w:styleId="Default">
    <w:name w:val="Default"/>
    <w:rsid w:val="003C4C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2024-13865"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7B1F9C5653F47B6990116978E28B4" ma:contentTypeVersion="6" ma:contentTypeDescription="Create a new document." ma:contentTypeScope="" ma:versionID="2d48dd5c1630770d9fa8575b4226de60">
  <xsd:schema xmlns:xsd="http://www.w3.org/2001/XMLSchema" xmlns:xs="http://www.w3.org/2001/XMLSchema" xmlns:p="http://schemas.microsoft.com/office/2006/metadata/properties" xmlns:ns2="dbb6e81e-6d27-4b06-96f4-00eb39bd1984" xmlns:ns3="1d2040a8-051f-4312-97c4-228835cbdc01" targetNamespace="http://schemas.microsoft.com/office/2006/metadata/properties" ma:root="true" ma:fieldsID="5fc054fd578c8b8082c1122fbbc0498f" ns2:_="" ns3:_="">
    <xsd:import namespace="dbb6e81e-6d27-4b06-96f4-00eb39bd1984"/>
    <xsd:import namespace="1d2040a8-051f-4312-97c4-228835cbdc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6e81e-6d27-4b06-96f4-00eb39bd1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040a8-051f-4312-97c4-228835cbdc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4BBF6-AD0A-4687-B9B4-AD75C9CBD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6e81e-6d27-4b06-96f4-00eb39bd1984"/>
    <ds:schemaRef ds:uri="1d2040a8-051f-4312-97c4-228835cbd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67746-BB2B-4DED-B4B2-C385A23EF8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EFA757-DEE9-4E78-9EFD-EB4C4A1AA714}">
  <ds:schemaRefs>
    <ds:schemaRef ds:uri="http://schemas.openxmlformats.org/officeDocument/2006/bibliography"/>
  </ds:schemaRefs>
</ds:datastoreItem>
</file>

<file path=customXml/itemProps4.xml><?xml version="1.0" encoding="utf-8"?>
<ds:datastoreItem xmlns:ds="http://schemas.openxmlformats.org/officeDocument/2006/customXml" ds:itemID="{CAFA42D7-8E36-4B88-B79F-E5438E326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Arias, Caroline (ACF)</dc:creator>
  <cp:lastModifiedBy>ACF PRA</cp:lastModifiedBy>
  <cp:revision>2</cp:revision>
  <dcterms:created xsi:type="dcterms:W3CDTF">2024-11-14T20:09:00Z</dcterms:created>
  <dcterms:modified xsi:type="dcterms:W3CDTF">2024-11-14T20:09:00Z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0x010100C237B1F9C5653F47B6990116978E28B4</vt:lpwstr>
  </property>
</Properties>
</file>