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6830" w:rsidP="00DA588B" w14:paraId="3DB625D3" w14:textId="10FFDD94">
      <w:pPr>
        <w:pStyle w:val="Title"/>
      </w:pPr>
      <w:r>
        <w:t xml:space="preserve">Work Outcomes of TANF </w:t>
      </w:r>
      <w:r>
        <w:t>Exiters</w:t>
      </w:r>
      <w:r>
        <w:t xml:space="preserve"> Report</w:t>
      </w:r>
      <w:r w:rsidR="4CD604E2">
        <w:t xml:space="preserve"> Instructions</w:t>
      </w:r>
    </w:p>
    <w:p w:rsidR="004627E7" w:rsidP="093073B9" w14:paraId="2886DA35" w14:textId="4DCD1B22">
      <w:pPr>
        <w:rPr>
          <w:rFonts w:ascii="Calibri" w:eastAsia="Calibri" w:hAnsi="Calibri" w:cs="Calibri"/>
          <w:color w:val="000000" w:themeColor="text1"/>
          <w:sz w:val="20"/>
          <w:szCs w:val="20"/>
        </w:rPr>
      </w:pPr>
      <w:r w:rsidRPr="093073B9">
        <w:rPr>
          <w:rFonts w:ascii="Calibri" w:eastAsia="Calibri" w:hAnsi="Calibri" w:cs="Calibri"/>
          <w:i/>
          <w:iCs/>
          <w:color w:val="000000" w:themeColor="text1"/>
          <w:sz w:val="20"/>
          <w:szCs w:val="20"/>
        </w:rPr>
        <w:t xml:space="preserve">PAPERWORK REDUCTION ACT OF 1995 (Pub. L. 104-13) STATEMENT OF PUBLIC BURDEN: Through this information collection, ACF is gathering information to assess and evaluate whether a State TANF program meets statutorily required participation rates. Public reporting burden for this collection of information is estimated to average </w:t>
      </w:r>
      <w:r w:rsidR="00CE0154">
        <w:rPr>
          <w:rFonts w:ascii="Calibri" w:eastAsia="Calibri" w:hAnsi="Calibri" w:cs="Calibri"/>
          <w:i/>
          <w:iCs/>
          <w:color w:val="000000" w:themeColor="text1"/>
          <w:sz w:val="20"/>
          <w:szCs w:val="20"/>
        </w:rPr>
        <w:t>64</w:t>
      </w:r>
      <w:r w:rsidRPr="093073B9" w:rsidR="00CE0154">
        <w:rPr>
          <w:rFonts w:ascii="Calibri" w:eastAsia="Calibri" w:hAnsi="Calibri" w:cs="Calibri"/>
          <w:i/>
          <w:iCs/>
          <w:color w:val="000000" w:themeColor="text1"/>
          <w:sz w:val="20"/>
          <w:szCs w:val="20"/>
        </w:rPr>
        <w:t xml:space="preserve"> </w:t>
      </w:r>
      <w:r w:rsidRPr="093073B9">
        <w:rPr>
          <w:rFonts w:ascii="Calibri" w:eastAsia="Calibri" w:hAnsi="Calibri" w:cs="Calibri"/>
          <w:i/>
          <w:iCs/>
          <w:color w:val="000000" w:themeColor="text1"/>
          <w:sz w:val="20"/>
          <w:szCs w:val="20"/>
        </w:rPr>
        <w:t xml:space="preserve">hours per grantee per year, including the time for reviewing instructions, </w:t>
      </w:r>
      <w:r w:rsidRPr="093073B9">
        <w:rPr>
          <w:rFonts w:ascii="Calibri" w:eastAsia="Calibri" w:hAnsi="Calibri" w:cs="Calibri"/>
          <w:i/>
          <w:iCs/>
          <w:color w:val="000000" w:themeColor="text1"/>
          <w:sz w:val="20"/>
          <w:szCs w:val="20"/>
        </w:rPr>
        <w:t>gathering</w:t>
      </w:r>
      <w:r w:rsidRPr="093073B9">
        <w:rPr>
          <w:rFonts w:ascii="Calibri" w:eastAsia="Calibri" w:hAnsi="Calibri" w:cs="Calibri"/>
          <w:i/>
          <w:iCs/>
          <w:color w:val="000000" w:themeColor="text1"/>
          <w:sz w:val="20"/>
          <w:szCs w:val="20"/>
        </w:rPr>
        <w:t xml:space="preserve"> and maintaining the data needed, and reviewing the collection of information. This is a mandatory collection of information (42 U.S.C. § 611). An agency may not conduct or sponsor, and a person is not required to respond to, a collection of information subject to the requirements of the Paperwork Reduction Act of 1995, unless it displays a currently valid OMB control number. The OMB # is </w:t>
      </w:r>
      <w:r w:rsidRPr="093073B9">
        <w:rPr>
          <w:rFonts w:ascii="Calibri" w:eastAsia="Calibri" w:hAnsi="Calibri" w:cs="Calibri"/>
          <w:i/>
          <w:iCs/>
          <w:color w:val="000000" w:themeColor="text1"/>
          <w:sz w:val="20"/>
          <w:szCs w:val="20"/>
        </w:rPr>
        <w:t>xxxx-xxxx</w:t>
      </w:r>
      <w:r w:rsidRPr="093073B9">
        <w:rPr>
          <w:rFonts w:ascii="Calibri" w:eastAsia="Calibri" w:hAnsi="Calibri" w:cs="Calibri"/>
          <w:i/>
          <w:iCs/>
          <w:color w:val="000000" w:themeColor="text1"/>
          <w:sz w:val="20"/>
          <w:szCs w:val="20"/>
        </w:rPr>
        <w:t xml:space="preserve"> and the expiration date is XX/XX/XXXX. If you have any comments on this collection of information, please contact the Office of Family Assistance by email at </w:t>
      </w:r>
      <w:hyperlink r:id="rId8">
        <w:r w:rsidRPr="093073B9">
          <w:rPr>
            <w:rStyle w:val="Hyperlink"/>
            <w:rFonts w:ascii="Calibri" w:eastAsia="Calibri" w:hAnsi="Calibri" w:cs="Calibri"/>
            <w:i/>
            <w:iCs/>
            <w:sz w:val="20"/>
            <w:szCs w:val="20"/>
          </w:rPr>
          <w:t>TANFdata@acf.hhs.gov</w:t>
        </w:r>
      </w:hyperlink>
      <w:r w:rsidRPr="093073B9">
        <w:rPr>
          <w:rFonts w:ascii="Calibri" w:eastAsia="Calibri" w:hAnsi="Calibri" w:cs="Calibri"/>
          <w:i/>
          <w:iCs/>
          <w:color w:val="000000" w:themeColor="text1"/>
          <w:sz w:val="20"/>
          <w:szCs w:val="20"/>
        </w:rPr>
        <w:t>.</w:t>
      </w:r>
    </w:p>
    <w:p w:rsidR="004627E7" w:rsidP="093073B9" w14:paraId="47B6DEED" w14:textId="11EF69CC">
      <w:pPr>
        <w:spacing w:after="140"/>
      </w:pPr>
      <w:r w:rsidRPr="093073B9">
        <w:rPr>
          <w:rFonts w:ascii="Calibri" w:eastAsia="Calibri" w:hAnsi="Calibri" w:cs="Calibri"/>
          <w:color w:val="000000" w:themeColor="text1"/>
        </w:rPr>
        <w:t xml:space="preserve">The TANF Work Outcomes Measures </w:t>
      </w:r>
      <w:hyperlink r:id="rId9">
        <w:r w:rsidRPr="093073B9">
          <w:rPr>
            <w:rStyle w:val="Hyperlink"/>
            <w:rFonts w:ascii="Calibri" w:eastAsia="Calibri" w:hAnsi="Calibri" w:cs="Calibri"/>
          </w:rPr>
          <w:t>interim final rule</w:t>
        </w:r>
      </w:hyperlink>
      <w:r w:rsidRPr="093073B9">
        <w:rPr>
          <w:rFonts w:ascii="Calibri" w:eastAsia="Calibri" w:hAnsi="Calibri" w:cs="Calibri"/>
          <w:color w:val="000000" w:themeColor="text1"/>
        </w:rPr>
        <w:t xml:space="preserve"> includes three new reporting requirements: </w:t>
      </w:r>
    </w:p>
    <w:p w:rsidR="004627E7" w:rsidP="093073B9" w14:paraId="20F4A604" w14:textId="1455BCE1">
      <w:pPr>
        <w:pStyle w:val="ListParagraph"/>
        <w:numPr>
          <w:ilvl w:val="0"/>
          <w:numId w:val="1"/>
        </w:numPr>
        <w:spacing w:after="0"/>
        <w:rPr>
          <w:rFonts w:ascii="Calibri" w:eastAsia="Calibri" w:hAnsi="Calibri" w:cs="Calibri"/>
          <w:color w:val="000000" w:themeColor="text1"/>
        </w:rPr>
      </w:pPr>
      <w:r w:rsidRPr="093073B9">
        <w:rPr>
          <w:rFonts w:ascii="Calibri" w:eastAsia="Calibri" w:hAnsi="Calibri" w:cs="Calibri"/>
          <w:color w:val="000000" w:themeColor="text1"/>
        </w:rPr>
        <w:t xml:space="preserve">Work Outcomes of TANF </w:t>
      </w:r>
      <w:r w:rsidRPr="093073B9">
        <w:rPr>
          <w:rFonts w:ascii="Calibri" w:eastAsia="Calibri" w:hAnsi="Calibri" w:cs="Calibri"/>
          <w:color w:val="000000" w:themeColor="text1"/>
        </w:rPr>
        <w:t>Exiters</w:t>
      </w:r>
      <w:r w:rsidRPr="093073B9">
        <w:rPr>
          <w:rFonts w:ascii="Calibri" w:eastAsia="Calibri" w:hAnsi="Calibri" w:cs="Calibri"/>
          <w:color w:val="000000" w:themeColor="text1"/>
        </w:rPr>
        <w:t xml:space="preserve"> Report </w:t>
      </w:r>
    </w:p>
    <w:p w:rsidR="004627E7" w:rsidP="093073B9" w14:paraId="5048550C" w14:textId="342FF6CC">
      <w:pPr>
        <w:pStyle w:val="ListParagraph"/>
        <w:numPr>
          <w:ilvl w:val="0"/>
          <w:numId w:val="1"/>
        </w:numPr>
        <w:spacing w:after="0"/>
        <w:rPr>
          <w:rFonts w:ascii="Calibri" w:eastAsia="Calibri" w:hAnsi="Calibri" w:cs="Calibri"/>
          <w:color w:val="000000" w:themeColor="text1"/>
        </w:rPr>
      </w:pPr>
      <w:r w:rsidRPr="093073B9">
        <w:rPr>
          <w:rFonts w:ascii="Calibri" w:eastAsia="Calibri" w:hAnsi="Calibri" w:cs="Calibri"/>
          <w:color w:val="000000" w:themeColor="text1"/>
        </w:rPr>
        <w:t xml:space="preserve">Secondary School Diploma or its Recognized Equivalent Attainment Rate </w:t>
      </w:r>
    </w:p>
    <w:p w:rsidR="004627E7" w:rsidP="093073B9" w14:paraId="2FB2EB31" w14:textId="1DCD3025">
      <w:pPr>
        <w:pStyle w:val="ListParagraph"/>
        <w:numPr>
          <w:ilvl w:val="0"/>
          <w:numId w:val="1"/>
        </w:numPr>
        <w:spacing w:after="0"/>
        <w:rPr>
          <w:rFonts w:ascii="Calibri" w:eastAsia="Calibri" w:hAnsi="Calibri" w:cs="Calibri"/>
          <w:color w:val="000000" w:themeColor="text1"/>
        </w:rPr>
      </w:pPr>
      <w:r w:rsidRPr="093073B9">
        <w:rPr>
          <w:rFonts w:ascii="Calibri" w:eastAsia="Calibri" w:hAnsi="Calibri" w:cs="Calibri"/>
          <w:color w:val="000000" w:themeColor="text1"/>
        </w:rPr>
        <w:t xml:space="preserve">Supplemental Work Outcomes Report </w:t>
      </w:r>
    </w:p>
    <w:p w:rsidR="004627E7" w:rsidP="093073B9" w14:paraId="3F8C1343" w14:textId="0450D534">
      <w:pPr>
        <w:spacing w:after="0"/>
        <w:rPr>
          <w:rFonts w:ascii="Calibri" w:eastAsia="Calibri" w:hAnsi="Calibri" w:cs="Calibri"/>
          <w:color w:val="000000" w:themeColor="text1"/>
        </w:rPr>
      </w:pPr>
    </w:p>
    <w:p w:rsidR="004627E7" w:rsidP="093073B9" w14:paraId="54415F79" w14:textId="5C079A5B">
      <w:pPr>
        <w:pStyle w:val="Heading1"/>
        <w:spacing w:after="160" w:line="259" w:lineRule="auto"/>
        <w:rPr>
          <w:rFonts w:ascii="Calibri" w:eastAsia="Calibri" w:hAnsi="Calibri" w:cs="Calibri"/>
          <w:i/>
          <w:iCs/>
          <w:color w:val="000000" w:themeColor="text1"/>
          <w:sz w:val="20"/>
          <w:szCs w:val="20"/>
        </w:rPr>
      </w:pPr>
      <w:r>
        <w:t>General In</w:t>
      </w:r>
      <w:r w:rsidR="48255A3D">
        <w:t>structions</w:t>
      </w:r>
    </w:p>
    <w:p w:rsidR="004627E7" w:rsidP="004627E7" w14:paraId="6464927B" w14:textId="77777777">
      <w:r w:rsidRPr="0809F5DE">
        <w:t xml:space="preserve">This document includes instructions for the Temporary Assistance for Needy Families (TANF) Work Outcomes of TANF </w:t>
      </w:r>
      <w:r w:rsidRPr="0809F5DE">
        <w:t>Exiters</w:t>
      </w:r>
      <w:r w:rsidRPr="0809F5DE">
        <w:t xml:space="preserve"> Report.</w:t>
      </w:r>
      <w:r w:rsidRPr="0809F5DE" w:rsidR="00904626">
        <w:t xml:space="preserve"> For the Work Outcomes of TANF </w:t>
      </w:r>
      <w:r w:rsidRPr="0809F5DE" w:rsidR="00904626">
        <w:t>Exiters</w:t>
      </w:r>
      <w:r w:rsidRPr="0809F5DE" w:rsidR="00904626">
        <w:t xml:space="preserve"> Report, </w:t>
      </w:r>
      <w:r w:rsidRPr="0809F5DE" w:rsidR="335E63FB">
        <w:t>s</w:t>
      </w:r>
      <w:r w:rsidRPr="0809F5DE" w:rsidR="00904626">
        <w:t xml:space="preserve">tates submit Social Security Numbers (SSNs) of all work-eligible individuals who exit TANF </w:t>
      </w:r>
      <w:r w:rsidRPr="0809F5DE" w:rsidR="00904626">
        <w:t>in a given</w:t>
      </w:r>
      <w:r w:rsidRPr="0809F5DE" w:rsidR="00904626">
        <w:t xml:space="preserve"> quarter. ACF will then match those SSNs with quarterly wage records in the National Directory of New Hires (NDNH). ACF will use these matched results to calculate </w:t>
      </w:r>
      <w:r w:rsidRPr="0809F5DE" w:rsidR="697BAFAE">
        <w:t xml:space="preserve">outcomes measures </w:t>
      </w:r>
      <w:r w:rsidRPr="0809F5DE" w:rsidR="00904626">
        <w:t>required by the Fiscal Responsibility Act of 2023 (FRA, Public Law 118-5):</w:t>
      </w:r>
    </w:p>
    <w:p w:rsidR="004627E7" w:rsidRPr="004627E7" w:rsidP="004627E7" w14:paraId="66CB36F6" w14:textId="77777777">
      <w:pPr>
        <w:pStyle w:val="ListParagraph"/>
        <w:numPr>
          <w:ilvl w:val="0"/>
          <w:numId w:val="13"/>
        </w:numPr>
        <w:rPr>
          <w:rFonts w:cstheme="minorHAnsi"/>
        </w:rPr>
      </w:pPr>
      <w:r w:rsidRPr="004627E7">
        <w:rPr>
          <w:rFonts w:cstheme="minorHAnsi"/>
        </w:rPr>
        <w:t>Employment Rate – 2nd Quarter After Exit</w:t>
      </w:r>
    </w:p>
    <w:p w:rsidR="004627E7" w:rsidRPr="004627E7" w:rsidP="004627E7" w14:paraId="1FB0868A" w14:textId="77777777">
      <w:pPr>
        <w:pStyle w:val="ListParagraph"/>
        <w:numPr>
          <w:ilvl w:val="0"/>
          <w:numId w:val="13"/>
        </w:numPr>
        <w:rPr>
          <w:rFonts w:cstheme="minorHAnsi"/>
        </w:rPr>
      </w:pPr>
      <w:r w:rsidRPr="004627E7">
        <w:rPr>
          <w:rFonts w:cstheme="minorHAnsi"/>
        </w:rPr>
        <w:t xml:space="preserve">Employment Retention Rate – 4th Quarter After Exit </w:t>
      </w:r>
    </w:p>
    <w:p w:rsidR="004627E7" w:rsidP="004627E7" w14:paraId="1BEE01EA" w14:textId="13E35D83">
      <w:pPr>
        <w:pStyle w:val="ListParagraph"/>
        <w:numPr>
          <w:ilvl w:val="0"/>
          <w:numId w:val="13"/>
        </w:numPr>
      </w:pPr>
      <w:r w:rsidRPr="5CF1FAD8">
        <w:t xml:space="preserve">Median Earnings – 2nd Quarter After Exit </w:t>
      </w:r>
    </w:p>
    <w:p w:rsidR="00123E84" w:rsidP="00123E84" w14:paraId="31AA07F6" w14:textId="1A255870">
      <w:r w:rsidRPr="004627E7">
        <w:t xml:space="preserve">Each state must file the report within </w:t>
      </w:r>
      <w:r w:rsidR="009E14B5">
        <w:t>45</w:t>
      </w:r>
      <w:r w:rsidRPr="004627E7" w:rsidR="009E14B5">
        <w:t xml:space="preserve"> </w:t>
      </w:r>
      <w:r w:rsidRPr="004627E7">
        <w:t>days following the end of the quarter.</w:t>
      </w:r>
      <w:r>
        <w:t xml:space="preserve"> Any </w:t>
      </w:r>
      <w:r w:rsidRPr="00F8002A">
        <w:t xml:space="preserve">state that does not have an Unemployment Insurance program and thus is currently unable to submit quarterly wage data to the </w:t>
      </w:r>
      <w:r>
        <w:t>NDNH</w:t>
      </w:r>
      <w:r w:rsidRPr="00F8002A">
        <w:t xml:space="preserve"> </w:t>
      </w:r>
      <w:r>
        <w:t>is still</w:t>
      </w:r>
      <w:r w:rsidRPr="00F8002A">
        <w:t xml:space="preserve"> required </w:t>
      </w:r>
      <w:r>
        <w:t xml:space="preserve">to submit the Work Outcomes of TANF </w:t>
      </w:r>
      <w:r>
        <w:t>Exiters</w:t>
      </w:r>
      <w:r>
        <w:t xml:space="preserve"> Report </w:t>
      </w:r>
      <w:r>
        <w:rPr>
          <w:rStyle w:val="normaltextrun"/>
          <w:color w:val="000000"/>
          <w:shd w:val="clear" w:color="auto" w:fill="FFFFFF"/>
        </w:rPr>
        <w:t>so that ACF is able to capture outcomes of individuals who find work outside of that state’s jurisdiction after exiting the state’s TANF Program.</w:t>
      </w:r>
      <w:r>
        <w:rPr>
          <w:rStyle w:val="eop"/>
          <w:color w:val="000000"/>
          <w:shd w:val="clear" w:color="auto" w:fill="FFFFFF"/>
        </w:rPr>
        <w:t> </w:t>
      </w:r>
    </w:p>
    <w:p w:rsidR="3428DC7F" w:rsidP="009F0BC0" w14:paraId="35685D3E" w14:textId="5190B635">
      <w:pPr>
        <w:pStyle w:val="indent-1"/>
      </w:pPr>
      <w:r w:rsidRPr="093073B9">
        <w:rPr>
          <w:rFonts w:ascii="Calibri" w:eastAsia="Calibri" w:hAnsi="Calibri" w:cs="Calibri"/>
          <w:color w:val="000000" w:themeColor="text1"/>
          <w:sz w:val="22"/>
          <w:szCs w:val="22"/>
        </w:rPr>
        <w:t>Territories and the District of Columbia are referred to as “states.” Note: Tribes are not required to report.</w:t>
      </w:r>
    </w:p>
    <w:p w:rsidR="093073B9" w:rsidP="093073B9" w14:paraId="7D31C6B7" w14:textId="7AF984B6">
      <w:pPr>
        <w:pStyle w:val="indent-1"/>
        <w:rPr>
          <w:rFonts w:ascii="Calibri" w:eastAsia="Calibri" w:hAnsi="Calibri" w:cs="Calibri"/>
          <w:color w:val="000000" w:themeColor="text1"/>
          <w:sz w:val="22"/>
          <w:szCs w:val="22"/>
        </w:rPr>
      </w:pPr>
    </w:p>
    <w:p w:rsidR="00904626" w:rsidRPr="009F0BC0" w:rsidP="009F0BC0" w14:paraId="239C40BA" w14:textId="528E8B9D">
      <w:pPr>
        <w:pStyle w:val="Heading2"/>
      </w:pPr>
      <w:r w:rsidRPr="009F0BC0">
        <w:t>INSTRUCTIONS AND DEFI</w:t>
      </w:r>
      <w:r w:rsidRPr="009F0BC0" w:rsidR="65AABC8E">
        <w:t>NI</w:t>
      </w:r>
      <w:r w:rsidRPr="009F0BC0">
        <w:t>TIONS</w:t>
      </w:r>
      <w:bookmarkStart w:id="0" w:name="_Hlk128492940"/>
    </w:p>
    <w:p w:rsidR="00904626" w:rsidP="5CF1FAD8" w14:paraId="096372EA" w14:textId="33E97E71">
      <w:r w:rsidRPr="5CF1FAD8">
        <w:rPr>
          <w:rFonts w:ascii="Calibri" w:eastAsia="Calibri" w:hAnsi="Calibri" w:cs="Calibri"/>
          <w:color w:val="000000" w:themeColor="text1"/>
        </w:rPr>
        <w:t>The state agency should collect and report data for each item. The data must be complete and accurate.</w:t>
      </w:r>
    </w:p>
    <w:p w:rsidR="00904626" w:rsidP="5CF1FAD8" w14:paraId="6E608C3B" w14:textId="5B2D266D">
      <w:r w:rsidRPr="6DADEB0D">
        <w:t>I</w:t>
      </w:r>
      <w:r w:rsidRPr="6DADEB0D" w:rsidR="00843CDF">
        <w:t>n accordance with 45 CFR 265.2 (c) and (d), for</w:t>
      </w:r>
      <w:r w:rsidRPr="6DADEB0D">
        <w:t xml:space="preserve"> purposes of the Work Outcomes of TANF </w:t>
      </w:r>
      <w:r w:rsidRPr="6DADEB0D">
        <w:t>Exiters</w:t>
      </w:r>
      <w:r w:rsidRPr="6DADEB0D">
        <w:t xml:space="preserve"> Report:</w:t>
      </w:r>
    </w:p>
    <w:p w:rsidR="00804C0F" w:rsidP="004546CC" w14:paraId="5ED94744" w14:textId="6982025B">
      <w:pPr>
        <w:rPr>
          <w:b/>
          <w:bCs/>
        </w:rPr>
      </w:pPr>
      <w:r>
        <w:rPr>
          <w:b/>
          <w:bCs/>
        </w:rPr>
        <w:t xml:space="preserve">Work-Eligible Individual (WEI) </w:t>
      </w:r>
      <w:r w:rsidRPr="009E7052">
        <w:t>as defined</w:t>
      </w:r>
      <w:r>
        <w:rPr>
          <w:b/>
          <w:bCs/>
        </w:rPr>
        <w:t xml:space="preserve"> </w:t>
      </w:r>
      <w:r>
        <w:rPr>
          <w:rStyle w:val="normaltextrun"/>
          <w:color w:val="000000"/>
          <w:shd w:val="clear" w:color="auto" w:fill="FFFFFF"/>
        </w:rPr>
        <w:t xml:space="preserve">in 45 CFR Part 261.2(n) applies to the Work Outcomes of TANF </w:t>
      </w:r>
      <w:r>
        <w:rPr>
          <w:rStyle w:val="normaltextrun"/>
          <w:color w:val="000000"/>
          <w:shd w:val="clear" w:color="auto" w:fill="FFFFFF"/>
        </w:rPr>
        <w:t>Exiters</w:t>
      </w:r>
      <w:r>
        <w:rPr>
          <w:rStyle w:val="normaltextrun"/>
          <w:color w:val="000000"/>
          <w:shd w:val="clear" w:color="auto" w:fill="FFFFFF"/>
        </w:rPr>
        <w:t xml:space="preserve"> </w:t>
      </w:r>
      <w:r w:rsidR="30C12447">
        <w:rPr>
          <w:rStyle w:val="normaltextrun"/>
          <w:color w:val="000000"/>
          <w:shd w:val="clear" w:color="auto" w:fill="FFFFFF"/>
        </w:rPr>
        <w:t>Report</w:t>
      </w:r>
      <w:r>
        <w:rPr>
          <w:rStyle w:val="normaltextrun"/>
          <w:color w:val="000000"/>
          <w:shd w:val="clear" w:color="auto" w:fill="FFFFFF"/>
        </w:rPr>
        <w:t>.</w:t>
      </w:r>
    </w:p>
    <w:p w:rsidR="00804C0F" w:rsidRPr="005A2D84" w:rsidP="004546CC" w14:paraId="4B7FCBC1" w14:textId="184F2841">
      <w:pPr>
        <w:rPr>
          <w:b/>
          <w:bCs/>
        </w:rPr>
      </w:pPr>
      <w:r w:rsidRPr="4CA16BA3">
        <w:rPr>
          <w:b/>
          <w:bCs/>
        </w:rPr>
        <w:t xml:space="preserve">Exit </w:t>
      </w:r>
      <w:r>
        <w:t xml:space="preserve">is the date that a family with a work-eligible individual ceases to receive assistance from the TANF </w:t>
      </w:r>
      <w:r w:rsidRPr="005A2D84">
        <w:t>program. The last day of assistance cannot be determined until 90 days</w:t>
      </w:r>
      <w:r w:rsidRPr="005A2D84" w:rsidR="0A271236">
        <w:t xml:space="preserve"> or three months</w:t>
      </w:r>
      <w:r w:rsidRPr="005A2D84">
        <w:t xml:space="preserve"> have elapsed since the participant last received assistance.  </w:t>
      </w:r>
    </w:p>
    <w:p w:rsidR="00727FA3" w:rsidRPr="005A2D84" w:rsidP="4CA16BA3" w14:paraId="613ADAE5" w14:textId="2D4F1783">
      <w:pPr>
        <w:ind w:left="720"/>
        <w:rPr>
          <w:rFonts w:ascii="Calibri" w:eastAsia="Calibri" w:hAnsi="Calibri" w:cs="Calibri"/>
        </w:rPr>
      </w:pPr>
      <w:r w:rsidRPr="005A2D84">
        <w:rPr>
          <w:rStyle w:val="normaltextrun"/>
          <w:rFonts w:ascii="Calibri" w:eastAsia="Calibri" w:hAnsi="Calibri" w:cs="Calibri"/>
        </w:rPr>
        <w:t xml:space="preserve">In pay-for-performance states, </w:t>
      </w:r>
      <w:r w:rsidRPr="005A2D84" w:rsidR="002C1551">
        <w:rPr>
          <w:rStyle w:val="normaltextrun"/>
          <w:rFonts w:ascii="Calibri" w:eastAsia="Calibri" w:hAnsi="Calibri" w:cs="Calibri"/>
        </w:rPr>
        <w:t>”</w:t>
      </w:r>
      <w:r w:rsidRPr="005A2D84">
        <w:rPr>
          <w:rStyle w:val="normaltextrun"/>
          <w:rFonts w:ascii="Calibri" w:eastAsia="Calibri" w:hAnsi="Calibri" w:cs="Calibri"/>
        </w:rPr>
        <w:t>ceases to receive</w:t>
      </w:r>
      <w:r w:rsidRPr="005A2D84" w:rsidR="002C1551">
        <w:rPr>
          <w:rStyle w:val="normaltextrun"/>
          <w:rFonts w:ascii="Calibri" w:eastAsia="Calibri" w:hAnsi="Calibri" w:cs="Calibri"/>
        </w:rPr>
        <w:t>”</w:t>
      </w:r>
      <w:r w:rsidRPr="005A2D84">
        <w:rPr>
          <w:rStyle w:val="normaltextrun"/>
          <w:rFonts w:ascii="Calibri" w:eastAsia="Calibri" w:hAnsi="Calibri" w:cs="Calibri"/>
        </w:rPr>
        <w:t xml:space="preserve"> may be interpreted as </w:t>
      </w:r>
      <w:r w:rsidRPr="005A2D84" w:rsidR="002C1551">
        <w:rPr>
          <w:rStyle w:val="normaltextrun"/>
          <w:rFonts w:ascii="Calibri" w:eastAsia="Calibri" w:hAnsi="Calibri" w:cs="Calibri"/>
        </w:rPr>
        <w:t>“</w:t>
      </w:r>
      <w:r w:rsidRPr="005A2D84">
        <w:rPr>
          <w:rStyle w:val="normaltextrun"/>
          <w:rFonts w:ascii="Calibri" w:eastAsia="Calibri" w:hAnsi="Calibri" w:cs="Calibri"/>
        </w:rPr>
        <w:t>last eligible to receive</w:t>
      </w:r>
      <w:r w:rsidRPr="005A2D84" w:rsidR="002C1551">
        <w:rPr>
          <w:rStyle w:val="normaltextrun"/>
          <w:rFonts w:ascii="Calibri" w:eastAsia="Calibri" w:hAnsi="Calibri" w:cs="Calibri"/>
        </w:rPr>
        <w:t>”</w:t>
      </w:r>
      <w:r w:rsidRPr="005A2D84" w:rsidR="00A07EF7">
        <w:rPr>
          <w:rStyle w:val="normaltextrun"/>
          <w:rFonts w:ascii="Calibri" w:eastAsia="Calibri" w:hAnsi="Calibri" w:cs="Calibri"/>
        </w:rPr>
        <w:t xml:space="preserve"> assistance</w:t>
      </w:r>
      <w:r w:rsidRPr="005A2D84">
        <w:rPr>
          <w:rStyle w:val="normaltextrun"/>
          <w:rFonts w:ascii="Calibri" w:eastAsia="Calibri" w:hAnsi="Calibri" w:cs="Calibri"/>
        </w:rPr>
        <w:t xml:space="preserve">. The 90 days or three months would be counted from the period the work-eligible individual </w:t>
      </w:r>
      <w:r w:rsidRPr="005A2D84" w:rsidR="71A1CE05">
        <w:rPr>
          <w:rStyle w:val="normaltextrun"/>
          <w:rFonts w:ascii="Calibri" w:eastAsia="Calibri" w:hAnsi="Calibri" w:cs="Calibri"/>
        </w:rPr>
        <w:t xml:space="preserve">last </w:t>
      </w:r>
      <w:r w:rsidRPr="005A2D84">
        <w:rPr>
          <w:rStyle w:val="normaltextrun"/>
          <w:rFonts w:ascii="Calibri" w:eastAsia="Calibri" w:hAnsi="Calibri" w:cs="Calibri"/>
        </w:rPr>
        <w:t xml:space="preserve">satisfied the state's performance requirement, not from the date of the benefit issuance. </w:t>
      </w:r>
      <w:r w:rsidRPr="005A2D84">
        <w:rPr>
          <w:rFonts w:ascii="Calibri" w:eastAsia="Calibri" w:hAnsi="Calibri" w:cs="Calibri"/>
        </w:rPr>
        <w:t xml:space="preserve"> </w:t>
      </w:r>
    </w:p>
    <w:p w:rsidR="00727FA3" w:rsidRPr="005A2D84" w:rsidP="4CA16BA3" w14:paraId="4ACFC593" w14:textId="71510A63">
      <w:pPr>
        <w:rPr>
          <w:rStyle w:val="normaltextrun"/>
        </w:rPr>
      </w:pPr>
      <w:r w:rsidRPr="005A2D84">
        <w:rPr>
          <w:rStyle w:val="normaltextrun"/>
        </w:rPr>
        <w:t xml:space="preserve">Some states may move individuals out of the TANF program and into separate state programs (funded by maintenance-of-effort funds) or solely state-funded programs (not reported as maintenance-of-effort). For some states, these may be distinctly different programs, while for other states the difference may just be the funding source. The statute clearly states “with respect to a </w:t>
      </w:r>
      <w:r w:rsidRPr="005A2D84">
        <w:rPr>
          <w:rStyle w:val="normaltextrun"/>
        </w:rPr>
        <w:t>State</w:t>
      </w:r>
      <w:r w:rsidRPr="005A2D84">
        <w:rPr>
          <w:rStyle w:val="normaltextrun"/>
        </w:rPr>
        <w:t xml:space="preserve"> program funded under this part” which refers only to the TANF program, and not separate state programs or solely state-funded programs. Therefore, when considering who exited TANF for this data collection, states should include </w:t>
      </w:r>
      <w:r w:rsidRPr="005A2D84" w:rsidR="00701619">
        <w:rPr>
          <w:rStyle w:val="normaltextrun"/>
        </w:rPr>
        <w:t xml:space="preserve">as </w:t>
      </w:r>
      <w:r w:rsidRPr="005A2D84" w:rsidR="00701619">
        <w:rPr>
          <w:rStyle w:val="normaltextrun"/>
        </w:rPr>
        <w:t>exiters</w:t>
      </w:r>
      <w:r w:rsidRPr="005A2D84" w:rsidR="00701619">
        <w:rPr>
          <w:rStyle w:val="normaltextrun"/>
        </w:rPr>
        <w:t xml:space="preserve"> </w:t>
      </w:r>
      <w:r w:rsidRPr="005A2D84">
        <w:rPr>
          <w:rStyle w:val="normaltextrun"/>
        </w:rPr>
        <w:t>those work-eligible individuals who were moved to separate state programs or solely-state funded programs and have not received TANF-funded assistance in at least 90 days</w:t>
      </w:r>
      <w:r w:rsidRPr="005A2D84" w:rsidR="382CC779">
        <w:rPr>
          <w:rStyle w:val="normaltextrun"/>
        </w:rPr>
        <w:t xml:space="preserve"> or three months</w:t>
      </w:r>
      <w:r w:rsidRPr="005A2D84">
        <w:rPr>
          <w:rStyle w:val="normaltextrun"/>
        </w:rPr>
        <w:t xml:space="preserve">.  </w:t>
      </w:r>
    </w:p>
    <w:p w:rsidR="00727FA3" w:rsidRPr="005A2D84" w:rsidP="7309FB68" w14:paraId="5118794A" w14:textId="521DB107">
      <w:pPr>
        <w:rPr>
          <w:rStyle w:val="eop"/>
        </w:rPr>
      </w:pPr>
      <w:r w:rsidRPr="005A2D84">
        <w:rPr>
          <w:rStyle w:val="normaltextrun"/>
        </w:rPr>
        <w:t xml:space="preserve">A work-eligible individual will be included as an </w:t>
      </w:r>
      <w:r w:rsidRPr="005A2D84">
        <w:rPr>
          <w:rStyle w:val="normaltextrun"/>
        </w:rPr>
        <w:t>exiter</w:t>
      </w:r>
      <w:r w:rsidRPr="005A2D84">
        <w:rPr>
          <w:rStyle w:val="normaltextrun"/>
        </w:rPr>
        <w:t xml:space="preserve"> in these measures only when their </w:t>
      </w:r>
      <w:r w:rsidRPr="005A2D84">
        <w:rPr>
          <w:rStyle w:val="normaltextrun"/>
          <w:i/>
        </w:rPr>
        <w:t>family</w:t>
      </w:r>
      <w:r w:rsidRPr="005A2D84">
        <w:rPr>
          <w:rStyle w:val="normaltextrun"/>
        </w:rPr>
        <w:t xml:space="preserve"> ceases to receive </w:t>
      </w:r>
      <w:r w:rsidRPr="005A2D84">
        <w:rPr>
          <w:rStyle w:val="normaltextrun"/>
        </w:rPr>
        <w:t>assistance, and</w:t>
      </w:r>
      <w:r w:rsidRPr="005A2D84">
        <w:rPr>
          <w:rStyle w:val="normaltextrun"/>
        </w:rPr>
        <w:t xml:space="preserve"> will not meet the definition of an </w:t>
      </w:r>
      <w:r w:rsidRPr="005A2D84">
        <w:rPr>
          <w:rStyle w:val="normaltextrun"/>
        </w:rPr>
        <w:t>exiter</w:t>
      </w:r>
      <w:r w:rsidRPr="005A2D84">
        <w:rPr>
          <w:rStyle w:val="normaltextrun"/>
        </w:rPr>
        <w:t xml:space="preserve"> when the needs of the work-eligible individual are removed from the assistance payment but the family continues to receive assistance</w:t>
      </w:r>
      <w:r w:rsidRPr="005A2D84" w:rsidR="70AF4839">
        <w:rPr>
          <w:rStyle w:val="normaltextrun"/>
        </w:rPr>
        <w:t xml:space="preserve"> and the individual remains work-eligible</w:t>
      </w:r>
      <w:r w:rsidRPr="005A2D84">
        <w:rPr>
          <w:rStyle w:val="normaltextrun"/>
        </w:rPr>
        <w:t>.  An individual in the family must have been “a work-eligible individual,” as defined in 45 CFR 261.2(n)(1), in their last month of assistance.</w:t>
      </w:r>
      <w:r w:rsidRPr="005A2D84">
        <w:rPr>
          <w:rStyle w:val="eop"/>
        </w:rPr>
        <w:t> </w:t>
      </w:r>
    </w:p>
    <w:p w:rsidR="00701619" w:rsidRPr="005A2D84" w:rsidP="00701619" w14:paraId="202F0C17" w14:textId="4A8E5935">
      <w:pPr>
        <w:rPr>
          <w:rFonts w:ascii="Calibri" w:eastAsia="Calibri" w:hAnsi="Calibri" w:cs="Calibri"/>
        </w:rPr>
      </w:pPr>
      <w:r w:rsidRPr="005A2D84">
        <w:rPr>
          <w:rFonts w:ascii="Calibri" w:eastAsia="Calibri" w:hAnsi="Calibri" w:cs="Calibri"/>
        </w:rPr>
        <w:t xml:space="preserve">For reporting purposes, </w:t>
      </w:r>
      <w:r w:rsidRPr="005A2D84" w:rsidR="00C94901">
        <w:rPr>
          <w:rFonts w:ascii="Calibri" w:eastAsia="Calibri" w:hAnsi="Calibri" w:cs="Calibri"/>
        </w:rPr>
        <w:t>a</w:t>
      </w:r>
      <w:r w:rsidRPr="005A2D84">
        <w:rPr>
          <w:rFonts w:ascii="Calibri" w:eastAsia="Calibri" w:hAnsi="Calibri" w:cs="Calibri"/>
        </w:rPr>
        <w:t xml:space="preserve"> </w:t>
      </w:r>
      <w:r w:rsidRPr="005A2D84">
        <w:rPr>
          <w:rFonts w:ascii="Calibri" w:eastAsia="Calibri" w:hAnsi="Calibri" w:cs="Calibri"/>
          <w:b/>
          <w:bCs/>
        </w:rPr>
        <w:t>family</w:t>
      </w:r>
      <w:r w:rsidRPr="005A2D84">
        <w:rPr>
          <w:rFonts w:ascii="Calibri" w:eastAsia="Calibri" w:hAnsi="Calibri" w:cs="Calibri"/>
        </w:rPr>
        <w:t xml:space="preserve"> means: (a) all individuals receiving assistance as part of a family under the state’s TANF program; and (b) the following additional persons living in the family, if not included under (a) above: (1) Parent or caretaker relative of any minor child; (2) A minor child; and (3) Any person whose income or resources are counted in determining the family’s eligibility for or amount of assistance. This is the same definition used for </w:t>
      </w:r>
      <w:hyperlink r:id="rId10" w:history="1">
        <w:r w:rsidRPr="005A2D84">
          <w:rPr>
            <w:rStyle w:val="Hyperlink"/>
            <w:rFonts w:ascii="Calibri" w:eastAsia="Calibri" w:hAnsi="Calibri" w:cs="Calibri"/>
            <w:color w:val="auto"/>
            <w:u w:val="none"/>
          </w:rPr>
          <w:t>reporting on the TANF Data Report (ACF-199) (page 4)</w:t>
        </w:r>
      </w:hyperlink>
      <w:r w:rsidRPr="005A2D84">
        <w:rPr>
          <w:rFonts w:ascii="Calibri" w:eastAsia="Calibri" w:hAnsi="Calibri" w:cs="Calibri"/>
        </w:rPr>
        <w:t>.</w:t>
      </w:r>
    </w:p>
    <w:p w:rsidR="00E72CAE" w:rsidRPr="00804C0F" w:rsidP="7309FB68" w14:paraId="22FCB0C7" w14:textId="77777777">
      <w:pPr>
        <w:rPr>
          <w:b/>
          <w:bCs/>
        </w:rPr>
      </w:pPr>
    </w:p>
    <w:p w:rsidR="00727FA3" w:rsidP="4CA16BA3" w14:paraId="03EA28B0" w14:textId="0B50D8FF">
      <w:pPr>
        <w:rPr>
          <w:rStyle w:val="eop"/>
          <w:color w:val="000000" w:themeColor="text1"/>
        </w:rPr>
      </w:pPr>
      <w:r w:rsidRPr="4CA16BA3">
        <w:rPr>
          <w:b/>
          <w:bCs/>
        </w:rPr>
        <w:t>Unsubsidized employment</w:t>
      </w:r>
      <w:r>
        <w:t xml:space="preserve"> is full- or part-time employment in the private or public sector after exiting the TANF program. </w:t>
      </w:r>
    </w:p>
    <w:p w:rsidR="00727FA3" w:rsidP="00727FA3" w14:paraId="49278CF4" w14:textId="77777777">
      <w:r w:rsidRPr="5F14017E">
        <w:t xml:space="preserve">The </w:t>
      </w:r>
      <w:r>
        <w:rPr>
          <w:b/>
          <w:bCs/>
        </w:rPr>
        <w:t>r</w:t>
      </w:r>
      <w:r w:rsidRPr="5F14017E">
        <w:rPr>
          <w:b/>
          <w:bCs/>
        </w:rPr>
        <w:t xml:space="preserve">eporting </w:t>
      </w:r>
      <w:r>
        <w:rPr>
          <w:b/>
          <w:bCs/>
        </w:rPr>
        <w:t>p</w:t>
      </w:r>
      <w:r w:rsidRPr="5F14017E">
        <w:rPr>
          <w:b/>
          <w:bCs/>
        </w:rPr>
        <w:t xml:space="preserve">eriod </w:t>
      </w:r>
      <w:r w:rsidRPr="5F14017E">
        <w:t xml:space="preserve">is the </w:t>
      </w:r>
      <w:r w:rsidRPr="5F14017E">
        <w:t>period of time</w:t>
      </w:r>
      <w:r w:rsidRPr="5F14017E">
        <w:t xml:space="preserve"> covering one federal fiscal quarter, during which </w:t>
      </w:r>
      <w:r>
        <w:t xml:space="preserve">exit </w:t>
      </w:r>
      <w:r w:rsidRPr="5F14017E">
        <w:t xml:space="preserve">data relevant to the measure are recorded. </w:t>
      </w:r>
    </w:p>
    <w:p w:rsidR="00CB05BA" w:rsidRPr="005A0BA3" w:rsidP="5CF1FAD8" w14:paraId="34387F83" w14:textId="7C525A77">
      <w:r>
        <w:t xml:space="preserve">The report must contain the SSNs of all </w:t>
      </w:r>
      <w:r w:rsidR="639A6E93">
        <w:t xml:space="preserve">work-eligible </w:t>
      </w:r>
      <w:r>
        <w:t xml:space="preserve">individuals who are confirmed to have exited during the reporting period. </w:t>
      </w:r>
    </w:p>
    <w:p w:rsidR="00CB05BA" w:rsidRPr="005A0BA3" w:rsidP="5CF1FAD8" w14:paraId="3E76AF86" w14:textId="2C005930">
      <w:r>
        <w:t xml:space="preserve">States submit </w:t>
      </w:r>
      <w:r w:rsidR="00091C70">
        <w:t xml:space="preserve">SSNs </w:t>
      </w:r>
      <w:r w:rsidR="00097195">
        <w:t>45</w:t>
      </w:r>
      <w:r w:rsidR="00097195">
        <w:t xml:space="preserve"> </w:t>
      </w:r>
      <w:r>
        <w:t xml:space="preserve">days after the </w:t>
      </w:r>
      <w:r w:rsidR="519B25B7">
        <w:t>quarter ending (</w:t>
      </w:r>
      <w:r>
        <w:t>QE</w:t>
      </w:r>
      <w:r w:rsidR="289013DB">
        <w:t>)</w:t>
      </w:r>
      <w:r>
        <w:t xml:space="preserve"> in which </w:t>
      </w:r>
      <w:r w:rsidR="00635920">
        <w:t>their exit date was confirmed</w:t>
      </w:r>
      <w:r w:rsidR="7E4ABB05">
        <w:t xml:space="preserve">. </w:t>
      </w:r>
      <w:r w:rsidR="32826813">
        <w:t xml:space="preserve">An individual’s exit date is confirmed when 90 days have elapsed since the </w:t>
      </w:r>
      <w:r w:rsidR="0042286C">
        <w:t xml:space="preserve">individual’s family </w:t>
      </w:r>
      <w:r w:rsidR="32826813">
        <w:t>last received</w:t>
      </w:r>
      <w:r w:rsidR="0AD87218">
        <w:t xml:space="preserve"> TANF</w:t>
      </w:r>
      <w:r w:rsidR="32826813">
        <w:t xml:space="preserve"> assistance. </w:t>
      </w:r>
      <w:r w:rsidR="7E4ABB05">
        <w:t xml:space="preserve">For example: </w:t>
      </w:r>
    </w:p>
    <w:p w:rsidR="0088445A" w:rsidP="4CA16BA3" w14:paraId="6FB8C634" w14:textId="418E6FDF">
      <w:pPr>
        <w:pStyle w:val="paragraph"/>
        <w:spacing w:before="0" w:beforeAutospacing="0" w:after="0" w:afterAutospacing="0"/>
        <w:ind w:left="720"/>
        <w:textAlignment w:val="baseline"/>
        <w:rPr>
          <w:rStyle w:val="normaltextrun"/>
          <w:rFonts w:ascii="Calibri" w:hAnsi="Calibri" w:cs="Calibri"/>
          <w:sz w:val="22"/>
          <w:szCs w:val="22"/>
        </w:rPr>
      </w:pPr>
      <w:r w:rsidRPr="4CA16BA3">
        <w:rPr>
          <w:rStyle w:val="normaltextrun"/>
          <w:rFonts w:ascii="Calibri" w:hAnsi="Calibri" w:cs="Calibri"/>
          <w:sz w:val="22"/>
          <w:szCs w:val="22"/>
        </w:rPr>
        <w:t>An individual exits on November 23, 2024 (FY 2025, Quarter [Q]1). For the state to confirm the exit date, 90</w:t>
      </w:r>
      <w:r w:rsidRPr="4CA16BA3" w:rsidR="34DBE2C4">
        <w:rPr>
          <w:rStyle w:val="normaltextrun"/>
          <w:rFonts w:ascii="Calibri" w:hAnsi="Calibri" w:cs="Calibri"/>
          <w:sz w:val="22"/>
          <w:szCs w:val="22"/>
        </w:rPr>
        <w:t xml:space="preserve"> </w:t>
      </w:r>
      <w:r w:rsidRPr="4CA16BA3">
        <w:rPr>
          <w:rStyle w:val="normaltextrun"/>
          <w:rFonts w:ascii="Calibri" w:hAnsi="Calibri" w:cs="Calibri"/>
          <w:sz w:val="22"/>
          <w:szCs w:val="22"/>
        </w:rPr>
        <w:t xml:space="preserve">days </w:t>
      </w:r>
      <w:r w:rsidRPr="4CA16BA3" w:rsidR="369AB829">
        <w:rPr>
          <w:rStyle w:val="normaltextrun"/>
          <w:rFonts w:ascii="Calibri" w:hAnsi="Calibri" w:cs="Calibri"/>
          <w:sz w:val="22"/>
          <w:szCs w:val="22"/>
        </w:rPr>
        <w:t xml:space="preserve">or three months </w:t>
      </w:r>
      <w:r w:rsidRPr="4CA16BA3">
        <w:rPr>
          <w:rStyle w:val="normaltextrun"/>
          <w:rFonts w:ascii="Calibri" w:hAnsi="Calibri" w:cs="Calibri"/>
          <w:sz w:val="22"/>
          <w:szCs w:val="22"/>
        </w:rPr>
        <w:t xml:space="preserve">must elapse after the individual’s family last received assistance. The exit date is confirmed on February 21, 2025 (FY 2025, Q2). </w:t>
      </w:r>
    </w:p>
    <w:p w:rsidR="0088445A" w:rsidP="0088445A" w14:paraId="1E98ADB5" w14:textId="77777777">
      <w:pPr>
        <w:pStyle w:val="paragraph"/>
        <w:spacing w:before="0" w:beforeAutospacing="0" w:after="0" w:afterAutospacing="0"/>
        <w:ind w:left="720"/>
        <w:textAlignment w:val="baseline"/>
        <w:rPr>
          <w:rStyle w:val="normaltextrun"/>
          <w:rFonts w:ascii="Calibri" w:hAnsi="Calibri" w:cs="Calibri"/>
          <w:sz w:val="22"/>
          <w:szCs w:val="22"/>
        </w:rPr>
      </w:pPr>
    </w:p>
    <w:p w:rsidR="0088445A" w:rsidP="25CD19E6" w14:paraId="54D64A33" w14:textId="133BB426">
      <w:pPr>
        <w:pStyle w:val="paragraph"/>
        <w:spacing w:before="0" w:beforeAutospacing="0" w:after="0" w:afterAutospacing="0"/>
        <w:ind w:left="720"/>
        <w:textAlignment w:val="baseline"/>
        <w:rPr>
          <w:rStyle w:val="normaltextrun"/>
          <w:rFonts w:ascii="Calibri" w:hAnsi="Calibri" w:cs="Calibri"/>
          <w:sz w:val="22"/>
          <w:szCs w:val="22"/>
        </w:rPr>
      </w:pPr>
      <w:r w:rsidRPr="4CA16BA3">
        <w:rPr>
          <w:rStyle w:val="normaltextrun"/>
          <w:rFonts w:ascii="Calibri" w:hAnsi="Calibri" w:cs="Calibri"/>
          <w:sz w:val="22"/>
          <w:szCs w:val="22"/>
        </w:rPr>
        <w:t xml:space="preserve">The individual’s SSN is included as an </w:t>
      </w:r>
      <w:r w:rsidRPr="4CA16BA3">
        <w:rPr>
          <w:rStyle w:val="normaltextrun"/>
          <w:rFonts w:ascii="Calibri" w:hAnsi="Calibri" w:cs="Calibri"/>
          <w:sz w:val="22"/>
          <w:szCs w:val="22"/>
        </w:rPr>
        <w:t>exiter</w:t>
      </w:r>
      <w:r w:rsidRPr="4CA16BA3">
        <w:rPr>
          <w:rStyle w:val="normaltextrun"/>
          <w:rFonts w:ascii="Calibri" w:hAnsi="Calibri" w:cs="Calibri"/>
          <w:sz w:val="22"/>
          <w:szCs w:val="22"/>
        </w:rPr>
        <w:t xml:space="preserve"> in the </w:t>
      </w:r>
      <w:r w:rsidRPr="4CA16BA3" w:rsidR="0837D310">
        <w:rPr>
          <w:rStyle w:val="normaltextrun"/>
          <w:rFonts w:ascii="Calibri" w:hAnsi="Calibri" w:cs="Calibri"/>
          <w:sz w:val="22"/>
          <w:szCs w:val="22"/>
        </w:rPr>
        <w:t>report</w:t>
      </w:r>
      <w:r w:rsidRPr="4CA16BA3">
        <w:rPr>
          <w:rStyle w:val="normaltextrun"/>
          <w:rFonts w:ascii="Calibri" w:hAnsi="Calibri" w:cs="Calibri"/>
          <w:sz w:val="22"/>
          <w:szCs w:val="22"/>
        </w:rPr>
        <w:t xml:space="preserve"> covering October 1, 2024 – December 31, 2024 (FY 2025, Q1)</w:t>
      </w:r>
      <w:r w:rsidRPr="4CA16BA3" w:rsidR="6C71E81D">
        <w:rPr>
          <w:rStyle w:val="normaltextrun"/>
          <w:rFonts w:ascii="Calibri" w:hAnsi="Calibri" w:cs="Calibri"/>
          <w:sz w:val="22"/>
          <w:szCs w:val="22"/>
        </w:rPr>
        <w:t xml:space="preserve">, due </w:t>
      </w:r>
      <w:r w:rsidR="003405D8">
        <w:rPr>
          <w:rStyle w:val="normaltextrun"/>
          <w:rFonts w:ascii="Calibri" w:hAnsi="Calibri" w:cs="Calibri"/>
          <w:sz w:val="22"/>
          <w:szCs w:val="22"/>
        </w:rPr>
        <w:t>June 30</w:t>
      </w:r>
      <w:r w:rsidRPr="4CA16BA3" w:rsidR="6C71E81D">
        <w:rPr>
          <w:rStyle w:val="normaltextrun"/>
          <w:rFonts w:ascii="Calibri" w:hAnsi="Calibri" w:cs="Calibri"/>
          <w:sz w:val="22"/>
          <w:szCs w:val="22"/>
        </w:rPr>
        <w:t>, 2025</w:t>
      </w:r>
      <w:r w:rsidRPr="4CA16BA3">
        <w:rPr>
          <w:rStyle w:val="normaltextrun"/>
          <w:rFonts w:ascii="Calibri" w:hAnsi="Calibri" w:cs="Calibri"/>
          <w:sz w:val="22"/>
          <w:szCs w:val="22"/>
        </w:rPr>
        <w:t>.</w:t>
      </w:r>
    </w:p>
    <w:p w:rsidR="0088445A" w:rsidP="0088445A" w14:paraId="047BB84E" w14:textId="77777777">
      <w:pPr>
        <w:pStyle w:val="paragraph"/>
        <w:spacing w:before="0" w:beforeAutospacing="0" w:after="0" w:afterAutospacing="0"/>
        <w:ind w:left="720"/>
        <w:textAlignment w:val="baseline"/>
        <w:rPr>
          <w:rStyle w:val="normaltextrun"/>
          <w:rFonts w:ascii="Calibri" w:hAnsi="Calibri" w:cs="Calibri"/>
          <w:sz w:val="22"/>
          <w:szCs w:val="22"/>
        </w:rPr>
      </w:pPr>
    </w:p>
    <w:p w:rsidR="005C3611" w:rsidP="005C3611" w14:paraId="64CF7A24" w14:textId="77777777">
      <w:pPr>
        <w:pStyle w:val="paragraph"/>
        <w:spacing w:before="0" w:beforeAutospacing="0" w:after="0" w:afterAutospacing="0"/>
        <w:ind w:left="720"/>
        <w:textAlignment w:val="baseline"/>
        <w:rPr>
          <w:rFonts w:asciiTheme="minorHAnsi" w:eastAsiaTheme="minorEastAsia" w:hAnsiTheme="minorHAnsi" w:cstheme="minorBidi"/>
          <w:sz w:val="22"/>
          <w:szCs w:val="22"/>
        </w:rPr>
      </w:pPr>
      <w:r w:rsidRPr="5CF1FAD8">
        <w:rPr>
          <w:rFonts w:asciiTheme="minorHAnsi" w:eastAsiaTheme="minorEastAsia" w:hAnsiTheme="minorHAnsi" w:cstheme="minorBidi"/>
          <w:sz w:val="22"/>
          <w:szCs w:val="22"/>
        </w:rPr>
        <w:t>ACF will then match the SSN with quarterly wage records in the NDNH to obtain records from two quarters after the individual’s exit (FY 2025, Q3) through four quarters after the individual’s exit (FY 2026, Q1). ACF will use the matched results to compute the measures on behalf of states:  Employment Rate - 2nd Quarter After Exit; Employment Retention Rate - 4th Quarter After Exit; and Median Earnings - 2nd Quarter After Exit.</w:t>
      </w:r>
      <w:bookmarkEnd w:id="0"/>
    </w:p>
    <w:p w:rsidR="005C3611" w:rsidP="005C3611" w14:paraId="2BCA3499" w14:textId="77777777">
      <w:pPr>
        <w:pStyle w:val="paragraph"/>
        <w:spacing w:before="0" w:beforeAutospacing="0" w:after="0" w:afterAutospacing="0"/>
        <w:textAlignment w:val="baseline"/>
        <w:rPr>
          <w:rFonts w:asciiTheme="minorHAnsi" w:eastAsiaTheme="minorEastAsia" w:hAnsiTheme="minorHAnsi" w:cstheme="minorBidi"/>
          <w:sz w:val="22"/>
          <w:szCs w:val="22"/>
        </w:rPr>
      </w:pPr>
    </w:p>
    <w:tbl>
      <w:tblPr>
        <w:tblStyle w:val="GridTable4Accent1"/>
        <w:tblW w:w="0" w:type="auto"/>
        <w:tblBorders>
          <w:top w:val="single" w:sz="6" w:space="0" w:color="auto"/>
          <w:left w:val="single" w:sz="6" w:space="0" w:color="auto"/>
          <w:bottom w:val="single" w:sz="6" w:space="0" w:color="auto"/>
          <w:right w:val="single" w:sz="6" w:space="0" w:color="auto"/>
        </w:tblBorders>
        <w:tblLayout w:type="fixed"/>
        <w:tblLook w:val="04A0"/>
      </w:tblPr>
      <w:tblGrid>
        <w:gridCol w:w="2438"/>
        <w:gridCol w:w="2040"/>
        <w:gridCol w:w="2850"/>
        <w:gridCol w:w="1958"/>
      </w:tblGrid>
      <w:tr w14:paraId="38DBDF2C" w14:textId="77777777" w:rsidTr="4CA16BA3">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405"/>
        </w:trPr>
        <w:tc>
          <w:tcPr>
            <w:tcW w:w="2438" w:type="dxa"/>
            <w:tcBorders>
              <w:top w:val="single" w:sz="6" w:space="0" w:color="4472C4" w:themeColor="accent1"/>
              <w:left w:val="single" w:sz="6" w:space="0" w:color="4472C4" w:themeColor="accent1"/>
              <w:bottom w:val="single" w:sz="6" w:space="0" w:color="4472C4" w:themeColor="accent1"/>
            </w:tcBorders>
          </w:tcPr>
          <w:p w:rsidR="4CA16BA3" w:rsidP="4CA16BA3" w14:paraId="1E3440D1" w14:textId="273CD030">
            <w:pPr>
              <w:rPr>
                <w:rFonts w:ascii="Calibri" w:eastAsia="Calibri" w:hAnsi="Calibri" w:cs="Calibri"/>
              </w:rPr>
            </w:pPr>
            <w:r w:rsidRPr="4CA16BA3">
              <w:rPr>
                <w:rFonts w:ascii="Calibri" w:eastAsia="Calibri" w:hAnsi="Calibri" w:cs="Calibri"/>
              </w:rPr>
              <w:t>Individual Exits in</w:t>
            </w:r>
          </w:p>
        </w:tc>
        <w:tc>
          <w:tcPr>
            <w:tcW w:w="2040" w:type="dxa"/>
            <w:tcBorders>
              <w:top w:val="single" w:sz="6" w:space="0" w:color="4472C4" w:themeColor="accent1"/>
              <w:bottom w:val="single" w:sz="6" w:space="0" w:color="4472C4" w:themeColor="accent1"/>
            </w:tcBorders>
          </w:tcPr>
          <w:p w:rsidR="4CA16BA3" w:rsidP="4CA16BA3" w14:paraId="019046B8" w14:textId="54DF0A27">
            <w:pPr>
              <w:rPr>
                <w:rFonts w:ascii="Calibri" w:eastAsia="Calibri" w:hAnsi="Calibri" w:cs="Calibri"/>
                <w:b w:val="0"/>
                <w:bCs w:val="0"/>
              </w:rPr>
            </w:pPr>
            <w:r w:rsidRPr="4CA16BA3">
              <w:rPr>
                <w:rFonts w:ascii="Calibri" w:eastAsia="Calibri" w:hAnsi="Calibri" w:cs="Calibri"/>
              </w:rPr>
              <w:t>Exit Date Confirmed in</w:t>
            </w:r>
          </w:p>
        </w:tc>
        <w:tc>
          <w:tcPr>
            <w:tcW w:w="2850" w:type="dxa"/>
            <w:tcBorders>
              <w:top w:val="single" w:sz="6" w:space="0" w:color="4472C4" w:themeColor="accent1"/>
              <w:bottom w:val="single" w:sz="6" w:space="0" w:color="4472C4" w:themeColor="accent1"/>
            </w:tcBorders>
          </w:tcPr>
          <w:p w:rsidR="4CA16BA3" w:rsidP="4CA16BA3" w14:paraId="32A5072A" w14:textId="1B56CA27">
            <w:pPr>
              <w:rPr>
                <w:rFonts w:ascii="Calibri" w:eastAsia="Calibri" w:hAnsi="Calibri" w:cs="Calibri"/>
                <w:b w:val="0"/>
                <w:bCs w:val="0"/>
              </w:rPr>
            </w:pPr>
            <w:r w:rsidRPr="4CA16BA3">
              <w:rPr>
                <w:rFonts w:ascii="Calibri" w:eastAsia="Calibri" w:hAnsi="Calibri" w:cs="Calibri"/>
              </w:rPr>
              <w:t xml:space="preserve">Individual appears in Quarterly Reporting Period  </w:t>
            </w:r>
          </w:p>
        </w:tc>
        <w:tc>
          <w:tcPr>
            <w:tcW w:w="1958" w:type="dxa"/>
            <w:tcBorders>
              <w:top w:val="single" w:sz="6" w:space="0" w:color="4472C4" w:themeColor="accent1"/>
              <w:bottom w:val="single" w:sz="6" w:space="0" w:color="4472C4" w:themeColor="accent1"/>
              <w:right w:val="single" w:sz="6" w:space="0" w:color="4472C4" w:themeColor="accent1"/>
            </w:tcBorders>
          </w:tcPr>
          <w:p w:rsidR="4CA16BA3" w:rsidP="4CA16BA3" w14:paraId="328CA528" w14:textId="53972672">
            <w:pPr>
              <w:rPr>
                <w:rFonts w:ascii="Calibri" w:eastAsia="Calibri" w:hAnsi="Calibri" w:cs="Calibri"/>
                <w:b w:val="0"/>
                <w:bCs w:val="0"/>
              </w:rPr>
            </w:pPr>
            <w:r w:rsidRPr="4CA16BA3">
              <w:rPr>
                <w:rFonts w:ascii="Calibri" w:eastAsia="Calibri" w:hAnsi="Calibri" w:cs="Calibri"/>
              </w:rPr>
              <w:t xml:space="preserve">Due Date  </w:t>
            </w:r>
          </w:p>
        </w:tc>
      </w:tr>
      <w:tr w14:paraId="53D3664B" w14:textId="77777777" w:rsidTr="4CA16BA3">
        <w:tblPrEx>
          <w:tblW w:w="0" w:type="auto"/>
          <w:tblLayout w:type="fixed"/>
          <w:tblLook w:val="04A0"/>
        </w:tblPrEx>
        <w:trPr>
          <w:trHeight w:val="405"/>
        </w:trPr>
        <w:tc>
          <w:tcPr>
            <w:tcW w:w="2438" w:type="dxa"/>
          </w:tcPr>
          <w:p w:rsidR="4CA16BA3" w:rsidP="4CA16BA3" w14:paraId="111722FF" w14:textId="76A79AAC">
            <w:pPr>
              <w:rPr>
                <w:rFonts w:ascii="Calibri" w:eastAsia="Calibri" w:hAnsi="Calibri" w:cs="Calibri"/>
                <w:color w:val="323A45"/>
              </w:rPr>
            </w:pPr>
            <w:r w:rsidRPr="4CA16BA3">
              <w:rPr>
                <w:rFonts w:ascii="Calibri" w:eastAsia="Calibri" w:hAnsi="Calibri" w:cs="Calibri"/>
                <w:b w:val="0"/>
                <w:bCs w:val="0"/>
                <w:color w:val="323A45"/>
              </w:rPr>
              <w:t xml:space="preserve">FY Q1 </w:t>
            </w:r>
          </w:p>
        </w:tc>
        <w:tc>
          <w:tcPr>
            <w:tcW w:w="2040" w:type="dxa"/>
          </w:tcPr>
          <w:p w:rsidR="4CA16BA3" w:rsidP="4CA16BA3" w14:paraId="05AB7D1B" w14:textId="048B7CFC">
            <w:pPr>
              <w:rPr>
                <w:rFonts w:ascii="Calibri" w:eastAsia="Calibri" w:hAnsi="Calibri" w:cs="Calibri"/>
                <w:color w:val="323A45"/>
              </w:rPr>
            </w:pPr>
            <w:r w:rsidRPr="4CA16BA3">
              <w:rPr>
                <w:rFonts w:ascii="Calibri" w:eastAsia="Calibri" w:hAnsi="Calibri" w:cs="Calibri"/>
                <w:color w:val="323A45"/>
              </w:rPr>
              <w:t>FY Q2</w:t>
            </w:r>
          </w:p>
        </w:tc>
        <w:tc>
          <w:tcPr>
            <w:tcW w:w="2850" w:type="dxa"/>
          </w:tcPr>
          <w:p w:rsidR="4CA16BA3" w:rsidP="4CA16BA3" w14:paraId="005715DF" w14:textId="71A19729">
            <w:pPr>
              <w:rPr>
                <w:rFonts w:ascii="Calibri" w:eastAsia="Calibri" w:hAnsi="Calibri" w:cs="Calibri"/>
                <w:color w:val="323A45"/>
              </w:rPr>
            </w:pPr>
            <w:r w:rsidRPr="4CA16BA3">
              <w:rPr>
                <w:rFonts w:ascii="Calibri" w:eastAsia="Calibri" w:hAnsi="Calibri" w:cs="Calibri"/>
                <w:color w:val="323A45"/>
              </w:rPr>
              <w:t xml:space="preserve">FY Q1, October-December  </w:t>
            </w:r>
          </w:p>
        </w:tc>
        <w:tc>
          <w:tcPr>
            <w:tcW w:w="1958" w:type="dxa"/>
          </w:tcPr>
          <w:p w:rsidR="4CA16BA3" w:rsidP="4CA16BA3" w14:paraId="30704D46" w14:textId="7A5FEE81">
            <w:pPr>
              <w:rPr>
                <w:rFonts w:ascii="Calibri" w:eastAsia="Calibri" w:hAnsi="Calibri" w:cs="Calibri"/>
                <w:color w:val="323A45"/>
              </w:rPr>
            </w:pPr>
            <w:r>
              <w:rPr>
                <w:rFonts w:ascii="Calibri" w:eastAsia="Calibri" w:hAnsi="Calibri" w:cs="Calibri"/>
                <w:color w:val="323A45"/>
              </w:rPr>
              <w:t>May 15</w:t>
            </w:r>
          </w:p>
        </w:tc>
      </w:tr>
      <w:tr w14:paraId="7B634320" w14:textId="77777777" w:rsidTr="4CA16BA3">
        <w:tblPrEx>
          <w:tblW w:w="0" w:type="auto"/>
          <w:tblLayout w:type="fixed"/>
          <w:tblLook w:val="04A0"/>
        </w:tblPrEx>
        <w:trPr>
          <w:trHeight w:val="405"/>
        </w:trPr>
        <w:tc>
          <w:tcPr>
            <w:tcW w:w="2438" w:type="dxa"/>
          </w:tcPr>
          <w:p w:rsidR="4CA16BA3" w:rsidP="4CA16BA3" w14:paraId="55FA6A77" w14:textId="6E3516DC">
            <w:pPr>
              <w:rPr>
                <w:rFonts w:ascii="Calibri" w:eastAsia="Calibri" w:hAnsi="Calibri" w:cs="Calibri"/>
                <w:color w:val="323A45"/>
              </w:rPr>
            </w:pPr>
            <w:r w:rsidRPr="4CA16BA3">
              <w:rPr>
                <w:rFonts w:ascii="Calibri" w:eastAsia="Calibri" w:hAnsi="Calibri" w:cs="Calibri"/>
                <w:b w:val="0"/>
                <w:bCs w:val="0"/>
                <w:color w:val="323A45"/>
              </w:rPr>
              <w:t xml:space="preserve">FY Q2 </w:t>
            </w:r>
          </w:p>
        </w:tc>
        <w:tc>
          <w:tcPr>
            <w:tcW w:w="2040" w:type="dxa"/>
          </w:tcPr>
          <w:p w:rsidR="4CA16BA3" w:rsidP="4CA16BA3" w14:paraId="3A5AC1E8" w14:textId="6CB0691F">
            <w:pPr>
              <w:rPr>
                <w:rFonts w:ascii="Calibri" w:eastAsia="Calibri" w:hAnsi="Calibri" w:cs="Calibri"/>
                <w:color w:val="323A45"/>
              </w:rPr>
            </w:pPr>
            <w:r w:rsidRPr="4CA16BA3">
              <w:rPr>
                <w:rFonts w:ascii="Calibri" w:eastAsia="Calibri" w:hAnsi="Calibri" w:cs="Calibri"/>
                <w:color w:val="323A45"/>
              </w:rPr>
              <w:t>FY Q3</w:t>
            </w:r>
          </w:p>
        </w:tc>
        <w:tc>
          <w:tcPr>
            <w:tcW w:w="2850" w:type="dxa"/>
          </w:tcPr>
          <w:p w:rsidR="4CA16BA3" w:rsidP="4CA16BA3" w14:paraId="15287600" w14:textId="317FDFD2">
            <w:pPr>
              <w:rPr>
                <w:rFonts w:ascii="Calibri" w:eastAsia="Calibri" w:hAnsi="Calibri" w:cs="Calibri"/>
                <w:color w:val="323A45"/>
              </w:rPr>
            </w:pPr>
            <w:r w:rsidRPr="4CA16BA3">
              <w:rPr>
                <w:rFonts w:ascii="Calibri" w:eastAsia="Calibri" w:hAnsi="Calibri" w:cs="Calibri"/>
                <w:color w:val="323A45"/>
              </w:rPr>
              <w:t xml:space="preserve">FY Q2, January-March  </w:t>
            </w:r>
          </w:p>
        </w:tc>
        <w:tc>
          <w:tcPr>
            <w:tcW w:w="1958" w:type="dxa"/>
          </w:tcPr>
          <w:p w:rsidR="4CA16BA3" w:rsidP="4CA16BA3" w14:paraId="747F8CAC" w14:textId="5912C39C">
            <w:pPr>
              <w:rPr>
                <w:rFonts w:ascii="Calibri" w:eastAsia="Calibri" w:hAnsi="Calibri" w:cs="Calibri"/>
                <w:color w:val="323A45"/>
              </w:rPr>
            </w:pPr>
            <w:r>
              <w:rPr>
                <w:rFonts w:ascii="Calibri" w:eastAsia="Calibri" w:hAnsi="Calibri" w:cs="Calibri"/>
                <w:color w:val="323A45"/>
              </w:rPr>
              <w:t>August 14</w:t>
            </w:r>
            <w:r w:rsidRPr="4CA16BA3">
              <w:rPr>
                <w:rFonts w:ascii="Calibri" w:eastAsia="Calibri" w:hAnsi="Calibri" w:cs="Calibri"/>
                <w:color w:val="323A45"/>
              </w:rPr>
              <w:t xml:space="preserve"> </w:t>
            </w:r>
          </w:p>
        </w:tc>
      </w:tr>
      <w:tr w14:paraId="4A60A7C6" w14:textId="77777777" w:rsidTr="4CA16BA3">
        <w:tblPrEx>
          <w:tblW w:w="0" w:type="auto"/>
          <w:tblLayout w:type="fixed"/>
          <w:tblLook w:val="04A0"/>
        </w:tblPrEx>
        <w:trPr>
          <w:trHeight w:val="405"/>
        </w:trPr>
        <w:tc>
          <w:tcPr>
            <w:tcW w:w="2438" w:type="dxa"/>
          </w:tcPr>
          <w:p w:rsidR="4CA16BA3" w:rsidP="4CA16BA3" w14:paraId="7E1B4481" w14:textId="7A08ABBE">
            <w:pPr>
              <w:rPr>
                <w:rFonts w:ascii="Calibri" w:eastAsia="Calibri" w:hAnsi="Calibri" w:cs="Calibri"/>
                <w:color w:val="323A45"/>
              </w:rPr>
            </w:pPr>
            <w:r w:rsidRPr="4CA16BA3">
              <w:rPr>
                <w:rFonts w:ascii="Calibri" w:eastAsia="Calibri" w:hAnsi="Calibri" w:cs="Calibri"/>
                <w:b w:val="0"/>
                <w:bCs w:val="0"/>
                <w:color w:val="323A45"/>
              </w:rPr>
              <w:t xml:space="preserve">FY Q3 </w:t>
            </w:r>
          </w:p>
        </w:tc>
        <w:tc>
          <w:tcPr>
            <w:tcW w:w="2040" w:type="dxa"/>
          </w:tcPr>
          <w:p w:rsidR="4CA16BA3" w:rsidP="4CA16BA3" w14:paraId="733A9889" w14:textId="4F5E698C">
            <w:pPr>
              <w:rPr>
                <w:rFonts w:ascii="Calibri" w:eastAsia="Calibri" w:hAnsi="Calibri" w:cs="Calibri"/>
                <w:color w:val="323A45"/>
              </w:rPr>
            </w:pPr>
            <w:r w:rsidRPr="4CA16BA3">
              <w:rPr>
                <w:rFonts w:ascii="Calibri" w:eastAsia="Calibri" w:hAnsi="Calibri" w:cs="Calibri"/>
                <w:color w:val="323A45"/>
              </w:rPr>
              <w:t>FY Q4</w:t>
            </w:r>
          </w:p>
        </w:tc>
        <w:tc>
          <w:tcPr>
            <w:tcW w:w="2850" w:type="dxa"/>
          </w:tcPr>
          <w:p w:rsidR="4CA16BA3" w:rsidP="4CA16BA3" w14:paraId="25502712" w14:textId="07040C04">
            <w:pPr>
              <w:rPr>
                <w:rFonts w:ascii="Calibri" w:eastAsia="Calibri" w:hAnsi="Calibri" w:cs="Calibri"/>
                <w:color w:val="323A45"/>
              </w:rPr>
            </w:pPr>
            <w:r w:rsidRPr="4CA16BA3">
              <w:rPr>
                <w:rFonts w:ascii="Calibri" w:eastAsia="Calibri" w:hAnsi="Calibri" w:cs="Calibri"/>
                <w:color w:val="323A45"/>
              </w:rPr>
              <w:t xml:space="preserve">FY Q3, April-June </w:t>
            </w:r>
          </w:p>
        </w:tc>
        <w:tc>
          <w:tcPr>
            <w:tcW w:w="1958" w:type="dxa"/>
          </w:tcPr>
          <w:p w:rsidR="4CA16BA3" w:rsidP="4CA16BA3" w14:paraId="1D13174E" w14:textId="17284662">
            <w:pPr>
              <w:rPr>
                <w:rFonts w:ascii="Calibri" w:eastAsia="Calibri" w:hAnsi="Calibri" w:cs="Calibri"/>
                <w:color w:val="323A45"/>
              </w:rPr>
            </w:pPr>
            <w:r>
              <w:rPr>
                <w:rFonts w:ascii="Calibri" w:eastAsia="Calibri" w:hAnsi="Calibri" w:cs="Calibri"/>
                <w:color w:val="323A45"/>
              </w:rPr>
              <w:t>November 14</w:t>
            </w:r>
            <w:r w:rsidRPr="4CA16BA3">
              <w:rPr>
                <w:rFonts w:ascii="Calibri" w:eastAsia="Calibri" w:hAnsi="Calibri" w:cs="Calibri"/>
                <w:color w:val="323A45"/>
              </w:rPr>
              <w:t xml:space="preserve"> </w:t>
            </w:r>
          </w:p>
        </w:tc>
      </w:tr>
      <w:tr w14:paraId="284E8C33" w14:textId="77777777" w:rsidTr="4CA16BA3">
        <w:tblPrEx>
          <w:tblW w:w="0" w:type="auto"/>
          <w:tblLayout w:type="fixed"/>
          <w:tblLook w:val="04A0"/>
        </w:tblPrEx>
        <w:trPr>
          <w:trHeight w:val="405"/>
        </w:trPr>
        <w:tc>
          <w:tcPr>
            <w:tcW w:w="2438" w:type="dxa"/>
          </w:tcPr>
          <w:p w:rsidR="4CA16BA3" w:rsidP="4CA16BA3" w14:paraId="3C5B4CE1" w14:textId="1FCCDC70">
            <w:pPr>
              <w:rPr>
                <w:rFonts w:ascii="Calibri" w:eastAsia="Calibri" w:hAnsi="Calibri" w:cs="Calibri"/>
                <w:color w:val="323A45"/>
              </w:rPr>
            </w:pPr>
            <w:r w:rsidRPr="4CA16BA3">
              <w:rPr>
                <w:rFonts w:ascii="Calibri" w:eastAsia="Calibri" w:hAnsi="Calibri" w:cs="Calibri"/>
                <w:b w:val="0"/>
                <w:bCs w:val="0"/>
                <w:color w:val="323A45"/>
              </w:rPr>
              <w:t xml:space="preserve">FY Q4 </w:t>
            </w:r>
          </w:p>
        </w:tc>
        <w:tc>
          <w:tcPr>
            <w:tcW w:w="2040" w:type="dxa"/>
          </w:tcPr>
          <w:p w:rsidR="4CA16BA3" w:rsidP="4CA16BA3" w14:paraId="749A265C" w14:textId="12D46B75">
            <w:pPr>
              <w:rPr>
                <w:rFonts w:ascii="Calibri" w:eastAsia="Calibri" w:hAnsi="Calibri" w:cs="Calibri"/>
                <w:color w:val="323A45"/>
              </w:rPr>
            </w:pPr>
            <w:r w:rsidRPr="4CA16BA3">
              <w:rPr>
                <w:rFonts w:ascii="Calibri" w:eastAsia="Calibri" w:hAnsi="Calibri" w:cs="Calibri"/>
                <w:color w:val="323A45"/>
              </w:rPr>
              <w:t>Following FY Q1</w:t>
            </w:r>
          </w:p>
        </w:tc>
        <w:tc>
          <w:tcPr>
            <w:tcW w:w="2850" w:type="dxa"/>
          </w:tcPr>
          <w:p w:rsidR="4CA16BA3" w:rsidP="4CA16BA3" w14:paraId="68702BDB" w14:textId="7178BAB7">
            <w:pPr>
              <w:rPr>
                <w:rFonts w:ascii="Calibri" w:eastAsia="Calibri" w:hAnsi="Calibri" w:cs="Calibri"/>
                <w:color w:val="323A45"/>
              </w:rPr>
            </w:pPr>
            <w:r w:rsidRPr="4CA16BA3">
              <w:rPr>
                <w:rFonts w:ascii="Calibri" w:eastAsia="Calibri" w:hAnsi="Calibri" w:cs="Calibri"/>
                <w:color w:val="323A45"/>
              </w:rPr>
              <w:t xml:space="preserve">FY Q4, July-September </w:t>
            </w:r>
          </w:p>
        </w:tc>
        <w:tc>
          <w:tcPr>
            <w:tcW w:w="1958" w:type="dxa"/>
          </w:tcPr>
          <w:p w:rsidR="4CA16BA3" w:rsidP="4CA16BA3" w14:paraId="0A7BAEFA" w14:textId="1E6BE36C">
            <w:pPr>
              <w:rPr>
                <w:rFonts w:ascii="Calibri" w:eastAsia="Calibri" w:hAnsi="Calibri" w:cs="Calibri"/>
                <w:color w:val="323A45"/>
              </w:rPr>
            </w:pPr>
            <w:r>
              <w:rPr>
                <w:rFonts w:ascii="Calibri" w:eastAsia="Calibri" w:hAnsi="Calibri" w:cs="Calibri"/>
                <w:color w:val="323A45"/>
              </w:rPr>
              <w:t>February 14</w:t>
            </w:r>
          </w:p>
        </w:tc>
      </w:tr>
    </w:tbl>
    <w:p w:rsidR="385CDCEF" w:rsidRPr="005C3611" w:rsidP="4CA16BA3" w14:paraId="4BB4E40C" w14:textId="0227C464"/>
    <w:p w:rsidR="385CDCEF" w:rsidRPr="005C3611" w:rsidP="4CA16BA3" w14:paraId="76AD5180" w14:textId="668373CD">
      <w:pPr>
        <w:rPr>
          <w:rFonts w:ascii="Calibri" w:hAnsi="Calibri" w:cs="Calibri"/>
        </w:rPr>
      </w:pPr>
      <w:r>
        <w:t xml:space="preserve">The data file should be submitted in a CSV (comma separated values) format with the following columns (without headers):  </w:t>
      </w:r>
    </w:p>
    <w:p w:rsidR="00924BAB" w:rsidP="005C3611" w14:paraId="770EAC9E" w14:textId="25CF2D59">
      <w:pPr>
        <w:rPr>
          <w:rStyle w:val="normaltextrun"/>
          <w:rFonts w:ascii="Calibri" w:hAnsi="Calibri" w:cs="Calibri"/>
          <w:color w:val="000000" w:themeColor="text1"/>
        </w:rPr>
      </w:pPr>
      <w:r w:rsidRPr="4D4B72C8">
        <w:rPr>
          <w:rStyle w:val="normaltextrun"/>
          <w:rFonts w:ascii="Calibri" w:hAnsi="Calibri" w:cs="Calibri"/>
          <w:color w:val="000000" w:themeColor="text1"/>
          <w:u w:val="single"/>
        </w:rPr>
        <w:t>Exit Year and Month</w:t>
      </w:r>
      <w:r w:rsidRPr="4D4B72C8">
        <w:rPr>
          <w:rStyle w:val="normaltextrun"/>
          <w:rFonts w:ascii="Calibri" w:hAnsi="Calibri" w:cs="Calibri"/>
          <w:color w:val="000000" w:themeColor="text1"/>
        </w:rPr>
        <w:t>: Enter the four-digit year and two-digit month codes (YYYYMM) for the month in which the individual exited.</w:t>
      </w:r>
    </w:p>
    <w:p w:rsidR="00CB05BA" w:rsidRPr="00AF0DDE" w:rsidP="19182C55" w14:paraId="586198D8" w14:textId="20CB670D">
      <w:pPr>
        <w:spacing w:beforeAutospacing="1" w:after="0" w:afterAutospacing="1" w:line="240" w:lineRule="auto"/>
        <w:rPr>
          <w:shd w:val="clear" w:color="auto" w:fill="FFFFFF"/>
        </w:rPr>
      </w:pPr>
      <w:r w:rsidRPr="4CA16BA3">
        <w:rPr>
          <w:u w:val="single"/>
        </w:rPr>
        <w:t>Social Security Number:</w:t>
      </w:r>
      <w:r>
        <w:t xml:space="preserve"> Enter the Social Security Number (SSN) for </w:t>
      </w:r>
      <w:r w:rsidR="67F2ACA1">
        <w:t>each</w:t>
      </w:r>
      <w:r w:rsidR="2254D9D2">
        <w:t xml:space="preserve"> individual</w:t>
      </w:r>
      <w:r w:rsidR="2254D9D2">
        <w:t xml:space="preserve"> </w:t>
      </w:r>
      <w:r w:rsidR="6BB596A4">
        <w:t xml:space="preserve">who exited during </w:t>
      </w:r>
      <w:r>
        <w:t xml:space="preserve">the </w:t>
      </w:r>
      <w:r w:rsidR="6BB596A4">
        <w:t xml:space="preserve">performance period for which the data are being reported. All SSNs should be </w:t>
      </w:r>
      <w:r w:rsidR="7EB1DF83">
        <w:t>nine-digit</w:t>
      </w:r>
      <w:r w:rsidR="2183D1E4">
        <w:t xml:space="preserve">s, include only numeric values, with no dashes or spaces. </w:t>
      </w:r>
      <w:r w:rsidR="00DC701D">
        <w:t xml:space="preserve">Additionally, </w:t>
      </w:r>
      <w:r w:rsidRPr="19182C55" w:rsidR="003E0403">
        <w:t>SSNs cannot contain all zeros in any digit group (e.g., </w:t>
      </w:r>
      <w:r w:rsidRPr="19182C55" w:rsidR="003E0403">
        <w:rPr>
          <w:rStyle w:val="HTMLCode"/>
          <w:rFonts w:asciiTheme="minorHAnsi" w:eastAsiaTheme="minorEastAsia" w:hAnsiTheme="minorHAnsi" w:cstheme="minorBidi"/>
          <w:sz w:val="22"/>
          <w:szCs w:val="22"/>
        </w:rPr>
        <w:t>000-XX-XXXX</w:t>
      </w:r>
      <w:r w:rsidRPr="19182C55" w:rsidR="003E0403">
        <w:t>, </w:t>
      </w:r>
      <w:r w:rsidRPr="19182C55" w:rsidR="003E0403">
        <w:rPr>
          <w:rStyle w:val="HTMLCode"/>
          <w:rFonts w:asciiTheme="minorHAnsi" w:eastAsiaTheme="minorEastAsia" w:hAnsiTheme="minorHAnsi" w:cstheme="minorBidi"/>
          <w:sz w:val="22"/>
          <w:szCs w:val="22"/>
        </w:rPr>
        <w:t>XXX-00-XXXX</w:t>
      </w:r>
      <w:r w:rsidRPr="19182C55" w:rsidR="003E0403">
        <w:t>, </w:t>
      </w:r>
      <w:r w:rsidRPr="19182C55" w:rsidR="003E0403">
        <w:rPr>
          <w:rStyle w:val="HTMLCode"/>
          <w:rFonts w:asciiTheme="minorHAnsi" w:eastAsiaTheme="minorEastAsia" w:hAnsiTheme="minorHAnsi" w:cstheme="minorBidi"/>
          <w:sz w:val="22"/>
          <w:szCs w:val="22"/>
        </w:rPr>
        <w:t>XXX-XX-0000</w:t>
      </w:r>
      <w:r w:rsidRPr="19182C55" w:rsidR="003E0403">
        <w:t>) and SSNs should not be repeated numbers like </w:t>
      </w:r>
      <w:r w:rsidRPr="19182C55" w:rsidR="003E0403">
        <w:rPr>
          <w:rStyle w:val="HTMLCode"/>
          <w:rFonts w:asciiTheme="minorHAnsi" w:eastAsiaTheme="minorEastAsia" w:hAnsiTheme="minorHAnsi" w:cstheme="minorBidi"/>
          <w:sz w:val="22"/>
          <w:szCs w:val="22"/>
        </w:rPr>
        <w:t>111-11-1111</w:t>
      </w:r>
      <w:r w:rsidRPr="19182C55" w:rsidR="003E0403">
        <w:t xml:space="preserve">. </w:t>
      </w:r>
    </w:p>
    <w:p w:rsidR="009B54C5" w:rsidRPr="00E230F0" w:rsidP="00FD6BC6" w14:paraId="585B95CB" w14:textId="11BC8E0B">
      <w:pPr>
        <w:rPr>
          <w:rStyle w:val="normaltextrun"/>
          <w:rFonts w:eastAsia="Calibri"/>
          <w:color w:val="000000" w:themeColor="text1"/>
        </w:rPr>
      </w:pPr>
      <w:r>
        <w:rPr>
          <w:rStyle w:val="normaltextrun"/>
          <w:rFonts w:ascii="Calibri" w:eastAsia="Calibri" w:hAnsi="Calibri" w:cs="Calibri"/>
          <w:color w:val="000000" w:themeColor="text1"/>
        </w:rPr>
        <w:t xml:space="preserve">The only exception is if a WEI does not have an SSN, in which case the individual </w:t>
      </w:r>
      <w:r w:rsidRPr="4CA16BA3" w:rsidR="5270D041">
        <w:rPr>
          <w:rStyle w:val="normaltextrun"/>
          <w:rFonts w:ascii="Calibri" w:eastAsia="Calibri" w:hAnsi="Calibri" w:cs="Calibri"/>
          <w:color w:val="000000" w:themeColor="text1"/>
        </w:rPr>
        <w:t xml:space="preserve"> should be reported as “999999999” </w:t>
      </w:r>
      <w:r w:rsidRPr="4CA16BA3" w:rsidR="5270D041">
        <w:rPr>
          <w:rStyle w:val="normaltextrun"/>
          <w:rFonts w:ascii="Calibri" w:eastAsia="Calibri" w:hAnsi="Calibri" w:cs="Calibri"/>
          <w:color w:val="000000" w:themeColor="text1"/>
        </w:rPr>
        <w:t>in order to</w:t>
      </w:r>
      <w:r w:rsidRPr="4CA16BA3" w:rsidR="5270D041">
        <w:rPr>
          <w:rStyle w:val="normaltextrun"/>
          <w:rFonts w:ascii="Calibri" w:eastAsia="Calibri" w:hAnsi="Calibri" w:cs="Calibri"/>
          <w:color w:val="000000" w:themeColor="text1"/>
        </w:rPr>
        <w:t xml:space="preserve"> get a sense of the true </w:t>
      </w:r>
      <w:r w:rsidRPr="53DBCC04" w:rsidR="5270D041">
        <w:rPr>
          <w:rStyle w:val="normaltextrun"/>
          <w:rFonts w:ascii="Calibri" w:eastAsia="Calibri" w:hAnsi="Calibri" w:cs="Calibri"/>
          <w:color w:val="000000" w:themeColor="text1"/>
        </w:rPr>
        <w:t>exiting</w:t>
      </w:r>
      <w:r w:rsidRPr="4CA16BA3" w:rsidR="5270D041">
        <w:rPr>
          <w:rStyle w:val="normaltextrun"/>
          <w:rFonts w:ascii="Calibri" w:eastAsia="Calibri" w:hAnsi="Calibri" w:cs="Calibri"/>
          <w:color w:val="000000" w:themeColor="text1"/>
        </w:rPr>
        <w:t xml:space="preserve"> population and to understand missingness in the </w:t>
      </w:r>
      <w:r w:rsidR="00DC701D">
        <w:rPr>
          <w:rStyle w:val="normaltextrun"/>
          <w:rFonts w:ascii="Calibri" w:eastAsia="Calibri" w:hAnsi="Calibri" w:cs="Calibri"/>
          <w:color w:val="000000" w:themeColor="text1"/>
        </w:rPr>
        <w:t xml:space="preserve">work </w:t>
      </w:r>
      <w:r w:rsidRPr="4CA16BA3" w:rsidR="5270D041">
        <w:rPr>
          <w:rStyle w:val="normaltextrun"/>
          <w:rFonts w:ascii="Calibri" w:eastAsia="Calibri" w:hAnsi="Calibri" w:cs="Calibri"/>
          <w:color w:val="000000" w:themeColor="text1"/>
        </w:rPr>
        <w:t xml:space="preserve">outcomes measures. Since those individuals won’t be able to be matched with </w:t>
      </w:r>
      <w:r w:rsidRPr="53DBCC04" w:rsidR="5270D041">
        <w:rPr>
          <w:rStyle w:val="normaltextrun"/>
          <w:rFonts w:eastAsia="Calibri"/>
          <w:color w:val="000000" w:themeColor="text1"/>
        </w:rPr>
        <w:t>the National Directory of New Hires, any positive work outcomes would only be captured if a state chooses to submit a Supplemental Work Outcomes report and includes those individuals. </w:t>
      </w:r>
    </w:p>
    <w:p w:rsidR="00DA588B" w:rsidRPr="00E230F0" w:rsidP="4CA16BA3" w14:paraId="31083FE6" w14:textId="080F0BAC">
      <w:pPr>
        <w:rPr>
          <w:rFonts w:eastAsia="Calibri" w:cstheme="minorHAnsi"/>
        </w:rPr>
      </w:pPr>
    </w:p>
    <w:p w:rsidR="00DA588B" w:rsidP="00CB05BA" w14:paraId="25BEFF62" w14:textId="6091DCF2">
      <w:r>
        <w:t xml:space="preserve">Electronic Transmission File Layout for Work Outcomes of TANF </w:t>
      </w:r>
      <w:r>
        <w:t>Exiters</w:t>
      </w:r>
    </w:p>
    <w:tbl>
      <w:tblPr>
        <w:tblStyle w:val="TableGrid"/>
        <w:tblW w:w="9270" w:type="dxa"/>
        <w:tblLook w:val="04A0"/>
      </w:tblPr>
      <w:tblGrid>
        <w:gridCol w:w="1870"/>
        <w:gridCol w:w="1110"/>
        <w:gridCol w:w="1775"/>
        <w:gridCol w:w="4515"/>
      </w:tblGrid>
      <w:tr w14:paraId="3D1D9A0F" w14:textId="77777777" w:rsidTr="4CA16BA3">
        <w:tblPrEx>
          <w:tblW w:w="9270" w:type="dxa"/>
          <w:tblLook w:val="04A0"/>
        </w:tblPrEx>
        <w:tc>
          <w:tcPr>
            <w:tcW w:w="1870" w:type="dxa"/>
          </w:tcPr>
          <w:p w:rsidR="00DA588B" w14:paraId="26D8A690" w14:textId="296F249E">
            <w:r>
              <w:t>Field Name</w:t>
            </w:r>
          </w:p>
        </w:tc>
        <w:tc>
          <w:tcPr>
            <w:tcW w:w="1110" w:type="dxa"/>
          </w:tcPr>
          <w:p w:rsidR="00DA588B" w14:paraId="607A9FD4" w14:textId="505AE216">
            <w:r>
              <w:t>Length</w:t>
            </w:r>
          </w:p>
        </w:tc>
        <w:tc>
          <w:tcPr>
            <w:tcW w:w="1775" w:type="dxa"/>
          </w:tcPr>
          <w:p w:rsidR="00DA588B" w14:paraId="5B5266B9" w14:textId="0ADB17D2">
            <w:r>
              <w:t>Alpha/Numeric</w:t>
            </w:r>
          </w:p>
        </w:tc>
        <w:tc>
          <w:tcPr>
            <w:tcW w:w="4515" w:type="dxa"/>
          </w:tcPr>
          <w:p w:rsidR="00DA588B" w14:paraId="033BB7D4" w14:textId="7211D65C">
            <w:r>
              <w:t>Comments</w:t>
            </w:r>
          </w:p>
        </w:tc>
      </w:tr>
      <w:tr w14:paraId="7958A64C" w14:textId="77777777" w:rsidTr="4CA16BA3">
        <w:tblPrEx>
          <w:tblW w:w="9270" w:type="dxa"/>
          <w:tblLook w:val="04A0"/>
        </w:tblPrEx>
        <w:trPr>
          <w:trHeight w:val="300"/>
        </w:trPr>
        <w:tc>
          <w:tcPr>
            <w:tcW w:w="1870" w:type="dxa"/>
          </w:tcPr>
          <w:p w:rsidR="06AC0E8F" w:rsidP="4D4B72C8" w14:paraId="1E8C3391" w14:textId="1C63D0AB">
            <w:r>
              <w:t>Exit Year and Month</w:t>
            </w:r>
          </w:p>
        </w:tc>
        <w:tc>
          <w:tcPr>
            <w:tcW w:w="1110" w:type="dxa"/>
          </w:tcPr>
          <w:p w:rsidR="06AC0E8F" w:rsidP="4D4B72C8" w14:paraId="5768AAA3" w14:textId="758D1D34">
            <w:r>
              <w:t>6</w:t>
            </w:r>
          </w:p>
        </w:tc>
        <w:tc>
          <w:tcPr>
            <w:tcW w:w="1775" w:type="dxa"/>
          </w:tcPr>
          <w:p w:rsidR="06AC0E8F" w:rsidP="4D4B72C8" w14:paraId="34EA367B" w14:textId="2FDD3EA3">
            <w:r>
              <w:t>N</w:t>
            </w:r>
          </w:p>
        </w:tc>
        <w:tc>
          <w:tcPr>
            <w:tcW w:w="4515" w:type="dxa"/>
          </w:tcPr>
          <w:p w:rsidR="06AC0E8F" w:rsidP="3428DC7F" w14:paraId="23A7E398" w14:textId="443F6840">
            <w:r>
              <w:t xml:space="preserve">YYYYMM; </w:t>
            </w:r>
            <w:r w:rsidR="22F6DE2E">
              <w:t>Numeric</w:t>
            </w:r>
            <w:r w:rsidR="011DF2C0">
              <w:t xml:space="preserve">; </w:t>
            </w:r>
            <w:r w:rsidR="35B4E06C">
              <w:t>Year&gt;</w:t>
            </w:r>
            <w:r w:rsidR="00D201AC">
              <w:t>2024</w:t>
            </w:r>
            <w:r w:rsidR="35B4E06C">
              <w:t xml:space="preserve">; </w:t>
            </w:r>
            <w:r w:rsidR="011DF2C0">
              <w:t xml:space="preserve">Month 01-12; </w:t>
            </w:r>
          </w:p>
        </w:tc>
      </w:tr>
      <w:tr w14:paraId="66D2B5AD" w14:textId="77777777" w:rsidTr="4CA16BA3">
        <w:tblPrEx>
          <w:tblW w:w="9270" w:type="dxa"/>
          <w:tblLook w:val="04A0"/>
        </w:tblPrEx>
        <w:tc>
          <w:tcPr>
            <w:tcW w:w="1870" w:type="dxa"/>
          </w:tcPr>
          <w:p w:rsidR="00DA588B" w14:paraId="33AC157B" w14:textId="2A1CAEAC">
            <w:r>
              <w:t>Social Security Number</w:t>
            </w:r>
          </w:p>
        </w:tc>
        <w:tc>
          <w:tcPr>
            <w:tcW w:w="1110" w:type="dxa"/>
          </w:tcPr>
          <w:p w:rsidR="00DA588B" w14:paraId="6BC0D5F7" w14:textId="2965D234">
            <w:r>
              <w:t>9</w:t>
            </w:r>
          </w:p>
        </w:tc>
        <w:tc>
          <w:tcPr>
            <w:tcW w:w="1775" w:type="dxa"/>
          </w:tcPr>
          <w:p w:rsidR="00DA588B" w14:paraId="5FDD4D1B" w14:textId="423DE6F0">
            <w:r>
              <w:t>N</w:t>
            </w:r>
          </w:p>
        </w:tc>
        <w:tc>
          <w:tcPr>
            <w:tcW w:w="4515" w:type="dxa"/>
          </w:tcPr>
          <w:p w:rsidR="00CB05BA" w:rsidP="009B75A3" w14:paraId="47E3DFB2" w14:textId="152F4E33">
            <w:r>
              <w:t xml:space="preserve">Numeric; 9-digits; </w:t>
            </w:r>
            <w:r w:rsidR="00DA588B">
              <w:t>no dashes or spaces</w:t>
            </w:r>
            <w:r w:rsidR="00B0513F">
              <w:t>; no digit group is all zeros</w:t>
            </w:r>
            <w:r w:rsidR="008704CB">
              <w:t xml:space="preserve"> </w:t>
            </w:r>
            <w:r w:rsidRPr="00E230F0" w:rsidR="008704CB">
              <w:rPr>
                <w:rFonts w:cstheme="minorHAnsi"/>
                <w:spacing w:val="2"/>
              </w:rPr>
              <w:t>(e.g., </w:t>
            </w:r>
            <w:r w:rsidRPr="00E230F0" w:rsidR="008704CB">
              <w:rPr>
                <w:rStyle w:val="HTMLCode"/>
                <w:rFonts w:asciiTheme="minorHAnsi" w:eastAsiaTheme="minorHAnsi" w:hAnsiTheme="minorHAnsi" w:cstheme="minorHAnsi"/>
                <w:spacing w:val="2"/>
                <w:sz w:val="22"/>
                <w:szCs w:val="22"/>
              </w:rPr>
              <w:t>000-XX-XXXX</w:t>
            </w:r>
            <w:r w:rsidRPr="00E230F0" w:rsidR="008704CB">
              <w:rPr>
                <w:rFonts w:cstheme="minorHAnsi"/>
                <w:spacing w:val="2"/>
              </w:rPr>
              <w:t>, </w:t>
            </w:r>
            <w:r w:rsidRPr="00E230F0" w:rsidR="008704CB">
              <w:rPr>
                <w:rStyle w:val="HTMLCode"/>
                <w:rFonts w:asciiTheme="minorHAnsi" w:eastAsiaTheme="minorHAnsi" w:hAnsiTheme="minorHAnsi" w:cstheme="minorHAnsi"/>
                <w:spacing w:val="2"/>
                <w:sz w:val="22"/>
                <w:szCs w:val="22"/>
              </w:rPr>
              <w:t>XXX-00-XXXX</w:t>
            </w:r>
            <w:r w:rsidRPr="00E230F0" w:rsidR="008704CB">
              <w:rPr>
                <w:rFonts w:cstheme="minorHAnsi"/>
                <w:spacing w:val="2"/>
              </w:rPr>
              <w:t>, </w:t>
            </w:r>
            <w:r w:rsidRPr="00E230F0" w:rsidR="008704CB">
              <w:rPr>
                <w:rStyle w:val="HTMLCode"/>
                <w:rFonts w:asciiTheme="minorHAnsi" w:eastAsiaTheme="minorHAnsi" w:hAnsiTheme="minorHAnsi" w:cstheme="minorHAnsi"/>
                <w:spacing w:val="2"/>
                <w:sz w:val="22"/>
                <w:szCs w:val="22"/>
              </w:rPr>
              <w:t>XXX-XX-0000</w:t>
            </w:r>
            <w:r w:rsidRPr="00E230F0" w:rsidR="008704CB">
              <w:rPr>
                <w:rFonts w:cstheme="minorHAnsi"/>
                <w:spacing w:val="2"/>
              </w:rPr>
              <w:t>)</w:t>
            </w:r>
            <w:r w:rsidR="00153995">
              <w:t>.</w:t>
            </w:r>
          </w:p>
        </w:tc>
      </w:tr>
    </w:tbl>
    <w:p w:rsidR="00DA588B" w:rsidP="00904626" w14:paraId="2137553D" w14:textId="3830C87C"/>
    <w:p w:rsidR="30095B88" w:rsidP="30095B88" w14:paraId="1EE6C437" w14:textId="091E9434"/>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AA585C8" w14:textId="77777777" w:rsidTr="6DADEB0D">
      <w:tblPrEx>
        <w:tblW w:w="0" w:type="auto"/>
        <w:tblLayout w:type="fixed"/>
        <w:tblLook w:val="06A0"/>
      </w:tblPrEx>
      <w:trPr>
        <w:trHeight w:val="300"/>
      </w:trPr>
      <w:tc>
        <w:tcPr>
          <w:tcW w:w="3120" w:type="dxa"/>
        </w:tcPr>
        <w:p w:rsidR="6DADEB0D" w:rsidP="6DADEB0D" w14:paraId="49255A61" w14:textId="7D35EBDD">
          <w:pPr>
            <w:pStyle w:val="Header"/>
            <w:ind w:left="-115"/>
          </w:pPr>
        </w:p>
      </w:tc>
      <w:tc>
        <w:tcPr>
          <w:tcW w:w="3120" w:type="dxa"/>
        </w:tcPr>
        <w:p w:rsidR="6DADEB0D" w:rsidP="6DADEB0D" w14:paraId="70224C4E" w14:textId="337656D3">
          <w:pPr>
            <w:pStyle w:val="Header"/>
            <w:jc w:val="center"/>
          </w:pPr>
        </w:p>
      </w:tc>
      <w:tc>
        <w:tcPr>
          <w:tcW w:w="3120" w:type="dxa"/>
        </w:tcPr>
        <w:p w:rsidR="6DADEB0D" w:rsidP="6DADEB0D" w14:paraId="1BBE3E34" w14:textId="7EDDC0AF">
          <w:pPr>
            <w:pStyle w:val="Header"/>
            <w:ind w:right="-115"/>
            <w:jc w:val="right"/>
          </w:pPr>
        </w:p>
      </w:tc>
    </w:tr>
  </w:tbl>
  <w:p w:rsidR="6DADEB0D" w:rsidP="6DADEB0D" w14:paraId="11684D68" w14:textId="2A4EA4C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93073B9" w:rsidP="093073B9" w14:paraId="4355E213" w14:textId="2E8D5D49">
    <w:pPr>
      <w:pStyle w:val="Header"/>
      <w:jc w:val="center"/>
    </w:pPr>
    <w:r w:rsidRPr="093073B9">
      <w:rPr>
        <w:rFonts w:ascii="Calibri" w:eastAsia="Calibri" w:hAnsi="Calibri" w:cs="Calibri"/>
        <w:color w:val="000000" w:themeColor="text1"/>
      </w:rPr>
      <w:t>OMB #XXXX-XXXX 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FEF8D"/>
    <w:multiLevelType w:val="hybridMultilevel"/>
    <w:tmpl w:val="DD92D6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15354FD"/>
    <w:multiLevelType w:val="hybridMultilevel"/>
    <w:tmpl w:val="8D8E0A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982E74"/>
    <w:multiLevelType w:val="hybridMultilevel"/>
    <w:tmpl w:val="64CEC6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7BB61BC"/>
    <w:multiLevelType w:val="hybridMultilevel"/>
    <w:tmpl w:val="72F474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D59B21"/>
    <w:multiLevelType w:val="hybridMultilevel"/>
    <w:tmpl w:val="0FDCD8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25B7A3B"/>
    <w:multiLevelType w:val="hybridMultilevel"/>
    <w:tmpl w:val="E5D4BC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3E2831"/>
    <w:multiLevelType w:val="hybridMultilevel"/>
    <w:tmpl w:val="2D100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944130D"/>
    <w:multiLevelType w:val="hybridMultilevel"/>
    <w:tmpl w:val="276CDF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D20EF9"/>
    <w:multiLevelType w:val="hybridMultilevel"/>
    <w:tmpl w:val="05B8B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2352B33"/>
    <w:multiLevelType w:val="hybridMultilevel"/>
    <w:tmpl w:val="FC24B8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58574415"/>
    <w:multiLevelType w:val="multilevel"/>
    <w:tmpl w:val="2FE0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38A90B"/>
    <w:multiLevelType w:val="hybridMultilevel"/>
    <w:tmpl w:val="77D2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361422F"/>
    <w:multiLevelType w:val="hybridMultilevel"/>
    <w:tmpl w:val="6F1054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BF8974E"/>
    <w:multiLevelType w:val="hybridMultilevel"/>
    <w:tmpl w:val="A560E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7A5461C"/>
    <w:multiLevelType w:val="multilevel"/>
    <w:tmpl w:val="D71A8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376400">
    <w:abstractNumId w:val="9"/>
  </w:num>
  <w:num w:numId="2" w16cid:durableId="1582790363">
    <w:abstractNumId w:val="4"/>
  </w:num>
  <w:num w:numId="3" w16cid:durableId="1658534963">
    <w:abstractNumId w:val="6"/>
  </w:num>
  <w:num w:numId="4" w16cid:durableId="1796437663">
    <w:abstractNumId w:val="0"/>
  </w:num>
  <w:num w:numId="5" w16cid:durableId="820468540">
    <w:abstractNumId w:val="8"/>
  </w:num>
  <w:num w:numId="6" w16cid:durableId="127014933">
    <w:abstractNumId w:val="2"/>
  </w:num>
  <w:num w:numId="7" w16cid:durableId="356319240">
    <w:abstractNumId w:val="11"/>
  </w:num>
  <w:num w:numId="8" w16cid:durableId="706182443">
    <w:abstractNumId w:val="5"/>
  </w:num>
  <w:num w:numId="9" w16cid:durableId="363941156">
    <w:abstractNumId w:val="3"/>
  </w:num>
  <w:num w:numId="10" w16cid:durableId="783110657">
    <w:abstractNumId w:val="7"/>
  </w:num>
  <w:num w:numId="11" w16cid:durableId="2088383541">
    <w:abstractNumId w:val="13"/>
  </w:num>
  <w:num w:numId="12" w16cid:durableId="1261644911">
    <w:abstractNumId w:val="12"/>
  </w:num>
  <w:num w:numId="13" w16cid:durableId="553084437">
    <w:abstractNumId w:val="1"/>
  </w:num>
  <w:num w:numId="14" w16cid:durableId="871845586">
    <w:abstractNumId w:val="14"/>
  </w:num>
  <w:num w:numId="15" w16cid:durableId="203990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7D"/>
    <w:rsid w:val="0001757D"/>
    <w:rsid w:val="000501CD"/>
    <w:rsid w:val="000716AA"/>
    <w:rsid w:val="00074412"/>
    <w:rsid w:val="000903E9"/>
    <w:rsid w:val="00091C70"/>
    <w:rsid w:val="00097195"/>
    <w:rsid w:val="00114AE1"/>
    <w:rsid w:val="00123E84"/>
    <w:rsid w:val="0014109B"/>
    <w:rsid w:val="0014461D"/>
    <w:rsid w:val="00153995"/>
    <w:rsid w:val="001C177E"/>
    <w:rsid w:val="002012DC"/>
    <w:rsid w:val="00201EBA"/>
    <w:rsid w:val="002169A1"/>
    <w:rsid w:val="00224BED"/>
    <w:rsid w:val="00225126"/>
    <w:rsid w:val="00227575"/>
    <w:rsid w:val="00237386"/>
    <w:rsid w:val="002604A2"/>
    <w:rsid w:val="002653DD"/>
    <w:rsid w:val="002C1551"/>
    <w:rsid w:val="003159D5"/>
    <w:rsid w:val="00333FA1"/>
    <w:rsid w:val="003405D8"/>
    <w:rsid w:val="00350990"/>
    <w:rsid w:val="00370A16"/>
    <w:rsid w:val="00386F4B"/>
    <w:rsid w:val="003872CA"/>
    <w:rsid w:val="00392086"/>
    <w:rsid w:val="003B005C"/>
    <w:rsid w:val="003C2008"/>
    <w:rsid w:val="003C6830"/>
    <w:rsid w:val="003D5A4E"/>
    <w:rsid w:val="003D746D"/>
    <w:rsid w:val="003D7A7D"/>
    <w:rsid w:val="003E0403"/>
    <w:rsid w:val="00416A70"/>
    <w:rsid w:val="0042286C"/>
    <w:rsid w:val="00445C13"/>
    <w:rsid w:val="004545B0"/>
    <w:rsid w:val="004546CC"/>
    <w:rsid w:val="004627E7"/>
    <w:rsid w:val="00467BF3"/>
    <w:rsid w:val="00471862"/>
    <w:rsid w:val="00492833"/>
    <w:rsid w:val="0049762A"/>
    <w:rsid w:val="004C1471"/>
    <w:rsid w:val="004D5B22"/>
    <w:rsid w:val="004F6281"/>
    <w:rsid w:val="00511053"/>
    <w:rsid w:val="0052116F"/>
    <w:rsid w:val="00527A30"/>
    <w:rsid w:val="00560D5D"/>
    <w:rsid w:val="00565BD1"/>
    <w:rsid w:val="005850CC"/>
    <w:rsid w:val="005A0BA3"/>
    <w:rsid w:val="005A1ED4"/>
    <w:rsid w:val="005A2D84"/>
    <w:rsid w:val="005A761E"/>
    <w:rsid w:val="005C3611"/>
    <w:rsid w:val="005D0081"/>
    <w:rsid w:val="00603D80"/>
    <w:rsid w:val="00604ADF"/>
    <w:rsid w:val="006132FA"/>
    <w:rsid w:val="00613AA6"/>
    <w:rsid w:val="00632F59"/>
    <w:rsid w:val="00635920"/>
    <w:rsid w:val="006778BD"/>
    <w:rsid w:val="0069278F"/>
    <w:rsid w:val="00695C2E"/>
    <w:rsid w:val="006A19A0"/>
    <w:rsid w:val="006A4FFD"/>
    <w:rsid w:val="006D63C9"/>
    <w:rsid w:val="006E3953"/>
    <w:rsid w:val="006F3C05"/>
    <w:rsid w:val="00700AAB"/>
    <w:rsid w:val="00701619"/>
    <w:rsid w:val="00727FA3"/>
    <w:rsid w:val="00730106"/>
    <w:rsid w:val="007516B3"/>
    <w:rsid w:val="007A2E6C"/>
    <w:rsid w:val="007A6F24"/>
    <w:rsid w:val="007B5EFC"/>
    <w:rsid w:val="007C02FE"/>
    <w:rsid w:val="00804C0F"/>
    <w:rsid w:val="00843CDF"/>
    <w:rsid w:val="008704CB"/>
    <w:rsid w:val="0088445A"/>
    <w:rsid w:val="008D4479"/>
    <w:rsid w:val="008E7575"/>
    <w:rsid w:val="008F5D71"/>
    <w:rsid w:val="00904626"/>
    <w:rsid w:val="00924BAB"/>
    <w:rsid w:val="00925D1A"/>
    <w:rsid w:val="00925F95"/>
    <w:rsid w:val="00931A0B"/>
    <w:rsid w:val="00941D2E"/>
    <w:rsid w:val="00961BF5"/>
    <w:rsid w:val="009B54C5"/>
    <w:rsid w:val="009B75A3"/>
    <w:rsid w:val="009D4B60"/>
    <w:rsid w:val="009E14B5"/>
    <w:rsid w:val="009E7052"/>
    <w:rsid w:val="009F0BC0"/>
    <w:rsid w:val="00A06297"/>
    <w:rsid w:val="00A07EF7"/>
    <w:rsid w:val="00A11E3A"/>
    <w:rsid w:val="00A534E0"/>
    <w:rsid w:val="00A557EB"/>
    <w:rsid w:val="00A74338"/>
    <w:rsid w:val="00A80643"/>
    <w:rsid w:val="00A94C1B"/>
    <w:rsid w:val="00AB407C"/>
    <w:rsid w:val="00AC3B15"/>
    <w:rsid w:val="00AF0DDE"/>
    <w:rsid w:val="00B0513F"/>
    <w:rsid w:val="00B166C3"/>
    <w:rsid w:val="00B433A8"/>
    <w:rsid w:val="00BB3666"/>
    <w:rsid w:val="00BD04E2"/>
    <w:rsid w:val="00BD5DE7"/>
    <w:rsid w:val="00BF175F"/>
    <w:rsid w:val="00BF4D60"/>
    <w:rsid w:val="00BF6673"/>
    <w:rsid w:val="00C34DB1"/>
    <w:rsid w:val="00C46519"/>
    <w:rsid w:val="00C6628D"/>
    <w:rsid w:val="00C84E4B"/>
    <w:rsid w:val="00C94901"/>
    <w:rsid w:val="00CB05BA"/>
    <w:rsid w:val="00CC2935"/>
    <w:rsid w:val="00CC3012"/>
    <w:rsid w:val="00CC4B6C"/>
    <w:rsid w:val="00CD3160"/>
    <w:rsid w:val="00CE0154"/>
    <w:rsid w:val="00D201AC"/>
    <w:rsid w:val="00D308E4"/>
    <w:rsid w:val="00D509BD"/>
    <w:rsid w:val="00DA2B80"/>
    <w:rsid w:val="00DA588B"/>
    <w:rsid w:val="00DC3C9C"/>
    <w:rsid w:val="00DC701D"/>
    <w:rsid w:val="00DD496B"/>
    <w:rsid w:val="00DD4F81"/>
    <w:rsid w:val="00DD5AE4"/>
    <w:rsid w:val="00E16C93"/>
    <w:rsid w:val="00E17496"/>
    <w:rsid w:val="00E230F0"/>
    <w:rsid w:val="00E3719D"/>
    <w:rsid w:val="00E56BF1"/>
    <w:rsid w:val="00E67BF1"/>
    <w:rsid w:val="00E72CAE"/>
    <w:rsid w:val="00E957EA"/>
    <w:rsid w:val="00EA69C6"/>
    <w:rsid w:val="00EB7FBA"/>
    <w:rsid w:val="00EC5953"/>
    <w:rsid w:val="00EC770E"/>
    <w:rsid w:val="00ED4E35"/>
    <w:rsid w:val="00EE28D4"/>
    <w:rsid w:val="00EF06B1"/>
    <w:rsid w:val="00EF0E8A"/>
    <w:rsid w:val="00F0692C"/>
    <w:rsid w:val="00F37D95"/>
    <w:rsid w:val="00F54437"/>
    <w:rsid w:val="00F8002A"/>
    <w:rsid w:val="00F971BF"/>
    <w:rsid w:val="00FC4F4B"/>
    <w:rsid w:val="00FD6966"/>
    <w:rsid w:val="00FD6BC6"/>
    <w:rsid w:val="00FE0CF3"/>
    <w:rsid w:val="00FF7BAA"/>
    <w:rsid w:val="011DF2C0"/>
    <w:rsid w:val="014C9CD5"/>
    <w:rsid w:val="021B34FE"/>
    <w:rsid w:val="025C631C"/>
    <w:rsid w:val="05E7D804"/>
    <w:rsid w:val="06247437"/>
    <w:rsid w:val="06AC0E8F"/>
    <w:rsid w:val="07A53D3A"/>
    <w:rsid w:val="07D00095"/>
    <w:rsid w:val="0809F5DE"/>
    <w:rsid w:val="0837D310"/>
    <w:rsid w:val="088A6B6E"/>
    <w:rsid w:val="08AFDC5F"/>
    <w:rsid w:val="093073B9"/>
    <w:rsid w:val="09437D30"/>
    <w:rsid w:val="09B58162"/>
    <w:rsid w:val="09D4DFC0"/>
    <w:rsid w:val="09DE98D9"/>
    <w:rsid w:val="0A271236"/>
    <w:rsid w:val="0AD87218"/>
    <w:rsid w:val="0BE5896B"/>
    <w:rsid w:val="0D276A01"/>
    <w:rsid w:val="0DB214ED"/>
    <w:rsid w:val="0E0998B1"/>
    <w:rsid w:val="0F140F7F"/>
    <w:rsid w:val="0FAFFE4D"/>
    <w:rsid w:val="11132B14"/>
    <w:rsid w:val="11393687"/>
    <w:rsid w:val="120511D1"/>
    <w:rsid w:val="120F841B"/>
    <w:rsid w:val="14695895"/>
    <w:rsid w:val="149946B0"/>
    <w:rsid w:val="14E5659B"/>
    <w:rsid w:val="1539FC2C"/>
    <w:rsid w:val="15D9F1DC"/>
    <w:rsid w:val="1693DF9D"/>
    <w:rsid w:val="16FC1D9B"/>
    <w:rsid w:val="1794DEE7"/>
    <w:rsid w:val="1795B2B9"/>
    <w:rsid w:val="17B4AE3E"/>
    <w:rsid w:val="1897EDFC"/>
    <w:rsid w:val="18ABA15D"/>
    <w:rsid w:val="18E4D9A0"/>
    <w:rsid w:val="19182C55"/>
    <w:rsid w:val="1A6019E3"/>
    <w:rsid w:val="1B4AB437"/>
    <w:rsid w:val="1B893E89"/>
    <w:rsid w:val="1BA08B03"/>
    <w:rsid w:val="1C058E71"/>
    <w:rsid w:val="1C4F27AD"/>
    <w:rsid w:val="1D0A586C"/>
    <w:rsid w:val="1D89152F"/>
    <w:rsid w:val="1DC9AEB6"/>
    <w:rsid w:val="1E7D1DB2"/>
    <w:rsid w:val="1F5D06D1"/>
    <w:rsid w:val="1F87CC8C"/>
    <w:rsid w:val="2042628D"/>
    <w:rsid w:val="2183D1E4"/>
    <w:rsid w:val="21B3FED1"/>
    <w:rsid w:val="2254D9D2"/>
    <w:rsid w:val="22F6DE2E"/>
    <w:rsid w:val="24724D78"/>
    <w:rsid w:val="24B4A18B"/>
    <w:rsid w:val="25CD19E6"/>
    <w:rsid w:val="265AFF5C"/>
    <w:rsid w:val="26704C71"/>
    <w:rsid w:val="26E521D9"/>
    <w:rsid w:val="289013DB"/>
    <w:rsid w:val="28D2E121"/>
    <w:rsid w:val="28D39C17"/>
    <w:rsid w:val="29D96439"/>
    <w:rsid w:val="2C5517E4"/>
    <w:rsid w:val="2C7C63BD"/>
    <w:rsid w:val="2D007934"/>
    <w:rsid w:val="2D6A1670"/>
    <w:rsid w:val="2E42F522"/>
    <w:rsid w:val="2E519C82"/>
    <w:rsid w:val="2E879CF6"/>
    <w:rsid w:val="2E9056CD"/>
    <w:rsid w:val="2F05E6D1"/>
    <w:rsid w:val="2F3B974A"/>
    <w:rsid w:val="2FDEC583"/>
    <w:rsid w:val="30095B88"/>
    <w:rsid w:val="30855B6F"/>
    <w:rsid w:val="3092BCD9"/>
    <w:rsid w:val="30A1B732"/>
    <w:rsid w:val="30C12447"/>
    <w:rsid w:val="30ED6CB7"/>
    <w:rsid w:val="319DE996"/>
    <w:rsid w:val="32826813"/>
    <w:rsid w:val="33131713"/>
    <w:rsid w:val="332F8EA2"/>
    <w:rsid w:val="3346C49D"/>
    <w:rsid w:val="335E63FB"/>
    <w:rsid w:val="342219DA"/>
    <w:rsid w:val="3428DC7F"/>
    <w:rsid w:val="349BA83C"/>
    <w:rsid w:val="34B236A6"/>
    <w:rsid w:val="34CB5F03"/>
    <w:rsid w:val="34DBE2C4"/>
    <w:rsid w:val="35B4E06C"/>
    <w:rsid w:val="3644BF92"/>
    <w:rsid w:val="36981326"/>
    <w:rsid w:val="369AB829"/>
    <w:rsid w:val="36E6C853"/>
    <w:rsid w:val="382CC779"/>
    <w:rsid w:val="3852DCA1"/>
    <w:rsid w:val="385CDCEF"/>
    <w:rsid w:val="3897FEBB"/>
    <w:rsid w:val="38A61964"/>
    <w:rsid w:val="396FC54A"/>
    <w:rsid w:val="3A620A98"/>
    <w:rsid w:val="3BA22376"/>
    <w:rsid w:val="3BB9C50D"/>
    <w:rsid w:val="3CEA25F5"/>
    <w:rsid w:val="3DB47FE4"/>
    <w:rsid w:val="3E2DB534"/>
    <w:rsid w:val="3E36456E"/>
    <w:rsid w:val="3E96B6C0"/>
    <w:rsid w:val="3ED279D7"/>
    <w:rsid w:val="3FA7D82B"/>
    <w:rsid w:val="4069B8E7"/>
    <w:rsid w:val="40EB571A"/>
    <w:rsid w:val="414CEC5D"/>
    <w:rsid w:val="4198A734"/>
    <w:rsid w:val="419D3E15"/>
    <w:rsid w:val="41A7A71A"/>
    <w:rsid w:val="41A82382"/>
    <w:rsid w:val="42C79289"/>
    <w:rsid w:val="431BFAA5"/>
    <w:rsid w:val="454D69A7"/>
    <w:rsid w:val="4650D8FE"/>
    <w:rsid w:val="466C1857"/>
    <w:rsid w:val="46D4DB40"/>
    <w:rsid w:val="47B93452"/>
    <w:rsid w:val="47F182E2"/>
    <w:rsid w:val="48255A3D"/>
    <w:rsid w:val="4A09FA84"/>
    <w:rsid w:val="4A19732D"/>
    <w:rsid w:val="4A6EF017"/>
    <w:rsid w:val="4AC26C34"/>
    <w:rsid w:val="4B021C8F"/>
    <w:rsid w:val="4B3F897A"/>
    <w:rsid w:val="4B850D5D"/>
    <w:rsid w:val="4BF592A7"/>
    <w:rsid w:val="4C94B31D"/>
    <w:rsid w:val="4CA16BA3"/>
    <w:rsid w:val="4CD604E2"/>
    <w:rsid w:val="4D4B72C8"/>
    <w:rsid w:val="4F02D3FE"/>
    <w:rsid w:val="4F124B16"/>
    <w:rsid w:val="4F951789"/>
    <w:rsid w:val="4F9FBB4C"/>
    <w:rsid w:val="4FA747BE"/>
    <w:rsid w:val="50180615"/>
    <w:rsid w:val="5058459C"/>
    <w:rsid w:val="511C89BC"/>
    <w:rsid w:val="519B25B7"/>
    <w:rsid w:val="51F938AE"/>
    <w:rsid w:val="521498CD"/>
    <w:rsid w:val="522EF4CE"/>
    <w:rsid w:val="525A055D"/>
    <w:rsid w:val="5270D041"/>
    <w:rsid w:val="5393C8CA"/>
    <w:rsid w:val="53A987AA"/>
    <w:rsid w:val="53B0692E"/>
    <w:rsid w:val="53DBCC04"/>
    <w:rsid w:val="551542D9"/>
    <w:rsid w:val="55174F82"/>
    <w:rsid w:val="55AA3E08"/>
    <w:rsid w:val="55E63389"/>
    <w:rsid w:val="56277826"/>
    <w:rsid w:val="56763225"/>
    <w:rsid w:val="56D889DD"/>
    <w:rsid w:val="56E4281F"/>
    <w:rsid w:val="5866DFF9"/>
    <w:rsid w:val="58908DE7"/>
    <w:rsid w:val="5899F62D"/>
    <w:rsid w:val="59802C04"/>
    <w:rsid w:val="5B53BAE2"/>
    <w:rsid w:val="5B5A09E4"/>
    <w:rsid w:val="5B63A903"/>
    <w:rsid w:val="5B7CFDB4"/>
    <w:rsid w:val="5C702EE1"/>
    <w:rsid w:val="5C76BA76"/>
    <w:rsid w:val="5CBD225B"/>
    <w:rsid w:val="5CF1FAD8"/>
    <w:rsid w:val="5EB509E8"/>
    <w:rsid w:val="5ECCECF1"/>
    <w:rsid w:val="5EFFCF6B"/>
    <w:rsid w:val="5F14017E"/>
    <w:rsid w:val="5F1542AB"/>
    <w:rsid w:val="5F8C3CDD"/>
    <w:rsid w:val="6103B8FD"/>
    <w:rsid w:val="61771757"/>
    <w:rsid w:val="62335B50"/>
    <w:rsid w:val="639A6E93"/>
    <w:rsid w:val="643DB9F8"/>
    <w:rsid w:val="646F895A"/>
    <w:rsid w:val="64ECA8AB"/>
    <w:rsid w:val="654EA1DF"/>
    <w:rsid w:val="65AABC8E"/>
    <w:rsid w:val="65D72A20"/>
    <w:rsid w:val="6636E9AD"/>
    <w:rsid w:val="66CF173D"/>
    <w:rsid w:val="670E63AF"/>
    <w:rsid w:val="674EA94F"/>
    <w:rsid w:val="6772FA81"/>
    <w:rsid w:val="67F2ACA1"/>
    <w:rsid w:val="67FA2532"/>
    <w:rsid w:val="68E3D696"/>
    <w:rsid w:val="68ECB8A1"/>
    <w:rsid w:val="69031279"/>
    <w:rsid w:val="697BAFAE"/>
    <w:rsid w:val="6A8C0AE7"/>
    <w:rsid w:val="6AAA79E1"/>
    <w:rsid w:val="6B054D34"/>
    <w:rsid w:val="6B6F4E41"/>
    <w:rsid w:val="6BB596A4"/>
    <w:rsid w:val="6BD11D34"/>
    <w:rsid w:val="6C71E81D"/>
    <w:rsid w:val="6DAB2005"/>
    <w:rsid w:val="6DADEB0D"/>
    <w:rsid w:val="6DB8398C"/>
    <w:rsid w:val="6E38C956"/>
    <w:rsid w:val="6EABDC89"/>
    <w:rsid w:val="7058A6FC"/>
    <w:rsid w:val="70AF4839"/>
    <w:rsid w:val="71A1CE05"/>
    <w:rsid w:val="71AC987D"/>
    <w:rsid w:val="7309FB68"/>
    <w:rsid w:val="73354617"/>
    <w:rsid w:val="73639497"/>
    <w:rsid w:val="737B098E"/>
    <w:rsid w:val="74011242"/>
    <w:rsid w:val="74C0276D"/>
    <w:rsid w:val="75EB5B88"/>
    <w:rsid w:val="765FCF4F"/>
    <w:rsid w:val="783BC982"/>
    <w:rsid w:val="78E5A2A6"/>
    <w:rsid w:val="79C96DC2"/>
    <w:rsid w:val="79D1B7EE"/>
    <w:rsid w:val="7A7F824E"/>
    <w:rsid w:val="7A817307"/>
    <w:rsid w:val="7B29F321"/>
    <w:rsid w:val="7B334072"/>
    <w:rsid w:val="7C0E8F46"/>
    <w:rsid w:val="7C2F333A"/>
    <w:rsid w:val="7CADA7B8"/>
    <w:rsid w:val="7CCF10D3"/>
    <w:rsid w:val="7CF1E68E"/>
    <w:rsid w:val="7DA6DFB2"/>
    <w:rsid w:val="7E4ABB05"/>
    <w:rsid w:val="7EB1DF83"/>
    <w:rsid w:val="7ED77E6D"/>
    <w:rsid w:val="7FC8793C"/>
    <w:rsid w:val="7FF7FE4D"/>
  </w:rsids>
  <w:docVars>
    <w:docVar w:name="__Grammarly_42___1" w:val="H4sIAAAAAAAEAKtWcslP9kxRslIyNDY2NzS1MDAyNDQ1NjY2MDNT0lEKTi0uzszPAykwrgUAkejyy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48DA00"/>
  <w15:chartTrackingRefBased/>
  <w15:docId w15:val="{C9373C85-A8D0-4E90-8CE1-E8DF15CD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5BA"/>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CB05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B05BA"/>
    <w:pPr>
      <w:keepNext/>
      <w:keepLines/>
      <w:spacing w:before="40" w:after="0" w:line="240" w:lineRule="auto"/>
      <w:outlineLvl w:val="2"/>
    </w:pPr>
    <w:rPr>
      <w:rFonts w:ascii="Calibri Light" w:eastAsia="SimSun" w:hAnsi="Calibri Light" w:cs="Times New Roman"/>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5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A588B"/>
    <w:pPr>
      <w:tabs>
        <w:tab w:val="center" w:pos="4680"/>
        <w:tab w:val="right" w:pos="9360"/>
      </w:tabs>
      <w:spacing w:after="0" w:line="240" w:lineRule="auto"/>
    </w:pPr>
  </w:style>
  <w:style w:type="character" w:customStyle="1" w:styleId="HeaderChar">
    <w:name w:val="Header Char"/>
    <w:basedOn w:val="DefaultParagraphFont"/>
    <w:link w:val="Header"/>
    <w:rsid w:val="00DA588B"/>
  </w:style>
  <w:style w:type="paragraph" w:styleId="Footer">
    <w:name w:val="footer"/>
    <w:basedOn w:val="Normal"/>
    <w:link w:val="FooterChar"/>
    <w:uiPriority w:val="99"/>
    <w:unhideWhenUsed/>
    <w:rsid w:val="00DA5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88B"/>
  </w:style>
  <w:style w:type="paragraph" w:styleId="Title">
    <w:name w:val="Title"/>
    <w:basedOn w:val="Normal"/>
    <w:next w:val="Normal"/>
    <w:link w:val="TitleChar"/>
    <w:uiPriority w:val="10"/>
    <w:qFormat/>
    <w:rsid w:val="00DA58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88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B05BA"/>
    <w:rPr>
      <w:rFonts w:ascii="Calibri Light" w:eastAsia="SimSun" w:hAnsi="Calibri Light" w:cs="Times New Roman"/>
      <w:color w:val="1F4E79"/>
      <w:sz w:val="36"/>
      <w:szCs w:val="36"/>
    </w:rPr>
  </w:style>
  <w:style w:type="character" w:customStyle="1" w:styleId="Heading3Char">
    <w:name w:val="Heading 3 Char"/>
    <w:basedOn w:val="DefaultParagraphFont"/>
    <w:link w:val="Heading3"/>
    <w:rsid w:val="00CB05BA"/>
    <w:rPr>
      <w:rFonts w:ascii="Calibri Light" w:eastAsia="SimSun" w:hAnsi="Calibri Light" w:cs="Times New Roman"/>
      <w:color w:val="2E74B5"/>
      <w:sz w:val="28"/>
      <w:szCs w:val="28"/>
    </w:rPr>
  </w:style>
  <w:style w:type="character" w:styleId="Hyperlink">
    <w:name w:val="Hyperlink"/>
    <w:uiPriority w:val="99"/>
    <w:unhideWhenUsed/>
    <w:rsid w:val="00CB05BA"/>
    <w:rPr>
      <w:color w:val="0563C1"/>
      <w:u w:val="single"/>
    </w:rPr>
  </w:style>
  <w:style w:type="paragraph" w:customStyle="1" w:styleId="indent-1">
    <w:name w:val="indent-1"/>
    <w:basedOn w:val="Normal"/>
    <w:rsid w:val="00CB0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B05B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B05BA"/>
    <w:pPr>
      <w:ind w:left="720"/>
      <w:contextualSpacing/>
    </w:pPr>
  </w:style>
  <w:style w:type="paragraph" w:styleId="BodyText">
    <w:name w:val="Body Text"/>
    <w:basedOn w:val="Normal"/>
    <w:link w:val="BodyTextChar"/>
    <w:rsid w:val="00D509BD"/>
    <w:pPr>
      <w:tabs>
        <w:tab w:val="left" w:pos="0"/>
      </w:tabs>
      <w:suppressAutoHyphens/>
    </w:pPr>
    <w:rPr>
      <w:rFonts w:eastAsia="Times New Roman" w:cs="Times New Roman"/>
    </w:rPr>
  </w:style>
  <w:style w:type="character" w:customStyle="1" w:styleId="BodyTextChar">
    <w:name w:val="Body Text Char"/>
    <w:basedOn w:val="DefaultParagraphFont"/>
    <w:link w:val="BodyText"/>
    <w:rsid w:val="00D509BD"/>
    <w:rPr>
      <w:rFonts w:eastAsia="Times New Roman" w:cs="Times New Roman"/>
    </w:rPr>
  </w:style>
  <w:style w:type="character" w:customStyle="1" w:styleId="normaltextrun">
    <w:name w:val="normaltextrun"/>
    <w:basedOn w:val="DefaultParagraphFont"/>
    <w:rsid w:val="00AF0DDE"/>
  </w:style>
  <w:style w:type="paragraph" w:styleId="CommentText">
    <w:name w:val="annotation text"/>
    <w:basedOn w:val="Normal"/>
    <w:link w:val="CommentTextChar"/>
    <w:uiPriority w:val="99"/>
    <w:unhideWhenUsed/>
    <w:rsid w:val="00BD5DE7"/>
    <w:pPr>
      <w:spacing w:line="240" w:lineRule="auto"/>
    </w:pPr>
    <w:rPr>
      <w:sz w:val="20"/>
      <w:szCs w:val="20"/>
    </w:rPr>
  </w:style>
  <w:style w:type="character" w:customStyle="1" w:styleId="CommentTextChar">
    <w:name w:val="Comment Text Char"/>
    <w:basedOn w:val="DefaultParagraphFont"/>
    <w:link w:val="CommentText"/>
    <w:uiPriority w:val="99"/>
    <w:rsid w:val="00BD5DE7"/>
    <w:rPr>
      <w:sz w:val="20"/>
      <w:szCs w:val="20"/>
    </w:rPr>
  </w:style>
  <w:style w:type="character" w:styleId="CommentReference">
    <w:name w:val="annotation reference"/>
    <w:basedOn w:val="DefaultParagraphFont"/>
    <w:uiPriority w:val="99"/>
    <w:semiHidden/>
    <w:unhideWhenUsed/>
    <w:rsid w:val="00BD5DE7"/>
    <w:rPr>
      <w:sz w:val="16"/>
      <w:szCs w:val="16"/>
    </w:rPr>
  </w:style>
  <w:style w:type="paragraph" w:styleId="Revision">
    <w:name w:val="Revision"/>
    <w:hidden/>
    <w:uiPriority w:val="99"/>
    <w:semiHidden/>
    <w:rsid w:val="00BD5DE7"/>
    <w:pPr>
      <w:spacing w:after="0" w:line="240" w:lineRule="auto"/>
    </w:pPr>
  </w:style>
  <w:style w:type="paragraph" w:styleId="CommentSubject">
    <w:name w:val="annotation subject"/>
    <w:basedOn w:val="CommentText"/>
    <w:next w:val="CommentText"/>
    <w:link w:val="CommentSubjectChar"/>
    <w:uiPriority w:val="99"/>
    <w:semiHidden/>
    <w:unhideWhenUsed/>
    <w:rsid w:val="00695C2E"/>
    <w:rPr>
      <w:b/>
      <w:bCs/>
    </w:rPr>
  </w:style>
  <w:style w:type="character" w:customStyle="1" w:styleId="CommentSubjectChar">
    <w:name w:val="Comment Subject Char"/>
    <w:basedOn w:val="CommentTextChar"/>
    <w:link w:val="CommentSubject"/>
    <w:uiPriority w:val="99"/>
    <w:semiHidden/>
    <w:rsid w:val="00695C2E"/>
    <w:rPr>
      <w:b/>
      <w:bCs/>
      <w:sz w:val="20"/>
      <w:szCs w:val="20"/>
    </w:rPr>
  </w:style>
  <w:style w:type="character" w:customStyle="1" w:styleId="findhit">
    <w:name w:val="findhit"/>
    <w:basedOn w:val="DefaultParagraphFont"/>
    <w:rsid w:val="6DADEB0D"/>
  </w:style>
  <w:style w:type="character" w:customStyle="1" w:styleId="eop">
    <w:name w:val="eop"/>
    <w:basedOn w:val="DefaultParagraphFont"/>
    <w:rsid w:val="6DADEB0D"/>
  </w:style>
  <w:style w:type="paragraph" w:customStyle="1" w:styleId="paragraph">
    <w:name w:val="paragraph"/>
    <w:basedOn w:val="Normal"/>
    <w:rsid w:val="0088445A"/>
    <w:pPr>
      <w:spacing w:before="100" w:beforeAutospacing="1" w:after="100" w:afterAutospacing="1" w:line="240" w:lineRule="auto"/>
    </w:pPr>
    <w:rPr>
      <w:rFonts w:ascii="Times New Roman" w:eastAsia="Times New Roman" w:hAnsi="Times New Roman" w:cs="Times New Roman"/>
      <w:sz w:val="24"/>
      <w:szCs w:val="24"/>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201EBA"/>
    <w:rPr>
      <w:color w:val="954F72" w:themeColor="followedHyperlink"/>
      <w:u w:val="single"/>
    </w:rPr>
  </w:style>
  <w:style w:type="character" w:styleId="UnresolvedMention">
    <w:name w:val="Unresolved Mention"/>
    <w:basedOn w:val="DefaultParagraphFont"/>
    <w:uiPriority w:val="99"/>
    <w:semiHidden/>
    <w:unhideWhenUsed/>
    <w:rsid w:val="00B166C3"/>
    <w:rPr>
      <w:color w:val="605E5C"/>
      <w:shd w:val="clear" w:color="auto" w:fill="E1DFDD"/>
    </w:rPr>
  </w:style>
  <w:style w:type="character" w:styleId="Strong">
    <w:name w:val="Strong"/>
    <w:basedOn w:val="DefaultParagraphFont"/>
    <w:uiPriority w:val="22"/>
    <w:qFormat/>
    <w:rsid w:val="009B54C5"/>
    <w:rPr>
      <w:b/>
      <w:bCs/>
    </w:rPr>
  </w:style>
  <w:style w:type="character" w:styleId="HTMLCode">
    <w:name w:val="HTML Code"/>
    <w:basedOn w:val="DefaultParagraphFont"/>
    <w:uiPriority w:val="99"/>
    <w:semiHidden/>
    <w:unhideWhenUsed/>
    <w:rsid w:val="009B54C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chrome-extension/efaidnbmnnnibpcajpcglclefindmkaj/https:/www.acf.hhs.gov/sites/default/files/documents/ofa/ACF199_209%20TANF_SSP%20data%20report%20instructions%20-%20valid%20thru%202026-10_compliant_FINAL.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ANFdata@acf.hhs.gov" TargetMode="External" /><Relationship Id="rId9" Type="http://schemas.openxmlformats.org/officeDocument/2006/relationships/hyperlink" Target="https://www.federalregister.gov/documents/2024/06/28/2024-13865/temporary-assistance-for-needy-families-work-outcomes-measur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7B1F9C5653F47B6990116978E28B4" ma:contentTypeVersion="6" ma:contentTypeDescription="Create a new document." ma:contentTypeScope="" ma:versionID="2d48dd5c1630770d9fa8575b4226de60">
  <xsd:schema xmlns:xsd="http://www.w3.org/2001/XMLSchema" xmlns:xs="http://www.w3.org/2001/XMLSchema" xmlns:p="http://schemas.microsoft.com/office/2006/metadata/properties" xmlns:ns2="dbb6e81e-6d27-4b06-96f4-00eb39bd1984" xmlns:ns3="1d2040a8-051f-4312-97c4-228835cbdc01" targetNamespace="http://schemas.microsoft.com/office/2006/metadata/properties" ma:root="true" ma:fieldsID="5fc054fd578c8b8082c1122fbbc0498f" ns2:_="" ns3:_="">
    <xsd:import namespace="dbb6e81e-6d27-4b06-96f4-00eb39bd1984"/>
    <xsd:import namespace="1d2040a8-051f-4312-97c4-228835cbdc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6e81e-6d27-4b06-96f4-00eb39bd1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040a8-051f-4312-97c4-228835cbdc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EB15C-A53E-4550-8AED-65252F45A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6e81e-6d27-4b06-96f4-00eb39bd1984"/>
    <ds:schemaRef ds:uri="1d2040a8-051f-4312-97c4-228835cbd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306D8-12EE-4B35-A974-0B7349D48F05}">
  <ds:schemaRefs>
    <ds:schemaRef ds:uri="http://schemas.microsoft.com/sharepoint/v3/contenttype/forms"/>
  </ds:schemaRefs>
</ds:datastoreItem>
</file>

<file path=customXml/itemProps3.xml><?xml version="1.0" encoding="utf-8"?>
<ds:datastoreItem xmlns:ds="http://schemas.openxmlformats.org/officeDocument/2006/customXml" ds:itemID="{2700F944-5FC1-4FDD-8935-AD56FD551D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2FDCD8-6143-4067-B13A-37BE0B21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1330</Words>
  <Characters>7587</Characters>
  <Application>Microsoft Office Word</Application>
  <DocSecurity>0</DocSecurity>
  <Lines>63</Lines>
  <Paragraphs>17</Paragraphs>
  <ScaleCrop>false</ScaleCrop>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Kim (ACF)</dc:creator>
  <cp:lastModifiedBy>Frohlich, Lauren (ACF)</cp:lastModifiedBy>
  <cp:revision>3</cp:revision>
  <dcterms:created xsi:type="dcterms:W3CDTF">2024-11-08T14:15:00Z</dcterms:created>
  <dcterms:modified xsi:type="dcterms:W3CDTF">2024-11-08T14:17:00Z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0x010100C237B1F9C5653F47B6990116978E28B4</vt:lpwstr>
  </property>
</Properties>
</file>