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9BD" w:rsidP="2E256891" w14:paraId="5CDCD884" w14:textId="3AC8A2F0">
      <w:pPr>
        <w:pStyle w:val="Title"/>
      </w:pPr>
      <w:bookmarkStart w:id="0" w:name="_Toc135315900"/>
      <w:bookmarkStart w:id="1" w:name="_Toc126679093"/>
      <w:bookmarkStart w:id="2" w:name="_Toc126679171"/>
      <w:bookmarkStart w:id="3" w:name="_Toc126679230"/>
      <w:bookmarkStart w:id="4" w:name="_Toc128573945"/>
      <w:r>
        <w:rPr>
          <w:shd w:val="clear" w:color="auto" w:fill="FFFFFF"/>
        </w:rPr>
        <w:t xml:space="preserve">TANF Secondary School Diploma or its Recognized Equivalent </w:t>
      </w:r>
      <w:r w:rsidR="60B56FFE">
        <w:rPr>
          <w:shd w:val="clear" w:color="auto" w:fill="FFFFFF"/>
        </w:rPr>
        <w:t xml:space="preserve">Attainment </w:t>
      </w:r>
      <w:r>
        <w:rPr>
          <w:shd w:val="clear" w:color="auto" w:fill="FFFFFF"/>
        </w:rPr>
        <w:t>Rate</w:t>
      </w:r>
      <w:r w:rsidR="2B6A0422">
        <w:rPr>
          <w:shd w:val="clear" w:color="auto" w:fill="FFFFFF"/>
        </w:rPr>
        <w:t xml:space="preserve"> Instructions</w:t>
      </w:r>
    </w:p>
    <w:p w:rsidR="39D0D4A2" w:rsidRPr="00BA057E" w:rsidP="26C1D89F" w14:paraId="68853AE6" w14:textId="68290C91">
      <w:pPr>
        <w:spacing w:after="0"/>
        <w:rPr>
          <w:rFonts w:eastAsiaTheme="minorEastAsia" w:cstheme="minorHAnsi"/>
          <w:i/>
          <w:iCs/>
          <w:sz w:val="20"/>
          <w:szCs w:val="20"/>
        </w:rPr>
      </w:pPr>
      <w:r w:rsidRPr="00BA057E">
        <w:rPr>
          <w:rFonts w:eastAsiaTheme="minorEastAsia" w:cstheme="minorHAnsi"/>
          <w:i/>
          <w:iCs/>
          <w:sz w:val="20"/>
          <w:szCs w:val="20"/>
        </w:rPr>
        <w:t xml:space="preserve">PAPERWORK REDUCTION ACT OF 1995 (Pub. L. 104-13) STATEMENT OF PUBLIC BURDEN: Through this information collection, ACF is gathering information to assess and evaluate whether a State TANF program meets statutorily required participation rates. Public reporting burden for this collection of information is estimated to average 100 hours per grantee per year, including the time for reviewing instructions, </w:t>
      </w:r>
      <w:r w:rsidRPr="00BA057E">
        <w:rPr>
          <w:rFonts w:eastAsiaTheme="minorEastAsia" w:cstheme="minorHAnsi"/>
          <w:i/>
          <w:iCs/>
          <w:sz w:val="20"/>
          <w:szCs w:val="20"/>
        </w:rPr>
        <w:t>gathering</w:t>
      </w:r>
      <w:r w:rsidRPr="00BA057E">
        <w:rPr>
          <w:rFonts w:eastAsiaTheme="minorEastAsia" w:cstheme="minorHAnsi"/>
          <w:i/>
          <w:iCs/>
          <w:sz w:val="20"/>
          <w:szCs w:val="20"/>
        </w:rPr>
        <w:t xml:space="preserve"> and maintaining the data needed, and reviewing the collection of information. This is a mandatory collection of information (42 U.S.C. § 611). An agency may not conduct or sponsor, and a person is not required to respond to, a collection of information subject to the requirements of the Paperwork Reduction Act of 1995, unless it displays a currently valid OMB control number. The OMB # is xxxx-xxxx and the expiration date is XX/XX/XXXX. If you have any comments on this collection of information, please contact the Office of Family Assistance by email at TANFdata@acf.hhs.gov. </w:t>
      </w:r>
    </w:p>
    <w:p w:rsidR="26C1D89F" w:rsidRPr="00BA057E" w:rsidP="26C1D89F" w14:paraId="34C27E89" w14:textId="764516BB">
      <w:pPr>
        <w:spacing w:after="0"/>
        <w:rPr>
          <w:rFonts w:eastAsiaTheme="minorEastAsia" w:cstheme="minorHAnsi"/>
          <w:i/>
          <w:iCs/>
          <w:sz w:val="20"/>
          <w:szCs w:val="20"/>
        </w:rPr>
      </w:pPr>
    </w:p>
    <w:p w:rsidR="2CFAB245" w:rsidRPr="007F73B4" w:rsidP="26C1D89F" w14:paraId="426D5DFD" w14:textId="1B85EA15">
      <w:pPr>
        <w:spacing w:after="140"/>
        <w:rPr>
          <w:rFonts w:eastAsia="Calibri" w:cstheme="minorHAnsi"/>
          <w:color w:val="000000" w:themeColor="text1"/>
        </w:rPr>
      </w:pPr>
      <w:r w:rsidRPr="007F73B4">
        <w:rPr>
          <w:rFonts w:eastAsia="Calibri" w:cstheme="minorHAnsi"/>
          <w:color w:val="000000" w:themeColor="text1"/>
        </w:rPr>
        <w:t xml:space="preserve">The TANF Work Outcomes Measures </w:t>
      </w:r>
      <w:hyperlink r:id="rId7" w:history="1">
        <w:r w:rsidRPr="007F73B4">
          <w:rPr>
            <w:rStyle w:val="Hyperlink"/>
            <w:rFonts w:eastAsia="Calibri" w:cstheme="minorHAnsi"/>
          </w:rPr>
          <w:t>interim final rule</w:t>
        </w:r>
      </w:hyperlink>
      <w:r w:rsidRPr="007F73B4">
        <w:rPr>
          <w:rFonts w:eastAsia="Calibri" w:cstheme="minorHAnsi"/>
          <w:color w:val="000000" w:themeColor="text1"/>
        </w:rPr>
        <w:t xml:space="preserve"> includes three new reporting requirements: </w:t>
      </w:r>
    </w:p>
    <w:p w:rsidR="2CFAB245" w:rsidRPr="007F73B4" w:rsidP="26C1D89F" w14:paraId="16C56991" w14:textId="037138DA">
      <w:pPr>
        <w:pStyle w:val="ListParagraph"/>
        <w:numPr>
          <w:ilvl w:val="0"/>
          <w:numId w:val="3"/>
        </w:numPr>
        <w:spacing w:after="0"/>
        <w:rPr>
          <w:rFonts w:eastAsia="Calibri" w:cstheme="minorHAnsi"/>
          <w:color w:val="000000" w:themeColor="text1"/>
        </w:rPr>
      </w:pPr>
      <w:r w:rsidRPr="007F73B4">
        <w:rPr>
          <w:rFonts w:eastAsia="Calibri" w:cstheme="minorHAnsi"/>
          <w:color w:val="000000" w:themeColor="text1"/>
        </w:rPr>
        <w:t xml:space="preserve">Work Outcomes of TANF Exiters Report </w:t>
      </w:r>
    </w:p>
    <w:p w:rsidR="2CFAB245" w:rsidRPr="007F73B4" w:rsidP="26C1D89F" w14:paraId="4825D3BB" w14:textId="4AFD365A">
      <w:pPr>
        <w:pStyle w:val="ListParagraph"/>
        <w:numPr>
          <w:ilvl w:val="0"/>
          <w:numId w:val="3"/>
        </w:numPr>
        <w:spacing w:after="0"/>
        <w:rPr>
          <w:rFonts w:eastAsia="Calibri" w:cstheme="minorHAnsi"/>
          <w:color w:val="000000" w:themeColor="text1"/>
        </w:rPr>
      </w:pPr>
      <w:r w:rsidRPr="007F73B4">
        <w:rPr>
          <w:rFonts w:eastAsia="Calibri" w:cstheme="minorHAnsi"/>
          <w:color w:val="000000" w:themeColor="text1"/>
        </w:rPr>
        <w:t xml:space="preserve">Secondary School Diploma or its Recognized Equivalent Attainment Rate </w:t>
      </w:r>
    </w:p>
    <w:p w:rsidR="2CFAB245" w:rsidRPr="007F73B4" w:rsidP="26C1D89F" w14:paraId="29B10131" w14:textId="26E6D060">
      <w:pPr>
        <w:pStyle w:val="ListParagraph"/>
        <w:numPr>
          <w:ilvl w:val="0"/>
          <w:numId w:val="3"/>
        </w:numPr>
        <w:spacing w:after="0"/>
        <w:rPr>
          <w:rFonts w:eastAsia="Calibri" w:cstheme="minorHAnsi"/>
          <w:color w:val="000000" w:themeColor="text1"/>
        </w:rPr>
      </w:pPr>
      <w:r w:rsidRPr="007F73B4">
        <w:rPr>
          <w:rFonts w:eastAsia="Calibri" w:cstheme="minorHAnsi"/>
          <w:color w:val="000000" w:themeColor="text1"/>
        </w:rPr>
        <w:t xml:space="preserve">Supplemental Work Outcomes Report </w:t>
      </w:r>
    </w:p>
    <w:p w:rsidR="00CB05BA" w:rsidRPr="005A0BA3" w:rsidP="129DD647" w14:paraId="4588024A" w14:textId="3A7E7B9B">
      <w:pPr>
        <w:pStyle w:val="Heading1"/>
        <w:rPr>
          <w:rFonts w:asciiTheme="minorHAnsi" w:hAnsiTheme="minorHAnsi" w:cstheme="minorBidi"/>
        </w:rPr>
      </w:pPr>
      <w:r w:rsidRPr="25FA18E6">
        <w:rPr>
          <w:rFonts w:asciiTheme="minorHAnsi" w:hAnsiTheme="minorHAnsi" w:cstheme="minorBidi"/>
        </w:rPr>
        <w:t>General In</w:t>
      </w:r>
      <w:r w:rsidRPr="25FA18E6" w:rsidR="3B90B9BD">
        <w:rPr>
          <w:rFonts w:asciiTheme="minorHAnsi" w:hAnsiTheme="minorHAnsi" w:cstheme="minorBidi"/>
        </w:rPr>
        <w:t>structions</w:t>
      </w:r>
      <w:bookmarkEnd w:id="0"/>
      <w:bookmarkEnd w:id="1"/>
      <w:bookmarkEnd w:id="2"/>
      <w:bookmarkEnd w:id="3"/>
      <w:bookmarkEnd w:id="4"/>
    </w:p>
    <w:p w:rsidR="129DD647" w:rsidP="00FC6D7B" w14:paraId="40B9EC6F" w14:textId="5BF744D7">
      <w:r w:rsidRPr="00871575">
        <w:t xml:space="preserve">This document includes instructions for </w:t>
      </w:r>
      <w:r w:rsidRPr="00871575" w:rsidR="007761B0">
        <w:t>states to submit their annual</w:t>
      </w:r>
      <w:r w:rsidRPr="00871575">
        <w:t xml:space="preserve"> Temporary Assistance for Needy Families (TANF) </w:t>
      </w:r>
      <w:r w:rsidRPr="00871575" w:rsidR="007761B0">
        <w:t xml:space="preserve">Secondary School Diploma or its Recognized Equivalent </w:t>
      </w:r>
      <w:r w:rsidRPr="00871575" w:rsidR="3159743F">
        <w:t xml:space="preserve">Attainment </w:t>
      </w:r>
      <w:r w:rsidRPr="00871575" w:rsidR="007761B0">
        <w:t>Rate</w:t>
      </w:r>
      <w:r w:rsidRPr="00871575" w:rsidR="00904626">
        <w:t xml:space="preserve"> </w:t>
      </w:r>
      <w:r w:rsidRPr="00871575" w:rsidR="17B34EDD">
        <w:t>(</w:t>
      </w:r>
      <w:r w:rsidRPr="00871575" w:rsidR="51F6C06C">
        <w:t>Secondary School Attainment Measure</w:t>
      </w:r>
      <w:r w:rsidRPr="00871575" w:rsidR="17B34EDD">
        <w:t xml:space="preserve">) </w:t>
      </w:r>
      <w:r w:rsidRPr="00871575" w:rsidR="007761B0">
        <w:t xml:space="preserve">as </w:t>
      </w:r>
      <w:r w:rsidRPr="00871575" w:rsidR="00904626">
        <w:t>required by 45 CFR part 265</w:t>
      </w:r>
      <w:r w:rsidRPr="00871575" w:rsidR="007761B0">
        <w:t>:</w:t>
      </w:r>
      <w:r w:rsidRPr="00871575" w:rsidR="00807FDE">
        <w:t xml:space="preserve"> the percentage of individuals who have not attained 24 years of age, are attending high school or enrolled in an equivalency program, and are work-eligible individuals or were work-eligible individuals as of the time of exit from the program, who obtain a high school degree or its recognized equivalent while receiving assistance under the </w:t>
      </w:r>
      <w:r w:rsidRPr="00871575" w:rsidR="5B14D3B0">
        <w:t>s</w:t>
      </w:r>
      <w:r w:rsidRPr="00871575" w:rsidR="00807FDE">
        <w:t>tate program funded under this part or within one year after the individual</w:t>
      </w:r>
      <w:r w:rsidRPr="00871575" w:rsidR="085878EC">
        <w:t>’</w:t>
      </w:r>
      <w:r w:rsidRPr="00871575" w:rsidR="00807FDE">
        <w:t>s exit from the program.</w:t>
      </w:r>
    </w:p>
    <w:p w:rsidR="129DD647" w:rsidP="00FC6D7B" w14:paraId="2409B43C" w14:textId="1E35C88E">
      <w:r w:rsidRPr="00871575">
        <w:t xml:space="preserve">Each state must file the report within 45 days following the end of the fiscal year. </w:t>
      </w:r>
    </w:p>
    <w:p w:rsidR="5488B270" w:rsidP="00FC6D7B" w14:paraId="45D80F03" w14:textId="35C8A6EF">
      <w:r w:rsidRPr="00871575">
        <w:t>Territories and the District of Columbia are referred to as “states.” Note: Tribes are not required to report.</w:t>
      </w:r>
    </w:p>
    <w:p w:rsidR="26C1D89F" w:rsidP="26C1D89F" w14:paraId="5478F0A5" w14:textId="70E89AA0">
      <w:pPr>
        <w:pStyle w:val="indent-1"/>
        <w:rPr>
          <w:rFonts w:asciiTheme="minorHAnsi" w:hAnsiTheme="minorHAnsi" w:cstheme="minorBidi"/>
          <w:sz w:val="22"/>
          <w:szCs w:val="22"/>
        </w:rPr>
      </w:pPr>
    </w:p>
    <w:p w:rsidR="00B25035" w:rsidP="00B25035" w14:paraId="31C8596E" w14:textId="77777777">
      <w:pPr>
        <w:pStyle w:val="Heading2"/>
      </w:pPr>
      <w:r>
        <w:t>INSTRUCTIONS AND DEFIN</w:t>
      </w:r>
      <w:r w:rsidR="37B481D3">
        <w:t>I</w:t>
      </w:r>
      <w:r>
        <w:t>TIONS</w:t>
      </w:r>
    </w:p>
    <w:p w:rsidR="00904626" w:rsidRPr="006127A1" w:rsidP="00B25035" w14:paraId="25B75D9E" w14:textId="138B77BD">
      <w:pPr>
        <w:rPr>
          <w:rFonts w:cstheme="minorHAnsi"/>
        </w:rPr>
      </w:pPr>
      <w:r w:rsidRPr="006127A1">
        <w:rPr>
          <w:rFonts w:eastAsiaTheme="minorEastAsia" w:cstheme="minorHAnsi"/>
        </w:rPr>
        <w:t xml:space="preserve">The state agency should collect and report data for each item. The data must be complete and accurate. </w:t>
      </w:r>
      <w:r w:rsidRPr="006127A1">
        <w:rPr>
          <w:rFonts w:cstheme="minorHAnsi"/>
        </w:rPr>
        <w:t xml:space="preserve">The report must include the </w:t>
      </w:r>
      <w:r w:rsidRPr="006127A1" w:rsidR="00AF7E05">
        <w:rPr>
          <w:rFonts w:cstheme="minorHAnsi"/>
        </w:rPr>
        <w:t xml:space="preserve">numerator and denominator </w:t>
      </w:r>
      <w:r w:rsidRPr="006127A1">
        <w:rPr>
          <w:rFonts w:cstheme="minorHAnsi"/>
        </w:rPr>
        <w:t xml:space="preserve">used to calculate the rate and attach a description of the data sources. </w:t>
      </w:r>
    </w:p>
    <w:p w:rsidR="0888047D" w:rsidRPr="001C3FEE" w:rsidP="4DF1363C" w14:paraId="00979CEE" w14:textId="687D4614">
      <w:pPr>
        <w:rPr>
          <w:rFonts w:eastAsia="Calibri" w:cstheme="minorHAnsi"/>
        </w:rPr>
      </w:pPr>
      <w:r w:rsidRPr="006127A1">
        <w:rPr>
          <w:rFonts w:eastAsiaTheme="minorEastAsia" w:cstheme="minorHAnsi"/>
        </w:rPr>
        <w:t>In accordance with 45 CFR 265.2</w:t>
      </w:r>
      <w:r w:rsidRPr="006127A1" w:rsidR="007761B0">
        <w:rPr>
          <w:rFonts w:eastAsiaTheme="minorEastAsia" w:cstheme="minorHAnsi"/>
        </w:rPr>
        <w:t xml:space="preserve"> (c) and</w:t>
      </w:r>
      <w:r w:rsidRPr="006127A1">
        <w:rPr>
          <w:rFonts w:eastAsiaTheme="minorEastAsia" w:cstheme="minorHAnsi"/>
        </w:rPr>
        <w:t xml:space="preserve"> (</w:t>
      </w:r>
      <w:r w:rsidRPr="006127A1" w:rsidR="007761B0">
        <w:rPr>
          <w:rFonts w:eastAsiaTheme="minorEastAsia" w:cstheme="minorHAnsi"/>
        </w:rPr>
        <w:t>e</w:t>
      </w:r>
      <w:r w:rsidRPr="006127A1">
        <w:rPr>
          <w:rFonts w:eastAsiaTheme="minorEastAsia" w:cstheme="minorHAnsi"/>
        </w:rPr>
        <w:t>)</w:t>
      </w:r>
      <w:r w:rsidRPr="006127A1" w:rsidR="007761B0">
        <w:rPr>
          <w:rFonts w:eastAsiaTheme="minorEastAsia" w:cstheme="minorHAnsi"/>
        </w:rPr>
        <w:t xml:space="preserve">(1) and (2), </w:t>
      </w:r>
      <w:r w:rsidRPr="006127A1">
        <w:rPr>
          <w:rFonts w:eastAsiaTheme="minorEastAsia" w:cstheme="minorHAnsi"/>
        </w:rPr>
        <w:t>for</w:t>
      </w:r>
      <w:r w:rsidRPr="006127A1" w:rsidR="00904626">
        <w:rPr>
          <w:rFonts w:eastAsiaTheme="minorEastAsia" w:cstheme="minorHAnsi"/>
        </w:rPr>
        <w:t xml:space="preserve"> purposes of the </w:t>
      </w:r>
      <w:r w:rsidRPr="006127A1" w:rsidR="2A0AC562">
        <w:rPr>
          <w:rFonts w:eastAsiaTheme="minorEastAsia" w:cstheme="minorHAnsi"/>
        </w:rPr>
        <w:t>Secondary School Attainment Measure</w:t>
      </w:r>
      <w:r w:rsidRPr="006127A1" w:rsidR="00904626">
        <w:rPr>
          <w:rFonts w:eastAsiaTheme="minorEastAsia" w:cstheme="minorHAnsi"/>
        </w:rPr>
        <w:t>:</w:t>
      </w:r>
      <w:r w:rsidRPr="007F73B4" w:rsidR="006D0BBC">
        <w:rPr>
          <w:rFonts w:eastAsia="Calibri" w:cstheme="minorHAnsi"/>
        </w:rPr>
        <w:t xml:space="preserve"> </w:t>
      </w:r>
    </w:p>
    <w:p w:rsidR="006D0BBC" w:rsidRPr="001C3FEE" w:rsidP="26C1D89F" w14:paraId="38B5C81B" w14:textId="18FA41CE">
      <w:pPr>
        <w:rPr>
          <w:rFonts w:cstheme="minorHAnsi"/>
        </w:rPr>
      </w:pPr>
      <w:r w:rsidRPr="001C3FEE">
        <w:rPr>
          <w:rFonts w:eastAsia="Calibri" w:cstheme="minorHAnsi"/>
          <w:b/>
          <w:bCs/>
        </w:rPr>
        <w:t xml:space="preserve">Work-Eligible Individual (WEI) </w:t>
      </w:r>
      <w:r w:rsidRPr="001C3FEE">
        <w:rPr>
          <w:rFonts w:eastAsia="Calibri" w:cstheme="minorHAnsi"/>
        </w:rPr>
        <w:t>as defined</w:t>
      </w:r>
      <w:r w:rsidRPr="001C3FEE">
        <w:rPr>
          <w:rFonts w:eastAsia="Calibri" w:cstheme="minorHAnsi"/>
          <w:b/>
          <w:bCs/>
        </w:rPr>
        <w:t xml:space="preserve"> </w:t>
      </w:r>
      <w:r w:rsidRPr="001C3FEE">
        <w:rPr>
          <w:rStyle w:val="normaltextrun"/>
          <w:rFonts w:eastAsia="Calibri" w:cstheme="minorHAnsi"/>
        </w:rPr>
        <w:t>in 45 CFR Part 261.2(n) applies to the Secondary School Attainment Measure.</w:t>
      </w:r>
      <w:r w:rsidRPr="001C3FEE">
        <w:rPr>
          <w:rFonts w:eastAsia="Calibri" w:cstheme="minorHAnsi"/>
        </w:rPr>
        <w:t xml:space="preserve"> </w:t>
      </w:r>
    </w:p>
    <w:p w:rsidR="006D0BBC" w:rsidRPr="001C3FEE" w:rsidP="4F3DA71D" w14:paraId="10E81FE1" w14:textId="0D43118B">
      <w:pPr>
        <w:rPr>
          <w:rFonts w:eastAsia="Calibri"/>
        </w:rPr>
      </w:pPr>
      <w:r w:rsidRPr="001C3FEE">
        <w:rPr>
          <w:rFonts w:eastAsia="Calibri"/>
          <w:b/>
          <w:bCs/>
        </w:rPr>
        <w:t>Exit:</w:t>
      </w:r>
      <w:r w:rsidRPr="001C3FEE">
        <w:rPr>
          <w:rFonts w:eastAsia="Calibri"/>
        </w:rPr>
        <w:t xml:space="preserve"> the date that a family with a work-eligible individual ceases to receive assistance from the TANF program. The last day of assistance cannot be determined until 90 days </w:t>
      </w:r>
      <w:r w:rsidRPr="001C3FEE" w:rsidR="004F21A3">
        <w:rPr>
          <w:rFonts w:eastAsia="Calibri"/>
        </w:rPr>
        <w:t xml:space="preserve">or three </w:t>
      </w:r>
      <w:r w:rsidRPr="001C3FEE" w:rsidR="001E785A">
        <w:rPr>
          <w:rFonts w:eastAsia="Calibri"/>
        </w:rPr>
        <w:t>months</w:t>
      </w:r>
      <w:r w:rsidRPr="001C3FEE" w:rsidR="004F21A3">
        <w:rPr>
          <w:rFonts w:eastAsia="Calibri"/>
        </w:rPr>
        <w:t xml:space="preserve"> </w:t>
      </w:r>
      <w:r w:rsidRPr="001C3FEE">
        <w:rPr>
          <w:rFonts w:eastAsia="Calibri"/>
        </w:rPr>
        <w:t xml:space="preserve">have elapsed since the participant last received assistance.  </w:t>
      </w:r>
    </w:p>
    <w:p w:rsidR="006D0BBC" w:rsidRPr="001C3FEE" w:rsidP="4F3DA71D" w14:paraId="19EB5928" w14:textId="3D763DB6">
      <w:pPr>
        <w:spacing w:after="0"/>
        <w:ind w:left="720"/>
      </w:pPr>
      <w:r w:rsidRPr="001C3FEE">
        <w:rPr>
          <w:rStyle w:val="normaltextrun"/>
          <w:rFonts w:ascii="Calibri" w:eastAsia="Calibri" w:hAnsi="Calibri" w:cs="Calibri"/>
        </w:rPr>
        <w:t xml:space="preserve">In pay-for-performance states, </w:t>
      </w:r>
      <w:r w:rsidRPr="001C3FEE" w:rsidR="004F21A3">
        <w:rPr>
          <w:rStyle w:val="normaltextrun"/>
          <w:rFonts w:ascii="Calibri" w:eastAsia="Calibri" w:hAnsi="Calibri" w:cs="Calibri"/>
        </w:rPr>
        <w:t>“</w:t>
      </w:r>
      <w:r w:rsidRPr="001C3FEE">
        <w:rPr>
          <w:rStyle w:val="normaltextrun"/>
          <w:rFonts w:ascii="Calibri" w:eastAsia="Calibri" w:hAnsi="Calibri" w:cs="Calibri"/>
        </w:rPr>
        <w:t>ceases to receive</w:t>
      </w:r>
      <w:r w:rsidRPr="001C3FEE" w:rsidR="004F21A3">
        <w:rPr>
          <w:rStyle w:val="normaltextrun"/>
          <w:rFonts w:ascii="Calibri" w:eastAsia="Calibri" w:hAnsi="Calibri" w:cs="Calibri"/>
        </w:rPr>
        <w:t>”</w:t>
      </w:r>
      <w:r w:rsidRPr="001C3FEE">
        <w:rPr>
          <w:rStyle w:val="normaltextrun"/>
          <w:rFonts w:ascii="Calibri" w:eastAsia="Calibri" w:hAnsi="Calibri" w:cs="Calibri"/>
        </w:rPr>
        <w:t xml:space="preserve"> may be interpreted as </w:t>
      </w:r>
      <w:r w:rsidRPr="001C3FEE" w:rsidR="004F21A3">
        <w:rPr>
          <w:rStyle w:val="normaltextrun"/>
          <w:rFonts w:ascii="Calibri" w:eastAsia="Calibri" w:hAnsi="Calibri" w:cs="Calibri"/>
        </w:rPr>
        <w:t>“</w:t>
      </w:r>
      <w:r w:rsidRPr="001C3FEE">
        <w:rPr>
          <w:rStyle w:val="normaltextrun"/>
          <w:rFonts w:ascii="Calibri" w:eastAsia="Calibri" w:hAnsi="Calibri" w:cs="Calibri"/>
        </w:rPr>
        <w:t>last eligible to receive</w:t>
      </w:r>
      <w:r w:rsidRPr="001C3FEE" w:rsidR="004F21A3">
        <w:rPr>
          <w:rStyle w:val="normaltextrun"/>
          <w:rFonts w:ascii="Calibri" w:eastAsia="Calibri" w:hAnsi="Calibri" w:cs="Calibri"/>
        </w:rPr>
        <w:t>”</w:t>
      </w:r>
      <w:r w:rsidRPr="001C3FEE">
        <w:rPr>
          <w:rStyle w:val="normaltextrun"/>
          <w:rFonts w:ascii="Calibri" w:eastAsia="Calibri" w:hAnsi="Calibri" w:cs="Calibri"/>
        </w:rPr>
        <w:t xml:space="preserve">. The 90 days or three months would be counted from the period the work-eligible individual </w:t>
      </w:r>
      <w:r w:rsidRPr="001C3FEE" w:rsidR="005D2DD6">
        <w:rPr>
          <w:rStyle w:val="normaltextrun"/>
          <w:rFonts w:ascii="Calibri" w:eastAsia="Calibri" w:hAnsi="Calibri" w:cs="Calibri"/>
        </w:rPr>
        <w:t xml:space="preserve">last </w:t>
      </w:r>
      <w:r w:rsidRPr="001C3FEE">
        <w:rPr>
          <w:rStyle w:val="normaltextrun"/>
          <w:rFonts w:ascii="Calibri" w:eastAsia="Calibri" w:hAnsi="Calibri" w:cs="Calibri"/>
        </w:rPr>
        <w:t>satisfied the state</w:t>
      </w:r>
      <w:r w:rsidRPr="001C3FEE" w:rsidR="004F21A3">
        <w:rPr>
          <w:rStyle w:val="normaltextrun"/>
          <w:rFonts w:ascii="Calibri" w:eastAsia="Calibri" w:hAnsi="Calibri" w:cs="Calibri"/>
        </w:rPr>
        <w:t>’</w:t>
      </w:r>
      <w:r w:rsidRPr="001C3FEE">
        <w:rPr>
          <w:rStyle w:val="normaltextrun"/>
          <w:rFonts w:ascii="Calibri" w:eastAsia="Calibri" w:hAnsi="Calibri" w:cs="Calibri"/>
        </w:rPr>
        <w:t xml:space="preserve">s performance requirement, not from the date of the benefit issuance. </w:t>
      </w:r>
      <w:r w:rsidRPr="001C3FEE">
        <w:rPr>
          <w:rFonts w:ascii="Calibri" w:eastAsia="Calibri" w:hAnsi="Calibri" w:cs="Calibri"/>
        </w:rPr>
        <w:t xml:space="preserve"> </w:t>
      </w:r>
    </w:p>
    <w:p w:rsidR="006D0BBC" w:rsidRPr="001C3FEE" w:rsidP="4F3DA71D" w14:paraId="4B452A8A" w14:textId="4F3F4D54">
      <w:pPr>
        <w:ind w:left="720"/>
        <w:rPr>
          <w:rFonts w:eastAsia="Calibri"/>
        </w:rPr>
      </w:pPr>
    </w:p>
    <w:p w:rsidR="006D0BBC" w:rsidRPr="001C3FEE" w:rsidP="005D2DD6" w14:paraId="70346CDF" w14:textId="6812EFCF">
      <w:r w:rsidRPr="001C3FEE">
        <w:rPr>
          <w:rStyle w:val="normaltextrun"/>
        </w:rPr>
        <w:t xml:space="preserve">Some states may move individuals out of the TANF program and into separate state programs (funded by maintenance-of-effort funds) or solely state-funded programs (not reported as maintenance-of-effort). For some states, these may be distinctly different programs, while for other states the difference may just be the funding source. The statute clearly states “with respect to a State program funded under this part” which refers only to the TANF program, and not separate state programs or solely state-funded programs. Therefore, when considering who exited TANF for this data collection, states should include </w:t>
      </w:r>
      <w:r w:rsidRPr="001C3FEE" w:rsidR="000402CC">
        <w:rPr>
          <w:rStyle w:val="normaltextrun"/>
        </w:rPr>
        <w:t xml:space="preserve">as </w:t>
      </w:r>
      <w:r w:rsidRPr="001C3FEE" w:rsidR="000402CC">
        <w:rPr>
          <w:rStyle w:val="normaltextrun"/>
        </w:rPr>
        <w:t>exiters</w:t>
      </w:r>
      <w:r w:rsidRPr="001C3FEE" w:rsidR="000402CC">
        <w:rPr>
          <w:rStyle w:val="normaltextrun"/>
        </w:rPr>
        <w:t xml:space="preserve"> </w:t>
      </w:r>
      <w:r w:rsidRPr="001C3FEE">
        <w:rPr>
          <w:rStyle w:val="normaltextrun"/>
        </w:rPr>
        <w:t>those work-eligible individuals who were moved to separate state programs or solely-state funded programs and have not received TANF-funded assistance in at least 90 days</w:t>
      </w:r>
      <w:r w:rsidRPr="001C3FEE" w:rsidR="004F21A3">
        <w:rPr>
          <w:rStyle w:val="normaltextrun"/>
        </w:rPr>
        <w:t xml:space="preserve"> or three months</w:t>
      </w:r>
      <w:r w:rsidRPr="001C3FEE">
        <w:rPr>
          <w:rStyle w:val="normaltextrun"/>
        </w:rPr>
        <w:t>. </w:t>
      </w:r>
      <w:r w:rsidRPr="001C3FEE">
        <w:rPr>
          <w:rFonts w:eastAsia="Calibri"/>
          <w:b/>
          <w:bCs/>
        </w:rPr>
        <w:t xml:space="preserve"> </w:t>
      </w:r>
    </w:p>
    <w:p w:rsidR="006D0BBC" w:rsidRPr="001C3FEE" w:rsidP="4F3DA71D" w14:paraId="52D4EC72" w14:textId="53A6FB43">
      <w:pPr>
        <w:rPr>
          <w:rStyle w:val="normaltextrun"/>
        </w:rPr>
      </w:pPr>
      <w:r w:rsidRPr="001C3FEE">
        <w:rPr>
          <w:rStyle w:val="normaltextrun"/>
        </w:rPr>
        <w:t xml:space="preserve">A work-eligible individual will be included as an exiter in these measures only when their </w:t>
      </w:r>
      <w:r w:rsidRPr="001C3FEE">
        <w:rPr>
          <w:rStyle w:val="normaltextrun"/>
          <w:i/>
          <w:iCs/>
        </w:rPr>
        <w:t>family</w:t>
      </w:r>
      <w:r w:rsidRPr="001C3FEE">
        <w:rPr>
          <w:rStyle w:val="normaltextrun"/>
        </w:rPr>
        <w:t xml:space="preserve"> ceases to receive </w:t>
      </w:r>
      <w:r w:rsidRPr="001C3FEE">
        <w:rPr>
          <w:rStyle w:val="normaltextrun"/>
        </w:rPr>
        <w:t>assistance, and</w:t>
      </w:r>
      <w:r w:rsidRPr="001C3FEE">
        <w:rPr>
          <w:rStyle w:val="normaltextrun"/>
        </w:rPr>
        <w:t xml:space="preserve"> will not meet the definition of an exiter when the needs of the work-eligible individual are removed from the assistance payment but the family continues to receive assistance</w:t>
      </w:r>
      <w:r w:rsidRPr="001C3FEE" w:rsidR="00D41C26">
        <w:rPr>
          <w:rStyle w:val="normaltextrun"/>
        </w:rPr>
        <w:t xml:space="preserve"> and the individual remains work-eligible</w:t>
      </w:r>
      <w:r w:rsidRPr="001C3FEE">
        <w:rPr>
          <w:rStyle w:val="normaltextrun"/>
        </w:rPr>
        <w:t>.  An individual in the family must have been “a work-eligible individual,” as defined in 45 CFR 261.2(n)(1), in their last month of assistance. </w:t>
      </w:r>
    </w:p>
    <w:p w:rsidR="002D7D33" w:rsidRPr="001C3FEE" w:rsidP="002D7D33" w14:paraId="5CAF1975" w14:textId="22AFCA2A">
      <w:pPr>
        <w:rPr>
          <w:rFonts w:ascii="Calibri" w:eastAsia="Calibri" w:hAnsi="Calibri" w:cs="Calibri"/>
        </w:rPr>
      </w:pPr>
      <w:r w:rsidRPr="001C3FEE">
        <w:rPr>
          <w:rFonts w:ascii="Calibri" w:eastAsia="Calibri" w:hAnsi="Calibri" w:cs="Calibri"/>
        </w:rPr>
        <w:t xml:space="preserve">For reporting purposes, a </w:t>
      </w:r>
      <w:r w:rsidRPr="001C3FEE">
        <w:rPr>
          <w:rFonts w:ascii="Calibri" w:eastAsia="Calibri" w:hAnsi="Calibri" w:cs="Calibri"/>
          <w:b/>
          <w:bCs/>
        </w:rPr>
        <w:t>family</w:t>
      </w:r>
      <w:r w:rsidRPr="001C3FEE">
        <w:rPr>
          <w:rFonts w:ascii="Calibri" w:eastAsia="Calibri" w:hAnsi="Calibri" w:cs="Calibri"/>
        </w:rPr>
        <w:t xml:space="preserve"> means: (a) all individuals receiving assistance as part of a family under the state’s TANF program; and (b) the following additional persons living in the family, if not included under (a) above: (1) Parent or caretaker relative of any minor child; (2) A minor child; and (3) Any person whose income or resources are counted in determining the family’s eligibility for or amount of assistance. This is the same definition used for </w:t>
      </w:r>
      <w:hyperlink r:id="rId8" w:history="1">
        <w:r w:rsidRPr="001C3FEE">
          <w:rPr>
            <w:rStyle w:val="Hyperlink"/>
            <w:rFonts w:ascii="Calibri" w:eastAsia="Calibri" w:hAnsi="Calibri" w:cs="Calibri"/>
            <w:color w:val="auto"/>
            <w:u w:val="none"/>
          </w:rPr>
          <w:t>reporting on the TANF Data Report (ACF-199) (page 4)</w:t>
        </w:r>
      </w:hyperlink>
      <w:r w:rsidRPr="001C3FEE">
        <w:rPr>
          <w:rFonts w:ascii="Calibri" w:eastAsia="Calibri" w:hAnsi="Calibri" w:cs="Calibri"/>
        </w:rPr>
        <w:t>.</w:t>
      </w:r>
    </w:p>
    <w:p w:rsidR="002D7D33" w:rsidRPr="001C3FEE" w:rsidP="4F3DA71D" w14:paraId="5CE002F6" w14:textId="77777777"/>
    <w:p w:rsidR="00644295" w:rsidRPr="007F73B4" w:rsidP="00912E52" w14:paraId="5973173D" w14:textId="25777C72">
      <w:pPr>
        <w:pStyle w:val="paragraph"/>
        <w:spacing w:before="0" w:beforeAutospacing="0" w:after="0" w:afterAutospacing="0"/>
        <w:textAlignment w:val="baseline"/>
        <w:rPr>
          <w:sz w:val="18"/>
          <w:szCs w:val="18"/>
        </w:rPr>
      </w:pPr>
      <w:r w:rsidRPr="4F3DA71D">
        <w:rPr>
          <w:rStyle w:val="normaltextrun"/>
          <w:rFonts w:asciiTheme="minorHAnsi" w:hAnsiTheme="minorHAnsi" w:cstheme="minorBidi"/>
          <w:b/>
          <w:bCs/>
          <w:sz w:val="22"/>
          <w:szCs w:val="22"/>
        </w:rPr>
        <w:t xml:space="preserve">Eligibility: </w:t>
      </w:r>
      <w:r w:rsidRPr="4F3DA71D">
        <w:rPr>
          <w:rStyle w:val="normaltextrun"/>
          <w:rFonts w:asciiTheme="minorHAnsi" w:hAnsiTheme="minorHAnsi" w:cstheme="minorBidi"/>
          <w:sz w:val="22"/>
          <w:szCs w:val="22"/>
        </w:rPr>
        <w:t xml:space="preserve">An individual is </w:t>
      </w:r>
      <w:r w:rsidRPr="4F3DA71D">
        <w:rPr>
          <w:rStyle w:val="normaltextrun"/>
          <w:rFonts w:asciiTheme="minorHAnsi" w:hAnsiTheme="minorHAnsi" w:cstheme="minorBidi"/>
          <w:b/>
          <w:bCs/>
          <w:sz w:val="22"/>
          <w:szCs w:val="22"/>
        </w:rPr>
        <w:t>eligible</w:t>
      </w:r>
      <w:r w:rsidRPr="4F3DA71D">
        <w:rPr>
          <w:rStyle w:val="normaltextrun"/>
          <w:rFonts w:asciiTheme="minorHAnsi" w:hAnsiTheme="minorHAnsi" w:cstheme="minorBidi"/>
          <w:sz w:val="22"/>
          <w:szCs w:val="22"/>
        </w:rPr>
        <w:t xml:space="preserve"> for the measure in a given federal fiscal year if, in at least one reporting month, they simultaneously meet </w:t>
      </w:r>
      <w:r w:rsidRPr="4F3DA71D">
        <w:rPr>
          <w:rStyle w:val="normaltextrun"/>
          <w:rFonts w:asciiTheme="minorHAnsi" w:hAnsiTheme="minorHAnsi" w:cstheme="minorBidi"/>
          <w:sz w:val="22"/>
          <w:szCs w:val="22"/>
        </w:rPr>
        <w:t>all of</w:t>
      </w:r>
      <w:r w:rsidRPr="4F3DA71D">
        <w:rPr>
          <w:rStyle w:val="normaltextrun"/>
          <w:rFonts w:asciiTheme="minorHAnsi" w:hAnsiTheme="minorHAnsi" w:cstheme="minorBidi"/>
          <w:sz w:val="22"/>
          <w:szCs w:val="22"/>
        </w:rPr>
        <w:t xml:space="preserve"> the following criteria:</w:t>
      </w:r>
      <w:r w:rsidRPr="4F3DA71D">
        <w:rPr>
          <w:rStyle w:val="eop"/>
          <w:rFonts w:asciiTheme="minorHAnsi" w:hAnsiTheme="minorHAnsi" w:cstheme="minorBidi"/>
          <w:sz w:val="22"/>
          <w:szCs w:val="22"/>
        </w:rPr>
        <w:t> </w:t>
      </w:r>
    </w:p>
    <w:p w:rsidR="00644295" w:rsidRPr="007F73B4" w:rsidP="00644295" w14:paraId="2F4F6D62" w14:textId="1DC96B43">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7F73B4">
        <w:rPr>
          <w:rStyle w:val="normaltextrun"/>
          <w:rFonts w:asciiTheme="minorHAnsi" w:hAnsiTheme="minorHAnsi" w:cstheme="minorHAnsi"/>
          <w:sz w:val="22"/>
          <w:szCs w:val="22"/>
        </w:rPr>
        <w:t>Less than 24 years of age,</w:t>
      </w:r>
      <w:r w:rsidRPr="007F73B4">
        <w:rPr>
          <w:rStyle w:val="eop"/>
          <w:rFonts w:asciiTheme="minorHAnsi" w:hAnsiTheme="minorHAnsi" w:cstheme="minorHAnsi"/>
          <w:sz w:val="22"/>
          <w:szCs w:val="22"/>
        </w:rPr>
        <w:t> </w:t>
      </w:r>
    </w:p>
    <w:p w:rsidR="00644295" w:rsidRPr="007F73B4" w:rsidP="00644295" w14:paraId="15240380" w14:textId="5E6A91AC">
      <w:pPr>
        <w:pStyle w:val="paragraph"/>
        <w:numPr>
          <w:ilvl w:val="0"/>
          <w:numId w:val="19"/>
        </w:numPr>
        <w:spacing w:before="0" w:beforeAutospacing="0" w:after="0" w:afterAutospacing="0"/>
        <w:ind w:left="1080" w:firstLine="0"/>
        <w:textAlignment w:val="baseline"/>
        <w:rPr>
          <w:rFonts w:asciiTheme="minorHAnsi" w:hAnsiTheme="minorHAnsi" w:cstheme="minorHAnsi"/>
          <w:sz w:val="22"/>
          <w:szCs w:val="22"/>
        </w:rPr>
      </w:pPr>
      <w:r w:rsidRPr="007F73B4">
        <w:rPr>
          <w:rStyle w:val="normaltextrun"/>
          <w:rFonts w:asciiTheme="minorHAnsi" w:hAnsiTheme="minorHAnsi" w:cstheme="minorHAnsi"/>
          <w:sz w:val="22"/>
          <w:szCs w:val="22"/>
        </w:rPr>
        <w:t>Enrollment in a secondary school or recognized equivalent program,</w:t>
      </w:r>
      <w:r w:rsidRPr="007F73B4">
        <w:rPr>
          <w:rStyle w:val="eop"/>
          <w:rFonts w:asciiTheme="minorHAnsi" w:hAnsiTheme="minorHAnsi" w:cstheme="minorHAnsi"/>
          <w:sz w:val="22"/>
          <w:szCs w:val="22"/>
        </w:rPr>
        <w:t> </w:t>
      </w:r>
    </w:p>
    <w:p w:rsidR="00644295" w:rsidRPr="007F73B4" w:rsidP="4F3DA71D" w14:paraId="21A6F023" w14:textId="77777777">
      <w:pPr>
        <w:pStyle w:val="paragraph"/>
        <w:numPr>
          <w:ilvl w:val="0"/>
          <w:numId w:val="19"/>
        </w:numPr>
        <w:spacing w:before="0" w:beforeAutospacing="0" w:after="0" w:afterAutospacing="0"/>
        <w:ind w:left="1080" w:firstLine="0"/>
        <w:textAlignment w:val="baseline"/>
        <w:rPr>
          <w:rFonts w:asciiTheme="minorHAnsi" w:hAnsiTheme="minorHAnsi" w:cstheme="minorBidi"/>
          <w:sz w:val="22"/>
          <w:szCs w:val="22"/>
        </w:rPr>
      </w:pPr>
      <w:r w:rsidRPr="4F3DA71D">
        <w:rPr>
          <w:rStyle w:val="normaltextrun"/>
          <w:rFonts w:asciiTheme="minorHAnsi" w:hAnsiTheme="minorHAnsi" w:cstheme="minorBidi"/>
          <w:sz w:val="22"/>
          <w:szCs w:val="22"/>
        </w:rPr>
        <w:t>Work-eligible individual status, as defined</w:t>
      </w:r>
      <w:r w:rsidRPr="4F3DA71D">
        <w:rPr>
          <w:rStyle w:val="normaltextrun"/>
          <w:rFonts w:asciiTheme="minorHAnsi" w:hAnsiTheme="minorHAnsi" w:cstheme="minorBidi"/>
          <w:b/>
          <w:bCs/>
          <w:sz w:val="22"/>
          <w:szCs w:val="22"/>
        </w:rPr>
        <w:t xml:space="preserve"> </w:t>
      </w:r>
      <w:r w:rsidRPr="4F3DA71D">
        <w:rPr>
          <w:rStyle w:val="normaltextrun"/>
          <w:rFonts w:asciiTheme="minorHAnsi" w:hAnsiTheme="minorHAnsi" w:cstheme="minorBidi"/>
          <w:sz w:val="22"/>
          <w:szCs w:val="22"/>
          <w:shd w:val="clear" w:color="auto" w:fill="FFFFFF"/>
        </w:rPr>
        <w:t>in 45 CFR Part 261.2(n) applies to the Secondary School Attainment Measure.</w:t>
      </w:r>
      <w:r w:rsidRPr="4F3DA71D">
        <w:rPr>
          <w:rStyle w:val="eop"/>
          <w:rFonts w:asciiTheme="minorHAnsi" w:hAnsiTheme="minorHAnsi" w:cstheme="minorBidi"/>
          <w:sz w:val="22"/>
          <w:szCs w:val="22"/>
        </w:rPr>
        <w:t> </w:t>
      </w:r>
    </w:p>
    <w:p w:rsidR="4F3DA71D" w:rsidP="4F3DA71D" w14:paraId="1D464E41" w14:textId="08A63A52">
      <w:pPr>
        <w:pStyle w:val="paragraph"/>
        <w:spacing w:before="0" w:beforeAutospacing="0" w:after="0" w:afterAutospacing="0"/>
        <w:ind w:left="720"/>
        <w:rPr>
          <w:rFonts w:ascii="Calibri" w:eastAsia="Calibri" w:hAnsi="Calibri" w:cs="Calibri"/>
          <w:color w:val="0078D4"/>
          <w:sz w:val="22"/>
          <w:szCs w:val="22"/>
          <w:u w:val="single"/>
        </w:rPr>
      </w:pPr>
    </w:p>
    <w:p w:rsidR="769240AF" w:rsidP="00912E52" w14:paraId="23623727" w14:textId="590F43B3">
      <w:pPr>
        <w:pStyle w:val="paragraph"/>
        <w:spacing w:before="0" w:beforeAutospacing="0" w:after="0" w:afterAutospacing="0"/>
        <w:ind w:left="720"/>
      </w:pPr>
      <w:r w:rsidRPr="4F3DA71D">
        <w:rPr>
          <w:rFonts w:ascii="Calibri" w:eastAsia="Calibri" w:hAnsi="Calibri" w:cs="Calibri"/>
          <w:color w:val="0078D4"/>
          <w:sz w:val="22"/>
          <w:szCs w:val="22"/>
          <w:u w:val="single"/>
        </w:rPr>
        <w:t>For the purposes of the Secondary School Measure, states have the flexibility to determine how to calculate an individual's age and whether someone meets the “less than 24 years of age” criterion based on their caseload management systems.</w:t>
      </w:r>
    </w:p>
    <w:p w:rsidR="4F3DA71D" w:rsidP="00912E52" w14:paraId="307F4B65" w14:textId="7EBDE559">
      <w:pPr>
        <w:pStyle w:val="paragraph"/>
        <w:spacing w:before="0" w:beforeAutospacing="0" w:after="0" w:afterAutospacing="0"/>
        <w:ind w:left="1080"/>
        <w:rPr>
          <w:rFonts w:asciiTheme="minorHAnsi" w:hAnsiTheme="minorHAnsi" w:cstheme="minorBidi"/>
        </w:rPr>
      </w:pPr>
    </w:p>
    <w:p w:rsidR="00B7362B" w:rsidRPr="007F73B4" w:rsidP="007F73B4" w14:paraId="1971BBCD" w14:textId="77777777">
      <w:pPr>
        <w:spacing w:after="0"/>
        <w:rPr>
          <w:rFonts w:eastAsia="Calibri" w:cstheme="minorHAnsi"/>
          <w:b/>
          <w:bCs/>
          <w:color w:val="000000" w:themeColor="text1"/>
        </w:rPr>
      </w:pPr>
    </w:p>
    <w:p w:rsidR="006D0BBC" w:rsidRPr="006127A1" w:rsidP="006D0BBC" w14:paraId="2CB73048" w14:textId="6BB853BF">
      <w:pPr>
        <w:rPr>
          <w:rFonts w:cstheme="minorHAnsi"/>
        </w:rPr>
      </w:pPr>
      <w:r w:rsidRPr="007F73B4">
        <w:rPr>
          <w:rFonts w:eastAsia="Calibri" w:cstheme="minorHAnsi"/>
          <w:b/>
          <w:bCs/>
          <w:color w:val="000000" w:themeColor="text1"/>
        </w:rPr>
        <w:t>Secondary school diploma</w:t>
      </w:r>
      <w:r w:rsidRPr="007F73B4" w:rsidR="00007B49">
        <w:rPr>
          <w:rFonts w:eastAsia="Calibri" w:cstheme="minorHAnsi"/>
          <w:b/>
          <w:bCs/>
          <w:color w:val="000000" w:themeColor="text1"/>
        </w:rPr>
        <w:t>:</w:t>
      </w:r>
      <w:r w:rsidRPr="007F73B4">
        <w:rPr>
          <w:rFonts w:eastAsia="Calibri" w:cstheme="minorHAnsi"/>
          <w:color w:val="000000" w:themeColor="text1"/>
        </w:rPr>
        <w:t xml:space="preserve"> a “regular high school diploma” as defined in 21 U.S.C. 7801(43), the Elementary and Secondary Education Act of 1965 (ESEA), as amended by the Every Student Succeeds Act (ESSA).  </w:t>
      </w:r>
      <w:r w:rsidRPr="007F73B4">
        <w:rPr>
          <w:rFonts w:eastAsia="Calibri" w:cstheme="minorHAnsi"/>
        </w:rPr>
        <w:t xml:space="preserve"> </w:t>
      </w:r>
    </w:p>
    <w:p w:rsidR="006D0BBC" w:rsidRPr="007F73B4" w:rsidP="006D0BBC" w14:paraId="0AC40131" w14:textId="2D4BAA3E">
      <w:pPr>
        <w:rPr>
          <w:rFonts w:eastAsia="Calibri" w:cstheme="minorHAnsi"/>
        </w:rPr>
      </w:pPr>
      <w:r w:rsidRPr="007F73B4">
        <w:rPr>
          <w:rFonts w:eastAsia="Calibri" w:cstheme="minorHAnsi"/>
          <w:b/>
          <w:bCs/>
          <w:color w:val="000000" w:themeColor="text1"/>
        </w:rPr>
        <w:t>Re</w:t>
      </w:r>
      <w:r w:rsidRPr="007F73B4">
        <w:rPr>
          <w:rFonts w:eastAsia="Calibri" w:cstheme="minorHAnsi"/>
          <w:b/>
          <w:bCs/>
          <w:color w:val="000000" w:themeColor="text1"/>
        </w:rPr>
        <w:t>cognized equivalent to a secondary school diploma</w:t>
      </w:r>
      <w:r w:rsidRPr="007F73B4">
        <w:rPr>
          <w:rFonts w:eastAsia="Calibri" w:cstheme="minorHAnsi"/>
          <w:b/>
          <w:bCs/>
          <w:color w:val="000000" w:themeColor="text1"/>
        </w:rPr>
        <w:t>:</w:t>
      </w:r>
      <w:r w:rsidRPr="007F73B4">
        <w:rPr>
          <w:rFonts w:eastAsia="Calibri" w:cstheme="minorHAnsi"/>
          <w:color w:val="000000" w:themeColor="text1"/>
        </w:rPr>
        <w:t xml:space="preserve"> a certification recognized by a state that signifies that a student has completed the state’s requirements for a high school education. </w:t>
      </w:r>
    </w:p>
    <w:p w:rsidR="3CBE4037" w:rsidP="26C1D89F" w14:paraId="67445F24" w14:textId="5B536565">
      <w:pPr>
        <w:rPr>
          <w:rFonts w:eastAsiaTheme="minorEastAsia" w:cstheme="minorHAnsi"/>
        </w:rPr>
      </w:pPr>
      <w:r w:rsidRPr="007F73B4">
        <w:rPr>
          <w:rFonts w:eastAsiaTheme="minorEastAsia" w:cstheme="minorHAnsi"/>
          <w:b/>
          <w:bCs/>
        </w:rPr>
        <w:t xml:space="preserve">Reporting </w:t>
      </w:r>
      <w:r w:rsidRPr="006127A1" w:rsidR="426B3EDF">
        <w:rPr>
          <w:rFonts w:eastAsiaTheme="minorEastAsia" w:cstheme="minorHAnsi"/>
          <w:b/>
          <w:bCs/>
        </w:rPr>
        <w:t>p</w:t>
      </w:r>
      <w:r w:rsidRPr="007F73B4">
        <w:rPr>
          <w:rFonts w:eastAsiaTheme="minorEastAsia" w:cstheme="minorHAnsi"/>
          <w:b/>
          <w:bCs/>
        </w:rPr>
        <w:t xml:space="preserve">eriod: </w:t>
      </w:r>
      <w:r w:rsidRPr="007F73B4">
        <w:rPr>
          <w:rFonts w:eastAsiaTheme="minorEastAsia" w:cstheme="minorHAnsi"/>
        </w:rPr>
        <w:t xml:space="preserve">the </w:t>
      </w:r>
      <w:r w:rsidRPr="007F73B4">
        <w:rPr>
          <w:rFonts w:eastAsiaTheme="minorEastAsia" w:cstheme="minorHAnsi"/>
        </w:rPr>
        <w:t>period of time</w:t>
      </w:r>
      <w:r w:rsidRPr="007F73B4">
        <w:rPr>
          <w:rFonts w:eastAsiaTheme="minorEastAsia" w:cstheme="minorHAnsi"/>
        </w:rPr>
        <w:t xml:space="preserve"> covering one federal fiscal year, from October 1</w:t>
      </w:r>
      <w:r w:rsidRPr="007F73B4">
        <w:rPr>
          <w:rFonts w:eastAsiaTheme="minorEastAsia" w:cstheme="minorHAnsi"/>
          <w:vertAlign w:val="superscript"/>
        </w:rPr>
        <w:t>st</w:t>
      </w:r>
      <w:r w:rsidRPr="007F73B4">
        <w:rPr>
          <w:rFonts w:eastAsiaTheme="minorEastAsia" w:cstheme="minorHAnsi"/>
        </w:rPr>
        <w:t xml:space="preserve"> of a given calendar year through September 30</w:t>
      </w:r>
      <w:r w:rsidRPr="007F73B4">
        <w:rPr>
          <w:rFonts w:eastAsiaTheme="minorEastAsia" w:cstheme="minorHAnsi"/>
          <w:vertAlign w:val="superscript"/>
        </w:rPr>
        <w:t xml:space="preserve">th </w:t>
      </w:r>
      <w:r w:rsidRPr="007F73B4">
        <w:rPr>
          <w:rFonts w:eastAsiaTheme="minorEastAsia" w:cstheme="minorHAnsi"/>
        </w:rPr>
        <w:t xml:space="preserve">of the following calendar year, during which period data relevant to this measure are recorded. </w:t>
      </w:r>
    </w:p>
    <w:p w:rsidR="00C04C84" w:rsidRPr="00C04C84" w:rsidP="00C04C84" w14:paraId="64FD3B75" w14:textId="77777777">
      <w:pPr>
        <w:rPr>
          <w:sz w:val="26"/>
          <w:szCs w:val="26"/>
        </w:rPr>
      </w:pPr>
      <w:r w:rsidRPr="00C04C84">
        <w:rPr>
          <w:rStyle w:val="Heading3Char"/>
          <w:sz w:val="26"/>
          <w:szCs w:val="26"/>
        </w:rPr>
        <w:t>Methodology</w:t>
      </w:r>
      <w:r w:rsidRPr="00C04C84">
        <w:rPr>
          <w:sz w:val="26"/>
          <w:szCs w:val="26"/>
        </w:rPr>
        <w:t>:</w:t>
      </w:r>
    </w:p>
    <w:p w:rsidR="00C04C84" w:rsidP="00833F0A" w14:paraId="61DED7C9" w14:textId="77777777">
      <w:pPr>
        <w:spacing w:after="0"/>
        <w:rPr>
          <w:rFonts w:ascii="Calibri" w:eastAsia="Calibri" w:hAnsi="Calibri" w:cs="Calibri"/>
          <w:color w:val="000000" w:themeColor="text1"/>
          <w:u w:val="single"/>
        </w:rPr>
      </w:pPr>
      <w:r w:rsidRPr="4F79153A">
        <w:rPr>
          <w:rFonts w:ascii="Calibri" w:eastAsia="Calibri" w:hAnsi="Calibri" w:cs="Calibri"/>
          <w:color w:val="000000" w:themeColor="text1"/>
        </w:rPr>
        <w:t xml:space="preserve">Individuals are included in the </w:t>
      </w:r>
      <w:r w:rsidRPr="4F79153A">
        <w:rPr>
          <w:rFonts w:ascii="Calibri" w:eastAsia="Calibri" w:hAnsi="Calibri" w:cs="Calibri"/>
          <w:b/>
          <w:bCs/>
          <w:color w:val="000000" w:themeColor="text1"/>
        </w:rPr>
        <w:t>denominator</w:t>
      </w:r>
      <w:r w:rsidRPr="4F79153A">
        <w:rPr>
          <w:rFonts w:ascii="Calibri" w:eastAsia="Calibri" w:hAnsi="Calibri" w:cs="Calibri"/>
          <w:color w:val="000000" w:themeColor="text1"/>
        </w:rPr>
        <w:t xml:space="preserve"> for a given federal fiscal year if they meet the definition of eligibility. Individuals who do not meet the eligibility criteria in a given federal fiscal year </w:t>
      </w:r>
      <w:r w:rsidRPr="4F79153A">
        <w:rPr>
          <w:rFonts w:ascii="Calibri" w:eastAsia="Calibri" w:hAnsi="Calibri" w:cs="Calibri"/>
          <w:color w:val="000000" w:themeColor="text1"/>
          <w:u w:val="single"/>
        </w:rPr>
        <w:t>are not included in the denominator.</w:t>
      </w:r>
    </w:p>
    <w:p w:rsidR="00C04C84" w:rsidP="00833F0A" w14:paraId="3D092385" w14:textId="77777777">
      <w:pPr>
        <w:spacing w:after="0"/>
        <w:rPr>
          <w:rFonts w:ascii="Calibri" w:eastAsia="Calibri" w:hAnsi="Calibri" w:cs="Calibri"/>
          <w:color w:val="000000" w:themeColor="text1"/>
        </w:rPr>
      </w:pPr>
    </w:p>
    <w:p w:rsidR="00C04C84" w:rsidP="00833F0A" w14:paraId="22A47591" w14:textId="77777777">
      <w:pPr>
        <w:spacing w:after="0"/>
        <w:rPr>
          <w:rFonts w:ascii="Calibri" w:eastAsia="Calibri" w:hAnsi="Calibri" w:cs="Calibri"/>
          <w:color w:val="000000" w:themeColor="text1"/>
        </w:rPr>
      </w:pPr>
      <w:r>
        <w:rPr>
          <w:rFonts w:ascii="Calibri" w:eastAsia="Calibri" w:hAnsi="Calibri" w:cs="Calibri"/>
          <w:color w:val="000000" w:themeColor="text1"/>
        </w:rPr>
        <w:t>Individuals</w:t>
      </w:r>
      <w:r w:rsidRPr="06EC9812">
        <w:rPr>
          <w:rFonts w:ascii="Calibri" w:eastAsia="Calibri" w:hAnsi="Calibri" w:cs="Calibri"/>
          <w:color w:val="000000" w:themeColor="text1"/>
        </w:rPr>
        <w:t xml:space="preserve"> in the denominator are included in the </w:t>
      </w:r>
      <w:r w:rsidRPr="00511A6A">
        <w:rPr>
          <w:rFonts w:ascii="Calibri" w:eastAsia="Calibri" w:hAnsi="Calibri" w:cs="Calibri"/>
          <w:b/>
          <w:color w:val="000000" w:themeColor="text1"/>
        </w:rPr>
        <w:t>numerator</w:t>
      </w:r>
      <w:r w:rsidRPr="06EC9812">
        <w:rPr>
          <w:rFonts w:ascii="Calibri" w:eastAsia="Calibri" w:hAnsi="Calibri" w:cs="Calibri"/>
          <w:color w:val="000000" w:themeColor="text1"/>
        </w:rPr>
        <w:t xml:space="preserve"> for a given federal fiscal year if:</w:t>
      </w:r>
    </w:p>
    <w:p w:rsidR="00C04C84" w:rsidP="00833F0A" w14:paraId="1A3F03C2" w14:textId="77777777">
      <w:pPr>
        <w:spacing w:after="0"/>
        <w:rPr>
          <w:rFonts w:ascii="Calibri" w:eastAsia="Calibri" w:hAnsi="Calibri" w:cs="Calibri"/>
          <w:color w:val="000000" w:themeColor="text1"/>
        </w:rPr>
      </w:pPr>
    </w:p>
    <w:p w:rsidR="00C04C84" w:rsidP="00833F0A" w14:paraId="7E7FF946" w14:textId="77777777">
      <w:pPr>
        <w:pStyle w:val="ListParagraph"/>
        <w:numPr>
          <w:ilvl w:val="0"/>
          <w:numId w:val="20"/>
        </w:numPr>
        <w:spacing w:after="0"/>
        <w:rPr>
          <w:rFonts w:ascii="Calibri" w:eastAsia="Calibri" w:hAnsi="Calibri" w:cs="Calibri"/>
          <w:color w:val="000000" w:themeColor="text1"/>
        </w:rPr>
      </w:pPr>
      <w:r w:rsidRPr="375AD0F6">
        <w:rPr>
          <w:rFonts w:ascii="Calibri" w:eastAsia="Calibri" w:hAnsi="Calibri" w:cs="Calibri"/>
          <w:color w:val="000000" w:themeColor="text1"/>
        </w:rPr>
        <w:t xml:space="preserve">They attain a secondary school diploma or its recognized equivalent while receiving TANF assistance in a year they met the criteria for </w:t>
      </w:r>
      <w:r w:rsidRPr="7A9A0268">
        <w:rPr>
          <w:rFonts w:ascii="Calibri" w:eastAsia="Calibri" w:hAnsi="Calibri" w:cs="Calibri"/>
          <w:color w:val="000000" w:themeColor="text1"/>
        </w:rPr>
        <w:t>eligibility</w:t>
      </w:r>
      <w:r w:rsidRPr="375AD0F6">
        <w:rPr>
          <w:rFonts w:ascii="Calibri" w:eastAsia="Calibri" w:hAnsi="Calibri" w:cs="Calibri"/>
          <w:color w:val="000000" w:themeColor="text1"/>
        </w:rPr>
        <w:t>,</w:t>
      </w:r>
    </w:p>
    <w:p w:rsidR="00C04C84" w:rsidP="00833F0A" w14:paraId="0E8ADD6E" w14:textId="77777777">
      <w:pPr>
        <w:spacing w:after="0"/>
        <w:rPr>
          <w:rFonts w:ascii="Calibri" w:eastAsia="Calibri" w:hAnsi="Calibri" w:cs="Calibri"/>
          <w:color w:val="000000" w:themeColor="text1"/>
        </w:rPr>
      </w:pPr>
    </w:p>
    <w:p w:rsidR="00C04C84" w:rsidP="00833F0A" w14:paraId="005D8720" w14:textId="77777777">
      <w:pPr>
        <w:spacing w:after="0"/>
        <w:ind w:firstLine="720"/>
        <w:rPr>
          <w:rFonts w:ascii="Calibri" w:eastAsia="Calibri" w:hAnsi="Calibri" w:cs="Calibri"/>
          <w:b/>
          <w:bCs/>
          <w:color w:val="000000" w:themeColor="text1"/>
        </w:rPr>
      </w:pPr>
      <w:r w:rsidRPr="06EC9812">
        <w:rPr>
          <w:rFonts w:ascii="Calibri" w:eastAsia="Calibri" w:hAnsi="Calibri" w:cs="Calibri"/>
          <w:b/>
          <w:bCs/>
          <w:color w:val="000000" w:themeColor="text1"/>
        </w:rPr>
        <w:t>OR</w:t>
      </w:r>
    </w:p>
    <w:p w:rsidR="00C04C84" w:rsidP="00833F0A" w14:paraId="1F159904" w14:textId="77777777">
      <w:pPr>
        <w:spacing w:after="0"/>
        <w:ind w:firstLine="720"/>
        <w:rPr>
          <w:rFonts w:ascii="Calibri" w:eastAsia="Calibri" w:hAnsi="Calibri" w:cs="Calibri"/>
          <w:b/>
          <w:bCs/>
          <w:color w:val="000000" w:themeColor="text1"/>
        </w:rPr>
      </w:pPr>
    </w:p>
    <w:p w:rsidR="00C04C84" w:rsidP="00833F0A" w14:paraId="1A9BDF63" w14:textId="77777777">
      <w:pPr>
        <w:pStyle w:val="ListParagraph"/>
        <w:numPr>
          <w:ilvl w:val="0"/>
          <w:numId w:val="20"/>
        </w:numPr>
        <w:spacing w:after="0"/>
        <w:rPr>
          <w:rFonts w:ascii="Calibri" w:eastAsia="Calibri" w:hAnsi="Calibri" w:cs="Calibri"/>
          <w:color w:val="000000" w:themeColor="text1"/>
        </w:rPr>
      </w:pPr>
      <w:r w:rsidRPr="74950A58">
        <w:rPr>
          <w:rFonts w:ascii="Calibri" w:eastAsia="Calibri" w:hAnsi="Calibri" w:cs="Calibri"/>
          <w:color w:val="000000" w:themeColor="text1"/>
        </w:rPr>
        <w:t xml:space="preserve">They exit TANF in a federal fiscal year in which they were </w:t>
      </w:r>
      <w:bookmarkStart w:id="5" w:name="_Int_FI4Rq0o5"/>
      <w:r w:rsidRPr="7A9A0268">
        <w:rPr>
          <w:rFonts w:ascii="Calibri" w:eastAsia="Calibri" w:hAnsi="Calibri" w:cs="Calibri"/>
          <w:color w:val="000000" w:themeColor="text1"/>
        </w:rPr>
        <w:t>eligible</w:t>
      </w:r>
      <w:bookmarkEnd w:id="5"/>
      <w:r w:rsidRPr="74950A58">
        <w:rPr>
          <w:rFonts w:ascii="Calibri" w:eastAsia="Calibri" w:hAnsi="Calibri" w:cs="Calibri"/>
          <w:color w:val="000000" w:themeColor="text1"/>
        </w:rPr>
        <w:t xml:space="preserve"> and they attain a secondary school diploma or its recognized equivalent within 1 year of their </w:t>
      </w:r>
      <w:r w:rsidRPr="7A9A0268">
        <w:rPr>
          <w:rFonts w:ascii="Calibri" w:eastAsia="Calibri" w:hAnsi="Calibri" w:cs="Calibri"/>
          <w:color w:val="000000" w:themeColor="text1"/>
        </w:rPr>
        <w:t>exit</w:t>
      </w:r>
      <w:r w:rsidRPr="74950A58">
        <w:rPr>
          <w:rFonts w:ascii="Calibri" w:eastAsia="Calibri" w:hAnsi="Calibri" w:cs="Calibri"/>
          <w:color w:val="000000" w:themeColor="text1"/>
        </w:rPr>
        <w:t xml:space="preserve">. </w:t>
      </w:r>
    </w:p>
    <w:p w:rsidR="00C04C84" w:rsidP="00C04C84" w14:paraId="68D58BEA" w14:textId="77777777">
      <w:pPr>
        <w:spacing w:after="0"/>
        <w:rPr>
          <w:rFonts w:ascii="Calibri" w:eastAsia="Calibri" w:hAnsi="Calibri" w:cs="Calibri"/>
          <w:color w:val="000000" w:themeColor="text1"/>
        </w:rPr>
      </w:pPr>
    </w:p>
    <w:p w:rsidR="00C04C84" w:rsidP="00C04C84" w14:paraId="63657DA0" w14:textId="77777777">
      <w:pPr>
        <w:rPr>
          <w:rFonts w:ascii="Calibri" w:eastAsia="Calibri" w:hAnsi="Calibri" w:cs="Calibri"/>
          <w:color w:val="000000" w:themeColor="text1"/>
        </w:rPr>
      </w:pPr>
      <w:r w:rsidRPr="06EC9812">
        <w:rPr>
          <w:rFonts w:ascii="Calibri" w:eastAsia="Calibri" w:hAnsi="Calibri" w:cs="Calibri"/>
          <w:color w:val="000000" w:themeColor="text1"/>
        </w:rPr>
        <w:t xml:space="preserve">Attainment of a secondary school diploma or its equivalent is always counted towards the most recent federal fiscal year in which the participant achieved </w:t>
      </w:r>
      <w:r w:rsidRPr="7A9A0268">
        <w:rPr>
          <w:rFonts w:ascii="Calibri" w:eastAsia="Calibri" w:hAnsi="Calibri" w:cs="Calibri"/>
          <w:color w:val="000000" w:themeColor="text1"/>
        </w:rPr>
        <w:t>eligibility</w:t>
      </w:r>
      <w:r w:rsidRPr="06EC9812">
        <w:rPr>
          <w:rFonts w:ascii="Calibri" w:eastAsia="Calibri" w:hAnsi="Calibri" w:cs="Calibri"/>
          <w:color w:val="000000" w:themeColor="text1"/>
        </w:rPr>
        <w:t xml:space="preserve">. </w:t>
      </w:r>
    </w:p>
    <w:p w:rsidR="00C04C84" w:rsidRPr="007F73B4" w:rsidP="26C1D89F" w14:paraId="5A5B8EF7" w14:textId="77777777">
      <w:pPr>
        <w:rPr>
          <w:rFonts w:eastAsiaTheme="minorEastAsia" w:cstheme="minorHAnsi"/>
        </w:rPr>
      </w:pPr>
    </w:p>
    <w:p w:rsidR="114C53D1" w:rsidRPr="007F73B4" w:rsidP="007F73B4" w14:paraId="4F96BD35" w14:textId="4DC959A0">
      <w:pPr>
        <w:pStyle w:val="Heading2"/>
        <w:rPr>
          <w:rFonts w:eastAsiaTheme="minorEastAsia"/>
        </w:rPr>
      </w:pPr>
      <w:r w:rsidRPr="007F73B4">
        <w:rPr>
          <w:rFonts w:eastAsiaTheme="minorEastAsia"/>
        </w:rPr>
        <w:t xml:space="preserve">Submission Instructions: </w:t>
      </w:r>
    </w:p>
    <w:p w:rsidR="009F60CC" w:rsidRPr="007F73B4" w:rsidP="007F73B4" w14:paraId="10A5665E" w14:textId="6FF09A09">
      <w:pPr>
        <w:pStyle w:val="ListParagraph"/>
        <w:numPr>
          <w:ilvl w:val="0"/>
          <w:numId w:val="15"/>
        </w:numPr>
        <w:suppressAutoHyphens/>
        <w:spacing w:before="240" w:line="240" w:lineRule="auto"/>
        <w:rPr>
          <w:rFonts w:eastAsiaTheme="minorEastAsia"/>
        </w:rPr>
      </w:pPr>
      <w:r w:rsidRPr="007F73B4">
        <w:rPr>
          <w:rStyle w:val="normaltextrun"/>
          <w:rFonts w:eastAsiaTheme="minorEastAsia"/>
          <w:color w:val="000000"/>
          <w:u w:val="single"/>
          <w:shd w:val="clear" w:color="auto" w:fill="FFFFFF"/>
        </w:rPr>
        <w:t xml:space="preserve">Reporting </w:t>
      </w:r>
      <w:r w:rsidRPr="26C1D89F" w:rsidR="40C6AF31">
        <w:rPr>
          <w:rStyle w:val="normaltextrun"/>
          <w:rFonts w:eastAsiaTheme="minorEastAsia"/>
          <w:color w:val="000000"/>
          <w:u w:val="single"/>
          <w:shd w:val="clear" w:color="auto" w:fill="FFFFFF"/>
        </w:rPr>
        <w:t>p</w:t>
      </w:r>
      <w:r w:rsidRPr="007F73B4">
        <w:rPr>
          <w:rStyle w:val="normaltextrun"/>
          <w:rFonts w:eastAsiaTheme="minorEastAsia"/>
          <w:color w:val="000000"/>
          <w:u w:val="single"/>
          <w:shd w:val="clear" w:color="auto" w:fill="FFFFFF"/>
        </w:rPr>
        <w:t>eriod:</w:t>
      </w:r>
      <w:r w:rsidRPr="007F73B4">
        <w:rPr>
          <w:rStyle w:val="normaltextrun"/>
          <w:rFonts w:eastAsiaTheme="minorEastAsia"/>
          <w:color w:val="000000"/>
          <w:shd w:val="clear" w:color="auto" w:fill="FFFFFF"/>
        </w:rPr>
        <w:t xml:space="preserve"> Enter the two-digit month</w:t>
      </w:r>
      <w:r w:rsidRPr="007F73B4" w:rsidR="1CE5791E">
        <w:rPr>
          <w:rStyle w:val="normaltextrun"/>
          <w:rFonts w:eastAsiaTheme="minorEastAsia"/>
          <w:color w:val="000000"/>
          <w:shd w:val="clear" w:color="auto" w:fill="FFFFFF"/>
        </w:rPr>
        <w:t xml:space="preserve"> (MM) </w:t>
      </w:r>
      <w:r w:rsidRPr="007F73B4">
        <w:rPr>
          <w:rStyle w:val="normaltextrun"/>
          <w:rFonts w:eastAsiaTheme="minorEastAsia"/>
          <w:color w:val="000000"/>
          <w:shd w:val="clear" w:color="auto" w:fill="FFFFFF"/>
        </w:rPr>
        <w:t xml:space="preserve">and four-digit year </w:t>
      </w:r>
      <w:r w:rsidRPr="007F73B4" w:rsidR="4860CBBE">
        <w:rPr>
          <w:rStyle w:val="normaltextrun"/>
          <w:rFonts w:eastAsiaTheme="minorEastAsia"/>
          <w:color w:val="000000"/>
          <w:shd w:val="clear" w:color="auto" w:fill="FFFFFF"/>
        </w:rPr>
        <w:t xml:space="preserve">(YYYY) </w:t>
      </w:r>
      <w:r w:rsidRPr="007F73B4">
        <w:rPr>
          <w:rStyle w:val="normaltextrun"/>
          <w:rFonts w:eastAsiaTheme="minorEastAsia"/>
          <w:color w:val="000000"/>
          <w:shd w:val="clear" w:color="auto" w:fill="FFFFFF"/>
        </w:rPr>
        <w:t>codes (</w:t>
      </w:r>
      <w:r w:rsidRPr="007F73B4" w:rsidR="028F0898">
        <w:rPr>
          <w:rStyle w:val="normaltextrun"/>
          <w:rFonts w:eastAsiaTheme="minorEastAsia"/>
          <w:color w:val="000000"/>
          <w:shd w:val="clear" w:color="auto" w:fill="FFFFFF"/>
        </w:rPr>
        <w:t>MM</w:t>
      </w:r>
      <w:r w:rsidRPr="26C1D89F" w:rsidR="48A3A49E">
        <w:rPr>
          <w:rStyle w:val="normaltextrun"/>
          <w:rFonts w:eastAsiaTheme="minorEastAsia"/>
          <w:color w:val="000000"/>
          <w:shd w:val="clear" w:color="auto" w:fill="FFFFFF"/>
        </w:rPr>
        <w:t>/YYYY</w:t>
      </w:r>
      <w:r w:rsidRPr="007F73B4">
        <w:rPr>
          <w:rStyle w:val="normaltextrun"/>
          <w:rFonts w:eastAsiaTheme="minorEastAsia"/>
          <w:color w:val="000000"/>
          <w:shd w:val="clear" w:color="auto" w:fill="FFFFFF"/>
        </w:rPr>
        <w:t>) for the period for which the data are being reported.</w:t>
      </w:r>
      <w:r w:rsidR="005A7BE6">
        <w:rPr>
          <w:rStyle w:val="normaltextrun"/>
          <w:rFonts w:eastAsiaTheme="minorEastAsia"/>
          <w:color w:val="000000"/>
          <w:shd w:val="clear" w:color="auto" w:fill="FFFFFF"/>
        </w:rPr>
        <w:br/>
      </w:r>
    </w:p>
    <w:p w:rsidR="0F4A9580" w:rsidRPr="007F73B4" w:rsidP="007F73B4" w14:paraId="64DDF168" w14:textId="4A9BA96B">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Current recipient – denominator:</w:t>
      </w:r>
      <w:r w:rsidRPr="007F73B4">
        <w:rPr>
          <w:rFonts w:eastAsiaTheme="minorEastAsia"/>
        </w:rPr>
        <w:t xml:space="preserve"> </w:t>
      </w:r>
      <w:r w:rsidRPr="007F73B4" w:rsidR="53AA532D">
        <w:rPr>
          <w:rFonts w:eastAsiaTheme="minorEastAsia"/>
        </w:rPr>
        <w:t>Enter the total n</w:t>
      </w:r>
      <w:r w:rsidRPr="007F73B4" w:rsidR="1D22E1E3">
        <w:rPr>
          <w:rFonts w:eastAsiaTheme="minorEastAsia"/>
          <w:color w:val="000000" w:themeColor="text1"/>
        </w:rPr>
        <w:t>umber of individuals</w:t>
      </w:r>
      <w:r w:rsidRPr="007F73B4" w:rsidR="7D5900C6">
        <w:rPr>
          <w:rFonts w:eastAsiaTheme="minorEastAsia"/>
          <w:color w:val="000000" w:themeColor="text1"/>
        </w:rPr>
        <w:t xml:space="preserve"> who met the eligibility criteria for inclusion in the denominator for the reporting period and did not exit TANF </w:t>
      </w:r>
      <w:r w:rsidRPr="007F73B4" w:rsidR="2450184A">
        <w:rPr>
          <w:rFonts w:eastAsiaTheme="minorEastAsia"/>
          <w:color w:val="000000" w:themeColor="text1"/>
        </w:rPr>
        <w:t>during the reporting period.</w:t>
      </w:r>
      <w:r w:rsidR="005A7BE6">
        <w:rPr>
          <w:rFonts w:eastAsiaTheme="minorEastAsia"/>
          <w:color w:val="000000" w:themeColor="text1"/>
        </w:rPr>
        <w:br/>
      </w:r>
    </w:p>
    <w:p w:rsidR="0F4A9580" w:rsidRPr="007F73B4" w:rsidP="007F73B4" w14:paraId="0BD2F411" w14:textId="11A80E3C">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Exiter – denominator</w:t>
      </w:r>
      <w:r w:rsidRPr="007F73B4" w:rsidR="44DDE322">
        <w:rPr>
          <w:rFonts w:eastAsiaTheme="minorEastAsia"/>
          <w:u w:val="single"/>
        </w:rPr>
        <w:t>:</w:t>
      </w:r>
      <w:r w:rsidRPr="007F73B4" w:rsidR="44DDE322">
        <w:rPr>
          <w:rFonts w:eastAsiaTheme="minorEastAsia"/>
        </w:rPr>
        <w:t xml:space="preserve"> </w:t>
      </w:r>
      <w:r w:rsidRPr="007F73B4" w:rsidR="2063657D">
        <w:rPr>
          <w:rFonts w:eastAsiaTheme="minorEastAsia"/>
        </w:rPr>
        <w:t>Enter the total n</w:t>
      </w:r>
      <w:r w:rsidRPr="007F73B4" w:rsidR="2063657D">
        <w:rPr>
          <w:rFonts w:eastAsiaTheme="minorEastAsia"/>
          <w:color w:val="000000" w:themeColor="text1"/>
        </w:rPr>
        <w:t xml:space="preserve">umber of individuals who met the eligibility criteria for inclusion in the denominator for the reporting period and exited TANF during the reporting period. </w:t>
      </w:r>
      <w:r w:rsidR="005A7BE6">
        <w:rPr>
          <w:rFonts w:eastAsiaTheme="minorEastAsia"/>
          <w:color w:val="000000" w:themeColor="text1"/>
        </w:rPr>
        <w:br/>
      </w:r>
    </w:p>
    <w:p w:rsidR="0F4A9580" w:rsidP="00351F92" w14:paraId="2FD23AF1" w14:textId="739E967D">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Current recipient – numerator</w:t>
      </w:r>
      <w:r w:rsidRPr="007F73B4" w:rsidR="0021ABE5">
        <w:rPr>
          <w:rFonts w:eastAsiaTheme="minorEastAsia"/>
        </w:rPr>
        <w:t xml:space="preserve">: </w:t>
      </w:r>
      <w:r w:rsidRPr="007F73B4" w:rsidR="081952B9">
        <w:rPr>
          <w:rFonts w:eastAsiaTheme="minorEastAsia"/>
        </w:rPr>
        <w:t>Enter the total n</w:t>
      </w:r>
      <w:r w:rsidRPr="007F73B4" w:rsidR="081952B9">
        <w:rPr>
          <w:rFonts w:eastAsiaTheme="minorEastAsia"/>
          <w:color w:val="000000" w:themeColor="text1"/>
        </w:rPr>
        <w:t xml:space="preserve">umber of individuals who met the eligibility criteria for inclusion in the </w:t>
      </w:r>
      <w:r w:rsidRPr="26C1D89F" w:rsidR="05826FB0">
        <w:rPr>
          <w:rFonts w:eastAsiaTheme="minorEastAsia"/>
          <w:color w:val="000000" w:themeColor="text1"/>
        </w:rPr>
        <w:t xml:space="preserve">denominator </w:t>
      </w:r>
      <w:r w:rsidRPr="007F73B4" w:rsidR="081952B9">
        <w:rPr>
          <w:rFonts w:eastAsiaTheme="minorEastAsia"/>
          <w:color w:val="000000" w:themeColor="text1"/>
        </w:rPr>
        <w:t>for the reporting period</w:t>
      </w:r>
      <w:r w:rsidRPr="007F73B4" w:rsidR="65EEFC35">
        <w:rPr>
          <w:rFonts w:eastAsiaTheme="minorEastAsia"/>
          <w:color w:val="000000" w:themeColor="text1"/>
        </w:rPr>
        <w:t>, did not exit TANF,</w:t>
      </w:r>
      <w:r w:rsidRPr="007F73B4" w:rsidR="081952B9">
        <w:rPr>
          <w:rFonts w:eastAsiaTheme="minorEastAsia"/>
          <w:color w:val="000000" w:themeColor="text1"/>
        </w:rPr>
        <w:t xml:space="preserve"> and attained a </w:t>
      </w:r>
      <w:r w:rsidRPr="007F73B4" w:rsidR="4E4DFC42">
        <w:rPr>
          <w:rFonts w:eastAsiaTheme="minorEastAsia"/>
          <w:color w:val="000000" w:themeColor="text1"/>
        </w:rPr>
        <w:t xml:space="preserve">secondary school </w:t>
      </w:r>
      <w:r w:rsidRPr="007F73B4" w:rsidR="081952B9">
        <w:rPr>
          <w:rFonts w:eastAsiaTheme="minorEastAsia"/>
          <w:color w:val="000000" w:themeColor="text1"/>
        </w:rPr>
        <w:t xml:space="preserve">diploma or its </w:t>
      </w:r>
      <w:r w:rsidRPr="007F73B4" w:rsidR="08BFDD7A">
        <w:rPr>
          <w:rFonts w:eastAsiaTheme="minorEastAsia"/>
          <w:color w:val="000000" w:themeColor="text1"/>
        </w:rPr>
        <w:t xml:space="preserve">recognized </w:t>
      </w:r>
      <w:r w:rsidRPr="007F73B4" w:rsidR="081952B9">
        <w:rPr>
          <w:rFonts w:eastAsiaTheme="minorEastAsia"/>
          <w:color w:val="000000" w:themeColor="text1"/>
        </w:rPr>
        <w:t xml:space="preserve">equivalent within the reporting period. </w:t>
      </w:r>
    </w:p>
    <w:p w:rsidR="005A7BE6" w:rsidRPr="007F73B4" w:rsidP="007F73B4" w14:paraId="5A644EDB" w14:textId="77777777">
      <w:pPr>
        <w:pStyle w:val="ListParagraph"/>
        <w:spacing w:before="240" w:line="240" w:lineRule="auto"/>
        <w:rPr>
          <w:rFonts w:eastAsiaTheme="minorEastAsia"/>
          <w:color w:val="000000" w:themeColor="text1"/>
        </w:rPr>
      </w:pPr>
    </w:p>
    <w:p w:rsidR="0F4A9580" w:rsidRPr="007F73B4" w:rsidP="007F73B4" w14:paraId="52395FE0" w14:textId="0BF62E56">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Exiter – numerator</w:t>
      </w:r>
      <w:r w:rsidRPr="007F73B4" w:rsidR="2B7E176D">
        <w:rPr>
          <w:rFonts w:eastAsiaTheme="minorEastAsia"/>
        </w:rPr>
        <w:t xml:space="preserve">: </w:t>
      </w:r>
      <w:r w:rsidRPr="007F73B4" w:rsidR="19124EFA">
        <w:rPr>
          <w:rFonts w:eastAsiaTheme="minorEastAsia"/>
        </w:rPr>
        <w:t>Enter the total n</w:t>
      </w:r>
      <w:r w:rsidRPr="007F73B4" w:rsidR="19124EFA">
        <w:rPr>
          <w:rFonts w:eastAsiaTheme="minorEastAsia"/>
          <w:color w:val="000000" w:themeColor="text1"/>
        </w:rPr>
        <w:t xml:space="preserve">umber of individuals who met the eligibility criteria for inclusion in the </w:t>
      </w:r>
      <w:r w:rsidRPr="26C1D89F" w:rsidR="276D2525">
        <w:rPr>
          <w:rFonts w:eastAsiaTheme="minorEastAsia"/>
          <w:color w:val="000000" w:themeColor="text1"/>
        </w:rPr>
        <w:t xml:space="preserve">denominator </w:t>
      </w:r>
      <w:r w:rsidRPr="007F73B4" w:rsidR="19124EFA">
        <w:rPr>
          <w:rFonts w:eastAsiaTheme="minorEastAsia"/>
          <w:color w:val="000000" w:themeColor="text1"/>
        </w:rPr>
        <w:t>for the reporting period, exited TANF, and attained a</w:t>
      </w:r>
      <w:r w:rsidRPr="007F73B4" w:rsidR="425475C7">
        <w:rPr>
          <w:rFonts w:eastAsiaTheme="minorEastAsia"/>
          <w:color w:val="000000" w:themeColor="text1"/>
        </w:rPr>
        <w:t xml:space="preserve"> secondary school diploma or its recognized equivalent </w:t>
      </w:r>
      <w:r w:rsidRPr="007F73B4" w:rsidR="19124EFA">
        <w:rPr>
          <w:rFonts w:eastAsiaTheme="minorEastAsia"/>
          <w:color w:val="000000" w:themeColor="text1"/>
        </w:rPr>
        <w:t xml:space="preserve">within </w:t>
      </w:r>
      <w:r w:rsidR="002A7149">
        <w:rPr>
          <w:rFonts w:eastAsiaTheme="minorEastAsia"/>
          <w:color w:val="000000" w:themeColor="text1"/>
        </w:rPr>
        <w:t>one year of exit</w:t>
      </w:r>
      <w:r w:rsidRPr="007F73B4" w:rsidR="19124EFA">
        <w:rPr>
          <w:rFonts w:eastAsiaTheme="minorEastAsia"/>
          <w:color w:val="000000" w:themeColor="text1"/>
        </w:rPr>
        <w:t>.</w:t>
      </w:r>
      <w:r w:rsidR="005A7BE6">
        <w:rPr>
          <w:rFonts w:eastAsiaTheme="minorEastAsia"/>
          <w:color w:val="000000" w:themeColor="text1"/>
        </w:rPr>
        <w:br/>
      </w:r>
    </w:p>
    <w:p w:rsidR="0F4A9580" w:rsidRPr="007F73B4" w:rsidP="007F73B4" w14:paraId="5D22DFF1" w14:textId="757BAF58">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Current recipient – calculated rate</w:t>
      </w:r>
      <w:r w:rsidRPr="007F73B4" w:rsidR="5568D3EA">
        <w:rPr>
          <w:rFonts w:eastAsiaTheme="minorEastAsia"/>
        </w:rPr>
        <w:t xml:space="preserve">: </w:t>
      </w:r>
      <w:r w:rsidRPr="007F73B4" w:rsidR="5568D3EA">
        <w:rPr>
          <w:rFonts w:eastAsiaTheme="minorEastAsia"/>
          <w:color w:val="000000" w:themeColor="text1"/>
        </w:rPr>
        <w:t>Cu</w:t>
      </w:r>
      <w:r w:rsidRPr="007F73B4" w:rsidR="20276BF6">
        <w:rPr>
          <w:rFonts w:eastAsiaTheme="minorEastAsia"/>
          <w:color w:val="000000" w:themeColor="text1"/>
        </w:rPr>
        <w:t>rrent recipient numerator (#4) divided by current recipient denominator (#2).</w:t>
      </w:r>
      <w:r w:rsidR="005A7BE6">
        <w:rPr>
          <w:rFonts w:eastAsiaTheme="minorEastAsia"/>
          <w:color w:val="000000" w:themeColor="text1"/>
        </w:rPr>
        <w:br/>
      </w:r>
    </w:p>
    <w:p w:rsidR="0F4A9580" w:rsidRPr="007F73B4" w:rsidP="007F73B4" w14:paraId="3FB2F5D0" w14:textId="34B32F21">
      <w:pPr>
        <w:pStyle w:val="ListParagraph"/>
        <w:numPr>
          <w:ilvl w:val="0"/>
          <w:numId w:val="15"/>
        </w:numPr>
        <w:spacing w:before="240" w:line="240" w:lineRule="auto"/>
        <w:rPr>
          <w:rFonts w:eastAsiaTheme="minorEastAsia"/>
          <w:color w:val="000000" w:themeColor="text1"/>
        </w:rPr>
      </w:pPr>
      <w:r w:rsidRPr="007F73B4">
        <w:rPr>
          <w:rFonts w:eastAsiaTheme="minorEastAsia"/>
          <w:u w:val="single"/>
        </w:rPr>
        <w:t>Exiter – calculated rate</w:t>
      </w:r>
      <w:r w:rsidRPr="007F73B4" w:rsidR="1843DBE0">
        <w:rPr>
          <w:rFonts w:eastAsiaTheme="minorEastAsia"/>
        </w:rPr>
        <w:t xml:space="preserve">: </w:t>
      </w:r>
      <w:r w:rsidRPr="007F73B4" w:rsidR="328D52F3">
        <w:rPr>
          <w:rFonts w:eastAsiaTheme="minorEastAsia"/>
          <w:color w:val="000000" w:themeColor="text1"/>
        </w:rPr>
        <w:t>Exiter numerator (#</w:t>
      </w:r>
      <w:r w:rsidR="00452D88">
        <w:rPr>
          <w:rFonts w:eastAsiaTheme="minorEastAsia"/>
          <w:color w:val="000000" w:themeColor="text1"/>
        </w:rPr>
        <w:t>5</w:t>
      </w:r>
      <w:r w:rsidRPr="007F73B4" w:rsidR="328D52F3">
        <w:rPr>
          <w:rFonts w:eastAsiaTheme="minorEastAsia"/>
          <w:color w:val="000000" w:themeColor="text1"/>
        </w:rPr>
        <w:t>) divided by exiter denominator (#</w:t>
      </w:r>
      <w:r w:rsidR="00452D88">
        <w:rPr>
          <w:rFonts w:eastAsiaTheme="minorEastAsia"/>
          <w:color w:val="000000" w:themeColor="text1"/>
        </w:rPr>
        <w:t>3</w:t>
      </w:r>
      <w:r w:rsidRPr="007F73B4" w:rsidR="328D52F3">
        <w:rPr>
          <w:rFonts w:eastAsiaTheme="minorEastAsia"/>
          <w:color w:val="000000" w:themeColor="text1"/>
        </w:rPr>
        <w:t>).</w:t>
      </w:r>
      <w:r w:rsidR="005A7BE6">
        <w:rPr>
          <w:rFonts w:eastAsiaTheme="minorEastAsia"/>
          <w:color w:val="000000" w:themeColor="text1"/>
        </w:rPr>
        <w:br/>
      </w:r>
    </w:p>
    <w:p w:rsidR="0F4A9580" w:rsidP="007F73B4" w14:paraId="641BA701" w14:textId="70CAD7A7">
      <w:pPr>
        <w:pStyle w:val="ListParagraph"/>
        <w:numPr>
          <w:ilvl w:val="0"/>
          <w:numId w:val="15"/>
        </w:numPr>
        <w:spacing w:before="240" w:line="240" w:lineRule="auto"/>
        <w:rPr>
          <w:rFonts w:ascii="Arial" w:eastAsia="Arial" w:hAnsi="Arial" w:cs="Arial"/>
          <w:color w:val="000000" w:themeColor="text1"/>
          <w:sz w:val="18"/>
          <w:szCs w:val="18"/>
        </w:rPr>
      </w:pPr>
      <w:r w:rsidRPr="007F73B4">
        <w:rPr>
          <w:u w:val="single"/>
        </w:rPr>
        <w:t>Total calculated rate</w:t>
      </w:r>
      <w:r w:rsidR="480E7A23">
        <w:t xml:space="preserve">: </w:t>
      </w:r>
      <w:r w:rsidR="54FD4B50">
        <w:t>Combined numerator (#4 + #5) divided by the combined denominator (#2 + #3).</w:t>
      </w:r>
      <w:r w:rsidR="005A7BE6">
        <w:br/>
      </w:r>
    </w:p>
    <w:p w:rsidR="0F4A9580" w:rsidP="007F73B4" w14:paraId="5B8EB905" w14:textId="2D44068F">
      <w:pPr>
        <w:pStyle w:val="ListParagraph"/>
        <w:numPr>
          <w:ilvl w:val="0"/>
          <w:numId w:val="15"/>
        </w:numPr>
        <w:spacing w:before="240" w:line="240" w:lineRule="auto"/>
      </w:pPr>
      <w:r w:rsidRPr="26C1D89F">
        <w:rPr>
          <w:rFonts w:ascii="Calibri" w:eastAsia="Calibri" w:hAnsi="Calibri" w:cs="Calibri"/>
          <w:color w:val="000000" w:themeColor="text1"/>
          <w:u w:val="single"/>
        </w:rPr>
        <w:t>Data Sources</w:t>
      </w:r>
      <w:r w:rsidRPr="26C1D89F">
        <w:rPr>
          <w:rFonts w:ascii="Calibri" w:eastAsia="Calibri" w:hAnsi="Calibri" w:cs="Calibri"/>
          <w:color w:val="000000" w:themeColor="text1"/>
        </w:rPr>
        <w:t xml:space="preserve">: Attach a description of the data sources used to calculate the above rate. </w:t>
      </w:r>
      <w:r>
        <w:t xml:space="preserve"> </w:t>
      </w:r>
    </w:p>
    <w:p w:rsidR="00CB05BA" w:rsidRPr="00233A12" w:rsidP="007F73B4" w14:paraId="643698F1" w14:textId="77777777">
      <w:pPr>
        <w:pStyle w:val="ListParagraph"/>
        <w:tabs>
          <w:tab w:val="left" w:pos="-720"/>
        </w:tabs>
        <w:suppressAutoHyphens/>
        <w:spacing w:line="240" w:lineRule="auto"/>
        <w:rPr>
          <w:rFonts w:cstheme="minorHAns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45D7E7" w14:textId="77777777" w:rsidTr="25FA18E6">
      <w:tblPrEx>
        <w:tblW w:w="0" w:type="auto"/>
        <w:tblLayout w:type="fixed"/>
        <w:tblLook w:val="06A0"/>
      </w:tblPrEx>
      <w:trPr>
        <w:trHeight w:val="300"/>
      </w:trPr>
      <w:tc>
        <w:tcPr>
          <w:tcW w:w="3120" w:type="dxa"/>
        </w:tcPr>
        <w:p w:rsidR="25FA18E6" w:rsidP="25FA18E6" w14:paraId="3D585BE4" w14:textId="5206F418">
          <w:pPr>
            <w:pStyle w:val="Header"/>
            <w:ind w:left="-115"/>
          </w:pPr>
        </w:p>
      </w:tc>
      <w:tc>
        <w:tcPr>
          <w:tcW w:w="3120" w:type="dxa"/>
        </w:tcPr>
        <w:p w:rsidR="25FA18E6" w:rsidP="25FA18E6" w14:paraId="39C0E8EC" w14:textId="1ED59F76">
          <w:pPr>
            <w:pStyle w:val="Header"/>
            <w:jc w:val="center"/>
          </w:pPr>
        </w:p>
      </w:tc>
      <w:tc>
        <w:tcPr>
          <w:tcW w:w="3120" w:type="dxa"/>
        </w:tcPr>
        <w:p w:rsidR="25FA18E6" w:rsidP="25FA18E6" w14:paraId="428F7EA3" w14:textId="7C95C767">
          <w:pPr>
            <w:pStyle w:val="Header"/>
            <w:ind w:right="-115"/>
            <w:jc w:val="right"/>
          </w:pPr>
        </w:p>
      </w:tc>
    </w:tr>
  </w:tbl>
  <w:p w:rsidR="25FA18E6" w:rsidP="25FA18E6" w14:paraId="50BB968F" w14:textId="6D85B5A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26C1D89F" w:rsidP="26C1D89F" w14:paraId="18583293" w14:textId="1A30C2CD">
    <w:pPr>
      <w:pStyle w:val="Header"/>
      <w:jc w:val="center"/>
      <w:rPr>
        <w:rFonts w:eastAsiaTheme="minorEastAsia"/>
      </w:rPr>
    </w:pPr>
    <w:r w:rsidRPr="26C1D89F">
      <w:rPr>
        <w:rFonts w:eastAsiaTheme="minorEastAsia"/>
      </w:rPr>
      <w:t>OMB #XXXX-XXXX 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680A16"/>
    <w:multiLevelType w:val="hybridMultilevel"/>
    <w:tmpl w:val="3E9E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0D5E943"/>
    <w:multiLevelType w:val="hybridMultilevel"/>
    <w:tmpl w:val="018A4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DF42904"/>
    <w:multiLevelType w:val="hybridMultilevel"/>
    <w:tmpl w:val="571E7A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20E3D10"/>
    <w:multiLevelType w:val="multilevel"/>
    <w:tmpl w:val="91B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17573E"/>
    <w:multiLevelType w:val="hybridMultilevel"/>
    <w:tmpl w:val="EDEE4C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23F8C2A5"/>
    <w:multiLevelType w:val="hybridMultilevel"/>
    <w:tmpl w:val="BCCC7E7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7BB61BC"/>
    <w:multiLevelType w:val="hybridMultilevel"/>
    <w:tmpl w:val="72F474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BDAE8EC"/>
    <w:multiLevelType w:val="hybridMultilevel"/>
    <w:tmpl w:val="DC58A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CDAD361"/>
    <w:multiLevelType w:val="hybridMultilevel"/>
    <w:tmpl w:val="FC284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F4E009C"/>
    <w:multiLevelType w:val="hybridMultilevel"/>
    <w:tmpl w:val="04CEA5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25B7A3B"/>
    <w:multiLevelType w:val="hybridMultilevel"/>
    <w:tmpl w:val="E5D4BC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1EDD63"/>
    <w:multiLevelType w:val="hybridMultilevel"/>
    <w:tmpl w:val="763A1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437D1A17"/>
    <w:multiLevelType w:val="hybridMultilevel"/>
    <w:tmpl w:val="5C7464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592B05F"/>
    <w:multiLevelType w:val="hybridMultilevel"/>
    <w:tmpl w:val="D04C9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A8B7F9B"/>
    <w:multiLevelType w:val="hybridMultilevel"/>
    <w:tmpl w:val="1AB883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CE0A7B6"/>
    <w:multiLevelType w:val="hybridMultilevel"/>
    <w:tmpl w:val="E97CF1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FAC20B9"/>
    <w:multiLevelType w:val="hybridMultilevel"/>
    <w:tmpl w:val="80E2DC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8293DD5"/>
    <w:multiLevelType w:val="hybridMultilevel"/>
    <w:tmpl w:val="728C0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F798411"/>
    <w:multiLevelType w:val="hybridMultilevel"/>
    <w:tmpl w:val="F51CD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0952D9"/>
    <w:multiLevelType w:val="hybridMultilevel"/>
    <w:tmpl w:val="EA821D7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53974360">
    <w:abstractNumId w:val="5"/>
  </w:num>
  <w:num w:numId="2" w16cid:durableId="2018002620">
    <w:abstractNumId w:val="2"/>
  </w:num>
  <w:num w:numId="3" w16cid:durableId="1697653948">
    <w:abstractNumId w:val="19"/>
  </w:num>
  <w:num w:numId="4" w16cid:durableId="203830246">
    <w:abstractNumId w:val="17"/>
  </w:num>
  <w:num w:numId="5" w16cid:durableId="934173265">
    <w:abstractNumId w:val="13"/>
  </w:num>
  <w:num w:numId="6" w16cid:durableId="691953249">
    <w:abstractNumId w:val="0"/>
  </w:num>
  <w:num w:numId="7" w16cid:durableId="1804955621">
    <w:abstractNumId w:val="1"/>
  </w:num>
  <w:num w:numId="8" w16cid:durableId="1778022341">
    <w:abstractNumId w:val="15"/>
  </w:num>
  <w:num w:numId="9" w16cid:durableId="341050560">
    <w:abstractNumId w:val="4"/>
  </w:num>
  <w:num w:numId="10" w16cid:durableId="1056314339">
    <w:abstractNumId w:val="11"/>
  </w:num>
  <w:num w:numId="11" w16cid:durableId="1285695094">
    <w:abstractNumId w:val="12"/>
  </w:num>
  <w:num w:numId="12" w16cid:durableId="547182345">
    <w:abstractNumId w:val="14"/>
  </w:num>
  <w:num w:numId="13" w16cid:durableId="976375544">
    <w:abstractNumId w:val="8"/>
  </w:num>
  <w:num w:numId="14" w16cid:durableId="1353994980">
    <w:abstractNumId w:val="16"/>
  </w:num>
  <w:num w:numId="15" w16cid:durableId="706182443">
    <w:abstractNumId w:val="10"/>
  </w:num>
  <w:num w:numId="16" w16cid:durableId="363941156">
    <w:abstractNumId w:val="6"/>
  </w:num>
  <w:num w:numId="17" w16cid:durableId="949970301">
    <w:abstractNumId w:val="9"/>
  </w:num>
  <w:num w:numId="18" w16cid:durableId="201287985">
    <w:abstractNumId w:val="7"/>
  </w:num>
  <w:num w:numId="19" w16cid:durableId="2030135616">
    <w:abstractNumId w:val="3"/>
  </w:num>
  <w:num w:numId="20" w16cid:durableId="2745312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7D"/>
    <w:rsid w:val="00007B49"/>
    <w:rsid w:val="00027F83"/>
    <w:rsid w:val="000402CC"/>
    <w:rsid w:val="00040E9A"/>
    <w:rsid w:val="00047767"/>
    <w:rsid w:val="000A4E07"/>
    <w:rsid w:val="000C666E"/>
    <w:rsid w:val="00125B85"/>
    <w:rsid w:val="00171753"/>
    <w:rsid w:val="001B06D9"/>
    <w:rsid w:val="001C3FEE"/>
    <w:rsid w:val="001E785A"/>
    <w:rsid w:val="0021423F"/>
    <w:rsid w:val="00214E78"/>
    <w:rsid w:val="0021ABE5"/>
    <w:rsid w:val="00233A12"/>
    <w:rsid w:val="00236111"/>
    <w:rsid w:val="002A7149"/>
    <w:rsid w:val="002B464B"/>
    <w:rsid w:val="002D7D33"/>
    <w:rsid w:val="0031762E"/>
    <w:rsid w:val="00351F92"/>
    <w:rsid w:val="0036507F"/>
    <w:rsid w:val="00381EE1"/>
    <w:rsid w:val="003D7A7D"/>
    <w:rsid w:val="00452D88"/>
    <w:rsid w:val="004655A5"/>
    <w:rsid w:val="00474CEB"/>
    <w:rsid w:val="004C5342"/>
    <w:rsid w:val="004F21A3"/>
    <w:rsid w:val="00501A97"/>
    <w:rsid w:val="00511A6A"/>
    <w:rsid w:val="0051712D"/>
    <w:rsid w:val="005A0BA3"/>
    <w:rsid w:val="005A7BE6"/>
    <w:rsid w:val="005D2DD6"/>
    <w:rsid w:val="006127A1"/>
    <w:rsid w:val="00634781"/>
    <w:rsid w:val="00644295"/>
    <w:rsid w:val="0065441C"/>
    <w:rsid w:val="0066261D"/>
    <w:rsid w:val="006661DB"/>
    <w:rsid w:val="00686446"/>
    <w:rsid w:val="00695F87"/>
    <w:rsid w:val="006D0BBC"/>
    <w:rsid w:val="0071103B"/>
    <w:rsid w:val="00712093"/>
    <w:rsid w:val="00736837"/>
    <w:rsid w:val="00763229"/>
    <w:rsid w:val="007761B0"/>
    <w:rsid w:val="007C5154"/>
    <w:rsid w:val="007C7DA0"/>
    <w:rsid w:val="007F4EC3"/>
    <w:rsid w:val="007F73B4"/>
    <w:rsid w:val="00807FDE"/>
    <w:rsid w:val="00833F0A"/>
    <w:rsid w:val="008416C3"/>
    <w:rsid w:val="00843CDF"/>
    <w:rsid w:val="00871575"/>
    <w:rsid w:val="008B6781"/>
    <w:rsid w:val="008C2D7D"/>
    <w:rsid w:val="008C4393"/>
    <w:rsid w:val="008E65D5"/>
    <w:rsid w:val="00904626"/>
    <w:rsid w:val="00912E52"/>
    <w:rsid w:val="00944BAC"/>
    <w:rsid w:val="0095550E"/>
    <w:rsid w:val="0097534E"/>
    <w:rsid w:val="00985B18"/>
    <w:rsid w:val="00990C6F"/>
    <w:rsid w:val="009C2A1A"/>
    <w:rsid w:val="009D5ECF"/>
    <w:rsid w:val="009F60CC"/>
    <w:rsid w:val="00A21C17"/>
    <w:rsid w:val="00A51F4B"/>
    <w:rsid w:val="00A94C1B"/>
    <w:rsid w:val="00AA5B50"/>
    <w:rsid w:val="00AF7E05"/>
    <w:rsid w:val="00B25035"/>
    <w:rsid w:val="00B306FC"/>
    <w:rsid w:val="00B5261E"/>
    <w:rsid w:val="00B7362B"/>
    <w:rsid w:val="00BA057E"/>
    <w:rsid w:val="00BA7844"/>
    <w:rsid w:val="00C04C84"/>
    <w:rsid w:val="00C319E5"/>
    <w:rsid w:val="00C92787"/>
    <w:rsid w:val="00CA78ED"/>
    <w:rsid w:val="00CB05BA"/>
    <w:rsid w:val="00D16FBF"/>
    <w:rsid w:val="00D30B9A"/>
    <w:rsid w:val="00D41C26"/>
    <w:rsid w:val="00D509BD"/>
    <w:rsid w:val="00DA588B"/>
    <w:rsid w:val="00DA5A69"/>
    <w:rsid w:val="00DB25BF"/>
    <w:rsid w:val="00E23A1D"/>
    <w:rsid w:val="00E80F4B"/>
    <w:rsid w:val="00E83348"/>
    <w:rsid w:val="00E956EB"/>
    <w:rsid w:val="00E96A0D"/>
    <w:rsid w:val="00ED1D7D"/>
    <w:rsid w:val="00F0787D"/>
    <w:rsid w:val="00F111A5"/>
    <w:rsid w:val="00F34C1B"/>
    <w:rsid w:val="00F37D95"/>
    <w:rsid w:val="00F393F9"/>
    <w:rsid w:val="00F4613C"/>
    <w:rsid w:val="00FC6D7B"/>
    <w:rsid w:val="01B847A4"/>
    <w:rsid w:val="028F0898"/>
    <w:rsid w:val="0298E4A0"/>
    <w:rsid w:val="040BAD5D"/>
    <w:rsid w:val="0545CE6F"/>
    <w:rsid w:val="05826FB0"/>
    <w:rsid w:val="05D828BD"/>
    <w:rsid w:val="06A12DD1"/>
    <w:rsid w:val="06EC9812"/>
    <w:rsid w:val="07576FE4"/>
    <w:rsid w:val="081952B9"/>
    <w:rsid w:val="085878EC"/>
    <w:rsid w:val="087AA84A"/>
    <w:rsid w:val="0888047D"/>
    <w:rsid w:val="08BFDD7A"/>
    <w:rsid w:val="0B591188"/>
    <w:rsid w:val="0B993542"/>
    <w:rsid w:val="0C21CDA1"/>
    <w:rsid w:val="0CA6C104"/>
    <w:rsid w:val="0CE69A0C"/>
    <w:rsid w:val="0DD6CF58"/>
    <w:rsid w:val="0E027153"/>
    <w:rsid w:val="0EA8449C"/>
    <w:rsid w:val="0F4A9580"/>
    <w:rsid w:val="114C53D1"/>
    <w:rsid w:val="1180573A"/>
    <w:rsid w:val="129DD647"/>
    <w:rsid w:val="12D41969"/>
    <w:rsid w:val="1447E3F6"/>
    <w:rsid w:val="166974D1"/>
    <w:rsid w:val="16F39B59"/>
    <w:rsid w:val="16F6104A"/>
    <w:rsid w:val="17B34EDD"/>
    <w:rsid w:val="1843DBE0"/>
    <w:rsid w:val="18D19C5D"/>
    <w:rsid w:val="18EDEA21"/>
    <w:rsid w:val="18F58A84"/>
    <w:rsid w:val="1908F31B"/>
    <w:rsid w:val="19124EFA"/>
    <w:rsid w:val="1A860001"/>
    <w:rsid w:val="1AA465A4"/>
    <w:rsid w:val="1B4E2C2D"/>
    <w:rsid w:val="1CE5791E"/>
    <w:rsid w:val="1D22E1E3"/>
    <w:rsid w:val="1E16F469"/>
    <w:rsid w:val="1E7CE2C3"/>
    <w:rsid w:val="1E83BDCB"/>
    <w:rsid w:val="1EC43FEE"/>
    <w:rsid w:val="1F484668"/>
    <w:rsid w:val="1F9FDBEC"/>
    <w:rsid w:val="2021EEC8"/>
    <w:rsid w:val="20276BF6"/>
    <w:rsid w:val="2063657D"/>
    <w:rsid w:val="20DAB7E8"/>
    <w:rsid w:val="22FD4F6C"/>
    <w:rsid w:val="237BEA99"/>
    <w:rsid w:val="238FFD0B"/>
    <w:rsid w:val="24196C84"/>
    <w:rsid w:val="2450184A"/>
    <w:rsid w:val="2467712E"/>
    <w:rsid w:val="25184049"/>
    <w:rsid w:val="25FA18E6"/>
    <w:rsid w:val="26421D1E"/>
    <w:rsid w:val="26C1D89F"/>
    <w:rsid w:val="274462A6"/>
    <w:rsid w:val="276D2525"/>
    <w:rsid w:val="27C26A3F"/>
    <w:rsid w:val="2907A553"/>
    <w:rsid w:val="2A0AC562"/>
    <w:rsid w:val="2A1AE77C"/>
    <w:rsid w:val="2A62ED5C"/>
    <w:rsid w:val="2AB95513"/>
    <w:rsid w:val="2B043278"/>
    <w:rsid w:val="2B194453"/>
    <w:rsid w:val="2B6A0422"/>
    <w:rsid w:val="2B7E176D"/>
    <w:rsid w:val="2BA2E7E4"/>
    <w:rsid w:val="2C10738C"/>
    <w:rsid w:val="2CFAB245"/>
    <w:rsid w:val="2D6A0A62"/>
    <w:rsid w:val="2D8D2488"/>
    <w:rsid w:val="2E256891"/>
    <w:rsid w:val="2E9189FD"/>
    <w:rsid w:val="2EEBCE2E"/>
    <w:rsid w:val="3050740C"/>
    <w:rsid w:val="31423889"/>
    <w:rsid w:val="3159743F"/>
    <w:rsid w:val="3271ADCD"/>
    <w:rsid w:val="328D52F3"/>
    <w:rsid w:val="3311DC92"/>
    <w:rsid w:val="34CF1FC8"/>
    <w:rsid w:val="351DA0A7"/>
    <w:rsid w:val="354623F6"/>
    <w:rsid w:val="35C12A8B"/>
    <w:rsid w:val="35E6CF0B"/>
    <w:rsid w:val="360BA9A2"/>
    <w:rsid w:val="3662EA2B"/>
    <w:rsid w:val="36E80E2A"/>
    <w:rsid w:val="375AD0F6"/>
    <w:rsid w:val="37B481D3"/>
    <w:rsid w:val="398564EA"/>
    <w:rsid w:val="39D0D4A2"/>
    <w:rsid w:val="39F111CA"/>
    <w:rsid w:val="3A5467EB"/>
    <w:rsid w:val="3ABCB7AD"/>
    <w:rsid w:val="3B90B9BD"/>
    <w:rsid w:val="3C1C49C2"/>
    <w:rsid w:val="3C50AE80"/>
    <w:rsid w:val="3C6E18F2"/>
    <w:rsid w:val="3CBE4037"/>
    <w:rsid w:val="3D70998E"/>
    <w:rsid w:val="3DF6540D"/>
    <w:rsid w:val="3E59E48A"/>
    <w:rsid w:val="404CDD8B"/>
    <w:rsid w:val="40A83A50"/>
    <w:rsid w:val="40B23098"/>
    <w:rsid w:val="40C6AF31"/>
    <w:rsid w:val="40FFCCDC"/>
    <w:rsid w:val="425475C7"/>
    <w:rsid w:val="426B3EDF"/>
    <w:rsid w:val="42D5F089"/>
    <w:rsid w:val="4475FA75"/>
    <w:rsid w:val="44DDE322"/>
    <w:rsid w:val="4565C081"/>
    <w:rsid w:val="4655594F"/>
    <w:rsid w:val="47E8E94A"/>
    <w:rsid w:val="480E7A23"/>
    <w:rsid w:val="4860CBBE"/>
    <w:rsid w:val="48A3A49E"/>
    <w:rsid w:val="493EDC94"/>
    <w:rsid w:val="4984438D"/>
    <w:rsid w:val="4BA1B594"/>
    <w:rsid w:val="4C5565DB"/>
    <w:rsid w:val="4D46C3DC"/>
    <w:rsid w:val="4DF1363C"/>
    <w:rsid w:val="4E4DFC42"/>
    <w:rsid w:val="4F3DA71D"/>
    <w:rsid w:val="4F79153A"/>
    <w:rsid w:val="4FB5414D"/>
    <w:rsid w:val="503996B9"/>
    <w:rsid w:val="507929C2"/>
    <w:rsid w:val="50A34A48"/>
    <w:rsid w:val="50D7DBF7"/>
    <w:rsid w:val="51F6C06C"/>
    <w:rsid w:val="52BD659B"/>
    <w:rsid w:val="53322D2F"/>
    <w:rsid w:val="5347EA4C"/>
    <w:rsid w:val="5382C2B1"/>
    <w:rsid w:val="53AA532D"/>
    <w:rsid w:val="53F3BCD6"/>
    <w:rsid w:val="5413EC96"/>
    <w:rsid w:val="5488B270"/>
    <w:rsid w:val="54FD4B50"/>
    <w:rsid w:val="5568D3EA"/>
    <w:rsid w:val="55E38203"/>
    <w:rsid w:val="56AFFA51"/>
    <w:rsid w:val="56E6A60F"/>
    <w:rsid w:val="574B8D58"/>
    <w:rsid w:val="57ACDD6F"/>
    <w:rsid w:val="58397BCD"/>
    <w:rsid w:val="58442271"/>
    <w:rsid w:val="596FF29C"/>
    <w:rsid w:val="59A238EB"/>
    <w:rsid w:val="5B14D3B0"/>
    <w:rsid w:val="5B3FDAF6"/>
    <w:rsid w:val="5BEFD5EA"/>
    <w:rsid w:val="5C625AB9"/>
    <w:rsid w:val="5CDBAB57"/>
    <w:rsid w:val="5CE939A5"/>
    <w:rsid w:val="5E0F478C"/>
    <w:rsid w:val="5F339E4C"/>
    <w:rsid w:val="5F817DAE"/>
    <w:rsid w:val="5FAB17ED"/>
    <w:rsid w:val="60B56FFE"/>
    <w:rsid w:val="638A840E"/>
    <w:rsid w:val="649A8FF7"/>
    <w:rsid w:val="65272074"/>
    <w:rsid w:val="65EE5E95"/>
    <w:rsid w:val="65EEFC35"/>
    <w:rsid w:val="6622D396"/>
    <w:rsid w:val="6630C128"/>
    <w:rsid w:val="6654A4A7"/>
    <w:rsid w:val="673FF436"/>
    <w:rsid w:val="6742C273"/>
    <w:rsid w:val="67593F32"/>
    <w:rsid w:val="67F98640"/>
    <w:rsid w:val="6A128FD9"/>
    <w:rsid w:val="6C3E4430"/>
    <w:rsid w:val="6C462C05"/>
    <w:rsid w:val="6CDCEEB6"/>
    <w:rsid w:val="6D7CA0F1"/>
    <w:rsid w:val="6E2A75D6"/>
    <w:rsid w:val="6ED08B1D"/>
    <w:rsid w:val="6F20DB23"/>
    <w:rsid w:val="6F6AE1F1"/>
    <w:rsid w:val="6FA89224"/>
    <w:rsid w:val="6FBE92AE"/>
    <w:rsid w:val="7036C254"/>
    <w:rsid w:val="70CEDD7C"/>
    <w:rsid w:val="72053D03"/>
    <w:rsid w:val="73E6E766"/>
    <w:rsid w:val="74950A58"/>
    <w:rsid w:val="7584339B"/>
    <w:rsid w:val="75D947CD"/>
    <w:rsid w:val="762A3A96"/>
    <w:rsid w:val="769240AF"/>
    <w:rsid w:val="772003FC"/>
    <w:rsid w:val="7799F65C"/>
    <w:rsid w:val="7A9A0268"/>
    <w:rsid w:val="7AE2C5C4"/>
    <w:rsid w:val="7B8251A1"/>
    <w:rsid w:val="7C8E83E8"/>
    <w:rsid w:val="7D5900C6"/>
    <w:rsid w:val="7E7B5C77"/>
  </w:rsids>
  <w:docVars>
    <w:docVar w:name="__Grammarly_42___1" w:val="H4sIAAAAAAAEAKtWcslP9kxRslIyNDY2NzS1MDAxsTQ0szQ3MTVT0lEKTi0uzszPAykwrgUA6rb3v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48DA00"/>
  <w15:chartTrackingRefBased/>
  <w15:docId w15:val="{BA9D3B01-8047-4458-910D-0F54DB54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5BA"/>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CB05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CB05BA"/>
    <w:pPr>
      <w:keepNext/>
      <w:keepLines/>
      <w:spacing w:before="40" w:after="0" w:line="240" w:lineRule="auto"/>
      <w:outlineLvl w:val="2"/>
    </w:pPr>
    <w:rPr>
      <w:rFonts w:ascii="Calibri Light" w:eastAsia="SimSun" w:hAnsi="Calibri Light" w:cs="Times New Roman"/>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A588B"/>
    <w:pPr>
      <w:tabs>
        <w:tab w:val="center" w:pos="4680"/>
        <w:tab w:val="right" w:pos="9360"/>
      </w:tabs>
      <w:spacing w:after="0" w:line="240" w:lineRule="auto"/>
    </w:pPr>
  </w:style>
  <w:style w:type="character" w:customStyle="1" w:styleId="HeaderChar">
    <w:name w:val="Header Char"/>
    <w:basedOn w:val="DefaultParagraphFont"/>
    <w:link w:val="Header"/>
    <w:rsid w:val="00DA588B"/>
  </w:style>
  <w:style w:type="paragraph" w:styleId="Footer">
    <w:name w:val="footer"/>
    <w:basedOn w:val="Normal"/>
    <w:link w:val="FooterChar"/>
    <w:uiPriority w:val="99"/>
    <w:unhideWhenUsed/>
    <w:rsid w:val="00DA5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588B"/>
  </w:style>
  <w:style w:type="paragraph" w:styleId="Title">
    <w:name w:val="Title"/>
    <w:basedOn w:val="Normal"/>
    <w:next w:val="Normal"/>
    <w:link w:val="TitleChar"/>
    <w:uiPriority w:val="10"/>
    <w:qFormat/>
    <w:rsid w:val="00DA58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8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05BA"/>
    <w:rPr>
      <w:rFonts w:ascii="Calibri Light" w:eastAsia="SimSun" w:hAnsi="Calibri Light" w:cs="Times New Roman"/>
      <w:color w:val="1F4E79"/>
      <w:sz w:val="36"/>
      <w:szCs w:val="36"/>
    </w:rPr>
  </w:style>
  <w:style w:type="character" w:customStyle="1" w:styleId="Heading3Char">
    <w:name w:val="Heading 3 Char"/>
    <w:basedOn w:val="DefaultParagraphFont"/>
    <w:link w:val="Heading3"/>
    <w:uiPriority w:val="9"/>
    <w:rsid w:val="00CB05BA"/>
    <w:rPr>
      <w:rFonts w:ascii="Calibri Light" w:eastAsia="SimSun" w:hAnsi="Calibri Light" w:cs="Times New Roman"/>
      <w:color w:val="2E74B5"/>
      <w:sz w:val="28"/>
      <w:szCs w:val="28"/>
    </w:rPr>
  </w:style>
  <w:style w:type="character" w:styleId="Hyperlink">
    <w:name w:val="Hyperlink"/>
    <w:uiPriority w:val="99"/>
    <w:unhideWhenUsed/>
    <w:rsid w:val="00CB05BA"/>
    <w:rPr>
      <w:color w:val="0563C1"/>
      <w:u w:val="single"/>
    </w:rPr>
  </w:style>
  <w:style w:type="paragraph" w:customStyle="1" w:styleId="indent-1">
    <w:name w:val="indent-1"/>
    <w:basedOn w:val="Normal"/>
    <w:rsid w:val="00CB0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B05B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B05BA"/>
    <w:pPr>
      <w:ind w:left="720"/>
      <w:contextualSpacing/>
    </w:pPr>
  </w:style>
  <w:style w:type="paragraph" w:styleId="BodyText">
    <w:name w:val="Body Text"/>
    <w:basedOn w:val="Normal"/>
    <w:link w:val="BodyTextChar"/>
    <w:rsid w:val="00D509BD"/>
    <w:pPr>
      <w:tabs>
        <w:tab w:val="left" w:pos="0"/>
      </w:tabs>
      <w:suppressAutoHyphens/>
    </w:pPr>
    <w:rPr>
      <w:rFonts w:eastAsia="Times New Roman" w:cs="Times New Roman"/>
    </w:rPr>
  </w:style>
  <w:style w:type="character" w:customStyle="1" w:styleId="BodyTextChar">
    <w:name w:val="Body Text Char"/>
    <w:basedOn w:val="DefaultParagraphFont"/>
    <w:link w:val="BodyText"/>
    <w:rsid w:val="00D509BD"/>
    <w:rPr>
      <w:rFonts w:eastAsia="Times New Roman" w:cs="Times New Roman"/>
    </w:rPr>
  </w:style>
  <w:style w:type="character" w:styleId="CommentReference">
    <w:name w:val="annotation reference"/>
    <w:basedOn w:val="DefaultParagraphFont"/>
    <w:uiPriority w:val="99"/>
    <w:semiHidden/>
    <w:unhideWhenUsed/>
    <w:rsid w:val="007761B0"/>
    <w:rPr>
      <w:sz w:val="16"/>
      <w:szCs w:val="16"/>
    </w:rPr>
  </w:style>
  <w:style w:type="paragraph" w:styleId="CommentText">
    <w:name w:val="annotation text"/>
    <w:basedOn w:val="Normal"/>
    <w:link w:val="CommentTextChar"/>
    <w:uiPriority w:val="99"/>
    <w:unhideWhenUsed/>
    <w:rsid w:val="007761B0"/>
    <w:pPr>
      <w:spacing w:line="240" w:lineRule="auto"/>
    </w:pPr>
    <w:rPr>
      <w:sz w:val="20"/>
      <w:szCs w:val="20"/>
    </w:rPr>
  </w:style>
  <w:style w:type="character" w:customStyle="1" w:styleId="CommentTextChar">
    <w:name w:val="Comment Text Char"/>
    <w:basedOn w:val="DefaultParagraphFont"/>
    <w:link w:val="CommentText"/>
    <w:uiPriority w:val="99"/>
    <w:rsid w:val="007761B0"/>
    <w:rPr>
      <w:sz w:val="20"/>
      <w:szCs w:val="20"/>
    </w:rPr>
  </w:style>
  <w:style w:type="paragraph" w:styleId="CommentSubject">
    <w:name w:val="annotation subject"/>
    <w:basedOn w:val="CommentText"/>
    <w:next w:val="CommentText"/>
    <w:link w:val="CommentSubjectChar"/>
    <w:uiPriority w:val="99"/>
    <w:semiHidden/>
    <w:unhideWhenUsed/>
    <w:rsid w:val="007761B0"/>
    <w:rPr>
      <w:b/>
      <w:bCs/>
    </w:rPr>
  </w:style>
  <w:style w:type="character" w:customStyle="1" w:styleId="CommentSubjectChar">
    <w:name w:val="Comment Subject Char"/>
    <w:basedOn w:val="CommentTextChar"/>
    <w:link w:val="CommentSubject"/>
    <w:uiPriority w:val="99"/>
    <w:semiHidden/>
    <w:rsid w:val="007761B0"/>
    <w:rPr>
      <w:b/>
      <w:bCs/>
      <w:sz w:val="20"/>
      <w:szCs w:val="20"/>
    </w:rPr>
  </w:style>
  <w:style w:type="character" w:customStyle="1" w:styleId="normaltextrun">
    <w:name w:val="normaltextrun"/>
    <w:basedOn w:val="DefaultParagraphFont"/>
    <w:rsid w:val="00807FDE"/>
  </w:style>
  <w:style w:type="character" w:customStyle="1" w:styleId="eop">
    <w:name w:val="eop"/>
    <w:basedOn w:val="DefaultParagraphFont"/>
    <w:rsid w:val="009C2A1A"/>
  </w:style>
  <w:style w:type="character" w:customStyle="1" w:styleId="ui-provider">
    <w:name w:val="ui-provider"/>
    <w:basedOn w:val="DefaultParagraphFont"/>
    <w:rsid w:val="006D0BBC"/>
  </w:style>
  <w:style w:type="character" w:customStyle="1" w:styleId="findhit">
    <w:name w:val="findhit"/>
    <w:basedOn w:val="DefaultParagraphFont"/>
    <w:rsid w:val="00040E9A"/>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871575"/>
    <w:pPr>
      <w:spacing w:after="0" w:line="240" w:lineRule="auto"/>
    </w:pPr>
  </w:style>
  <w:style w:type="paragraph" w:customStyle="1" w:styleId="paragraph">
    <w:name w:val="paragraph"/>
    <w:basedOn w:val="Normal"/>
    <w:rsid w:val="006442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4/06/28/2024-13865/temporary-assistance-for-needy-families-work-outcomes-measures" TargetMode="External" /><Relationship Id="rId8" Type="http://schemas.openxmlformats.org/officeDocument/2006/relationships/hyperlink" Target="http://chrome-extension/efaidnbmnnnibpcajpcglclefindmkaj/https:/www.acf.hhs.gov/sites/default/files/documents/ofa/ACF199_209%20TANF_SSP%20data%20report%20instructions%20-%20valid%20thru%202026-10_compliant_FINAL.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7B1F9C5653F47B6990116978E28B4" ma:contentTypeVersion="6" ma:contentTypeDescription="Create a new document." ma:contentTypeScope="" ma:versionID="2d48dd5c1630770d9fa8575b4226de60">
  <xsd:schema xmlns:xsd="http://www.w3.org/2001/XMLSchema" xmlns:xs="http://www.w3.org/2001/XMLSchema" xmlns:p="http://schemas.microsoft.com/office/2006/metadata/properties" xmlns:ns2="dbb6e81e-6d27-4b06-96f4-00eb39bd1984" xmlns:ns3="1d2040a8-051f-4312-97c4-228835cbdc01" targetNamespace="http://schemas.microsoft.com/office/2006/metadata/properties" ma:root="true" ma:fieldsID="5fc054fd578c8b8082c1122fbbc0498f" ns2:_="" ns3:_="">
    <xsd:import namespace="dbb6e81e-6d27-4b06-96f4-00eb39bd1984"/>
    <xsd:import namespace="1d2040a8-051f-4312-97c4-228835cbdc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6e81e-6d27-4b06-96f4-00eb39bd1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040a8-051f-4312-97c4-228835cbdc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2040a8-051f-4312-97c4-228835cbdc01">
      <UserInfo>
        <DisplayName>Frohlich, Lauren (ACF)</DisplayName>
        <AccountId>12</AccountId>
        <AccountType/>
      </UserInfo>
      <UserInfo>
        <DisplayName>Ali, Fayssal (ACF) (CTR)</DisplayName>
        <AccountId>70</AccountId>
        <AccountType/>
      </UserInfo>
      <UserInfo>
        <DisplayName>Guberman, Eric (ACF)</DisplayName>
        <AccountId>71</AccountId>
        <AccountType/>
      </UserInfo>
      <UserInfo>
        <DisplayName>Pennington, Alexandra (ACF)</DisplayName>
        <AccountId>68</AccountId>
        <AccountType/>
      </UserInfo>
      <UserInfo>
        <DisplayName>Arias, Caroline (ACF)</DisplayName>
        <AccountId>67</AccountId>
        <AccountType/>
      </UserInfo>
      <UserInfo>
        <DisplayName>Moore, Kathleen (ACF)</DisplayName>
        <AccountId>59</AccountId>
        <AccountType/>
      </UserInfo>
      <UserInfo>
        <DisplayName>Germanis, Peter (ACF)</DisplayName>
        <AccountId>27</AccountId>
        <AccountType/>
      </UserInfo>
    </SharedWithUsers>
  </documentManagement>
</p:properties>
</file>

<file path=customXml/itemProps1.xml><?xml version="1.0" encoding="utf-8"?>
<ds:datastoreItem xmlns:ds="http://schemas.openxmlformats.org/officeDocument/2006/customXml" ds:itemID="{5A95F3E0-9DD1-4314-ACFA-D2D01EB6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6e81e-6d27-4b06-96f4-00eb39bd1984"/>
    <ds:schemaRef ds:uri="1d2040a8-051f-4312-97c4-228835cbd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0BEDB-D0AD-46C3-A705-F3F29453ECDB}">
  <ds:schemaRefs>
    <ds:schemaRef ds:uri="http://schemas.microsoft.com/sharepoint/v3/contenttype/forms"/>
  </ds:schemaRefs>
</ds:datastoreItem>
</file>

<file path=customXml/itemProps3.xml><?xml version="1.0" encoding="utf-8"?>
<ds:datastoreItem xmlns:ds="http://schemas.openxmlformats.org/officeDocument/2006/customXml" ds:itemID="{A2D9E755-1D7F-407B-8231-5E7EE9FB6E4D}">
  <ds:schemaRefs>
    <ds:schemaRef ds:uri="http://schemas.microsoft.com/office/2006/metadata/properties"/>
    <ds:schemaRef ds:uri="http://schemas.microsoft.com/office/infopath/2007/PartnerControls"/>
    <ds:schemaRef ds:uri="1d2040a8-051f-4312-97c4-228835cbdc0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Kim (ACF)</dc:creator>
  <cp:lastModifiedBy>Frohlich, Lauren (ACF)</cp:lastModifiedBy>
  <cp:revision>5</cp:revision>
  <dcterms:created xsi:type="dcterms:W3CDTF">2024-11-05T20:54:00Z</dcterms:created>
  <dcterms:modified xsi:type="dcterms:W3CDTF">2024-11-06T13:40:00Z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0x010100C237B1F9C5653F47B6990116978E28B4</vt:lpwstr>
  </property>
</Properties>
</file>