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7CD" w:rsidP="061202EA" w14:paraId="207EF4B9" w14:textId="5F29F59B">
      <w:pPr>
        <w:pStyle w:val="BodyText"/>
        <w:ind w:right="110"/>
        <w:rPr>
          <w:rStyle w:val="normaltextrun"/>
          <w:rFonts w:ascii="Calibri Light" w:hAnsi="Calibri Light" w:cs="Calibri Light"/>
          <w:color w:val="000000"/>
          <w:sz w:val="56"/>
          <w:szCs w:val="56"/>
          <w:shd w:val="clear" w:color="auto" w:fill="FFFFFF"/>
        </w:rPr>
      </w:pPr>
      <w:bookmarkStart w:id="0" w:name="_Toc135315900"/>
      <w:bookmarkStart w:id="1" w:name="_Toc126679093"/>
      <w:bookmarkStart w:id="2" w:name="_Toc126679171"/>
      <w:bookmarkStart w:id="3" w:name="_Toc126679230"/>
      <w:bookmarkStart w:id="4" w:name="_Toc128573945"/>
      <w:r>
        <w:rPr>
          <w:rStyle w:val="normaltextrun"/>
          <w:rFonts w:ascii="Calibri Light" w:hAnsi="Calibri Light" w:cs="Calibri Light"/>
          <w:color w:val="000000"/>
          <w:sz w:val="56"/>
          <w:szCs w:val="56"/>
          <w:shd w:val="clear" w:color="auto" w:fill="FFFFFF"/>
        </w:rPr>
        <w:t xml:space="preserve">Supplemental </w:t>
      </w:r>
      <w:r>
        <w:rPr>
          <w:rStyle w:val="normaltextrun"/>
          <w:rFonts w:ascii="Calibri Light" w:hAnsi="Calibri Light" w:cs="Calibri Light"/>
          <w:color w:val="000000"/>
          <w:sz w:val="56"/>
          <w:szCs w:val="56"/>
          <w:shd w:val="clear" w:color="auto" w:fill="FFFFFF"/>
        </w:rPr>
        <w:t xml:space="preserve">Work Outcomes Report </w:t>
      </w:r>
      <w:r w:rsidR="638198A9">
        <w:rPr>
          <w:rStyle w:val="normaltextrun"/>
          <w:rFonts w:ascii="Calibri Light" w:hAnsi="Calibri Light" w:cs="Calibri Light"/>
          <w:color w:val="000000"/>
          <w:sz w:val="56"/>
          <w:szCs w:val="56"/>
          <w:shd w:val="clear" w:color="auto" w:fill="FFFFFF"/>
        </w:rPr>
        <w:t>Instructions</w:t>
      </w:r>
    </w:p>
    <w:p w:rsidR="412BCC7A" w:rsidP="26001F7C" w14:paraId="0E8EC631" w14:textId="6E9186EC">
      <w:pPr>
        <w:rPr>
          <w:rFonts w:ascii="Calibri" w:eastAsia="Calibri" w:hAnsi="Calibri" w:cs="Calibri"/>
          <w:color w:val="000000" w:themeColor="text1"/>
          <w:sz w:val="20"/>
          <w:szCs w:val="20"/>
        </w:rPr>
      </w:pPr>
      <w:r w:rsidRPr="26001F7C">
        <w:rPr>
          <w:rFonts w:ascii="Calibri" w:eastAsia="Calibri" w:hAnsi="Calibri" w:cs="Calibri"/>
          <w:i/>
          <w:iCs/>
          <w:color w:val="000000" w:themeColor="text1"/>
          <w:sz w:val="20"/>
          <w:szCs w:val="20"/>
        </w:rPr>
        <w:t xml:space="preserve">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w:t>
      </w:r>
      <w:r w:rsidR="003B458B">
        <w:rPr>
          <w:rFonts w:ascii="Calibri" w:eastAsia="Calibri" w:hAnsi="Calibri" w:cs="Calibri"/>
          <w:i/>
          <w:iCs/>
          <w:color w:val="000000" w:themeColor="text1"/>
          <w:sz w:val="20"/>
          <w:szCs w:val="20"/>
        </w:rPr>
        <w:t>30</w:t>
      </w:r>
      <w:r w:rsidRPr="26001F7C">
        <w:rPr>
          <w:rFonts w:ascii="Calibri" w:eastAsia="Calibri" w:hAnsi="Calibri" w:cs="Calibri"/>
          <w:i/>
          <w:iCs/>
          <w:color w:val="000000" w:themeColor="text1"/>
          <w:sz w:val="20"/>
          <w:szCs w:val="20"/>
        </w:rPr>
        <w:t xml:space="preserve"> hours per grantee per year, including the time for reviewing instructions, </w:t>
      </w:r>
      <w:r w:rsidRPr="26001F7C">
        <w:rPr>
          <w:rFonts w:ascii="Calibri" w:eastAsia="Calibri" w:hAnsi="Calibri" w:cs="Calibri"/>
          <w:i/>
          <w:iCs/>
          <w:color w:val="000000" w:themeColor="text1"/>
          <w:sz w:val="20"/>
          <w:szCs w:val="20"/>
        </w:rPr>
        <w:t>gathering</w:t>
      </w:r>
      <w:r w:rsidRPr="26001F7C">
        <w:rPr>
          <w:rFonts w:ascii="Calibri" w:eastAsia="Calibri" w:hAnsi="Calibri" w:cs="Calibri"/>
          <w:i/>
          <w:iCs/>
          <w:color w:val="000000" w:themeColor="text1"/>
          <w:sz w:val="20"/>
          <w:szCs w:val="20"/>
        </w:rPr>
        <w:t xml:space="preserve">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w:t>
      </w:r>
      <w:r w:rsidRPr="26001F7C">
        <w:rPr>
          <w:rFonts w:ascii="Calibri" w:eastAsia="Calibri" w:hAnsi="Calibri" w:cs="Calibri"/>
          <w:i/>
          <w:iCs/>
          <w:color w:val="000000" w:themeColor="text1"/>
          <w:sz w:val="20"/>
          <w:szCs w:val="20"/>
        </w:rPr>
        <w:t>xxxx-xxxx</w:t>
      </w:r>
      <w:r w:rsidRPr="26001F7C">
        <w:rPr>
          <w:rFonts w:ascii="Calibri" w:eastAsia="Calibri" w:hAnsi="Calibri" w:cs="Calibri"/>
          <w:i/>
          <w:iCs/>
          <w:color w:val="000000" w:themeColor="text1"/>
          <w:sz w:val="20"/>
          <w:szCs w:val="20"/>
        </w:rPr>
        <w:t xml:space="preserve"> and the expiration date is XX/XX/XXXX. If you have any comments on this collection of information, please contact the Office of Family Assistance by email at </w:t>
      </w:r>
      <w:hyperlink r:id="rId8">
        <w:r w:rsidRPr="26001F7C">
          <w:rPr>
            <w:rStyle w:val="Hyperlink"/>
            <w:rFonts w:ascii="Calibri" w:eastAsia="Calibri" w:hAnsi="Calibri" w:cs="Calibri"/>
            <w:i/>
            <w:iCs/>
            <w:sz w:val="20"/>
            <w:szCs w:val="20"/>
          </w:rPr>
          <w:t>TANFdata@acf.hhs.gov</w:t>
        </w:r>
      </w:hyperlink>
      <w:r w:rsidRPr="26001F7C">
        <w:rPr>
          <w:rFonts w:ascii="Calibri" w:eastAsia="Calibri" w:hAnsi="Calibri" w:cs="Calibri"/>
          <w:i/>
          <w:iCs/>
          <w:color w:val="000000" w:themeColor="text1"/>
          <w:sz w:val="20"/>
          <w:szCs w:val="20"/>
        </w:rPr>
        <w:t>.</w:t>
      </w:r>
    </w:p>
    <w:p w:rsidR="7AC2C4CB" w:rsidP="26001F7C" w14:paraId="5E7AD413" w14:textId="68CB0CDC">
      <w:pPr>
        <w:spacing w:after="140"/>
        <w:rPr>
          <w:rFonts w:ascii="Calibri" w:eastAsia="Calibri" w:hAnsi="Calibri" w:cs="Calibri"/>
          <w:color w:val="000000" w:themeColor="text1"/>
        </w:rPr>
      </w:pPr>
      <w:r w:rsidRPr="26001F7C">
        <w:rPr>
          <w:rFonts w:ascii="Calibri" w:eastAsia="Calibri" w:hAnsi="Calibri" w:cs="Calibri"/>
          <w:color w:val="000000" w:themeColor="text1"/>
        </w:rPr>
        <w:t xml:space="preserve">The TANF Work Outcomes Measures </w:t>
      </w:r>
      <w:hyperlink r:id="rId9">
        <w:r w:rsidRPr="26001F7C">
          <w:rPr>
            <w:rStyle w:val="Hyperlink"/>
            <w:rFonts w:ascii="Calibri" w:eastAsia="Calibri" w:hAnsi="Calibri" w:cs="Calibri"/>
          </w:rPr>
          <w:t>interim final rule</w:t>
        </w:r>
      </w:hyperlink>
      <w:r w:rsidRPr="26001F7C">
        <w:rPr>
          <w:rFonts w:ascii="Calibri" w:eastAsia="Calibri" w:hAnsi="Calibri" w:cs="Calibri"/>
          <w:color w:val="000000" w:themeColor="text1"/>
        </w:rPr>
        <w:t xml:space="preserve"> includes three new reporting requirements: </w:t>
      </w:r>
    </w:p>
    <w:p w:rsidR="7AC2C4CB" w:rsidP="26001F7C" w14:paraId="04893555" w14:textId="691ACA64">
      <w:pPr>
        <w:pStyle w:val="ListParagraph"/>
        <w:numPr>
          <w:ilvl w:val="0"/>
          <w:numId w:val="24"/>
        </w:numPr>
        <w:spacing w:after="0"/>
        <w:rPr>
          <w:rFonts w:ascii="Calibri" w:eastAsia="Calibri" w:hAnsi="Calibri" w:cs="Calibri"/>
          <w:color w:val="000000" w:themeColor="text1"/>
        </w:rPr>
      </w:pPr>
      <w:r w:rsidRPr="26001F7C">
        <w:rPr>
          <w:rFonts w:ascii="Calibri" w:eastAsia="Calibri" w:hAnsi="Calibri" w:cs="Calibri"/>
          <w:color w:val="000000" w:themeColor="text1"/>
        </w:rPr>
        <w:t xml:space="preserve">Work Outcomes of TANF </w:t>
      </w:r>
      <w:r w:rsidRPr="26001F7C">
        <w:rPr>
          <w:rFonts w:ascii="Calibri" w:eastAsia="Calibri" w:hAnsi="Calibri" w:cs="Calibri"/>
          <w:color w:val="000000" w:themeColor="text1"/>
        </w:rPr>
        <w:t>Exiters</w:t>
      </w:r>
      <w:r w:rsidRPr="26001F7C">
        <w:rPr>
          <w:rFonts w:ascii="Calibri" w:eastAsia="Calibri" w:hAnsi="Calibri" w:cs="Calibri"/>
          <w:color w:val="000000" w:themeColor="text1"/>
        </w:rPr>
        <w:t xml:space="preserve"> Report </w:t>
      </w:r>
    </w:p>
    <w:p w:rsidR="7AC2C4CB" w:rsidP="26001F7C" w14:paraId="4362DDD3" w14:textId="3B672494">
      <w:pPr>
        <w:pStyle w:val="ListParagraph"/>
        <w:numPr>
          <w:ilvl w:val="0"/>
          <w:numId w:val="24"/>
        </w:numPr>
        <w:spacing w:after="0"/>
        <w:rPr>
          <w:rFonts w:ascii="Calibri" w:eastAsia="Calibri" w:hAnsi="Calibri" w:cs="Calibri"/>
          <w:color w:val="000000" w:themeColor="text1"/>
        </w:rPr>
      </w:pPr>
      <w:r w:rsidRPr="26001F7C">
        <w:rPr>
          <w:rFonts w:ascii="Calibri" w:eastAsia="Calibri" w:hAnsi="Calibri" w:cs="Calibri"/>
          <w:color w:val="000000" w:themeColor="text1"/>
        </w:rPr>
        <w:t xml:space="preserve">Secondary School Diploma or its Recognized Equivalent Attainment Rate </w:t>
      </w:r>
    </w:p>
    <w:p w:rsidR="7AC2C4CB" w:rsidP="26001F7C" w14:paraId="6AC42F2E" w14:textId="3AABD947">
      <w:pPr>
        <w:pStyle w:val="ListParagraph"/>
        <w:numPr>
          <w:ilvl w:val="0"/>
          <w:numId w:val="24"/>
        </w:numPr>
        <w:spacing w:after="0"/>
        <w:rPr>
          <w:rFonts w:ascii="Calibri" w:eastAsia="Calibri" w:hAnsi="Calibri" w:cs="Calibri"/>
          <w:color w:val="000000" w:themeColor="text1"/>
        </w:rPr>
      </w:pPr>
      <w:r w:rsidRPr="26001F7C">
        <w:rPr>
          <w:rFonts w:ascii="Calibri" w:eastAsia="Calibri" w:hAnsi="Calibri" w:cs="Calibri"/>
          <w:color w:val="000000" w:themeColor="text1"/>
        </w:rPr>
        <w:t xml:space="preserve">Supplemental Work Outcomes Report </w:t>
      </w:r>
    </w:p>
    <w:p w:rsidR="26001F7C" w:rsidP="26001F7C" w14:paraId="715333B6" w14:textId="7B4D413E">
      <w:pPr>
        <w:spacing w:after="0"/>
        <w:rPr>
          <w:rFonts w:ascii="Calibri" w:eastAsia="Calibri" w:hAnsi="Calibri" w:cs="Calibri"/>
          <w:color w:val="000000" w:themeColor="text1"/>
        </w:rPr>
      </w:pPr>
    </w:p>
    <w:p w:rsidR="00EA16EC" w:rsidP="00EA16EC" w14:paraId="15BA8DC8" w14:textId="77777777">
      <w:pPr>
        <w:pStyle w:val="Heading1"/>
        <w:rPr>
          <w:rFonts w:asciiTheme="minorHAnsi" w:hAnsiTheme="minorHAnsi" w:cstheme="minorBidi"/>
        </w:rPr>
      </w:pPr>
      <w:r w:rsidRPr="67C21E96">
        <w:rPr>
          <w:rFonts w:asciiTheme="minorHAnsi" w:hAnsiTheme="minorHAnsi" w:cstheme="minorBidi"/>
        </w:rPr>
        <w:t>General In</w:t>
      </w:r>
      <w:bookmarkEnd w:id="0"/>
      <w:bookmarkEnd w:id="1"/>
      <w:bookmarkEnd w:id="2"/>
      <w:bookmarkEnd w:id="3"/>
      <w:bookmarkEnd w:id="4"/>
      <w:r w:rsidRPr="67C21E96" w:rsidR="7E3799FF">
        <w:rPr>
          <w:rFonts w:asciiTheme="minorHAnsi" w:hAnsiTheme="minorHAnsi" w:cstheme="minorBidi"/>
        </w:rPr>
        <w:t>structions</w:t>
      </w:r>
      <w:bookmarkStart w:id="5" w:name="_Hlk128492940"/>
    </w:p>
    <w:p w:rsidR="00044359" w:rsidP="00044359" w14:paraId="0A5F222A" w14:textId="1FAA5CA0">
      <w:pPr>
        <w:rPr>
          <w:rFonts w:eastAsiaTheme="minorEastAsia"/>
        </w:rPr>
      </w:pPr>
      <w:r w:rsidRPr="3A9A996F">
        <w:rPr>
          <w:rStyle w:val="normaltextrun"/>
          <w:rFonts w:ascii="Calibri" w:hAnsi="Calibri" w:cs="Calibri"/>
        </w:rPr>
        <w:t xml:space="preserve">This document includes instructions for the Temporary Assistance for Needy Families (TANF) </w:t>
      </w:r>
      <w:r w:rsidRPr="3A9A996F" w:rsidR="158F6BA9">
        <w:rPr>
          <w:rStyle w:val="normaltextrun"/>
          <w:rFonts w:ascii="Calibri" w:hAnsi="Calibri" w:cs="Calibri"/>
        </w:rPr>
        <w:t>Supplemental</w:t>
      </w:r>
      <w:r w:rsidRPr="3A9A996F">
        <w:rPr>
          <w:rStyle w:val="normaltextrun"/>
          <w:rFonts w:ascii="Calibri" w:hAnsi="Calibri" w:cs="Calibri"/>
        </w:rPr>
        <w:t xml:space="preserve"> Work Outcomes  Report authorized by 45 CFR part 265. For the </w:t>
      </w:r>
      <w:r w:rsidRPr="3A9A996F" w:rsidR="761B64B1">
        <w:rPr>
          <w:rStyle w:val="normaltextrun"/>
          <w:rFonts w:ascii="Calibri" w:hAnsi="Calibri" w:cs="Calibri"/>
        </w:rPr>
        <w:t>Supplemental</w:t>
      </w:r>
      <w:r w:rsidRPr="3A9A996F">
        <w:rPr>
          <w:rStyle w:val="normaltextrun"/>
          <w:rFonts w:ascii="Calibri" w:hAnsi="Calibri" w:cs="Calibri"/>
        </w:rPr>
        <w:t xml:space="preserve"> Work Outcomes Report, states have the option to submit calculated work outcomes measures that follow the definitions of the Work Outcomes of TANF </w:t>
      </w:r>
      <w:r w:rsidRPr="3A9A996F">
        <w:rPr>
          <w:rStyle w:val="normaltextrun"/>
          <w:rFonts w:ascii="Calibri" w:hAnsi="Calibri" w:cs="Calibri"/>
        </w:rPr>
        <w:t>Exiters</w:t>
      </w:r>
      <w:r w:rsidRPr="3A9A996F">
        <w:rPr>
          <w:rStyle w:val="normaltextrun"/>
          <w:rFonts w:ascii="Calibri" w:hAnsi="Calibri" w:cs="Calibri"/>
        </w:rPr>
        <w:t xml:space="preserve"> (as defined in 265.3(g)) based on alternative data sources</w:t>
      </w:r>
      <w:r w:rsidRPr="3A9A996F" w:rsidR="2B2D2658">
        <w:rPr>
          <w:rStyle w:val="normaltextrun"/>
          <w:rFonts w:ascii="Calibri" w:hAnsi="Calibri" w:cs="Calibri"/>
        </w:rPr>
        <w:t xml:space="preserve">. </w:t>
      </w:r>
      <w:r w:rsidRPr="3A9A996F" w:rsidR="00A63FBB">
        <w:rPr>
          <w:rStyle w:val="normaltextrun"/>
          <w:rFonts w:ascii="Calibri" w:hAnsi="Calibri" w:cs="Calibri"/>
        </w:rPr>
        <w:t>A</w:t>
      </w:r>
      <w:r w:rsidRPr="3A9A996F" w:rsidR="00A63FBB">
        <w:rPr>
          <w:rFonts w:eastAsiaTheme="minorEastAsia"/>
        </w:rPr>
        <w:t>ny state that does not have an Unemployment Insurance program and thus is unable to submit quarterly wage data to the ACF-designated wage match source will be required to submit the Supplemental Work Outcomes Report.</w:t>
      </w:r>
    </w:p>
    <w:p w:rsidR="00044359" w:rsidP="26001F7C" w14:paraId="2512CD9D" w14:textId="77777777">
      <w:pPr>
        <w:spacing w:after="0"/>
        <w:rPr>
          <w:rFonts w:eastAsiaTheme="minorEastAsia"/>
        </w:rPr>
      </w:pPr>
      <w:r w:rsidRPr="7CF321FB">
        <w:rPr>
          <w:rFonts w:eastAsiaTheme="minorEastAsia"/>
        </w:rPr>
        <w:t>The Report includes the calculated work outcomes measures:</w:t>
      </w:r>
    </w:p>
    <w:p w:rsidR="00044359" w:rsidRPr="00044359" w:rsidP="26001F7C" w14:paraId="6F8EFB56" w14:textId="77777777">
      <w:pPr>
        <w:pStyle w:val="ListParagraph"/>
        <w:numPr>
          <w:ilvl w:val="0"/>
          <w:numId w:val="21"/>
        </w:numPr>
        <w:spacing w:before="240"/>
        <w:rPr>
          <w:rStyle w:val="eop"/>
          <w:rFonts w:ascii="Calibri" w:hAnsi="Calibri" w:cs="Calibri"/>
        </w:rPr>
      </w:pPr>
      <w:r w:rsidRPr="00044359">
        <w:rPr>
          <w:rStyle w:val="normaltextrun"/>
          <w:rFonts w:ascii="Calibri" w:hAnsi="Calibri" w:cs="Calibri"/>
        </w:rPr>
        <w:t>Employment Rate – 2nd Quarter After Exit </w:t>
      </w:r>
      <w:r w:rsidRPr="00044359">
        <w:rPr>
          <w:rStyle w:val="eop"/>
          <w:rFonts w:ascii="Calibri" w:hAnsi="Calibri" w:cs="Calibri"/>
        </w:rPr>
        <w:t> </w:t>
      </w:r>
    </w:p>
    <w:p w:rsidR="00044359" w:rsidP="26001F7C" w14:paraId="1721473B" w14:textId="77777777">
      <w:pPr>
        <w:pStyle w:val="ListParagraph"/>
        <w:numPr>
          <w:ilvl w:val="0"/>
          <w:numId w:val="21"/>
        </w:numPr>
        <w:spacing w:before="240"/>
        <w:rPr>
          <w:rStyle w:val="normaltextrun"/>
          <w:rFonts w:ascii="Calibri" w:hAnsi="Calibri" w:cs="Calibri"/>
        </w:rPr>
      </w:pPr>
      <w:r w:rsidRPr="00044359">
        <w:rPr>
          <w:rStyle w:val="normaltextrun"/>
          <w:rFonts w:ascii="Calibri" w:hAnsi="Calibri" w:cs="Calibri"/>
        </w:rPr>
        <w:t>Employment Retention Rate – 4th Quarter After Exit</w:t>
      </w:r>
    </w:p>
    <w:p w:rsidR="7284B620" w:rsidRPr="00044359" w:rsidP="26001F7C" w14:paraId="7D010619" w14:textId="4563E575">
      <w:pPr>
        <w:pStyle w:val="ListParagraph"/>
        <w:numPr>
          <w:ilvl w:val="0"/>
          <w:numId w:val="21"/>
        </w:numPr>
        <w:spacing w:before="240"/>
        <w:rPr>
          <w:rFonts w:ascii="Calibri" w:hAnsi="Calibri" w:cs="Calibri"/>
        </w:rPr>
      </w:pPr>
      <w:r w:rsidRPr="00044359">
        <w:rPr>
          <w:rStyle w:val="normaltextrun"/>
          <w:rFonts w:ascii="Calibri" w:hAnsi="Calibri" w:cs="Calibri"/>
        </w:rPr>
        <w:t>Median Earnings – 2nd Quarter After Exit </w:t>
      </w:r>
      <w:r w:rsidRPr="00044359">
        <w:rPr>
          <w:rStyle w:val="eop"/>
          <w:rFonts w:ascii="Calibri" w:hAnsi="Calibri" w:cs="Calibri"/>
        </w:rPr>
        <w:t> </w:t>
      </w:r>
    </w:p>
    <w:p w:rsidR="7284B620" w:rsidP="00A63FBB" w14:paraId="4B886844" w14:textId="2FB5D8D9">
      <w:pPr>
        <w:pStyle w:val="indent-1"/>
        <w:rPr>
          <w:rFonts w:ascii="Calibri" w:eastAsia="Calibri" w:hAnsi="Calibri" w:cs="Calibri"/>
          <w:color w:val="000000" w:themeColor="text1"/>
        </w:rPr>
      </w:pPr>
      <w:r w:rsidRPr="67C21E96">
        <w:rPr>
          <w:rFonts w:ascii="Calibri" w:eastAsia="Calibri" w:hAnsi="Calibri" w:cs="Calibri"/>
          <w:color w:val="000000" w:themeColor="text1"/>
          <w:sz w:val="22"/>
          <w:szCs w:val="22"/>
        </w:rPr>
        <w:t xml:space="preserve">The report must be filed </w:t>
      </w:r>
      <w:r w:rsidRPr="67C21E96" w:rsidR="24ECDBBA">
        <w:rPr>
          <w:rFonts w:ascii="Calibri" w:eastAsia="Calibri" w:hAnsi="Calibri" w:cs="Calibri"/>
          <w:color w:val="000000" w:themeColor="text1"/>
          <w:sz w:val="22"/>
          <w:szCs w:val="22"/>
        </w:rPr>
        <w:t xml:space="preserve">within </w:t>
      </w:r>
      <w:r w:rsidR="008C5041">
        <w:rPr>
          <w:rFonts w:ascii="Calibri" w:eastAsia="Calibri" w:hAnsi="Calibri" w:cs="Calibri"/>
          <w:color w:val="000000" w:themeColor="text1"/>
          <w:sz w:val="22"/>
          <w:szCs w:val="22"/>
        </w:rPr>
        <w:t>45</w:t>
      </w:r>
      <w:r w:rsidRPr="67C21E96" w:rsidR="00835681">
        <w:rPr>
          <w:rFonts w:ascii="Calibri" w:eastAsia="Calibri" w:hAnsi="Calibri" w:cs="Calibri"/>
          <w:color w:val="000000" w:themeColor="text1"/>
          <w:sz w:val="22"/>
          <w:szCs w:val="22"/>
        </w:rPr>
        <w:t xml:space="preserve"> </w:t>
      </w:r>
      <w:r w:rsidRPr="67C21E96" w:rsidR="24ECDBBA">
        <w:rPr>
          <w:rFonts w:ascii="Calibri" w:eastAsia="Calibri" w:hAnsi="Calibri" w:cs="Calibri"/>
          <w:color w:val="000000" w:themeColor="text1"/>
          <w:sz w:val="22"/>
          <w:szCs w:val="22"/>
        </w:rPr>
        <w:t xml:space="preserve">days following the end of the fiscal year. </w:t>
      </w:r>
    </w:p>
    <w:p w:rsidR="26001F7C" w:rsidP="26001F7C" w14:paraId="2AC4BE67" w14:textId="2D074DD2">
      <w:pPr>
        <w:pStyle w:val="indent-1"/>
        <w:rPr>
          <w:rFonts w:ascii="Calibri" w:eastAsia="Calibri" w:hAnsi="Calibri" w:cs="Calibri"/>
          <w:color w:val="000000" w:themeColor="text1"/>
          <w:sz w:val="22"/>
          <w:szCs w:val="22"/>
        </w:rPr>
      </w:pPr>
      <w:r w:rsidRPr="7284B620">
        <w:rPr>
          <w:rFonts w:ascii="Calibri" w:eastAsia="Calibri" w:hAnsi="Calibri" w:cs="Calibri"/>
          <w:color w:val="000000" w:themeColor="text1"/>
          <w:sz w:val="22"/>
          <w:szCs w:val="22"/>
        </w:rPr>
        <w:t>Territories and the District of Columbia are referred to as “states.” Note: Tribes are not required to report.</w:t>
      </w:r>
    </w:p>
    <w:p w:rsidR="00CE40A8" w:rsidP="000A7B1C" w14:paraId="498936CD" w14:textId="5309C9C9">
      <w:pPr>
        <w:pStyle w:val="indent-1"/>
        <w:spacing w:after="0" w:afterAutospacing="0"/>
        <w:rPr>
          <w:rStyle w:val="normaltextrun"/>
          <w:rFonts w:ascii="Calibri Light" w:hAnsi="Calibri Light" w:cs="Calibri Light"/>
          <w:color w:val="2F5496" w:themeColor="accent1" w:themeShade="BF"/>
          <w:sz w:val="26"/>
          <w:szCs w:val="26"/>
        </w:rPr>
      </w:pPr>
      <w:r w:rsidRPr="6E6F9E2A">
        <w:rPr>
          <w:rStyle w:val="normaltextrun"/>
          <w:rFonts w:ascii="Calibri Light" w:hAnsi="Calibri Light" w:cs="Calibri Light"/>
          <w:color w:val="2F5496" w:themeColor="accent1" w:themeShade="BF"/>
          <w:sz w:val="26"/>
          <w:szCs w:val="26"/>
        </w:rPr>
        <w:t>INSTRUCTIONS AND DEFINITIONS</w:t>
      </w:r>
    </w:p>
    <w:p w:rsidR="000707CD" w:rsidP="009F31B0" w14:paraId="7300652A" w14:textId="706C04BD">
      <w:pPr>
        <w:spacing w:after="0"/>
        <w:rPr>
          <w:rFonts w:ascii="Calibri" w:eastAsia="Calibri" w:hAnsi="Calibri" w:cs="Calibri"/>
          <w:color w:val="000000" w:themeColor="text1"/>
        </w:rPr>
      </w:pPr>
      <w:r>
        <w:t xml:space="preserve">The state agency should collect and report data for each item. The data must be complete and accurate. </w:t>
      </w:r>
      <w:r w:rsidR="4F6930F1">
        <w:t xml:space="preserve">States must use universe-level data and use the methodology described by the Office of Family </w:t>
      </w:r>
      <w:r w:rsidR="4F6930F1">
        <w:t>Assistance (OFA). States must include the numerator and denominator used to calculate the rates</w:t>
      </w:r>
      <w:r w:rsidR="7AF42225">
        <w:t xml:space="preserve"> and the median earnings</w:t>
      </w:r>
      <w:r w:rsidR="4F6930F1">
        <w:t xml:space="preserve"> and attach a description of the data sources.    </w:t>
      </w:r>
    </w:p>
    <w:p w:rsidR="009F31B0" w:rsidP="000A7B1C" w14:paraId="7C8EEA60" w14:textId="77777777">
      <w:pPr>
        <w:spacing w:after="0"/>
        <w:rPr>
          <w:rFonts w:ascii="Calibri" w:eastAsia="Calibri" w:hAnsi="Calibri" w:cs="Calibri"/>
          <w:color w:val="000000" w:themeColor="text1"/>
        </w:rPr>
      </w:pPr>
    </w:p>
    <w:p w:rsidR="000707CD" w:rsidP="6E6F9E2A" w14:paraId="4712B65D" w14:textId="02A76659">
      <w:pPr>
        <w:pStyle w:val="paragraph"/>
        <w:spacing w:before="0" w:beforeAutospacing="0" w:after="0" w:afterAutospacing="0"/>
        <w:textAlignment w:val="baseline"/>
        <w:rPr>
          <w:rFonts w:ascii="Segoe UI" w:hAnsi="Segoe UI" w:cs="Segoe UI"/>
          <w:sz w:val="18"/>
          <w:szCs w:val="18"/>
        </w:rPr>
      </w:pPr>
      <w:r w:rsidRPr="3A9A996F">
        <w:rPr>
          <w:rStyle w:val="normaltextrun"/>
          <w:rFonts w:ascii="Calibri" w:hAnsi="Calibri" w:cs="Calibri"/>
          <w:sz w:val="22"/>
          <w:szCs w:val="22"/>
        </w:rPr>
        <w:t xml:space="preserve">In accordance with 45 CFR 265.2 (c) and (d), for purposes of the </w:t>
      </w:r>
      <w:r w:rsidRPr="26001F7C" w:rsidR="79FA5BEE">
        <w:rPr>
          <w:rStyle w:val="normaltextrun"/>
          <w:rFonts w:ascii="Calibri" w:hAnsi="Calibri" w:cs="Calibri"/>
          <w:sz w:val="22"/>
          <w:szCs w:val="22"/>
        </w:rPr>
        <w:t xml:space="preserve">Supplemental </w:t>
      </w:r>
      <w:r w:rsidRPr="3A9A996F">
        <w:rPr>
          <w:rStyle w:val="normaltextrun"/>
          <w:rFonts w:ascii="Calibri" w:hAnsi="Calibri" w:cs="Calibri"/>
          <w:sz w:val="22"/>
          <w:szCs w:val="22"/>
        </w:rPr>
        <w:t>Work Outcomes Report:</w:t>
      </w:r>
      <w:r w:rsidRPr="26001F7C" w:rsidR="79FA5BEE">
        <w:rPr>
          <w:rStyle w:val="normaltextrun"/>
          <w:rFonts w:ascii="Calibri" w:hAnsi="Calibri" w:cs="Calibri"/>
          <w:sz w:val="22"/>
          <w:szCs w:val="22"/>
        </w:rPr>
        <w:t xml:space="preserve"> </w:t>
      </w:r>
      <w:r w:rsidRPr="3A9A996F">
        <w:rPr>
          <w:rStyle w:val="eop"/>
          <w:rFonts w:ascii="Calibri" w:hAnsi="Calibri" w:cs="Calibri"/>
          <w:sz w:val="22"/>
          <w:szCs w:val="22"/>
        </w:rPr>
        <w:t> </w:t>
      </w:r>
    </w:p>
    <w:bookmarkEnd w:id="5"/>
    <w:p w:rsidR="3A9A996F" w:rsidP="3A9A996F" w14:paraId="5A845117" w14:textId="3FFFE183">
      <w:pPr>
        <w:pStyle w:val="paragraph"/>
        <w:spacing w:before="0" w:beforeAutospacing="0" w:after="0" w:afterAutospacing="0"/>
        <w:rPr>
          <w:rStyle w:val="eop"/>
          <w:rFonts w:ascii="Calibri" w:hAnsi="Calibri" w:cs="Calibri"/>
          <w:sz w:val="22"/>
          <w:szCs w:val="22"/>
        </w:rPr>
      </w:pPr>
    </w:p>
    <w:p w:rsidR="009A507E" w:rsidP="009A507E" w14:paraId="72AC460D" w14:textId="53D0F561">
      <w:pPr>
        <w:rPr>
          <w:b/>
          <w:bCs/>
        </w:rPr>
      </w:pPr>
      <w:r>
        <w:rPr>
          <w:b/>
          <w:bCs/>
        </w:rPr>
        <w:t xml:space="preserve">Work-Eligible Individual (WEI) </w:t>
      </w:r>
      <w:r w:rsidRPr="009E7052">
        <w:t>as defined</w:t>
      </w:r>
      <w:r>
        <w:rPr>
          <w:b/>
          <w:bCs/>
        </w:rPr>
        <w:t xml:space="preserve"> </w:t>
      </w:r>
      <w:r>
        <w:rPr>
          <w:rStyle w:val="normaltextrun"/>
          <w:color w:val="000000"/>
          <w:shd w:val="clear" w:color="auto" w:fill="FFFFFF"/>
        </w:rPr>
        <w:t xml:space="preserve">in 45 CFR Part 261.2(n) applies to the </w:t>
      </w:r>
      <w:r w:rsidR="0CF2E10A">
        <w:rPr>
          <w:rStyle w:val="normaltextrun"/>
          <w:color w:val="000000"/>
          <w:shd w:val="clear" w:color="auto" w:fill="FFFFFF"/>
        </w:rPr>
        <w:t>Supplemental Work Outcomes Report</w:t>
      </w:r>
      <w:r>
        <w:rPr>
          <w:rStyle w:val="normaltextrun"/>
          <w:color w:val="000000"/>
          <w:shd w:val="clear" w:color="auto" w:fill="FFFFFF"/>
        </w:rPr>
        <w:t>.</w:t>
      </w:r>
    </w:p>
    <w:p w:rsidR="009A507E" w:rsidRPr="00777943" w:rsidP="009A507E" w14:paraId="56086439" w14:textId="17C2CCFE">
      <w:r w:rsidRPr="3DD670FD">
        <w:rPr>
          <w:b/>
          <w:bCs/>
        </w:rPr>
        <w:t xml:space="preserve">Exit </w:t>
      </w:r>
      <w:r>
        <w:t xml:space="preserve">is the date that a family with a work-eligible individual ceases to receive assistance from the TANF program. The last day of assistance cannot be determined until 90 days </w:t>
      </w:r>
      <w:r w:rsidR="33C8AF35">
        <w:t xml:space="preserve">or three months </w:t>
      </w:r>
      <w:r>
        <w:t xml:space="preserve">have elapsed </w:t>
      </w:r>
      <w:r w:rsidRPr="00777943">
        <w:t xml:space="preserve">since the participant last received assistance.  </w:t>
      </w:r>
    </w:p>
    <w:p w:rsidR="009122BB" w:rsidRPr="00777943" w:rsidP="009122BB" w14:paraId="2375BA81" w14:textId="77777777">
      <w:pPr>
        <w:ind w:left="720"/>
        <w:rPr>
          <w:rFonts w:ascii="Calibri" w:eastAsia="Calibri" w:hAnsi="Calibri" w:cs="Calibri"/>
        </w:rPr>
      </w:pPr>
      <w:r w:rsidRPr="00777943">
        <w:rPr>
          <w:rStyle w:val="normaltextrun"/>
          <w:rFonts w:ascii="Calibri" w:eastAsia="Calibri" w:hAnsi="Calibri" w:cs="Calibri"/>
        </w:rPr>
        <w:t xml:space="preserve">In pay-for-performance states, ”ceases to receive” may be interpreted as “last eligible to receive” assistance. The 90 days or three months would be counted from the period the work-eligible individual last satisfied the state's performance requirement, not from the date of the benefit issuance. </w:t>
      </w:r>
      <w:r w:rsidRPr="00777943">
        <w:rPr>
          <w:rFonts w:ascii="Calibri" w:eastAsia="Calibri" w:hAnsi="Calibri" w:cs="Calibri"/>
        </w:rPr>
        <w:t xml:space="preserve"> </w:t>
      </w:r>
    </w:p>
    <w:p w:rsidR="009A507E" w:rsidRPr="00777943" w:rsidP="009122BB" w14:paraId="28EEE978" w14:textId="5B56D74D">
      <w:pPr>
        <w:rPr>
          <w:rStyle w:val="normaltextrun"/>
        </w:rPr>
      </w:pPr>
      <w:r w:rsidRPr="00777943">
        <w:rPr>
          <w:rStyle w:val="normaltextrun"/>
        </w:rPr>
        <w:t xml:space="preserve">Some states may move individuals out of the TANF program and into separate state programs (funded by maintenance-of-effort funds) or solely state-funded programs (not reported as maintenance-of-effort). For some states, these may be distinctly different programs, while for other states the difference may just be the funding source. The statute clearly states “with respect to a </w:t>
      </w:r>
      <w:r w:rsidRPr="00777943">
        <w:rPr>
          <w:rStyle w:val="normaltextrun"/>
        </w:rPr>
        <w:t>State</w:t>
      </w:r>
      <w:r w:rsidRPr="00777943">
        <w:rPr>
          <w:rStyle w:val="normaltextrun"/>
        </w:rPr>
        <w:t xml:space="preserve"> program funded under this part” which refers only to the TANF program, and not separate state programs or solely state-funded programs. Therefore, when considering who exited TANF for this data collection, states should include </w:t>
      </w:r>
      <w:r w:rsidRPr="00777943" w:rsidR="009122BB">
        <w:rPr>
          <w:rStyle w:val="normaltextrun"/>
        </w:rPr>
        <w:t xml:space="preserve">as </w:t>
      </w:r>
      <w:r w:rsidRPr="00777943" w:rsidR="009122BB">
        <w:rPr>
          <w:rStyle w:val="normaltextrun"/>
        </w:rPr>
        <w:t>exiters</w:t>
      </w:r>
      <w:r w:rsidRPr="00777943" w:rsidR="009122BB">
        <w:rPr>
          <w:rStyle w:val="normaltextrun"/>
        </w:rPr>
        <w:t xml:space="preserve"> </w:t>
      </w:r>
      <w:r w:rsidRPr="00777943">
        <w:rPr>
          <w:rStyle w:val="normaltextrun"/>
        </w:rPr>
        <w:t xml:space="preserve">those work-eligible individuals who were moved to separate state programs or solely-state funded programs and have not received TANF-funded assistance in at least 90 days or three months.  </w:t>
      </w:r>
    </w:p>
    <w:p w:rsidR="009A507E" w:rsidRPr="00777943" w:rsidP="009A507E" w14:paraId="1AF9B028" w14:textId="5A943691">
      <w:r w:rsidRPr="00777943">
        <w:rPr>
          <w:rStyle w:val="normaltextrun"/>
          <w:shd w:val="clear" w:color="auto" w:fill="FFFFFF"/>
        </w:rPr>
        <w:t xml:space="preserve">A work-eligible individual will be included as an </w:t>
      </w:r>
      <w:r w:rsidRPr="00777943">
        <w:rPr>
          <w:rStyle w:val="normaltextrun"/>
          <w:shd w:val="clear" w:color="auto" w:fill="FFFFFF"/>
        </w:rPr>
        <w:t>exiter</w:t>
      </w:r>
      <w:r w:rsidRPr="00777943">
        <w:rPr>
          <w:rStyle w:val="normaltextrun"/>
          <w:shd w:val="clear" w:color="auto" w:fill="FFFFFF"/>
        </w:rPr>
        <w:t xml:space="preserve"> in these measures only when their </w:t>
      </w:r>
      <w:r w:rsidRPr="00777943">
        <w:rPr>
          <w:rStyle w:val="normaltextrun"/>
          <w:i/>
          <w:iCs/>
          <w:shd w:val="clear" w:color="auto" w:fill="FFFFFF"/>
        </w:rPr>
        <w:t>family</w:t>
      </w:r>
      <w:r w:rsidRPr="00777943">
        <w:rPr>
          <w:rStyle w:val="normaltextrun"/>
          <w:shd w:val="clear" w:color="auto" w:fill="FFFFFF"/>
        </w:rPr>
        <w:t xml:space="preserve"> ceases to receive </w:t>
      </w:r>
      <w:r w:rsidRPr="00777943">
        <w:rPr>
          <w:rStyle w:val="normaltextrun"/>
          <w:shd w:val="clear" w:color="auto" w:fill="FFFFFF"/>
        </w:rPr>
        <w:t>assistance, and</w:t>
      </w:r>
      <w:r w:rsidRPr="00777943">
        <w:rPr>
          <w:rStyle w:val="normaltextrun"/>
          <w:shd w:val="clear" w:color="auto" w:fill="FFFFFF"/>
        </w:rPr>
        <w:t xml:space="preserve"> will not meet the definition of an </w:t>
      </w:r>
      <w:r w:rsidRPr="00777943">
        <w:rPr>
          <w:rStyle w:val="normaltextrun"/>
          <w:shd w:val="clear" w:color="auto" w:fill="FFFFFF"/>
        </w:rPr>
        <w:t>exiter</w:t>
      </w:r>
      <w:r w:rsidRPr="00777943">
        <w:rPr>
          <w:rStyle w:val="normaltextrun"/>
          <w:shd w:val="clear" w:color="auto" w:fill="FFFFFF"/>
        </w:rPr>
        <w:t xml:space="preserve"> when the needs of the work-eligible individual are removed from the assistance payment but the family continues to receive assistance</w:t>
      </w:r>
      <w:r w:rsidRPr="00777943" w:rsidR="00E343B6">
        <w:rPr>
          <w:rStyle w:val="normaltextrun"/>
          <w:shd w:val="clear" w:color="auto" w:fill="FFFFFF"/>
        </w:rPr>
        <w:t xml:space="preserve"> </w:t>
      </w:r>
      <w:r w:rsidRPr="00777943" w:rsidR="009122BB">
        <w:rPr>
          <w:rStyle w:val="normaltextrun"/>
          <w:shd w:val="clear" w:color="auto" w:fill="FFFFFF"/>
        </w:rPr>
        <w:t>and the individual remains work-eligible</w:t>
      </w:r>
      <w:r w:rsidRPr="00777943">
        <w:rPr>
          <w:rStyle w:val="normaltextrun"/>
          <w:shd w:val="clear" w:color="auto" w:fill="FFFFFF"/>
        </w:rPr>
        <w:t>.  An individual in the family must have been “a work-eligible individual,” as defined in 45 CFR 261.2(n)(1), in their last month of assistance.</w:t>
      </w:r>
      <w:r w:rsidRPr="00777943">
        <w:rPr>
          <w:rStyle w:val="eop"/>
          <w:shd w:val="clear" w:color="auto" w:fill="FFFFFF"/>
        </w:rPr>
        <w:t> </w:t>
      </w:r>
    </w:p>
    <w:p w:rsidR="287944B5" w:rsidRPr="00777943" w:rsidP="3DD670FD" w14:paraId="3B829828" w14:textId="6C49FAC2">
      <w:pPr>
        <w:rPr>
          <w:rFonts w:ascii="Calibri" w:eastAsia="Calibri" w:hAnsi="Calibri" w:cs="Calibri"/>
        </w:rPr>
      </w:pPr>
      <w:r w:rsidRPr="00777943">
        <w:rPr>
          <w:rFonts w:ascii="Calibri" w:eastAsia="Calibri" w:hAnsi="Calibri" w:cs="Calibri"/>
        </w:rPr>
        <w:t xml:space="preserve">For reporting purposes, </w:t>
      </w:r>
      <w:r w:rsidRPr="00777943" w:rsidR="00E70225">
        <w:rPr>
          <w:rFonts w:ascii="Calibri" w:eastAsia="Calibri" w:hAnsi="Calibri" w:cs="Calibri"/>
        </w:rPr>
        <w:t>a</w:t>
      </w:r>
      <w:r w:rsidRPr="00777943">
        <w:rPr>
          <w:rFonts w:ascii="Calibri" w:eastAsia="Calibri" w:hAnsi="Calibri" w:cs="Calibri"/>
        </w:rPr>
        <w:t xml:space="preserve"> </w:t>
      </w:r>
      <w:r w:rsidRPr="00777943">
        <w:rPr>
          <w:rFonts w:ascii="Calibri" w:eastAsia="Calibri" w:hAnsi="Calibri" w:cs="Calibri"/>
          <w:b/>
          <w:bCs/>
        </w:rPr>
        <w:t>family</w:t>
      </w:r>
      <w:r w:rsidRPr="00777943">
        <w:rPr>
          <w:rFonts w:ascii="Calibri" w:eastAsia="Calibri" w:hAnsi="Calibri" w:cs="Calibri"/>
        </w:rPr>
        <w:t xml:space="preserve"> means: (a) all individuals receiving assistance as part of a family under the state’s TANF program; and (b) the following additional persons living in the family, if not included under (a) above: (1) Parent or caretaker relative of any minor child; </w:t>
      </w:r>
      <w:r w:rsidRPr="00777943" w:rsidR="00582C29">
        <w:rPr>
          <w:rFonts w:ascii="Calibri" w:eastAsia="Calibri" w:hAnsi="Calibri" w:cs="Calibri"/>
        </w:rPr>
        <w:t xml:space="preserve">(2) </w:t>
      </w:r>
      <w:r w:rsidRPr="00777943">
        <w:rPr>
          <w:rFonts w:ascii="Calibri" w:eastAsia="Calibri" w:hAnsi="Calibri" w:cs="Calibri"/>
        </w:rPr>
        <w:t xml:space="preserve">A minor child; and </w:t>
      </w:r>
      <w:r w:rsidRPr="00777943" w:rsidR="00582C29">
        <w:rPr>
          <w:rFonts w:ascii="Calibri" w:eastAsia="Calibri" w:hAnsi="Calibri" w:cs="Calibri"/>
        </w:rPr>
        <w:t xml:space="preserve">(3) </w:t>
      </w:r>
      <w:r w:rsidRPr="00777943">
        <w:rPr>
          <w:rFonts w:ascii="Calibri" w:eastAsia="Calibri" w:hAnsi="Calibri" w:cs="Calibri"/>
        </w:rPr>
        <w:t xml:space="preserve">Any person whose income or resources are counted in determining the family’s eligibility for or amount of assistance. This is the same definition used for </w:t>
      </w:r>
      <w:hyperlink r:id="rId10" w:history="1">
        <w:r w:rsidRPr="00777943" w:rsidR="00C93DDE">
          <w:rPr>
            <w:rStyle w:val="Hyperlink"/>
            <w:rFonts w:ascii="Calibri" w:eastAsia="Calibri" w:hAnsi="Calibri" w:cs="Calibri"/>
            <w:color w:val="auto"/>
            <w:u w:val="none"/>
          </w:rPr>
          <w:t>reporting on the TANF Data Report (ACF-199) (page 4)</w:t>
        </w:r>
      </w:hyperlink>
      <w:r w:rsidRPr="00777943">
        <w:rPr>
          <w:rFonts w:ascii="Calibri" w:eastAsia="Calibri" w:hAnsi="Calibri" w:cs="Calibri"/>
        </w:rPr>
        <w:t>.</w:t>
      </w:r>
    </w:p>
    <w:p w:rsidR="3DD670FD" w:rsidP="3DD670FD" w14:paraId="68CDDA45" w14:textId="3E1EF920">
      <w:pPr>
        <w:rPr>
          <w:rStyle w:val="eop"/>
          <w:color w:val="000000" w:themeColor="text1"/>
        </w:rPr>
      </w:pPr>
    </w:p>
    <w:p w:rsidR="009A507E" w:rsidP="00022ADF" w14:paraId="0ECB7B0B" w14:textId="01369421">
      <w:pPr>
        <w:rPr>
          <w:rStyle w:val="eop"/>
          <w:color w:val="000000" w:themeColor="text1"/>
        </w:rPr>
      </w:pPr>
      <w:r w:rsidRPr="3DD670FD">
        <w:rPr>
          <w:b/>
          <w:bCs/>
        </w:rPr>
        <w:t>Unsubsidized employment</w:t>
      </w:r>
      <w:r>
        <w:t xml:space="preserve"> is full- or part-time employment in the private or public sector after exiting the TANF program. </w:t>
      </w:r>
    </w:p>
    <w:p w:rsidR="009A507E" w:rsidP="009A507E" w14:paraId="2F3C1FB3" w14:textId="77777777">
      <w:r w:rsidRPr="5F14017E">
        <w:t xml:space="preserve">The </w:t>
      </w:r>
      <w:r>
        <w:rPr>
          <w:b/>
          <w:bCs/>
        </w:rPr>
        <w:t>r</w:t>
      </w:r>
      <w:r w:rsidRPr="5F14017E">
        <w:rPr>
          <w:b/>
          <w:bCs/>
        </w:rPr>
        <w:t xml:space="preserve">eporting </w:t>
      </w:r>
      <w:r>
        <w:rPr>
          <w:b/>
          <w:bCs/>
        </w:rPr>
        <w:t>p</w:t>
      </w:r>
      <w:r w:rsidRPr="5F14017E">
        <w:rPr>
          <w:b/>
          <w:bCs/>
        </w:rPr>
        <w:t xml:space="preserve">eriod </w:t>
      </w:r>
      <w:r w:rsidRPr="5F14017E">
        <w:t xml:space="preserve">is the </w:t>
      </w:r>
      <w:r w:rsidRPr="5F14017E">
        <w:t>period of time</w:t>
      </w:r>
      <w:r w:rsidRPr="5F14017E">
        <w:t xml:space="preserve"> covering one federal fiscal quarter, during which </w:t>
      </w:r>
      <w:r>
        <w:t xml:space="preserve">exit </w:t>
      </w:r>
      <w:r w:rsidRPr="5F14017E">
        <w:t xml:space="preserve">data relevant to the measure are recorded. </w:t>
      </w:r>
    </w:p>
    <w:p w:rsidR="418699B9" w:rsidP="6E6F9E2A" w14:paraId="7F436C4C" w14:textId="035A439A">
      <w:r w:rsidRPr="6E6F9E2A">
        <w:t>Submission Instructions:</w:t>
      </w:r>
    </w:p>
    <w:p w:rsidR="00CB05BA" w:rsidP="3A9A996F" w14:paraId="6DD7DF5D" w14:textId="3141A9B7">
      <w:pPr>
        <w:pStyle w:val="ListParagraph"/>
        <w:numPr>
          <w:ilvl w:val="0"/>
          <w:numId w:val="13"/>
        </w:numPr>
        <w:suppressAutoHyphens/>
        <w:rPr>
          <w:rFonts w:ascii="Calibri" w:eastAsia="Calibri" w:hAnsi="Calibri" w:cs="Calibri"/>
          <w:color w:val="000000" w:themeColor="text1"/>
        </w:rPr>
      </w:pPr>
      <w:r>
        <w:fldChar w:fldCharType="begin"/>
      </w:r>
      <w:r>
        <w:instrText xml:space="preserve">seq level0 \h \r0 </w:instrText>
      </w:r>
      <w:r>
        <w:fldChar w:fldCharType="separate"/>
      </w:r>
      <w:r>
        <w:fldChar w:fldCharType="end"/>
      </w:r>
      <w:r>
        <w:fldChar w:fldCharType="begin"/>
      </w:r>
      <w:r>
        <w:instrText xml:space="preserve">seq level1 \h \r0 </w:instrText>
      </w:r>
      <w:r>
        <w:fldChar w:fldCharType="separate"/>
      </w:r>
      <w:r>
        <w:fldChar w:fldCharType="end"/>
      </w:r>
      <w:r>
        <w:fldChar w:fldCharType="begin"/>
      </w:r>
      <w:r>
        <w:instrText xml:space="preserve">seq level2 \h \r0 </w:instrText>
      </w:r>
      <w:r>
        <w:fldChar w:fldCharType="separate"/>
      </w:r>
      <w:r>
        <w:fldChar w:fldCharType="end"/>
      </w:r>
      <w:r>
        <w:fldChar w:fldCharType="begin"/>
      </w:r>
      <w:r>
        <w:instrText xml:space="preserve">seq level3 \h \r0 </w:instrText>
      </w:r>
      <w:r>
        <w:fldChar w:fldCharType="separate"/>
      </w:r>
      <w:r>
        <w:fldChar w:fldCharType="end"/>
      </w:r>
      <w:r>
        <w:fldChar w:fldCharType="begin"/>
      </w:r>
      <w:r>
        <w:instrText xml:space="preserve">seq level4 \h \r0 </w:instrText>
      </w:r>
      <w:r>
        <w:fldChar w:fldCharType="separate"/>
      </w:r>
      <w:r>
        <w:fldChar w:fldCharType="end"/>
      </w:r>
      <w:r>
        <w:fldChar w:fldCharType="begin"/>
      </w:r>
      <w:r>
        <w:instrText xml:space="preserve">seq level5 \h \r0 </w:instrText>
      </w:r>
      <w:r>
        <w:fldChar w:fldCharType="separate"/>
      </w:r>
      <w:r>
        <w:fldChar w:fldCharType="end"/>
      </w:r>
      <w:r>
        <w:fldChar w:fldCharType="begin"/>
      </w:r>
      <w:r>
        <w:instrText xml:space="preserve">seq level6 \h \r0 </w:instrText>
      </w:r>
      <w:r>
        <w:fldChar w:fldCharType="separate"/>
      </w:r>
      <w:r>
        <w:fldChar w:fldCharType="end"/>
      </w:r>
      <w:r>
        <w:fldChar w:fldCharType="begin"/>
      </w:r>
      <w:r>
        <w:instrText xml:space="preserve">seq level7 \h \r0 </w:instrText>
      </w:r>
      <w:r>
        <w:fldChar w:fldCharType="separate"/>
      </w:r>
      <w:r>
        <w:fldChar w:fldCharType="end"/>
      </w:r>
      <w:r w:rsidRPr="061202EA">
        <w:rPr>
          <w:u w:val="single"/>
        </w:rPr>
        <w:t xml:space="preserve">Reporting </w:t>
      </w:r>
      <w:r w:rsidRPr="061202EA" w:rsidR="007761B0">
        <w:rPr>
          <w:u w:val="single"/>
        </w:rPr>
        <w:t>Period</w:t>
      </w:r>
      <w:r w:rsidRPr="061202EA">
        <w:rPr>
          <w:u w:val="single"/>
        </w:rPr>
        <w:t>:</w:t>
      </w:r>
      <w:r>
        <w:t xml:space="preserve"> </w:t>
      </w:r>
      <w:r w:rsidRPr="061202EA" w:rsidR="24938873">
        <w:rPr>
          <w:rStyle w:val="normaltextrun"/>
          <w:rFonts w:ascii="Calibri" w:eastAsia="Calibri" w:hAnsi="Calibri" w:cs="Calibri"/>
          <w:color w:val="000000" w:themeColor="text1"/>
        </w:rPr>
        <w:t xml:space="preserve"> </w:t>
      </w:r>
      <w:r w:rsidRPr="061202EA" w:rsidR="24574B8C">
        <w:rPr>
          <w:rStyle w:val="normaltextrun"/>
          <w:rFonts w:ascii="Calibri" w:eastAsia="Calibri" w:hAnsi="Calibri" w:cs="Calibri"/>
          <w:color w:val="000000" w:themeColor="text1"/>
        </w:rPr>
        <w:t>Enter the two-</w:t>
      </w:r>
      <w:r w:rsidRPr="061202EA" w:rsidR="24574B8C">
        <w:rPr>
          <w:rStyle w:val="normaltextrun"/>
          <w:rFonts w:ascii="Calibri" w:eastAsia="Calibri" w:hAnsi="Calibri" w:cs="Calibri"/>
        </w:rPr>
        <w:t xml:space="preserve">digit month (MM) and four-digit year (YYYY) codes </w:t>
      </w:r>
      <w:r w:rsidRPr="061202EA" w:rsidR="24574B8C">
        <w:rPr>
          <w:rStyle w:val="normaltextrun"/>
          <w:rFonts w:ascii="Calibri" w:eastAsia="Calibri" w:hAnsi="Calibri" w:cs="Calibri"/>
          <w:color w:val="000000" w:themeColor="text1"/>
        </w:rPr>
        <w:t xml:space="preserve">(MM/YYYY) for the period for which the data are being reported. </w:t>
      </w:r>
      <w:r w:rsidR="24938873">
        <w:t xml:space="preserve"> T</w:t>
      </w:r>
      <w:r w:rsidRPr="061202EA" w:rsidR="24938873">
        <w:rPr>
          <w:rFonts w:ascii="Calibri" w:eastAsia="Calibri" w:hAnsi="Calibri" w:cs="Calibri"/>
          <w:color w:val="000000" w:themeColor="text1"/>
        </w:rPr>
        <w:t>he table below shows the expected due dates for the next t</w:t>
      </w:r>
      <w:r w:rsidRPr="061202EA" w:rsidR="15481A39">
        <w:rPr>
          <w:rFonts w:ascii="Calibri" w:eastAsia="Calibri" w:hAnsi="Calibri" w:cs="Calibri"/>
          <w:color w:val="000000" w:themeColor="text1"/>
        </w:rPr>
        <w:t>hree</w:t>
      </w:r>
      <w:r w:rsidRPr="061202EA" w:rsidR="24938873">
        <w:rPr>
          <w:rFonts w:ascii="Calibri" w:eastAsia="Calibri" w:hAnsi="Calibri" w:cs="Calibri"/>
          <w:color w:val="000000" w:themeColor="text1"/>
        </w:rPr>
        <w:t xml:space="preserve"> fiscal year annual </w:t>
      </w:r>
      <w:r w:rsidRPr="061202EA" w:rsidR="39567084">
        <w:rPr>
          <w:rFonts w:ascii="Calibri" w:eastAsia="Calibri" w:hAnsi="Calibri" w:cs="Calibri"/>
          <w:color w:val="000000" w:themeColor="text1"/>
        </w:rPr>
        <w:t>r</w:t>
      </w:r>
      <w:r w:rsidRPr="061202EA" w:rsidR="24938873">
        <w:rPr>
          <w:rFonts w:ascii="Calibri" w:eastAsia="Calibri" w:hAnsi="Calibri" w:cs="Calibri"/>
          <w:color w:val="000000" w:themeColor="text1"/>
        </w:rPr>
        <w:t xml:space="preserve">eporting </w:t>
      </w:r>
      <w:r w:rsidRPr="061202EA" w:rsidR="67681085">
        <w:rPr>
          <w:rFonts w:ascii="Calibri" w:eastAsia="Calibri" w:hAnsi="Calibri" w:cs="Calibri"/>
          <w:color w:val="000000" w:themeColor="text1"/>
        </w:rPr>
        <w:t>p</w:t>
      </w:r>
      <w:r w:rsidRPr="061202EA" w:rsidR="24938873">
        <w:rPr>
          <w:rFonts w:ascii="Calibri" w:eastAsia="Calibri" w:hAnsi="Calibri" w:cs="Calibri"/>
          <w:color w:val="000000" w:themeColor="text1"/>
        </w:rPr>
        <w:t>eriods.</w:t>
      </w:r>
    </w:p>
    <w:tbl>
      <w:tblPr>
        <w:tblStyle w:val="GridTable4Accent1"/>
        <w:tblW w:w="9350" w:type="dxa"/>
        <w:tblLook w:val="04A0"/>
      </w:tblPr>
      <w:tblGrid>
        <w:gridCol w:w="2490"/>
        <w:gridCol w:w="4455"/>
        <w:gridCol w:w="2405"/>
      </w:tblGrid>
      <w:tr w14:paraId="4BDB7341" w14:textId="77777777" w:rsidTr="26001F7C">
        <w:tblPrEx>
          <w:tblW w:w="9350" w:type="dxa"/>
          <w:tblLook w:val="04A0"/>
        </w:tblPrEx>
        <w:tc>
          <w:tcPr>
            <w:tcW w:w="2490" w:type="dxa"/>
          </w:tcPr>
          <w:p w:rsidR="00912FD2" w14:paraId="2D18C41F" w14:textId="77777777">
            <w:r>
              <w:t>Annual Reporting Period</w:t>
            </w:r>
          </w:p>
        </w:tc>
        <w:tc>
          <w:tcPr>
            <w:tcW w:w="4455" w:type="dxa"/>
          </w:tcPr>
          <w:p w:rsidR="00912FD2" w14:paraId="2A28ACF5" w14:textId="77777777">
            <w:r>
              <w:t>Includes</w:t>
            </w:r>
          </w:p>
        </w:tc>
        <w:tc>
          <w:tcPr>
            <w:tcW w:w="2405" w:type="dxa"/>
          </w:tcPr>
          <w:p w:rsidR="00912FD2" w14:paraId="758008B8" w14:textId="77777777">
            <w:r>
              <w:t>Due Date</w:t>
            </w:r>
          </w:p>
        </w:tc>
      </w:tr>
      <w:tr w14:paraId="11275837" w14:textId="77777777" w:rsidTr="26001F7C">
        <w:tblPrEx>
          <w:tblW w:w="9350" w:type="dxa"/>
          <w:tblLook w:val="04A0"/>
        </w:tblPrEx>
        <w:tc>
          <w:tcPr>
            <w:tcW w:w="2490" w:type="dxa"/>
          </w:tcPr>
          <w:p w:rsidR="00912FD2" w:rsidRPr="002872C9" w14:paraId="3CE15A8E" w14:textId="77777777">
            <w:pPr>
              <w:rPr>
                <w:b w:val="0"/>
              </w:rPr>
            </w:pPr>
            <w:r w:rsidRPr="002872C9">
              <w:rPr>
                <w:b w:val="0"/>
              </w:rPr>
              <w:t>FY 2025, October 1, 2024 – September 30, 2025</w:t>
            </w:r>
          </w:p>
        </w:tc>
        <w:tc>
          <w:tcPr>
            <w:tcW w:w="4455" w:type="dxa"/>
          </w:tcPr>
          <w:p w:rsidR="00912FD2" w14:paraId="5BC1D7A3" w14:textId="35285E7F">
            <w:r>
              <w:t xml:space="preserve">All </w:t>
            </w:r>
            <w:r w:rsidR="79F0FD92">
              <w:t>WEI</w:t>
            </w:r>
            <w:r w:rsidR="4DCBA1C9">
              <w:t>s</w:t>
            </w:r>
            <w:r>
              <w:t xml:space="preserve"> who exited in FY 2025 (denominator); </w:t>
            </w:r>
            <w:r w:rsidRPr="26001F7C">
              <w:rPr>
                <w:rFonts w:eastAsia="Times New Roman"/>
              </w:rPr>
              <w:t>Eligible individuals included in the denominator and who are employed two-quarters and/or four-quarters after their exit (numerator)</w:t>
            </w:r>
          </w:p>
        </w:tc>
        <w:tc>
          <w:tcPr>
            <w:tcW w:w="2405" w:type="dxa"/>
          </w:tcPr>
          <w:p w:rsidR="00912FD2" w14:paraId="367A6953" w14:textId="3300F6D7">
            <w:r>
              <w:t>November 14</w:t>
            </w:r>
            <w:r>
              <w:t>, 2027</w:t>
            </w:r>
          </w:p>
        </w:tc>
      </w:tr>
      <w:tr w14:paraId="2994CAAC" w14:textId="77777777" w:rsidTr="26001F7C">
        <w:tblPrEx>
          <w:tblW w:w="9350" w:type="dxa"/>
          <w:tblLook w:val="04A0"/>
        </w:tblPrEx>
        <w:tc>
          <w:tcPr>
            <w:tcW w:w="2490" w:type="dxa"/>
          </w:tcPr>
          <w:p w:rsidR="00912FD2" w:rsidRPr="002872C9" w14:paraId="2D6FFF43" w14:textId="77777777">
            <w:pPr>
              <w:rPr>
                <w:b w:val="0"/>
              </w:rPr>
            </w:pPr>
            <w:r w:rsidRPr="002872C9">
              <w:rPr>
                <w:b w:val="0"/>
              </w:rPr>
              <w:t>FY 2026, October 1, 2025 – September 30, 2026</w:t>
            </w:r>
          </w:p>
        </w:tc>
        <w:tc>
          <w:tcPr>
            <w:tcW w:w="4455" w:type="dxa"/>
          </w:tcPr>
          <w:p w:rsidR="00912FD2" w14:paraId="736398EB" w14:textId="5B3C8AE6">
            <w:r>
              <w:t xml:space="preserve">All </w:t>
            </w:r>
            <w:r w:rsidR="1C9A3447">
              <w:t>WEI</w:t>
            </w:r>
            <w:r w:rsidR="4DCBA1C9">
              <w:t>s</w:t>
            </w:r>
            <w:r>
              <w:t xml:space="preserve"> who exited in FY 2026 (denominator); </w:t>
            </w:r>
            <w:r w:rsidRPr="26001F7C">
              <w:rPr>
                <w:rFonts w:eastAsia="Times New Roman"/>
              </w:rPr>
              <w:t>Eligible individuals included in the denominator and who are employed two-quarters and/or four-quarters after their exit (numerator)</w:t>
            </w:r>
          </w:p>
        </w:tc>
        <w:tc>
          <w:tcPr>
            <w:tcW w:w="2405" w:type="dxa"/>
          </w:tcPr>
          <w:p w:rsidR="00912FD2" w14:paraId="4EEE5DE4" w14:textId="7223902A">
            <w:r>
              <w:t>November 14</w:t>
            </w:r>
            <w:r>
              <w:t>, 2028</w:t>
            </w:r>
          </w:p>
        </w:tc>
      </w:tr>
      <w:tr w14:paraId="08677C22" w14:textId="77777777" w:rsidTr="26001F7C">
        <w:tblPrEx>
          <w:tblW w:w="9350" w:type="dxa"/>
          <w:tblLook w:val="04A0"/>
        </w:tblPrEx>
        <w:trPr>
          <w:trHeight w:val="300"/>
        </w:trPr>
        <w:tc>
          <w:tcPr>
            <w:tcW w:w="2490" w:type="dxa"/>
          </w:tcPr>
          <w:p w:rsidR="00912FD2" w:rsidRPr="002872C9" w14:paraId="4C2FEFF7" w14:textId="77777777">
            <w:pPr>
              <w:rPr>
                <w:b w:val="0"/>
              </w:rPr>
            </w:pPr>
            <w:r w:rsidRPr="002872C9">
              <w:rPr>
                <w:b w:val="0"/>
              </w:rPr>
              <w:t>FY 2027, October 1, 2026 – September 30, 2027</w:t>
            </w:r>
          </w:p>
        </w:tc>
        <w:tc>
          <w:tcPr>
            <w:tcW w:w="4455" w:type="dxa"/>
          </w:tcPr>
          <w:p w:rsidR="00912FD2" w14:paraId="6AC74FD4" w14:textId="4E37FEC8">
            <w:r>
              <w:t xml:space="preserve">All </w:t>
            </w:r>
            <w:r w:rsidR="5D080305">
              <w:t>WEI</w:t>
            </w:r>
            <w:r w:rsidR="4DCBA1C9">
              <w:t>s</w:t>
            </w:r>
            <w:r>
              <w:t xml:space="preserve"> who exited in FY 2027 (denominator); </w:t>
            </w:r>
            <w:r w:rsidRPr="26001F7C">
              <w:rPr>
                <w:rFonts w:eastAsia="Times New Roman"/>
              </w:rPr>
              <w:t>Eligible individuals included in the denominator and who are employed two-quarters and/or four-quarters after their exit (numerator)</w:t>
            </w:r>
          </w:p>
        </w:tc>
        <w:tc>
          <w:tcPr>
            <w:tcW w:w="2405" w:type="dxa"/>
          </w:tcPr>
          <w:p w:rsidR="00912FD2" w14:paraId="7B4E5D8A" w14:textId="3B3AE669">
            <w:r>
              <w:t>November 14</w:t>
            </w:r>
            <w:r>
              <w:t>, 2029</w:t>
            </w:r>
          </w:p>
        </w:tc>
      </w:tr>
    </w:tbl>
    <w:p w:rsidR="00CB05BA" w:rsidP="3A9A996F" w14:paraId="3BC648F6" w14:textId="3CACB717">
      <w:pPr>
        <w:suppressAutoHyphens/>
      </w:pPr>
    </w:p>
    <w:p w:rsidR="00F16EDE" w:rsidP="00250BC0" w14:paraId="696EFC5B" w14:textId="55362203">
      <w:pPr>
        <w:pStyle w:val="ListParagraph"/>
        <w:numPr>
          <w:ilvl w:val="0"/>
          <w:numId w:val="13"/>
        </w:numPr>
      </w:pPr>
      <w:r w:rsidRPr="00F16EDE">
        <w:rPr>
          <w:u w:val="single"/>
        </w:rPr>
        <w:t>Employment Rate – 2nd Quarter After Exit</w:t>
      </w:r>
      <w:r w:rsidRPr="00F16EDE">
        <w:t>:</w:t>
      </w:r>
      <w:r w:rsidRPr="00250BC0">
        <w:rPr>
          <w:b/>
          <w:bCs/>
        </w:rPr>
        <w:t xml:space="preserve"> </w:t>
      </w:r>
      <w:r w:rsidRPr="26001F7C" w:rsidR="26CD5F25">
        <w:rPr>
          <w:rFonts w:ascii="Calibri" w:eastAsia="Calibri" w:hAnsi="Calibri" w:cs="Calibri"/>
          <w:color w:val="000000" w:themeColor="text1"/>
        </w:rPr>
        <w:t xml:space="preserve"> The percentage of individuals who were work-eligible individuals as of the time of exit from the program, who are in unsubsidized employment during the second quarter after the exit.  </w:t>
      </w:r>
      <w:r w:rsidRPr="26001F7C" w:rsidR="26CD5F25">
        <w:t xml:space="preserve"> </w:t>
      </w:r>
    </w:p>
    <w:p w:rsidR="00F16EDE" w:rsidP="00F16EDE" w14:paraId="21E708E1" w14:textId="77777777">
      <w:pPr>
        <w:pStyle w:val="ListParagraph"/>
        <w:rPr>
          <w:b/>
          <w:bCs/>
        </w:rPr>
      </w:pPr>
    </w:p>
    <w:p w:rsidR="004707B1" w:rsidP="00F16EDE" w14:paraId="28E606C0" w14:textId="61D42046">
      <w:pPr>
        <w:pStyle w:val="ListParagraph"/>
      </w:pPr>
      <w:r>
        <w:t>For each quarter, enter</w:t>
      </w:r>
      <w:r w:rsidR="3EA8F800">
        <w:t>:</w:t>
      </w:r>
    </w:p>
    <w:p w:rsidR="375D99D7" w:rsidP="3FE1F009" w14:paraId="11E4992B" w14:textId="5C3909ED">
      <w:pPr>
        <w:pStyle w:val="ListParagraph"/>
        <w:numPr>
          <w:ilvl w:val="1"/>
          <w:numId w:val="13"/>
        </w:numPr>
      </w:pPr>
      <w:r w:rsidRPr="3FE1F009">
        <w:rPr>
          <w:rFonts w:ascii="Calibri" w:eastAsia="Calibri" w:hAnsi="Calibri" w:cs="Calibri"/>
          <w:color w:val="000000" w:themeColor="text1"/>
          <w:u w:val="single"/>
        </w:rPr>
        <w:t>Numerator</w:t>
      </w:r>
      <w:r w:rsidRPr="3FE1F009">
        <w:rPr>
          <w:rFonts w:ascii="Calibri" w:eastAsia="Calibri" w:hAnsi="Calibri" w:cs="Calibri"/>
          <w:color w:val="000000" w:themeColor="text1"/>
        </w:rPr>
        <w:t xml:space="preserve">: </w:t>
      </w:r>
      <w:r w:rsidR="004A78DB">
        <w:t>the n</w:t>
      </w:r>
      <w:r w:rsidRPr="5F14017E" w:rsidR="004A78DB">
        <w:t xml:space="preserve">umber of </w:t>
      </w:r>
      <w:r w:rsidR="004A78DB">
        <w:t>work-eligible individuals</w:t>
      </w:r>
      <w:r w:rsidRPr="5F14017E" w:rsidR="004A78DB">
        <w:t xml:space="preserve"> </w:t>
      </w:r>
      <w:r w:rsidR="4ED259CC">
        <w:t xml:space="preserve">who exited from the program during the reporting period </w:t>
      </w:r>
      <w:r w:rsidRPr="5F14017E" w:rsidR="004A78DB">
        <w:t xml:space="preserve"> who </w:t>
      </w:r>
      <w:r w:rsidR="004A78DB">
        <w:t>had reported earnings</w:t>
      </w:r>
      <w:r w:rsidRPr="5F14017E" w:rsidR="004A78DB">
        <w:t xml:space="preserve"> during the second quarter after </w:t>
      </w:r>
      <w:r w:rsidR="004A78DB">
        <w:t>their</w:t>
      </w:r>
      <w:r w:rsidRPr="5F14017E" w:rsidR="004A78DB">
        <w:t xml:space="preserve"> exit.</w:t>
      </w:r>
    </w:p>
    <w:p w:rsidR="3EA8F800" w:rsidP="3FE1F009" w14:paraId="260135D1" w14:textId="133EBE83">
      <w:pPr>
        <w:pStyle w:val="ListParagraph"/>
        <w:numPr>
          <w:ilvl w:val="1"/>
          <w:numId w:val="13"/>
        </w:numPr>
      </w:pPr>
      <w:r w:rsidRPr="3FE1F009">
        <w:rPr>
          <w:rFonts w:ascii="Calibri" w:eastAsia="Calibri" w:hAnsi="Calibri" w:cs="Calibri"/>
          <w:color w:val="000000" w:themeColor="text1"/>
          <w:u w:val="single"/>
        </w:rPr>
        <w:t>Denominator</w:t>
      </w:r>
      <w:r w:rsidRPr="3FE1F009">
        <w:rPr>
          <w:rFonts w:ascii="Calibri" w:eastAsia="Calibri" w:hAnsi="Calibri" w:cs="Calibri"/>
          <w:color w:val="000000" w:themeColor="text1"/>
        </w:rPr>
        <w:t xml:space="preserve">: </w:t>
      </w:r>
      <w:r w:rsidR="00AF224A">
        <w:rPr>
          <w:rFonts w:ascii="Calibri" w:eastAsia="Calibri" w:hAnsi="Calibri" w:cs="Calibri"/>
          <w:color w:val="000000" w:themeColor="text1"/>
        </w:rPr>
        <w:t>the n</w:t>
      </w:r>
      <w:r w:rsidRPr="5F14017E" w:rsidR="00AF224A">
        <w:t xml:space="preserve">umber of work-eligible individuals who exited from the program during the </w:t>
      </w:r>
      <w:r w:rsidR="00AF224A">
        <w:t>r</w:t>
      </w:r>
      <w:r w:rsidRPr="5F14017E" w:rsidR="00AF224A">
        <w:t xml:space="preserve">eporting </w:t>
      </w:r>
      <w:r w:rsidR="00AF224A">
        <w:t>p</w:t>
      </w:r>
      <w:r w:rsidRPr="5F14017E" w:rsidR="00AF224A">
        <w:t>eriod.</w:t>
      </w:r>
    </w:p>
    <w:p w:rsidR="00793DAD" w:rsidP="00793DAD" w14:paraId="78BE1E7B" w14:textId="6F3534E7">
      <w:pPr>
        <w:pStyle w:val="ListParagraph"/>
        <w:numPr>
          <w:ilvl w:val="1"/>
          <w:numId w:val="13"/>
        </w:numPr>
        <w:rPr>
          <w:rFonts w:ascii="Calibri" w:eastAsia="Calibri" w:hAnsi="Calibri" w:cs="Calibri"/>
          <w:color w:val="000000" w:themeColor="text1"/>
        </w:rPr>
      </w:pPr>
      <w:r w:rsidRPr="3FE1F009">
        <w:rPr>
          <w:rFonts w:ascii="Calibri" w:eastAsia="Calibri" w:hAnsi="Calibri" w:cs="Calibri"/>
          <w:color w:val="000000" w:themeColor="text1"/>
          <w:u w:val="single"/>
        </w:rPr>
        <w:t>Rate</w:t>
      </w:r>
      <w:r w:rsidRPr="3FE1F009">
        <w:rPr>
          <w:rFonts w:ascii="Calibri" w:eastAsia="Calibri" w:hAnsi="Calibri" w:cs="Calibri"/>
          <w:color w:val="000000" w:themeColor="text1"/>
        </w:rPr>
        <w:t xml:space="preserve">: </w:t>
      </w:r>
      <w:r w:rsidRPr="26001F7C" w:rsidR="46BFD82D">
        <w:rPr>
          <w:rFonts w:ascii="Calibri" w:eastAsia="Calibri" w:hAnsi="Calibri" w:cs="Calibri"/>
          <w:color w:val="000000" w:themeColor="text1"/>
        </w:rPr>
        <w:t>the numerator divided by the denominator.</w:t>
      </w:r>
      <w:r>
        <w:br/>
      </w:r>
    </w:p>
    <w:p w:rsidR="00793DAD" w:rsidRPr="00793DAD" w:rsidP="00793DAD" w14:paraId="158CA9BB" w14:textId="70213AD6">
      <w:pPr>
        <w:pStyle w:val="ListParagraph"/>
        <w:numPr>
          <w:ilvl w:val="0"/>
          <w:numId w:val="13"/>
        </w:numPr>
      </w:pPr>
      <w:r w:rsidRPr="00793DAD">
        <w:rPr>
          <w:u w:val="single"/>
        </w:rPr>
        <w:t>Employment Retention Rate – 4th Quarter After Exit</w:t>
      </w:r>
      <w:r>
        <w:t>:</w:t>
      </w:r>
      <w:r w:rsidR="00A57935">
        <w:t xml:space="preserve"> </w:t>
      </w:r>
      <w:r w:rsidRPr="26001F7C" w:rsidR="01E72CC6">
        <w:rPr>
          <w:rFonts w:ascii="Calibri" w:eastAsia="Calibri" w:hAnsi="Calibri" w:cs="Calibri"/>
          <w:color w:val="000000" w:themeColor="text1"/>
        </w:rPr>
        <w:t xml:space="preserve"> The percentage of individuals who were work-eligible individuals as of the time of exit from the program who were in unsubsidized employment in the second quarter after the exit, who are also in unsubsidized employment during the fourth quarter after the exit. </w:t>
      </w:r>
      <w:r w:rsidRPr="26001F7C" w:rsidR="01E72CC6">
        <w:t xml:space="preserve"> </w:t>
      </w:r>
    </w:p>
    <w:p w:rsidR="004707B1" w:rsidP="00793DAD" w14:paraId="234EE8E5" w14:textId="7DC4DD48">
      <w:pPr>
        <w:pStyle w:val="ListParagraph"/>
        <w:suppressAutoHyphens/>
      </w:pPr>
      <w:r>
        <w:br/>
      </w:r>
      <w:r w:rsidR="10AC1AD6">
        <w:t>For each quarter, enter:</w:t>
      </w:r>
    </w:p>
    <w:p w:rsidR="004707B1" w:rsidP="3FE1F009" w14:paraId="01DC7F11" w14:textId="203622E9">
      <w:pPr>
        <w:pStyle w:val="ListParagraph"/>
        <w:numPr>
          <w:ilvl w:val="1"/>
          <w:numId w:val="13"/>
        </w:numPr>
        <w:suppressAutoHyphens/>
      </w:pPr>
      <w:r w:rsidRPr="3FE1F009">
        <w:rPr>
          <w:rFonts w:ascii="Calibri" w:eastAsia="Calibri" w:hAnsi="Calibri" w:cs="Calibri"/>
          <w:color w:val="000000" w:themeColor="text1"/>
          <w:u w:val="single"/>
        </w:rPr>
        <w:t>Numerator</w:t>
      </w:r>
      <w:r w:rsidRPr="3FE1F009">
        <w:rPr>
          <w:rFonts w:ascii="Calibri" w:eastAsia="Calibri" w:hAnsi="Calibri" w:cs="Calibri"/>
          <w:color w:val="000000" w:themeColor="text1"/>
        </w:rPr>
        <w:t xml:space="preserve">: </w:t>
      </w:r>
      <w:r w:rsidR="00A63B6F">
        <w:rPr>
          <w:rFonts w:ascii="Calibri" w:eastAsia="Calibri" w:hAnsi="Calibri" w:cs="Calibri"/>
          <w:color w:val="000000" w:themeColor="text1"/>
        </w:rPr>
        <w:t>the n</w:t>
      </w:r>
      <w:r w:rsidRPr="5F14017E" w:rsidR="00A63B6F">
        <w:t xml:space="preserve">umber of </w:t>
      </w:r>
      <w:r w:rsidRPr="26001F7C" w:rsidR="00A63B6F">
        <w:rPr>
          <w:rFonts w:ascii="Calibri" w:eastAsia="Calibri" w:hAnsi="Calibri" w:cs="Calibri"/>
          <w:color w:val="000000" w:themeColor="text1"/>
        </w:rPr>
        <w:t xml:space="preserve">work-eligible individuals </w:t>
      </w:r>
      <w:r w:rsidRPr="26001F7C" w:rsidR="3C91595D">
        <w:rPr>
          <w:rFonts w:ascii="Calibri" w:eastAsia="Calibri" w:hAnsi="Calibri" w:cs="Calibri"/>
          <w:color w:val="000000" w:themeColor="text1"/>
        </w:rPr>
        <w:t xml:space="preserve">who exited from the program during </w:t>
      </w:r>
      <w:r w:rsidRPr="26001F7C" w:rsidR="00A63B6F">
        <w:rPr>
          <w:rFonts w:ascii="Calibri" w:eastAsia="Calibri" w:hAnsi="Calibri" w:cs="Calibri"/>
          <w:color w:val="000000" w:themeColor="text1"/>
        </w:rPr>
        <w:t xml:space="preserve">the reporting period who </w:t>
      </w:r>
      <w:r w:rsidRPr="26001F7C" w:rsidR="59BD71BE">
        <w:rPr>
          <w:rFonts w:ascii="Calibri" w:eastAsia="Calibri" w:hAnsi="Calibri" w:cs="Calibri"/>
        </w:rPr>
        <w:t>had reported earnings</w:t>
      </w:r>
      <w:r w:rsidRPr="26001F7C" w:rsidR="59BD71BE">
        <w:rPr>
          <w:rFonts w:ascii="Calibri" w:eastAsia="Calibri" w:hAnsi="Calibri" w:cs="Calibri"/>
          <w:color w:val="000000" w:themeColor="text1"/>
        </w:rPr>
        <w:t xml:space="preserve"> during the second and</w:t>
      </w:r>
      <w:r w:rsidRPr="26001F7C" w:rsidR="00A63B6F">
        <w:rPr>
          <w:rFonts w:ascii="Calibri" w:eastAsia="Calibri" w:hAnsi="Calibri" w:cs="Calibri"/>
          <w:color w:val="000000" w:themeColor="text1"/>
        </w:rPr>
        <w:t xml:space="preserve"> fourth </w:t>
      </w:r>
      <w:r w:rsidRPr="26001F7C" w:rsidR="59BD71BE">
        <w:rPr>
          <w:rFonts w:ascii="Calibri" w:eastAsia="Calibri" w:hAnsi="Calibri" w:cs="Calibri"/>
          <w:color w:val="000000" w:themeColor="text1"/>
        </w:rPr>
        <w:t>quarters</w:t>
      </w:r>
      <w:r w:rsidRPr="26001F7C" w:rsidR="00A63B6F">
        <w:rPr>
          <w:rFonts w:ascii="Calibri" w:eastAsia="Calibri" w:hAnsi="Calibri" w:cs="Calibri"/>
          <w:color w:val="000000" w:themeColor="text1"/>
        </w:rPr>
        <w:t xml:space="preserve"> after </w:t>
      </w:r>
      <w:r w:rsidRPr="26001F7C" w:rsidR="59BD71BE">
        <w:rPr>
          <w:rFonts w:ascii="Calibri" w:eastAsia="Calibri" w:hAnsi="Calibri" w:cs="Calibri"/>
          <w:color w:val="000000" w:themeColor="text1"/>
        </w:rPr>
        <w:t>the</w:t>
      </w:r>
      <w:r w:rsidRPr="26001F7C" w:rsidR="59EFAE1C">
        <w:rPr>
          <w:rFonts w:ascii="Calibri" w:eastAsia="Calibri" w:hAnsi="Calibri" w:cs="Calibri"/>
          <w:color w:val="000000" w:themeColor="text1"/>
        </w:rPr>
        <w:t>ir</w:t>
      </w:r>
      <w:r w:rsidRPr="26001F7C" w:rsidR="59BD71BE">
        <w:rPr>
          <w:rFonts w:ascii="Calibri" w:eastAsia="Calibri" w:hAnsi="Calibri" w:cs="Calibri"/>
          <w:color w:val="000000" w:themeColor="text1"/>
        </w:rPr>
        <w:t xml:space="preserve"> </w:t>
      </w:r>
      <w:r w:rsidRPr="26001F7C" w:rsidR="00A63B6F">
        <w:rPr>
          <w:rFonts w:ascii="Calibri" w:eastAsia="Calibri" w:hAnsi="Calibri" w:cs="Calibri"/>
          <w:color w:val="000000" w:themeColor="text1"/>
        </w:rPr>
        <w:t>exit.</w:t>
      </w:r>
    </w:p>
    <w:p w:rsidR="004707B1" w:rsidP="3FE1F009" w14:paraId="731A9677" w14:textId="57E5FE1D">
      <w:pPr>
        <w:pStyle w:val="ListParagraph"/>
        <w:numPr>
          <w:ilvl w:val="1"/>
          <w:numId w:val="13"/>
        </w:numPr>
        <w:suppressAutoHyphens/>
      </w:pPr>
      <w:r w:rsidRPr="000A7B1C">
        <w:rPr>
          <w:rFonts w:ascii="Calibri" w:eastAsia="Calibri" w:hAnsi="Calibri" w:cs="Calibri"/>
          <w:u w:val="single"/>
        </w:rPr>
        <w:t>Denominator</w:t>
      </w:r>
      <w:r w:rsidRPr="26001F7C">
        <w:rPr>
          <w:rFonts w:ascii="Calibri" w:eastAsia="Calibri" w:hAnsi="Calibri" w:cs="Calibri"/>
        </w:rPr>
        <w:t xml:space="preserve">: </w:t>
      </w:r>
      <w:r w:rsidRPr="26001F7C" w:rsidR="00137C13">
        <w:rPr>
          <w:rFonts w:ascii="Calibri" w:eastAsia="Calibri" w:hAnsi="Calibri" w:cs="Calibri"/>
        </w:rPr>
        <w:t>the n</w:t>
      </w:r>
      <w:r w:rsidRPr="5F14017E" w:rsidR="00137C13">
        <w:t xml:space="preserve">umber of </w:t>
      </w:r>
      <w:r w:rsidRPr="26001F7C" w:rsidR="00137C13">
        <w:rPr>
          <w:rFonts w:ascii="Calibri" w:eastAsia="Calibri" w:hAnsi="Calibri" w:cs="Calibri"/>
        </w:rPr>
        <w:t>work-eligible individuals who exited from the program during the reporting period</w:t>
      </w:r>
      <w:r w:rsidRPr="26001F7C" w:rsidR="6C97AED4">
        <w:rPr>
          <w:rFonts w:ascii="Calibri" w:eastAsia="Calibri" w:hAnsi="Calibri" w:cs="Calibri"/>
        </w:rPr>
        <w:t xml:space="preserve"> and reported earnings during the second quarter after exit</w:t>
      </w:r>
      <w:r w:rsidRPr="26001F7C" w:rsidR="00137C13">
        <w:rPr>
          <w:rFonts w:ascii="Calibri" w:eastAsia="Calibri" w:hAnsi="Calibri" w:cs="Calibri"/>
        </w:rPr>
        <w:t>.</w:t>
      </w:r>
    </w:p>
    <w:p w:rsidR="005C26A3" w:rsidP="005C26A3" w14:paraId="55CB7CF6" w14:textId="2D528497">
      <w:pPr>
        <w:pStyle w:val="ListParagraph"/>
        <w:numPr>
          <w:ilvl w:val="1"/>
          <w:numId w:val="13"/>
        </w:numPr>
        <w:rPr>
          <w:rFonts w:ascii="Calibri" w:eastAsia="Calibri" w:hAnsi="Calibri" w:cs="Calibri"/>
          <w:color w:val="000000" w:themeColor="text1"/>
        </w:rPr>
      </w:pPr>
      <w:r w:rsidRPr="3FE1F009">
        <w:rPr>
          <w:rFonts w:ascii="Calibri" w:eastAsia="Calibri" w:hAnsi="Calibri" w:cs="Calibri"/>
          <w:color w:val="000000" w:themeColor="text1"/>
          <w:u w:val="single"/>
        </w:rPr>
        <w:t>Total Rate</w:t>
      </w:r>
      <w:r w:rsidRPr="3FE1F009">
        <w:rPr>
          <w:rFonts w:ascii="Calibri" w:eastAsia="Calibri" w:hAnsi="Calibri" w:cs="Calibri"/>
          <w:color w:val="000000" w:themeColor="text1"/>
        </w:rPr>
        <w:t xml:space="preserve">: </w:t>
      </w:r>
      <w:r w:rsidRPr="26001F7C" w:rsidR="10616928">
        <w:rPr>
          <w:rFonts w:ascii="Calibri" w:eastAsia="Calibri" w:hAnsi="Calibri" w:cs="Calibri"/>
          <w:color w:val="000000" w:themeColor="text1"/>
        </w:rPr>
        <w:t>the numerator divided by the denominator</w:t>
      </w:r>
      <w:r w:rsidRPr="3FE1F009" w:rsidR="4672357F">
        <w:rPr>
          <w:rFonts w:ascii="Calibri" w:eastAsia="Calibri" w:hAnsi="Calibri" w:cs="Calibri"/>
          <w:color w:val="000000" w:themeColor="text1"/>
        </w:rPr>
        <w:t>.</w:t>
      </w:r>
      <w:r>
        <w:br/>
      </w:r>
    </w:p>
    <w:p w:rsidR="00E842F6" w:rsidRPr="005C26A3" w:rsidP="005C26A3" w14:paraId="424187CB" w14:textId="34E95C6E">
      <w:pPr>
        <w:pStyle w:val="ListParagraph"/>
        <w:numPr>
          <w:ilvl w:val="0"/>
          <w:numId w:val="13"/>
        </w:numPr>
        <w:rPr>
          <w:rFonts w:ascii="Calibri" w:eastAsia="Calibri" w:hAnsi="Calibri" w:cs="Calibri"/>
          <w:color w:val="000000" w:themeColor="text1"/>
        </w:rPr>
      </w:pPr>
      <w:r w:rsidRPr="005C26A3">
        <w:rPr>
          <w:u w:val="single"/>
        </w:rPr>
        <w:t>Median Earnings – 2nd Quarter After Exit</w:t>
      </w:r>
      <w:r>
        <w:t xml:space="preserve">: </w:t>
      </w:r>
      <w:r w:rsidRPr="26001F7C" w:rsidR="7B7A5745">
        <w:rPr>
          <w:rFonts w:ascii="Calibri" w:eastAsia="Calibri" w:hAnsi="Calibri" w:cs="Calibri"/>
          <w:color w:val="000000" w:themeColor="text1"/>
        </w:rPr>
        <w:t xml:space="preserve"> The median earnings of individuals who were work-eligible individuals as of the time of exit from the program, who are in unsubsidized employment during the second quarter after the exit.</w:t>
      </w:r>
      <w:r w:rsidRPr="26001F7C" w:rsidR="7B7A5745">
        <w:rPr>
          <w:rFonts w:ascii="Calibri" w:eastAsia="Calibri" w:hAnsi="Calibri" w:cs="Calibri"/>
          <w:b/>
          <w:bCs/>
          <w:color w:val="000000" w:themeColor="text1"/>
        </w:rPr>
        <w:t xml:space="preserve"> </w:t>
      </w:r>
      <w:r w:rsidRPr="26001F7C" w:rsidR="7B7A5745">
        <w:t xml:space="preserve"> </w:t>
      </w:r>
      <w:r>
        <w:br/>
      </w:r>
      <w:r>
        <w:br/>
      </w:r>
      <w:r>
        <w:t>To calculate the median, earnings must first be ranked (sorted in ascending order). The median earnings value is the quarterly earnings amount in the middle of the rank order list, so that there is the same quantity of records above the median as there are below the median.</w:t>
      </w:r>
    </w:p>
    <w:p w:rsidR="004707B1" w:rsidP="00E842F6" w14:paraId="11A1E3C3" w14:textId="7CAE87B7">
      <w:pPr>
        <w:ind w:left="720"/>
      </w:pPr>
      <w:r>
        <w:t xml:space="preserve">If the list rank order of earnings contains an even number of values, sum the two middle </w:t>
      </w:r>
      <w:r>
        <w:t>values</w:t>
      </w:r>
      <w:r>
        <w:t xml:space="preserve"> and divide by two. Whether there is an odd or even number of entries in the list of earnings values, there will be an equal number of records above and below the median value.</w:t>
      </w:r>
    </w:p>
    <w:p w:rsidR="1ED5359D" w:rsidP="56683F73" w14:paraId="1FB9E800" w14:textId="2D787FC8">
      <w:pPr>
        <w:pStyle w:val="ListParagraph"/>
        <w:numPr>
          <w:ilvl w:val="0"/>
          <w:numId w:val="13"/>
        </w:numPr>
      </w:pPr>
      <w:r w:rsidRPr="3A9A996F">
        <w:rPr>
          <w:u w:val="single"/>
        </w:rPr>
        <w:t>Data Sources</w:t>
      </w:r>
      <w:r>
        <w:t>: Attach a description of the data sources us</w:t>
      </w:r>
      <w:r w:rsidR="0449A9E2">
        <w:t xml:space="preserve">ed to calculate the </w:t>
      </w:r>
      <w:r w:rsidR="1366237E">
        <w:t>numbers above</w:t>
      </w:r>
      <w:r w:rsidR="0449A9E2">
        <w:t xml:space="preserve">.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B5C6D94" w14:textId="77777777" w:rsidTr="3FE1F009">
      <w:tblPrEx>
        <w:tblW w:w="0" w:type="auto"/>
        <w:tblLayout w:type="fixed"/>
        <w:tblLook w:val="06A0"/>
      </w:tblPrEx>
      <w:trPr>
        <w:trHeight w:val="300"/>
      </w:trPr>
      <w:tc>
        <w:tcPr>
          <w:tcW w:w="3120" w:type="dxa"/>
        </w:tcPr>
        <w:p w:rsidR="3FE1F009" w:rsidP="3FE1F009" w14:paraId="39CF3603" w14:textId="07FA6DCB">
          <w:pPr>
            <w:pStyle w:val="Header"/>
            <w:ind w:left="-115"/>
          </w:pPr>
        </w:p>
      </w:tc>
      <w:tc>
        <w:tcPr>
          <w:tcW w:w="3120" w:type="dxa"/>
        </w:tcPr>
        <w:p w:rsidR="3FE1F009" w:rsidP="3FE1F009" w14:paraId="65866F7A" w14:textId="7CE7DE8C">
          <w:pPr>
            <w:pStyle w:val="Header"/>
            <w:jc w:val="center"/>
          </w:pPr>
        </w:p>
      </w:tc>
      <w:tc>
        <w:tcPr>
          <w:tcW w:w="3120" w:type="dxa"/>
        </w:tcPr>
        <w:p w:rsidR="3FE1F009" w:rsidP="3FE1F009" w14:paraId="64FBE58C" w14:textId="59F6A5C2">
          <w:pPr>
            <w:pStyle w:val="Header"/>
            <w:ind w:right="-115"/>
            <w:jc w:val="right"/>
          </w:pPr>
        </w:p>
      </w:tc>
    </w:tr>
  </w:tbl>
  <w:p w:rsidR="3FE1F009" w:rsidP="3FE1F009" w14:paraId="453B5DD1" w14:textId="42F290E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588B" w:rsidP="00EA16EC" w14:paraId="1EFCCAA8" w14:textId="01EC9015">
    <w:pPr>
      <w:pStyle w:val="Header"/>
      <w:jc w:val="center"/>
    </w:pPr>
    <w:r w:rsidRPr="26001F7C">
      <w:rPr>
        <w:rFonts w:ascii="Calibri" w:eastAsia="Calibri" w:hAnsi="Calibri" w:cs="Calibri"/>
        <w:color w:val="000000" w:themeColor="text1"/>
      </w:rPr>
      <w:t>OMB #XXXX-XXXX 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2C6F9"/>
    <w:multiLevelType w:val="hybridMultilevel"/>
    <w:tmpl w:val="8DEC2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CB00D1"/>
    <w:multiLevelType w:val="multilevel"/>
    <w:tmpl w:val="1D1AC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E319C"/>
    <w:multiLevelType w:val="hybridMultilevel"/>
    <w:tmpl w:val="2C46D54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2838E8"/>
    <w:multiLevelType w:val="multilevel"/>
    <w:tmpl w:val="AA866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4054A"/>
    <w:multiLevelType w:val="hybridMultilevel"/>
    <w:tmpl w:val="D458D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114BBF"/>
    <w:multiLevelType w:val="hybridMultilevel"/>
    <w:tmpl w:val="12E66D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7BB61BC"/>
    <w:multiLevelType w:val="hybridMultilevel"/>
    <w:tmpl w:val="72F474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9A9A8D"/>
    <w:multiLevelType w:val="hybridMultilevel"/>
    <w:tmpl w:val="62141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DAD361"/>
    <w:multiLevelType w:val="hybridMultilevel"/>
    <w:tmpl w:val="A704D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04456D0"/>
    <w:multiLevelType w:val="hybridMultilevel"/>
    <w:tmpl w:val="7834DD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5B7A3B"/>
    <w:multiLevelType w:val="hybridMultilevel"/>
    <w:tmpl w:val="E5D4B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784041"/>
    <w:multiLevelType w:val="hybridMultilevel"/>
    <w:tmpl w:val="D98092E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1EDD63"/>
    <w:multiLevelType w:val="hybridMultilevel"/>
    <w:tmpl w:val="13FABD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37D1A17"/>
    <w:multiLevelType w:val="hybridMultilevel"/>
    <w:tmpl w:val="9CD04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958B755"/>
    <w:multiLevelType w:val="hybridMultilevel"/>
    <w:tmpl w:val="C720B91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8B7F9B"/>
    <w:multiLevelType w:val="hybridMultilevel"/>
    <w:tmpl w:val="3B5C8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FAC20B9"/>
    <w:multiLevelType w:val="hybridMultilevel"/>
    <w:tmpl w:val="90023E1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4089FAA"/>
    <w:multiLevelType w:val="hybridMultilevel"/>
    <w:tmpl w:val="DAA213F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5E6215A"/>
    <w:multiLevelType w:val="hybridMultilevel"/>
    <w:tmpl w:val="6C9637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968C531"/>
    <w:multiLevelType w:val="hybridMultilevel"/>
    <w:tmpl w:val="82427C7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1FF4BDD"/>
    <w:multiLevelType w:val="multilevel"/>
    <w:tmpl w:val="5CF8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1422F"/>
    <w:multiLevelType w:val="hybridMultilevel"/>
    <w:tmpl w:val="6F105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67269A"/>
    <w:multiLevelType w:val="hybridMultilevel"/>
    <w:tmpl w:val="287C82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1BF4C3"/>
    <w:multiLevelType w:val="hybridMultilevel"/>
    <w:tmpl w:val="4FE6A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36473196">
    <w:abstractNumId w:val="4"/>
  </w:num>
  <w:num w:numId="2" w16cid:durableId="788935917">
    <w:abstractNumId w:val="23"/>
  </w:num>
  <w:num w:numId="3" w16cid:durableId="285045249">
    <w:abstractNumId w:val="0"/>
  </w:num>
  <w:num w:numId="4" w16cid:durableId="1035235140">
    <w:abstractNumId w:val="19"/>
  </w:num>
  <w:num w:numId="5" w16cid:durableId="1318260946">
    <w:abstractNumId w:val="14"/>
  </w:num>
  <w:num w:numId="6" w16cid:durableId="292249236">
    <w:abstractNumId w:val="7"/>
  </w:num>
  <w:num w:numId="7" w16cid:durableId="1357462171">
    <w:abstractNumId w:val="5"/>
  </w:num>
  <w:num w:numId="8" w16cid:durableId="777724134">
    <w:abstractNumId w:val="12"/>
  </w:num>
  <w:num w:numId="9" w16cid:durableId="1403288884">
    <w:abstractNumId w:val="13"/>
  </w:num>
  <w:num w:numId="10" w16cid:durableId="1648120211">
    <w:abstractNumId w:val="15"/>
  </w:num>
  <w:num w:numId="11" w16cid:durableId="436632909">
    <w:abstractNumId w:val="8"/>
  </w:num>
  <w:num w:numId="12" w16cid:durableId="2019654671">
    <w:abstractNumId w:val="16"/>
  </w:num>
  <w:num w:numId="13" w16cid:durableId="706182443">
    <w:abstractNumId w:val="10"/>
  </w:num>
  <w:num w:numId="14" w16cid:durableId="363941156">
    <w:abstractNumId w:val="6"/>
  </w:num>
  <w:num w:numId="15" w16cid:durableId="1159266567">
    <w:abstractNumId w:val="20"/>
  </w:num>
  <w:num w:numId="16" w16cid:durableId="116726285">
    <w:abstractNumId w:val="1"/>
  </w:num>
  <w:num w:numId="17" w16cid:durableId="456996459">
    <w:abstractNumId w:val="3"/>
  </w:num>
  <w:num w:numId="18" w16cid:durableId="1914970353">
    <w:abstractNumId w:val="22"/>
  </w:num>
  <w:num w:numId="19" w16cid:durableId="1061438305">
    <w:abstractNumId w:val="21"/>
  </w:num>
  <w:num w:numId="20" w16cid:durableId="113250583">
    <w:abstractNumId w:val="18"/>
  </w:num>
  <w:num w:numId="21" w16cid:durableId="1194227580">
    <w:abstractNumId w:val="9"/>
  </w:num>
  <w:num w:numId="22" w16cid:durableId="705520315">
    <w:abstractNumId w:val="2"/>
  </w:num>
  <w:num w:numId="23" w16cid:durableId="1921866328">
    <w:abstractNumId w:val="11"/>
  </w:num>
  <w:num w:numId="24" w16cid:durableId="665473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7D"/>
    <w:rsid w:val="00022ADF"/>
    <w:rsid w:val="00044359"/>
    <w:rsid w:val="000459EB"/>
    <w:rsid w:val="000707CD"/>
    <w:rsid w:val="000A7B1C"/>
    <w:rsid w:val="000BA4A7"/>
    <w:rsid w:val="000C6F96"/>
    <w:rsid w:val="000F64E6"/>
    <w:rsid w:val="0010486A"/>
    <w:rsid w:val="00112C78"/>
    <w:rsid w:val="00135D0B"/>
    <w:rsid w:val="00137C13"/>
    <w:rsid w:val="0017244A"/>
    <w:rsid w:val="00196D79"/>
    <w:rsid w:val="001E3DB6"/>
    <w:rsid w:val="00250BC0"/>
    <w:rsid w:val="002872C9"/>
    <w:rsid w:val="00290B77"/>
    <w:rsid w:val="002B53FC"/>
    <w:rsid w:val="00301BBF"/>
    <w:rsid w:val="00335B9B"/>
    <w:rsid w:val="003B458B"/>
    <w:rsid w:val="003C1303"/>
    <w:rsid w:val="003D7A7D"/>
    <w:rsid w:val="003F0BC3"/>
    <w:rsid w:val="004707B1"/>
    <w:rsid w:val="00474CEB"/>
    <w:rsid w:val="004A78DB"/>
    <w:rsid w:val="004D18D6"/>
    <w:rsid w:val="005330B1"/>
    <w:rsid w:val="00543B58"/>
    <w:rsid w:val="00553250"/>
    <w:rsid w:val="00567A3E"/>
    <w:rsid w:val="00582C29"/>
    <w:rsid w:val="005A7AA9"/>
    <w:rsid w:val="005C26A3"/>
    <w:rsid w:val="005D44E5"/>
    <w:rsid w:val="006443A5"/>
    <w:rsid w:val="00646D01"/>
    <w:rsid w:val="00667D8E"/>
    <w:rsid w:val="00753A6D"/>
    <w:rsid w:val="007761B0"/>
    <w:rsid w:val="00777943"/>
    <w:rsid w:val="00793DAD"/>
    <w:rsid w:val="00807FDE"/>
    <w:rsid w:val="00811CCF"/>
    <w:rsid w:val="00835681"/>
    <w:rsid w:val="008408CF"/>
    <w:rsid w:val="00842777"/>
    <w:rsid w:val="00843CDF"/>
    <w:rsid w:val="00871B16"/>
    <w:rsid w:val="00881A88"/>
    <w:rsid w:val="008B58AD"/>
    <w:rsid w:val="008C5041"/>
    <w:rsid w:val="00904626"/>
    <w:rsid w:val="009122BB"/>
    <w:rsid w:val="00912FD2"/>
    <w:rsid w:val="00924350"/>
    <w:rsid w:val="00925B9A"/>
    <w:rsid w:val="009301CB"/>
    <w:rsid w:val="00954B86"/>
    <w:rsid w:val="009A507E"/>
    <w:rsid w:val="009A6DDB"/>
    <w:rsid w:val="009C7A99"/>
    <w:rsid w:val="009E040A"/>
    <w:rsid w:val="009E7052"/>
    <w:rsid w:val="009F31B0"/>
    <w:rsid w:val="00A028AD"/>
    <w:rsid w:val="00A276E9"/>
    <w:rsid w:val="00A4050D"/>
    <w:rsid w:val="00A57935"/>
    <w:rsid w:val="00A63B6F"/>
    <w:rsid w:val="00A63FBB"/>
    <w:rsid w:val="00A94C1B"/>
    <w:rsid w:val="00AA165D"/>
    <w:rsid w:val="00AA6013"/>
    <w:rsid w:val="00AB03B2"/>
    <w:rsid w:val="00AB051F"/>
    <w:rsid w:val="00AE3ED0"/>
    <w:rsid w:val="00AE5ED1"/>
    <w:rsid w:val="00AF224A"/>
    <w:rsid w:val="00B158C2"/>
    <w:rsid w:val="00B9626B"/>
    <w:rsid w:val="00C214E0"/>
    <w:rsid w:val="00C25450"/>
    <w:rsid w:val="00C611B7"/>
    <w:rsid w:val="00C72CB1"/>
    <w:rsid w:val="00C93DDE"/>
    <w:rsid w:val="00CB05BA"/>
    <w:rsid w:val="00CE40A8"/>
    <w:rsid w:val="00D00E9D"/>
    <w:rsid w:val="00D30B9A"/>
    <w:rsid w:val="00D509BD"/>
    <w:rsid w:val="00D9781E"/>
    <w:rsid w:val="00DA2F2B"/>
    <w:rsid w:val="00DA588B"/>
    <w:rsid w:val="00DB4A1B"/>
    <w:rsid w:val="00E16F02"/>
    <w:rsid w:val="00E343B6"/>
    <w:rsid w:val="00E532C5"/>
    <w:rsid w:val="00E70225"/>
    <w:rsid w:val="00E842F6"/>
    <w:rsid w:val="00EA16EC"/>
    <w:rsid w:val="00EB5526"/>
    <w:rsid w:val="00ED798E"/>
    <w:rsid w:val="00F16EDE"/>
    <w:rsid w:val="00F24793"/>
    <w:rsid w:val="00F37D95"/>
    <w:rsid w:val="00F62D25"/>
    <w:rsid w:val="00F67712"/>
    <w:rsid w:val="00F76652"/>
    <w:rsid w:val="01646644"/>
    <w:rsid w:val="01D52BC5"/>
    <w:rsid w:val="01E72CC6"/>
    <w:rsid w:val="02E59984"/>
    <w:rsid w:val="036BA872"/>
    <w:rsid w:val="0404F9E5"/>
    <w:rsid w:val="043A0D10"/>
    <w:rsid w:val="0449A9E2"/>
    <w:rsid w:val="04BBC5CA"/>
    <w:rsid w:val="04FFD7F2"/>
    <w:rsid w:val="0544AFB2"/>
    <w:rsid w:val="061202EA"/>
    <w:rsid w:val="07A0F7E4"/>
    <w:rsid w:val="08446D49"/>
    <w:rsid w:val="09BFB366"/>
    <w:rsid w:val="0A1820D5"/>
    <w:rsid w:val="0A4146C7"/>
    <w:rsid w:val="0AB04046"/>
    <w:rsid w:val="0B4B4C41"/>
    <w:rsid w:val="0B734EC2"/>
    <w:rsid w:val="0B817EC5"/>
    <w:rsid w:val="0CF2E10A"/>
    <w:rsid w:val="0D1F9BA0"/>
    <w:rsid w:val="0D3DC259"/>
    <w:rsid w:val="0D6C9E00"/>
    <w:rsid w:val="0D791D80"/>
    <w:rsid w:val="0EA8449C"/>
    <w:rsid w:val="0FD99274"/>
    <w:rsid w:val="10616928"/>
    <w:rsid w:val="10AC1AD6"/>
    <w:rsid w:val="10CBC162"/>
    <w:rsid w:val="11F2C388"/>
    <w:rsid w:val="11FF0C3D"/>
    <w:rsid w:val="120A0A5D"/>
    <w:rsid w:val="12501F4E"/>
    <w:rsid w:val="13031ED3"/>
    <w:rsid w:val="1366237E"/>
    <w:rsid w:val="13F2AC88"/>
    <w:rsid w:val="1449BDE1"/>
    <w:rsid w:val="146ED489"/>
    <w:rsid w:val="1490FC85"/>
    <w:rsid w:val="15481A39"/>
    <w:rsid w:val="158F6BA9"/>
    <w:rsid w:val="15C6DD57"/>
    <w:rsid w:val="15CC65E5"/>
    <w:rsid w:val="16BFE678"/>
    <w:rsid w:val="16DD7B80"/>
    <w:rsid w:val="1805648D"/>
    <w:rsid w:val="18794BE1"/>
    <w:rsid w:val="18C7F3B9"/>
    <w:rsid w:val="191D2F04"/>
    <w:rsid w:val="19245402"/>
    <w:rsid w:val="19B8E853"/>
    <w:rsid w:val="1A01C47A"/>
    <w:rsid w:val="1A262A01"/>
    <w:rsid w:val="1A371AB8"/>
    <w:rsid w:val="1ABD300F"/>
    <w:rsid w:val="1B9A1F5B"/>
    <w:rsid w:val="1B9D94DB"/>
    <w:rsid w:val="1C9A3447"/>
    <w:rsid w:val="1D39653C"/>
    <w:rsid w:val="1DDB4546"/>
    <w:rsid w:val="1DEF7ECE"/>
    <w:rsid w:val="1E05577D"/>
    <w:rsid w:val="1ED1C01D"/>
    <w:rsid w:val="1ED5359D"/>
    <w:rsid w:val="1F33A7AC"/>
    <w:rsid w:val="1F3A5E1A"/>
    <w:rsid w:val="1FB526A4"/>
    <w:rsid w:val="1FDC4C92"/>
    <w:rsid w:val="208C4A51"/>
    <w:rsid w:val="20B1A036"/>
    <w:rsid w:val="21F00ED2"/>
    <w:rsid w:val="22ECE192"/>
    <w:rsid w:val="237BEA99"/>
    <w:rsid w:val="23C6CBBF"/>
    <w:rsid w:val="24196C84"/>
    <w:rsid w:val="24574B8C"/>
    <w:rsid w:val="24938873"/>
    <w:rsid w:val="24B2874C"/>
    <w:rsid w:val="24ECDBBA"/>
    <w:rsid w:val="25962F3A"/>
    <w:rsid w:val="25A9BA41"/>
    <w:rsid w:val="26001F7C"/>
    <w:rsid w:val="261770C1"/>
    <w:rsid w:val="26421D1E"/>
    <w:rsid w:val="266DC108"/>
    <w:rsid w:val="26CD5F25"/>
    <w:rsid w:val="27C26A3F"/>
    <w:rsid w:val="2836C3D7"/>
    <w:rsid w:val="287944B5"/>
    <w:rsid w:val="292217F7"/>
    <w:rsid w:val="29A561CA"/>
    <w:rsid w:val="2A1AE77C"/>
    <w:rsid w:val="2AAB1BAB"/>
    <w:rsid w:val="2B2C3C61"/>
    <w:rsid w:val="2B2D2658"/>
    <w:rsid w:val="2C74737B"/>
    <w:rsid w:val="2E952C8A"/>
    <w:rsid w:val="2F3B608D"/>
    <w:rsid w:val="3233BF70"/>
    <w:rsid w:val="3279B563"/>
    <w:rsid w:val="3310EC87"/>
    <w:rsid w:val="33C8AF35"/>
    <w:rsid w:val="33EAD2A7"/>
    <w:rsid w:val="34CF1FC8"/>
    <w:rsid w:val="353399E8"/>
    <w:rsid w:val="35678719"/>
    <w:rsid w:val="35A708D5"/>
    <w:rsid w:val="35D9680F"/>
    <w:rsid w:val="3609B5D5"/>
    <w:rsid w:val="36A10844"/>
    <w:rsid w:val="36C70E7B"/>
    <w:rsid w:val="37209163"/>
    <w:rsid w:val="3754B8E8"/>
    <w:rsid w:val="375D99D7"/>
    <w:rsid w:val="37D03310"/>
    <w:rsid w:val="388100D6"/>
    <w:rsid w:val="39503866"/>
    <w:rsid w:val="39567084"/>
    <w:rsid w:val="397E6F2A"/>
    <w:rsid w:val="398E5164"/>
    <w:rsid w:val="39CBADF4"/>
    <w:rsid w:val="3A22EB37"/>
    <w:rsid w:val="3A541E93"/>
    <w:rsid w:val="3A9A996F"/>
    <w:rsid w:val="3B2A21C5"/>
    <w:rsid w:val="3C91595D"/>
    <w:rsid w:val="3CFF6D9F"/>
    <w:rsid w:val="3D70998E"/>
    <w:rsid w:val="3DD670FD"/>
    <w:rsid w:val="3E23A989"/>
    <w:rsid w:val="3EA8F800"/>
    <w:rsid w:val="3ED606A1"/>
    <w:rsid w:val="3EFD1627"/>
    <w:rsid w:val="3FE1F009"/>
    <w:rsid w:val="404CDD8B"/>
    <w:rsid w:val="408217DB"/>
    <w:rsid w:val="40A83A50"/>
    <w:rsid w:val="40ECD314"/>
    <w:rsid w:val="40FFCCDC"/>
    <w:rsid w:val="412BCC7A"/>
    <w:rsid w:val="418699B9"/>
    <w:rsid w:val="42A9DF16"/>
    <w:rsid w:val="43C1106C"/>
    <w:rsid w:val="43D2E0FA"/>
    <w:rsid w:val="4475FA75"/>
    <w:rsid w:val="44AAF31B"/>
    <w:rsid w:val="45089001"/>
    <w:rsid w:val="451AE939"/>
    <w:rsid w:val="456EB15B"/>
    <w:rsid w:val="45D7B88D"/>
    <w:rsid w:val="46442989"/>
    <w:rsid w:val="4672357F"/>
    <w:rsid w:val="468561CB"/>
    <w:rsid w:val="46BFD82D"/>
    <w:rsid w:val="47CFF162"/>
    <w:rsid w:val="48287ACB"/>
    <w:rsid w:val="48B6DB98"/>
    <w:rsid w:val="4948383F"/>
    <w:rsid w:val="49611296"/>
    <w:rsid w:val="49E959A2"/>
    <w:rsid w:val="4A544FF8"/>
    <w:rsid w:val="4B852A03"/>
    <w:rsid w:val="4B9B248F"/>
    <w:rsid w:val="4C0C0926"/>
    <w:rsid w:val="4CB9F8B9"/>
    <w:rsid w:val="4DCBA1C9"/>
    <w:rsid w:val="4ED259CC"/>
    <w:rsid w:val="4F44CED3"/>
    <w:rsid w:val="4F6930F1"/>
    <w:rsid w:val="501BB1AC"/>
    <w:rsid w:val="502FB7D5"/>
    <w:rsid w:val="51B13DCB"/>
    <w:rsid w:val="526B6E7E"/>
    <w:rsid w:val="5386AD69"/>
    <w:rsid w:val="53E24332"/>
    <w:rsid w:val="54010169"/>
    <w:rsid w:val="5413EC96"/>
    <w:rsid w:val="54264531"/>
    <w:rsid w:val="54496F04"/>
    <w:rsid w:val="54EBBF39"/>
    <w:rsid w:val="55024ED0"/>
    <w:rsid w:val="55C3C05E"/>
    <w:rsid w:val="55F6E421"/>
    <w:rsid w:val="560CA9D5"/>
    <w:rsid w:val="56291C1D"/>
    <w:rsid w:val="56683F73"/>
    <w:rsid w:val="56A0A9C5"/>
    <w:rsid w:val="56CB3A47"/>
    <w:rsid w:val="574B8D58"/>
    <w:rsid w:val="57A11A4B"/>
    <w:rsid w:val="57ACDD6F"/>
    <w:rsid w:val="57C73E41"/>
    <w:rsid w:val="57F4EA60"/>
    <w:rsid w:val="5837501A"/>
    <w:rsid w:val="583C7A26"/>
    <w:rsid w:val="586030FB"/>
    <w:rsid w:val="59B28455"/>
    <w:rsid w:val="59BD71BE"/>
    <w:rsid w:val="59EFAE1C"/>
    <w:rsid w:val="5AEEDC2D"/>
    <w:rsid w:val="5B14D3B0"/>
    <w:rsid w:val="5B3FDAF6"/>
    <w:rsid w:val="5BEFD5EA"/>
    <w:rsid w:val="5CDBAB57"/>
    <w:rsid w:val="5CECEC14"/>
    <w:rsid w:val="5D080305"/>
    <w:rsid w:val="5D2EBA95"/>
    <w:rsid w:val="5D4660C7"/>
    <w:rsid w:val="5DE7B365"/>
    <w:rsid w:val="5E3ECDA4"/>
    <w:rsid w:val="5E515943"/>
    <w:rsid w:val="5F14017E"/>
    <w:rsid w:val="5F7A6D25"/>
    <w:rsid w:val="5FB0780F"/>
    <w:rsid w:val="5FE026CE"/>
    <w:rsid w:val="6009016F"/>
    <w:rsid w:val="60665B57"/>
    <w:rsid w:val="607B2979"/>
    <w:rsid w:val="61A28A88"/>
    <w:rsid w:val="620B850F"/>
    <w:rsid w:val="62E44F47"/>
    <w:rsid w:val="63576C7D"/>
    <w:rsid w:val="63716353"/>
    <w:rsid w:val="638198A9"/>
    <w:rsid w:val="646670AE"/>
    <w:rsid w:val="65A1BABD"/>
    <w:rsid w:val="65B83993"/>
    <w:rsid w:val="6636F16D"/>
    <w:rsid w:val="6646BD32"/>
    <w:rsid w:val="66C12DE2"/>
    <w:rsid w:val="67681085"/>
    <w:rsid w:val="67C21E96"/>
    <w:rsid w:val="68072797"/>
    <w:rsid w:val="6870E111"/>
    <w:rsid w:val="688FB9FA"/>
    <w:rsid w:val="68B091AB"/>
    <w:rsid w:val="69745FC1"/>
    <w:rsid w:val="6A752BE0"/>
    <w:rsid w:val="6B298705"/>
    <w:rsid w:val="6B2EA7DC"/>
    <w:rsid w:val="6B5694A4"/>
    <w:rsid w:val="6BB3286C"/>
    <w:rsid w:val="6C720E38"/>
    <w:rsid w:val="6C97AED4"/>
    <w:rsid w:val="6D08D918"/>
    <w:rsid w:val="6D27C446"/>
    <w:rsid w:val="6D62095D"/>
    <w:rsid w:val="6D7CA0F1"/>
    <w:rsid w:val="6DEE9185"/>
    <w:rsid w:val="6E1ACDEA"/>
    <w:rsid w:val="6E6F9E2A"/>
    <w:rsid w:val="6EED61A3"/>
    <w:rsid w:val="6F59B56B"/>
    <w:rsid w:val="6FBE92AE"/>
    <w:rsid w:val="70893204"/>
    <w:rsid w:val="709BE950"/>
    <w:rsid w:val="719A9672"/>
    <w:rsid w:val="72053D03"/>
    <w:rsid w:val="72803DC5"/>
    <w:rsid w:val="7284B620"/>
    <w:rsid w:val="72D8A49C"/>
    <w:rsid w:val="738ACE00"/>
    <w:rsid w:val="73B0ED35"/>
    <w:rsid w:val="73BC0D69"/>
    <w:rsid w:val="74DEAC17"/>
    <w:rsid w:val="7584339B"/>
    <w:rsid w:val="75D69955"/>
    <w:rsid w:val="761B64B1"/>
    <w:rsid w:val="762A3A96"/>
    <w:rsid w:val="767A7C78"/>
    <w:rsid w:val="772003FC"/>
    <w:rsid w:val="77AAFE15"/>
    <w:rsid w:val="78164CD9"/>
    <w:rsid w:val="78981EE9"/>
    <w:rsid w:val="7985ABA4"/>
    <w:rsid w:val="79862830"/>
    <w:rsid w:val="79B21D3A"/>
    <w:rsid w:val="79EDAD3D"/>
    <w:rsid w:val="79F0FD92"/>
    <w:rsid w:val="79F21F33"/>
    <w:rsid w:val="79FA5BEE"/>
    <w:rsid w:val="7A40ADF9"/>
    <w:rsid w:val="7AC2C4CB"/>
    <w:rsid w:val="7ACB1F60"/>
    <w:rsid w:val="7AF42225"/>
    <w:rsid w:val="7B48FC6B"/>
    <w:rsid w:val="7B7A5745"/>
    <w:rsid w:val="7BCB443F"/>
    <w:rsid w:val="7BE5417F"/>
    <w:rsid w:val="7C2297E6"/>
    <w:rsid w:val="7CF321FB"/>
    <w:rsid w:val="7DC95085"/>
    <w:rsid w:val="7E3799FF"/>
  </w:rsids>
  <w:docVars>
    <w:docVar w:name="__Grammarly_42___1" w:val="H4sIAAAAAAAEAKtWcslP9kxRslIyNDY2N7EwszC2MDIzApLGBko6SsGpxcWZ+XkgBUa1AIfp4ww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48DA00"/>
  <w15:chartTrackingRefBased/>
  <w15:docId w15:val="{1AEEA5CE-6AC9-4D94-9815-FED020A5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5BA"/>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CB05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05BA"/>
    <w:pPr>
      <w:keepNext/>
      <w:keepLines/>
      <w:spacing w:before="40" w:after="0" w:line="240" w:lineRule="auto"/>
      <w:outlineLvl w:val="2"/>
    </w:pPr>
    <w:rPr>
      <w:rFonts w:ascii="Calibri Light" w:eastAsia="SimSun" w:hAnsi="Calibri Light" w:cs="Times New Roman"/>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A588B"/>
    <w:pPr>
      <w:tabs>
        <w:tab w:val="center" w:pos="4680"/>
        <w:tab w:val="right" w:pos="9360"/>
      </w:tabs>
      <w:spacing w:after="0" w:line="240" w:lineRule="auto"/>
    </w:pPr>
  </w:style>
  <w:style w:type="character" w:customStyle="1" w:styleId="HeaderChar">
    <w:name w:val="Header Char"/>
    <w:basedOn w:val="DefaultParagraphFont"/>
    <w:link w:val="Header"/>
    <w:rsid w:val="00DA588B"/>
  </w:style>
  <w:style w:type="paragraph" w:styleId="Footer">
    <w:name w:val="footer"/>
    <w:basedOn w:val="Normal"/>
    <w:link w:val="FooterChar"/>
    <w:uiPriority w:val="99"/>
    <w:unhideWhenUsed/>
    <w:rsid w:val="00DA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8B"/>
  </w:style>
  <w:style w:type="paragraph" w:styleId="Title">
    <w:name w:val="Title"/>
    <w:basedOn w:val="Normal"/>
    <w:next w:val="Normal"/>
    <w:link w:val="TitleChar"/>
    <w:uiPriority w:val="10"/>
    <w:qFormat/>
    <w:rsid w:val="00DA58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8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05BA"/>
    <w:rPr>
      <w:rFonts w:ascii="Calibri Light" w:eastAsia="SimSun" w:hAnsi="Calibri Light" w:cs="Times New Roman"/>
      <w:color w:val="1F4E79"/>
      <w:sz w:val="36"/>
      <w:szCs w:val="36"/>
    </w:rPr>
  </w:style>
  <w:style w:type="character" w:customStyle="1" w:styleId="Heading3Char">
    <w:name w:val="Heading 3 Char"/>
    <w:basedOn w:val="DefaultParagraphFont"/>
    <w:link w:val="Heading3"/>
    <w:rsid w:val="00CB05BA"/>
    <w:rPr>
      <w:rFonts w:ascii="Calibri Light" w:eastAsia="SimSun" w:hAnsi="Calibri Light" w:cs="Times New Roman"/>
      <w:color w:val="2E74B5"/>
      <w:sz w:val="28"/>
      <w:szCs w:val="28"/>
    </w:rPr>
  </w:style>
  <w:style w:type="character" w:styleId="Hyperlink">
    <w:name w:val="Hyperlink"/>
    <w:uiPriority w:val="99"/>
    <w:unhideWhenUsed/>
    <w:rsid w:val="00CB05BA"/>
    <w:rPr>
      <w:color w:val="0563C1"/>
      <w:u w:val="single"/>
    </w:rPr>
  </w:style>
  <w:style w:type="paragraph" w:customStyle="1" w:styleId="indent-1">
    <w:name w:val="indent-1"/>
    <w:basedOn w:val="Normal"/>
    <w:rsid w:val="00CB0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B05B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B05BA"/>
    <w:pPr>
      <w:ind w:left="720"/>
      <w:contextualSpacing/>
    </w:pPr>
  </w:style>
  <w:style w:type="paragraph" w:styleId="BodyText">
    <w:name w:val="Body Text"/>
    <w:basedOn w:val="Normal"/>
    <w:link w:val="BodyTextChar"/>
    <w:rsid w:val="00D509BD"/>
    <w:pPr>
      <w:tabs>
        <w:tab w:val="left" w:pos="0"/>
      </w:tabs>
      <w:suppressAutoHyphens/>
    </w:pPr>
    <w:rPr>
      <w:rFonts w:eastAsia="Times New Roman" w:cs="Times New Roman"/>
    </w:rPr>
  </w:style>
  <w:style w:type="character" w:customStyle="1" w:styleId="BodyTextChar">
    <w:name w:val="Body Text Char"/>
    <w:basedOn w:val="DefaultParagraphFont"/>
    <w:link w:val="BodyText"/>
    <w:rsid w:val="00D509BD"/>
    <w:rPr>
      <w:rFonts w:eastAsia="Times New Roman" w:cs="Times New Roman"/>
    </w:rPr>
  </w:style>
  <w:style w:type="character" w:styleId="CommentReference">
    <w:name w:val="annotation reference"/>
    <w:basedOn w:val="DefaultParagraphFont"/>
    <w:uiPriority w:val="99"/>
    <w:semiHidden/>
    <w:unhideWhenUsed/>
    <w:rsid w:val="007761B0"/>
    <w:rPr>
      <w:sz w:val="16"/>
      <w:szCs w:val="16"/>
    </w:rPr>
  </w:style>
  <w:style w:type="paragraph" w:styleId="CommentText">
    <w:name w:val="annotation text"/>
    <w:basedOn w:val="Normal"/>
    <w:link w:val="CommentTextChar"/>
    <w:uiPriority w:val="99"/>
    <w:unhideWhenUsed/>
    <w:rsid w:val="007761B0"/>
    <w:pPr>
      <w:spacing w:line="240" w:lineRule="auto"/>
    </w:pPr>
    <w:rPr>
      <w:sz w:val="20"/>
      <w:szCs w:val="20"/>
    </w:rPr>
  </w:style>
  <w:style w:type="character" w:customStyle="1" w:styleId="CommentTextChar">
    <w:name w:val="Comment Text Char"/>
    <w:basedOn w:val="DefaultParagraphFont"/>
    <w:link w:val="CommentText"/>
    <w:uiPriority w:val="99"/>
    <w:rsid w:val="007761B0"/>
    <w:rPr>
      <w:sz w:val="20"/>
      <w:szCs w:val="20"/>
    </w:rPr>
  </w:style>
  <w:style w:type="paragraph" w:styleId="CommentSubject">
    <w:name w:val="annotation subject"/>
    <w:basedOn w:val="CommentText"/>
    <w:next w:val="CommentText"/>
    <w:link w:val="CommentSubjectChar"/>
    <w:uiPriority w:val="99"/>
    <w:semiHidden/>
    <w:unhideWhenUsed/>
    <w:rsid w:val="007761B0"/>
    <w:rPr>
      <w:b/>
      <w:bCs/>
    </w:rPr>
  </w:style>
  <w:style w:type="character" w:customStyle="1" w:styleId="CommentSubjectChar">
    <w:name w:val="Comment Subject Char"/>
    <w:basedOn w:val="CommentTextChar"/>
    <w:link w:val="CommentSubject"/>
    <w:uiPriority w:val="99"/>
    <w:semiHidden/>
    <w:rsid w:val="007761B0"/>
    <w:rPr>
      <w:b/>
      <w:bCs/>
      <w:sz w:val="20"/>
      <w:szCs w:val="20"/>
    </w:rPr>
  </w:style>
  <w:style w:type="character" w:customStyle="1" w:styleId="normaltextrun">
    <w:name w:val="normaltextrun"/>
    <w:basedOn w:val="DefaultParagraphFont"/>
    <w:rsid w:val="00807FDE"/>
  </w:style>
  <w:style w:type="character" w:customStyle="1" w:styleId="eop">
    <w:name w:val="eop"/>
    <w:basedOn w:val="DefaultParagraphFont"/>
    <w:rsid w:val="000707CD"/>
  </w:style>
  <w:style w:type="paragraph" w:customStyle="1" w:styleId="paragraph">
    <w:name w:val="paragraph"/>
    <w:basedOn w:val="Normal"/>
    <w:rsid w:val="00070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3A9A996F"/>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912FD2"/>
    <w:rPr>
      <w:color w:val="2B579A"/>
      <w:shd w:val="clear" w:color="auto" w:fill="E1DFDD"/>
    </w:rPr>
  </w:style>
  <w:style w:type="table" w:styleId="GridTable4Accent1">
    <w:name w:val="Grid Table 4 Accent 1"/>
    <w:basedOn w:val="TableNormal"/>
    <w:uiPriority w:val="49"/>
    <w:rsid w:val="00912FD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D00E9D"/>
    <w:pPr>
      <w:spacing w:after="0" w:line="240" w:lineRule="auto"/>
    </w:pPr>
  </w:style>
  <w:style w:type="character" w:styleId="UnresolvedMention">
    <w:name w:val="Unresolved Mention"/>
    <w:basedOn w:val="DefaultParagraphFont"/>
    <w:uiPriority w:val="99"/>
    <w:semiHidden/>
    <w:unhideWhenUsed/>
    <w:rsid w:val="00C9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chrome-extension/efaidnbmnnnibpcajpcglclefindmkaj/https:/www.acf.hhs.gov/sites/default/files/documents/ofa/ACF199_209%20TANF_SSP%20data%20report%20instructions%20-%20valid%20thru%202026-10_compliant_FINAL.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ANFdata@acf.hhs.gov" TargetMode="External" /><Relationship Id="rId9" Type="http://schemas.openxmlformats.org/officeDocument/2006/relationships/hyperlink" Target="https://www.federalregister.gov/documents/2024/06/28/2024-13865/temporary-assistance-for-needy-families-work-outcomes-measur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7B1F9C5653F47B6990116978E28B4" ma:contentTypeVersion="6" ma:contentTypeDescription="Create a new document." ma:contentTypeScope="" ma:versionID="2d48dd5c1630770d9fa8575b4226de60">
  <xsd:schema xmlns:xsd="http://www.w3.org/2001/XMLSchema" xmlns:xs="http://www.w3.org/2001/XMLSchema" xmlns:p="http://schemas.microsoft.com/office/2006/metadata/properties" xmlns:ns2="dbb6e81e-6d27-4b06-96f4-00eb39bd1984" xmlns:ns3="1d2040a8-051f-4312-97c4-228835cbdc01" targetNamespace="http://schemas.microsoft.com/office/2006/metadata/properties" ma:root="true" ma:fieldsID="5fc054fd578c8b8082c1122fbbc0498f" ns2:_="" ns3:_="">
    <xsd:import namespace="dbb6e81e-6d27-4b06-96f4-00eb39bd1984"/>
    <xsd:import namespace="1d2040a8-051f-4312-97c4-228835cbd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e81e-6d27-4b06-96f4-00eb39bd1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40a8-051f-4312-97c4-228835cbdc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d2040a8-051f-4312-97c4-228835cbdc01">
      <UserInfo>
        <DisplayName>Moore, Kathleen (ACF)</DisplayName>
        <AccountId>59</AccountId>
        <AccountType/>
      </UserInfo>
      <UserInfo>
        <DisplayName>Guberman, Eric (ACF)</DisplayName>
        <AccountId>71</AccountId>
        <AccountType/>
      </UserInfo>
      <UserInfo>
        <DisplayName>Frohlich, Lauren (ACF)</DisplayName>
        <AccountId>12</AccountId>
        <AccountType/>
      </UserInfo>
      <UserInfo>
        <DisplayName>Arias, Caroline (ACF)</DisplayName>
        <AccountId>67</AccountId>
        <AccountType/>
      </UserInfo>
      <UserInfo>
        <DisplayName>Pennington, Alexandra (ACF)</DisplayName>
        <AccountId>68</AccountId>
        <AccountType/>
      </UserInfo>
      <UserInfo>
        <DisplayName>Ali, Fayssal (ACF) (CTR)</DisplayName>
        <AccountId>70</AccountId>
        <AccountType/>
      </UserInfo>
      <UserInfo>
        <DisplayName>Germanis, Peter (ACF)</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F3E0-9DD1-4314-ACFA-D2D01EB6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6e81e-6d27-4b06-96f4-00eb39bd1984"/>
    <ds:schemaRef ds:uri="1d2040a8-051f-4312-97c4-228835cbd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9E755-1D7F-407B-8231-5E7EE9FB6E4D}">
  <ds:schemaRefs>
    <ds:schemaRef ds:uri="http://schemas.microsoft.com/office/2006/metadata/properties"/>
    <ds:schemaRef ds:uri="http://schemas.microsoft.com/office/infopath/2007/PartnerControls"/>
    <ds:schemaRef ds:uri="1d2040a8-051f-4312-97c4-228835cbdc01"/>
  </ds:schemaRefs>
</ds:datastoreItem>
</file>

<file path=customXml/itemProps3.xml><?xml version="1.0" encoding="utf-8"?>
<ds:datastoreItem xmlns:ds="http://schemas.openxmlformats.org/officeDocument/2006/customXml" ds:itemID="{E350BEDB-D0AD-46C3-A705-F3F29453ECDB}">
  <ds:schemaRefs>
    <ds:schemaRef ds:uri="http://schemas.microsoft.com/sharepoint/v3/contenttype/forms"/>
  </ds:schemaRefs>
</ds:datastoreItem>
</file>

<file path=customXml/itemProps4.xml><?xml version="1.0" encoding="utf-8"?>
<ds:datastoreItem xmlns:ds="http://schemas.openxmlformats.org/officeDocument/2006/customXml" ds:itemID="{F2B81DB9-3B71-419C-ADBE-799CDC4F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Kim (ACF)</dc:creator>
  <cp:lastModifiedBy>Frohlich, Lauren (ACF)</cp:lastModifiedBy>
  <cp:revision>2</cp:revision>
  <dcterms:created xsi:type="dcterms:W3CDTF">2024-11-08T14:20:00Z</dcterms:created>
  <dcterms:modified xsi:type="dcterms:W3CDTF">2024-11-08T14:20:00Z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0x010100C237B1F9C5653F47B6990116978E28B4</vt:lpwstr>
  </property>
</Properties>
</file>