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085" w:rsidRPr="007B0DB1" w:rsidP="005B3085" w14:paraId="46DFE91B"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B. </w:t>
      </w:r>
      <w:r>
        <w:rPr>
          <w:rFonts w:ascii="Times New Roman" w:hAnsi="Times New Roman" w:cs="Times New Roman"/>
          <w:b/>
          <w:sz w:val="24"/>
          <w:szCs w:val="24"/>
        </w:rPr>
        <w:t>COLLECTION OF INFORMATION EMPLOYING STATISTICAL METHODS</w:t>
      </w:r>
      <w:r w:rsidRPr="007B0DB1">
        <w:rPr>
          <w:rFonts w:ascii="Times New Roman" w:hAnsi="Times New Roman" w:cs="Times New Roman"/>
          <w:b/>
          <w:sz w:val="24"/>
          <w:szCs w:val="24"/>
        </w:rPr>
        <w:t xml:space="preserve"> </w:t>
      </w:r>
    </w:p>
    <w:p w:rsidR="005B3085" w:rsidRPr="007B0DB1" w:rsidP="005B3085" w14:paraId="16FE7C30" w14:textId="77777777">
      <w:pPr>
        <w:spacing w:after="0" w:line="240" w:lineRule="auto"/>
        <w:rPr>
          <w:rFonts w:ascii="Times New Roman" w:hAnsi="Times New Roman" w:cs="Times New Roman"/>
          <w:b/>
          <w:sz w:val="24"/>
          <w:szCs w:val="24"/>
        </w:rPr>
      </w:pPr>
    </w:p>
    <w:p w:rsidR="005B3085" w:rsidRPr="007B0DB1" w:rsidP="005B3085" w14:paraId="3BEF0CF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1. </w:t>
      </w:r>
      <w:r>
        <w:rPr>
          <w:rFonts w:ascii="Times New Roman" w:hAnsi="Times New Roman" w:cs="Times New Roman"/>
          <w:b/>
          <w:sz w:val="24"/>
          <w:szCs w:val="24"/>
        </w:rPr>
        <w:t>Universe and Respondent Selection</w:t>
      </w:r>
    </w:p>
    <w:p w:rsidR="005B3085" w:rsidRPr="007B0DB1" w:rsidP="005B3085" w14:paraId="5CD0224F" w14:textId="77777777">
      <w:pPr>
        <w:spacing w:after="0" w:line="240" w:lineRule="auto"/>
        <w:rPr>
          <w:rFonts w:ascii="Times New Roman" w:hAnsi="Times New Roman" w:cs="Times New Roman"/>
          <w:sz w:val="24"/>
          <w:szCs w:val="24"/>
        </w:rPr>
      </w:pPr>
    </w:p>
    <w:p w:rsidR="00F92436" w:rsidRPr="00F92436" w:rsidP="00F92436" w14:paraId="51B978BE" w14:textId="2A9BA7C1">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The </w:t>
      </w:r>
      <w:r w:rsidR="00167E81">
        <w:rPr>
          <w:rFonts w:ascii="Times New Roman" w:hAnsi="Times New Roman" w:cs="Times New Roman"/>
          <w:sz w:val="24"/>
          <w:szCs w:val="24"/>
        </w:rPr>
        <w:t>Census of Public Defender Offices</w:t>
      </w:r>
      <w:r w:rsidRPr="007B0DB1">
        <w:rPr>
          <w:rFonts w:ascii="Times New Roman" w:hAnsi="Times New Roman" w:cs="Times New Roman"/>
          <w:sz w:val="24"/>
          <w:szCs w:val="24"/>
        </w:rPr>
        <w:t xml:space="preserve"> (</w:t>
      </w:r>
      <w:r w:rsidR="00167E81">
        <w:rPr>
          <w:rFonts w:ascii="Times New Roman" w:hAnsi="Times New Roman" w:cs="Times New Roman"/>
          <w:sz w:val="24"/>
          <w:szCs w:val="24"/>
        </w:rPr>
        <w:t>CPDO</w:t>
      </w:r>
      <w:r w:rsidRPr="007B0DB1">
        <w:rPr>
          <w:rFonts w:ascii="Times New Roman" w:hAnsi="Times New Roman" w:cs="Times New Roman"/>
          <w:sz w:val="24"/>
          <w:szCs w:val="24"/>
        </w:rPr>
        <w:t xml:space="preserve">) will be </w:t>
      </w:r>
      <w:r>
        <w:rPr>
          <w:rFonts w:ascii="Times New Roman" w:hAnsi="Times New Roman" w:cs="Times New Roman"/>
          <w:sz w:val="24"/>
          <w:szCs w:val="24"/>
        </w:rPr>
        <w:t xml:space="preserve">administered to all eligible public defender offices in the United States and Territories. </w:t>
      </w:r>
      <w:r w:rsidRPr="00F92436">
        <w:rPr>
          <w:rFonts w:ascii="Times New Roman" w:hAnsi="Times New Roman" w:cs="Times New Roman"/>
          <w:sz w:val="24"/>
          <w:szCs w:val="24"/>
        </w:rPr>
        <w:t xml:space="preserve">Over the course of nearly 6 months (from approximately May through November 2023), the </w:t>
      </w:r>
      <w:r w:rsidR="002C2AB2">
        <w:rPr>
          <w:rFonts w:ascii="Times New Roman" w:hAnsi="Times New Roman" w:cs="Times New Roman"/>
          <w:sz w:val="24"/>
          <w:szCs w:val="24"/>
        </w:rPr>
        <w:t>National Association for Public Defense (NAPD</w:t>
      </w:r>
      <w:r w:rsidR="00956940">
        <w:rPr>
          <w:rFonts w:ascii="Times New Roman" w:hAnsi="Times New Roman" w:cs="Times New Roman"/>
          <w:sz w:val="24"/>
          <w:szCs w:val="24"/>
        </w:rPr>
        <w:t>)</w:t>
      </w:r>
      <w:r w:rsidRPr="00F92436">
        <w:rPr>
          <w:rFonts w:ascii="Times New Roman" w:hAnsi="Times New Roman" w:cs="Times New Roman"/>
          <w:sz w:val="24"/>
          <w:szCs w:val="24"/>
        </w:rPr>
        <w:t xml:space="preserve"> led the effort to build the universe of public defender offices in all 50 states, the District of Columbia and the 5 U</w:t>
      </w:r>
      <w:r w:rsidR="00BE7576">
        <w:rPr>
          <w:rFonts w:ascii="Times New Roman" w:hAnsi="Times New Roman" w:cs="Times New Roman"/>
          <w:sz w:val="24"/>
          <w:szCs w:val="24"/>
        </w:rPr>
        <w:t>.</w:t>
      </w:r>
      <w:r w:rsidRPr="00F92436">
        <w:rPr>
          <w:rFonts w:ascii="Times New Roman" w:hAnsi="Times New Roman" w:cs="Times New Roman"/>
          <w:sz w:val="24"/>
          <w:szCs w:val="24"/>
        </w:rPr>
        <w:t>S</w:t>
      </w:r>
      <w:r w:rsidR="00BE7576">
        <w:rPr>
          <w:rFonts w:ascii="Times New Roman" w:hAnsi="Times New Roman" w:cs="Times New Roman"/>
          <w:sz w:val="24"/>
          <w:szCs w:val="24"/>
        </w:rPr>
        <w:t>.</w:t>
      </w:r>
      <w:r w:rsidRPr="00F92436">
        <w:rPr>
          <w:rFonts w:ascii="Times New Roman" w:hAnsi="Times New Roman" w:cs="Times New Roman"/>
          <w:sz w:val="24"/>
          <w:szCs w:val="24"/>
        </w:rPr>
        <w:t xml:space="preserve"> Territories</w:t>
      </w:r>
      <w:r w:rsidR="00BC0700">
        <w:rPr>
          <w:rFonts w:ascii="Times New Roman" w:hAnsi="Times New Roman" w:cs="Times New Roman"/>
          <w:sz w:val="24"/>
          <w:szCs w:val="24"/>
        </w:rPr>
        <w:t xml:space="preserve"> (</w:t>
      </w:r>
      <w:r w:rsidR="0080389D">
        <w:rPr>
          <w:rFonts w:ascii="Times New Roman" w:hAnsi="Times New Roman"/>
        </w:rPr>
        <w:t>OMB #1121-0339</w:t>
      </w:r>
      <w:r w:rsidR="00BC0700">
        <w:rPr>
          <w:rFonts w:ascii="Times New Roman" w:hAnsi="Times New Roman" w:cs="Times New Roman"/>
          <w:sz w:val="24"/>
          <w:szCs w:val="24"/>
        </w:rPr>
        <w:t>)</w:t>
      </w:r>
      <w:r w:rsidRPr="00F92436">
        <w:rPr>
          <w:rFonts w:ascii="Times New Roman" w:hAnsi="Times New Roman" w:cs="Times New Roman"/>
          <w:sz w:val="24"/>
          <w:szCs w:val="24"/>
        </w:rPr>
        <w:t xml:space="preserve">. </w:t>
      </w:r>
    </w:p>
    <w:p w:rsidR="00F92436" w:rsidRPr="00F92436" w:rsidP="00F92436" w14:paraId="5359EE3C" w14:textId="77777777">
      <w:pPr>
        <w:spacing w:after="0" w:line="240" w:lineRule="auto"/>
        <w:rPr>
          <w:rFonts w:ascii="Times New Roman" w:hAnsi="Times New Roman" w:cs="Times New Roman"/>
          <w:sz w:val="24"/>
          <w:szCs w:val="24"/>
        </w:rPr>
      </w:pPr>
    </w:p>
    <w:p w:rsidR="00F92436" w:rsidRPr="00F92436" w:rsidP="00F92436" w14:paraId="3C154C23" w14:textId="20A656C9">
      <w:pPr>
        <w:spacing w:after="0" w:line="240" w:lineRule="auto"/>
        <w:rPr>
          <w:rFonts w:ascii="Times New Roman" w:hAnsi="Times New Roman" w:cs="Times New Roman"/>
          <w:sz w:val="24"/>
          <w:szCs w:val="24"/>
        </w:rPr>
      </w:pPr>
      <w:r w:rsidRPr="00F92436">
        <w:rPr>
          <w:rFonts w:ascii="Times New Roman" w:hAnsi="Times New Roman" w:cs="Times New Roman"/>
          <w:sz w:val="24"/>
          <w:szCs w:val="24"/>
        </w:rPr>
        <w:t xml:space="preserve">The </w:t>
      </w:r>
      <w:r w:rsidR="002C2AB2">
        <w:rPr>
          <w:rFonts w:ascii="Times New Roman" w:hAnsi="Times New Roman" w:cs="Times New Roman"/>
          <w:sz w:val="24"/>
          <w:szCs w:val="24"/>
        </w:rPr>
        <w:t>universe</w:t>
      </w:r>
      <w:r w:rsidRPr="00F92436">
        <w:rPr>
          <w:rFonts w:ascii="Times New Roman" w:hAnsi="Times New Roman" w:cs="Times New Roman"/>
          <w:sz w:val="24"/>
          <w:szCs w:val="24"/>
        </w:rPr>
        <w:t xml:space="preserve"> was developed by identifying all offices </w:t>
      </w:r>
      <w:r w:rsidR="006D0709">
        <w:rPr>
          <w:rFonts w:ascii="Times New Roman" w:hAnsi="Times New Roman" w:cs="Times New Roman"/>
          <w:sz w:val="24"/>
          <w:szCs w:val="24"/>
        </w:rPr>
        <w:t xml:space="preserve">that </w:t>
      </w:r>
      <w:r w:rsidR="00F16CE7">
        <w:rPr>
          <w:rFonts w:ascii="Times New Roman" w:hAnsi="Times New Roman" w:cs="Times New Roman"/>
          <w:sz w:val="24"/>
          <w:szCs w:val="24"/>
        </w:rPr>
        <w:t>are</w:t>
      </w:r>
      <w:r w:rsidRPr="00F92436">
        <w:rPr>
          <w:rFonts w:ascii="Times New Roman" w:hAnsi="Times New Roman" w:cs="Times New Roman"/>
          <w:sz w:val="24"/>
          <w:szCs w:val="24"/>
        </w:rPr>
        <w:t xml:space="preserve"> publicly funded</w:t>
      </w:r>
      <w:r w:rsidR="006D0709">
        <w:rPr>
          <w:rFonts w:ascii="Times New Roman" w:hAnsi="Times New Roman" w:cs="Times New Roman"/>
          <w:sz w:val="24"/>
          <w:szCs w:val="24"/>
        </w:rPr>
        <w:t>,</w:t>
      </w:r>
      <w:r w:rsidRPr="00F92436">
        <w:rPr>
          <w:rFonts w:ascii="Times New Roman" w:hAnsi="Times New Roman" w:cs="Times New Roman"/>
          <w:sz w:val="24"/>
          <w:szCs w:val="24"/>
        </w:rPr>
        <w:t xml:space="preserve"> ha</w:t>
      </w:r>
      <w:r w:rsidR="00F16CE7">
        <w:rPr>
          <w:rFonts w:ascii="Times New Roman" w:hAnsi="Times New Roman" w:cs="Times New Roman"/>
          <w:sz w:val="24"/>
          <w:szCs w:val="24"/>
        </w:rPr>
        <w:t>ve</w:t>
      </w:r>
      <w:r w:rsidRPr="00F92436">
        <w:rPr>
          <w:rFonts w:ascii="Times New Roman" w:hAnsi="Times New Roman" w:cs="Times New Roman"/>
          <w:sz w:val="24"/>
          <w:szCs w:val="24"/>
        </w:rPr>
        <w:t xml:space="preserve"> a physical address</w:t>
      </w:r>
      <w:r w:rsidR="00F16CE7">
        <w:rPr>
          <w:rFonts w:ascii="Times New Roman" w:hAnsi="Times New Roman" w:cs="Times New Roman"/>
          <w:sz w:val="24"/>
          <w:szCs w:val="24"/>
        </w:rPr>
        <w:t>,</w:t>
      </w:r>
      <w:r w:rsidRPr="00F92436">
        <w:rPr>
          <w:rFonts w:ascii="Times New Roman" w:hAnsi="Times New Roman" w:cs="Times New Roman"/>
          <w:sz w:val="24"/>
          <w:szCs w:val="24"/>
        </w:rPr>
        <w:t xml:space="preserve"> </w:t>
      </w:r>
      <w:r w:rsidR="00BC0700">
        <w:rPr>
          <w:rFonts w:ascii="Times New Roman" w:hAnsi="Times New Roman" w:cs="Times New Roman"/>
          <w:sz w:val="24"/>
          <w:szCs w:val="24"/>
        </w:rPr>
        <w:t xml:space="preserve">employ </w:t>
      </w:r>
      <w:r w:rsidRPr="00F92436">
        <w:rPr>
          <w:rFonts w:ascii="Times New Roman" w:hAnsi="Times New Roman" w:cs="Times New Roman"/>
          <w:sz w:val="24"/>
          <w:szCs w:val="24"/>
        </w:rPr>
        <w:t xml:space="preserve">at least </w:t>
      </w:r>
      <w:r w:rsidR="00F16CE7">
        <w:rPr>
          <w:rFonts w:ascii="Times New Roman" w:hAnsi="Times New Roman" w:cs="Times New Roman"/>
          <w:sz w:val="24"/>
          <w:szCs w:val="24"/>
        </w:rPr>
        <w:t>one</w:t>
      </w:r>
      <w:r w:rsidRPr="00F92436">
        <w:rPr>
          <w:rFonts w:ascii="Times New Roman" w:hAnsi="Times New Roman" w:cs="Times New Roman"/>
          <w:sz w:val="24"/>
          <w:szCs w:val="24"/>
        </w:rPr>
        <w:t xml:space="preserve"> W-2 earning attorney, and provide direct public defense representation for adults and/or juveniles who are accused of a crime or delinquency or accused in a trial court of violating conditions of a sentence.</w:t>
      </w:r>
      <w:r w:rsidR="00F16CE7">
        <w:rPr>
          <w:rFonts w:ascii="Times New Roman" w:hAnsi="Times New Roman" w:cs="Times New Roman"/>
          <w:sz w:val="24"/>
          <w:szCs w:val="24"/>
        </w:rPr>
        <w:t xml:space="preserve"> Within this definition exist</w:t>
      </w:r>
      <w:r w:rsidR="00BC0700">
        <w:rPr>
          <w:rFonts w:ascii="Times New Roman" w:hAnsi="Times New Roman" w:cs="Times New Roman"/>
          <w:sz w:val="24"/>
          <w:szCs w:val="24"/>
        </w:rPr>
        <w:t>s</w:t>
      </w:r>
      <w:r w:rsidR="00F16CE7">
        <w:rPr>
          <w:rFonts w:ascii="Times New Roman" w:hAnsi="Times New Roman" w:cs="Times New Roman"/>
          <w:sz w:val="24"/>
          <w:szCs w:val="24"/>
        </w:rPr>
        <w:t xml:space="preserve"> a variety of funding sources, office structures, specialties of defense provided, levels of urbanicity</w:t>
      </w:r>
      <w:r w:rsidR="00BC0700">
        <w:rPr>
          <w:rFonts w:ascii="Times New Roman" w:hAnsi="Times New Roman" w:cs="Times New Roman"/>
          <w:sz w:val="24"/>
          <w:szCs w:val="24"/>
        </w:rPr>
        <w:t>,</w:t>
      </w:r>
      <w:r w:rsidR="00F16CE7">
        <w:rPr>
          <w:rFonts w:ascii="Times New Roman" w:hAnsi="Times New Roman" w:cs="Times New Roman"/>
          <w:sz w:val="24"/>
          <w:szCs w:val="24"/>
        </w:rPr>
        <w:t xml:space="preserve"> and geographic coverage</w:t>
      </w:r>
      <w:r w:rsidR="00D40986">
        <w:rPr>
          <w:rFonts w:ascii="Times New Roman" w:hAnsi="Times New Roman" w:cs="Times New Roman"/>
          <w:sz w:val="24"/>
          <w:szCs w:val="24"/>
        </w:rPr>
        <w:t xml:space="preserve"> among public defender offices</w:t>
      </w:r>
      <w:r w:rsidR="00F16CE7">
        <w:rPr>
          <w:rFonts w:ascii="Times New Roman" w:hAnsi="Times New Roman" w:cs="Times New Roman"/>
          <w:sz w:val="24"/>
          <w:szCs w:val="24"/>
        </w:rPr>
        <w:t>.</w:t>
      </w:r>
      <w:r w:rsidR="00811AAB">
        <w:rPr>
          <w:rFonts w:ascii="Times New Roman" w:hAnsi="Times New Roman" w:cs="Times New Roman"/>
          <w:sz w:val="24"/>
          <w:szCs w:val="24"/>
        </w:rPr>
        <w:t xml:space="preserve"> Table 1 provides an overview of the types of jurisdictions identified through the universe development process.</w:t>
      </w:r>
    </w:p>
    <w:p w:rsidR="00F92436" w:rsidRPr="00F92436" w:rsidP="00F92436" w14:paraId="1816BA7A" w14:textId="77777777">
      <w:pPr>
        <w:spacing w:after="0" w:line="240" w:lineRule="auto"/>
        <w:rPr>
          <w:rFonts w:ascii="Times New Roman" w:hAnsi="Times New Roman" w:cs="Times New Roman"/>
          <w:sz w:val="24"/>
          <w:szCs w:val="24"/>
        </w:rPr>
      </w:pPr>
    </w:p>
    <w:p w:rsidR="00F92436" w:rsidRPr="00F92436" w:rsidP="00F92436" w14:paraId="09447265" w14:textId="2581930D">
      <w:pPr>
        <w:spacing w:after="0" w:line="240" w:lineRule="auto"/>
        <w:rPr>
          <w:rFonts w:ascii="Times New Roman" w:hAnsi="Times New Roman" w:cs="Times New Roman"/>
          <w:sz w:val="24"/>
          <w:szCs w:val="24"/>
        </w:rPr>
      </w:pPr>
      <w:r w:rsidRPr="00F92436">
        <w:rPr>
          <w:rFonts w:ascii="Times New Roman" w:hAnsi="Times New Roman" w:cs="Times New Roman"/>
          <w:sz w:val="24"/>
          <w:szCs w:val="24"/>
        </w:rPr>
        <w:t xml:space="preserve">To conduct this data </w:t>
      </w:r>
      <w:r w:rsidR="00BE7576">
        <w:rPr>
          <w:rFonts w:ascii="Times New Roman" w:hAnsi="Times New Roman" w:cs="Times New Roman"/>
          <w:sz w:val="24"/>
          <w:szCs w:val="24"/>
        </w:rPr>
        <w:t>collection</w:t>
      </w:r>
      <w:r w:rsidRPr="00F92436">
        <w:rPr>
          <w:rFonts w:ascii="Times New Roman" w:hAnsi="Times New Roman" w:cs="Times New Roman"/>
          <w:sz w:val="24"/>
          <w:szCs w:val="24"/>
        </w:rPr>
        <w:t xml:space="preserve">, </w:t>
      </w:r>
      <w:r w:rsidR="002C2AB2">
        <w:rPr>
          <w:rFonts w:ascii="Times New Roman" w:hAnsi="Times New Roman" w:cs="Times New Roman"/>
          <w:sz w:val="24"/>
          <w:szCs w:val="24"/>
        </w:rPr>
        <w:t>NAPD</w:t>
      </w:r>
      <w:r w:rsidRPr="00F92436">
        <w:rPr>
          <w:rFonts w:ascii="Times New Roman" w:hAnsi="Times New Roman" w:cs="Times New Roman"/>
          <w:sz w:val="24"/>
          <w:szCs w:val="24"/>
        </w:rPr>
        <w:t xml:space="preserve"> divided the states</w:t>
      </w:r>
      <w:r w:rsidR="005B3706">
        <w:rPr>
          <w:rFonts w:ascii="Times New Roman" w:hAnsi="Times New Roman" w:cs="Times New Roman"/>
          <w:sz w:val="24"/>
          <w:szCs w:val="24"/>
        </w:rPr>
        <w:t xml:space="preserve"> and</w:t>
      </w:r>
      <w:r w:rsidRPr="00F92436">
        <w:rPr>
          <w:rFonts w:ascii="Times New Roman" w:hAnsi="Times New Roman" w:cs="Times New Roman"/>
          <w:sz w:val="24"/>
          <w:szCs w:val="24"/>
        </w:rPr>
        <w:t xml:space="preserve"> District of Columbia into two categories: those where a single body had oversight over all public defense programs in the state and those where every county would need to be investigated. For the statewide systems (</w:t>
      </w:r>
      <w:r w:rsidR="00881ECA">
        <w:rPr>
          <w:rFonts w:ascii="Times New Roman" w:hAnsi="Times New Roman" w:cs="Times New Roman"/>
          <w:sz w:val="24"/>
          <w:szCs w:val="24"/>
        </w:rPr>
        <w:t xml:space="preserve">n = </w:t>
      </w:r>
      <w:r w:rsidRPr="00F92436">
        <w:rPr>
          <w:rFonts w:ascii="Times New Roman" w:hAnsi="Times New Roman" w:cs="Times New Roman"/>
          <w:sz w:val="24"/>
          <w:szCs w:val="24"/>
        </w:rPr>
        <w:t xml:space="preserve">41) </w:t>
      </w:r>
      <w:r w:rsidR="00CF31B7">
        <w:rPr>
          <w:rFonts w:ascii="Times New Roman" w:hAnsi="Times New Roman" w:cs="Times New Roman"/>
          <w:sz w:val="24"/>
          <w:szCs w:val="24"/>
        </w:rPr>
        <w:t>NAPD</w:t>
      </w:r>
      <w:r w:rsidRPr="00F92436">
        <w:rPr>
          <w:rFonts w:ascii="Times New Roman" w:hAnsi="Times New Roman" w:cs="Times New Roman"/>
          <w:sz w:val="24"/>
          <w:szCs w:val="24"/>
        </w:rPr>
        <w:t xml:space="preserve"> </w:t>
      </w:r>
      <w:r w:rsidR="00BC0700">
        <w:rPr>
          <w:rFonts w:ascii="Times New Roman" w:hAnsi="Times New Roman" w:cs="Times New Roman"/>
          <w:sz w:val="24"/>
          <w:szCs w:val="24"/>
        </w:rPr>
        <w:t xml:space="preserve">contacted </w:t>
      </w:r>
      <w:r w:rsidRPr="00F92436">
        <w:rPr>
          <w:rFonts w:ascii="Times New Roman" w:hAnsi="Times New Roman" w:cs="Times New Roman"/>
          <w:sz w:val="24"/>
          <w:szCs w:val="24"/>
        </w:rPr>
        <w:t>statewide oversight bodies</w:t>
      </w:r>
      <w:r w:rsidR="00BC0700">
        <w:rPr>
          <w:rFonts w:ascii="Times New Roman" w:hAnsi="Times New Roman" w:cs="Times New Roman"/>
          <w:sz w:val="24"/>
          <w:szCs w:val="24"/>
        </w:rPr>
        <w:t xml:space="preserve"> via phone calls</w:t>
      </w:r>
      <w:r w:rsidRPr="00F92436">
        <w:rPr>
          <w:rFonts w:ascii="Times New Roman" w:hAnsi="Times New Roman" w:cs="Times New Roman"/>
          <w:sz w:val="24"/>
          <w:szCs w:val="24"/>
        </w:rPr>
        <w:t xml:space="preserve">. This </w:t>
      </w:r>
      <w:r w:rsidR="00BE7576">
        <w:rPr>
          <w:rFonts w:ascii="Times New Roman" w:hAnsi="Times New Roman" w:cs="Times New Roman"/>
          <w:sz w:val="24"/>
          <w:szCs w:val="24"/>
        </w:rPr>
        <w:t xml:space="preserve">communication </w:t>
      </w:r>
      <w:r w:rsidR="00BC0700">
        <w:rPr>
          <w:rFonts w:ascii="Times New Roman" w:hAnsi="Times New Roman" w:cs="Times New Roman"/>
          <w:sz w:val="24"/>
          <w:szCs w:val="24"/>
        </w:rPr>
        <w:t>involved requesting</w:t>
      </w:r>
      <w:r w:rsidRPr="00F92436">
        <w:rPr>
          <w:rFonts w:ascii="Times New Roman" w:hAnsi="Times New Roman" w:cs="Times New Roman"/>
          <w:sz w:val="24"/>
          <w:szCs w:val="24"/>
        </w:rPr>
        <w:t xml:space="preserve"> </w:t>
      </w:r>
      <w:r w:rsidR="00CF31B7">
        <w:rPr>
          <w:rFonts w:ascii="Times New Roman" w:hAnsi="Times New Roman" w:cs="Times New Roman"/>
          <w:sz w:val="24"/>
          <w:szCs w:val="24"/>
        </w:rPr>
        <w:t>each office</w:t>
      </w:r>
      <w:r w:rsidRPr="00F92436">
        <w:rPr>
          <w:rFonts w:ascii="Times New Roman" w:hAnsi="Times New Roman" w:cs="Times New Roman"/>
          <w:sz w:val="24"/>
          <w:szCs w:val="24"/>
        </w:rPr>
        <w:t xml:space="preserve"> to identify and provide contact information (office and </w:t>
      </w:r>
      <w:r w:rsidR="00881ECA">
        <w:rPr>
          <w:rFonts w:ascii="Times New Roman" w:hAnsi="Times New Roman" w:cs="Times New Roman"/>
          <w:sz w:val="24"/>
          <w:szCs w:val="24"/>
        </w:rPr>
        <w:t xml:space="preserve">office </w:t>
      </w:r>
      <w:r w:rsidRPr="00F92436">
        <w:rPr>
          <w:rFonts w:ascii="Times New Roman" w:hAnsi="Times New Roman" w:cs="Times New Roman"/>
          <w:sz w:val="24"/>
          <w:szCs w:val="24"/>
        </w:rPr>
        <w:t xml:space="preserve">leader) for every </w:t>
      </w:r>
      <w:r w:rsidR="00BC0700">
        <w:rPr>
          <w:rFonts w:ascii="Times New Roman" w:hAnsi="Times New Roman" w:cs="Times New Roman"/>
          <w:sz w:val="24"/>
          <w:szCs w:val="24"/>
        </w:rPr>
        <w:t xml:space="preserve">public defense </w:t>
      </w:r>
      <w:r w:rsidRPr="00F92436">
        <w:rPr>
          <w:rFonts w:ascii="Times New Roman" w:hAnsi="Times New Roman" w:cs="Times New Roman"/>
          <w:sz w:val="24"/>
          <w:szCs w:val="24"/>
        </w:rPr>
        <w:t xml:space="preserve">program that met </w:t>
      </w:r>
      <w:r w:rsidR="00CF31B7">
        <w:rPr>
          <w:rFonts w:ascii="Times New Roman" w:hAnsi="Times New Roman" w:cs="Times New Roman"/>
          <w:sz w:val="24"/>
          <w:szCs w:val="24"/>
        </w:rPr>
        <w:t>the eligibility criteria</w:t>
      </w:r>
      <w:r w:rsidRPr="00F92436">
        <w:rPr>
          <w:rFonts w:ascii="Times New Roman" w:hAnsi="Times New Roman" w:cs="Times New Roman"/>
          <w:sz w:val="24"/>
          <w:szCs w:val="24"/>
        </w:rPr>
        <w:t>.</w:t>
      </w:r>
    </w:p>
    <w:p w:rsidR="00F92436" w:rsidRPr="00F92436" w:rsidP="00F92436" w14:paraId="21E54EC8" w14:textId="77777777">
      <w:pPr>
        <w:spacing w:after="0" w:line="240" w:lineRule="auto"/>
        <w:rPr>
          <w:rFonts w:ascii="Times New Roman" w:hAnsi="Times New Roman" w:cs="Times New Roman"/>
          <w:sz w:val="24"/>
          <w:szCs w:val="24"/>
        </w:rPr>
      </w:pPr>
    </w:p>
    <w:p w:rsidR="00904A0D" w:rsidRPr="00904A0D" w:rsidP="00904A0D" w14:paraId="46FC8361" w14:textId="77777777">
      <w:pPr>
        <w:spacing w:after="0" w:line="240" w:lineRule="auto"/>
        <w:rPr>
          <w:rFonts w:ascii="Times New Roman" w:hAnsi="Times New Roman" w:cs="Times New Roman"/>
          <w:sz w:val="24"/>
          <w:szCs w:val="24"/>
        </w:rPr>
      </w:pPr>
      <w:r w:rsidRPr="00F92436">
        <w:rPr>
          <w:rFonts w:ascii="Times New Roman" w:hAnsi="Times New Roman" w:cs="Times New Roman"/>
          <w:sz w:val="24"/>
          <w:szCs w:val="24"/>
        </w:rPr>
        <w:t>For the states lacking a single oversight body (</w:t>
      </w:r>
      <w:r w:rsidR="00881ECA">
        <w:rPr>
          <w:rFonts w:ascii="Times New Roman" w:hAnsi="Times New Roman" w:cs="Times New Roman"/>
          <w:sz w:val="24"/>
          <w:szCs w:val="24"/>
        </w:rPr>
        <w:t xml:space="preserve">n = </w:t>
      </w:r>
      <w:r w:rsidRPr="00F92436">
        <w:rPr>
          <w:rFonts w:ascii="Times New Roman" w:hAnsi="Times New Roman" w:cs="Times New Roman"/>
          <w:sz w:val="24"/>
          <w:szCs w:val="24"/>
        </w:rPr>
        <w:t xml:space="preserve">15), </w:t>
      </w:r>
      <w:r w:rsidR="00E420BA">
        <w:rPr>
          <w:rFonts w:ascii="Times New Roman" w:hAnsi="Times New Roman" w:cs="Times New Roman"/>
          <w:sz w:val="24"/>
          <w:szCs w:val="24"/>
        </w:rPr>
        <w:t>NAPD</w:t>
      </w:r>
      <w:r w:rsidRPr="00F92436">
        <w:rPr>
          <w:rFonts w:ascii="Times New Roman" w:hAnsi="Times New Roman" w:cs="Times New Roman"/>
          <w:sz w:val="24"/>
          <w:szCs w:val="24"/>
        </w:rPr>
        <w:t xml:space="preserve"> conducted county by county research online, and cross-checked findings with any county leaders in the state to ensure </w:t>
      </w:r>
      <w:r w:rsidR="00E420BA">
        <w:rPr>
          <w:rFonts w:ascii="Times New Roman" w:hAnsi="Times New Roman" w:cs="Times New Roman"/>
          <w:sz w:val="24"/>
          <w:szCs w:val="24"/>
        </w:rPr>
        <w:t>that the list was complete</w:t>
      </w:r>
      <w:r w:rsidRPr="00F92436">
        <w:rPr>
          <w:rFonts w:ascii="Times New Roman" w:hAnsi="Times New Roman" w:cs="Times New Roman"/>
          <w:sz w:val="24"/>
          <w:szCs w:val="24"/>
        </w:rPr>
        <w:t xml:space="preserve">. </w:t>
      </w:r>
      <w:r w:rsidR="003B3B7A">
        <w:rPr>
          <w:rFonts w:ascii="Times New Roman" w:hAnsi="Times New Roman" w:cs="Times New Roman"/>
          <w:sz w:val="24"/>
          <w:szCs w:val="24"/>
        </w:rPr>
        <w:t>As necessary,</w:t>
      </w:r>
      <w:r w:rsidRPr="00F92436">
        <w:rPr>
          <w:rFonts w:ascii="Times New Roman" w:hAnsi="Times New Roman" w:cs="Times New Roman"/>
          <w:sz w:val="24"/>
          <w:szCs w:val="24"/>
        </w:rPr>
        <w:t xml:space="preserve"> </w:t>
      </w:r>
      <w:r w:rsidR="00E420BA">
        <w:rPr>
          <w:rFonts w:ascii="Times New Roman" w:hAnsi="Times New Roman" w:cs="Times New Roman"/>
          <w:sz w:val="24"/>
          <w:szCs w:val="24"/>
        </w:rPr>
        <w:t>NAPD</w:t>
      </w:r>
      <w:r w:rsidRPr="00F92436">
        <w:rPr>
          <w:rFonts w:ascii="Times New Roman" w:hAnsi="Times New Roman" w:cs="Times New Roman"/>
          <w:sz w:val="24"/>
          <w:szCs w:val="24"/>
        </w:rPr>
        <w:t xml:space="preserve"> </w:t>
      </w:r>
      <w:r w:rsidR="00E420BA">
        <w:rPr>
          <w:rFonts w:ascii="Times New Roman" w:hAnsi="Times New Roman" w:cs="Times New Roman"/>
          <w:sz w:val="24"/>
          <w:szCs w:val="24"/>
        </w:rPr>
        <w:t>called</w:t>
      </w:r>
      <w:r w:rsidRPr="00F92436">
        <w:rPr>
          <w:rFonts w:ascii="Times New Roman" w:hAnsi="Times New Roman" w:cs="Times New Roman"/>
          <w:sz w:val="24"/>
          <w:szCs w:val="24"/>
        </w:rPr>
        <w:t xml:space="preserve"> known/identified office</w:t>
      </w:r>
      <w:r w:rsidR="00E420BA">
        <w:rPr>
          <w:rFonts w:ascii="Times New Roman" w:hAnsi="Times New Roman" w:cs="Times New Roman"/>
          <w:sz w:val="24"/>
          <w:szCs w:val="24"/>
        </w:rPr>
        <w:t>s</w:t>
      </w:r>
      <w:r w:rsidRPr="00F92436">
        <w:rPr>
          <w:rFonts w:ascii="Times New Roman" w:hAnsi="Times New Roman" w:cs="Times New Roman"/>
          <w:sz w:val="24"/>
          <w:szCs w:val="24"/>
        </w:rPr>
        <w:t xml:space="preserve"> in the state </w:t>
      </w:r>
      <w:r w:rsidR="00E420BA">
        <w:rPr>
          <w:rFonts w:ascii="Times New Roman" w:hAnsi="Times New Roman" w:cs="Times New Roman"/>
          <w:sz w:val="24"/>
          <w:szCs w:val="24"/>
        </w:rPr>
        <w:t>to request</w:t>
      </w:r>
      <w:r w:rsidRPr="00F92436">
        <w:rPr>
          <w:rFonts w:ascii="Times New Roman" w:hAnsi="Times New Roman" w:cs="Times New Roman"/>
          <w:sz w:val="24"/>
          <w:szCs w:val="24"/>
        </w:rPr>
        <w:t xml:space="preserve"> leader name or physical address information. On occasion, </w:t>
      </w:r>
      <w:r w:rsidR="00E420BA">
        <w:rPr>
          <w:rFonts w:ascii="Times New Roman" w:hAnsi="Times New Roman" w:cs="Times New Roman"/>
          <w:sz w:val="24"/>
          <w:szCs w:val="24"/>
        </w:rPr>
        <w:t>NAPD</w:t>
      </w:r>
      <w:r w:rsidRPr="00F92436">
        <w:rPr>
          <w:rFonts w:ascii="Times New Roman" w:hAnsi="Times New Roman" w:cs="Times New Roman"/>
          <w:sz w:val="24"/>
          <w:szCs w:val="24"/>
        </w:rPr>
        <w:t xml:space="preserve"> could cross reference </w:t>
      </w:r>
      <w:r w:rsidR="00E420BA">
        <w:rPr>
          <w:rFonts w:ascii="Times New Roman" w:hAnsi="Times New Roman" w:cs="Times New Roman"/>
          <w:sz w:val="24"/>
          <w:szCs w:val="24"/>
        </w:rPr>
        <w:t>the draft</w:t>
      </w:r>
      <w:r w:rsidRPr="00F92436">
        <w:rPr>
          <w:rFonts w:ascii="Times New Roman" w:hAnsi="Times New Roman" w:cs="Times New Roman"/>
          <w:sz w:val="24"/>
          <w:szCs w:val="24"/>
        </w:rPr>
        <w:t xml:space="preserve"> list with State Bar directories and/or professional service association lists, if publicly posted.</w:t>
      </w:r>
      <w:r w:rsidR="00881ECA">
        <w:rPr>
          <w:rFonts w:ascii="Times New Roman" w:hAnsi="Times New Roman" w:cs="Times New Roman"/>
          <w:sz w:val="24"/>
          <w:szCs w:val="24"/>
        </w:rPr>
        <w:t xml:space="preserve"> This effort resulted in a universe list of 1,892 public defense offices </w:t>
      </w:r>
      <w:r>
        <w:rPr>
          <w:rFonts w:ascii="Times New Roman" w:hAnsi="Times New Roman" w:cs="Times New Roman"/>
          <w:sz w:val="24"/>
          <w:szCs w:val="24"/>
        </w:rPr>
        <w:t xml:space="preserve">as of August 2024 </w:t>
      </w:r>
      <w:r w:rsidR="00881ECA">
        <w:rPr>
          <w:rFonts w:ascii="Times New Roman" w:hAnsi="Times New Roman" w:cs="Times New Roman"/>
          <w:sz w:val="24"/>
          <w:szCs w:val="24"/>
        </w:rPr>
        <w:t xml:space="preserve">(see Table 1). </w:t>
      </w:r>
      <w:r w:rsidRPr="00904A0D">
        <w:rPr>
          <w:rFonts w:ascii="Times New Roman" w:hAnsi="Times New Roman" w:cs="Times New Roman"/>
          <w:sz w:val="24"/>
          <w:szCs w:val="24"/>
        </w:rPr>
        <w:t>An additional round of checks for new offices will be conducted prior to the start of data collection. BJS estimates there will be about 2,000 offices at the time of data collection.</w:t>
      </w:r>
    </w:p>
    <w:p w:rsidR="00F92436" w:rsidRPr="00904A0D" w:rsidP="00F92436" w14:paraId="750C0A12" w14:textId="56FFE053">
      <w:pPr>
        <w:spacing w:after="0" w:line="240" w:lineRule="auto"/>
        <w:rPr>
          <w:rFonts w:ascii="Times New Roman" w:hAnsi="Times New Roman" w:cs="Times New Roman"/>
          <w:sz w:val="24"/>
          <w:szCs w:val="24"/>
        </w:rPr>
      </w:pPr>
    </w:p>
    <w:p w:rsidR="00F95F45" w:rsidP="00F92436" w14:paraId="269282EE" w14:textId="77777777">
      <w:pPr>
        <w:spacing w:after="0" w:line="240" w:lineRule="auto"/>
        <w:rPr>
          <w:rFonts w:ascii="Times New Roman" w:hAnsi="Times New Roman" w:cs="Times New Roman"/>
          <w:sz w:val="24"/>
          <w:szCs w:val="24"/>
        </w:rPr>
      </w:pPr>
    </w:p>
    <w:p w:rsidR="00F95F45" w:rsidRPr="0080389D" w:rsidP="00F92436" w14:paraId="6274EC90" w14:textId="02CA861E">
      <w:pPr>
        <w:spacing w:after="0" w:line="240" w:lineRule="auto"/>
        <w:rPr>
          <w:rFonts w:ascii="Times New Roman" w:hAnsi="Times New Roman" w:cs="Times New Roman"/>
          <w:b/>
          <w:bCs/>
          <w:sz w:val="24"/>
          <w:szCs w:val="24"/>
        </w:rPr>
      </w:pPr>
      <w:r w:rsidRPr="0080389D">
        <w:rPr>
          <w:rFonts w:ascii="Times New Roman" w:hAnsi="Times New Roman" w:cs="Times New Roman"/>
          <w:b/>
          <w:bCs/>
          <w:sz w:val="24"/>
          <w:szCs w:val="24"/>
        </w:rPr>
        <w:t>Table 1. Jurisdiction Types Identified during Frame Building</w:t>
      </w:r>
    </w:p>
    <w:tbl>
      <w:tblPr>
        <w:tblW w:w="9260" w:type="dxa"/>
        <w:tblLook w:val="04A0"/>
      </w:tblPr>
      <w:tblGrid>
        <w:gridCol w:w="2420"/>
        <w:gridCol w:w="5904"/>
        <w:gridCol w:w="936"/>
      </w:tblGrid>
      <w:tr w14:paraId="19753477" w14:textId="77777777" w:rsidTr="0080389D">
        <w:tblPrEx>
          <w:tblW w:w="9260" w:type="dxa"/>
          <w:tblLook w:val="04A0"/>
        </w:tblPrEx>
        <w:trPr>
          <w:trHeight w:val="280"/>
        </w:trPr>
        <w:tc>
          <w:tcPr>
            <w:tcW w:w="2420" w:type="dxa"/>
            <w:tcBorders>
              <w:top w:val="single" w:sz="8" w:space="0" w:color="000000"/>
              <w:left w:val="single" w:sz="8" w:space="0" w:color="000000"/>
              <w:bottom w:val="single" w:sz="4" w:space="0" w:color="000000"/>
              <w:right w:val="single" w:sz="4" w:space="0" w:color="000000"/>
            </w:tcBorders>
            <w:shd w:val="clear" w:color="D8D8D8" w:fill="D8D8D8"/>
            <w:noWrap/>
            <w:hideMark/>
          </w:tcPr>
          <w:p w:rsidR="00F95F45" w:rsidRPr="0080389D" w:rsidP="00712D2F" w14:paraId="04A7A4EF"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Jurisdiction Type</w:t>
            </w:r>
          </w:p>
        </w:tc>
        <w:tc>
          <w:tcPr>
            <w:tcW w:w="5940" w:type="dxa"/>
            <w:tcBorders>
              <w:top w:val="single" w:sz="8" w:space="0" w:color="000000"/>
              <w:left w:val="nil"/>
              <w:bottom w:val="single" w:sz="4" w:space="0" w:color="000000"/>
              <w:right w:val="single" w:sz="4" w:space="0" w:color="auto"/>
            </w:tcBorders>
            <w:shd w:val="clear" w:color="D8D8D8" w:fill="D8D8D8"/>
          </w:tcPr>
          <w:p w:rsidR="00F95F45" w:rsidRPr="0080389D" w:rsidP="00712D2F" w14:paraId="2DCB352E" w14:textId="57BA467F">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Definition</w:t>
            </w:r>
          </w:p>
        </w:tc>
        <w:tc>
          <w:tcPr>
            <w:tcW w:w="900" w:type="dxa"/>
            <w:tcBorders>
              <w:top w:val="single" w:sz="8" w:space="0" w:color="000000"/>
              <w:left w:val="single" w:sz="4" w:space="0" w:color="auto"/>
              <w:bottom w:val="single" w:sz="4" w:space="0" w:color="000000"/>
              <w:right w:val="single" w:sz="8" w:space="0" w:color="000000"/>
            </w:tcBorders>
            <w:shd w:val="clear" w:color="D8D8D8" w:fill="D8D8D8"/>
            <w:noWrap/>
            <w:hideMark/>
          </w:tcPr>
          <w:p w:rsidR="00F95F45" w:rsidRPr="0080389D" w:rsidP="00712D2F" w14:paraId="2E6F2749" w14:textId="64EE8758">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N</w:t>
            </w:r>
          </w:p>
        </w:tc>
      </w:tr>
      <w:tr w14:paraId="1FEE66DD" w14:textId="77777777" w:rsidTr="0080389D">
        <w:tblPrEx>
          <w:tblW w:w="9260" w:type="dxa"/>
          <w:tblLook w:val="04A0"/>
        </w:tblPrEx>
        <w:trPr>
          <w:trHeight w:val="84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406A85BC"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Cluster</w:t>
            </w:r>
          </w:p>
        </w:tc>
        <w:tc>
          <w:tcPr>
            <w:tcW w:w="5940" w:type="dxa"/>
            <w:tcBorders>
              <w:top w:val="nil"/>
              <w:left w:val="nil"/>
              <w:bottom w:val="single" w:sz="4" w:space="0" w:color="000000"/>
              <w:right w:val="single" w:sz="4" w:space="0" w:color="auto"/>
            </w:tcBorders>
          </w:tcPr>
          <w:p w:rsidR="00F95F45" w:rsidRPr="0080389D" w:rsidP="0080389D" w14:paraId="60E8672A" w14:textId="458834A1">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Office is multi-county, or serves a judicial circuit or district consisting of more than one county</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5199423B" w14:textId="67C3E300">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562</w:t>
            </w:r>
          </w:p>
        </w:tc>
      </w:tr>
      <w:tr w14:paraId="46C3300D" w14:textId="77777777" w:rsidTr="0080389D">
        <w:tblPrEx>
          <w:tblW w:w="9260" w:type="dxa"/>
          <w:tblLook w:val="04A0"/>
        </w:tblPrEx>
        <w:trPr>
          <w:trHeight w:val="140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17ECDEDD"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County</w:t>
            </w:r>
          </w:p>
        </w:tc>
        <w:tc>
          <w:tcPr>
            <w:tcW w:w="5940" w:type="dxa"/>
            <w:tcBorders>
              <w:top w:val="nil"/>
              <w:left w:val="nil"/>
              <w:bottom w:val="single" w:sz="4" w:space="0" w:color="000000"/>
              <w:right w:val="single" w:sz="4" w:space="0" w:color="auto"/>
            </w:tcBorders>
          </w:tcPr>
          <w:p w:rsidR="00F95F45" w:rsidRPr="0080389D" w:rsidP="0080389D" w14:paraId="514B0419" w14:textId="606F4256">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Office serves one county, an independent city/county equivalent, or a judicial district/circuit containing only one county</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752E8F10" w14:textId="4ECAB33D">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1054</w:t>
            </w:r>
          </w:p>
        </w:tc>
      </w:tr>
      <w:tr w14:paraId="07D071B3" w14:textId="77777777" w:rsidTr="0080389D">
        <w:tblPrEx>
          <w:tblW w:w="9260" w:type="dxa"/>
          <w:tblLook w:val="04A0"/>
        </w:tblPrEx>
        <w:trPr>
          <w:trHeight w:val="140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49173957" w14:textId="3A874C96">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Municipal County</w:t>
            </w:r>
            <w:r w:rsidR="00415F1D">
              <w:rPr>
                <w:rFonts w:ascii="Times New Roman" w:eastAsia="Times New Roman" w:hAnsi="Times New Roman" w:cs="Times New Roman"/>
                <w:color w:val="000000"/>
                <w:sz w:val="24"/>
                <w:szCs w:val="24"/>
              </w:rPr>
              <w:t xml:space="preserve"> or State,</w:t>
            </w:r>
            <w:r w:rsidRPr="0080389D">
              <w:rPr>
                <w:rFonts w:ascii="Times New Roman" w:eastAsia="Times New Roman" w:hAnsi="Times New Roman" w:cs="Times New Roman"/>
                <w:color w:val="000000"/>
                <w:sz w:val="24"/>
                <w:szCs w:val="24"/>
              </w:rPr>
              <w:t xml:space="preserve"> OTHER</w:t>
            </w:r>
          </w:p>
        </w:tc>
        <w:tc>
          <w:tcPr>
            <w:tcW w:w="5940" w:type="dxa"/>
            <w:tcBorders>
              <w:top w:val="nil"/>
              <w:left w:val="nil"/>
              <w:bottom w:val="single" w:sz="4" w:space="0" w:color="000000"/>
              <w:right w:val="single" w:sz="4" w:space="0" w:color="auto"/>
            </w:tcBorders>
          </w:tcPr>
          <w:p w:rsidR="00415F1D" w:rsidRPr="0080389D" w:rsidP="0080389D" w14:paraId="1C1F8330" w14:textId="73C2CA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Office is a non-profit public defender office serving indigent clients in municipal or county cases, sometimes on a contract basis across an entire state. </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1AFF978C" w14:textId="403D623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14:paraId="3874DB85" w14:textId="77777777" w:rsidTr="0080389D">
        <w:tblPrEx>
          <w:tblW w:w="9260" w:type="dxa"/>
          <w:tblLook w:val="04A0"/>
        </w:tblPrEx>
        <w:trPr>
          <w:trHeight w:val="168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6736C1AE"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Statewide</w:t>
            </w:r>
          </w:p>
        </w:tc>
        <w:tc>
          <w:tcPr>
            <w:tcW w:w="5940" w:type="dxa"/>
            <w:tcBorders>
              <w:top w:val="nil"/>
              <w:left w:val="nil"/>
              <w:bottom w:val="single" w:sz="4" w:space="0" w:color="000000"/>
              <w:right w:val="single" w:sz="4" w:space="0" w:color="auto"/>
            </w:tcBorders>
          </w:tcPr>
          <w:p w:rsidR="00F95F45" w:rsidRPr="0080389D" w:rsidP="0080389D" w14:paraId="64406356" w14:textId="76BA64F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w:t>
            </w:r>
            <w:r w:rsidRPr="0080389D">
              <w:rPr>
                <w:rFonts w:ascii="Times New Roman" w:eastAsia="Times New Roman" w:hAnsi="Times New Roman" w:cs="Times New Roman"/>
                <w:color w:val="000000"/>
                <w:sz w:val="24"/>
                <w:szCs w:val="24"/>
              </w:rPr>
              <w:t>ffices</w:t>
            </w:r>
            <w:r w:rsidR="00FA260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usually</w:t>
            </w:r>
            <w:r w:rsidRPr="0080389D">
              <w:rPr>
                <w:rFonts w:ascii="Times New Roman" w:eastAsia="Times New Roman" w:hAnsi="Times New Roman" w:cs="Times New Roman"/>
                <w:color w:val="000000"/>
                <w:sz w:val="24"/>
                <w:szCs w:val="24"/>
              </w:rPr>
              <w:t xml:space="preserve"> in statewide systems and often specialty offices like appellate defenders, juvenile defenders, etc</w:t>
            </w:r>
            <w:r>
              <w:rPr>
                <w:rFonts w:ascii="Times New Roman" w:eastAsia="Times New Roman" w:hAnsi="Times New Roman" w:cs="Times New Roman"/>
                <w:color w:val="000000"/>
                <w:sz w:val="24"/>
                <w:szCs w:val="24"/>
              </w:rPr>
              <w:t>.</w:t>
            </w:r>
            <w:r w:rsidRPr="0080389D">
              <w:rPr>
                <w:rFonts w:ascii="Times New Roman" w:eastAsia="Times New Roman" w:hAnsi="Times New Roman" w:cs="Times New Roman"/>
                <w:color w:val="000000"/>
                <w:sz w:val="24"/>
                <w:szCs w:val="24"/>
              </w:rPr>
              <w:t xml:space="preserve">) </w:t>
            </w:r>
            <w:r w:rsidR="00FA2604">
              <w:rPr>
                <w:rFonts w:ascii="Times New Roman" w:eastAsia="Times New Roman" w:hAnsi="Times New Roman" w:cs="Times New Roman"/>
                <w:color w:val="000000"/>
                <w:sz w:val="24"/>
                <w:szCs w:val="24"/>
              </w:rPr>
              <w:t>that</w:t>
            </w:r>
            <w:r w:rsidRPr="0080389D">
              <w:rPr>
                <w:rFonts w:ascii="Times New Roman" w:eastAsia="Times New Roman" w:hAnsi="Times New Roman" w:cs="Times New Roman"/>
                <w:color w:val="000000"/>
                <w:sz w:val="24"/>
                <w:szCs w:val="24"/>
              </w:rPr>
              <w:t xml:space="preserve"> take cases across </w:t>
            </w:r>
            <w:r>
              <w:rPr>
                <w:rFonts w:ascii="Times New Roman" w:eastAsia="Times New Roman" w:hAnsi="Times New Roman" w:cs="Times New Roman"/>
                <w:color w:val="000000"/>
                <w:sz w:val="24"/>
                <w:szCs w:val="24"/>
              </w:rPr>
              <w:t>an</w:t>
            </w:r>
            <w:r w:rsidRPr="0080389D">
              <w:rPr>
                <w:rFonts w:ascii="Times New Roman" w:eastAsia="Times New Roman" w:hAnsi="Times New Roman" w:cs="Times New Roman"/>
                <w:color w:val="000000"/>
                <w:sz w:val="24"/>
                <w:szCs w:val="24"/>
              </w:rPr>
              <w:t xml:space="preserve"> entire state</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3AB10E8C" w14:textId="375E207E">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44</w:t>
            </w:r>
            <w:r w:rsidR="00FA2604">
              <w:rPr>
                <w:rFonts w:ascii="Times New Roman" w:eastAsia="Times New Roman" w:hAnsi="Times New Roman" w:cs="Times New Roman"/>
                <w:color w:val="000000"/>
                <w:sz w:val="24"/>
                <w:szCs w:val="24"/>
              </w:rPr>
              <w:t>*</w:t>
            </w:r>
          </w:p>
        </w:tc>
      </w:tr>
      <w:tr w14:paraId="2CE87CA8" w14:textId="77777777" w:rsidTr="0080389D">
        <w:tblPrEx>
          <w:tblW w:w="9260" w:type="dxa"/>
          <w:tblLook w:val="04A0"/>
        </w:tblPrEx>
        <w:trPr>
          <w:trHeight w:val="168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76166204"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Territorial</w:t>
            </w:r>
          </w:p>
        </w:tc>
        <w:tc>
          <w:tcPr>
            <w:tcW w:w="5940" w:type="dxa"/>
            <w:tcBorders>
              <w:top w:val="nil"/>
              <w:left w:val="nil"/>
              <w:bottom w:val="single" w:sz="4" w:space="0" w:color="000000"/>
              <w:right w:val="single" w:sz="4" w:space="0" w:color="auto"/>
            </w:tcBorders>
          </w:tcPr>
          <w:p w:rsidR="00F95F45" w:rsidRPr="0080389D" w:rsidP="0080389D" w14:paraId="64A8DDF1" w14:textId="514CE5E6">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Office serves one of the US Territories</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53BB3873" w14:textId="152FC518">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8</w:t>
            </w:r>
          </w:p>
        </w:tc>
      </w:tr>
      <w:tr w14:paraId="36F1E072" w14:textId="77777777" w:rsidTr="0080389D">
        <w:tblPrEx>
          <w:tblW w:w="9260" w:type="dxa"/>
          <w:tblLook w:val="04A0"/>
        </w:tblPrEx>
        <w:trPr>
          <w:trHeight w:val="560"/>
        </w:trPr>
        <w:tc>
          <w:tcPr>
            <w:tcW w:w="2420" w:type="dxa"/>
            <w:tcBorders>
              <w:top w:val="nil"/>
              <w:left w:val="single" w:sz="8" w:space="0" w:color="000000"/>
              <w:bottom w:val="single" w:sz="4" w:space="0" w:color="000000"/>
              <w:right w:val="single" w:sz="4" w:space="0" w:color="000000"/>
            </w:tcBorders>
            <w:shd w:val="clear" w:color="auto" w:fill="auto"/>
            <w:noWrap/>
            <w:hideMark/>
          </w:tcPr>
          <w:p w:rsidR="00F95F45" w:rsidRPr="0080389D" w:rsidP="00712D2F" w14:paraId="6E02F4BF"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(blank)</w:t>
            </w:r>
          </w:p>
        </w:tc>
        <w:tc>
          <w:tcPr>
            <w:tcW w:w="5940" w:type="dxa"/>
            <w:tcBorders>
              <w:top w:val="nil"/>
              <w:left w:val="nil"/>
              <w:bottom w:val="single" w:sz="4" w:space="0" w:color="000000"/>
              <w:right w:val="single" w:sz="4" w:space="0" w:color="auto"/>
            </w:tcBorders>
          </w:tcPr>
          <w:p w:rsidR="00F95F45" w:rsidRPr="0080389D" w:rsidP="0080389D" w14:paraId="5AC64609" w14:textId="4278C3B9">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Jurisdiction unknown</w:t>
            </w:r>
          </w:p>
        </w:tc>
        <w:tc>
          <w:tcPr>
            <w:tcW w:w="900" w:type="dxa"/>
            <w:tcBorders>
              <w:top w:val="single" w:sz="4" w:space="0" w:color="000000"/>
              <w:left w:val="single" w:sz="4" w:space="0" w:color="auto"/>
              <w:bottom w:val="single" w:sz="4" w:space="0" w:color="000000"/>
              <w:right w:val="single" w:sz="8" w:space="0" w:color="000000"/>
            </w:tcBorders>
            <w:shd w:val="clear" w:color="auto" w:fill="auto"/>
            <w:noWrap/>
            <w:hideMark/>
          </w:tcPr>
          <w:p w:rsidR="00F95F45" w:rsidRPr="0080389D" w:rsidP="00712D2F" w14:paraId="02743AAD" w14:textId="3D57578B">
            <w:pPr>
              <w:spacing w:after="0" w:line="240" w:lineRule="auto"/>
              <w:jc w:val="center"/>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220</w:t>
            </w:r>
          </w:p>
        </w:tc>
      </w:tr>
      <w:tr w14:paraId="0F6D0DBC" w14:textId="77777777" w:rsidTr="0080389D">
        <w:tblPrEx>
          <w:tblW w:w="9260" w:type="dxa"/>
          <w:tblLook w:val="04A0"/>
        </w:tblPrEx>
        <w:trPr>
          <w:trHeight w:val="1120"/>
        </w:trPr>
        <w:tc>
          <w:tcPr>
            <w:tcW w:w="2420" w:type="dxa"/>
            <w:tcBorders>
              <w:top w:val="nil"/>
              <w:left w:val="single" w:sz="8" w:space="0" w:color="000000"/>
              <w:bottom w:val="single" w:sz="8" w:space="0" w:color="000000"/>
              <w:right w:val="single" w:sz="4" w:space="0" w:color="000000"/>
            </w:tcBorders>
            <w:shd w:val="clear" w:color="D8D8D8" w:fill="D8D8D8"/>
            <w:noWrap/>
            <w:hideMark/>
          </w:tcPr>
          <w:p w:rsidR="00F95F45" w:rsidRPr="0080389D" w:rsidP="00712D2F" w14:paraId="783C546C" w14:textId="77777777">
            <w:pPr>
              <w:spacing w:after="0" w:line="240" w:lineRule="auto"/>
              <w:rPr>
                <w:rFonts w:ascii="Times New Roman" w:eastAsia="Times New Roman" w:hAnsi="Times New Roman" w:cs="Times New Roman"/>
                <w:color w:val="000000"/>
                <w:sz w:val="24"/>
                <w:szCs w:val="24"/>
              </w:rPr>
            </w:pPr>
            <w:r w:rsidRPr="0080389D">
              <w:rPr>
                <w:rFonts w:ascii="Times New Roman" w:eastAsia="Times New Roman" w:hAnsi="Times New Roman" w:cs="Times New Roman"/>
                <w:color w:val="000000"/>
                <w:sz w:val="24"/>
                <w:szCs w:val="24"/>
              </w:rPr>
              <w:t>Total</w:t>
            </w:r>
          </w:p>
        </w:tc>
        <w:tc>
          <w:tcPr>
            <w:tcW w:w="5940" w:type="dxa"/>
            <w:tcBorders>
              <w:top w:val="nil"/>
              <w:left w:val="nil"/>
              <w:bottom w:val="single" w:sz="8" w:space="0" w:color="000000"/>
              <w:right w:val="single" w:sz="4" w:space="0" w:color="auto"/>
            </w:tcBorders>
            <w:shd w:val="clear" w:color="D8D8D8" w:fill="D8D8D8"/>
          </w:tcPr>
          <w:p w:rsidR="00F95F45" w:rsidRPr="0080389D" w:rsidP="00712D2F" w14:paraId="70B86C35" w14:textId="77777777">
            <w:pPr>
              <w:spacing w:after="0" w:line="240" w:lineRule="auto"/>
              <w:jc w:val="center"/>
              <w:rPr>
                <w:rFonts w:ascii="Times New Roman" w:eastAsia="Times New Roman" w:hAnsi="Times New Roman" w:cs="Times New Roman"/>
                <w:color w:val="000000"/>
                <w:sz w:val="24"/>
                <w:szCs w:val="24"/>
              </w:rPr>
            </w:pPr>
          </w:p>
        </w:tc>
        <w:tc>
          <w:tcPr>
            <w:tcW w:w="900" w:type="dxa"/>
            <w:tcBorders>
              <w:top w:val="single" w:sz="4" w:space="0" w:color="000000"/>
              <w:left w:val="single" w:sz="4" w:space="0" w:color="auto"/>
              <w:bottom w:val="single" w:sz="8" w:space="0" w:color="000000"/>
              <w:right w:val="single" w:sz="8" w:space="0" w:color="000000"/>
            </w:tcBorders>
            <w:shd w:val="clear" w:color="D8D8D8" w:fill="D8D8D8"/>
            <w:noWrap/>
            <w:hideMark/>
          </w:tcPr>
          <w:p w:rsidR="00F95F45" w:rsidRPr="0080389D" w:rsidP="00712D2F" w14:paraId="3D7F995D" w14:textId="2461C741">
            <w:pPr>
              <w:spacing w:after="0" w:line="240" w:lineRule="auto"/>
              <w:jc w:val="center"/>
              <w:rPr>
                <w:rFonts w:ascii="Times New Roman" w:eastAsia="Times New Roman" w:hAnsi="Times New Roman" w:cs="Times New Roman"/>
                <w:b/>
                <w:bCs/>
                <w:color w:val="000000"/>
                <w:sz w:val="24"/>
                <w:szCs w:val="24"/>
              </w:rPr>
            </w:pPr>
            <w:r w:rsidRPr="0080389D">
              <w:rPr>
                <w:rFonts w:ascii="Times New Roman" w:eastAsia="Times New Roman" w:hAnsi="Times New Roman" w:cs="Times New Roman"/>
                <w:b/>
                <w:bCs/>
                <w:color w:val="000000"/>
                <w:sz w:val="24"/>
                <w:szCs w:val="24"/>
              </w:rPr>
              <w:t>1892</w:t>
            </w:r>
            <w:r w:rsidR="00FA5679">
              <w:rPr>
                <w:rFonts w:ascii="Times New Roman" w:eastAsia="Times New Roman" w:hAnsi="Times New Roman" w:cs="Times New Roman"/>
                <w:b/>
                <w:bCs/>
                <w:color w:val="000000"/>
                <w:sz w:val="24"/>
                <w:szCs w:val="24"/>
              </w:rPr>
              <w:t>**</w:t>
            </w:r>
          </w:p>
        </w:tc>
      </w:tr>
    </w:tbl>
    <w:p w:rsidR="00712D2F" w:rsidRPr="00523B12" w:rsidP="00FA2604" w14:paraId="0AC8C2C0" w14:textId="71B9A1F3">
      <w:pPr>
        <w:spacing w:after="0" w:line="240" w:lineRule="auto"/>
        <w:rPr>
          <w:rFonts w:ascii="Times New Roman" w:hAnsi="Times New Roman" w:cs="Times New Roman"/>
        </w:rPr>
      </w:pPr>
      <w:r w:rsidRPr="00523B12">
        <w:rPr>
          <w:rFonts w:ascii="Times New Roman" w:hAnsi="Times New Roman" w:cs="Times New Roman"/>
        </w:rPr>
        <w:t xml:space="preserve">*Number exceeds the number of statewide systems identified earlier due to specialty offices.  </w:t>
      </w:r>
    </w:p>
    <w:p w:rsidR="00FA5679" w:rsidRPr="00523B12" w:rsidP="00FA2604" w14:paraId="46086B10" w14:textId="1824B36F">
      <w:pPr>
        <w:spacing w:after="0" w:line="240" w:lineRule="auto"/>
        <w:rPr>
          <w:rFonts w:ascii="Times New Roman" w:hAnsi="Times New Roman" w:cs="Times New Roman"/>
        </w:rPr>
      </w:pPr>
      <w:r w:rsidRPr="00523B12">
        <w:rPr>
          <w:rFonts w:ascii="Times New Roman" w:hAnsi="Times New Roman" w:cs="Times New Roman"/>
        </w:rPr>
        <w:t xml:space="preserve">**The total represented in the table reflects the status of the frame as of August 2024. </w:t>
      </w:r>
    </w:p>
    <w:p w:rsidR="00F92436" w:rsidRPr="00F92436" w:rsidP="00F92436" w14:paraId="69EB5650" w14:textId="77777777">
      <w:pPr>
        <w:spacing w:after="0" w:line="240" w:lineRule="auto"/>
        <w:rPr>
          <w:rFonts w:ascii="Times New Roman" w:hAnsi="Times New Roman" w:cs="Times New Roman"/>
          <w:sz w:val="24"/>
          <w:szCs w:val="24"/>
        </w:rPr>
      </w:pPr>
    </w:p>
    <w:p w:rsidR="004B56CF" w:rsidP="004B56CF" w14:paraId="5A54E2E7" w14:textId="1E1400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Six to eight weeks prior to the start of </w:t>
      </w:r>
      <w:r w:rsidR="00BC0700">
        <w:rPr>
          <w:rFonts w:ascii="Times New Roman" w:hAnsi="Times New Roman" w:cs="Times New Roman"/>
          <w:sz w:val="24"/>
          <w:szCs w:val="24"/>
        </w:rPr>
        <w:t>the 202</w:t>
      </w:r>
      <w:r w:rsidR="00701474">
        <w:rPr>
          <w:rFonts w:ascii="Times New Roman" w:hAnsi="Times New Roman" w:cs="Times New Roman"/>
          <w:sz w:val="24"/>
          <w:szCs w:val="24"/>
        </w:rPr>
        <w:t>5</w:t>
      </w:r>
      <w:r w:rsidR="00BC0700">
        <w:rPr>
          <w:rFonts w:ascii="Times New Roman" w:hAnsi="Times New Roman" w:cs="Times New Roman"/>
          <w:sz w:val="24"/>
          <w:szCs w:val="24"/>
        </w:rPr>
        <w:t xml:space="preserve"> CPDO </w:t>
      </w:r>
      <w:r>
        <w:rPr>
          <w:rFonts w:ascii="Times New Roman" w:hAnsi="Times New Roman" w:cs="Times New Roman"/>
          <w:sz w:val="24"/>
          <w:szCs w:val="24"/>
        </w:rPr>
        <w:t>data collection</w:t>
      </w:r>
      <w:r w:rsidR="005C129A">
        <w:rPr>
          <w:rFonts w:ascii="Times New Roman" w:hAnsi="Times New Roman" w:cs="Times New Roman"/>
          <w:sz w:val="24"/>
          <w:szCs w:val="24"/>
        </w:rPr>
        <w:t>,</w:t>
      </w:r>
      <w:r>
        <w:rPr>
          <w:rFonts w:ascii="Times New Roman" w:hAnsi="Times New Roman" w:cs="Times New Roman"/>
          <w:sz w:val="24"/>
          <w:szCs w:val="24"/>
        </w:rPr>
        <w:t xml:space="preserve"> NAPD will review the list of public defender offices and make outreach to </w:t>
      </w:r>
      <w:r w:rsidR="00B56EBB">
        <w:rPr>
          <w:rFonts w:ascii="Times New Roman" w:hAnsi="Times New Roman" w:cs="Times New Roman"/>
          <w:sz w:val="24"/>
          <w:szCs w:val="24"/>
        </w:rPr>
        <w:t xml:space="preserve">statewide </w:t>
      </w:r>
      <w:r>
        <w:rPr>
          <w:rFonts w:ascii="Times New Roman" w:hAnsi="Times New Roman" w:cs="Times New Roman"/>
          <w:sz w:val="24"/>
          <w:szCs w:val="24"/>
        </w:rPr>
        <w:t xml:space="preserve">contacts, to </w:t>
      </w:r>
      <w:r w:rsidR="00B56EBB">
        <w:rPr>
          <w:rFonts w:ascii="Times New Roman" w:hAnsi="Times New Roman" w:cs="Times New Roman"/>
          <w:sz w:val="24"/>
          <w:szCs w:val="24"/>
        </w:rPr>
        <w:t xml:space="preserve">confirm office level contact information </w:t>
      </w:r>
      <w:r w:rsidR="001F54BA">
        <w:rPr>
          <w:rFonts w:ascii="Times New Roman" w:hAnsi="Times New Roman" w:cs="Times New Roman"/>
          <w:sz w:val="24"/>
          <w:szCs w:val="24"/>
        </w:rPr>
        <w:t>in</w:t>
      </w:r>
      <w:r w:rsidR="00B56EBB">
        <w:rPr>
          <w:rFonts w:ascii="Times New Roman" w:hAnsi="Times New Roman" w:cs="Times New Roman"/>
          <w:sz w:val="24"/>
          <w:szCs w:val="24"/>
        </w:rPr>
        <w:t xml:space="preserve"> states where re-districting is underway.</w:t>
      </w:r>
      <w:r>
        <w:rPr>
          <w:rFonts w:ascii="Times New Roman" w:hAnsi="Times New Roman" w:cs="Times New Roman"/>
          <w:sz w:val="24"/>
          <w:szCs w:val="24"/>
        </w:rPr>
        <w:t xml:space="preserve"> Throughout the remainder of the project, the office list will be updated with any </w:t>
      </w:r>
      <w:r w:rsidR="005C129A">
        <w:rPr>
          <w:rFonts w:ascii="Times New Roman" w:hAnsi="Times New Roman" w:cs="Times New Roman"/>
          <w:sz w:val="24"/>
          <w:szCs w:val="24"/>
        </w:rPr>
        <w:t xml:space="preserve">leadership changes or </w:t>
      </w:r>
      <w:r>
        <w:rPr>
          <w:rFonts w:ascii="Times New Roman" w:hAnsi="Times New Roman" w:cs="Times New Roman"/>
          <w:sz w:val="24"/>
          <w:szCs w:val="24"/>
        </w:rPr>
        <w:t>new contact information discovered during data collection.</w:t>
      </w:r>
      <w:r w:rsidR="005C129A">
        <w:rPr>
          <w:rFonts w:ascii="Times New Roman" w:hAnsi="Times New Roman" w:cs="Times New Roman"/>
          <w:sz w:val="24"/>
          <w:szCs w:val="24"/>
        </w:rPr>
        <w:t xml:space="preserve"> The </w:t>
      </w:r>
      <w:r>
        <w:rPr>
          <w:rFonts w:ascii="Times New Roman" w:hAnsi="Times New Roman" w:cs="Times New Roman"/>
          <w:sz w:val="24"/>
          <w:szCs w:val="24"/>
        </w:rPr>
        <w:t>dynamic nature of frame maintenance will ensure the most current public defender leadership and office contact information is used for data collection</w:t>
      </w:r>
      <w:r w:rsidRPr="00F92436">
        <w:rPr>
          <w:rFonts w:ascii="Times New Roman" w:hAnsi="Times New Roman" w:cs="Times New Roman"/>
          <w:sz w:val="24"/>
          <w:szCs w:val="24"/>
        </w:rPr>
        <w:t>.</w:t>
      </w:r>
    </w:p>
    <w:p w:rsidR="00F92436" w:rsidP="00F92436" w14:paraId="10144676" w14:textId="09AD4998">
      <w:pPr>
        <w:spacing w:after="0" w:line="240" w:lineRule="auto"/>
        <w:rPr>
          <w:rFonts w:ascii="Times New Roman" w:hAnsi="Times New Roman" w:cs="Times New Roman"/>
          <w:sz w:val="24"/>
          <w:szCs w:val="24"/>
        </w:rPr>
      </w:pPr>
    </w:p>
    <w:p w:rsidR="00167E81" w:rsidP="00167E81" w14:paraId="14A02571" w14:textId="77777777">
      <w:pPr>
        <w:spacing w:after="0" w:line="240" w:lineRule="auto"/>
        <w:rPr>
          <w:rFonts w:ascii="Times New Roman" w:hAnsi="Times New Roman" w:cs="Times New Roman"/>
          <w:sz w:val="24"/>
          <w:szCs w:val="24"/>
        </w:rPr>
      </w:pPr>
    </w:p>
    <w:p w:rsidR="005B3085" w:rsidRPr="007B0DB1" w:rsidP="005B3085" w14:paraId="00EEF6DF"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2. Procedures for collecting </w:t>
      </w:r>
      <w:r>
        <w:rPr>
          <w:rFonts w:ascii="Times New Roman" w:hAnsi="Times New Roman" w:cs="Times New Roman"/>
          <w:b/>
          <w:sz w:val="24"/>
          <w:szCs w:val="24"/>
        </w:rPr>
        <w:t>information</w:t>
      </w:r>
    </w:p>
    <w:p w:rsidR="005B3085" w:rsidRPr="007B0DB1" w:rsidP="005B3085" w14:paraId="6A81876D" w14:textId="77777777">
      <w:pPr>
        <w:spacing w:after="0" w:line="240" w:lineRule="auto"/>
        <w:rPr>
          <w:rFonts w:ascii="Times New Roman" w:hAnsi="Times New Roman" w:cs="Times New Roman"/>
          <w:sz w:val="24"/>
          <w:szCs w:val="24"/>
        </w:rPr>
      </w:pPr>
    </w:p>
    <w:p w:rsidR="00FA5679" w:rsidP="00A80F31" w14:paraId="778E66E0" w14:textId="1A21EC22">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Data collection for the </w:t>
      </w:r>
      <w:r w:rsidRPr="008542A8" w:rsidR="00A74BE4">
        <w:rPr>
          <w:rFonts w:ascii="Times New Roman" w:hAnsi="Times New Roman" w:cs="Times New Roman"/>
          <w:sz w:val="24"/>
          <w:szCs w:val="24"/>
        </w:rPr>
        <w:t>CPDO</w:t>
      </w:r>
      <w:r w:rsidRPr="008542A8">
        <w:rPr>
          <w:rFonts w:ascii="Times New Roman" w:hAnsi="Times New Roman" w:cs="Times New Roman"/>
          <w:sz w:val="24"/>
          <w:szCs w:val="24"/>
        </w:rPr>
        <w:t xml:space="preserve"> will involve </w:t>
      </w:r>
      <w:r w:rsidRPr="008542A8" w:rsidR="003D4070">
        <w:rPr>
          <w:rFonts w:ascii="Times New Roman" w:hAnsi="Times New Roman" w:cs="Times New Roman"/>
          <w:sz w:val="24"/>
          <w:szCs w:val="24"/>
        </w:rPr>
        <w:t xml:space="preserve">a series of </w:t>
      </w:r>
      <w:r w:rsidR="001C4D32">
        <w:rPr>
          <w:rFonts w:ascii="Times New Roman" w:hAnsi="Times New Roman" w:cs="Times New Roman"/>
          <w:sz w:val="24"/>
          <w:szCs w:val="24"/>
        </w:rPr>
        <w:t xml:space="preserve">communication efforts </w:t>
      </w:r>
      <w:r w:rsidRPr="008542A8" w:rsidR="003D4070">
        <w:rPr>
          <w:rFonts w:ascii="Times New Roman" w:hAnsi="Times New Roman" w:cs="Times New Roman"/>
          <w:sz w:val="24"/>
          <w:szCs w:val="24"/>
        </w:rPr>
        <w:t xml:space="preserve">using multiple modes. </w:t>
      </w:r>
      <w:r>
        <w:rPr>
          <w:rFonts w:ascii="Times New Roman" w:hAnsi="Times New Roman" w:cs="Times New Roman"/>
          <w:sz w:val="24"/>
          <w:szCs w:val="24"/>
        </w:rPr>
        <w:t xml:space="preserve">Table 2 summarizes the office contacts and non-response follow up. </w:t>
      </w:r>
    </w:p>
    <w:p w:rsidR="00C50D7E" w14:paraId="3F58E6CF" w14:textId="301DEB31">
      <w:pPr>
        <w:rPr>
          <w:rFonts w:ascii="Times New Roman" w:hAnsi="Times New Roman" w:cs="Times New Roman"/>
          <w:b/>
          <w:bCs/>
          <w:sz w:val="24"/>
          <w:szCs w:val="24"/>
        </w:rPr>
      </w:pPr>
    </w:p>
    <w:p w:rsidR="00C50D7E" w:rsidP="00FA5679" w14:paraId="4FB1E3AF" w14:textId="77777777">
      <w:pPr>
        <w:spacing w:after="0" w:line="240" w:lineRule="auto"/>
        <w:rPr>
          <w:rFonts w:ascii="Times New Roman" w:hAnsi="Times New Roman" w:cs="Times New Roman"/>
          <w:b/>
          <w:bCs/>
          <w:sz w:val="24"/>
          <w:szCs w:val="24"/>
        </w:rPr>
        <w:sectPr w:rsidSect="00EE77C0">
          <w:headerReference w:type="default" r:id="rId6"/>
          <w:footerReference w:type="default" r:id="rId7"/>
          <w:pgSz w:w="12240" w:h="15840"/>
          <w:pgMar w:top="1440" w:right="1440" w:bottom="1440" w:left="1440" w:header="720" w:footer="720" w:gutter="0"/>
          <w:cols w:space="720"/>
          <w:docGrid w:linePitch="360"/>
        </w:sectPr>
      </w:pPr>
    </w:p>
    <w:p w:rsidR="00FA5679" w:rsidP="00FA5679" w14:paraId="2A9BD22D" w14:textId="3E9A4514">
      <w:pPr>
        <w:spacing w:after="0" w:line="240" w:lineRule="auto"/>
        <w:rPr>
          <w:rFonts w:ascii="Times New Roman" w:hAnsi="Times New Roman" w:cs="Times New Roman"/>
          <w:b/>
          <w:bCs/>
          <w:sz w:val="24"/>
          <w:szCs w:val="24"/>
        </w:rPr>
      </w:pPr>
      <w:r w:rsidRPr="00FA5679">
        <w:rPr>
          <w:rFonts w:ascii="Times New Roman" w:hAnsi="Times New Roman" w:cs="Times New Roman"/>
          <w:b/>
          <w:bCs/>
          <w:sz w:val="24"/>
          <w:szCs w:val="24"/>
        </w:rPr>
        <w:t>Table 2.  Contact Procedures</w:t>
      </w:r>
    </w:p>
    <w:p w:rsidR="00C50D7E" w:rsidRPr="00FA5679" w:rsidP="00FA5679" w14:paraId="748517E2" w14:textId="77777777">
      <w:pPr>
        <w:spacing w:after="0" w:line="240" w:lineRule="auto"/>
        <w:rPr>
          <w:rFonts w:ascii="Times New Roman" w:hAnsi="Times New Roman" w:cs="Times New Roman"/>
          <w:b/>
          <w:bCs/>
          <w:sz w:val="24"/>
          <w:szCs w:val="24"/>
        </w:rPr>
      </w:pPr>
    </w:p>
    <w:tbl>
      <w:tblPr>
        <w:tblW w:w="12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
      <w:tblGrid>
        <w:gridCol w:w="1070"/>
        <w:gridCol w:w="1255"/>
        <w:gridCol w:w="3060"/>
        <w:gridCol w:w="3150"/>
        <w:gridCol w:w="4230"/>
      </w:tblGrid>
      <w:tr w14:paraId="17F81B3B" w14:textId="77777777" w:rsidTr="00C50D7E">
        <w:tblPrEx>
          <w:tblW w:w="127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tblPrEx>
        <w:trPr>
          <w:trHeight w:val="348"/>
          <w:tblHeader/>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6DAE064" w14:textId="77777777">
            <w:pPr>
              <w:spacing w:after="0" w:line="240" w:lineRule="auto"/>
              <w:rPr>
                <w:rFonts w:ascii="Times New Roman" w:hAnsi="Times New Roman" w:cs="Times New Roman"/>
                <w:b/>
                <w:sz w:val="24"/>
                <w:szCs w:val="24"/>
              </w:rPr>
            </w:pPr>
            <w:r w:rsidRPr="00FA5679">
              <w:rPr>
                <w:rFonts w:ascii="Times New Roman" w:hAnsi="Times New Roman" w:cs="Times New Roman"/>
                <w:b/>
                <w:sz w:val="24"/>
                <w:szCs w:val="24"/>
              </w:rPr>
              <w:t>Contact</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05DF2038" w14:textId="77777777">
            <w:pPr>
              <w:spacing w:after="0" w:line="240" w:lineRule="auto"/>
              <w:rPr>
                <w:rFonts w:ascii="Times New Roman" w:hAnsi="Times New Roman" w:cs="Times New Roman"/>
                <w:b/>
                <w:sz w:val="24"/>
                <w:szCs w:val="24"/>
              </w:rPr>
            </w:pPr>
            <w:r w:rsidRPr="00FA5679">
              <w:rPr>
                <w:rFonts w:ascii="Times New Roman" w:hAnsi="Times New Roman" w:cs="Times New Roman"/>
                <w:b/>
                <w:sz w:val="24"/>
                <w:szCs w:val="24"/>
              </w:rPr>
              <w:t>Attachment</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BE3A72F" w14:textId="77777777">
            <w:pPr>
              <w:spacing w:after="0" w:line="240" w:lineRule="auto"/>
              <w:rPr>
                <w:rFonts w:ascii="Times New Roman" w:hAnsi="Times New Roman" w:cs="Times New Roman"/>
                <w:b/>
                <w:sz w:val="24"/>
                <w:szCs w:val="24"/>
              </w:rPr>
            </w:pPr>
            <w:r w:rsidRPr="00FA5679">
              <w:rPr>
                <w:rFonts w:ascii="Times New Roman" w:hAnsi="Times New Roman" w:cs="Times New Roman"/>
                <w:b/>
                <w:sz w:val="24"/>
                <w:szCs w:val="24"/>
              </w:rPr>
              <w:t>Contact Description</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C50D7E" w14:paraId="38F41708" w14:textId="354AAB98">
            <w:pPr>
              <w:spacing w:after="0" w:line="240" w:lineRule="auto"/>
              <w:rPr>
                <w:rFonts w:ascii="Times New Roman" w:hAnsi="Times New Roman" w:cs="Times New Roman"/>
                <w:b/>
                <w:sz w:val="24"/>
                <w:szCs w:val="24"/>
              </w:rPr>
            </w:pPr>
            <w:r w:rsidRPr="00FA5679">
              <w:rPr>
                <w:rFonts w:ascii="Times New Roman" w:hAnsi="Times New Roman" w:cs="Times New Roman"/>
                <w:b/>
                <w:sz w:val="24"/>
                <w:szCs w:val="24"/>
              </w:rPr>
              <w:t>Timing</w:t>
            </w:r>
            <w:r w:rsidR="00C50D7E">
              <w:rPr>
                <w:rFonts w:ascii="Times New Roman" w:hAnsi="Times New Roman" w:cs="Times New Roman"/>
                <w:b/>
                <w:sz w:val="24"/>
                <w:szCs w:val="24"/>
              </w:rPr>
              <w:t xml:space="preserve"> </w:t>
            </w:r>
            <w:r w:rsidRPr="00FA5679">
              <w:rPr>
                <w:rFonts w:ascii="Times New Roman" w:hAnsi="Times New Roman" w:cs="Times New Roman"/>
                <w:b/>
                <w:sz w:val="24"/>
                <w:szCs w:val="24"/>
              </w:rPr>
              <w:t>of Contact</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072455B1" w14:textId="77777777">
            <w:pPr>
              <w:spacing w:after="0" w:line="240" w:lineRule="auto"/>
              <w:rPr>
                <w:rFonts w:ascii="Times New Roman" w:hAnsi="Times New Roman" w:cs="Times New Roman"/>
                <w:b/>
                <w:sz w:val="24"/>
                <w:szCs w:val="24"/>
              </w:rPr>
            </w:pPr>
            <w:r w:rsidRPr="00FA5679">
              <w:rPr>
                <w:rFonts w:ascii="Times New Roman" w:hAnsi="Times New Roman" w:cs="Times New Roman"/>
                <w:b/>
                <w:sz w:val="24"/>
                <w:szCs w:val="24"/>
              </w:rPr>
              <w:t>Details</w:t>
            </w:r>
          </w:p>
        </w:tc>
      </w:tr>
      <w:tr w14:paraId="666BD644"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24395531"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4685F977" w14:textId="2F21A511">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 7 </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C50D7E" w14:paraId="10CD4861" w14:textId="041EB2DA">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Pre-notification letter from BJS</w:t>
            </w:r>
            <w:r w:rsidR="00C50D7E">
              <w:rPr>
                <w:rFonts w:ascii="Times New Roman" w:hAnsi="Times New Roman" w:cs="Times New Roman"/>
                <w:sz w:val="24"/>
                <w:szCs w:val="24"/>
              </w:rPr>
              <w:t xml:space="preserve"> </w:t>
            </w:r>
            <w:r w:rsidRPr="00FA5679">
              <w:rPr>
                <w:rFonts w:ascii="Times New Roman" w:hAnsi="Times New Roman" w:cs="Times New Roman"/>
                <w:sz w:val="24"/>
                <w:szCs w:val="24"/>
              </w:rPr>
              <w:t>with CPDO Overview (mail)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2E5E74AD"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 week before data collection begins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78AED69A"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all offices via USPS</w:t>
            </w:r>
          </w:p>
        </w:tc>
      </w:tr>
      <w:tr w14:paraId="3F193C57"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207E683"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2</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14231A71"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8</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21BA1547"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Invitation letter with the survey link (email)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7ACF0F6B"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Start of data collection</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748F78C6"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Send to all offices via email </w:t>
            </w:r>
          </w:p>
        </w:tc>
      </w:tr>
      <w:tr w14:paraId="22488269"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462CAB8C"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3</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3ABE00D0"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9a, 9b</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2631F512"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Ad hoc survey link (email)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65936E48"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Throughout data collection</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63FAA994"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Send to all offices requesting the survey link on an ad hoc basis or when sections are delegated to staff within the office. </w:t>
            </w:r>
          </w:p>
        </w:tc>
      </w:tr>
      <w:tr w14:paraId="36410055" w14:textId="77777777" w:rsidTr="00C50D7E">
        <w:tblPrEx>
          <w:tblW w:w="12765" w:type="dxa"/>
          <w:tblLayout w:type="fixed"/>
          <w:tblCellMar>
            <w:left w:w="0" w:type="dxa"/>
            <w:right w:w="0" w:type="dxa"/>
          </w:tblCellMar>
          <w:tblLook w:val="04A0"/>
        </w:tblPrEx>
        <w:trPr>
          <w:trHeight w:val="304"/>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2BFC259"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4</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218F9FC2"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10a, 10b, 10c, 10d, 10e</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1DF09DA3"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Reminder message from project team and BJS (email)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2DC269F"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2 weeks after data collection begins and then once per week until week 36</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42C26246"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non-responding offices via email</w:t>
            </w:r>
          </w:p>
        </w:tc>
      </w:tr>
      <w:tr w14:paraId="3AEF2770" w14:textId="77777777" w:rsidTr="00C50D7E">
        <w:tblPrEx>
          <w:tblW w:w="12765" w:type="dxa"/>
          <w:tblLayout w:type="fixed"/>
          <w:tblCellMar>
            <w:left w:w="0" w:type="dxa"/>
            <w:right w:w="0" w:type="dxa"/>
          </w:tblCellMar>
          <w:tblLook w:val="04A0"/>
        </w:tblPrEx>
        <w:trPr>
          <w:trHeight w:val="30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76B67BBE"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5</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51B61112"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11</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0B9D2DA"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Reminder letter and hardcopy survey (mail) </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3DAE3F1"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4 weeks after data collection begins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7F6759DB"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non-responding offices via USPS mail</w:t>
            </w:r>
          </w:p>
        </w:tc>
      </w:tr>
      <w:tr w14:paraId="17B602AE"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3C8B75A"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6</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462EABFF"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12</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789273D"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Reminder calls from NORC (telephone)</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3B2FB38" w14:textId="5403BFE0">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Pr="00FA5679">
              <w:rPr>
                <w:rFonts w:ascii="Times New Roman" w:hAnsi="Times New Roman" w:cs="Times New Roman"/>
                <w:sz w:val="24"/>
                <w:szCs w:val="24"/>
              </w:rPr>
              <w:t xml:space="preserve"> weeks after data collection begins and every 3 weeks until the close of data collection </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745C65B0"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Call non-responding offices</w:t>
            </w:r>
          </w:p>
        </w:tc>
      </w:tr>
      <w:tr w14:paraId="48639CC3"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C919CDC"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7</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393B80FC"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13</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AD00DF4"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Reminder letter from BJS and hardcopy survey (mail) </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AB40B47" w14:textId="0C8FB68D">
            <w:pPr>
              <w:spacing w:after="0" w:line="240" w:lineRule="auto"/>
              <w:rPr>
                <w:rFonts w:ascii="Times New Roman" w:hAnsi="Times New Roman" w:cs="Times New Roman"/>
                <w:sz w:val="24"/>
                <w:szCs w:val="24"/>
              </w:rPr>
            </w:pPr>
            <w:r>
              <w:rPr>
                <w:rFonts w:ascii="Times New Roman" w:hAnsi="Times New Roman" w:cs="Times New Roman"/>
                <w:sz w:val="24"/>
                <w:szCs w:val="24"/>
              </w:rPr>
              <w:t>12</w:t>
            </w:r>
            <w:r w:rsidRPr="00FA5679">
              <w:rPr>
                <w:rFonts w:ascii="Times New Roman" w:hAnsi="Times New Roman" w:cs="Times New Roman"/>
                <w:sz w:val="24"/>
                <w:szCs w:val="24"/>
              </w:rPr>
              <w:t xml:space="preserve"> weeks after data collection begins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48218121"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non-responding offices via USPS mail</w:t>
            </w:r>
          </w:p>
        </w:tc>
      </w:tr>
      <w:tr w14:paraId="631855F8"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081D383"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8</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7F9C06ED"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14</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1FC2B719"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Reminder from project team (mail)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BF6FD72" w14:textId="21F79811">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FA5679">
              <w:rPr>
                <w:rFonts w:ascii="Times New Roman" w:hAnsi="Times New Roman" w:cs="Times New Roman"/>
                <w:sz w:val="24"/>
                <w:szCs w:val="24"/>
              </w:rPr>
              <w:t xml:space="preserve"> weeks after data collection begins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1D65BD35"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non-responding offices via USPS mail</w:t>
            </w:r>
          </w:p>
        </w:tc>
      </w:tr>
      <w:tr w14:paraId="616C3780"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37A70261"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9</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1D1323AC"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15</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24C4E90"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Reminder calls from NAPD (telephone)</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446E8BF5" w14:textId="5A247525">
            <w:pPr>
              <w:spacing w:after="0" w:line="240" w:lineRule="auto"/>
              <w:rPr>
                <w:rFonts w:ascii="Times New Roman" w:hAnsi="Times New Roman" w:cs="Times New Roman"/>
                <w:sz w:val="24"/>
                <w:szCs w:val="24"/>
              </w:rPr>
            </w:pPr>
            <w:r>
              <w:rPr>
                <w:rFonts w:ascii="Times New Roman" w:hAnsi="Times New Roman" w:cs="Times New Roman"/>
                <w:sz w:val="24"/>
                <w:szCs w:val="24"/>
              </w:rPr>
              <w:t>16</w:t>
            </w:r>
            <w:r w:rsidRPr="00FA5679">
              <w:rPr>
                <w:rFonts w:ascii="Times New Roman" w:hAnsi="Times New Roman" w:cs="Times New Roman"/>
                <w:sz w:val="24"/>
                <w:szCs w:val="24"/>
              </w:rPr>
              <w:t xml:space="preserve"> weeks after data collection begins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5FFBFED6"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Call non-responding offices</w:t>
            </w:r>
          </w:p>
        </w:tc>
      </w:tr>
      <w:tr w14:paraId="0C73968F" w14:textId="77777777" w:rsidTr="00C50D7E">
        <w:tblPrEx>
          <w:tblW w:w="12765" w:type="dxa"/>
          <w:tblLayout w:type="fixed"/>
          <w:tblCellMar>
            <w:left w:w="0" w:type="dxa"/>
            <w:right w:w="0" w:type="dxa"/>
          </w:tblCellMar>
          <w:tblLook w:val="04A0"/>
        </w:tblPrEx>
        <w:trPr>
          <w:trHeight w:val="530"/>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0F9A0896"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10</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2348293A"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16</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22625B88"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Last chance communication postcard from BJS</w:t>
            </w:r>
          </w:p>
          <w:p w:rsidR="00FA5679" w:rsidRPr="00FA5679" w:rsidP="00FA5679" w14:paraId="325E327F"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62C3ED8E" w14:textId="44F2EA80">
            <w:pPr>
              <w:spacing w:after="0" w:line="240" w:lineRule="auto"/>
              <w:rPr>
                <w:rFonts w:ascii="Times New Roman" w:hAnsi="Times New Roman" w:cs="Times New Roman"/>
                <w:sz w:val="24"/>
                <w:szCs w:val="24"/>
              </w:rPr>
            </w:pPr>
            <w:r>
              <w:rPr>
                <w:rFonts w:ascii="Times New Roman" w:hAnsi="Times New Roman" w:cs="Times New Roman"/>
                <w:sz w:val="24"/>
                <w:szCs w:val="24"/>
              </w:rPr>
              <w:t>20</w:t>
            </w:r>
            <w:r w:rsidRPr="00FA5679">
              <w:rPr>
                <w:rFonts w:ascii="Times New Roman" w:hAnsi="Times New Roman" w:cs="Times New Roman"/>
                <w:sz w:val="24"/>
                <w:szCs w:val="24"/>
              </w:rPr>
              <w:t xml:space="preserve"> weeks after data collection begins and 4 weeks before data collection closes</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117D3C00"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Send to non-responding offices via USPS mail </w:t>
            </w:r>
          </w:p>
        </w:tc>
      </w:tr>
      <w:tr w14:paraId="4206CABC" w14:textId="77777777" w:rsidTr="00C50D7E">
        <w:tblPrEx>
          <w:tblW w:w="12765" w:type="dxa"/>
          <w:tblLayout w:type="fixed"/>
          <w:tblCellMar>
            <w:left w:w="0" w:type="dxa"/>
            <w:right w:w="0" w:type="dxa"/>
          </w:tblCellMar>
          <w:tblLook w:val="04A0"/>
        </w:tblPrEx>
        <w:trPr>
          <w:trHeight w:val="312"/>
        </w:trPr>
        <w:tc>
          <w:tcPr>
            <w:tcW w:w="107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49639529"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11</w:t>
            </w:r>
          </w:p>
        </w:tc>
        <w:tc>
          <w:tcPr>
            <w:tcW w:w="1255" w:type="dxa"/>
            <w:tcBorders>
              <w:top w:val="single" w:sz="12" w:space="0" w:color="auto"/>
              <w:left w:val="single" w:sz="12" w:space="0" w:color="auto"/>
              <w:bottom w:val="single" w:sz="12" w:space="0" w:color="auto"/>
              <w:right w:val="single" w:sz="12" w:space="0" w:color="auto"/>
            </w:tcBorders>
            <w:hideMark/>
          </w:tcPr>
          <w:p w:rsidR="00FA5679" w:rsidRPr="00FA5679" w:rsidP="00FA5679" w14:paraId="0C5E1BFE"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17</w:t>
            </w:r>
          </w:p>
        </w:tc>
        <w:tc>
          <w:tcPr>
            <w:tcW w:w="306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11648770"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 xml:space="preserve">Thank </w:t>
            </w:r>
            <w:r w:rsidRPr="00FA5679">
              <w:rPr>
                <w:rFonts w:ascii="Times New Roman" w:hAnsi="Times New Roman" w:cs="Times New Roman"/>
                <w:sz w:val="24"/>
                <w:szCs w:val="24"/>
              </w:rPr>
              <w:t>you letter (email)</w:t>
            </w:r>
          </w:p>
        </w:tc>
        <w:tc>
          <w:tcPr>
            <w:tcW w:w="3150"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A5679" w:rsidRPr="00FA5679" w:rsidP="00FA5679" w14:paraId="58AC94F3"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Upon survey completion</w:t>
            </w:r>
          </w:p>
        </w:tc>
        <w:tc>
          <w:tcPr>
            <w:tcW w:w="4230" w:type="dxa"/>
            <w:tcBorders>
              <w:top w:val="single" w:sz="12" w:space="0" w:color="auto"/>
              <w:left w:val="single" w:sz="12" w:space="0" w:color="auto"/>
              <w:bottom w:val="single" w:sz="12" w:space="0" w:color="auto"/>
              <w:right w:val="single" w:sz="12" w:space="0" w:color="auto"/>
            </w:tcBorders>
            <w:hideMark/>
          </w:tcPr>
          <w:p w:rsidR="00FA5679" w:rsidRPr="00FA5679" w:rsidP="00FA5679" w14:paraId="6FDB1022" w14:textId="77777777">
            <w:pPr>
              <w:spacing w:after="0" w:line="240" w:lineRule="auto"/>
              <w:rPr>
                <w:rFonts w:ascii="Times New Roman" w:hAnsi="Times New Roman" w:cs="Times New Roman"/>
                <w:sz w:val="24"/>
                <w:szCs w:val="24"/>
              </w:rPr>
            </w:pPr>
            <w:r w:rsidRPr="00FA5679">
              <w:rPr>
                <w:rFonts w:ascii="Times New Roman" w:hAnsi="Times New Roman" w:cs="Times New Roman"/>
                <w:sz w:val="24"/>
                <w:szCs w:val="24"/>
              </w:rPr>
              <w:t>Send to each office as they complete the survey</w:t>
            </w:r>
          </w:p>
        </w:tc>
      </w:tr>
    </w:tbl>
    <w:p w:rsidR="00C50D7E" w:rsidP="00A80F31" w14:paraId="37361059" w14:textId="77777777">
      <w:pPr>
        <w:spacing w:after="0" w:line="240" w:lineRule="auto"/>
        <w:rPr>
          <w:rFonts w:ascii="Times New Roman" w:hAnsi="Times New Roman" w:cs="Times New Roman"/>
          <w:sz w:val="24"/>
          <w:szCs w:val="24"/>
        </w:rPr>
        <w:sectPr w:rsidSect="00C50D7E">
          <w:pgSz w:w="15840" w:h="12240" w:orient="landscape"/>
          <w:pgMar w:top="1440" w:right="1440" w:bottom="1440" w:left="1440" w:header="720" w:footer="720" w:gutter="0"/>
          <w:cols w:space="720"/>
          <w:docGrid w:linePitch="360"/>
        </w:sectPr>
      </w:pPr>
    </w:p>
    <w:p w:rsidR="001D3416" w:rsidP="00A80F31" w14:paraId="059C2983" w14:textId="55733A83">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Data collection will begin with a </w:t>
      </w:r>
      <w:r w:rsidR="00BE7576">
        <w:rPr>
          <w:rFonts w:ascii="Times New Roman" w:hAnsi="Times New Roman" w:cs="Times New Roman"/>
          <w:sz w:val="24"/>
          <w:szCs w:val="24"/>
        </w:rPr>
        <w:t xml:space="preserve">BJS </w:t>
      </w:r>
      <w:r w:rsidRPr="008542A8">
        <w:rPr>
          <w:rFonts w:ascii="Times New Roman" w:hAnsi="Times New Roman" w:cs="Times New Roman"/>
          <w:sz w:val="24"/>
          <w:szCs w:val="24"/>
        </w:rPr>
        <w:t xml:space="preserve">pre-notification letter </w:t>
      </w:r>
      <w:r w:rsidRPr="008542A8" w:rsidR="00875380">
        <w:rPr>
          <w:rFonts w:ascii="Times New Roman" w:hAnsi="Times New Roman" w:cs="Times New Roman"/>
          <w:color w:val="000000"/>
          <w:sz w:val="24"/>
          <w:szCs w:val="24"/>
        </w:rPr>
        <w:t>signed by the BJS Acting Director</w:t>
      </w:r>
      <w:r w:rsidRPr="008542A8" w:rsidR="00875380">
        <w:rPr>
          <w:rFonts w:ascii="Times New Roman" w:hAnsi="Times New Roman" w:cs="Times New Roman"/>
          <w:sz w:val="24"/>
          <w:szCs w:val="24"/>
        </w:rPr>
        <w:t xml:space="preserve"> </w:t>
      </w:r>
      <w:r w:rsidRPr="008542A8">
        <w:rPr>
          <w:rFonts w:ascii="Times New Roman" w:hAnsi="Times New Roman" w:cs="Times New Roman"/>
          <w:sz w:val="24"/>
          <w:szCs w:val="24"/>
        </w:rPr>
        <w:t xml:space="preserve">mailed </w:t>
      </w:r>
      <w:r w:rsidR="00100570">
        <w:rPr>
          <w:rFonts w:ascii="Times New Roman" w:hAnsi="Times New Roman" w:cs="Times New Roman"/>
          <w:sz w:val="24"/>
          <w:szCs w:val="24"/>
        </w:rPr>
        <w:t xml:space="preserve">via USPS </w:t>
      </w:r>
      <w:r w:rsidRPr="008542A8">
        <w:rPr>
          <w:rFonts w:ascii="Times New Roman" w:hAnsi="Times New Roman" w:cs="Times New Roman"/>
          <w:sz w:val="24"/>
          <w:szCs w:val="24"/>
        </w:rPr>
        <w:t xml:space="preserve">to each eligible </w:t>
      </w:r>
      <w:r w:rsidR="007229DF">
        <w:rPr>
          <w:rFonts w:ascii="Times New Roman" w:hAnsi="Times New Roman" w:cs="Times New Roman"/>
          <w:sz w:val="24"/>
          <w:szCs w:val="24"/>
        </w:rPr>
        <w:t>public defender office</w:t>
      </w:r>
      <w:r w:rsidRPr="00875380" w:rsidR="00875380">
        <w:rPr>
          <w:rFonts w:ascii="Times New Roman" w:hAnsi="Times New Roman" w:cs="Times New Roman"/>
          <w:sz w:val="24"/>
          <w:szCs w:val="24"/>
        </w:rPr>
        <w:t xml:space="preserve"> </w:t>
      </w:r>
      <w:r w:rsidR="00875380">
        <w:rPr>
          <w:rFonts w:ascii="Times New Roman" w:hAnsi="Times New Roman" w:cs="Times New Roman"/>
          <w:sz w:val="24"/>
          <w:szCs w:val="24"/>
        </w:rPr>
        <w:t>(</w:t>
      </w:r>
      <w:r w:rsidR="00E1602A">
        <w:rPr>
          <w:rFonts w:ascii="Times New Roman" w:hAnsi="Times New Roman" w:cs="Times New Roman"/>
          <w:b/>
          <w:bCs/>
          <w:sz w:val="24"/>
          <w:szCs w:val="24"/>
        </w:rPr>
        <w:t xml:space="preserve">Attachment </w:t>
      </w:r>
      <w:r w:rsidR="00967486">
        <w:rPr>
          <w:rFonts w:ascii="Times New Roman" w:hAnsi="Times New Roman" w:cs="Times New Roman"/>
          <w:b/>
          <w:bCs/>
          <w:sz w:val="24"/>
          <w:szCs w:val="24"/>
        </w:rPr>
        <w:t>7</w:t>
      </w:r>
      <w:r w:rsidR="00875380">
        <w:rPr>
          <w:rFonts w:ascii="Times New Roman" w:hAnsi="Times New Roman" w:cs="Times New Roman"/>
          <w:b/>
          <w:bCs/>
          <w:sz w:val="24"/>
          <w:szCs w:val="24"/>
        </w:rPr>
        <w:t>)</w:t>
      </w:r>
      <w:r w:rsidRPr="008542A8" w:rsidR="00875380">
        <w:rPr>
          <w:rFonts w:ascii="Times New Roman" w:hAnsi="Times New Roman" w:cs="Times New Roman"/>
          <w:sz w:val="24"/>
          <w:szCs w:val="24"/>
        </w:rPr>
        <w:t>.</w:t>
      </w:r>
      <w:r w:rsidRPr="008542A8">
        <w:rPr>
          <w:rFonts w:ascii="Times New Roman" w:hAnsi="Times New Roman" w:cs="Times New Roman"/>
          <w:sz w:val="24"/>
          <w:szCs w:val="24"/>
        </w:rPr>
        <w:t xml:space="preserve"> </w:t>
      </w:r>
      <w:r w:rsidRPr="008542A8" w:rsidR="00875380">
        <w:rPr>
          <w:rFonts w:ascii="Times New Roman" w:hAnsi="Times New Roman" w:cs="Times New Roman"/>
          <w:color w:val="000000"/>
          <w:sz w:val="24"/>
          <w:szCs w:val="24"/>
        </w:rPr>
        <w:t>The letter will inform each</w:t>
      </w:r>
      <w:r w:rsidR="00A80F31">
        <w:rPr>
          <w:rFonts w:ascii="Times New Roman" w:hAnsi="Times New Roman" w:cs="Times New Roman"/>
          <w:color w:val="000000"/>
          <w:sz w:val="24"/>
          <w:szCs w:val="24"/>
        </w:rPr>
        <w:t xml:space="preserve"> office</w:t>
      </w:r>
      <w:r w:rsidRPr="008542A8" w:rsidR="00875380">
        <w:rPr>
          <w:rFonts w:ascii="Times New Roman" w:hAnsi="Times New Roman" w:cs="Times New Roman"/>
          <w:color w:val="000000"/>
          <w:sz w:val="24"/>
          <w:szCs w:val="24"/>
        </w:rPr>
        <w:t xml:space="preserve"> of the upcoming CPDO data collection, the reason for the collection, importance of the data to the </w:t>
      </w:r>
      <w:r w:rsidR="007229DF">
        <w:rPr>
          <w:rFonts w:ascii="Times New Roman" w:hAnsi="Times New Roman" w:cs="Times New Roman"/>
          <w:color w:val="000000"/>
          <w:sz w:val="24"/>
          <w:szCs w:val="24"/>
        </w:rPr>
        <w:t>public defender</w:t>
      </w:r>
      <w:r w:rsidRPr="008542A8" w:rsidR="00875380">
        <w:rPr>
          <w:rFonts w:ascii="Times New Roman" w:hAnsi="Times New Roman" w:cs="Times New Roman"/>
          <w:color w:val="000000"/>
          <w:sz w:val="24"/>
          <w:szCs w:val="24"/>
        </w:rPr>
        <w:t xml:space="preserve"> community</w:t>
      </w:r>
      <w:r w:rsidR="007229DF">
        <w:rPr>
          <w:rFonts w:ascii="Times New Roman" w:hAnsi="Times New Roman" w:cs="Times New Roman"/>
          <w:color w:val="000000"/>
          <w:sz w:val="24"/>
          <w:szCs w:val="24"/>
        </w:rPr>
        <w:t>,</w:t>
      </w:r>
      <w:r w:rsidRPr="008542A8" w:rsidR="00875380">
        <w:rPr>
          <w:rFonts w:ascii="Times New Roman" w:hAnsi="Times New Roman" w:cs="Times New Roman"/>
          <w:color w:val="000000"/>
          <w:sz w:val="24"/>
          <w:szCs w:val="24"/>
        </w:rPr>
        <w:t xml:space="preserve"> and contact information for any questions the office may have.</w:t>
      </w:r>
      <w:r w:rsidR="00A80F31">
        <w:rPr>
          <w:rFonts w:ascii="Times New Roman" w:hAnsi="Times New Roman" w:cs="Times New Roman"/>
          <w:color w:val="000000"/>
          <w:sz w:val="24"/>
          <w:szCs w:val="24"/>
        </w:rPr>
        <w:t xml:space="preserve"> </w:t>
      </w:r>
      <w:bookmarkStart w:id="1" w:name="_Hlk164954484"/>
      <w:r w:rsidRPr="008542A8">
        <w:rPr>
          <w:rFonts w:ascii="Times New Roman" w:hAnsi="Times New Roman" w:cs="Times New Roman"/>
          <w:sz w:val="24"/>
          <w:szCs w:val="24"/>
        </w:rPr>
        <w:t>One week after the pre-notification letter is sent,</w:t>
      </w:r>
      <w:r w:rsidR="00875380">
        <w:rPr>
          <w:rFonts w:ascii="Times New Roman" w:hAnsi="Times New Roman" w:cs="Times New Roman"/>
          <w:sz w:val="24"/>
          <w:szCs w:val="24"/>
        </w:rPr>
        <w:t xml:space="preserve"> the project team will email</w:t>
      </w:r>
      <w:r w:rsidRPr="008542A8">
        <w:rPr>
          <w:rFonts w:ascii="Times New Roman" w:hAnsi="Times New Roman" w:cs="Times New Roman"/>
          <w:sz w:val="24"/>
          <w:szCs w:val="24"/>
        </w:rPr>
        <w:t xml:space="preserve"> the formal invitation letter and </w:t>
      </w:r>
      <w:r w:rsidR="00875380">
        <w:rPr>
          <w:rFonts w:ascii="Times New Roman" w:hAnsi="Times New Roman" w:cs="Times New Roman"/>
          <w:sz w:val="24"/>
          <w:szCs w:val="24"/>
        </w:rPr>
        <w:t xml:space="preserve">unique </w:t>
      </w:r>
      <w:r w:rsidRPr="008542A8" w:rsidR="00A80F31">
        <w:rPr>
          <w:rFonts w:ascii="Times New Roman" w:hAnsi="Times New Roman" w:cs="Times New Roman"/>
          <w:color w:val="000000"/>
          <w:sz w:val="24"/>
          <w:szCs w:val="24"/>
        </w:rPr>
        <w:t xml:space="preserve">login information </w:t>
      </w:r>
      <w:r w:rsidRPr="008542A8">
        <w:rPr>
          <w:rFonts w:ascii="Times New Roman" w:hAnsi="Times New Roman" w:cs="Times New Roman"/>
          <w:sz w:val="24"/>
          <w:szCs w:val="24"/>
        </w:rPr>
        <w:t>to each office</w:t>
      </w:r>
      <w:r w:rsidR="00875380">
        <w:rPr>
          <w:rFonts w:ascii="Times New Roman" w:hAnsi="Times New Roman" w:cs="Times New Roman"/>
          <w:sz w:val="24"/>
          <w:szCs w:val="24"/>
        </w:rPr>
        <w:t xml:space="preserve"> </w:t>
      </w:r>
      <w:r w:rsidRPr="00421126" w:rsidR="00875380">
        <w:rPr>
          <w:rFonts w:ascii="Times New Roman" w:hAnsi="Times New Roman" w:cs="Times New Roman"/>
          <w:b/>
          <w:bCs/>
          <w:sz w:val="24"/>
          <w:szCs w:val="24"/>
        </w:rPr>
        <w:t>(</w:t>
      </w:r>
      <w:r w:rsidRPr="00421126" w:rsidR="00E1602A">
        <w:rPr>
          <w:rFonts w:ascii="Times New Roman" w:hAnsi="Times New Roman" w:cs="Times New Roman"/>
          <w:b/>
          <w:bCs/>
          <w:sz w:val="24"/>
          <w:szCs w:val="24"/>
        </w:rPr>
        <w:t>A</w:t>
      </w:r>
      <w:r w:rsidR="00E1602A">
        <w:rPr>
          <w:rFonts w:ascii="Times New Roman" w:hAnsi="Times New Roman" w:cs="Times New Roman"/>
          <w:b/>
          <w:bCs/>
          <w:sz w:val="24"/>
          <w:szCs w:val="24"/>
        </w:rPr>
        <w:t>ttachment</w:t>
      </w:r>
      <w:r w:rsidRPr="00421126" w:rsidR="00E1602A">
        <w:rPr>
          <w:rFonts w:ascii="Times New Roman" w:hAnsi="Times New Roman" w:cs="Times New Roman"/>
          <w:b/>
          <w:bCs/>
          <w:sz w:val="24"/>
          <w:szCs w:val="24"/>
        </w:rPr>
        <w:t xml:space="preserve"> </w:t>
      </w:r>
      <w:r w:rsidR="006A29E6">
        <w:rPr>
          <w:rFonts w:ascii="Times New Roman" w:hAnsi="Times New Roman" w:cs="Times New Roman"/>
          <w:b/>
          <w:bCs/>
          <w:sz w:val="24"/>
          <w:szCs w:val="24"/>
        </w:rPr>
        <w:t>8</w:t>
      </w:r>
      <w:r w:rsidRPr="00421126" w:rsidR="00875380">
        <w:rPr>
          <w:rFonts w:ascii="Times New Roman" w:hAnsi="Times New Roman" w:cs="Times New Roman"/>
          <w:b/>
          <w:bCs/>
          <w:sz w:val="24"/>
          <w:szCs w:val="24"/>
        </w:rPr>
        <w:t>)</w:t>
      </w:r>
      <w:r w:rsidRPr="008542A8">
        <w:rPr>
          <w:rFonts w:ascii="Times New Roman" w:hAnsi="Times New Roman" w:cs="Times New Roman"/>
          <w:sz w:val="24"/>
          <w:szCs w:val="24"/>
        </w:rPr>
        <w:t xml:space="preserve">. </w:t>
      </w:r>
      <w:bookmarkEnd w:id="1"/>
      <w:r w:rsidR="00DB3A31">
        <w:rPr>
          <w:rFonts w:ascii="Times New Roman" w:hAnsi="Times New Roman" w:cs="Times New Roman"/>
          <w:sz w:val="24"/>
          <w:szCs w:val="24"/>
        </w:rPr>
        <w:t>Ad hoc requests for the survey link and office PIN and question delegation requests will be sent via email (</w:t>
      </w:r>
      <w:r w:rsidR="00DB3A31">
        <w:rPr>
          <w:rFonts w:ascii="Times New Roman" w:hAnsi="Times New Roman" w:cs="Times New Roman"/>
          <w:b/>
          <w:bCs/>
          <w:sz w:val="24"/>
          <w:szCs w:val="24"/>
        </w:rPr>
        <w:t xml:space="preserve">Attachments 9a-9b). </w:t>
      </w:r>
      <w:r w:rsidR="00DB3A31">
        <w:rPr>
          <w:rFonts w:ascii="Times New Roman" w:hAnsi="Times New Roman" w:cs="Times New Roman"/>
          <w:sz w:val="24"/>
          <w:szCs w:val="24"/>
        </w:rPr>
        <w:t xml:space="preserve">Two weeks after data collection begins, weekly email reminders will be sent to non-responding offices </w:t>
      </w:r>
      <w:r w:rsidR="00DB3A31">
        <w:rPr>
          <w:rFonts w:ascii="Times New Roman" w:hAnsi="Times New Roman" w:cs="Times New Roman"/>
          <w:b/>
          <w:bCs/>
          <w:sz w:val="24"/>
          <w:szCs w:val="24"/>
        </w:rPr>
        <w:t xml:space="preserve">Attachments </w:t>
      </w:r>
      <w:r w:rsidR="00521236">
        <w:rPr>
          <w:rFonts w:ascii="Times New Roman" w:hAnsi="Times New Roman" w:cs="Times New Roman"/>
          <w:b/>
          <w:bCs/>
          <w:sz w:val="24"/>
          <w:szCs w:val="24"/>
        </w:rPr>
        <w:t>10</w:t>
      </w:r>
      <w:r w:rsidR="00DB3A31">
        <w:rPr>
          <w:rFonts w:ascii="Times New Roman" w:hAnsi="Times New Roman" w:cs="Times New Roman"/>
          <w:b/>
          <w:bCs/>
          <w:sz w:val="24"/>
          <w:szCs w:val="24"/>
        </w:rPr>
        <w:t>a-</w:t>
      </w:r>
      <w:r w:rsidR="00521236">
        <w:rPr>
          <w:rFonts w:ascii="Times New Roman" w:hAnsi="Times New Roman" w:cs="Times New Roman"/>
          <w:b/>
          <w:bCs/>
          <w:sz w:val="24"/>
          <w:szCs w:val="24"/>
        </w:rPr>
        <w:t>10</w:t>
      </w:r>
      <w:r w:rsidR="00DB3A31">
        <w:rPr>
          <w:rFonts w:ascii="Times New Roman" w:hAnsi="Times New Roman" w:cs="Times New Roman"/>
          <w:b/>
          <w:bCs/>
          <w:sz w:val="24"/>
          <w:szCs w:val="24"/>
        </w:rPr>
        <w:t>e)</w:t>
      </w:r>
      <w:r w:rsidR="00DB3A31">
        <w:rPr>
          <w:rFonts w:ascii="Times New Roman" w:hAnsi="Times New Roman" w:cs="Times New Roman"/>
          <w:sz w:val="24"/>
          <w:szCs w:val="24"/>
        </w:rPr>
        <w:t xml:space="preserve">. </w:t>
      </w:r>
    </w:p>
    <w:p w:rsidR="00D40986" w:rsidP="00A80F31" w14:paraId="7C97C899" w14:textId="77777777">
      <w:pPr>
        <w:spacing w:after="0" w:line="240" w:lineRule="auto"/>
        <w:rPr>
          <w:rFonts w:ascii="Times New Roman" w:hAnsi="Times New Roman" w:cs="Times New Roman"/>
          <w:sz w:val="24"/>
          <w:szCs w:val="24"/>
        </w:rPr>
      </w:pPr>
    </w:p>
    <w:p w:rsidR="00A80F31" w:rsidP="00A80F31" w14:paraId="5DE85649" w14:textId="4D4BE2AE">
      <w:pPr>
        <w:spacing w:after="0" w:line="240" w:lineRule="auto"/>
        <w:rPr>
          <w:rFonts w:ascii="Times New Roman" w:hAnsi="Times New Roman" w:cs="Times New Roman"/>
          <w:color w:val="000000"/>
          <w:sz w:val="24"/>
          <w:szCs w:val="24"/>
        </w:rPr>
      </w:pPr>
      <w:r w:rsidRPr="006A29E6">
        <w:rPr>
          <w:rFonts w:ascii="Times New Roman" w:hAnsi="Times New Roman" w:cs="Times New Roman"/>
          <w:sz w:val="24"/>
          <w:szCs w:val="24"/>
        </w:rPr>
        <w:t>It is anticipated that a web-based format is the preferred mode for response. However,</w:t>
      </w:r>
      <w:r w:rsidR="002539F4">
        <w:rPr>
          <w:rFonts w:ascii="Times New Roman" w:hAnsi="Times New Roman" w:cs="Times New Roman"/>
          <w:sz w:val="24"/>
          <w:szCs w:val="24"/>
        </w:rPr>
        <w:t xml:space="preserve"> for non-responding offices,</w:t>
      </w:r>
      <w:r w:rsidRPr="006A29E6">
        <w:rPr>
          <w:rFonts w:ascii="Times New Roman" w:hAnsi="Times New Roman" w:cs="Times New Roman"/>
          <w:sz w:val="24"/>
          <w:szCs w:val="24"/>
        </w:rPr>
        <w:t xml:space="preserve"> a mailing including a reminder letter</w:t>
      </w:r>
      <w:r w:rsidR="00DB3A31">
        <w:rPr>
          <w:rFonts w:ascii="Times New Roman" w:hAnsi="Times New Roman" w:cs="Times New Roman"/>
          <w:sz w:val="24"/>
          <w:szCs w:val="24"/>
        </w:rPr>
        <w:t xml:space="preserve"> </w:t>
      </w:r>
      <w:r w:rsidRPr="00567D9D" w:rsidR="00FA5679">
        <w:rPr>
          <w:rFonts w:ascii="Times New Roman" w:hAnsi="Times New Roman" w:cs="Times New Roman"/>
          <w:b/>
          <w:bCs/>
          <w:sz w:val="24"/>
          <w:szCs w:val="24"/>
        </w:rPr>
        <w:t>(Attachment 11)</w:t>
      </w:r>
      <w:r w:rsidRPr="006A29E6">
        <w:rPr>
          <w:rFonts w:ascii="Times New Roman" w:hAnsi="Times New Roman" w:cs="Times New Roman"/>
          <w:sz w:val="24"/>
          <w:szCs w:val="24"/>
        </w:rPr>
        <w:t xml:space="preserve">, hardcopy survey, and a postage-paid business reply envelope will be mailed via </w:t>
      </w:r>
      <w:r w:rsidRPr="008A7326">
        <w:rPr>
          <w:rFonts w:ascii="Times New Roman" w:hAnsi="Times New Roman" w:cs="Times New Roman"/>
          <w:sz w:val="24"/>
          <w:szCs w:val="24"/>
        </w:rPr>
        <w:t>USPS</w:t>
      </w:r>
      <w:r w:rsidRPr="006A29E6">
        <w:rPr>
          <w:rFonts w:ascii="Times New Roman" w:hAnsi="Times New Roman" w:cs="Times New Roman"/>
          <w:sz w:val="24"/>
          <w:szCs w:val="24"/>
        </w:rPr>
        <w:t xml:space="preserve"> four weeks after the initial email invitation. These materials will include a </w:t>
      </w:r>
      <w:r w:rsidR="002539F4">
        <w:rPr>
          <w:rFonts w:ascii="Times New Roman" w:hAnsi="Times New Roman" w:cs="Times New Roman"/>
          <w:color w:val="000000"/>
          <w:sz w:val="24"/>
          <w:szCs w:val="24"/>
        </w:rPr>
        <w:t>numeric case ID and bar code</w:t>
      </w:r>
      <w:r w:rsidRPr="006A29E6" w:rsidR="002539F4">
        <w:rPr>
          <w:rFonts w:ascii="Times New Roman" w:hAnsi="Times New Roman" w:cs="Times New Roman"/>
          <w:sz w:val="24"/>
          <w:szCs w:val="24"/>
        </w:rPr>
        <w:t xml:space="preserve"> </w:t>
      </w:r>
      <w:r w:rsidRPr="006A29E6">
        <w:rPr>
          <w:rFonts w:ascii="Times New Roman" w:hAnsi="Times New Roman" w:cs="Times New Roman"/>
          <w:sz w:val="24"/>
          <w:szCs w:val="24"/>
        </w:rPr>
        <w:t xml:space="preserve">so returned surveys can be easily reconciled with the frame. </w:t>
      </w:r>
      <w:r w:rsidRPr="008542A8">
        <w:rPr>
          <w:rFonts w:ascii="Times New Roman" w:hAnsi="Times New Roman" w:cs="Times New Roman"/>
          <w:color w:val="000000"/>
          <w:sz w:val="24"/>
          <w:szCs w:val="24"/>
        </w:rPr>
        <w:t xml:space="preserve">The letter will include contact information for the data collection agent </w:t>
      </w:r>
      <w:r w:rsidRPr="008542A8">
        <w:rPr>
          <w:rFonts w:ascii="Times New Roman" w:hAnsi="Times New Roman" w:cs="Times New Roman"/>
          <w:color w:val="000000"/>
          <w:sz w:val="24"/>
          <w:szCs w:val="24"/>
        </w:rPr>
        <w:t>and also</w:t>
      </w:r>
      <w:r w:rsidRPr="008542A8">
        <w:rPr>
          <w:rFonts w:ascii="Times New Roman" w:hAnsi="Times New Roman" w:cs="Times New Roman"/>
          <w:color w:val="000000"/>
          <w:sz w:val="24"/>
          <w:szCs w:val="24"/>
        </w:rPr>
        <w:t xml:space="preserve"> inform the </w:t>
      </w:r>
      <w:r w:rsidR="007229DF">
        <w:rPr>
          <w:rFonts w:ascii="Times New Roman" w:hAnsi="Times New Roman" w:cs="Times New Roman"/>
          <w:color w:val="000000"/>
          <w:sz w:val="24"/>
          <w:szCs w:val="24"/>
        </w:rPr>
        <w:t>office</w:t>
      </w:r>
      <w:r w:rsidRPr="008542A8">
        <w:rPr>
          <w:rFonts w:ascii="Times New Roman" w:hAnsi="Times New Roman" w:cs="Times New Roman"/>
          <w:color w:val="000000"/>
          <w:sz w:val="24"/>
          <w:szCs w:val="24"/>
        </w:rPr>
        <w:t xml:space="preserve"> that the survey can be completed by</w:t>
      </w:r>
      <w:r w:rsidR="007229DF">
        <w:rPr>
          <w:rFonts w:ascii="Times New Roman" w:hAnsi="Times New Roman" w:cs="Times New Roman"/>
          <w:color w:val="000000"/>
          <w:sz w:val="24"/>
          <w:szCs w:val="24"/>
        </w:rPr>
        <w:t xml:space="preserve"> web </w:t>
      </w:r>
      <w:r w:rsidR="002B02BE">
        <w:rPr>
          <w:rFonts w:ascii="Times New Roman" w:hAnsi="Times New Roman" w:cs="Times New Roman"/>
          <w:color w:val="000000"/>
          <w:sz w:val="24"/>
          <w:szCs w:val="24"/>
        </w:rPr>
        <w:t xml:space="preserve">with the provided unique PIN </w:t>
      </w:r>
      <w:r w:rsidR="007229DF">
        <w:rPr>
          <w:rFonts w:ascii="Times New Roman" w:hAnsi="Times New Roman" w:cs="Times New Roman"/>
          <w:color w:val="000000"/>
          <w:sz w:val="24"/>
          <w:szCs w:val="24"/>
        </w:rPr>
        <w:t>or</w:t>
      </w:r>
      <w:r w:rsidRPr="008542A8">
        <w:rPr>
          <w:rFonts w:ascii="Times New Roman" w:hAnsi="Times New Roman" w:cs="Times New Roman"/>
          <w:color w:val="000000"/>
          <w:sz w:val="24"/>
          <w:szCs w:val="24"/>
        </w:rPr>
        <w:t xml:space="preserve"> telephone, if preferred. </w:t>
      </w:r>
    </w:p>
    <w:p w:rsidR="00DB3A31" w:rsidP="00A80F31" w14:paraId="34258F5B" w14:textId="77777777">
      <w:pPr>
        <w:spacing w:after="0" w:line="240" w:lineRule="auto"/>
        <w:rPr>
          <w:rFonts w:ascii="Times New Roman" w:hAnsi="Times New Roman" w:cs="Times New Roman"/>
          <w:color w:val="000000"/>
          <w:sz w:val="24"/>
          <w:szCs w:val="24"/>
        </w:rPr>
      </w:pPr>
    </w:p>
    <w:p w:rsidR="00DB3A31" w:rsidRPr="009535AB" w:rsidP="00A80F31" w14:paraId="1BB6BE5B" w14:textId="2A11767E">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Ten weeks after the start of data collection, outbound telephone calls will be made to non-responding offices </w:t>
      </w:r>
      <w:r>
        <w:rPr>
          <w:rFonts w:ascii="Times New Roman" w:hAnsi="Times New Roman" w:cs="Times New Roman"/>
          <w:b/>
          <w:bCs/>
          <w:color w:val="000000"/>
          <w:sz w:val="24"/>
          <w:szCs w:val="24"/>
        </w:rPr>
        <w:t>(Attachment</w:t>
      </w:r>
      <w:r w:rsidR="0075716C">
        <w:rPr>
          <w:rFonts w:ascii="Times New Roman" w:hAnsi="Times New Roman" w:cs="Times New Roman"/>
          <w:b/>
          <w:bCs/>
          <w:color w:val="000000"/>
          <w:sz w:val="24"/>
          <w:szCs w:val="24"/>
        </w:rPr>
        <w:t xml:space="preserve"> 12)</w:t>
      </w:r>
      <w:r w:rsidR="0075716C">
        <w:rPr>
          <w:rFonts w:ascii="Times New Roman" w:hAnsi="Times New Roman" w:cs="Times New Roman"/>
          <w:color w:val="000000"/>
          <w:sz w:val="24"/>
          <w:szCs w:val="24"/>
        </w:rPr>
        <w:t xml:space="preserve">. These calls will confirm that the office received the CPDO materials, respond to any questions and determine the respondent(s) for the office. </w:t>
      </w:r>
      <w:r w:rsidR="00830167">
        <w:rPr>
          <w:rFonts w:ascii="Times New Roman" w:hAnsi="Times New Roman" w:cs="Times New Roman"/>
          <w:color w:val="000000"/>
          <w:sz w:val="24"/>
          <w:szCs w:val="24"/>
        </w:rPr>
        <w:t xml:space="preserve">Twenty weeks after the start of data collection, a second hardcopy survey and a reminder letter </w:t>
      </w:r>
      <w:r w:rsidR="00830167">
        <w:rPr>
          <w:rFonts w:ascii="Times New Roman" w:hAnsi="Times New Roman" w:cs="Times New Roman"/>
          <w:b/>
          <w:bCs/>
          <w:color w:val="000000"/>
          <w:sz w:val="24"/>
          <w:szCs w:val="24"/>
        </w:rPr>
        <w:t>(Attachment 13)</w:t>
      </w:r>
      <w:r w:rsidR="00830167">
        <w:rPr>
          <w:rFonts w:ascii="Times New Roman" w:hAnsi="Times New Roman" w:cs="Times New Roman"/>
          <w:color w:val="000000"/>
          <w:sz w:val="24"/>
          <w:szCs w:val="24"/>
        </w:rPr>
        <w:t xml:space="preserve"> will be mailed via USPS first class mail. A postage-paid business reply envelope will be included in the packet. Four weeks after the hardcopy survey mailing, a reminder</w:t>
      </w:r>
      <w:r w:rsidR="007C2BBC">
        <w:rPr>
          <w:rFonts w:ascii="Times New Roman" w:hAnsi="Times New Roman" w:cs="Times New Roman"/>
          <w:color w:val="000000"/>
          <w:sz w:val="24"/>
          <w:szCs w:val="24"/>
        </w:rPr>
        <w:t xml:space="preserve"> </w:t>
      </w:r>
      <w:r w:rsidR="007C2BBC">
        <w:rPr>
          <w:rFonts w:ascii="Times New Roman" w:hAnsi="Times New Roman" w:cs="Times New Roman"/>
          <w:b/>
          <w:bCs/>
          <w:color w:val="000000"/>
          <w:sz w:val="24"/>
          <w:szCs w:val="24"/>
        </w:rPr>
        <w:t xml:space="preserve">(Attachment 14) </w:t>
      </w:r>
      <w:r w:rsidR="00830167">
        <w:rPr>
          <w:rFonts w:ascii="Times New Roman" w:hAnsi="Times New Roman" w:cs="Times New Roman"/>
          <w:color w:val="000000"/>
          <w:sz w:val="24"/>
          <w:szCs w:val="24"/>
        </w:rPr>
        <w:t xml:space="preserve">will be mailed to non-responding offices and telephone outreach from NAPD </w:t>
      </w:r>
      <w:r w:rsidR="007C2BBC">
        <w:rPr>
          <w:rFonts w:ascii="Times New Roman" w:hAnsi="Times New Roman" w:cs="Times New Roman"/>
          <w:b/>
          <w:bCs/>
          <w:color w:val="000000"/>
          <w:sz w:val="24"/>
          <w:szCs w:val="24"/>
        </w:rPr>
        <w:t xml:space="preserve">(Attachment 15) </w:t>
      </w:r>
      <w:r w:rsidR="00830167">
        <w:rPr>
          <w:rFonts w:ascii="Times New Roman" w:hAnsi="Times New Roman" w:cs="Times New Roman"/>
          <w:color w:val="000000"/>
          <w:sz w:val="24"/>
          <w:szCs w:val="24"/>
        </w:rPr>
        <w:t xml:space="preserve">will begin. </w:t>
      </w:r>
      <w:r w:rsidR="009535AB">
        <w:rPr>
          <w:rFonts w:ascii="Times New Roman" w:hAnsi="Times New Roman" w:cs="Times New Roman"/>
          <w:color w:val="000000"/>
          <w:sz w:val="24"/>
          <w:szCs w:val="24"/>
        </w:rPr>
        <w:t xml:space="preserve">Four weeks prior to the close of data collection, a last chance postcard </w:t>
      </w:r>
      <w:r w:rsidR="009535AB">
        <w:rPr>
          <w:rFonts w:ascii="Times New Roman" w:hAnsi="Times New Roman" w:cs="Times New Roman"/>
          <w:b/>
          <w:bCs/>
          <w:color w:val="000000"/>
          <w:sz w:val="24"/>
          <w:szCs w:val="24"/>
        </w:rPr>
        <w:t>(Attachment 16)</w:t>
      </w:r>
      <w:r w:rsidR="009535AB">
        <w:rPr>
          <w:rFonts w:ascii="Times New Roman" w:hAnsi="Times New Roman" w:cs="Times New Roman"/>
          <w:color w:val="000000"/>
          <w:sz w:val="24"/>
          <w:szCs w:val="24"/>
        </w:rPr>
        <w:t xml:space="preserve"> will be sent to non-responding offices. </w:t>
      </w:r>
    </w:p>
    <w:p w:rsidR="003D4070" w:rsidRPr="008542A8" w:rsidP="003D4070" w14:paraId="7BAE3ED2" w14:textId="77777777">
      <w:pPr>
        <w:spacing w:after="0" w:line="240" w:lineRule="auto"/>
        <w:rPr>
          <w:rFonts w:ascii="Times New Roman" w:hAnsi="Times New Roman" w:cs="Times New Roman"/>
          <w:color w:val="000000"/>
          <w:sz w:val="24"/>
          <w:szCs w:val="24"/>
        </w:rPr>
      </w:pPr>
    </w:p>
    <w:p w:rsidR="00521236" w:rsidP="003D4070" w14:paraId="13EDE020" w14:textId="77777777">
      <w:pPr>
        <w:spacing w:after="0" w:line="240" w:lineRule="auto"/>
        <w:rPr>
          <w:rFonts w:ascii="Times New Roman" w:hAnsi="Times New Roman" w:cs="Times New Roman"/>
          <w:color w:val="000000"/>
          <w:sz w:val="24"/>
          <w:szCs w:val="24"/>
        </w:rPr>
      </w:pPr>
      <w:r w:rsidRPr="008542A8">
        <w:rPr>
          <w:rFonts w:ascii="Times New Roman" w:hAnsi="Times New Roman" w:cs="Times New Roman"/>
          <w:color w:val="000000"/>
          <w:sz w:val="24"/>
          <w:szCs w:val="24"/>
        </w:rPr>
        <w:t xml:space="preserve">The web-based survey </w:t>
      </w:r>
      <w:r w:rsidR="00511F40">
        <w:rPr>
          <w:rFonts w:ascii="Times New Roman" w:hAnsi="Times New Roman" w:cs="Times New Roman"/>
          <w:color w:val="000000"/>
          <w:sz w:val="24"/>
          <w:szCs w:val="24"/>
        </w:rPr>
        <w:t xml:space="preserve">is </w:t>
      </w:r>
      <w:r w:rsidRPr="008542A8">
        <w:rPr>
          <w:rFonts w:ascii="Times New Roman" w:hAnsi="Times New Roman" w:cs="Times New Roman"/>
          <w:color w:val="000000"/>
          <w:sz w:val="24"/>
          <w:szCs w:val="24"/>
        </w:rPr>
        <w:t xml:space="preserve">programmed so that sections may be delegated to others within the office. It is BJS’s understanding that contributions from several staff within the </w:t>
      </w:r>
      <w:r w:rsidR="001D3416">
        <w:rPr>
          <w:rFonts w:ascii="Times New Roman" w:hAnsi="Times New Roman" w:cs="Times New Roman"/>
          <w:color w:val="000000"/>
          <w:sz w:val="24"/>
          <w:szCs w:val="24"/>
        </w:rPr>
        <w:t>office</w:t>
      </w:r>
      <w:r w:rsidRPr="008542A8">
        <w:rPr>
          <w:rFonts w:ascii="Times New Roman" w:hAnsi="Times New Roman" w:cs="Times New Roman"/>
          <w:color w:val="000000"/>
          <w:sz w:val="24"/>
          <w:szCs w:val="24"/>
        </w:rPr>
        <w:t xml:space="preserve"> may be needed to complete the survey and the delegation functionality allows the primary office respondent to direct sets of questions to colleagues as needed.</w:t>
      </w:r>
      <w:r w:rsidR="000B3BAB">
        <w:rPr>
          <w:rFonts w:ascii="Times New Roman" w:hAnsi="Times New Roman" w:cs="Times New Roman"/>
          <w:color w:val="000000"/>
          <w:sz w:val="24"/>
          <w:szCs w:val="24"/>
        </w:rPr>
        <w:t xml:space="preserve"> The process for delegation depends upon how much of the form will be delegated. If the entire form is to be delegated, the respondent will </w:t>
      </w:r>
      <w:r w:rsidRPr="000B3BAB" w:rsidR="000B3BAB">
        <w:rPr>
          <w:rFonts w:ascii="Times New Roman" w:hAnsi="Times New Roman" w:cs="Times New Roman"/>
          <w:color w:val="000000"/>
          <w:sz w:val="24"/>
          <w:szCs w:val="24"/>
        </w:rPr>
        <w:t xml:space="preserve">share the online census link and office PIN with </w:t>
      </w:r>
      <w:r w:rsidR="000B3BAB">
        <w:rPr>
          <w:rFonts w:ascii="Times New Roman" w:hAnsi="Times New Roman" w:cs="Times New Roman"/>
          <w:color w:val="000000"/>
          <w:sz w:val="24"/>
          <w:szCs w:val="24"/>
        </w:rPr>
        <w:t>the designee</w:t>
      </w:r>
      <w:r w:rsidRPr="000B3BAB" w:rsidR="000B3BAB">
        <w:rPr>
          <w:rFonts w:ascii="Times New Roman" w:hAnsi="Times New Roman" w:cs="Times New Roman"/>
          <w:color w:val="000000"/>
          <w:sz w:val="24"/>
          <w:szCs w:val="24"/>
        </w:rPr>
        <w:t xml:space="preserve">. </w:t>
      </w:r>
      <w:r w:rsidR="000B3BAB">
        <w:rPr>
          <w:rFonts w:ascii="Times New Roman" w:hAnsi="Times New Roman" w:cs="Times New Roman"/>
          <w:color w:val="000000"/>
          <w:sz w:val="24"/>
          <w:szCs w:val="24"/>
        </w:rPr>
        <w:t xml:space="preserve">If a </w:t>
      </w:r>
      <w:r w:rsidRPr="000B3BAB" w:rsidR="000B3BAB">
        <w:rPr>
          <w:rFonts w:ascii="Times New Roman" w:hAnsi="Times New Roman" w:cs="Times New Roman"/>
          <w:color w:val="000000"/>
          <w:sz w:val="24"/>
          <w:szCs w:val="24"/>
        </w:rPr>
        <w:t>subset of questions</w:t>
      </w:r>
      <w:r w:rsidR="000B3BAB">
        <w:rPr>
          <w:rFonts w:ascii="Times New Roman" w:hAnsi="Times New Roman" w:cs="Times New Roman"/>
          <w:color w:val="000000"/>
          <w:sz w:val="24"/>
          <w:szCs w:val="24"/>
        </w:rPr>
        <w:t xml:space="preserve"> </w:t>
      </w:r>
      <w:r w:rsidR="000B3BAB">
        <w:rPr>
          <w:rFonts w:ascii="Times New Roman" w:hAnsi="Times New Roman" w:cs="Times New Roman"/>
          <w:color w:val="000000"/>
          <w:sz w:val="24"/>
          <w:szCs w:val="24"/>
        </w:rPr>
        <w:t>are</w:t>
      </w:r>
      <w:r w:rsidR="000B3BAB">
        <w:rPr>
          <w:rFonts w:ascii="Times New Roman" w:hAnsi="Times New Roman" w:cs="Times New Roman"/>
          <w:color w:val="000000"/>
          <w:sz w:val="24"/>
          <w:szCs w:val="24"/>
        </w:rPr>
        <w:t xml:space="preserve"> to be delegated</w:t>
      </w:r>
      <w:r w:rsidRPr="000B3BAB" w:rsidR="000B3BAB">
        <w:rPr>
          <w:rFonts w:ascii="Times New Roman" w:hAnsi="Times New Roman" w:cs="Times New Roman"/>
          <w:color w:val="000000"/>
          <w:sz w:val="24"/>
          <w:szCs w:val="24"/>
        </w:rPr>
        <w:t xml:space="preserve">, </w:t>
      </w:r>
      <w:r w:rsidR="000B3BAB">
        <w:rPr>
          <w:rFonts w:ascii="Times New Roman" w:hAnsi="Times New Roman" w:cs="Times New Roman"/>
          <w:color w:val="000000"/>
          <w:sz w:val="24"/>
          <w:szCs w:val="24"/>
        </w:rPr>
        <w:t xml:space="preserve">the respondent can </w:t>
      </w:r>
      <w:r w:rsidRPr="000B3BAB" w:rsidR="000B3BAB">
        <w:rPr>
          <w:rFonts w:ascii="Times New Roman" w:hAnsi="Times New Roman" w:cs="Times New Roman"/>
          <w:color w:val="000000"/>
          <w:sz w:val="24"/>
          <w:szCs w:val="24"/>
        </w:rPr>
        <w:t>select the delegate button within the online census</w:t>
      </w:r>
      <w:r w:rsidR="000B3BAB">
        <w:rPr>
          <w:rFonts w:ascii="Times New Roman" w:hAnsi="Times New Roman" w:cs="Times New Roman"/>
          <w:color w:val="000000"/>
          <w:sz w:val="24"/>
          <w:szCs w:val="24"/>
        </w:rPr>
        <w:t xml:space="preserve">, </w:t>
      </w:r>
      <w:r w:rsidRPr="000B3BAB" w:rsidR="000B3BAB">
        <w:rPr>
          <w:rFonts w:ascii="Times New Roman" w:hAnsi="Times New Roman" w:cs="Times New Roman"/>
          <w:color w:val="000000"/>
          <w:sz w:val="24"/>
          <w:szCs w:val="24"/>
        </w:rPr>
        <w:t xml:space="preserve">provide the name and email of </w:t>
      </w:r>
      <w:r w:rsidR="000B3BAB">
        <w:rPr>
          <w:rFonts w:ascii="Times New Roman" w:hAnsi="Times New Roman" w:cs="Times New Roman"/>
          <w:color w:val="000000"/>
          <w:sz w:val="24"/>
          <w:szCs w:val="24"/>
        </w:rPr>
        <w:t>the designee,</w:t>
      </w:r>
      <w:r w:rsidRPr="000B3BAB" w:rsidR="000B3BAB">
        <w:rPr>
          <w:rFonts w:ascii="Times New Roman" w:hAnsi="Times New Roman" w:cs="Times New Roman"/>
          <w:color w:val="000000"/>
          <w:sz w:val="24"/>
          <w:szCs w:val="24"/>
        </w:rPr>
        <w:t xml:space="preserve"> and </w:t>
      </w:r>
      <w:r w:rsidR="000B3BAB">
        <w:rPr>
          <w:rFonts w:ascii="Times New Roman" w:hAnsi="Times New Roman" w:cs="Times New Roman"/>
          <w:color w:val="000000"/>
          <w:sz w:val="24"/>
          <w:szCs w:val="24"/>
        </w:rPr>
        <w:t xml:space="preserve">that designee </w:t>
      </w:r>
      <w:r w:rsidRPr="000B3BAB" w:rsidR="000B3BAB">
        <w:rPr>
          <w:rFonts w:ascii="Times New Roman" w:hAnsi="Times New Roman" w:cs="Times New Roman"/>
          <w:color w:val="000000"/>
          <w:sz w:val="24"/>
          <w:szCs w:val="24"/>
        </w:rPr>
        <w:t xml:space="preserve">will be sent an email </w:t>
      </w:r>
      <w:r w:rsidR="000B3BAB">
        <w:rPr>
          <w:rFonts w:ascii="Times New Roman" w:hAnsi="Times New Roman" w:cs="Times New Roman"/>
          <w:color w:val="000000"/>
          <w:sz w:val="24"/>
          <w:szCs w:val="24"/>
        </w:rPr>
        <w:t xml:space="preserve">with a unique link and </w:t>
      </w:r>
      <w:r w:rsidRPr="000B3BAB" w:rsidR="000B3BAB">
        <w:rPr>
          <w:rFonts w:ascii="Times New Roman" w:hAnsi="Times New Roman" w:cs="Times New Roman"/>
          <w:color w:val="000000"/>
          <w:sz w:val="24"/>
          <w:szCs w:val="24"/>
        </w:rPr>
        <w:t xml:space="preserve">a request to complete the questions. </w:t>
      </w:r>
      <w:r w:rsidR="000B3BAB">
        <w:rPr>
          <w:rFonts w:ascii="Times New Roman" w:hAnsi="Times New Roman" w:cs="Times New Roman"/>
          <w:color w:val="000000"/>
          <w:sz w:val="24"/>
          <w:szCs w:val="24"/>
        </w:rPr>
        <w:t>That designee will only see the questions that have been delegated</w:t>
      </w:r>
      <w:r w:rsidRPr="008542A8">
        <w:rPr>
          <w:rFonts w:ascii="Times New Roman" w:hAnsi="Times New Roman" w:cs="Times New Roman"/>
          <w:color w:val="000000"/>
          <w:sz w:val="24"/>
          <w:szCs w:val="24"/>
        </w:rPr>
        <w:t xml:space="preserve"> and will not be able to see responses to any other questions. </w:t>
      </w:r>
    </w:p>
    <w:p w:rsidR="00521236" w:rsidP="003D4070" w14:paraId="1F7A4648" w14:textId="77777777">
      <w:pPr>
        <w:spacing w:after="0" w:line="240" w:lineRule="auto"/>
        <w:rPr>
          <w:rFonts w:ascii="Times New Roman" w:hAnsi="Times New Roman" w:cs="Times New Roman"/>
          <w:color w:val="000000"/>
          <w:sz w:val="24"/>
          <w:szCs w:val="24"/>
        </w:rPr>
      </w:pPr>
    </w:p>
    <w:p w:rsidR="00E92BB0" w:rsidRPr="008542A8" w:rsidP="003D4070" w14:paraId="51D189A7" w14:textId="3C6F937F">
      <w:pPr>
        <w:spacing w:after="0" w:line="240" w:lineRule="auto"/>
        <w:rPr>
          <w:rFonts w:ascii="Times New Roman" w:hAnsi="Times New Roman" w:cs="Times New Roman"/>
          <w:color w:val="000000"/>
          <w:sz w:val="24"/>
          <w:szCs w:val="24"/>
        </w:rPr>
      </w:pPr>
      <w:r w:rsidRPr="008542A8">
        <w:rPr>
          <w:rFonts w:ascii="Times New Roman" w:hAnsi="Times New Roman" w:cs="Times New Roman"/>
          <w:color w:val="000000"/>
          <w:sz w:val="24"/>
          <w:szCs w:val="24"/>
        </w:rPr>
        <w:t xml:space="preserve">At the end of the web-based survey, </w:t>
      </w:r>
      <w:r w:rsidR="001D3416">
        <w:rPr>
          <w:rFonts w:ascii="Times New Roman" w:hAnsi="Times New Roman" w:cs="Times New Roman"/>
          <w:color w:val="000000"/>
          <w:sz w:val="24"/>
          <w:szCs w:val="24"/>
        </w:rPr>
        <w:t>respondents</w:t>
      </w:r>
      <w:r w:rsidRPr="008542A8">
        <w:rPr>
          <w:rFonts w:ascii="Times New Roman" w:hAnsi="Times New Roman" w:cs="Times New Roman"/>
          <w:color w:val="000000"/>
          <w:sz w:val="24"/>
          <w:szCs w:val="24"/>
        </w:rPr>
        <w:t xml:space="preserve"> will have the option to print their responses. </w:t>
      </w:r>
      <w:r w:rsidR="009535AB">
        <w:rPr>
          <w:rFonts w:ascii="Times New Roman" w:hAnsi="Times New Roman" w:cs="Times New Roman"/>
          <w:color w:val="000000"/>
          <w:sz w:val="24"/>
          <w:szCs w:val="24"/>
        </w:rPr>
        <w:t xml:space="preserve">Offices will also receive a thank you email </w:t>
      </w:r>
      <w:r w:rsidR="009535AB">
        <w:rPr>
          <w:rFonts w:ascii="Times New Roman" w:hAnsi="Times New Roman" w:cs="Times New Roman"/>
          <w:b/>
          <w:bCs/>
          <w:color w:val="000000"/>
          <w:sz w:val="24"/>
          <w:szCs w:val="24"/>
        </w:rPr>
        <w:t>(Attachment 17)</w:t>
      </w:r>
      <w:r w:rsidR="009535AB">
        <w:rPr>
          <w:rFonts w:ascii="Times New Roman" w:hAnsi="Times New Roman" w:cs="Times New Roman"/>
          <w:color w:val="000000"/>
          <w:sz w:val="24"/>
          <w:szCs w:val="24"/>
        </w:rPr>
        <w:t xml:space="preserve"> upon survey completion. </w:t>
      </w:r>
      <w:r w:rsidR="001D3416">
        <w:rPr>
          <w:rFonts w:ascii="Times New Roman" w:hAnsi="Times New Roman" w:cs="Times New Roman"/>
          <w:color w:val="000000"/>
          <w:sz w:val="24"/>
          <w:szCs w:val="24"/>
        </w:rPr>
        <w:t xml:space="preserve">Offices </w:t>
      </w:r>
      <w:r w:rsidRPr="008542A8">
        <w:rPr>
          <w:rFonts w:ascii="Times New Roman" w:hAnsi="Times New Roman" w:cs="Times New Roman"/>
          <w:color w:val="000000"/>
          <w:sz w:val="24"/>
          <w:szCs w:val="24"/>
        </w:rPr>
        <w:t xml:space="preserve">completing the hardcopy survey will be instructed to place their completed survey form in the </w:t>
      </w:r>
      <w:r w:rsidR="00996FED">
        <w:rPr>
          <w:rFonts w:ascii="Times New Roman" w:hAnsi="Times New Roman" w:cs="Times New Roman"/>
          <w:color w:val="000000"/>
          <w:sz w:val="24"/>
          <w:szCs w:val="24"/>
        </w:rPr>
        <w:t>provided business reply envelope</w:t>
      </w:r>
      <w:r w:rsidRPr="008542A8" w:rsidR="00996FED">
        <w:rPr>
          <w:rFonts w:ascii="Times New Roman" w:hAnsi="Times New Roman" w:cs="Times New Roman"/>
          <w:color w:val="000000"/>
          <w:sz w:val="24"/>
          <w:szCs w:val="24"/>
        </w:rPr>
        <w:t xml:space="preserve"> </w:t>
      </w:r>
      <w:r w:rsidRPr="008542A8">
        <w:rPr>
          <w:rFonts w:ascii="Times New Roman" w:hAnsi="Times New Roman" w:cs="Times New Roman"/>
          <w:color w:val="000000"/>
          <w:sz w:val="24"/>
          <w:szCs w:val="24"/>
        </w:rPr>
        <w:t xml:space="preserve">and place it in the mail. </w:t>
      </w:r>
      <w:r w:rsidR="00FA5679">
        <w:rPr>
          <w:rFonts w:ascii="Times New Roman" w:hAnsi="Times New Roman" w:cs="Times New Roman"/>
          <w:color w:val="000000"/>
          <w:sz w:val="24"/>
          <w:szCs w:val="24"/>
        </w:rPr>
        <w:t xml:space="preserve">They may also scan or take photos of the completed form and send these to the project email. </w:t>
      </w:r>
      <w:r w:rsidRPr="008542A8" w:rsidR="00184F5F">
        <w:rPr>
          <w:rFonts w:ascii="Times New Roman" w:hAnsi="Times New Roman" w:cs="Times New Roman"/>
          <w:color w:val="000000"/>
          <w:sz w:val="24"/>
          <w:szCs w:val="24"/>
        </w:rPr>
        <w:t>If a</w:t>
      </w:r>
      <w:r w:rsidR="001D3416">
        <w:rPr>
          <w:rFonts w:ascii="Times New Roman" w:hAnsi="Times New Roman" w:cs="Times New Roman"/>
          <w:color w:val="000000"/>
          <w:sz w:val="24"/>
          <w:szCs w:val="24"/>
        </w:rPr>
        <w:t>n office</w:t>
      </w:r>
      <w:r w:rsidRPr="008542A8" w:rsidR="00184F5F">
        <w:rPr>
          <w:rFonts w:ascii="Times New Roman" w:hAnsi="Times New Roman" w:cs="Times New Roman"/>
          <w:color w:val="000000"/>
          <w:sz w:val="24"/>
          <w:szCs w:val="24"/>
        </w:rPr>
        <w:t xml:space="preserve"> prefers to complete the CPDO survey by telephone, the data collection agent will enter responses directly into the web-based form on behalf of the </w:t>
      </w:r>
      <w:r w:rsidR="001D3416">
        <w:rPr>
          <w:rFonts w:ascii="Times New Roman" w:hAnsi="Times New Roman" w:cs="Times New Roman"/>
          <w:color w:val="000000"/>
          <w:sz w:val="24"/>
          <w:szCs w:val="24"/>
        </w:rPr>
        <w:t>office</w:t>
      </w:r>
      <w:r w:rsidRPr="008542A8" w:rsidR="00184F5F">
        <w:rPr>
          <w:rFonts w:ascii="Times New Roman" w:hAnsi="Times New Roman" w:cs="Times New Roman"/>
          <w:color w:val="000000"/>
          <w:sz w:val="24"/>
          <w:szCs w:val="24"/>
        </w:rPr>
        <w:t>.</w:t>
      </w:r>
    </w:p>
    <w:p w:rsidR="004D42B0" w:rsidRPr="008542A8" w:rsidP="003D4070" w14:paraId="03E92BBF" w14:textId="77777777">
      <w:pPr>
        <w:spacing w:after="0" w:line="240" w:lineRule="auto"/>
        <w:rPr>
          <w:rFonts w:ascii="Times New Roman" w:hAnsi="Times New Roman" w:cs="Times New Roman"/>
          <w:color w:val="000000"/>
          <w:sz w:val="24"/>
          <w:szCs w:val="24"/>
        </w:rPr>
      </w:pPr>
    </w:p>
    <w:p w:rsidR="004327FF" w:rsidRPr="002539F4" w:rsidP="004327FF" w14:paraId="230734F6" w14:textId="23BE9233">
      <w:pPr>
        <w:autoSpaceDE w:val="0"/>
        <w:autoSpaceDN w:val="0"/>
        <w:adjustRightInd w:val="0"/>
        <w:spacing w:before="3"/>
        <w:ind w:right="59"/>
        <w:rPr>
          <w:rFonts w:ascii="Times New Roman" w:hAnsi="Times New Roman" w:cs="Times New Roman"/>
          <w:b/>
          <w:bCs/>
          <w:sz w:val="24"/>
          <w:szCs w:val="24"/>
        </w:rPr>
      </w:pPr>
      <w:r w:rsidRPr="002539F4">
        <w:rPr>
          <w:rFonts w:ascii="Times New Roman" w:hAnsi="Times New Roman" w:cs="Times New Roman"/>
          <w:b/>
          <w:bCs/>
          <w:sz w:val="24"/>
          <w:szCs w:val="24"/>
        </w:rPr>
        <w:t>Data Processing</w:t>
      </w:r>
    </w:p>
    <w:p w:rsidR="004327FF" w:rsidRPr="002539F4" w:rsidP="004327FF" w14:paraId="2D2D94ED" w14:textId="7FB32FE6">
      <w:pPr>
        <w:rPr>
          <w:rFonts w:ascii="Times New Roman" w:hAnsi="Times New Roman" w:cs="Times New Roman"/>
          <w:sz w:val="24"/>
          <w:szCs w:val="24"/>
        </w:rPr>
      </w:pPr>
      <w:r w:rsidRPr="002539F4">
        <w:rPr>
          <w:rFonts w:ascii="Times New Roman" w:hAnsi="Times New Roman" w:cs="Times New Roman"/>
          <w:sz w:val="24"/>
          <w:szCs w:val="24"/>
        </w:rPr>
        <w:t xml:space="preserve">Upon receipt of a survey (web or hardcopy), data will be reviewed and edited, and if needed, the respondent will be contacted to clarify answers or provide missing information. Respondents who submit via web will be prompted with real-time validation checks when submitting missing or inconsistent data. Any unresolved items that remain after the respondent submits will result in recontact by </w:t>
      </w:r>
      <w:r>
        <w:rPr>
          <w:rFonts w:ascii="Times New Roman" w:hAnsi="Times New Roman" w:cs="Times New Roman"/>
          <w:sz w:val="24"/>
          <w:szCs w:val="24"/>
        </w:rPr>
        <w:t xml:space="preserve">NORC </w:t>
      </w:r>
      <w:r w:rsidRPr="002539F4">
        <w:rPr>
          <w:rFonts w:ascii="Times New Roman" w:hAnsi="Times New Roman" w:cs="Times New Roman"/>
          <w:sz w:val="24"/>
          <w:szCs w:val="24"/>
        </w:rPr>
        <w:t>staff to the respondent to attempt to resolve these issues.</w:t>
      </w:r>
      <w:r>
        <w:rPr>
          <w:rFonts w:ascii="Times New Roman" w:hAnsi="Times New Roman" w:cs="Times New Roman"/>
          <w:sz w:val="24"/>
          <w:szCs w:val="24"/>
        </w:rPr>
        <w:t xml:space="preserve"> </w:t>
      </w:r>
      <w:r w:rsidRPr="002539F4">
        <w:rPr>
          <w:rFonts w:ascii="Times New Roman" w:hAnsi="Times New Roman" w:cs="Times New Roman"/>
          <w:sz w:val="24"/>
          <w:szCs w:val="24"/>
        </w:rPr>
        <w:t xml:space="preserve">The following is a summary of the data quality assurance steps that </w:t>
      </w:r>
      <w:r>
        <w:rPr>
          <w:rFonts w:ascii="Times New Roman" w:hAnsi="Times New Roman" w:cs="Times New Roman"/>
          <w:sz w:val="24"/>
          <w:szCs w:val="24"/>
        </w:rPr>
        <w:t xml:space="preserve">NORC </w:t>
      </w:r>
      <w:r w:rsidRPr="002539F4">
        <w:rPr>
          <w:rFonts w:ascii="Times New Roman" w:hAnsi="Times New Roman" w:cs="Times New Roman"/>
          <w:sz w:val="24"/>
          <w:szCs w:val="24"/>
        </w:rPr>
        <w:t>will take during the data collection and processing period:</w:t>
      </w:r>
    </w:p>
    <w:p w:rsidR="004327FF" w:rsidRPr="002539F4" w:rsidP="004327FF" w14:paraId="3538FEE0" w14:textId="49024D9F">
      <w:pPr>
        <w:rPr>
          <w:rFonts w:ascii="Times New Roman" w:hAnsi="Times New Roman" w:cs="Times New Roman"/>
          <w:sz w:val="24"/>
          <w:szCs w:val="24"/>
        </w:rPr>
      </w:pPr>
      <w:r w:rsidRPr="002539F4">
        <w:rPr>
          <w:rFonts w:ascii="Times New Roman" w:hAnsi="Times New Roman" w:cs="Times New Roman"/>
          <w:i/>
          <w:iCs/>
          <w:sz w:val="24"/>
          <w:szCs w:val="24"/>
        </w:rPr>
        <w:t>Data Editing.</w:t>
      </w:r>
      <w:r w:rsidRPr="002539F4">
        <w:rPr>
          <w:rFonts w:ascii="Times New Roman" w:hAnsi="Times New Roman" w:cs="Times New Roman"/>
          <w:sz w:val="24"/>
          <w:szCs w:val="24"/>
        </w:rPr>
        <w:t xml:space="preserve"> </w:t>
      </w:r>
      <w:r>
        <w:rPr>
          <w:rFonts w:ascii="Times New Roman" w:hAnsi="Times New Roman" w:cs="Times New Roman"/>
          <w:sz w:val="24"/>
          <w:szCs w:val="24"/>
        </w:rPr>
        <w:t>NORC</w:t>
      </w:r>
      <w:r w:rsidRPr="002539F4">
        <w:rPr>
          <w:rFonts w:ascii="Times New Roman" w:hAnsi="Times New Roman" w:cs="Times New Roman"/>
          <w:sz w:val="24"/>
          <w:szCs w:val="24"/>
        </w:rPr>
        <w:t xml:space="preserve"> will reconcile missing or erroneous data through automated and manual edits of each questionnaire. In collaboration with BJS,</w:t>
      </w:r>
      <w:r>
        <w:rPr>
          <w:rFonts w:ascii="Times New Roman" w:hAnsi="Times New Roman" w:cs="Times New Roman"/>
          <w:sz w:val="24"/>
          <w:szCs w:val="24"/>
        </w:rPr>
        <w:t xml:space="preserve"> NORC</w:t>
      </w:r>
      <w:r w:rsidRPr="002539F4">
        <w:rPr>
          <w:rFonts w:ascii="Times New Roman" w:hAnsi="Times New Roman" w:cs="Times New Roman"/>
          <w:sz w:val="24"/>
          <w:szCs w:val="24"/>
        </w:rPr>
        <w:t xml:space="preserve"> will develop a list of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w:t>
      </w:r>
      <w:r>
        <w:rPr>
          <w:rFonts w:ascii="Times New Roman" w:hAnsi="Times New Roman" w:cs="Times New Roman"/>
          <w:sz w:val="24"/>
          <w:szCs w:val="24"/>
        </w:rPr>
        <w:t>NORC</w:t>
      </w:r>
      <w:r w:rsidRPr="002539F4">
        <w:rPr>
          <w:rFonts w:ascii="Times New Roman" w:hAnsi="Times New Roman" w:cs="Times New Roman"/>
          <w:sz w:val="24"/>
          <w:szCs w:val="24"/>
        </w:rPr>
        <w:t xml:space="preserve"> can quickly identify which hardcopy cases require follow-up and indicate the items that need clarification or retrieval from the respondent.</w:t>
      </w:r>
    </w:p>
    <w:p w:rsidR="004327FF" w:rsidRPr="002539F4" w:rsidP="004327FF" w14:paraId="3F2D503D" w14:textId="1D466E33">
      <w:pPr>
        <w:rPr>
          <w:rFonts w:ascii="Times New Roman" w:hAnsi="Times New Roman" w:cs="Times New Roman"/>
          <w:sz w:val="24"/>
          <w:szCs w:val="24"/>
        </w:rPr>
      </w:pPr>
      <w:r w:rsidRPr="002539F4">
        <w:rPr>
          <w:rFonts w:ascii="Times New Roman" w:hAnsi="Times New Roman" w:cs="Times New Roman"/>
          <w:i/>
          <w:iCs/>
          <w:sz w:val="24"/>
          <w:szCs w:val="24"/>
        </w:rPr>
        <w:t>Data Processing.</w:t>
      </w:r>
      <w:r w:rsidRPr="002539F4">
        <w:rPr>
          <w:rFonts w:ascii="Times New Roman" w:hAnsi="Times New Roman" w:cs="Times New Roman"/>
          <w:i/>
          <w:iCs/>
          <w:sz w:val="24"/>
          <w:szCs w:val="24"/>
        </w:rPr>
        <w:t xml:space="preserve"> </w:t>
      </w:r>
      <w:r w:rsidRPr="002539F4">
        <w:rPr>
          <w:rFonts w:ascii="Times New Roman" w:hAnsi="Times New Roman" w:cs="Times New Roman"/>
          <w:sz w:val="24"/>
          <w:szCs w:val="24"/>
        </w:rPr>
        <w:t xml:space="preserve">When the project team identifies a potential data issue, such as missing or inconsistent answers, an </w:t>
      </w:r>
      <w:r>
        <w:rPr>
          <w:rFonts w:ascii="Times New Roman" w:hAnsi="Times New Roman" w:cs="Times New Roman"/>
          <w:sz w:val="24"/>
          <w:szCs w:val="24"/>
        </w:rPr>
        <w:t>NORC</w:t>
      </w:r>
      <w:r w:rsidRPr="002539F4">
        <w:rPr>
          <w:rFonts w:ascii="Times New Roman" w:hAnsi="Times New Roman" w:cs="Times New Roman"/>
          <w:sz w:val="24"/>
          <w:szCs w:val="24"/>
        </w:rPr>
        <w:t xml:space="preserve"> professional staff member will contact the respondent for clarification. Throughout the data retrieval process, </w:t>
      </w:r>
      <w:r>
        <w:rPr>
          <w:rFonts w:ascii="Times New Roman" w:hAnsi="Times New Roman" w:cs="Times New Roman"/>
          <w:sz w:val="24"/>
          <w:szCs w:val="24"/>
        </w:rPr>
        <w:t>NORC</w:t>
      </w:r>
      <w:r w:rsidRPr="002539F4">
        <w:rPr>
          <w:rFonts w:ascii="Times New Roman" w:hAnsi="Times New Roman" w:cs="Times New Roman"/>
          <w:sz w:val="24"/>
          <w:szCs w:val="24"/>
        </w:rPr>
        <w:t xml:space="preserve"> will document the critical questions needing retrieval (e.g., </w:t>
      </w:r>
      <w:r w:rsidRPr="002539F4">
        <w:rPr>
          <w:rFonts w:ascii="Times New Roman" w:hAnsi="Times New Roman" w:cs="Times New Roman"/>
          <w:sz w:val="24"/>
          <w:szCs w:val="24"/>
        </w:rPr>
        <w:t>missing</w:t>
      </w:r>
      <w:r w:rsidRPr="002539F4">
        <w:rPr>
          <w:rFonts w:ascii="Times New Roman" w:hAnsi="Times New Roman" w:cs="Times New Roman"/>
          <w:sz w:val="24"/>
          <w:szCs w:val="24"/>
        </w:rPr>
        <w:t xml:space="preserve"> or inconsistent data elements), request clarification on the provided information, obtain values for missing data elements, and examine any other issues related to the respondent’s submission. </w:t>
      </w:r>
    </w:p>
    <w:p w:rsidR="004327FF" w:rsidRPr="002539F4" w:rsidP="004327FF" w14:paraId="486C0190" w14:textId="58522552">
      <w:pPr>
        <w:rPr>
          <w:rFonts w:ascii="Times New Roman" w:hAnsi="Times New Roman" w:cs="Times New Roman"/>
          <w:sz w:val="24"/>
          <w:szCs w:val="24"/>
        </w:rPr>
      </w:pPr>
      <w:r w:rsidRPr="002539F4">
        <w:rPr>
          <w:rFonts w:ascii="Times New Roman" w:hAnsi="Times New Roman" w:cs="Times New Roman"/>
          <w:i/>
          <w:iCs/>
          <w:sz w:val="24"/>
          <w:szCs w:val="24"/>
        </w:rPr>
        <w:t>Data Entry.</w:t>
      </w:r>
      <w:r w:rsidRPr="002539F4">
        <w:rPr>
          <w:rFonts w:ascii="Times New Roman" w:hAnsi="Times New Roman" w:cs="Times New Roman"/>
          <w:sz w:val="24"/>
          <w:szCs w:val="24"/>
        </w:rPr>
        <w:t xml:space="preserve"> Respondents completing the survey via the web instrument will enter their responses directly into the online instrument. For those respondents returning the survey via hardcopy (mail or fax), data will be </w:t>
      </w:r>
      <w:r>
        <w:rPr>
          <w:rFonts w:ascii="Times New Roman" w:hAnsi="Times New Roman" w:cs="Times New Roman"/>
          <w:sz w:val="24"/>
          <w:szCs w:val="24"/>
        </w:rPr>
        <w:t xml:space="preserve">entered </w:t>
      </w:r>
      <w:r w:rsidRPr="002539F4">
        <w:rPr>
          <w:rFonts w:ascii="Times New Roman" w:hAnsi="Times New Roman" w:cs="Times New Roman"/>
          <w:sz w:val="24"/>
          <w:szCs w:val="24"/>
        </w:rPr>
        <w:t xml:space="preserve">once received and determined complete. Throughout the remainder of the data collection period, </w:t>
      </w:r>
      <w:r>
        <w:rPr>
          <w:rFonts w:ascii="Times New Roman" w:hAnsi="Times New Roman" w:cs="Times New Roman"/>
          <w:sz w:val="24"/>
          <w:szCs w:val="24"/>
        </w:rPr>
        <w:t>NORC</w:t>
      </w:r>
      <w:r w:rsidRPr="002539F4">
        <w:rPr>
          <w:rFonts w:ascii="Times New Roman" w:hAnsi="Times New Roman" w:cs="Times New Roman"/>
          <w:sz w:val="24"/>
          <w:szCs w:val="24"/>
        </w:rPr>
        <w:t xml:space="preserve"> staff will conduct regular data frequency reviews to evaluate the quality and completeness of data captured in both the web and hardcopy modes.</w:t>
      </w:r>
    </w:p>
    <w:p w:rsidR="005B3085" w:rsidRPr="007B0DB1" w:rsidP="005B3085" w14:paraId="4EDFC3A2" w14:textId="77777777">
      <w:pPr>
        <w:spacing w:after="0" w:line="240" w:lineRule="auto"/>
        <w:rPr>
          <w:rFonts w:ascii="Times New Roman" w:hAnsi="Times New Roman" w:cs="Times New Roman"/>
          <w:sz w:val="24"/>
          <w:szCs w:val="24"/>
        </w:rPr>
      </w:pPr>
    </w:p>
    <w:p w:rsidR="005B3085" w:rsidRPr="007B0DB1" w:rsidP="005B3085" w14:paraId="7960FB22"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3. Methods to </w:t>
      </w:r>
      <w:r>
        <w:rPr>
          <w:rFonts w:ascii="Times New Roman" w:hAnsi="Times New Roman" w:cs="Times New Roman"/>
          <w:b/>
          <w:sz w:val="24"/>
          <w:szCs w:val="24"/>
        </w:rPr>
        <w:t>M</w:t>
      </w:r>
      <w:r w:rsidRPr="007B0DB1">
        <w:rPr>
          <w:rFonts w:ascii="Times New Roman" w:hAnsi="Times New Roman" w:cs="Times New Roman"/>
          <w:b/>
          <w:sz w:val="24"/>
          <w:szCs w:val="24"/>
        </w:rPr>
        <w:t xml:space="preserve">aximize </w:t>
      </w:r>
      <w:r>
        <w:rPr>
          <w:rFonts w:ascii="Times New Roman" w:hAnsi="Times New Roman" w:cs="Times New Roman"/>
          <w:b/>
          <w:sz w:val="24"/>
          <w:szCs w:val="24"/>
        </w:rPr>
        <w:t>R</w:t>
      </w:r>
      <w:r w:rsidRPr="007B0DB1">
        <w:rPr>
          <w:rFonts w:ascii="Times New Roman" w:hAnsi="Times New Roman" w:cs="Times New Roman"/>
          <w:b/>
          <w:sz w:val="24"/>
          <w:szCs w:val="24"/>
        </w:rPr>
        <w:t>esponse</w:t>
      </w:r>
    </w:p>
    <w:p w:rsidR="005B3085" w:rsidP="005B3085" w14:paraId="188F4D07" w14:textId="77777777">
      <w:pPr>
        <w:spacing w:after="0" w:line="240" w:lineRule="auto"/>
        <w:rPr>
          <w:rFonts w:ascii="Times New Roman" w:hAnsi="Times New Roman" w:cs="Times New Roman"/>
          <w:sz w:val="24"/>
          <w:szCs w:val="24"/>
        </w:rPr>
      </w:pPr>
    </w:p>
    <w:p w:rsidR="004327FF" w:rsidP="008542A8" w14:paraId="3BE3AA89" w14:textId="53045CE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The 2007 CPDO had a </w:t>
      </w:r>
      <w:r w:rsidR="00175DA9">
        <w:rPr>
          <w:rFonts w:ascii="Times New Roman" w:hAnsi="Times New Roman" w:cs="Times New Roman"/>
          <w:bCs/>
          <w:iCs/>
          <w:sz w:val="24"/>
          <w:szCs w:val="24"/>
        </w:rPr>
        <w:t>97</w:t>
      </w:r>
      <w:r>
        <w:rPr>
          <w:rFonts w:ascii="Times New Roman" w:hAnsi="Times New Roman" w:cs="Times New Roman"/>
          <w:bCs/>
          <w:iCs/>
          <w:sz w:val="24"/>
          <w:szCs w:val="24"/>
        </w:rPr>
        <w:t>% response rate</w:t>
      </w:r>
      <w:r w:rsidR="00175DA9">
        <w:rPr>
          <w:rFonts w:ascii="Times New Roman" w:hAnsi="Times New Roman" w:cs="Times New Roman"/>
          <w:bCs/>
          <w:iCs/>
          <w:sz w:val="24"/>
          <w:szCs w:val="24"/>
        </w:rPr>
        <w:t xml:space="preserve"> for county</w:t>
      </w:r>
      <w:r w:rsidR="00C50D7E">
        <w:rPr>
          <w:rFonts w:ascii="Times New Roman" w:hAnsi="Times New Roman" w:cs="Times New Roman"/>
          <w:bCs/>
          <w:iCs/>
          <w:sz w:val="24"/>
          <w:szCs w:val="24"/>
        </w:rPr>
        <w:t>-</w:t>
      </w:r>
      <w:r w:rsidR="00175DA9">
        <w:rPr>
          <w:rFonts w:ascii="Times New Roman" w:hAnsi="Times New Roman" w:cs="Times New Roman"/>
          <w:bCs/>
          <w:iCs/>
          <w:sz w:val="24"/>
          <w:szCs w:val="24"/>
        </w:rPr>
        <w:t>based offices and 100% offices for state public defender programs</w:t>
      </w:r>
      <w:r>
        <w:rPr>
          <w:rFonts w:ascii="Times New Roman" w:hAnsi="Times New Roman" w:cs="Times New Roman"/>
          <w:bCs/>
          <w:iCs/>
          <w:sz w:val="24"/>
          <w:szCs w:val="24"/>
        </w:rPr>
        <w:t>. BJS anticipates the 2024 CPDO will achieve a</w:t>
      </w:r>
      <w:r w:rsidR="00D4719A">
        <w:rPr>
          <w:rFonts w:ascii="Times New Roman" w:hAnsi="Times New Roman" w:cs="Times New Roman"/>
          <w:bCs/>
          <w:iCs/>
          <w:sz w:val="24"/>
          <w:szCs w:val="24"/>
        </w:rPr>
        <w:t>n</w:t>
      </w:r>
      <w:r>
        <w:rPr>
          <w:rFonts w:ascii="Times New Roman" w:hAnsi="Times New Roman" w:cs="Times New Roman"/>
          <w:bCs/>
          <w:iCs/>
          <w:sz w:val="24"/>
          <w:szCs w:val="24"/>
        </w:rPr>
        <w:t xml:space="preserve"> </w:t>
      </w:r>
      <w:r w:rsidR="00D4719A">
        <w:rPr>
          <w:rFonts w:ascii="Times New Roman" w:hAnsi="Times New Roman" w:cs="Times New Roman"/>
          <w:bCs/>
          <w:iCs/>
          <w:sz w:val="24"/>
          <w:szCs w:val="24"/>
        </w:rPr>
        <w:t>8</w:t>
      </w:r>
      <w:r w:rsidR="00521236">
        <w:rPr>
          <w:rFonts w:ascii="Times New Roman" w:hAnsi="Times New Roman" w:cs="Times New Roman"/>
          <w:bCs/>
          <w:iCs/>
          <w:sz w:val="24"/>
          <w:szCs w:val="24"/>
        </w:rPr>
        <w:t>5</w:t>
      </w:r>
      <w:r>
        <w:rPr>
          <w:rFonts w:ascii="Times New Roman" w:hAnsi="Times New Roman" w:cs="Times New Roman"/>
          <w:bCs/>
          <w:iCs/>
          <w:sz w:val="24"/>
          <w:szCs w:val="24"/>
        </w:rPr>
        <w:t xml:space="preserve">% response rate through various activities to ensure high response rates. </w:t>
      </w:r>
    </w:p>
    <w:p w:rsidR="004327FF" w:rsidRPr="002539F4" w:rsidP="008542A8" w14:paraId="6FD13977" w14:textId="77777777">
      <w:pPr>
        <w:spacing w:after="0" w:line="240" w:lineRule="auto"/>
        <w:rPr>
          <w:rFonts w:ascii="Times New Roman" w:hAnsi="Times New Roman" w:cs="Times New Roman"/>
          <w:bCs/>
          <w:iCs/>
          <w:sz w:val="24"/>
          <w:szCs w:val="24"/>
        </w:rPr>
      </w:pPr>
    </w:p>
    <w:p w:rsidR="008542A8" w:rsidRPr="008542A8" w:rsidP="008542A8" w14:paraId="05EE764E" w14:textId="296C541D">
      <w:pPr>
        <w:spacing w:after="0" w:line="240" w:lineRule="auto"/>
        <w:rPr>
          <w:rFonts w:ascii="Times New Roman" w:hAnsi="Times New Roman" w:cs="Times New Roman"/>
          <w:sz w:val="24"/>
          <w:szCs w:val="24"/>
        </w:rPr>
      </w:pPr>
      <w:r w:rsidRPr="008542A8">
        <w:rPr>
          <w:rFonts w:ascii="Times New Roman" w:hAnsi="Times New Roman" w:cs="Times New Roman"/>
          <w:b/>
          <w:i/>
          <w:sz w:val="24"/>
          <w:szCs w:val="24"/>
        </w:rPr>
        <w:t xml:space="preserve">Instrument development. </w:t>
      </w:r>
      <w:r w:rsidRPr="008542A8">
        <w:rPr>
          <w:rFonts w:ascii="Times New Roman" w:hAnsi="Times New Roman" w:cs="Times New Roman"/>
          <w:sz w:val="24"/>
          <w:szCs w:val="24"/>
        </w:rPr>
        <w:t xml:space="preserve">In developing the CPDO instrument, the project team’s priority was to make an instrument </w:t>
      </w:r>
      <w:r w:rsidR="00996FED">
        <w:rPr>
          <w:rFonts w:ascii="Times New Roman" w:hAnsi="Times New Roman" w:cs="Times New Roman"/>
          <w:sz w:val="24"/>
          <w:szCs w:val="24"/>
        </w:rPr>
        <w:t xml:space="preserve">consistent </w:t>
      </w:r>
      <w:r w:rsidR="00A636E3">
        <w:rPr>
          <w:rFonts w:ascii="Times New Roman" w:hAnsi="Times New Roman" w:cs="Times New Roman"/>
          <w:sz w:val="24"/>
          <w:szCs w:val="24"/>
        </w:rPr>
        <w:t xml:space="preserve">with </w:t>
      </w:r>
      <w:r w:rsidRPr="008542A8">
        <w:rPr>
          <w:rFonts w:ascii="Times New Roman" w:hAnsi="Times New Roman" w:cs="Times New Roman"/>
          <w:sz w:val="24"/>
          <w:szCs w:val="24"/>
        </w:rPr>
        <w:t>the 2007 CPDO to permit comparisons over time. The team also sought to address known problems with the wording of that instrument, to update the instrument to reflect contemporary concerns, and to add questions on matters relevant to defense practice</w:t>
      </w:r>
      <w:r w:rsidR="002E3ED1">
        <w:rPr>
          <w:rFonts w:ascii="Times New Roman" w:hAnsi="Times New Roman" w:cs="Times New Roman"/>
          <w:sz w:val="24"/>
          <w:szCs w:val="24"/>
        </w:rPr>
        <w:t>s</w:t>
      </w:r>
      <w:r w:rsidRPr="008542A8">
        <w:rPr>
          <w:rFonts w:ascii="Times New Roman" w:hAnsi="Times New Roman" w:cs="Times New Roman"/>
          <w:sz w:val="24"/>
          <w:szCs w:val="24"/>
        </w:rPr>
        <w:t xml:space="preserve"> that have emerged since the last survey.</w:t>
      </w:r>
    </w:p>
    <w:p w:rsidR="008542A8" w:rsidRPr="008542A8" w:rsidP="008542A8" w14:paraId="283D488F" w14:textId="77777777">
      <w:pPr>
        <w:spacing w:after="0" w:line="240" w:lineRule="auto"/>
        <w:rPr>
          <w:rFonts w:ascii="Times New Roman" w:hAnsi="Times New Roman" w:cs="Times New Roman"/>
          <w:sz w:val="24"/>
          <w:szCs w:val="24"/>
        </w:rPr>
      </w:pPr>
    </w:p>
    <w:p w:rsidR="008542A8" w:rsidRPr="008542A8" w:rsidP="008542A8" w14:paraId="52154E98" w14:textId="044FA56B">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Because the CPDO instrument is intended to be sent to defender offices across the nation, consultation with subject matter experts was an essential part of instrument preparation. The process of revising the instrument began with the project team engaging in a series of meetings to discuss and update the 2007 CPDO instrument. The team distinguished two lists of items: revisions it recommended BJS make immediately and revisions requiring discussion with the panel of subject matter experts. </w:t>
      </w:r>
    </w:p>
    <w:p w:rsidR="008542A8" w:rsidRPr="008542A8" w:rsidP="008542A8" w14:paraId="16750359" w14:textId="77777777">
      <w:pPr>
        <w:spacing w:after="0" w:line="240" w:lineRule="auto"/>
        <w:rPr>
          <w:rFonts w:ascii="Times New Roman" w:hAnsi="Times New Roman" w:cs="Times New Roman"/>
          <w:sz w:val="24"/>
          <w:szCs w:val="24"/>
        </w:rPr>
      </w:pPr>
    </w:p>
    <w:p w:rsidR="008542A8" w:rsidRPr="008542A8" w:rsidP="008542A8" w14:paraId="220E36EA" w14:textId="77777777">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Immediate revisions recommended by the team and accepted by BJS included:</w:t>
      </w:r>
    </w:p>
    <w:p w:rsidR="008542A8" w:rsidRPr="008542A8" w:rsidP="008542A8" w14:paraId="165D70B9" w14:textId="77777777">
      <w:pPr>
        <w:spacing w:after="0" w:line="240" w:lineRule="auto"/>
        <w:rPr>
          <w:rFonts w:ascii="Times New Roman" w:hAnsi="Times New Roman" w:cs="Times New Roman"/>
          <w:sz w:val="24"/>
          <w:szCs w:val="24"/>
        </w:rPr>
      </w:pPr>
    </w:p>
    <w:p w:rsidR="008542A8" w:rsidRPr="008542A8" w:rsidP="008542A8" w14:paraId="19BA2826" w14:textId="6A04D47C">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Straightforward wording updates (e.g.</w:t>
      </w:r>
      <w:r w:rsidR="008E547C">
        <w:rPr>
          <w:rFonts w:ascii="Times New Roman" w:hAnsi="Times New Roman" w:cs="Times New Roman"/>
          <w:sz w:val="24"/>
          <w:szCs w:val="24"/>
        </w:rPr>
        <w:t>,</w:t>
      </w:r>
      <w:r w:rsidRPr="008542A8">
        <w:rPr>
          <w:rFonts w:ascii="Times New Roman" w:hAnsi="Times New Roman" w:cs="Times New Roman"/>
          <w:sz w:val="24"/>
          <w:szCs w:val="24"/>
        </w:rPr>
        <w:t xml:space="preserve"> dates </w:t>
      </w:r>
      <w:r w:rsidR="00A96D1B">
        <w:rPr>
          <w:rFonts w:ascii="Times New Roman" w:hAnsi="Times New Roman" w:cs="Times New Roman"/>
          <w:sz w:val="24"/>
          <w:szCs w:val="24"/>
        </w:rPr>
        <w:t xml:space="preserve">were </w:t>
      </w:r>
      <w:r w:rsidR="003B3B7A">
        <w:rPr>
          <w:rFonts w:ascii="Times New Roman" w:hAnsi="Times New Roman" w:cs="Times New Roman"/>
          <w:sz w:val="24"/>
          <w:szCs w:val="24"/>
        </w:rPr>
        <w:t>change</w:t>
      </w:r>
      <w:r w:rsidR="00A96D1B">
        <w:rPr>
          <w:rFonts w:ascii="Times New Roman" w:hAnsi="Times New Roman" w:cs="Times New Roman"/>
          <w:sz w:val="24"/>
          <w:szCs w:val="24"/>
        </w:rPr>
        <w:t>d</w:t>
      </w:r>
      <w:r w:rsidR="003B3B7A">
        <w:rPr>
          <w:rFonts w:ascii="Times New Roman" w:hAnsi="Times New Roman" w:cs="Times New Roman"/>
          <w:sz w:val="24"/>
          <w:szCs w:val="24"/>
        </w:rPr>
        <w:t xml:space="preserve"> to a 2024 reference period</w:t>
      </w:r>
      <w:r w:rsidRPr="008542A8">
        <w:rPr>
          <w:rFonts w:ascii="Times New Roman" w:hAnsi="Times New Roman" w:cs="Times New Roman"/>
          <w:sz w:val="24"/>
          <w:szCs w:val="24"/>
        </w:rPr>
        <w:t xml:space="preserve">, addition of ‘piped’ responses </w:t>
      </w:r>
      <w:r w:rsidR="003B3B7A">
        <w:rPr>
          <w:rFonts w:ascii="Times New Roman" w:hAnsi="Times New Roman" w:cs="Times New Roman"/>
          <w:sz w:val="24"/>
          <w:szCs w:val="24"/>
        </w:rPr>
        <w:t>added to questions in Section B</w:t>
      </w:r>
      <w:r w:rsidR="003B3B7A">
        <w:rPr>
          <w:rFonts w:ascii="Times New Roman" w:hAnsi="Times New Roman" w:cs="Times New Roman"/>
          <w:sz w:val="24"/>
          <w:szCs w:val="24"/>
        </w:rPr>
        <w:t>);</w:t>
      </w:r>
    </w:p>
    <w:p w:rsidR="008542A8" w:rsidRPr="008542A8" w:rsidP="008542A8" w14:paraId="15A30376" w14:textId="77777777">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Modifications to questions about attorney attrition and turnover, responding to new concerns in the field about the seriousness of this issue, and removing a question format that required respondents to perform mathematical </w:t>
      </w:r>
      <w:r w:rsidRPr="008542A8">
        <w:rPr>
          <w:rFonts w:ascii="Times New Roman" w:hAnsi="Times New Roman" w:cs="Times New Roman"/>
          <w:sz w:val="24"/>
          <w:szCs w:val="24"/>
        </w:rPr>
        <w:t>operations;</w:t>
      </w:r>
    </w:p>
    <w:p w:rsidR="008542A8" w:rsidRPr="008542A8" w:rsidP="008542A8" w14:paraId="29C88E8D" w14:textId="77777777">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Deletion of ‘identity theft’ questions that were added by BJS as an area of special interest in </w:t>
      </w:r>
      <w:r w:rsidRPr="008542A8">
        <w:rPr>
          <w:rFonts w:ascii="Times New Roman" w:hAnsi="Times New Roman" w:cs="Times New Roman"/>
          <w:sz w:val="24"/>
          <w:szCs w:val="24"/>
        </w:rPr>
        <w:t>2007;</w:t>
      </w:r>
    </w:p>
    <w:p w:rsidR="008542A8" w:rsidRPr="008542A8" w:rsidP="008542A8" w14:paraId="0E11720B" w14:textId="77777777">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Revisions to response options for mutual exclusivity on questions about case counting methods, horizontal representation, and timing of entry of attorneys into </w:t>
      </w:r>
      <w:r w:rsidRPr="008542A8">
        <w:rPr>
          <w:rFonts w:ascii="Times New Roman" w:hAnsi="Times New Roman" w:cs="Times New Roman"/>
          <w:sz w:val="24"/>
          <w:szCs w:val="24"/>
        </w:rPr>
        <w:t>cases;</w:t>
      </w:r>
    </w:p>
    <w:p w:rsidR="008542A8" w:rsidRPr="008542A8" w:rsidP="008542A8" w14:paraId="4E50DA06" w14:textId="2BDBDB0B">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Rewriting or elimination of certain low value questions (e.g.</w:t>
      </w:r>
      <w:r w:rsidR="00F13BE6">
        <w:rPr>
          <w:rFonts w:ascii="Times New Roman" w:hAnsi="Times New Roman" w:cs="Times New Roman"/>
          <w:sz w:val="24"/>
          <w:szCs w:val="24"/>
        </w:rPr>
        <w:t>,</w:t>
      </w:r>
      <w:r w:rsidRPr="008542A8">
        <w:rPr>
          <w:rFonts w:ascii="Times New Roman" w:hAnsi="Times New Roman" w:cs="Times New Roman"/>
          <w:sz w:val="24"/>
          <w:szCs w:val="24"/>
        </w:rPr>
        <w:t xml:space="preserve"> replacement of questions on standards in place within offices with questions on office policies; replacement of question</w:t>
      </w:r>
      <w:r w:rsidR="005A3EF3">
        <w:rPr>
          <w:rFonts w:ascii="Times New Roman" w:hAnsi="Times New Roman" w:cs="Times New Roman"/>
          <w:sz w:val="24"/>
          <w:szCs w:val="24"/>
        </w:rPr>
        <w:t>s</w:t>
      </w:r>
      <w:r w:rsidRPr="008542A8">
        <w:rPr>
          <w:rFonts w:ascii="Times New Roman" w:hAnsi="Times New Roman" w:cs="Times New Roman"/>
          <w:sz w:val="24"/>
          <w:szCs w:val="24"/>
        </w:rPr>
        <w:t xml:space="preserve"> on whether investigative services are ‘available’ to attorneys with questions on investigator staffing and salaries</w:t>
      </w:r>
      <w:r w:rsidRPr="008542A8">
        <w:rPr>
          <w:rFonts w:ascii="Times New Roman" w:hAnsi="Times New Roman" w:cs="Times New Roman"/>
          <w:sz w:val="24"/>
          <w:szCs w:val="24"/>
        </w:rPr>
        <w:t>);</w:t>
      </w:r>
    </w:p>
    <w:p w:rsidR="008542A8" w:rsidRPr="008542A8" w:rsidP="008542A8" w14:paraId="0EC903B5" w14:textId="06A37668">
      <w:pPr>
        <w:pStyle w:val="ListParagraph"/>
        <w:numPr>
          <w:ilvl w:val="0"/>
          <w:numId w:val="18"/>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Addition of ‘estimate’ checkboxes to demanding questions requiring specific numerical </w:t>
      </w:r>
      <w:r w:rsidRPr="008542A8">
        <w:rPr>
          <w:rFonts w:ascii="Times New Roman" w:hAnsi="Times New Roman" w:cs="Times New Roman"/>
          <w:sz w:val="24"/>
          <w:szCs w:val="24"/>
        </w:rPr>
        <w:t>response</w:t>
      </w:r>
      <w:r w:rsidR="00FC7F2D">
        <w:rPr>
          <w:rFonts w:ascii="Times New Roman" w:hAnsi="Times New Roman" w:cs="Times New Roman"/>
          <w:sz w:val="24"/>
          <w:szCs w:val="24"/>
        </w:rPr>
        <w:t>s</w:t>
      </w:r>
      <w:r w:rsidRPr="008542A8">
        <w:rPr>
          <w:rFonts w:ascii="Times New Roman" w:hAnsi="Times New Roman" w:cs="Times New Roman"/>
          <w:sz w:val="24"/>
          <w:szCs w:val="24"/>
        </w:rPr>
        <w:t>;</w:t>
      </w:r>
    </w:p>
    <w:p w:rsidR="008542A8" w:rsidRPr="008542A8" w:rsidP="008542A8" w14:paraId="1FECE200" w14:textId="77777777">
      <w:pPr>
        <w:spacing w:after="0" w:line="240" w:lineRule="auto"/>
        <w:rPr>
          <w:rFonts w:ascii="Times New Roman" w:hAnsi="Times New Roman" w:cs="Times New Roman"/>
          <w:sz w:val="24"/>
          <w:szCs w:val="24"/>
        </w:rPr>
      </w:pPr>
    </w:p>
    <w:p w:rsidR="008542A8" w:rsidRPr="008542A8" w:rsidP="008542A8" w14:paraId="5DA6CD8D" w14:textId="125BDB54">
      <w:p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The project team met with a subject matter expert panel in Salt Lake City, UT, in Summer 2023 to discuss issues where input from the field was especially important. </w:t>
      </w:r>
      <w:r w:rsidR="00A96D1B">
        <w:rPr>
          <w:rFonts w:ascii="Times New Roman" w:hAnsi="Times New Roman" w:cs="Times New Roman"/>
          <w:sz w:val="24"/>
          <w:szCs w:val="24"/>
        </w:rPr>
        <w:t>As a result of the expert panel meeting, the following changes were made</w:t>
      </w:r>
      <w:r w:rsidRPr="008542A8">
        <w:rPr>
          <w:rFonts w:ascii="Times New Roman" w:hAnsi="Times New Roman" w:cs="Times New Roman"/>
          <w:sz w:val="24"/>
          <w:szCs w:val="24"/>
        </w:rPr>
        <w:t>:</w:t>
      </w:r>
    </w:p>
    <w:p w:rsidR="008542A8" w:rsidRPr="008542A8" w:rsidP="008542A8" w14:paraId="632872DC" w14:textId="77777777">
      <w:pPr>
        <w:spacing w:after="0" w:line="240" w:lineRule="auto"/>
        <w:rPr>
          <w:rFonts w:ascii="Times New Roman" w:hAnsi="Times New Roman" w:cs="Times New Roman"/>
          <w:sz w:val="24"/>
          <w:szCs w:val="24"/>
        </w:rPr>
      </w:pPr>
    </w:p>
    <w:p w:rsidR="008542A8" w:rsidRPr="008542A8" w:rsidP="008542A8" w14:paraId="21CB5D8E" w14:textId="77777777">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Enhancements to questions about oversight of offices, including the types of powers usually reserved to oversight </w:t>
      </w:r>
      <w:r w:rsidRPr="008542A8">
        <w:rPr>
          <w:rFonts w:ascii="Times New Roman" w:hAnsi="Times New Roman" w:cs="Times New Roman"/>
          <w:sz w:val="24"/>
          <w:szCs w:val="24"/>
        </w:rPr>
        <w:t>boards;</w:t>
      </w:r>
    </w:p>
    <w:p w:rsidR="008542A8" w:rsidRPr="008542A8" w:rsidP="008542A8" w14:paraId="11D0DF30" w14:textId="5447F595">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Enhancements to questions about office policies, incorporating new areas in which offices may have </w:t>
      </w:r>
      <w:r w:rsidRPr="008542A8">
        <w:rPr>
          <w:rFonts w:ascii="Times New Roman" w:hAnsi="Times New Roman" w:cs="Times New Roman"/>
          <w:sz w:val="24"/>
          <w:szCs w:val="24"/>
        </w:rPr>
        <w:t>polic</w:t>
      </w:r>
      <w:r w:rsidR="005A3EF3">
        <w:rPr>
          <w:rFonts w:ascii="Times New Roman" w:hAnsi="Times New Roman" w:cs="Times New Roman"/>
          <w:sz w:val="24"/>
          <w:szCs w:val="24"/>
        </w:rPr>
        <w:t>i</w:t>
      </w:r>
      <w:r w:rsidRPr="008542A8">
        <w:rPr>
          <w:rFonts w:ascii="Times New Roman" w:hAnsi="Times New Roman" w:cs="Times New Roman"/>
          <w:sz w:val="24"/>
          <w:szCs w:val="24"/>
        </w:rPr>
        <w:t>es;</w:t>
      </w:r>
    </w:p>
    <w:p w:rsidR="008542A8" w:rsidRPr="008542A8" w:rsidP="008542A8" w14:paraId="150EFCAC" w14:textId="77777777">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Enhancement to questions about data collection systems to reflect recent developments in </w:t>
      </w:r>
      <w:r w:rsidRPr="008542A8">
        <w:rPr>
          <w:rFonts w:ascii="Times New Roman" w:hAnsi="Times New Roman" w:cs="Times New Roman"/>
          <w:sz w:val="24"/>
          <w:szCs w:val="24"/>
        </w:rPr>
        <w:t>technology;</w:t>
      </w:r>
    </w:p>
    <w:p w:rsidR="008542A8" w:rsidRPr="008542A8" w:rsidP="008542A8" w14:paraId="7B0009DA" w14:textId="77777777">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 xml:space="preserve">Revisions to questions regarding financial eligibility screening of defendants to account for the limited role some defenders play in these </w:t>
      </w:r>
      <w:r w:rsidRPr="008542A8">
        <w:rPr>
          <w:rFonts w:ascii="Times New Roman" w:hAnsi="Times New Roman" w:cs="Times New Roman"/>
          <w:sz w:val="24"/>
          <w:szCs w:val="24"/>
        </w:rPr>
        <w:t>processes;</w:t>
      </w:r>
    </w:p>
    <w:p w:rsidR="008542A8" w:rsidRPr="008542A8" w:rsidP="008542A8" w14:paraId="4B86F950" w14:textId="5E40E822">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Elimination of ambiguous or unfamiliar terms and vocabulary (e.g.</w:t>
      </w:r>
      <w:r w:rsidR="005A3EF3">
        <w:rPr>
          <w:rFonts w:ascii="Times New Roman" w:hAnsi="Times New Roman" w:cs="Times New Roman"/>
          <w:sz w:val="24"/>
          <w:szCs w:val="24"/>
        </w:rPr>
        <w:t>,</w:t>
      </w:r>
      <w:r w:rsidRPr="008542A8">
        <w:rPr>
          <w:rFonts w:ascii="Times New Roman" w:hAnsi="Times New Roman" w:cs="Times New Roman"/>
          <w:sz w:val="24"/>
          <w:szCs w:val="24"/>
        </w:rPr>
        <w:t xml:space="preserve"> ‘alternative defender office’; ‘management attorney’</w:t>
      </w:r>
      <w:r w:rsidRPr="008542A8">
        <w:rPr>
          <w:rFonts w:ascii="Times New Roman" w:hAnsi="Times New Roman" w:cs="Times New Roman"/>
          <w:sz w:val="24"/>
          <w:szCs w:val="24"/>
        </w:rPr>
        <w:t>);</w:t>
      </w:r>
    </w:p>
    <w:p w:rsidR="008542A8" w:rsidRPr="008542A8" w:rsidP="008542A8" w14:paraId="14175B7D" w14:textId="1E163EDB">
      <w:pPr>
        <w:pStyle w:val="ListParagraph"/>
        <w:numPr>
          <w:ilvl w:val="0"/>
          <w:numId w:val="19"/>
        </w:numPr>
        <w:spacing w:after="0" w:line="240" w:lineRule="auto"/>
        <w:rPr>
          <w:rFonts w:ascii="Times New Roman" w:hAnsi="Times New Roman" w:cs="Times New Roman"/>
          <w:sz w:val="24"/>
          <w:szCs w:val="24"/>
        </w:rPr>
      </w:pPr>
      <w:r w:rsidRPr="008542A8">
        <w:rPr>
          <w:rFonts w:ascii="Times New Roman" w:hAnsi="Times New Roman" w:cs="Times New Roman"/>
          <w:sz w:val="24"/>
          <w:szCs w:val="24"/>
        </w:rPr>
        <w:t>Reducing the burden of questions by asking for data in challenging areas (i.e.</w:t>
      </w:r>
      <w:r w:rsidR="005A3EF3">
        <w:rPr>
          <w:rFonts w:ascii="Times New Roman" w:hAnsi="Times New Roman" w:cs="Times New Roman"/>
          <w:sz w:val="24"/>
          <w:szCs w:val="24"/>
        </w:rPr>
        <w:t>,</w:t>
      </w:r>
      <w:r w:rsidRPr="008542A8">
        <w:rPr>
          <w:rFonts w:ascii="Times New Roman" w:hAnsi="Times New Roman" w:cs="Times New Roman"/>
          <w:sz w:val="24"/>
          <w:szCs w:val="24"/>
        </w:rPr>
        <w:t xml:space="preserve"> staffing, caseloads, and expenditures) in the most straightforward ways possible.</w:t>
      </w:r>
    </w:p>
    <w:p w:rsidR="008542A8" w:rsidRPr="008542A8" w:rsidP="008542A8" w14:paraId="5F1D93B0" w14:textId="77777777">
      <w:pPr>
        <w:spacing w:after="0" w:line="240" w:lineRule="auto"/>
        <w:rPr>
          <w:rFonts w:ascii="Times New Roman" w:hAnsi="Times New Roman" w:cs="Times New Roman"/>
          <w:sz w:val="24"/>
          <w:szCs w:val="24"/>
        </w:rPr>
      </w:pPr>
    </w:p>
    <w:p w:rsidR="008542A8" w:rsidP="008542A8" w14:paraId="0CB7B982" w14:textId="298180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final instrument </w:t>
      </w:r>
      <w:r w:rsidR="00A96D1B">
        <w:rPr>
          <w:rFonts w:ascii="Times New Roman" w:hAnsi="Times New Roman" w:cs="Times New Roman"/>
          <w:sz w:val="24"/>
          <w:szCs w:val="24"/>
        </w:rPr>
        <w:t>(</w:t>
      </w:r>
      <w:r w:rsidRPr="002539F4" w:rsidR="00A96D1B">
        <w:rPr>
          <w:rFonts w:ascii="Times New Roman" w:hAnsi="Times New Roman" w:cs="Times New Roman"/>
          <w:b/>
          <w:bCs/>
          <w:sz w:val="24"/>
          <w:szCs w:val="24"/>
        </w:rPr>
        <w:t>Attachment 1</w:t>
      </w:r>
      <w:r w:rsidR="00A96D1B">
        <w:rPr>
          <w:rFonts w:ascii="Times New Roman" w:hAnsi="Times New Roman" w:cs="Times New Roman"/>
          <w:sz w:val="24"/>
          <w:szCs w:val="24"/>
        </w:rPr>
        <w:t xml:space="preserve">) </w:t>
      </w:r>
      <w:r>
        <w:rPr>
          <w:rFonts w:ascii="Times New Roman" w:hAnsi="Times New Roman" w:cs="Times New Roman"/>
          <w:sz w:val="24"/>
          <w:szCs w:val="24"/>
        </w:rPr>
        <w:t xml:space="preserve">will be web-based and supported by various online help functions to maximize response rates. </w:t>
      </w:r>
      <w:r w:rsidR="009535AB">
        <w:rPr>
          <w:rFonts w:ascii="Times New Roman" w:hAnsi="Times New Roman" w:cs="Times New Roman"/>
          <w:sz w:val="24"/>
          <w:szCs w:val="24"/>
        </w:rPr>
        <w:t xml:space="preserve">The project email and toll-free number will appear on each page of the web survey. The survey is programmed so that responses are captured in real-time as they are entered allowing the respondent to complete the survey as they have time. A delegation </w:t>
      </w:r>
      <w:r w:rsidR="009535AB">
        <w:rPr>
          <w:rFonts w:ascii="Times New Roman" w:hAnsi="Times New Roman" w:cs="Times New Roman"/>
          <w:sz w:val="24"/>
          <w:szCs w:val="24"/>
        </w:rPr>
        <w:t xml:space="preserve">feature was also programmed which will allow for subsections of the survey to be sent to other knowledgeable staff within the office. </w:t>
      </w:r>
    </w:p>
    <w:p w:rsidR="005B3085" w:rsidRPr="007B0DB1" w:rsidP="008542A8" w14:paraId="012DC363" w14:textId="7F545949">
      <w:pPr>
        <w:spacing w:after="0" w:line="240" w:lineRule="auto"/>
        <w:rPr>
          <w:rFonts w:ascii="Times New Roman" w:hAnsi="Times New Roman" w:cs="Times New Roman"/>
          <w:sz w:val="24"/>
          <w:szCs w:val="24"/>
        </w:rPr>
      </w:pPr>
    </w:p>
    <w:p w:rsidR="00C73F59" w:rsidRPr="00C73F59" w:rsidP="00C73F59" w14:paraId="7086A58E" w14:textId="6EA57D1E">
      <w:pPr>
        <w:rPr>
          <w:rFonts w:ascii="Times New Roman" w:hAnsi="Times New Roman" w:cs="Times New Roman"/>
          <w:sz w:val="24"/>
          <w:szCs w:val="24"/>
        </w:rPr>
      </w:pPr>
      <w:r w:rsidRPr="007B0DB1">
        <w:rPr>
          <w:rFonts w:ascii="Times New Roman" w:hAnsi="Times New Roman" w:cs="Times New Roman"/>
          <w:b/>
          <w:i/>
          <w:sz w:val="24"/>
          <w:szCs w:val="24"/>
        </w:rPr>
        <w:t>Outreach and recruitment efforts.</w:t>
      </w:r>
      <w:r w:rsidR="00184F5F">
        <w:rPr>
          <w:rFonts w:ascii="Times New Roman" w:hAnsi="Times New Roman" w:cs="Times New Roman"/>
          <w:b/>
          <w:i/>
          <w:sz w:val="24"/>
          <w:szCs w:val="24"/>
        </w:rPr>
        <w:t xml:space="preserve"> </w:t>
      </w:r>
      <w:r w:rsidRPr="00C73F59">
        <w:rPr>
          <w:rFonts w:ascii="Times New Roman" w:hAnsi="Times New Roman" w:cs="Times New Roman"/>
          <w:bCs/>
          <w:iCs/>
          <w:sz w:val="24"/>
          <w:szCs w:val="24"/>
        </w:rPr>
        <w:t>R</w:t>
      </w:r>
      <w:r w:rsidRPr="00C73F59">
        <w:rPr>
          <w:rFonts w:ascii="Times New Roman" w:hAnsi="Times New Roman" w:cs="Times New Roman"/>
          <w:sz w:val="24"/>
          <w:szCs w:val="24"/>
        </w:rPr>
        <w:t xml:space="preserve">ecruitment strategies for the CPDO were developed to maximize response rates. The CPDO is a complete enumeration </w:t>
      </w:r>
      <w:r>
        <w:rPr>
          <w:rFonts w:ascii="Times New Roman" w:hAnsi="Times New Roman" w:cs="Times New Roman"/>
          <w:sz w:val="24"/>
          <w:szCs w:val="24"/>
        </w:rPr>
        <w:t>of public defender offices</w:t>
      </w:r>
      <w:r w:rsidRPr="00C73F59">
        <w:rPr>
          <w:rFonts w:ascii="Times New Roman" w:hAnsi="Times New Roman" w:cs="Times New Roman"/>
          <w:sz w:val="24"/>
          <w:szCs w:val="24"/>
        </w:rPr>
        <w:t xml:space="preserve"> in the United States and </w:t>
      </w:r>
      <w:r w:rsidR="00AD78DC">
        <w:rPr>
          <w:rFonts w:ascii="Times New Roman" w:hAnsi="Times New Roman" w:cs="Times New Roman"/>
          <w:sz w:val="24"/>
          <w:szCs w:val="24"/>
        </w:rPr>
        <w:t>diverse</w:t>
      </w:r>
      <w:r w:rsidRPr="00C73F59">
        <w:rPr>
          <w:rFonts w:ascii="Times New Roman" w:hAnsi="Times New Roman" w:cs="Times New Roman"/>
          <w:sz w:val="24"/>
          <w:szCs w:val="24"/>
        </w:rPr>
        <w:t xml:space="preserve"> communication </w:t>
      </w:r>
      <w:r w:rsidR="00AD78DC">
        <w:rPr>
          <w:rFonts w:ascii="Times New Roman" w:hAnsi="Times New Roman" w:cs="Times New Roman"/>
          <w:sz w:val="24"/>
          <w:szCs w:val="24"/>
        </w:rPr>
        <w:t>methods</w:t>
      </w:r>
      <w:r w:rsidRPr="00C73F59">
        <w:rPr>
          <w:rFonts w:ascii="Times New Roman" w:hAnsi="Times New Roman" w:cs="Times New Roman"/>
          <w:sz w:val="24"/>
          <w:szCs w:val="24"/>
        </w:rPr>
        <w:t xml:space="preserve"> will inform the public defender community of the importance of the project, how the data will be used and encourage participation. BJS will utilize several approaches to communicate the CPDO activities: </w:t>
      </w:r>
    </w:p>
    <w:p w:rsidR="00C73F59" w:rsidRPr="00C73F59" w:rsidP="00C73F59" w14:paraId="6A2FE970" w14:textId="582EA8FF">
      <w:pPr>
        <w:numPr>
          <w:ilvl w:val="0"/>
          <w:numId w:val="21"/>
        </w:numPr>
        <w:spacing w:after="0" w:line="240" w:lineRule="auto"/>
        <w:rPr>
          <w:rFonts w:ascii="Times New Roman" w:eastAsia="Times New Roman" w:hAnsi="Times New Roman" w:cs="Times New Roman"/>
          <w:sz w:val="24"/>
          <w:szCs w:val="24"/>
        </w:rPr>
      </w:pPr>
      <w:r w:rsidRPr="00C73F59">
        <w:rPr>
          <w:rFonts w:ascii="Times New Roman" w:hAnsi="Times New Roman" w:cs="Times New Roman"/>
          <w:sz w:val="24"/>
          <w:szCs w:val="24"/>
        </w:rPr>
        <w:t xml:space="preserve">Develop pre-census administration digital marketing strategies inclusive of social media campaigns and the creation of videos/print/digital material for presentations at annual defender trainings and events. NAPD will use its own platforms and collaborate with other national and state associations </w:t>
      </w:r>
      <w:r w:rsidRPr="00C73F59">
        <w:rPr>
          <w:rFonts w:ascii="Times New Roman" w:hAnsi="Times New Roman" w:cs="Times New Roman"/>
          <w:sz w:val="24"/>
          <w:szCs w:val="24"/>
        </w:rPr>
        <w:t>in order to</w:t>
      </w:r>
      <w:r w:rsidRPr="00C73F59">
        <w:rPr>
          <w:rFonts w:ascii="Times New Roman" w:hAnsi="Times New Roman" w:cs="Times New Roman"/>
          <w:sz w:val="24"/>
          <w:szCs w:val="24"/>
        </w:rPr>
        <w:t xml:space="preserve"> educate the broadest audience of public defense programs/program leadership about the goals and benefits of CPDO. (One month prior to launch.)</w:t>
      </w:r>
    </w:p>
    <w:p w:rsidR="00C73F59" w:rsidRPr="00C73F59" w:rsidP="00C73F59" w14:paraId="73233A3A" w14:textId="5DBDD84A">
      <w:pPr>
        <w:pStyle w:val="ListParagraph"/>
        <w:numPr>
          <w:ilvl w:val="0"/>
          <w:numId w:val="21"/>
        </w:numPr>
        <w:spacing w:line="240" w:lineRule="auto"/>
        <w:rPr>
          <w:rFonts w:ascii="Times New Roman" w:eastAsia="Times New Roman" w:hAnsi="Times New Roman" w:cs="Times New Roman"/>
          <w:sz w:val="24"/>
          <w:szCs w:val="24"/>
        </w:rPr>
      </w:pPr>
      <w:r w:rsidRPr="00C73F59">
        <w:rPr>
          <w:rFonts w:ascii="Times New Roman" w:eastAsia="Times New Roman" w:hAnsi="Times New Roman" w:cs="Times New Roman"/>
          <w:sz w:val="24"/>
          <w:szCs w:val="24"/>
        </w:rPr>
        <w:t>Distribution of project updates via the data collection agent, NAPD’s social media platforms, NAPD website, NAPD’s monthly newsletter and various roundtables and convenings with other public defender advocacy and membership programs. (Throughout data collection.)</w:t>
      </w:r>
    </w:p>
    <w:p w:rsidR="00C73F59" w:rsidRPr="00C73F59" w:rsidP="00C73F59" w14:paraId="55D3878B" w14:textId="77777777">
      <w:pPr>
        <w:pStyle w:val="ListParagraph"/>
        <w:numPr>
          <w:ilvl w:val="0"/>
          <w:numId w:val="21"/>
        </w:numPr>
        <w:autoSpaceDE w:val="0"/>
        <w:autoSpaceDN w:val="0"/>
        <w:adjustRightInd w:val="0"/>
        <w:spacing w:after="0" w:line="240" w:lineRule="auto"/>
        <w:rPr>
          <w:rFonts w:ascii="Times New Roman" w:hAnsi="Times New Roman" w:cs="Times New Roman"/>
          <w:color w:val="000000"/>
          <w:sz w:val="24"/>
          <w:szCs w:val="24"/>
        </w:rPr>
      </w:pPr>
      <w:r w:rsidRPr="00C73F59">
        <w:rPr>
          <w:rFonts w:ascii="Times New Roman" w:hAnsi="Times New Roman" w:cs="Times New Roman"/>
          <w:color w:val="000000"/>
          <w:sz w:val="24"/>
          <w:szCs w:val="24"/>
        </w:rPr>
        <w:t xml:space="preserve">Engage NAPD’s </w:t>
      </w:r>
      <w:r w:rsidRPr="00C73F59">
        <w:rPr>
          <w:rFonts w:ascii="Times New Roman" w:hAnsi="Times New Roman" w:cs="Times New Roman"/>
          <w:i/>
          <w:iCs/>
          <w:color w:val="000000"/>
          <w:sz w:val="24"/>
          <w:szCs w:val="24"/>
        </w:rPr>
        <w:t xml:space="preserve">Network of Leaders </w:t>
      </w:r>
      <w:r w:rsidRPr="00C73F59">
        <w:rPr>
          <w:rFonts w:ascii="Times New Roman" w:hAnsi="Times New Roman" w:cs="Times New Roman"/>
          <w:color w:val="000000"/>
          <w:sz w:val="24"/>
          <w:szCs w:val="24"/>
        </w:rPr>
        <w:t>to promote the survey through its Virtual Town Hall for Executives, Executives listserv and Executives-oriented online and in-person events. (</w:t>
      </w:r>
      <w:r w:rsidRPr="00C73F59">
        <w:rPr>
          <w:rFonts w:ascii="Times New Roman" w:eastAsia="Times New Roman" w:hAnsi="Times New Roman" w:cs="Times New Roman"/>
          <w:sz w:val="24"/>
          <w:szCs w:val="24"/>
        </w:rPr>
        <w:t xml:space="preserve">Throughout data collection.) </w:t>
      </w:r>
    </w:p>
    <w:p w:rsidR="00C73F59" w:rsidP="00C73F59" w14:paraId="3C40518B" w14:textId="4A1E61DE">
      <w:pPr>
        <w:numPr>
          <w:ilvl w:val="0"/>
          <w:numId w:val="21"/>
        </w:numPr>
        <w:spacing w:after="0" w:line="240" w:lineRule="auto"/>
        <w:rPr>
          <w:rFonts w:ascii="Times New Roman" w:eastAsia="Times New Roman" w:hAnsi="Times New Roman" w:cs="Times New Roman"/>
          <w:sz w:val="24"/>
          <w:szCs w:val="24"/>
        </w:rPr>
      </w:pPr>
      <w:r w:rsidRPr="00C73F59">
        <w:rPr>
          <w:rFonts w:ascii="Times New Roman" w:eastAsia="Times New Roman" w:hAnsi="Times New Roman" w:cs="Times New Roman"/>
          <w:sz w:val="24"/>
          <w:szCs w:val="24"/>
        </w:rPr>
        <w:t>Communicate about the CPDO survey via the NAPD listserv, newsletter and at online leadership forums. (Throughout data collection.)</w:t>
      </w:r>
    </w:p>
    <w:p w:rsidR="00960FAD" w:rsidP="00960FAD" w14:paraId="263001CA" w14:textId="5BCEE358">
      <w:pPr>
        <w:numPr>
          <w:ilvl w:val="0"/>
          <w:numId w:val="2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Varying nonresponse outreach during data collection to include communication from BJS, NORC, and NAPD. </w:t>
      </w:r>
    </w:p>
    <w:p w:rsidR="00960FAD" w:rsidRPr="00C73F59" w:rsidP="00960FAD" w14:paraId="00692421" w14:textId="77777777">
      <w:pPr>
        <w:spacing w:after="0" w:line="240" w:lineRule="auto"/>
        <w:ind w:left="720"/>
        <w:rPr>
          <w:rFonts w:ascii="Times New Roman" w:eastAsia="Times New Roman" w:hAnsi="Times New Roman" w:cs="Times New Roman"/>
          <w:sz w:val="24"/>
          <w:szCs w:val="24"/>
        </w:rPr>
      </w:pPr>
    </w:p>
    <w:p w:rsidR="00C73F59" w:rsidRPr="00C73F59" w:rsidP="00C73F59" w14:paraId="31568E51" w14:textId="77777777">
      <w:pPr>
        <w:rPr>
          <w:rFonts w:ascii="Times New Roman" w:hAnsi="Times New Roman" w:cs="Times New Roman"/>
          <w:sz w:val="24"/>
          <w:szCs w:val="24"/>
        </w:rPr>
      </w:pPr>
      <w:r w:rsidRPr="00C73F59">
        <w:rPr>
          <w:rFonts w:ascii="Times New Roman" w:hAnsi="Times New Roman" w:cs="Times New Roman"/>
          <w:sz w:val="24"/>
          <w:szCs w:val="24"/>
        </w:rPr>
        <w:t xml:space="preserve">Each of these activities will link to the CPDO project page hosted by the data collection agent. This web page lists the co-Principal Investigators, BJS staff and CPDO Expert Panel members. </w:t>
      </w:r>
    </w:p>
    <w:p w:rsidR="000B4E31" w:rsidP="005B3085" w14:paraId="71051F89" w14:textId="77777777">
      <w:pPr>
        <w:spacing w:after="0" w:line="240" w:lineRule="auto"/>
        <w:rPr>
          <w:rFonts w:ascii="Times New Roman" w:hAnsi="Times New Roman" w:cs="Times New Roman"/>
          <w:sz w:val="24"/>
          <w:szCs w:val="24"/>
        </w:rPr>
      </w:pPr>
      <w:r w:rsidRPr="007B0DB1">
        <w:rPr>
          <w:rFonts w:ascii="Times New Roman" w:hAnsi="Times New Roman" w:cs="Times New Roman"/>
          <w:b/>
          <w:i/>
          <w:sz w:val="24"/>
          <w:szCs w:val="24"/>
        </w:rPr>
        <w:t>Nonresponse follow-up protocols.</w:t>
      </w:r>
      <w:r w:rsidR="00184F5F">
        <w:rPr>
          <w:rFonts w:ascii="Times New Roman" w:hAnsi="Times New Roman" w:cs="Times New Roman"/>
          <w:sz w:val="24"/>
          <w:szCs w:val="24"/>
        </w:rPr>
        <w:t xml:space="preserve"> P</w:t>
      </w:r>
      <w:r w:rsidR="00AD78DC">
        <w:rPr>
          <w:rFonts w:ascii="Times New Roman" w:hAnsi="Times New Roman" w:cs="Times New Roman"/>
          <w:sz w:val="24"/>
          <w:szCs w:val="24"/>
        </w:rPr>
        <w:t>ublic defender offices</w:t>
      </w:r>
      <w:r w:rsidR="00184F5F">
        <w:rPr>
          <w:rFonts w:ascii="Times New Roman" w:hAnsi="Times New Roman" w:cs="Times New Roman"/>
          <w:sz w:val="24"/>
          <w:szCs w:val="24"/>
        </w:rPr>
        <w:t xml:space="preserve"> that do not complete the survey will be contacted thr</w:t>
      </w:r>
      <w:r w:rsidR="00DF5165">
        <w:rPr>
          <w:rFonts w:ascii="Times New Roman" w:hAnsi="Times New Roman" w:cs="Times New Roman"/>
          <w:sz w:val="24"/>
          <w:szCs w:val="24"/>
        </w:rPr>
        <w:t>ough</w:t>
      </w:r>
      <w:r w:rsidR="00184F5F">
        <w:rPr>
          <w:rFonts w:ascii="Times New Roman" w:hAnsi="Times New Roman" w:cs="Times New Roman"/>
          <w:sz w:val="24"/>
          <w:szCs w:val="24"/>
        </w:rPr>
        <w:t xml:space="preserve"> a series of follow-up prompts to remind them to complete the survey. </w:t>
      </w:r>
      <w:r w:rsidR="00E04713">
        <w:rPr>
          <w:rFonts w:ascii="Times New Roman" w:hAnsi="Times New Roman" w:cs="Times New Roman"/>
          <w:sz w:val="24"/>
          <w:szCs w:val="24"/>
        </w:rPr>
        <w:t xml:space="preserve">This approach is consistent with best survey practices and moves from the least costly to the </w:t>
      </w:r>
      <w:r w:rsidR="00E04713">
        <w:rPr>
          <w:rFonts w:ascii="Times New Roman" w:hAnsi="Times New Roman" w:cs="Times New Roman"/>
          <w:sz w:val="24"/>
          <w:szCs w:val="24"/>
        </w:rPr>
        <w:t>most costly</w:t>
      </w:r>
      <w:r w:rsidR="00E04713">
        <w:rPr>
          <w:rFonts w:ascii="Times New Roman" w:hAnsi="Times New Roman" w:cs="Times New Roman"/>
          <w:sz w:val="24"/>
          <w:szCs w:val="24"/>
        </w:rPr>
        <w:t xml:space="preserve"> outreach.</w:t>
      </w:r>
      <w:r w:rsidR="00913685">
        <w:rPr>
          <w:rFonts w:ascii="Times New Roman" w:hAnsi="Times New Roman" w:cs="Times New Roman"/>
          <w:sz w:val="24"/>
          <w:szCs w:val="24"/>
        </w:rPr>
        <w:t xml:space="preserve"> </w:t>
      </w:r>
      <w:r w:rsidR="00E04713">
        <w:rPr>
          <w:rFonts w:ascii="Times New Roman" w:hAnsi="Times New Roman" w:cs="Times New Roman"/>
          <w:sz w:val="24"/>
          <w:szCs w:val="24"/>
        </w:rPr>
        <w:t xml:space="preserve">Table </w:t>
      </w:r>
      <w:r w:rsidR="00295144">
        <w:rPr>
          <w:rFonts w:ascii="Times New Roman" w:hAnsi="Times New Roman" w:cs="Times New Roman"/>
          <w:sz w:val="24"/>
          <w:szCs w:val="24"/>
        </w:rPr>
        <w:t>2</w:t>
      </w:r>
      <w:r w:rsidR="00E04713">
        <w:rPr>
          <w:rFonts w:ascii="Times New Roman" w:hAnsi="Times New Roman" w:cs="Times New Roman"/>
          <w:sz w:val="24"/>
          <w:szCs w:val="24"/>
        </w:rPr>
        <w:t xml:space="preserve"> </w:t>
      </w:r>
      <w:r w:rsidR="002A22B2">
        <w:rPr>
          <w:rFonts w:ascii="Times New Roman" w:hAnsi="Times New Roman" w:cs="Times New Roman"/>
          <w:sz w:val="24"/>
          <w:szCs w:val="24"/>
        </w:rPr>
        <w:t xml:space="preserve">(above) </w:t>
      </w:r>
      <w:r w:rsidR="00E04713">
        <w:rPr>
          <w:rFonts w:ascii="Times New Roman" w:hAnsi="Times New Roman" w:cs="Times New Roman"/>
          <w:sz w:val="24"/>
          <w:szCs w:val="24"/>
        </w:rPr>
        <w:t xml:space="preserve">outlines the follow-up contacts. </w:t>
      </w:r>
      <w:r w:rsidR="00913685">
        <w:rPr>
          <w:rFonts w:ascii="Times New Roman" w:hAnsi="Times New Roman" w:cs="Times New Roman"/>
          <w:sz w:val="24"/>
          <w:szCs w:val="24"/>
        </w:rPr>
        <w:t xml:space="preserve">Contacts will remain fluid in their schedule and source as response rates are closely monitored in previous outreach efforts. </w:t>
      </w:r>
      <w:r w:rsidR="00495673">
        <w:rPr>
          <w:rFonts w:ascii="Times New Roman" w:hAnsi="Times New Roman" w:cs="Times New Roman"/>
          <w:sz w:val="24"/>
          <w:szCs w:val="24"/>
        </w:rPr>
        <w:t>That is, s</w:t>
      </w:r>
      <w:r w:rsidR="00913685">
        <w:rPr>
          <w:rFonts w:ascii="Times New Roman" w:hAnsi="Times New Roman" w:cs="Times New Roman"/>
          <w:sz w:val="24"/>
          <w:szCs w:val="24"/>
        </w:rPr>
        <w:t xml:space="preserve">ubsequent outreaches </w:t>
      </w:r>
      <w:r w:rsidR="00495673">
        <w:rPr>
          <w:rFonts w:ascii="Times New Roman" w:hAnsi="Times New Roman" w:cs="Times New Roman"/>
          <w:sz w:val="24"/>
          <w:szCs w:val="24"/>
        </w:rPr>
        <w:t xml:space="preserve">will be responsive to notable upticks in response rates by determining whether they </w:t>
      </w:r>
      <w:r w:rsidR="00913685">
        <w:rPr>
          <w:rFonts w:ascii="Times New Roman" w:hAnsi="Times New Roman" w:cs="Times New Roman"/>
          <w:sz w:val="24"/>
          <w:szCs w:val="24"/>
        </w:rPr>
        <w:t>are generated by BJS, NAPD</w:t>
      </w:r>
      <w:r w:rsidR="00AF56F3">
        <w:rPr>
          <w:rFonts w:ascii="Times New Roman" w:hAnsi="Times New Roman" w:cs="Times New Roman"/>
          <w:sz w:val="24"/>
          <w:szCs w:val="24"/>
        </w:rPr>
        <w:t xml:space="preserve"> or</w:t>
      </w:r>
      <w:r w:rsidR="00913685">
        <w:rPr>
          <w:rFonts w:ascii="Times New Roman" w:hAnsi="Times New Roman" w:cs="Times New Roman"/>
          <w:sz w:val="24"/>
          <w:szCs w:val="24"/>
        </w:rPr>
        <w:t xml:space="preserve"> NORC.</w:t>
      </w:r>
    </w:p>
    <w:p w:rsidR="000B4E31" w:rsidP="005B3085" w14:paraId="126D1102" w14:textId="77777777">
      <w:pPr>
        <w:spacing w:after="0" w:line="240" w:lineRule="auto"/>
        <w:rPr>
          <w:rFonts w:ascii="Times New Roman" w:hAnsi="Times New Roman" w:cs="Times New Roman"/>
          <w:sz w:val="24"/>
          <w:szCs w:val="24"/>
        </w:rPr>
      </w:pPr>
    </w:p>
    <w:p w:rsidR="005B3085" w:rsidP="005B3085" w14:paraId="3D68DCBB" w14:textId="6C97B0F8">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Addressing nonresponse</w:t>
      </w:r>
    </w:p>
    <w:p w:rsidR="00912D4E" w:rsidRPr="007B0DB1" w:rsidP="005B3085" w14:paraId="7F7631B0" w14:textId="77777777">
      <w:pPr>
        <w:spacing w:after="0" w:line="240" w:lineRule="auto"/>
        <w:rPr>
          <w:rFonts w:ascii="Times New Roman" w:hAnsi="Times New Roman" w:cs="Times New Roman"/>
          <w:b/>
          <w:sz w:val="24"/>
          <w:szCs w:val="24"/>
        </w:rPr>
      </w:pPr>
    </w:p>
    <w:p w:rsidR="00912D4E" w:rsidRPr="003D4070" w:rsidP="00912D4E" w14:paraId="2D96DF02" w14:textId="77777777">
      <w:pPr>
        <w:pStyle w:val="SP-SglSpPara"/>
        <w:tabs>
          <w:tab w:val="left" w:pos="720"/>
        </w:tabs>
        <w:ind w:firstLine="0"/>
        <w:jc w:val="left"/>
        <w:rPr>
          <w:i/>
          <w:sz w:val="24"/>
          <w:szCs w:val="22"/>
        </w:rPr>
      </w:pPr>
      <w:r w:rsidRPr="003D4070">
        <w:rPr>
          <w:i/>
          <w:sz w:val="24"/>
          <w:szCs w:val="22"/>
        </w:rPr>
        <w:t>Weighting for Unit Non-Respons</w:t>
      </w:r>
      <w:r w:rsidRPr="003D4070">
        <w:rPr>
          <w:color w:val="000000" w:themeColor="text1"/>
          <w:sz w:val="24"/>
          <w:szCs w:val="22"/>
        </w:rPr>
        <w:t>e</w:t>
      </w:r>
      <w:r w:rsidRPr="003D4070">
        <w:rPr>
          <w:i/>
          <w:sz w:val="24"/>
          <w:szCs w:val="22"/>
        </w:rPr>
        <w:t xml:space="preserve">  </w:t>
      </w:r>
    </w:p>
    <w:p w:rsidR="00912D4E" w:rsidP="00912D4E" w14:paraId="33F022F7" w14:textId="77777777">
      <w:pPr>
        <w:pStyle w:val="SP-SglSpPara"/>
        <w:tabs>
          <w:tab w:val="left" w:pos="720"/>
        </w:tabs>
        <w:ind w:firstLine="0"/>
        <w:jc w:val="left"/>
        <w:rPr>
          <w:i/>
        </w:rPr>
      </w:pPr>
    </w:p>
    <w:p w:rsidR="00912D4E" w:rsidRPr="003D4070" w:rsidP="00912D4E" w14:paraId="0FF61F27" w14:textId="119726DB">
      <w:pPr>
        <w:pStyle w:val="SP-SglSpPara"/>
        <w:tabs>
          <w:tab w:val="left" w:pos="720"/>
        </w:tabs>
        <w:ind w:firstLine="0"/>
        <w:jc w:val="left"/>
        <w:rPr>
          <w:color w:val="000000" w:themeColor="text1"/>
          <w:sz w:val="24"/>
          <w:szCs w:val="24"/>
        </w:rPr>
      </w:pPr>
      <w:r w:rsidRPr="003D4070">
        <w:rPr>
          <w:color w:val="000000" w:themeColor="text1"/>
          <w:sz w:val="24"/>
          <w:szCs w:val="24"/>
        </w:rPr>
        <w:t xml:space="preserve">Although it is anticipated that the steps mentioned above will result in participation from </w:t>
      </w:r>
      <w:r w:rsidR="00521236">
        <w:rPr>
          <w:color w:val="000000" w:themeColor="text1"/>
          <w:sz w:val="24"/>
          <w:szCs w:val="24"/>
        </w:rPr>
        <w:t>85% of</w:t>
      </w:r>
      <w:r w:rsidRPr="003D4070">
        <w:rPr>
          <w:color w:val="000000" w:themeColor="text1"/>
          <w:sz w:val="24"/>
          <w:szCs w:val="24"/>
        </w:rPr>
        <w:t xml:space="preserve"> offices, there will likely be a percentage that do not complete the survey in a timely manner. While the CPDO is intended to be a census, the final list of responding offices is likely to be a nonrandom sample of the study population due to differential response rate</w:t>
      </w:r>
      <w:r w:rsidR="00263D97">
        <w:rPr>
          <w:color w:val="000000" w:themeColor="text1"/>
          <w:sz w:val="24"/>
          <w:szCs w:val="24"/>
        </w:rPr>
        <w:t>s</w:t>
      </w:r>
      <w:r w:rsidRPr="003D4070">
        <w:rPr>
          <w:color w:val="000000" w:themeColor="text1"/>
          <w:sz w:val="24"/>
          <w:szCs w:val="24"/>
        </w:rPr>
        <w:t xml:space="preserve"> across </w:t>
      </w:r>
      <w:r w:rsidRPr="003D4070">
        <w:rPr>
          <w:color w:val="000000" w:themeColor="text1"/>
          <w:sz w:val="24"/>
          <w:szCs w:val="24"/>
        </w:rPr>
        <w:t>subpopulations. NORC will develop an analysis weight for each respondent through a two-step weighting adjustment procedure. The sample base weight is 1 for all sample members because it is a census. The first step is an eligibility step. If any respondents are found to be ineligible, the base weight will be set to zero at this step.</w:t>
      </w:r>
      <w:r w:rsidR="00127FBA">
        <w:rPr>
          <w:color w:val="000000" w:themeColor="text1"/>
          <w:sz w:val="24"/>
          <w:szCs w:val="24"/>
        </w:rPr>
        <w:t xml:space="preserve"> </w:t>
      </w:r>
      <w:r w:rsidR="00127FBA">
        <w:t xml:space="preserve">Based on rough estimates from the 2007 CPDO, it is </w:t>
      </w:r>
      <w:r w:rsidRPr="0081040A" w:rsidR="00127FBA">
        <w:t>e</w:t>
      </w:r>
      <w:r w:rsidR="00127FBA">
        <w:t>stimated</w:t>
      </w:r>
      <w:r w:rsidRPr="0081040A" w:rsidR="00127FBA">
        <w:t xml:space="preserve"> that </w:t>
      </w:r>
      <w:r w:rsidR="00127FBA">
        <w:t xml:space="preserve">a small percentage, </w:t>
      </w:r>
      <w:r w:rsidRPr="0081040A" w:rsidR="00127FBA">
        <w:t xml:space="preserve">about </w:t>
      </w:r>
      <w:r w:rsidR="00127FBA">
        <w:t>6%,</w:t>
      </w:r>
      <w:r w:rsidRPr="0081040A" w:rsidR="00127FBA">
        <w:t xml:space="preserve"> of </w:t>
      </w:r>
      <w:r w:rsidR="00127FBA">
        <w:t xml:space="preserve">defender offices </w:t>
      </w:r>
      <w:r w:rsidRPr="0081040A" w:rsidR="00127FBA">
        <w:t>on the current roster will not be eligible</w:t>
      </w:r>
      <w:r w:rsidR="00127FBA">
        <w:t xml:space="preserve"> for the CPDO.</w:t>
      </w:r>
      <w:r w:rsidRPr="003D4070" w:rsidR="00127FBA">
        <w:rPr>
          <w:color w:val="000000" w:themeColor="text1"/>
          <w:sz w:val="24"/>
          <w:szCs w:val="24"/>
        </w:rPr>
        <w:t xml:space="preserve"> </w:t>
      </w:r>
    </w:p>
    <w:p w:rsidR="00912D4E" w:rsidRPr="003D4070" w:rsidP="00912D4E" w14:paraId="7015E352" w14:textId="77777777">
      <w:pPr>
        <w:pStyle w:val="SP-SglSpPara"/>
        <w:tabs>
          <w:tab w:val="left" w:pos="720"/>
        </w:tabs>
        <w:ind w:firstLine="0"/>
        <w:jc w:val="left"/>
        <w:rPr>
          <w:color w:val="000000" w:themeColor="text1"/>
          <w:sz w:val="24"/>
          <w:szCs w:val="24"/>
        </w:rPr>
      </w:pPr>
    </w:p>
    <w:p w:rsidR="00912D4E" w:rsidP="00912D4E" w14:paraId="12BEBDEC" w14:textId="57663594">
      <w:pPr>
        <w:rPr>
          <w:rFonts w:ascii="Times New Roman" w:hAnsi="Times New Roman" w:cs="Times New Roman"/>
          <w:color w:val="000000" w:themeColor="text1"/>
          <w:sz w:val="24"/>
          <w:szCs w:val="24"/>
        </w:rPr>
      </w:pPr>
      <w:r w:rsidRPr="003D4070">
        <w:rPr>
          <w:rFonts w:ascii="Times New Roman" w:hAnsi="Times New Roman" w:cs="Times New Roman"/>
          <w:color w:val="000000" w:themeColor="text1"/>
          <w:sz w:val="24"/>
          <w:szCs w:val="24"/>
        </w:rPr>
        <w:t>The second step is a nonresponse weight adjustment step. Through this adjustment, the weight carried by non-respondents is transferred to respondents within each adjustment cell so each responding office will represent a portion of the non-responding offices and the sum of the weights will be the total number of eligible offices. To determine which variables should be used to create the adjustment cells, a non-response bias analysis to compare response rates among different subgroups will be carried out. Variables analyzed may include the office structure, state, and American Community Survey (ACS)</w:t>
      </w:r>
      <w:r>
        <w:rPr>
          <w:rStyle w:val="FootnoteReference"/>
          <w:rFonts w:ascii="Times New Roman" w:hAnsi="Times New Roman" w:cs="Times New Roman"/>
          <w:color w:val="000000" w:themeColor="text1"/>
          <w:sz w:val="24"/>
          <w:szCs w:val="24"/>
        </w:rPr>
        <w:footnoteReference w:id="3"/>
      </w:r>
      <w:r w:rsidRPr="003D4070">
        <w:rPr>
          <w:rFonts w:ascii="Times New Roman" w:hAnsi="Times New Roman" w:cs="Times New Roman"/>
          <w:color w:val="000000" w:themeColor="text1"/>
          <w:sz w:val="24"/>
          <w:szCs w:val="24"/>
        </w:rPr>
        <w:t xml:space="preserve"> variables. Variables where subgroups have the largest differential response rates will be used to define the adjustment cells for the nonresponse weight adjustment. The details of these analyses will be included in a non-response bias analysis report. To avoid introducing unnecessary weight variation, each adjustment cell must contain at least 20 cases. </w:t>
      </w:r>
    </w:p>
    <w:p w:rsidR="00E416B9" w:rsidRPr="003D4070" w:rsidP="00912D4E" w14:paraId="7AE39230" w14:textId="024A3CBF">
      <w:pPr>
        <w:rPr>
          <w:rFonts w:ascii="Times New Roman" w:hAnsi="Times New Roman" w:cs="Times New Roman"/>
          <w:color w:val="000000" w:themeColor="text1"/>
          <w:sz w:val="24"/>
          <w:szCs w:val="24"/>
        </w:rPr>
      </w:pPr>
      <w:r w:rsidRPr="00E416B9">
        <w:rPr>
          <w:rFonts w:ascii="Times New Roman" w:hAnsi="Times New Roman" w:cs="Times New Roman"/>
          <w:color w:val="000000" w:themeColor="text1"/>
          <w:sz w:val="24"/>
          <w:szCs w:val="24"/>
        </w:rPr>
        <w:t>As mentioned above, the response rates were high in 2007, with 97% for the county-based offices and 100% for the state offices. However, for the 2025 CPDO, BJS expects about an 8</w:t>
      </w:r>
      <w:r w:rsidR="00AD0E2A">
        <w:rPr>
          <w:rFonts w:ascii="Times New Roman" w:hAnsi="Times New Roman" w:cs="Times New Roman"/>
          <w:color w:val="000000" w:themeColor="text1"/>
          <w:sz w:val="24"/>
          <w:szCs w:val="24"/>
        </w:rPr>
        <w:t>5</w:t>
      </w:r>
      <w:r w:rsidRPr="00E416B9">
        <w:rPr>
          <w:rFonts w:ascii="Times New Roman" w:hAnsi="Times New Roman" w:cs="Times New Roman"/>
          <w:color w:val="000000" w:themeColor="text1"/>
          <w:sz w:val="24"/>
          <w:szCs w:val="24"/>
        </w:rPr>
        <w:t>% response rate. Lower response rates increase the risk of bias, resulting in differences between the sample estimates and the target population's actual values. If the final response rate falls below 85%, NORC will conduct a more thorough non-response bias analysis to assess the weighting and, if necessary, improve the sample weights. This analysis will involve comparing the characteristics of respondents and non-respondents to identify any significant discrepancies, comparing the sample estimates to external sources, comparing estimates using the base weights to the adjusted weights, and evaluating survey metadata such as response dates, ranks, and lengths in relation to the response behavior.</w:t>
      </w:r>
    </w:p>
    <w:p w:rsidR="00912D4E" w:rsidRPr="003D4070" w:rsidP="00912D4E" w14:paraId="3A88C766" w14:textId="77777777">
      <w:pPr>
        <w:pStyle w:val="Default"/>
        <w:rPr>
          <w:color w:val="auto"/>
        </w:rPr>
      </w:pPr>
    </w:p>
    <w:p w:rsidR="00912D4E" w:rsidRPr="003D4070" w:rsidP="00912D4E" w14:paraId="2C566487" w14:textId="77777777">
      <w:pPr>
        <w:pStyle w:val="Default"/>
        <w:rPr>
          <w:i/>
          <w:color w:val="auto"/>
        </w:rPr>
      </w:pPr>
      <w:bookmarkStart w:id="2" w:name="_Hlk167457761"/>
      <w:r w:rsidRPr="003D4070">
        <w:rPr>
          <w:i/>
          <w:color w:val="auto"/>
        </w:rPr>
        <w:t>Imputation for Item Non-Response</w:t>
      </w:r>
    </w:p>
    <w:bookmarkEnd w:id="2"/>
    <w:p w:rsidR="00912D4E" w:rsidRPr="003D4070" w:rsidP="00912D4E" w14:paraId="095B6C08" w14:textId="77777777">
      <w:pPr>
        <w:pStyle w:val="Default"/>
        <w:rPr>
          <w:b/>
          <w:color w:val="auto"/>
          <w:u w:val="single"/>
        </w:rPr>
      </w:pPr>
    </w:p>
    <w:p w:rsidR="00F10530" w:rsidP="00F10530" w14:paraId="4D81946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color w:val="000000" w:themeColor="text1"/>
          <w:sz w:val="24"/>
          <w:szCs w:val="24"/>
        </w:rPr>
      </w:pPr>
      <w:r w:rsidRPr="003D4070">
        <w:rPr>
          <w:rFonts w:ascii="Times New Roman" w:hAnsi="Times New Roman" w:cs="Times New Roman"/>
          <w:color w:val="000000" w:themeColor="text1"/>
          <w:sz w:val="24"/>
          <w:szCs w:val="24"/>
        </w:rPr>
        <w:t xml:space="preserve">While high item response is anticipated, agencies may leave items blank due to lack of access to the information or the fact that the data are not being recorded by the office’s records management system. NORC proposes to use hot-deck </w:t>
      </w:r>
      <w:r w:rsidR="00AF0D06">
        <w:rPr>
          <w:rFonts w:ascii="Times New Roman" w:hAnsi="Times New Roman" w:cs="Times New Roman"/>
          <w:color w:val="000000" w:themeColor="text1"/>
          <w:sz w:val="24"/>
          <w:szCs w:val="24"/>
        </w:rPr>
        <w:t xml:space="preserve">and multiple imputation </w:t>
      </w:r>
      <w:r w:rsidRPr="003D4070">
        <w:rPr>
          <w:rFonts w:ascii="Times New Roman" w:hAnsi="Times New Roman" w:cs="Times New Roman"/>
          <w:color w:val="000000" w:themeColor="text1"/>
          <w:sz w:val="24"/>
          <w:szCs w:val="24"/>
        </w:rPr>
        <w:t>method</w:t>
      </w:r>
      <w:r w:rsidR="00AF0D06">
        <w:rPr>
          <w:rFonts w:ascii="Times New Roman" w:hAnsi="Times New Roman" w:cs="Times New Roman"/>
          <w:color w:val="000000" w:themeColor="text1"/>
          <w:sz w:val="24"/>
          <w:szCs w:val="24"/>
        </w:rPr>
        <w:t>s</w:t>
      </w:r>
      <w:r w:rsidRPr="003D4070">
        <w:rPr>
          <w:rFonts w:ascii="Times New Roman" w:hAnsi="Times New Roman" w:cs="Times New Roman"/>
          <w:color w:val="000000" w:themeColor="text1"/>
          <w:sz w:val="24"/>
          <w:szCs w:val="24"/>
        </w:rPr>
        <w:t xml:space="preserve"> to ensure a complete data file. </w:t>
      </w:r>
      <w:r w:rsidR="002A22B2">
        <w:rPr>
          <w:rFonts w:ascii="Times New Roman" w:hAnsi="Times New Roman" w:cs="Times New Roman"/>
          <w:color w:val="000000" w:themeColor="text1"/>
          <w:sz w:val="24"/>
          <w:szCs w:val="24"/>
        </w:rPr>
        <w:t xml:space="preserve">For item non-response rates less than 5%, imputation will not be used. </w:t>
      </w:r>
    </w:p>
    <w:p w:rsidR="00F10530" w:rsidP="00F10530" w14:paraId="7DA27162" w14:textId="0FCFFF54">
      <w:pPr>
        <w:rPr>
          <w:rFonts w:ascii="Times New Roman" w:hAnsi="Times New Roman" w:cs="Times New Roman"/>
          <w:color w:val="000000"/>
          <w:sz w:val="24"/>
          <w:szCs w:val="24"/>
        </w:rPr>
      </w:pPr>
      <w:r>
        <w:rPr>
          <w:rFonts w:ascii="Times New Roman" w:hAnsi="Times New Roman" w:cs="Times New Roman"/>
          <w:color w:val="000000" w:themeColor="text1"/>
          <w:sz w:val="24"/>
          <w:szCs w:val="24"/>
        </w:rPr>
        <w:t>For non-response rates (</w:t>
      </w:r>
      <w:r w:rsidR="002A22B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20%), h</w:t>
      </w:r>
      <w:r w:rsidRPr="003D4070" w:rsidR="00912D4E">
        <w:rPr>
          <w:rFonts w:ascii="Times New Roman" w:hAnsi="Times New Roman" w:cs="Times New Roman"/>
          <w:color w:val="000000" w:themeColor="text1"/>
          <w:sz w:val="24"/>
          <w:szCs w:val="24"/>
        </w:rPr>
        <w:t xml:space="preserve">ot deck imputation is a cost-efficient imputation method that protects relationships between variables that are observed in the non-missing data. </w:t>
      </w:r>
      <w:r w:rsidRPr="003D4070">
        <w:rPr>
          <w:rFonts w:ascii="Times New Roman" w:hAnsi="Times New Roman" w:cs="Times New Roman"/>
          <w:color w:val="000000" w:themeColor="text1"/>
          <w:sz w:val="24"/>
          <w:szCs w:val="24"/>
        </w:rPr>
        <w:t xml:space="preserve">For each variable to be imputed </w:t>
      </w:r>
      <w:r>
        <w:rPr>
          <w:rFonts w:ascii="Times New Roman" w:hAnsi="Times New Roman" w:cs="Times New Roman"/>
          <w:color w:val="000000" w:themeColor="text1"/>
          <w:sz w:val="24"/>
          <w:szCs w:val="24"/>
        </w:rPr>
        <w:t>using hot deck</w:t>
      </w:r>
      <w:r w:rsidRPr="003D4070">
        <w:rPr>
          <w:rFonts w:ascii="Times New Roman" w:hAnsi="Times New Roman" w:cs="Times New Roman"/>
          <w:color w:val="000000" w:themeColor="text1"/>
          <w:sz w:val="24"/>
          <w:szCs w:val="24"/>
        </w:rPr>
        <w:t xml:space="preserve">, the file will be sorted by variables that have correlations with the variable to be imputed. These “sort” variables will be chosen based on models in which the variable to be imputed is the dependent variable and the independent variables (sort variable </w:t>
      </w:r>
      <w:r w:rsidRPr="003D4070">
        <w:rPr>
          <w:rFonts w:ascii="Times New Roman" w:hAnsi="Times New Roman" w:cs="Times New Roman"/>
          <w:color w:val="000000" w:themeColor="text1"/>
          <w:sz w:val="24"/>
          <w:szCs w:val="24"/>
        </w:rPr>
        <w:t>candidates) will be other questionnaire items or variables known for all eligible agencies considered for weighting (see above)</w:t>
      </w:r>
      <w:r>
        <w:rPr>
          <w:rFonts w:ascii="Times New Roman" w:hAnsi="Times New Roman" w:cs="Times New Roman"/>
          <w:color w:val="000000" w:themeColor="text1"/>
          <w:sz w:val="24"/>
          <w:szCs w:val="24"/>
        </w:rPr>
        <w:t xml:space="preserve">. The initial models will be formed based on subjective knowledge of which independent variables are associated with the missing variable and its response status and the design variables. Several modeling techniques can be used, </w:t>
      </w:r>
      <w:r w:rsidR="004C6E16">
        <w:rPr>
          <w:rFonts w:ascii="Times New Roman" w:hAnsi="Times New Roman" w:cs="Times New Roman"/>
          <w:color w:val="000000" w:themeColor="text1"/>
          <w:sz w:val="24"/>
          <w:szCs w:val="24"/>
        </w:rPr>
        <w:t xml:space="preserve">and </w:t>
      </w:r>
      <w:r>
        <w:rPr>
          <w:rFonts w:ascii="Times New Roman" w:hAnsi="Times New Roman" w:cs="Times New Roman"/>
          <w:color w:val="000000" w:themeColor="text1"/>
          <w:sz w:val="24"/>
          <w:szCs w:val="24"/>
        </w:rPr>
        <w:t>NORC plans to use tree-based classifications and regressions</w:t>
      </w:r>
      <w:r w:rsidRPr="003D4070">
        <w:rPr>
          <w:rFonts w:ascii="Times New Roman" w:hAnsi="Times New Roman" w:cs="Times New Roman"/>
          <w:color w:val="000000" w:themeColor="text1"/>
          <w:sz w:val="24"/>
          <w:szCs w:val="24"/>
        </w:rPr>
        <w:t xml:space="preserve">. These </w:t>
      </w:r>
      <w:r w:rsidRPr="003D4070">
        <w:rPr>
          <w:rFonts w:ascii="Times New Roman" w:hAnsi="Times New Roman" w:cs="Times New Roman"/>
          <w:color w:val="000000" w:themeColor="text1"/>
          <w:sz w:val="24"/>
          <w:szCs w:val="24"/>
        </w:rPr>
        <w:t>sort</w:t>
      </w:r>
      <w:r w:rsidRPr="003D4070">
        <w:rPr>
          <w:rFonts w:ascii="Times New Roman" w:hAnsi="Times New Roman" w:cs="Times New Roman"/>
          <w:color w:val="000000" w:themeColor="text1"/>
          <w:sz w:val="24"/>
          <w:szCs w:val="24"/>
        </w:rPr>
        <w:t xml:space="preserve"> variable candidates can be quantitative</w:t>
      </w:r>
      <w:r>
        <w:rPr>
          <w:rFonts w:ascii="Times New Roman" w:hAnsi="Times New Roman" w:cs="Times New Roman"/>
          <w:color w:val="000000" w:themeColor="text1"/>
          <w:sz w:val="24"/>
          <w:szCs w:val="24"/>
        </w:rPr>
        <w:t xml:space="preserve"> (continuous and discrete)</w:t>
      </w:r>
      <w:r w:rsidRPr="003D4070">
        <w:rPr>
          <w:rFonts w:ascii="Times New Roman" w:hAnsi="Times New Roman" w:cs="Times New Roman"/>
          <w:color w:val="000000" w:themeColor="text1"/>
          <w:sz w:val="24"/>
          <w:szCs w:val="24"/>
        </w:rPr>
        <w:t xml:space="preserve"> or </w:t>
      </w:r>
      <w:r>
        <w:rPr>
          <w:rFonts w:ascii="Times New Roman" w:hAnsi="Times New Roman" w:cs="Times New Roman"/>
          <w:color w:val="000000" w:themeColor="text1"/>
          <w:sz w:val="24"/>
          <w:szCs w:val="24"/>
        </w:rPr>
        <w:t>categorical</w:t>
      </w:r>
      <w:r w:rsidRPr="003D4070">
        <w:rPr>
          <w:rFonts w:ascii="Times New Roman" w:hAnsi="Times New Roman" w:cs="Times New Roman"/>
          <w:color w:val="000000" w:themeColor="text1"/>
          <w:sz w:val="24"/>
          <w:szCs w:val="24"/>
        </w:rPr>
        <w:t xml:space="preserve">, but </w:t>
      </w:r>
      <w:r w:rsidR="0080539D">
        <w:rPr>
          <w:rFonts w:ascii="Times New Roman" w:hAnsi="Times New Roman" w:cs="Times New Roman"/>
          <w:color w:val="000000" w:themeColor="text1"/>
          <w:sz w:val="24"/>
          <w:szCs w:val="24"/>
        </w:rPr>
        <w:t xml:space="preserve">the </w:t>
      </w:r>
      <w:r w:rsidRPr="003D4070">
        <w:rPr>
          <w:rFonts w:ascii="Times New Roman" w:hAnsi="Times New Roman" w:cs="Times New Roman"/>
          <w:color w:val="000000" w:themeColor="text1"/>
          <w:sz w:val="24"/>
          <w:szCs w:val="24"/>
        </w:rPr>
        <w:t>quantitative sort variables chosen will be converted to categorical variables during imputation so that later variables in the sort order can still have an impact on the sorting of the file. Once the file is sorted, hot</w:t>
      </w:r>
      <w:r>
        <w:rPr>
          <w:rFonts w:ascii="Times New Roman" w:hAnsi="Times New Roman" w:cs="Times New Roman"/>
          <w:color w:val="000000" w:themeColor="text1"/>
          <w:sz w:val="24"/>
          <w:szCs w:val="24"/>
        </w:rPr>
        <w:t xml:space="preserve"> </w:t>
      </w:r>
      <w:r w:rsidRPr="003D4070">
        <w:rPr>
          <w:rFonts w:ascii="Times New Roman" w:hAnsi="Times New Roman" w:cs="Times New Roman"/>
          <w:color w:val="000000" w:themeColor="text1"/>
          <w:sz w:val="24"/>
          <w:szCs w:val="24"/>
        </w:rPr>
        <w:t xml:space="preserve">deck imputation uses the nearest neighbor as the donor for the missing value. Each variable to be imputed will be sorted according to its own set of sort variables. </w:t>
      </w:r>
      <w:r w:rsidRPr="003D4070">
        <w:rPr>
          <w:rFonts w:ascii="Times New Roman" w:hAnsi="Times New Roman" w:cs="Times New Roman"/>
          <w:color w:val="000000"/>
          <w:sz w:val="24"/>
          <w:szCs w:val="24"/>
        </w:rPr>
        <w:t xml:space="preserve">This single-imputation method does result in an under-representation in variance. </w:t>
      </w:r>
    </w:p>
    <w:p w:rsidR="000226BF" w:rsidP="00F10530" w14:paraId="65855D64" w14:textId="204B71BC">
      <w:pPr>
        <w:rPr>
          <w:rFonts w:ascii="Times New Roman" w:hAnsi="Times New Roman" w:cs="Times New Roman"/>
          <w:color w:val="000000"/>
          <w:sz w:val="24"/>
          <w:szCs w:val="24"/>
        </w:rPr>
      </w:pPr>
      <w:r w:rsidRPr="003D4070">
        <w:rPr>
          <w:rFonts w:ascii="Times New Roman" w:hAnsi="Times New Roman" w:cs="Times New Roman"/>
          <w:color w:val="000000"/>
          <w:sz w:val="24"/>
          <w:szCs w:val="24"/>
        </w:rPr>
        <w:t>If there is a high non-response rate for certain items (20</w:t>
      </w:r>
      <w:r w:rsidR="0007187B">
        <w:rPr>
          <w:rFonts w:ascii="Times New Roman" w:hAnsi="Times New Roman" w:cs="Times New Roman"/>
          <w:color w:val="000000"/>
          <w:sz w:val="24"/>
          <w:szCs w:val="24"/>
        </w:rPr>
        <w:t xml:space="preserve"> to 60</w:t>
      </w:r>
      <w:r w:rsidRPr="003D4070">
        <w:rPr>
          <w:rFonts w:ascii="Times New Roman" w:hAnsi="Times New Roman" w:cs="Times New Roman"/>
          <w:color w:val="000000"/>
          <w:sz w:val="24"/>
          <w:szCs w:val="24"/>
        </w:rPr>
        <w:t xml:space="preserve"> percent), hot</w:t>
      </w:r>
      <w:r w:rsidR="002A22B2">
        <w:rPr>
          <w:rFonts w:ascii="Times New Roman" w:hAnsi="Times New Roman" w:cs="Times New Roman"/>
          <w:color w:val="000000"/>
          <w:sz w:val="24"/>
          <w:szCs w:val="24"/>
        </w:rPr>
        <w:t xml:space="preserve"> </w:t>
      </w:r>
      <w:r w:rsidRPr="003D4070">
        <w:rPr>
          <w:rFonts w:ascii="Times New Roman" w:hAnsi="Times New Roman" w:cs="Times New Roman"/>
          <w:color w:val="000000"/>
          <w:sz w:val="24"/>
          <w:szCs w:val="24"/>
        </w:rPr>
        <w:t xml:space="preserve">deck will not work as well due to the necessary re-use of donors. In this case, </w:t>
      </w:r>
      <w:r w:rsidR="0080539D">
        <w:rPr>
          <w:rFonts w:ascii="Times New Roman" w:hAnsi="Times New Roman" w:cs="Times New Roman"/>
          <w:color w:val="000000"/>
          <w:sz w:val="24"/>
          <w:szCs w:val="24"/>
        </w:rPr>
        <w:t xml:space="preserve">one routinely used option for variables with high non-response is </w:t>
      </w:r>
      <w:r w:rsidRPr="003D4070">
        <w:rPr>
          <w:rFonts w:ascii="Times New Roman" w:hAnsi="Times New Roman" w:cs="Times New Roman"/>
          <w:color w:val="000000"/>
          <w:sz w:val="24"/>
          <w:szCs w:val="24"/>
        </w:rPr>
        <w:t>multiple imputation. Multiple imputation involves model building for multiple related variables in which all are imputed together or sequentially</w:t>
      </w:r>
      <w:r w:rsidR="0024324E">
        <w:rPr>
          <w:rFonts w:ascii="Times New Roman" w:hAnsi="Times New Roman" w:cs="Times New Roman"/>
          <w:color w:val="000000"/>
          <w:sz w:val="24"/>
          <w:szCs w:val="24"/>
        </w:rPr>
        <w:t xml:space="preserve">. In </w:t>
      </w:r>
      <w:r w:rsidR="00237E5C">
        <w:rPr>
          <w:rFonts w:ascii="Times New Roman" w:hAnsi="Times New Roman" w:cs="Times New Roman"/>
          <w:color w:val="000000"/>
          <w:sz w:val="24"/>
          <w:szCs w:val="24"/>
        </w:rPr>
        <w:t>multiple imputation</w:t>
      </w:r>
      <w:r w:rsidR="0024324E">
        <w:rPr>
          <w:rFonts w:ascii="Times New Roman" w:hAnsi="Times New Roman" w:cs="Times New Roman"/>
          <w:color w:val="000000"/>
          <w:sz w:val="24"/>
          <w:szCs w:val="24"/>
        </w:rPr>
        <w:t>, the missing values are imputed several times to cr</w:t>
      </w:r>
      <w:r w:rsidR="00960FAD">
        <w:rPr>
          <w:rFonts w:ascii="Times New Roman" w:hAnsi="Times New Roman" w:cs="Times New Roman"/>
          <w:color w:val="000000"/>
          <w:sz w:val="24"/>
          <w:szCs w:val="24"/>
        </w:rPr>
        <w:t>e</w:t>
      </w:r>
      <w:r w:rsidR="0024324E">
        <w:rPr>
          <w:rFonts w:ascii="Times New Roman" w:hAnsi="Times New Roman" w:cs="Times New Roman"/>
          <w:color w:val="000000"/>
          <w:sz w:val="24"/>
          <w:szCs w:val="24"/>
        </w:rPr>
        <w:t>ate multiple complete datasets</w:t>
      </w:r>
      <w:r w:rsidR="008C735A">
        <w:rPr>
          <w:rFonts w:ascii="Times New Roman" w:hAnsi="Times New Roman" w:cs="Times New Roman"/>
          <w:color w:val="000000"/>
          <w:sz w:val="24"/>
          <w:szCs w:val="24"/>
        </w:rPr>
        <w:t xml:space="preserve"> by replacing missing values </w:t>
      </w:r>
      <w:r w:rsidR="00960FAD">
        <w:rPr>
          <w:rFonts w:ascii="Times New Roman" w:hAnsi="Times New Roman" w:cs="Times New Roman"/>
          <w:color w:val="000000"/>
          <w:sz w:val="24"/>
          <w:szCs w:val="24"/>
        </w:rPr>
        <w:t>with</w:t>
      </w:r>
      <w:r w:rsidR="008C735A">
        <w:rPr>
          <w:rFonts w:ascii="Times New Roman" w:hAnsi="Times New Roman" w:cs="Times New Roman"/>
          <w:color w:val="000000"/>
          <w:sz w:val="24"/>
          <w:szCs w:val="24"/>
        </w:rPr>
        <w:t xml:space="preserve"> plausible values</w:t>
      </w:r>
      <w:r w:rsidR="0024324E">
        <w:rPr>
          <w:rFonts w:ascii="Times New Roman" w:hAnsi="Times New Roman" w:cs="Times New Roman"/>
          <w:color w:val="000000"/>
          <w:sz w:val="24"/>
          <w:szCs w:val="24"/>
        </w:rPr>
        <w:t xml:space="preserve">. The multiple </w:t>
      </w:r>
      <w:r w:rsidR="008C735A">
        <w:rPr>
          <w:rFonts w:ascii="Times New Roman" w:hAnsi="Times New Roman" w:cs="Times New Roman"/>
          <w:color w:val="000000"/>
          <w:sz w:val="24"/>
          <w:szCs w:val="24"/>
        </w:rPr>
        <w:t xml:space="preserve">complete </w:t>
      </w:r>
      <w:r w:rsidR="0024324E">
        <w:rPr>
          <w:rFonts w:ascii="Times New Roman" w:hAnsi="Times New Roman" w:cs="Times New Roman"/>
          <w:color w:val="000000"/>
          <w:sz w:val="24"/>
          <w:szCs w:val="24"/>
        </w:rPr>
        <w:t>datasets are used to estimate the parameter of interest</w:t>
      </w:r>
      <w:r w:rsidR="001E5934">
        <w:rPr>
          <w:rFonts w:ascii="Times New Roman" w:hAnsi="Times New Roman" w:cs="Times New Roman"/>
          <w:color w:val="000000"/>
          <w:sz w:val="24"/>
          <w:szCs w:val="24"/>
        </w:rPr>
        <w:t>. The estimates will be different from each other reflecting the randomness of drawing from the plausible values. T</w:t>
      </w:r>
      <w:r w:rsidR="008A5D37">
        <w:rPr>
          <w:rFonts w:ascii="Times New Roman" w:hAnsi="Times New Roman" w:cs="Times New Roman"/>
          <w:color w:val="000000"/>
          <w:sz w:val="24"/>
          <w:szCs w:val="24"/>
        </w:rPr>
        <w:t>hen</w:t>
      </w:r>
      <w:r w:rsidR="0024324E">
        <w:rPr>
          <w:rFonts w:ascii="Times New Roman" w:hAnsi="Times New Roman" w:cs="Times New Roman"/>
          <w:color w:val="000000"/>
          <w:sz w:val="24"/>
          <w:szCs w:val="24"/>
        </w:rPr>
        <w:t xml:space="preserve"> </w:t>
      </w:r>
      <w:r w:rsidR="001E5934">
        <w:rPr>
          <w:rFonts w:ascii="Times New Roman" w:hAnsi="Times New Roman" w:cs="Times New Roman"/>
          <w:color w:val="000000"/>
          <w:sz w:val="24"/>
          <w:szCs w:val="24"/>
        </w:rPr>
        <w:t xml:space="preserve">the estimates are </w:t>
      </w:r>
      <w:r w:rsidR="0024324E">
        <w:rPr>
          <w:rFonts w:ascii="Times New Roman" w:hAnsi="Times New Roman" w:cs="Times New Roman"/>
          <w:color w:val="000000"/>
          <w:sz w:val="24"/>
          <w:szCs w:val="24"/>
        </w:rPr>
        <w:t>pooled together to obtain one estimate and its variance</w:t>
      </w:r>
      <w:r w:rsidRPr="003D4070">
        <w:rPr>
          <w:rFonts w:ascii="Times New Roman" w:hAnsi="Times New Roman" w:cs="Times New Roman"/>
          <w:color w:val="000000"/>
          <w:sz w:val="24"/>
          <w:szCs w:val="24"/>
        </w:rPr>
        <w:t>. Multiple imputation can better reduce non-response bias in items with high missing data rates (20%</w:t>
      </w:r>
      <w:r w:rsidR="00AF0D06">
        <w:rPr>
          <w:rFonts w:ascii="Times New Roman" w:hAnsi="Times New Roman" w:cs="Times New Roman"/>
          <w:color w:val="000000"/>
          <w:sz w:val="24"/>
          <w:szCs w:val="24"/>
        </w:rPr>
        <w:t xml:space="preserve"> or greater</w:t>
      </w:r>
      <w:r w:rsidRPr="003D4070">
        <w:rPr>
          <w:rFonts w:ascii="Times New Roman" w:hAnsi="Times New Roman" w:cs="Times New Roman"/>
          <w:color w:val="000000"/>
          <w:sz w:val="24"/>
          <w:szCs w:val="24"/>
        </w:rPr>
        <w:t>) than hot deck imputation.</w:t>
      </w:r>
      <w:r w:rsidR="0080539D">
        <w:rPr>
          <w:rFonts w:ascii="Times New Roman" w:hAnsi="Times New Roman" w:cs="Times New Roman"/>
          <w:color w:val="000000"/>
          <w:sz w:val="24"/>
          <w:szCs w:val="24"/>
        </w:rPr>
        <w:t xml:space="preserve"> </w:t>
      </w:r>
    </w:p>
    <w:p w:rsidR="0080539D" w:rsidP="00F10530" w14:paraId="3A95BD3A" w14:textId="1107B7DC">
      <w:pPr>
        <w:rPr>
          <w:rFonts w:ascii="Times New Roman" w:hAnsi="Times New Roman" w:cs="Times New Roman"/>
          <w:color w:val="000000"/>
          <w:sz w:val="24"/>
          <w:szCs w:val="24"/>
        </w:rPr>
      </w:pPr>
      <w:r>
        <w:rPr>
          <w:rFonts w:ascii="Times New Roman" w:hAnsi="Times New Roman" w:cs="Times New Roman"/>
          <w:color w:val="000000"/>
          <w:sz w:val="24"/>
          <w:szCs w:val="24"/>
        </w:rPr>
        <w:t xml:space="preserve">Variables with missing rates greater than 60% will not be used for analysis or appear in BJS statistical </w:t>
      </w:r>
      <w:r>
        <w:rPr>
          <w:rFonts w:ascii="Times New Roman" w:hAnsi="Times New Roman" w:cs="Times New Roman"/>
          <w:color w:val="000000"/>
          <w:sz w:val="24"/>
          <w:szCs w:val="24"/>
        </w:rPr>
        <w:t>reports, but</w:t>
      </w:r>
      <w:r>
        <w:rPr>
          <w:rFonts w:ascii="Times New Roman" w:hAnsi="Times New Roman" w:cs="Times New Roman"/>
          <w:color w:val="000000"/>
          <w:sz w:val="24"/>
          <w:szCs w:val="24"/>
        </w:rPr>
        <w:t xml:space="preserve"> will be retained in the archived file.</w:t>
      </w:r>
    </w:p>
    <w:p w:rsidR="00F10530" w:rsidP="00F10530" w14:paraId="64A984C1" w14:textId="3027B276">
      <w:pPr>
        <w:rPr>
          <w:rFonts w:ascii="Times New Roman" w:hAnsi="Times New Roman" w:cs="Times New Roman"/>
          <w:color w:val="000000"/>
          <w:sz w:val="24"/>
          <w:szCs w:val="24"/>
        </w:rPr>
      </w:pPr>
      <w:r w:rsidRPr="003D4070">
        <w:rPr>
          <w:rFonts w:ascii="Times New Roman" w:hAnsi="Times New Roman" w:cs="Times New Roman"/>
          <w:color w:val="000000" w:themeColor="text1"/>
          <w:sz w:val="24"/>
          <w:szCs w:val="24"/>
        </w:rPr>
        <w:t xml:space="preserve">Any imputed values will be merged into the </w:t>
      </w:r>
      <w:r>
        <w:rPr>
          <w:rFonts w:ascii="Times New Roman" w:hAnsi="Times New Roman" w:cs="Times New Roman"/>
          <w:color w:val="000000" w:themeColor="text1"/>
          <w:sz w:val="24"/>
          <w:szCs w:val="24"/>
        </w:rPr>
        <w:t xml:space="preserve">final </w:t>
      </w:r>
      <w:r w:rsidRPr="003D4070">
        <w:rPr>
          <w:rFonts w:ascii="Times New Roman" w:hAnsi="Times New Roman" w:cs="Times New Roman"/>
          <w:color w:val="000000" w:themeColor="text1"/>
          <w:sz w:val="24"/>
          <w:szCs w:val="24"/>
        </w:rPr>
        <w:t>data file (and flagged) prior to delivery to BJS and subsequent archiving</w:t>
      </w:r>
      <w:r w:rsidR="004A0F60">
        <w:rPr>
          <w:rFonts w:ascii="Times New Roman" w:hAnsi="Times New Roman" w:cs="Times New Roman"/>
          <w:color w:val="000000" w:themeColor="text1"/>
          <w:sz w:val="24"/>
          <w:szCs w:val="24"/>
        </w:rPr>
        <w:t xml:space="preserve"> of data to the public</w:t>
      </w:r>
      <w:r w:rsidRPr="003D4070">
        <w:rPr>
          <w:rFonts w:ascii="Times New Roman" w:hAnsi="Times New Roman" w:cs="Times New Roman"/>
          <w:color w:val="000000" w:themeColor="text1"/>
          <w:sz w:val="24"/>
          <w:szCs w:val="24"/>
        </w:rPr>
        <w:t xml:space="preserve">. </w:t>
      </w:r>
      <w:r w:rsidR="0080539D">
        <w:rPr>
          <w:rFonts w:ascii="Times New Roman" w:hAnsi="Times New Roman" w:cs="Times New Roman"/>
          <w:color w:val="000000" w:themeColor="text1"/>
          <w:sz w:val="24"/>
          <w:szCs w:val="24"/>
        </w:rPr>
        <w:t xml:space="preserve">In the case of single imputation, the values will </w:t>
      </w:r>
      <w:r w:rsidR="004A0F60">
        <w:rPr>
          <w:rFonts w:ascii="Times New Roman" w:hAnsi="Times New Roman" w:cs="Times New Roman"/>
          <w:color w:val="000000" w:themeColor="text1"/>
          <w:sz w:val="24"/>
          <w:szCs w:val="24"/>
        </w:rPr>
        <w:t>be inserted and flagged in both the internal BJS and external public data, with a dataset and documentation indicating the variables that should be used containing values with single imputation. If there are variables where it is necessary to use multiple imputation, the multiple datasets containing imputed values will be provided to BJS for both internal and external public use, with documentation indicating the variables that require multiple imputation and programming code to create valid point and variance estimates. As with the single imputation variables, multiple imputation values will be flagged.</w:t>
      </w:r>
    </w:p>
    <w:p w:rsidR="005B3085" w:rsidRPr="007B0DB1" w:rsidP="005B3085" w14:paraId="39963236" w14:textId="77777777">
      <w:pPr>
        <w:spacing w:after="0" w:line="240" w:lineRule="auto"/>
        <w:rPr>
          <w:rFonts w:ascii="Times New Roman" w:hAnsi="Times New Roman" w:cs="Times New Roman"/>
          <w:b/>
          <w:sz w:val="24"/>
          <w:szCs w:val="24"/>
        </w:rPr>
      </w:pPr>
    </w:p>
    <w:p w:rsidR="005B3085" w:rsidRPr="007B0DB1" w:rsidP="005B3085" w14:paraId="52110C3F"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4. Test</w:t>
      </w:r>
      <w:r>
        <w:rPr>
          <w:rFonts w:ascii="Times New Roman" w:hAnsi="Times New Roman" w:cs="Times New Roman"/>
          <w:b/>
          <w:sz w:val="24"/>
          <w:szCs w:val="24"/>
        </w:rPr>
        <w:t>ing</w:t>
      </w:r>
      <w:r w:rsidRPr="007B0DB1">
        <w:rPr>
          <w:rFonts w:ascii="Times New Roman" w:hAnsi="Times New Roman" w:cs="Times New Roman"/>
          <w:b/>
          <w:sz w:val="24"/>
          <w:szCs w:val="24"/>
        </w:rPr>
        <w:t xml:space="preserve"> of </w:t>
      </w:r>
      <w:r>
        <w:rPr>
          <w:rFonts w:ascii="Times New Roman" w:hAnsi="Times New Roman" w:cs="Times New Roman"/>
          <w:b/>
          <w:sz w:val="24"/>
          <w:szCs w:val="24"/>
        </w:rPr>
        <w:t>Procedures</w:t>
      </w:r>
    </w:p>
    <w:p w:rsidR="005B3085" w:rsidRPr="007B0DB1" w:rsidP="005B3085" w14:paraId="730FA36D" w14:textId="77777777">
      <w:pPr>
        <w:spacing w:after="0" w:line="240" w:lineRule="auto"/>
        <w:rPr>
          <w:rFonts w:ascii="Times New Roman" w:hAnsi="Times New Roman" w:cs="Times New Roman"/>
          <w:b/>
          <w:sz w:val="24"/>
          <w:szCs w:val="24"/>
        </w:rPr>
      </w:pPr>
    </w:p>
    <w:p w:rsidR="008A7326" w:rsidRPr="007B0DB1" w:rsidP="008A7326" w14:paraId="4496BF5B" w14:textId="14578A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CPDO project team (NORC, the Urban Institute, NAPD, and Dr. Andrew Davies) </w:t>
      </w:r>
      <w:r w:rsidRPr="007B0DB1">
        <w:rPr>
          <w:rFonts w:ascii="Times New Roman" w:hAnsi="Times New Roman" w:cs="Times New Roman"/>
          <w:sz w:val="24"/>
          <w:szCs w:val="24"/>
        </w:rPr>
        <w:t xml:space="preserve">conducted cognitive testing </w:t>
      </w:r>
      <w:r>
        <w:rPr>
          <w:rFonts w:ascii="Times New Roman" w:hAnsi="Times New Roman" w:cs="Times New Roman"/>
          <w:sz w:val="24"/>
          <w:szCs w:val="24"/>
        </w:rPr>
        <w:t xml:space="preserve">of </w:t>
      </w:r>
      <w:r w:rsidRPr="007B0DB1">
        <w:rPr>
          <w:rFonts w:ascii="Times New Roman" w:hAnsi="Times New Roman" w:cs="Times New Roman"/>
          <w:sz w:val="24"/>
          <w:szCs w:val="24"/>
        </w:rPr>
        <w:t>the 202</w:t>
      </w:r>
      <w:r>
        <w:rPr>
          <w:rFonts w:ascii="Times New Roman" w:hAnsi="Times New Roman" w:cs="Times New Roman"/>
          <w:sz w:val="24"/>
          <w:szCs w:val="24"/>
        </w:rPr>
        <w:t>4</w:t>
      </w:r>
      <w:r w:rsidRPr="007B0DB1">
        <w:rPr>
          <w:rFonts w:ascii="Times New Roman" w:hAnsi="Times New Roman" w:cs="Times New Roman"/>
          <w:sz w:val="24"/>
          <w:szCs w:val="24"/>
        </w:rPr>
        <w:t xml:space="preserve"> </w:t>
      </w:r>
      <w:r>
        <w:rPr>
          <w:rFonts w:ascii="Times New Roman" w:hAnsi="Times New Roman" w:cs="Times New Roman"/>
          <w:sz w:val="24"/>
          <w:szCs w:val="24"/>
        </w:rPr>
        <w:t>CPDO</w:t>
      </w:r>
      <w:r w:rsidRPr="007B0DB1">
        <w:rPr>
          <w:rFonts w:ascii="Times New Roman" w:hAnsi="Times New Roman" w:cs="Times New Roman"/>
          <w:sz w:val="24"/>
          <w:szCs w:val="24"/>
        </w:rPr>
        <w:t xml:space="preserve"> </w:t>
      </w:r>
      <w:r w:rsidRPr="000B48D8">
        <w:rPr>
          <w:rFonts w:ascii="Times New Roman" w:hAnsi="Times New Roman" w:cs="Times New Roman"/>
          <w:sz w:val="24"/>
          <w:szCs w:val="24"/>
        </w:rPr>
        <w:t xml:space="preserve">instrument </w:t>
      </w:r>
      <w:r w:rsidR="00D42C5F">
        <w:rPr>
          <w:rFonts w:ascii="Times New Roman" w:hAnsi="Times New Roman" w:cs="Times New Roman"/>
          <w:sz w:val="24"/>
          <w:szCs w:val="24"/>
        </w:rPr>
        <w:t xml:space="preserve">under BJS’s generic clearance </w:t>
      </w:r>
      <w:r w:rsidRPr="000B48D8">
        <w:rPr>
          <w:rFonts w:ascii="Times New Roman" w:hAnsi="Times New Roman" w:cs="Times New Roman"/>
          <w:sz w:val="24"/>
          <w:szCs w:val="24"/>
        </w:rPr>
        <w:t xml:space="preserve">(OMB No. </w:t>
      </w:r>
      <w:r>
        <w:rPr>
          <w:rFonts w:ascii="Times New Roman" w:hAnsi="Times New Roman" w:cs="Times New Roman"/>
          <w:sz w:val="24"/>
          <w:szCs w:val="24"/>
        </w:rPr>
        <w:t>1121</w:t>
      </w:r>
      <w:r w:rsidRPr="000B48D8">
        <w:rPr>
          <w:rFonts w:ascii="Times New Roman" w:hAnsi="Times New Roman" w:cs="Times New Roman"/>
          <w:sz w:val="24"/>
          <w:szCs w:val="24"/>
        </w:rPr>
        <w:t>-</w:t>
      </w:r>
      <w:r>
        <w:rPr>
          <w:rFonts w:ascii="Times New Roman" w:hAnsi="Times New Roman" w:cs="Times New Roman"/>
          <w:sz w:val="24"/>
          <w:szCs w:val="24"/>
        </w:rPr>
        <w:t>0339</w:t>
      </w:r>
      <w:r w:rsidRPr="000B48D8">
        <w:rPr>
          <w:rFonts w:ascii="Times New Roman" w:hAnsi="Times New Roman" w:cs="Times New Roman"/>
          <w:sz w:val="24"/>
          <w:szCs w:val="24"/>
        </w:rPr>
        <w:t>)</w:t>
      </w:r>
      <w:r>
        <w:rPr>
          <w:rFonts w:ascii="Times New Roman" w:hAnsi="Times New Roman" w:cs="Times New Roman"/>
          <w:sz w:val="24"/>
          <w:szCs w:val="24"/>
        </w:rPr>
        <w:t xml:space="preserve"> from February</w:t>
      </w:r>
      <w:r w:rsidR="00295144">
        <w:rPr>
          <w:rFonts w:ascii="Times New Roman" w:hAnsi="Times New Roman" w:cs="Times New Roman"/>
          <w:sz w:val="24"/>
          <w:szCs w:val="24"/>
        </w:rPr>
        <w:t xml:space="preserve"> through June</w:t>
      </w:r>
      <w:r>
        <w:rPr>
          <w:rFonts w:ascii="Times New Roman" w:hAnsi="Times New Roman" w:cs="Times New Roman"/>
          <w:sz w:val="24"/>
          <w:szCs w:val="24"/>
        </w:rPr>
        <w:t xml:space="preserve"> 2024</w:t>
      </w:r>
      <w:r w:rsidRPr="000B48D8">
        <w:rPr>
          <w:rFonts w:ascii="Times New Roman" w:hAnsi="Times New Roman" w:cs="Times New Roman"/>
          <w:sz w:val="24"/>
          <w:szCs w:val="24"/>
        </w:rPr>
        <w:t>.</w:t>
      </w:r>
      <w:r w:rsidRPr="007B0DB1">
        <w:t xml:space="preserve"> </w:t>
      </w:r>
      <w:r w:rsidRPr="007B0DB1">
        <w:rPr>
          <w:rFonts w:ascii="Times New Roman" w:hAnsi="Times New Roman" w:cs="Times New Roman"/>
          <w:sz w:val="24"/>
          <w:szCs w:val="24"/>
        </w:rPr>
        <w:t xml:space="preserve"> </w:t>
      </w:r>
    </w:p>
    <w:p w:rsidR="008542A8" w:rsidP="008542A8" w14:paraId="48E4BCD7" w14:textId="77777777">
      <w:pPr>
        <w:spacing w:after="0" w:line="240" w:lineRule="auto"/>
        <w:rPr>
          <w:rFonts w:ascii="Times New Roman" w:hAnsi="Times New Roman" w:cs="Times New Roman"/>
          <w:b/>
          <w:sz w:val="24"/>
          <w:szCs w:val="24"/>
        </w:rPr>
      </w:pPr>
    </w:p>
    <w:p w:rsidR="008542A8" w:rsidP="008542A8" w14:paraId="0EB31BB5" w14:textId="3772C462">
      <w:pPr>
        <w:spacing w:after="0" w:line="240" w:lineRule="auto"/>
        <w:rPr>
          <w:rFonts w:ascii="Times New Roman" w:hAnsi="Times New Roman" w:cs="Times New Roman"/>
          <w:b/>
          <w:sz w:val="24"/>
          <w:szCs w:val="24"/>
        </w:rPr>
      </w:pPr>
      <w:r>
        <w:rPr>
          <w:rFonts w:ascii="Times New Roman" w:hAnsi="Times New Roman" w:cs="Times New Roman"/>
          <w:b/>
          <w:sz w:val="24"/>
          <w:szCs w:val="24"/>
        </w:rPr>
        <w:t>Cognitive testing</w:t>
      </w:r>
    </w:p>
    <w:p w:rsidR="008542A8" w:rsidP="008542A8" w14:paraId="083AB291" w14:textId="77777777">
      <w:pPr>
        <w:spacing w:after="0" w:line="240" w:lineRule="auto"/>
        <w:rPr>
          <w:rFonts w:ascii="Times New Roman" w:hAnsi="Times New Roman" w:cs="Times New Roman"/>
          <w:b/>
          <w:sz w:val="24"/>
          <w:szCs w:val="24"/>
        </w:rPr>
      </w:pPr>
    </w:p>
    <w:p w:rsidR="008A7326" w:rsidP="008A7326" w14:paraId="058C513A" w14:textId="3F1618DC">
      <w:pPr>
        <w:rPr>
          <w:rFonts w:ascii="Times New Roman" w:hAnsi="Times New Roman" w:cs="Times New Roman"/>
          <w:sz w:val="24"/>
          <w:szCs w:val="24"/>
        </w:rPr>
      </w:pPr>
      <w:r>
        <w:rPr>
          <w:rFonts w:ascii="Times New Roman" w:hAnsi="Times New Roman" w:cs="Times New Roman"/>
          <w:sz w:val="24"/>
          <w:szCs w:val="24"/>
        </w:rPr>
        <w:t xml:space="preserve">The project team completed cognitive testing of the CPDO instrument between February and June 2024 to assess its quality and to evaluate whether offices had the information needed to respond to the draft questions. A total of 12 offices participated in a pretest of the </w:t>
      </w:r>
      <w:r w:rsidR="00F90B8C">
        <w:rPr>
          <w:rFonts w:ascii="Times New Roman" w:hAnsi="Times New Roman" w:cs="Times New Roman"/>
          <w:sz w:val="24"/>
          <w:szCs w:val="24"/>
        </w:rPr>
        <w:t>instrument</w:t>
      </w:r>
      <w:r>
        <w:rPr>
          <w:rFonts w:ascii="Times New Roman" w:hAnsi="Times New Roman" w:cs="Times New Roman"/>
          <w:sz w:val="24"/>
          <w:szCs w:val="24"/>
        </w:rPr>
        <w:t xml:space="preserve"> by returning completed responses for the CPDO questionnaire. Of those 12 offices, the project team conducted cognitive interviews with 11 offices. The chief public defender at the 12</w:t>
      </w:r>
      <w:r w:rsidRPr="00926441">
        <w:rPr>
          <w:rFonts w:ascii="Times New Roman" w:hAnsi="Times New Roman" w:cs="Times New Roman"/>
          <w:sz w:val="24"/>
          <w:szCs w:val="24"/>
          <w:vertAlign w:val="superscript"/>
        </w:rPr>
        <w:t>th</w:t>
      </w:r>
      <w:r>
        <w:rPr>
          <w:rFonts w:ascii="Times New Roman" w:hAnsi="Times New Roman" w:cs="Times New Roman"/>
          <w:sz w:val="24"/>
          <w:szCs w:val="24"/>
        </w:rPr>
        <w:t xml:space="preserve"> office was unable to complete the cognitive interview.   </w:t>
      </w:r>
    </w:p>
    <w:p w:rsidR="006A4B13" w:rsidRPr="003B30F8" w:rsidP="00F90B8C" w14:paraId="0F6C7158" w14:textId="3336C0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BJS and the project team sought to test the instrument on various types of offices while also ensuring geographic diversity. Accordingly, the 11 offices </w:t>
      </w:r>
      <w:r w:rsidR="00F90B8C">
        <w:rPr>
          <w:rFonts w:ascii="Times New Roman" w:hAnsi="Times New Roman" w:cs="Times New Roman"/>
          <w:sz w:val="24"/>
          <w:szCs w:val="24"/>
        </w:rPr>
        <w:t>that</w:t>
      </w:r>
      <w:r>
        <w:rPr>
          <w:rFonts w:ascii="Times New Roman" w:hAnsi="Times New Roman" w:cs="Times New Roman"/>
          <w:sz w:val="24"/>
          <w:szCs w:val="24"/>
        </w:rPr>
        <w:t xml:space="preserve"> completed the CPDO instrument and participated in cognitive testing represented the following subsets/office types:</w:t>
      </w:r>
    </w:p>
    <w:p w:rsidR="006A4B13" w:rsidRPr="00914521" w:rsidP="002539F4" w14:paraId="4E44FEE8"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Single county office in a county-based public defense state</w:t>
      </w:r>
    </w:p>
    <w:p w:rsidR="006A4B13" w:rsidRPr="00914521" w:rsidP="002539F4" w14:paraId="47F3DE20"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Multi-county office in a county-based public defense state</w:t>
      </w:r>
    </w:p>
    <w:p w:rsidR="006A4B13" w:rsidRPr="00914521" w:rsidP="002539F4" w14:paraId="719D5547"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Juvenile office</w:t>
      </w:r>
    </w:p>
    <w:p w:rsidR="006A4B13" w:rsidRPr="00914521" w:rsidP="002539F4" w14:paraId="3BDD74F6"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in a U.S. territory/county equivalent</w:t>
      </w:r>
    </w:p>
    <w:p w:rsidR="006A4B13" w:rsidRPr="00914521" w:rsidP="002539F4" w14:paraId="39DCD80F"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within a statewide jurisdiction</w:t>
      </w:r>
    </w:p>
    <w:p w:rsidR="006A4B13" w:rsidRPr="00914521" w:rsidP="002539F4" w14:paraId="6859975B"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in a rural jurisdiction</w:t>
      </w:r>
    </w:p>
    <w:p w:rsidR="006A4B13" w:rsidRPr="00914521" w:rsidP="002539F4" w14:paraId="50106B14"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in an independent city</w:t>
      </w:r>
    </w:p>
    <w:p w:rsidR="006A4B13" w:rsidRPr="00914521" w:rsidP="002539F4" w14:paraId="20E8C31F"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with a mix of state/county funding</w:t>
      </w:r>
    </w:p>
    <w:p w:rsidR="006A4B13" w:rsidRPr="00914521" w:rsidP="002539F4" w14:paraId="1C924279"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in an urban jurisdiction</w:t>
      </w:r>
    </w:p>
    <w:p w:rsidR="006A4B13" w:rsidRPr="00914521" w:rsidP="002539F4" w14:paraId="320CD700"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Alternate/conflict defender</w:t>
      </w:r>
    </w:p>
    <w:p w:rsidR="006A4B13" w:rsidRPr="00914521" w:rsidP="002539F4" w14:paraId="31A0F9EF" w14:textId="77777777">
      <w:pPr>
        <w:pStyle w:val="ListParagraph"/>
        <w:numPr>
          <w:ilvl w:val="0"/>
          <w:numId w:val="25"/>
        </w:numPr>
        <w:spacing w:after="0" w:line="240" w:lineRule="auto"/>
        <w:rPr>
          <w:rFonts w:ascii="Times New Roman" w:hAnsi="Times New Roman" w:cs="Times New Roman"/>
          <w:sz w:val="24"/>
          <w:szCs w:val="24"/>
        </w:rPr>
      </w:pPr>
      <w:r w:rsidRPr="00914521">
        <w:rPr>
          <w:rFonts w:ascii="Times New Roman" w:hAnsi="Times New Roman" w:cs="Times New Roman"/>
          <w:sz w:val="24"/>
          <w:szCs w:val="24"/>
        </w:rPr>
        <w:t>Office with an elected public defender</w:t>
      </w:r>
    </w:p>
    <w:p w:rsidR="006A4B13" w:rsidP="00FD7090" w14:paraId="0174B0A5" w14:textId="77777777">
      <w:pPr>
        <w:spacing w:after="0" w:line="240" w:lineRule="auto"/>
        <w:rPr>
          <w:rFonts w:ascii="Times New Roman" w:hAnsi="Times New Roman" w:cs="Times New Roman"/>
          <w:bCs/>
          <w:sz w:val="24"/>
          <w:szCs w:val="24"/>
        </w:rPr>
      </w:pPr>
    </w:p>
    <w:p w:rsidR="006A4B13" w:rsidP="006A4B13" w14:paraId="147B6B22" w14:textId="2EB5EEAE">
      <w:pPr>
        <w:rPr>
          <w:rFonts w:ascii="Times New Roman" w:hAnsi="Times New Roman" w:cs="Times New Roman"/>
          <w:sz w:val="24"/>
          <w:szCs w:val="24"/>
        </w:rPr>
      </w:pPr>
      <w:r>
        <w:rPr>
          <w:rFonts w:ascii="Times New Roman" w:hAnsi="Times New Roman" w:cs="Times New Roman"/>
          <w:sz w:val="24"/>
          <w:szCs w:val="24"/>
        </w:rPr>
        <w:t xml:space="preserve">The cognitive interviews focused on issues identified around readability, question clarity, adequacy of response options, comprehensiveness, and the burden on the respondent. The instrument instructions and screener questions were also considered and discussed with respondents. </w:t>
      </w:r>
    </w:p>
    <w:p w:rsidR="008542A8" w:rsidP="008542A8" w14:paraId="70F6733A" w14:textId="4B75809A">
      <w:pPr>
        <w:rPr>
          <w:rFonts w:ascii="Times New Roman" w:hAnsi="Times New Roman" w:cs="Times New Roman"/>
          <w:sz w:val="24"/>
          <w:szCs w:val="24"/>
        </w:rPr>
      </w:pPr>
      <w:r>
        <w:rPr>
          <w:rFonts w:ascii="Times New Roman" w:hAnsi="Times New Roman" w:cs="Times New Roman"/>
          <w:sz w:val="24"/>
          <w:szCs w:val="24"/>
        </w:rPr>
        <w:t xml:space="preserve">The cognitive test </w:t>
      </w:r>
      <w:r w:rsidR="00974A5F">
        <w:rPr>
          <w:rFonts w:ascii="Times New Roman" w:hAnsi="Times New Roman" w:cs="Times New Roman"/>
          <w:sz w:val="24"/>
          <w:szCs w:val="24"/>
        </w:rPr>
        <w:t>was</w:t>
      </w:r>
      <w:r>
        <w:rPr>
          <w:rFonts w:ascii="Times New Roman" w:hAnsi="Times New Roman" w:cs="Times New Roman"/>
          <w:sz w:val="24"/>
          <w:szCs w:val="24"/>
        </w:rPr>
        <w:t xml:space="preserve"> conducted using a </w:t>
      </w:r>
      <w:r w:rsidR="00974A5F">
        <w:rPr>
          <w:rFonts w:ascii="Times New Roman" w:hAnsi="Times New Roman" w:cs="Times New Roman"/>
          <w:sz w:val="24"/>
          <w:szCs w:val="24"/>
        </w:rPr>
        <w:t>hardcopy</w:t>
      </w:r>
      <w:r>
        <w:rPr>
          <w:rFonts w:ascii="Times New Roman" w:hAnsi="Times New Roman" w:cs="Times New Roman"/>
          <w:sz w:val="24"/>
          <w:szCs w:val="24"/>
        </w:rPr>
        <w:t xml:space="preserve"> version of the instrument to focus respondent feedback on survey content rather than usability and functionality. </w:t>
      </w:r>
      <w:r w:rsidR="00974A5F">
        <w:rPr>
          <w:rFonts w:ascii="Times New Roman" w:hAnsi="Times New Roman" w:cs="Times New Roman"/>
          <w:sz w:val="24"/>
          <w:szCs w:val="24"/>
        </w:rPr>
        <w:t xml:space="preserve">Data collection began with an emailed invitation letter requesting participation from the office lead. As consent to participate in the cognitive test was received, each office was sent the hardcopy instrument via email and USPS mail. </w:t>
      </w:r>
      <w:r w:rsidR="002D3519">
        <w:rPr>
          <w:rFonts w:ascii="Times New Roman" w:hAnsi="Times New Roman" w:cs="Times New Roman"/>
          <w:sz w:val="24"/>
          <w:szCs w:val="24"/>
        </w:rPr>
        <w:t>Completed instruments were received on a flow basis. Upon receipt of a completed instrument, a cognitive interview was scheduled to review feedback on the draft survey questions, to discuss burden and to review responses</w:t>
      </w:r>
      <w:r>
        <w:rPr>
          <w:rFonts w:ascii="Times New Roman" w:hAnsi="Times New Roman" w:cs="Times New Roman"/>
          <w:sz w:val="24"/>
          <w:szCs w:val="24"/>
        </w:rPr>
        <w:t>.</w:t>
      </w:r>
      <w:r w:rsidR="00F10530">
        <w:rPr>
          <w:rFonts w:ascii="Times New Roman" w:hAnsi="Times New Roman" w:cs="Times New Roman"/>
          <w:sz w:val="24"/>
          <w:szCs w:val="24"/>
        </w:rPr>
        <w:t xml:space="preserve"> The cognitive testing final report is included in </w:t>
      </w:r>
      <w:r w:rsidRPr="002539F4" w:rsidR="00F10530">
        <w:rPr>
          <w:rFonts w:ascii="Times New Roman" w:hAnsi="Times New Roman" w:cs="Times New Roman"/>
          <w:b/>
          <w:bCs/>
          <w:sz w:val="24"/>
          <w:szCs w:val="24"/>
        </w:rPr>
        <w:t xml:space="preserve">Attachment </w:t>
      </w:r>
      <w:r w:rsidRPr="002539F4" w:rsidR="009535AB">
        <w:rPr>
          <w:rFonts w:ascii="Times New Roman" w:hAnsi="Times New Roman" w:cs="Times New Roman"/>
          <w:b/>
          <w:bCs/>
          <w:sz w:val="24"/>
          <w:szCs w:val="24"/>
        </w:rPr>
        <w:t>6</w:t>
      </w:r>
      <w:r w:rsidR="00F10530">
        <w:rPr>
          <w:rFonts w:ascii="Times New Roman" w:hAnsi="Times New Roman" w:cs="Times New Roman"/>
          <w:sz w:val="24"/>
          <w:szCs w:val="24"/>
        </w:rPr>
        <w:t>.</w:t>
      </w:r>
    </w:p>
    <w:p w:rsidR="006A4B03" w:rsidP="008A7326" w14:paraId="538CFC73" w14:textId="70227502">
      <w:pPr>
        <w:rPr>
          <w:rFonts w:ascii="Times New Roman" w:hAnsi="Times New Roman" w:cs="Times New Roman"/>
          <w:sz w:val="24"/>
          <w:szCs w:val="24"/>
        </w:rPr>
      </w:pPr>
      <w:r w:rsidRPr="00DB70A2">
        <w:rPr>
          <w:rFonts w:ascii="Times New Roman" w:hAnsi="Times New Roman" w:cs="Times New Roman"/>
          <w:i/>
          <w:iCs/>
          <w:sz w:val="24"/>
          <w:szCs w:val="24"/>
        </w:rPr>
        <w:t>Instructions and Screener Questions</w:t>
      </w:r>
      <w:r>
        <w:rPr>
          <w:rFonts w:ascii="Times New Roman" w:hAnsi="Times New Roman" w:cs="Times New Roman"/>
          <w:sz w:val="24"/>
          <w:szCs w:val="24"/>
        </w:rPr>
        <w:t>. Regarding the instructions for the CPDO, one cognitive test respondent indicated that he was confused about whether he needed to fill out the questionnaire once or twice – since in his jurisdiction, he is simultaneously the head of both a public defender office and a conflict defender office. The project team concluded that this confusion could be avoided by amending Instruction #</w:t>
      </w:r>
      <w:r w:rsidR="007931AD">
        <w:rPr>
          <w:rFonts w:ascii="Times New Roman" w:hAnsi="Times New Roman" w:cs="Times New Roman"/>
          <w:sz w:val="24"/>
          <w:szCs w:val="24"/>
        </w:rPr>
        <w:t>2 (cover page)</w:t>
      </w:r>
      <w:r>
        <w:rPr>
          <w:rFonts w:ascii="Times New Roman" w:hAnsi="Times New Roman" w:cs="Times New Roman"/>
          <w:sz w:val="24"/>
          <w:szCs w:val="24"/>
        </w:rPr>
        <w:t xml:space="preserve"> to add the following text: “If you are the head of more than one public defender office, you should receive multiple solicitations for this survey: we ask that you fill out one questionnaire for each office. If you need more copies of the questionnaire, please contact the CPDO team via email at </w:t>
      </w:r>
      <w:hyperlink r:id="rId8" w:history="1">
        <w:r w:rsidRPr="003C23D6">
          <w:rPr>
            <w:rStyle w:val="Hyperlink"/>
            <w:rFonts w:ascii="Times New Roman" w:hAnsi="Times New Roman" w:cs="Times New Roman"/>
            <w:sz w:val="24"/>
            <w:szCs w:val="24"/>
          </w:rPr>
          <w:t>CPDO@norc.edu</w:t>
        </w:r>
      </w:hyperlink>
      <w:r>
        <w:rPr>
          <w:rFonts w:ascii="Times New Roman" w:hAnsi="Times New Roman" w:cs="Times New Roman"/>
          <w:sz w:val="24"/>
          <w:szCs w:val="24"/>
        </w:rPr>
        <w:t>.”</w:t>
      </w:r>
    </w:p>
    <w:p w:rsidR="008A7326" w:rsidP="008A7326" w14:paraId="3FB28BA1" w14:textId="10AAF647">
      <w:pPr>
        <w:rPr>
          <w:rFonts w:ascii="Times New Roman" w:hAnsi="Times New Roman" w:cs="Times New Roman"/>
          <w:sz w:val="24"/>
          <w:szCs w:val="24"/>
        </w:rPr>
      </w:pPr>
      <w:r w:rsidRPr="001133FC">
        <w:rPr>
          <w:rFonts w:ascii="Times New Roman" w:hAnsi="Times New Roman" w:cs="Times New Roman"/>
          <w:i/>
          <w:iCs/>
          <w:sz w:val="24"/>
          <w:szCs w:val="24"/>
        </w:rPr>
        <w:t>General Information.</w:t>
      </w:r>
      <w:r>
        <w:rPr>
          <w:rFonts w:ascii="Times New Roman" w:hAnsi="Times New Roman" w:cs="Times New Roman"/>
          <w:i/>
          <w:iCs/>
          <w:sz w:val="24"/>
          <w:szCs w:val="24"/>
        </w:rPr>
        <w:t xml:space="preserve"> </w:t>
      </w:r>
      <w:r>
        <w:rPr>
          <w:rFonts w:ascii="Times New Roman" w:hAnsi="Times New Roman" w:cs="Times New Roman"/>
          <w:sz w:val="24"/>
          <w:szCs w:val="24"/>
        </w:rPr>
        <w:t>Section A of the CPDO captures general information about oversight, funding, and the total operating expenditures for each public defender office. Based on the cognitive test responses, several revisions were made as described below, and two new questions were added to this section. For item A1, the first response option was edited from “An entire state” to “An entire state or United States territory</w:t>
      </w:r>
      <w:r w:rsidR="00546FE3">
        <w:rPr>
          <w:rFonts w:ascii="Times New Roman" w:hAnsi="Times New Roman" w:cs="Times New Roman"/>
          <w:sz w:val="24"/>
          <w:szCs w:val="24"/>
        </w:rPr>
        <w:t>.</w:t>
      </w:r>
      <w:r>
        <w:rPr>
          <w:rFonts w:ascii="Times New Roman" w:hAnsi="Times New Roman" w:cs="Times New Roman"/>
          <w:sz w:val="24"/>
          <w:szCs w:val="24"/>
        </w:rPr>
        <w:t xml:space="preserve">”  For items A2, A3, A5, and A6, the “don’t know” response option was eliminated. For items A5 and A6, </w:t>
      </w:r>
      <w:r w:rsidR="00185364">
        <w:rPr>
          <w:rFonts w:ascii="Times New Roman" w:hAnsi="Times New Roman" w:cs="Times New Roman"/>
          <w:sz w:val="24"/>
          <w:szCs w:val="24"/>
        </w:rPr>
        <w:t>the words “state or territory-level body” replaced “state-level board or commission</w:t>
      </w:r>
      <w:r w:rsidR="00546FE3">
        <w:rPr>
          <w:rFonts w:ascii="Times New Roman" w:hAnsi="Times New Roman" w:cs="Times New Roman"/>
          <w:sz w:val="24"/>
          <w:szCs w:val="24"/>
        </w:rPr>
        <w:t>.</w:t>
      </w:r>
      <w:r w:rsidR="00185364">
        <w:rPr>
          <w:rFonts w:ascii="Times New Roman" w:hAnsi="Times New Roman" w:cs="Times New Roman"/>
          <w:sz w:val="24"/>
          <w:szCs w:val="24"/>
        </w:rPr>
        <w:t xml:space="preserve">” Furthermore, in A5 and A6, </w:t>
      </w:r>
      <w:r>
        <w:rPr>
          <w:rFonts w:ascii="Times New Roman" w:hAnsi="Times New Roman" w:cs="Times New Roman"/>
          <w:sz w:val="24"/>
          <w:szCs w:val="24"/>
        </w:rPr>
        <w:t xml:space="preserve">response options were revised </w:t>
      </w:r>
      <w:r w:rsidR="00546FE3">
        <w:rPr>
          <w:rFonts w:ascii="Times New Roman" w:hAnsi="Times New Roman" w:cs="Times New Roman"/>
          <w:sz w:val="24"/>
          <w:szCs w:val="24"/>
        </w:rPr>
        <w:t>to allow for selecting yes or no for “Funded” and “Overseen” options.</w:t>
      </w:r>
      <w:r>
        <w:rPr>
          <w:rFonts w:ascii="Times New Roman" w:hAnsi="Times New Roman" w:cs="Times New Roman"/>
          <w:sz w:val="24"/>
          <w:szCs w:val="24"/>
        </w:rPr>
        <w:t xml:space="preserve"> In addition, the following two new questions about the unionization of attorneys and staff were added </w:t>
      </w:r>
      <w:r w:rsidR="00546FE3">
        <w:rPr>
          <w:rFonts w:ascii="Times New Roman" w:hAnsi="Times New Roman" w:cs="Times New Roman"/>
          <w:sz w:val="24"/>
          <w:szCs w:val="24"/>
        </w:rPr>
        <w:t>(</w:t>
      </w:r>
      <w:r>
        <w:rPr>
          <w:rFonts w:ascii="Times New Roman" w:hAnsi="Times New Roman" w:cs="Times New Roman"/>
          <w:sz w:val="24"/>
          <w:szCs w:val="24"/>
        </w:rPr>
        <w:t>A</w:t>
      </w:r>
      <w:r w:rsidR="00546FE3">
        <w:rPr>
          <w:rFonts w:ascii="Times New Roman" w:hAnsi="Times New Roman" w:cs="Times New Roman"/>
          <w:sz w:val="24"/>
          <w:szCs w:val="24"/>
        </w:rPr>
        <w:t>9</w:t>
      </w:r>
      <w:r>
        <w:rPr>
          <w:rFonts w:ascii="Times New Roman" w:hAnsi="Times New Roman" w:cs="Times New Roman"/>
          <w:sz w:val="24"/>
          <w:szCs w:val="24"/>
        </w:rPr>
        <w:t xml:space="preserve"> and A</w:t>
      </w:r>
      <w:r w:rsidR="00546FE3">
        <w:rPr>
          <w:rFonts w:ascii="Times New Roman" w:hAnsi="Times New Roman" w:cs="Times New Roman"/>
          <w:sz w:val="24"/>
          <w:szCs w:val="24"/>
        </w:rPr>
        <w:t>10).</w:t>
      </w:r>
    </w:p>
    <w:p w:rsidR="008A7326" w:rsidRPr="00FB4BE0" w:rsidP="008A7326" w14:paraId="4D0AC7C3" w14:textId="4FE9DDAE">
      <w:pPr>
        <w:rPr>
          <w:rFonts w:ascii="Times New Roman" w:hAnsi="Times New Roman" w:cs="Times New Roman"/>
          <w:sz w:val="24"/>
          <w:szCs w:val="24"/>
        </w:rPr>
      </w:pPr>
      <w:r>
        <w:rPr>
          <w:rFonts w:ascii="Times New Roman" w:hAnsi="Times New Roman" w:cs="Times New Roman"/>
          <w:sz w:val="24"/>
          <w:szCs w:val="24"/>
        </w:rPr>
        <w:t>The question text for item A1</w:t>
      </w:r>
      <w:r w:rsidR="00E450C2">
        <w:rPr>
          <w:rFonts w:ascii="Times New Roman" w:hAnsi="Times New Roman" w:cs="Times New Roman"/>
          <w:sz w:val="24"/>
          <w:szCs w:val="24"/>
        </w:rPr>
        <w:t>2</w:t>
      </w:r>
      <w:r>
        <w:rPr>
          <w:rFonts w:ascii="Times New Roman" w:hAnsi="Times New Roman" w:cs="Times New Roman"/>
          <w:sz w:val="24"/>
          <w:szCs w:val="24"/>
        </w:rPr>
        <w:t xml:space="preserve"> was revised to </w:t>
      </w:r>
      <w:r w:rsidR="00665388">
        <w:rPr>
          <w:rFonts w:ascii="Times New Roman" w:hAnsi="Times New Roman" w:cs="Times New Roman"/>
          <w:sz w:val="24"/>
          <w:szCs w:val="24"/>
        </w:rPr>
        <w:t>align with wording from the 2007 instrument which provides clarity to respondents on excluding any one-time costs. Also, t</w:t>
      </w:r>
      <w:r>
        <w:rPr>
          <w:rFonts w:ascii="Times New Roman" w:hAnsi="Times New Roman" w:cs="Times New Roman"/>
          <w:sz w:val="24"/>
          <w:szCs w:val="24"/>
        </w:rPr>
        <w:t xml:space="preserve">he word “criminal” </w:t>
      </w:r>
      <w:r w:rsidR="00665388">
        <w:rPr>
          <w:rFonts w:ascii="Times New Roman" w:hAnsi="Times New Roman" w:cs="Times New Roman"/>
          <w:sz w:val="24"/>
          <w:szCs w:val="24"/>
        </w:rPr>
        <w:t xml:space="preserve">was added </w:t>
      </w:r>
      <w:r>
        <w:rPr>
          <w:rFonts w:ascii="Times New Roman" w:hAnsi="Times New Roman" w:cs="Times New Roman"/>
          <w:sz w:val="24"/>
          <w:szCs w:val="24"/>
        </w:rPr>
        <w:t xml:space="preserve">so that it reads: “provide </w:t>
      </w:r>
      <w:r w:rsidR="00665388">
        <w:rPr>
          <w:rFonts w:ascii="Times New Roman" w:hAnsi="Times New Roman" w:cs="Times New Roman"/>
          <w:sz w:val="24"/>
          <w:szCs w:val="24"/>
        </w:rPr>
        <w:t xml:space="preserve">criminal </w:t>
      </w:r>
      <w:r w:rsidR="00665388">
        <w:rPr>
          <w:rFonts w:ascii="Times New Roman" w:hAnsi="Times New Roman" w:cs="Times New Roman"/>
          <w:sz w:val="24"/>
          <w:szCs w:val="24"/>
        </w:rPr>
        <w:t>pubic</w:t>
      </w:r>
      <w:r w:rsidR="00665388">
        <w:rPr>
          <w:rFonts w:ascii="Times New Roman" w:hAnsi="Times New Roman" w:cs="Times New Roman"/>
          <w:sz w:val="24"/>
          <w:szCs w:val="24"/>
        </w:rPr>
        <w:t xml:space="preserve"> defense </w:t>
      </w:r>
      <w:r>
        <w:rPr>
          <w:rFonts w:ascii="Times New Roman" w:hAnsi="Times New Roman" w:cs="Times New Roman"/>
          <w:sz w:val="24"/>
          <w:szCs w:val="24"/>
        </w:rPr>
        <w:t>services to defendants</w:t>
      </w:r>
      <w:r w:rsidR="00665388">
        <w:rPr>
          <w:rFonts w:ascii="Times New Roman" w:hAnsi="Times New Roman" w:cs="Times New Roman"/>
          <w:sz w:val="24"/>
          <w:szCs w:val="24"/>
        </w:rPr>
        <w:t>”</w:t>
      </w:r>
      <w:r>
        <w:rPr>
          <w:rFonts w:ascii="Times New Roman" w:hAnsi="Times New Roman" w:cs="Times New Roman"/>
          <w:sz w:val="24"/>
          <w:szCs w:val="24"/>
        </w:rPr>
        <w:t>. This change was made because there were some cognitive test respondents who engaged in representation of other types of clients that mistakenly thought they should include expenditures on that other work in the budget number they provided to answer this question.</w:t>
      </w:r>
      <w:r w:rsidR="00546FE3">
        <w:rPr>
          <w:rFonts w:ascii="Times New Roman" w:hAnsi="Times New Roman" w:cs="Times New Roman"/>
          <w:sz w:val="24"/>
          <w:szCs w:val="24"/>
        </w:rPr>
        <w:t xml:space="preserve"> Original i</w:t>
      </w:r>
      <w:r w:rsidR="00665388">
        <w:rPr>
          <w:rFonts w:ascii="Times New Roman" w:hAnsi="Times New Roman" w:cs="Times New Roman"/>
          <w:sz w:val="24"/>
          <w:szCs w:val="24"/>
        </w:rPr>
        <w:t xml:space="preserve">tem A13 was removed as the list of budgetary earmarks was insufficient. </w:t>
      </w:r>
      <w:r>
        <w:rPr>
          <w:rFonts w:ascii="Times New Roman" w:hAnsi="Times New Roman" w:cs="Times New Roman"/>
          <w:sz w:val="24"/>
          <w:szCs w:val="24"/>
        </w:rPr>
        <w:t xml:space="preserve">Finally, for </w:t>
      </w:r>
      <w:r w:rsidR="00665388">
        <w:rPr>
          <w:rFonts w:ascii="Times New Roman" w:hAnsi="Times New Roman" w:cs="Times New Roman"/>
          <w:sz w:val="24"/>
          <w:szCs w:val="24"/>
        </w:rPr>
        <w:t xml:space="preserve">what is now </w:t>
      </w:r>
      <w:r>
        <w:rPr>
          <w:rFonts w:ascii="Times New Roman" w:hAnsi="Times New Roman" w:cs="Times New Roman"/>
          <w:sz w:val="24"/>
          <w:szCs w:val="24"/>
        </w:rPr>
        <w:t>item A1</w:t>
      </w:r>
      <w:r w:rsidR="001D2F0D">
        <w:rPr>
          <w:rFonts w:ascii="Times New Roman" w:hAnsi="Times New Roman" w:cs="Times New Roman"/>
          <w:sz w:val="24"/>
          <w:szCs w:val="24"/>
        </w:rPr>
        <w:t>3</w:t>
      </w:r>
      <w:r>
        <w:rPr>
          <w:rFonts w:ascii="Times New Roman" w:hAnsi="Times New Roman" w:cs="Times New Roman"/>
          <w:sz w:val="24"/>
          <w:szCs w:val="24"/>
        </w:rPr>
        <w:t>, response choice (e) was revised from “Private funds” to “Fees charged to clients for representation”</w:t>
      </w:r>
      <w:r w:rsidR="001D2F0D">
        <w:rPr>
          <w:rFonts w:ascii="Times New Roman" w:hAnsi="Times New Roman" w:cs="Times New Roman"/>
          <w:sz w:val="24"/>
          <w:szCs w:val="24"/>
        </w:rPr>
        <w:t xml:space="preserve"> as</w:t>
      </w:r>
      <w:r>
        <w:rPr>
          <w:rFonts w:ascii="Times New Roman" w:hAnsi="Times New Roman" w:cs="Times New Roman"/>
          <w:sz w:val="24"/>
          <w:szCs w:val="24"/>
        </w:rPr>
        <w:t xml:space="preserve"> </w:t>
      </w:r>
      <w:r w:rsidR="001D2F0D">
        <w:rPr>
          <w:rFonts w:ascii="Times New Roman" w:hAnsi="Times New Roman" w:cs="Times New Roman"/>
          <w:sz w:val="24"/>
          <w:szCs w:val="24"/>
        </w:rPr>
        <w:t>p</w:t>
      </w:r>
      <w:r>
        <w:rPr>
          <w:rFonts w:ascii="Times New Roman" w:hAnsi="Times New Roman" w:cs="Times New Roman"/>
          <w:sz w:val="24"/>
          <w:szCs w:val="24"/>
        </w:rPr>
        <w:t xml:space="preserve">ublic defenders rarely receive other private funding. The project team determined that </w:t>
      </w:r>
      <w:r w:rsidR="001D2F0D">
        <w:rPr>
          <w:rFonts w:ascii="Times New Roman" w:hAnsi="Times New Roman" w:cs="Times New Roman"/>
          <w:sz w:val="24"/>
          <w:szCs w:val="24"/>
        </w:rPr>
        <w:t>any private</w:t>
      </w:r>
      <w:r>
        <w:rPr>
          <w:rFonts w:ascii="Times New Roman" w:hAnsi="Times New Roman" w:cs="Times New Roman"/>
          <w:sz w:val="24"/>
          <w:szCs w:val="24"/>
        </w:rPr>
        <w:t xml:space="preserve"> funding would be better categorized under response (f) Other (please describe).</w:t>
      </w:r>
    </w:p>
    <w:p w:rsidR="008A7326" w:rsidRPr="00C86FA3" w:rsidP="00F90B8C" w14:paraId="5DA23BA6" w14:textId="3A439BDF">
      <w:pPr>
        <w:rPr>
          <w:rFonts w:ascii="Times New Roman" w:hAnsi="Times New Roman" w:cs="Times New Roman"/>
          <w:sz w:val="24"/>
          <w:szCs w:val="24"/>
        </w:rPr>
      </w:pPr>
      <w:r w:rsidRPr="00541843">
        <w:rPr>
          <w:rFonts w:ascii="Times New Roman" w:hAnsi="Times New Roman" w:cs="Times New Roman"/>
          <w:i/>
          <w:iCs/>
          <w:sz w:val="24"/>
          <w:szCs w:val="24"/>
        </w:rPr>
        <w:t>Staffing.</w:t>
      </w:r>
      <w:r w:rsidRPr="002B1A4A">
        <w:rPr>
          <w:rFonts w:ascii="Times New Roman" w:hAnsi="Times New Roman" w:cs="Times New Roman"/>
          <w:sz w:val="24"/>
          <w:szCs w:val="24"/>
        </w:rPr>
        <w:t xml:space="preserve"> </w:t>
      </w:r>
      <w:r>
        <w:rPr>
          <w:rFonts w:ascii="Times New Roman" w:hAnsi="Times New Roman" w:cs="Times New Roman"/>
          <w:sz w:val="24"/>
          <w:szCs w:val="24"/>
        </w:rPr>
        <w:t>Section B of the CPDO captures information about staffing in public defender offices, including attorney demographics. Based on cognitive test feedback, several revisions were made to item response categories and a new question was added to this section. First, for line item B1(a), a decision was made to include the chief public defender, so the new text reads: “Attorneys, including the chief public defender, with management or supervisory responsibilities over other attorneys”. As a quality control measure</w:t>
      </w:r>
      <w:r w:rsidR="00253E71">
        <w:rPr>
          <w:rFonts w:ascii="Times New Roman" w:hAnsi="Times New Roman" w:cs="Times New Roman"/>
          <w:sz w:val="24"/>
          <w:szCs w:val="24"/>
        </w:rPr>
        <w:t xml:space="preserve"> on the web instrument</w:t>
      </w:r>
      <w:r>
        <w:rPr>
          <w:rFonts w:ascii="Times New Roman" w:hAnsi="Times New Roman" w:cs="Times New Roman"/>
          <w:sz w:val="24"/>
          <w:szCs w:val="24"/>
        </w:rPr>
        <w:t>, if a respondent does not enter any value in B1(a), a soft prompt will be added asking: “Are you sure this is correct? Remember, the chief public defender should be included in these numbers</w:t>
      </w:r>
      <w:r w:rsidR="00253E71">
        <w:rPr>
          <w:rFonts w:ascii="Times New Roman" w:hAnsi="Times New Roman" w:cs="Times New Roman"/>
          <w:sz w:val="24"/>
          <w:szCs w:val="24"/>
        </w:rPr>
        <w:t>.</w:t>
      </w:r>
      <w:r>
        <w:rPr>
          <w:rFonts w:ascii="Times New Roman" w:hAnsi="Times New Roman" w:cs="Times New Roman"/>
          <w:sz w:val="24"/>
          <w:szCs w:val="24"/>
        </w:rPr>
        <w:t xml:space="preserve">” </w:t>
      </w:r>
      <w:r w:rsidR="00253E71">
        <w:rPr>
          <w:rFonts w:ascii="Times New Roman" w:hAnsi="Times New Roman" w:cs="Times New Roman"/>
          <w:sz w:val="24"/>
          <w:szCs w:val="24"/>
        </w:rPr>
        <w:t>T</w:t>
      </w:r>
      <w:r>
        <w:rPr>
          <w:rFonts w:ascii="Times New Roman" w:hAnsi="Times New Roman" w:cs="Times New Roman"/>
          <w:sz w:val="24"/>
          <w:szCs w:val="24"/>
        </w:rPr>
        <w:t xml:space="preserve">he respondent will be able to confirm that it is, in fact, correct and continue, or the respondent could revise their response. </w:t>
      </w:r>
      <w:r w:rsidR="00A90ACD">
        <w:rPr>
          <w:rFonts w:ascii="Times New Roman" w:hAnsi="Times New Roman" w:cs="Times New Roman"/>
          <w:sz w:val="24"/>
          <w:szCs w:val="24"/>
        </w:rPr>
        <w:t xml:space="preserve">A question was added following B1 to determine the number of hours per week an attorney must work to be considered full-time. </w:t>
      </w:r>
    </w:p>
    <w:p w:rsidR="00AA127A" w:rsidRPr="00F90B8C" w:rsidP="00F90B8C" w14:paraId="18E143B6" w14:textId="7A61D397">
      <w:pPr>
        <w:spacing w:after="0"/>
        <w:rPr>
          <w:rFonts w:ascii="Times New Roman" w:eastAsia="Times New Roman" w:hAnsi="Times New Roman" w:cs="Times New Roman"/>
          <w:color w:val="000000" w:themeColor="text1"/>
          <w:sz w:val="24"/>
          <w:szCs w:val="24"/>
        </w:rPr>
      </w:pPr>
      <w:r w:rsidRPr="00F90B8C">
        <w:rPr>
          <w:rFonts w:ascii="Times New Roman" w:eastAsia="Times New Roman" w:hAnsi="Times New Roman" w:cs="Times New Roman"/>
          <w:color w:val="000000" w:themeColor="text1"/>
          <w:sz w:val="24"/>
          <w:szCs w:val="24"/>
        </w:rPr>
        <w:t>In response to gender of attorneys (B</w:t>
      </w:r>
      <w:r w:rsidR="00253E71">
        <w:rPr>
          <w:rFonts w:ascii="Times New Roman" w:eastAsia="Times New Roman" w:hAnsi="Times New Roman" w:cs="Times New Roman"/>
          <w:color w:val="000000" w:themeColor="text1"/>
          <w:sz w:val="24"/>
          <w:szCs w:val="24"/>
        </w:rPr>
        <w:t>2</w:t>
      </w:r>
      <w:r w:rsidRPr="00F90B8C">
        <w:rPr>
          <w:rFonts w:ascii="Times New Roman" w:eastAsia="Times New Roman" w:hAnsi="Times New Roman" w:cs="Times New Roman"/>
          <w:color w:val="000000" w:themeColor="text1"/>
          <w:sz w:val="24"/>
          <w:szCs w:val="24"/>
        </w:rPr>
        <w:t>), s</w:t>
      </w:r>
      <w:r w:rsidRPr="00275A11">
        <w:rPr>
          <w:rFonts w:ascii="Times New Roman" w:eastAsia="Times New Roman" w:hAnsi="Times New Roman" w:cs="Times New Roman"/>
          <w:color w:val="000000" w:themeColor="text1"/>
          <w:sz w:val="24"/>
          <w:szCs w:val="24"/>
        </w:rPr>
        <w:t xml:space="preserve">everal cognitive test respondents objected to including only male/female response options. </w:t>
      </w:r>
      <w:r w:rsidRPr="00F90B8C">
        <w:rPr>
          <w:rFonts w:ascii="Times New Roman" w:eastAsia="Times New Roman" w:hAnsi="Times New Roman" w:cs="Times New Roman"/>
          <w:color w:val="000000" w:themeColor="text1"/>
          <w:sz w:val="24"/>
          <w:szCs w:val="24"/>
        </w:rPr>
        <w:t xml:space="preserve">However, to date, </w:t>
      </w:r>
      <w:r w:rsidR="00F90B8C">
        <w:rPr>
          <w:rFonts w:ascii="Times New Roman" w:eastAsia="Times New Roman" w:hAnsi="Times New Roman" w:cs="Times New Roman"/>
          <w:color w:val="000000" w:themeColor="text1"/>
          <w:sz w:val="24"/>
          <w:szCs w:val="24"/>
        </w:rPr>
        <w:t>there is a lack of</w:t>
      </w:r>
      <w:r w:rsidRPr="00275A11">
        <w:rPr>
          <w:rFonts w:ascii="Times New Roman" w:eastAsia="Times New Roman" w:hAnsi="Times New Roman" w:cs="Times New Roman"/>
          <w:color w:val="000000" w:themeColor="text1"/>
          <w:sz w:val="24"/>
          <w:szCs w:val="24"/>
        </w:rPr>
        <w:t xml:space="preserve"> </w:t>
      </w:r>
      <w:r w:rsidRPr="00F90B8C">
        <w:rPr>
          <w:rFonts w:ascii="Times New Roman" w:eastAsia="Times New Roman" w:hAnsi="Times New Roman" w:cs="Times New Roman"/>
          <w:color w:val="000000" w:themeColor="text1"/>
          <w:sz w:val="24"/>
          <w:szCs w:val="24"/>
        </w:rPr>
        <w:t xml:space="preserve">best practices for </w:t>
      </w:r>
      <w:r w:rsidRPr="00275A11">
        <w:rPr>
          <w:rFonts w:ascii="Times New Roman" w:eastAsia="Times New Roman" w:hAnsi="Times New Roman" w:cs="Times New Roman"/>
          <w:color w:val="000000" w:themeColor="text1"/>
          <w:sz w:val="24"/>
          <w:szCs w:val="24"/>
        </w:rPr>
        <w:t xml:space="preserve">proxy reporting of gender </w:t>
      </w:r>
      <w:r w:rsidR="00F90B8C">
        <w:rPr>
          <w:rFonts w:ascii="Times New Roman" w:eastAsia="Times New Roman" w:hAnsi="Times New Roman" w:cs="Times New Roman"/>
          <w:color w:val="000000" w:themeColor="text1"/>
          <w:sz w:val="24"/>
          <w:szCs w:val="24"/>
        </w:rPr>
        <w:t xml:space="preserve">on administrative collections </w:t>
      </w:r>
      <w:r w:rsidRPr="00275A11" w:rsidR="00F85E6E">
        <w:rPr>
          <w:rFonts w:ascii="Times New Roman" w:eastAsia="Times New Roman" w:hAnsi="Times New Roman" w:cs="Times New Roman"/>
          <w:color w:val="000000" w:themeColor="text1"/>
          <w:sz w:val="24"/>
          <w:szCs w:val="24"/>
        </w:rPr>
        <w:t>and</w:t>
      </w:r>
      <w:r w:rsidRPr="00275A11">
        <w:rPr>
          <w:rFonts w:ascii="Times New Roman" w:eastAsia="Times New Roman" w:hAnsi="Times New Roman" w:cs="Times New Roman"/>
          <w:color w:val="000000" w:themeColor="text1"/>
          <w:sz w:val="24"/>
          <w:szCs w:val="24"/>
        </w:rPr>
        <w:t xml:space="preserve"> BJS has chosen to align with previous administrative surveys </w:t>
      </w:r>
      <w:r w:rsidRPr="00275A11" w:rsidR="00F85E6E">
        <w:rPr>
          <w:rFonts w:ascii="Times New Roman" w:eastAsia="Times New Roman" w:hAnsi="Times New Roman" w:cs="Times New Roman"/>
          <w:color w:val="000000" w:themeColor="text1"/>
          <w:sz w:val="24"/>
          <w:szCs w:val="24"/>
        </w:rPr>
        <w:t>by</w:t>
      </w:r>
      <w:r w:rsidRPr="00275A11">
        <w:rPr>
          <w:rFonts w:ascii="Times New Roman" w:eastAsia="Times New Roman" w:hAnsi="Times New Roman" w:cs="Times New Roman"/>
          <w:color w:val="000000" w:themeColor="text1"/>
          <w:sz w:val="24"/>
          <w:szCs w:val="24"/>
        </w:rPr>
        <w:t xml:space="preserve"> ask</w:t>
      </w:r>
      <w:r w:rsidRPr="00F90B8C" w:rsidR="00F66CC3">
        <w:rPr>
          <w:rFonts w:ascii="Times New Roman" w:eastAsia="Times New Roman" w:hAnsi="Times New Roman" w:cs="Times New Roman"/>
          <w:color w:val="000000" w:themeColor="text1"/>
          <w:sz w:val="24"/>
          <w:szCs w:val="24"/>
        </w:rPr>
        <w:t>ing</w:t>
      </w:r>
      <w:r w:rsidRPr="00275A11">
        <w:rPr>
          <w:rFonts w:ascii="Times New Roman" w:eastAsia="Times New Roman" w:hAnsi="Times New Roman" w:cs="Times New Roman"/>
          <w:color w:val="000000" w:themeColor="text1"/>
          <w:sz w:val="24"/>
          <w:szCs w:val="24"/>
        </w:rPr>
        <w:t xml:space="preserve"> about attorney se</w:t>
      </w:r>
      <w:r w:rsidRPr="00275A11" w:rsidR="00F85E6E">
        <w:rPr>
          <w:rFonts w:ascii="Times New Roman" w:eastAsia="Times New Roman" w:hAnsi="Times New Roman" w:cs="Times New Roman"/>
          <w:color w:val="000000" w:themeColor="text1"/>
          <w:sz w:val="24"/>
          <w:szCs w:val="24"/>
        </w:rPr>
        <w:t>x</w:t>
      </w:r>
      <w:r w:rsidRPr="00F90B8C">
        <w:rPr>
          <w:rFonts w:ascii="Times New Roman" w:eastAsia="Times New Roman" w:hAnsi="Times New Roman" w:cs="Times New Roman"/>
          <w:color w:val="000000" w:themeColor="text1"/>
          <w:sz w:val="24"/>
          <w:szCs w:val="24"/>
        </w:rPr>
        <w:t xml:space="preserve">. To maintain consistency, </w:t>
      </w:r>
      <w:r w:rsidRPr="00275A11">
        <w:rPr>
          <w:rFonts w:ascii="Times New Roman" w:eastAsia="Times New Roman" w:hAnsi="Times New Roman" w:cs="Times New Roman"/>
          <w:color w:val="000000" w:themeColor="text1"/>
          <w:sz w:val="24"/>
          <w:szCs w:val="24"/>
        </w:rPr>
        <w:t>question B</w:t>
      </w:r>
      <w:r w:rsidRPr="00275A11" w:rsidR="00F85E6E">
        <w:rPr>
          <w:rFonts w:ascii="Times New Roman" w:eastAsia="Times New Roman" w:hAnsi="Times New Roman" w:cs="Times New Roman"/>
          <w:color w:val="000000" w:themeColor="text1"/>
          <w:sz w:val="24"/>
          <w:szCs w:val="24"/>
        </w:rPr>
        <w:t>1</w:t>
      </w:r>
      <w:r w:rsidR="00253E71">
        <w:rPr>
          <w:rFonts w:ascii="Times New Roman" w:eastAsia="Times New Roman" w:hAnsi="Times New Roman" w:cs="Times New Roman"/>
          <w:color w:val="000000" w:themeColor="text1"/>
          <w:sz w:val="24"/>
          <w:szCs w:val="24"/>
        </w:rPr>
        <w:t>5</w:t>
      </w:r>
      <w:r w:rsidRPr="00F90B8C" w:rsidR="00937A28">
        <w:rPr>
          <w:rFonts w:ascii="Times New Roman" w:eastAsia="Times New Roman" w:hAnsi="Times New Roman" w:cs="Times New Roman"/>
          <w:color w:val="000000" w:themeColor="text1"/>
          <w:sz w:val="24"/>
          <w:szCs w:val="24"/>
        </w:rPr>
        <w:t xml:space="preserve"> </w:t>
      </w:r>
      <w:r w:rsidR="00253E71">
        <w:rPr>
          <w:rFonts w:ascii="Times New Roman" w:eastAsia="Times New Roman" w:hAnsi="Times New Roman" w:cs="Times New Roman"/>
          <w:color w:val="000000" w:themeColor="text1"/>
          <w:sz w:val="24"/>
          <w:szCs w:val="24"/>
        </w:rPr>
        <w:t xml:space="preserve">was also </w:t>
      </w:r>
      <w:r w:rsidRPr="00F90B8C" w:rsidR="00937A28">
        <w:rPr>
          <w:rFonts w:ascii="Times New Roman" w:eastAsia="Times New Roman" w:hAnsi="Times New Roman" w:cs="Times New Roman"/>
          <w:color w:val="000000" w:themeColor="text1"/>
          <w:sz w:val="24"/>
          <w:szCs w:val="24"/>
        </w:rPr>
        <w:t xml:space="preserve">changed to asking </w:t>
      </w:r>
      <w:r w:rsidR="00253E71">
        <w:rPr>
          <w:rFonts w:ascii="Times New Roman" w:eastAsia="Times New Roman" w:hAnsi="Times New Roman" w:cs="Times New Roman"/>
          <w:color w:val="000000" w:themeColor="text1"/>
          <w:sz w:val="24"/>
          <w:szCs w:val="24"/>
        </w:rPr>
        <w:t xml:space="preserve">about </w:t>
      </w:r>
      <w:r w:rsidRPr="00F90B8C" w:rsidR="00937A28">
        <w:rPr>
          <w:rFonts w:ascii="Times New Roman" w:eastAsia="Times New Roman" w:hAnsi="Times New Roman" w:cs="Times New Roman"/>
          <w:color w:val="000000" w:themeColor="text1"/>
          <w:sz w:val="24"/>
          <w:szCs w:val="24"/>
        </w:rPr>
        <w:t>sex</w:t>
      </w:r>
      <w:r w:rsidRPr="00275A11" w:rsidR="00F85E6E">
        <w:rPr>
          <w:rFonts w:ascii="Times New Roman" w:eastAsia="Times New Roman" w:hAnsi="Times New Roman" w:cs="Times New Roman"/>
          <w:color w:val="000000" w:themeColor="text1"/>
          <w:sz w:val="24"/>
          <w:szCs w:val="24"/>
        </w:rPr>
        <w:t>.</w:t>
      </w:r>
    </w:p>
    <w:p w:rsidR="008A7326" w:rsidP="008A7326" w14:paraId="21898119" w14:textId="77777777">
      <w:pPr>
        <w:spacing w:after="0" w:line="240" w:lineRule="auto"/>
        <w:ind w:firstLine="720"/>
        <w:rPr>
          <w:rFonts w:ascii="Times New Roman" w:hAnsi="Times New Roman" w:cs="Times New Roman"/>
          <w:sz w:val="24"/>
          <w:szCs w:val="24"/>
        </w:rPr>
      </w:pPr>
    </w:p>
    <w:p w:rsidR="00253E71" w:rsidP="008A7326" w14:paraId="1D5EDD7A" w14:textId="23B213C5">
      <w:pPr>
        <w:rPr>
          <w:rFonts w:ascii="Times New Roman" w:hAnsi="Times New Roman" w:cs="Times New Roman"/>
          <w:sz w:val="24"/>
          <w:szCs w:val="24"/>
        </w:rPr>
      </w:pPr>
      <w:r>
        <w:rPr>
          <w:rFonts w:ascii="Times New Roman" w:hAnsi="Times New Roman" w:cs="Times New Roman"/>
          <w:sz w:val="24"/>
          <w:szCs w:val="24"/>
        </w:rPr>
        <w:t>T</w:t>
      </w:r>
      <w:r w:rsidR="00F85E6E">
        <w:rPr>
          <w:rFonts w:ascii="Times New Roman" w:hAnsi="Times New Roman" w:cs="Times New Roman"/>
          <w:sz w:val="24"/>
          <w:szCs w:val="24"/>
        </w:rPr>
        <w:t>o align with the new race standards articulated in the S</w:t>
      </w:r>
      <w:r w:rsidR="00937A28">
        <w:rPr>
          <w:rFonts w:ascii="Times New Roman" w:hAnsi="Times New Roman" w:cs="Times New Roman"/>
          <w:sz w:val="24"/>
          <w:szCs w:val="24"/>
        </w:rPr>
        <w:t>tatistical Policy Directive 15</w:t>
      </w:r>
      <w:r>
        <w:rPr>
          <w:rFonts w:ascii="Times New Roman" w:hAnsi="Times New Roman" w:cs="Times New Roman"/>
          <w:sz w:val="24"/>
          <w:szCs w:val="24"/>
        </w:rPr>
        <w:t>,</w:t>
      </w:r>
      <w:r w:rsidR="00937A28">
        <w:rPr>
          <w:rFonts w:ascii="Times New Roman" w:hAnsi="Times New Roman" w:cs="Times New Roman"/>
          <w:sz w:val="24"/>
          <w:szCs w:val="24"/>
        </w:rPr>
        <w:t xml:space="preserve"> </w:t>
      </w:r>
      <w:r w:rsidR="00F85E6E">
        <w:rPr>
          <w:rFonts w:ascii="Times New Roman" w:hAnsi="Times New Roman" w:cs="Times New Roman"/>
          <w:sz w:val="24"/>
          <w:szCs w:val="24"/>
        </w:rPr>
        <w:t>question B</w:t>
      </w:r>
      <w:r>
        <w:rPr>
          <w:rFonts w:ascii="Times New Roman" w:hAnsi="Times New Roman" w:cs="Times New Roman"/>
          <w:sz w:val="24"/>
          <w:szCs w:val="24"/>
        </w:rPr>
        <w:t>3</w:t>
      </w:r>
      <w:r w:rsidR="00F85E6E">
        <w:rPr>
          <w:rFonts w:ascii="Times New Roman" w:hAnsi="Times New Roman" w:cs="Times New Roman"/>
          <w:sz w:val="24"/>
          <w:szCs w:val="24"/>
        </w:rPr>
        <w:t xml:space="preserve"> response options (g) “Middle Eastern or North African alone” and (h) “Multiracial and/or Multiethnic” were added</w:t>
      </w:r>
      <w:r>
        <w:rPr>
          <w:rFonts w:ascii="Times New Roman" w:hAnsi="Times New Roman" w:cs="Times New Roman"/>
          <w:sz w:val="24"/>
          <w:szCs w:val="24"/>
        </w:rPr>
        <w:t>.</w:t>
      </w:r>
      <w:r>
        <w:rPr>
          <w:rFonts w:ascii="Times New Roman" w:hAnsi="Times New Roman" w:cs="Times New Roman"/>
          <w:sz w:val="24"/>
          <w:szCs w:val="24"/>
        </w:rPr>
        <w:t xml:space="preserve"> B16 aligns with the minimum race categories for SPD 15 with a mark </w:t>
      </w:r>
      <w:r>
        <w:rPr>
          <w:rFonts w:ascii="Times New Roman" w:hAnsi="Times New Roman" w:cs="Times New Roman"/>
          <w:sz w:val="24"/>
          <w:szCs w:val="24"/>
        </w:rPr>
        <w:t>all that apply option. See Part A Question 7 for more explanation on why BJS deviated from the detailed race categories.</w:t>
      </w:r>
      <w:r w:rsidR="00F85E6E">
        <w:rPr>
          <w:rFonts w:ascii="Times New Roman" w:hAnsi="Times New Roman" w:cs="Times New Roman"/>
          <w:sz w:val="24"/>
          <w:szCs w:val="24"/>
        </w:rPr>
        <w:t xml:space="preserve"> </w:t>
      </w:r>
    </w:p>
    <w:p w:rsidR="00253E71" w:rsidP="008A7326" w14:paraId="372E2917" w14:textId="68456FB4">
      <w:pPr>
        <w:rPr>
          <w:rFonts w:ascii="Times New Roman" w:hAnsi="Times New Roman" w:cs="Times New Roman"/>
          <w:sz w:val="24"/>
          <w:szCs w:val="24"/>
        </w:rPr>
      </w:pPr>
      <w:r>
        <w:rPr>
          <w:rFonts w:ascii="Times New Roman" w:hAnsi="Times New Roman" w:cs="Times New Roman"/>
          <w:sz w:val="24"/>
          <w:szCs w:val="24"/>
        </w:rPr>
        <w:t>For item B</w:t>
      </w:r>
      <w:r>
        <w:rPr>
          <w:rFonts w:ascii="Times New Roman" w:hAnsi="Times New Roman" w:cs="Times New Roman"/>
          <w:sz w:val="24"/>
          <w:szCs w:val="24"/>
        </w:rPr>
        <w:t>6</w:t>
      </w:r>
      <w:r>
        <w:rPr>
          <w:rFonts w:ascii="Times New Roman" w:hAnsi="Times New Roman" w:cs="Times New Roman"/>
          <w:sz w:val="24"/>
          <w:szCs w:val="24"/>
        </w:rPr>
        <w:t xml:space="preserve">, which asks for the minimum and maximum salary for various staff positions, the word “annual” </w:t>
      </w:r>
      <w:r w:rsidR="009F58E1">
        <w:rPr>
          <w:rFonts w:ascii="Times New Roman" w:hAnsi="Times New Roman" w:cs="Times New Roman"/>
          <w:sz w:val="24"/>
          <w:szCs w:val="24"/>
        </w:rPr>
        <w:t xml:space="preserve">was added </w:t>
      </w:r>
      <w:r>
        <w:rPr>
          <w:rFonts w:ascii="Times New Roman" w:hAnsi="Times New Roman" w:cs="Times New Roman"/>
          <w:sz w:val="24"/>
          <w:szCs w:val="24"/>
        </w:rPr>
        <w:t>before salaries in the question</w:t>
      </w:r>
      <w:r w:rsidR="009F58E1">
        <w:rPr>
          <w:rFonts w:ascii="Times New Roman" w:hAnsi="Times New Roman" w:cs="Times New Roman"/>
          <w:sz w:val="24"/>
          <w:szCs w:val="24"/>
        </w:rPr>
        <w:t xml:space="preserve"> for clarity</w:t>
      </w:r>
      <w:r>
        <w:rPr>
          <w:rFonts w:ascii="Times New Roman" w:hAnsi="Times New Roman" w:cs="Times New Roman"/>
          <w:sz w:val="24"/>
          <w:szCs w:val="24"/>
        </w:rPr>
        <w:t xml:space="preserve">. </w:t>
      </w:r>
    </w:p>
    <w:p w:rsidR="00253E71" w:rsidP="008A7326" w14:paraId="73C4491D" w14:textId="7713DA78">
      <w:pPr>
        <w:rPr>
          <w:rFonts w:ascii="Times New Roman" w:hAnsi="Times New Roman" w:cs="Times New Roman"/>
          <w:sz w:val="24"/>
          <w:szCs w:val="24"/>
        </w:rPr>
      </w:pPr>
      <w:r w:rsidRPr="00F90B8C">
        <w:rPr>
          <w:rFonts w:ascii="Times New Roman" w:hAnsi="Times New Roman" w:cs="Times New Roman"/>
          <w:sz w:val="24"/>
          <w:szCs w:val="24"/>
        </w:rPr>
        <w:t>The team</w:t>
      </w:r>
      <w:r w:rsidRPr="009F58E1" w:rsidR="008A7326">
        <w:rPr>
          <w:rFonts w:ascii="Times New Roman" w:hAnsi="Times New Roman" w:cs="Times New Roman"/>
          <w:sz w:val="24"/>
          <w:szCs w:val="24"/>
        </w:rPr>
        <w:t xml:space="preserve"> also learned that the question text for item B</w:t>
      </w:r>
      <w:r>
        <w:rPr>
          <w:rFonts w:ascii="Times New Roman" w:hAnsi="Times New Roman" w:cs="Times New Roman"/>
          <w:sz w:val="24"/>
          <w:szCs w:val="24"/>
        </w:rPr>
        <w:t>7</w:t>
      </w:r>
      <w:r w:rsidRPr="009F58E1" w:rsidR="008A7326">
        <w:rPr>
          <w:rFonts w:ascii="Times New Roman" w:hAnsi="Times New Roman" w:cs="Times New Roman"/>
          <w:sz w:val="24"/>
          <w:szCs w:val="24"/>
        </w:rPr>
        <w:t xml:space="preserve"> regarding staff attrition </w:t>
      </w:r>
      <w:r w:rsidRPr="00F90B8C">
        <w:rPr>
          <w:rFonts w:ascii="Times New Roman" w:hAnsi="Times New Roman" w:cs="Times New Roman"/>
          <w:sz w:val="24"/>
          <w:szCs w:val="24"/>
        </w:rPr>
        <w:t>was</w:t>
      </w:r>
      <w:r w:rsidRPr="009F58E1" w:rsidR="008A7326">
        <w:rPr>
          <w:rFonts w:ascii="Times New Roman" w:hAnsi="Times New Roman" w:cs="Times New Roman"/>
          <w:sz w:val="24"/>
          <w:szCs w:val="24"/>
        </w:rPr>
        <w:t xml:space="preserve"> poorly worded (several cognitive testers reported that it made no sense as written). Therefore, item B</w:t>
      </w:r>
      <w:r>
        <w:rPr>
          <w:rFonts w:ascii="Times New Roman" w:hAnsi="Times New Roman" w:cs="Times New Roman"/>
          <w:sz w:val="24"/>
          <w:szCs w:val="24"/>
        </w:rPr>
        <w:t>7</w:t>
      </w:r>
      <w:r w:rsidRPr="009F58E1" w:rsidR="008A7326">
        <w:rPr>
          <w:rFonts w:ascii="Times New Roman" w:hAnsi="Times New Roman" w:cs="Times New Roman"/>
          <w:sz w:val="24"/>
          <w:szCs w:val="24"/>
        </w:rPr>
        <w:t xml:space="preserve"> </w:t>
      </w:r>
      <w:r w:rsidR="00F90B8C">
        <w:rPr>
          <w:rFonts w:ascii="Times New Roman" w:hAnsi="Times New Roman" w:cs="Times New Roman"/>
          <w:sz w:val="24"/>
          <w:szCs w:val="24"/>
        </w:rPr>
        <w:t>has</w:t>
      </w:r>
      <w:r w:rsidRPr="009F58E1" w:rsidR="00F90B8C">
        <w:rPr>
          <w:rFonts w:ascii="Times New Roman" w:hAnsi="Times New Roman" w:cs="Times New Roman"/>
          <w:sz w:val="24"/>
          <w:szCs w:val="24"/>
        </w:rPr>
        <w:t xml:space="preserve"> be</w:t>
      </w:r>
      <w:r w:rsidR="00F90B8C">
        <w:rPr>
          <w:rFonts w:ascii="Times New Roman" w:hAnsi="Times New Roman" w:cs="Times New Roman"/>
          <w:sz w:val="24"/>
          <w:szCs w:val="24"/>
        </w:rPr>
        <w:t>en</w:t>
      </w:r>
      <w:r w:rsidRPr="009F58E1" w:rsidR="00F90B8C">
        <w:rPr>
          <w:rFonts w:ascii="Times New Roman" w:hAnsi="Times New Roman" w:cs="Times New Roman"/>
          <w:sz w:val="24"/>
          <w:szCs w:val="24"/>
        </w:rPr>
        <w:t xml:space="preserve"> re</w:t>
      </w:r>
      <w:r w:rsidR="00F90B8C">
        <w:rPr>
          <w:rFonts w:ascii="Times New Roman" w:hAnsi="Times New Roman" w:cs="Times New Roman"/>
          <w:sz w:val="24"/>
          <w:szCs w:val="24"/>
        </w:rPr>
        <w:t>vised</w:t>
      </w:r>
      <w:r w:rsidRPr="009F58E1" w:rsidR="00F90B8C">
        <w:rPr>
          <w:rFonts w:ascii="Times New Roman" w:hAnsi="Times New Roman" w:cs="Times New Roman"/>
          <w:sz w:val="24"/>
          <w:szCs w:val="24"/>
        </w:rPr>
        <w:t xml:space="preserve"> </w:t>
      </w:r>
      <w:r w:rsidRPr="009F58E1" w:rsidR="008A7326">
        <w:rPr>
          <w:rFonts w:ascii="Times New Roman" w:hAnsi="Times New Roman" w:cs="Times New Roman"/>
          <w:sz w:val="24"/>
          <w:szCs w:val="24"/>
        </w:rPr>
        <w:t>by adding “at any time during the calendar year 202</w:t>
      </w:r>
      <w:r w:rsidR="00ED55C2">
        <w:rPr>
          <w:rFonts w:ascii="Times New Roman" w:hAnsi="Times New Roman" w:cs="Times New Roman"/>
          <w:sz w:val="24"/>
          <w:szCs w:val="24"/>
        </w:rPr>
        <w:t>4</w:t>
      </w:r>
      <w:r w:rsidRPr="009F58E1" w:rsidR="008A7326">
        <w:rPr>
          <w:rFonts w:ascii="Times New Roman" w:hAnsi="Times New Roman" w:cs="Times New Roman"/>
          <w:sz w:val="24"/>
          <w:szCs w:val="24"/>
        </w:rPr>
        <w:t xml:space="preserve"> (January 1, 202</w:t>
      </w:r>
      <w:r w:rsidR="00ED55C2">
        <w:rPr>
          <w:rFonts w:ascii="Times New Roman" w:hAnsi="Times New Roman" w:cs="Times New Roman"/>
          <w:sz w:val="24"/>
          <w:szCs w:val="24"/>
        </w:rPr>
        <w:t>4</w:t>
      </w:r>
      <w:r w:rsidRPr="009F58E1" w:rsidR="008A7326">
        <w:rPr>
          <w:rFonts w:ascii="Times New Roman" w:hAnsi="Times New Roman" w:cs="Times New Roman"/>
          <w:sz w:val="24"/>
          <w:szCs w:val="24"/>
        </w:rPr>
        <w:t xml:space="preserve"> – December 31, 202</w:t>
      </w:r>
      <w:r w:rsidR="00ED55C2">
        <w:rPr>
          <w:rFonts w:ascii="Times New Roman" w:hAnsi="Times New Roman" w:cs="Times New Roman"/>
          <w:sz w:val="24"/>
          <w:szCs w:val="24"/>
        </w:rPr>
        <w:t>4</w:t>
      </w:r>
      <w:r w:rsidRPr="009F58E1" w:rsidR="008A7326">
        <w:rPr>
          <w:rFonts w:ascii="Times New Roman" w:hAnsi="Times New Roman" w:cs="Times New Roman"/>
          <w:sz w:val="24"/>
          <w:szCs w:val="24"/>
        </w:rPr>
        <w:t>) in place of “as of December 31, 202</w:t>
      </w:r>
      <w:r w:rsidR="00ED55C2">
        <w:rPr>
          <w:rFonts w:ascii="Times New Roman" w:hAnsi="Times New Roman" w:cs="Times New Roman"/>
          <w:sz w:val="24"/>
          <w:szCs w:val="24"/>
        </w:rPr>
        <w:t>4</w:t>
      </w:r>
      <w:r w:rsidRPr="009F58E1" w:rsidR="008A7326">
        <w:rPr>
          <w:rFonts w:ascii="Times New Roman" w:hAnsi="Times New Roman" w:cs="Times New Roman"/>
          <w:sz w:val="24"/>
          <w:szCs w:val="24"/>
        </w:rPr>
        <w:t xml:space="preserve">”. </w:t>
      </w:r>
    </w:p>
    <w:p w:rsidR="008A7326" w:rsidRPr="00CF1AB7" w:rsidP="008A7326" w14:paraId="332A5687" w14:textId="6700B141">
      <w:pPr>
        <w:rPr>
          <w:rFonts w:ascii="Times New Roman" w:hAnsi="Times New Roman" w:cs="Times New Roman"/>
          <w:sz w:val="24"/>
          <w:szCs w:val="24"/>
        </w:rPr>
      </w:pPr>
      <w:r>
        <w:rPr>
          <w:rFonts w:ascii="Times New Roman" w:hAnsi="Times New Roman" w:cs="Times New Roman"/>
          <w:sz w:val="24"/>
          <w:szCs w:val="24"/>
        </w:rPr>
        <w:t>For item B10</w:t>
      </w:r>
      <w:r w:rsidRPr="009F58E1">
        <w:rPr>
          <w:rFonts w:ascii="Times New Roman" w:hAnsi="Times New Roman" w:cs="Times New Roman"/>
          <w:sz w:val="24"/>
          <w:szCs w:val="24"/>
        </w:rPr>
        <w:t xml:space="preserve"> based on cognitive test feedback, </w:t>
      </w:r>
      <w:r>
        <w:rPr>
          <w:rFonts w:ascii="Times New Roman" w:hAnsi="Times New Roman" w:cs="Times New Roman"/>
          <w:sz w:val="24"/>
          <w:szCs w:val="24"/>
        </w:rPr>
        <w:t xml:space="preserve">BJS </w:t>
      </w:r>
      <w:r w:rsidRPr="009F58E1">
        <w:rPr>
          <w:rFonts w:ascii="Times New Roman" w:hAnsi="Times New Roman" w:cs="Times New Roman"/>
          <w:sz w:val="24"/>
          <w:szCs w:val="24"/>
        </w:rPr>
        <w:t>add</w:t>
      </w:r>
      <w:r>
        <w:rPr>
          <w:rFonts w:ascii="Times New Roman" w:hAnsi="Times New Roman" w:cs="Times New Roman"/>
          <w:sz w:val="24"/>
          <w:szCs w:val="24"/>
        </w:rPr>
        <w:t>ed</w:t>
      </w:r>
      <w:r w:rsidRPr="009F58E1">
        <w:rPr>
          <w:rFonts w:ascii="Times New Roman" w:hAnsi="Times New Roman" w:cs="Times New Roman"/>
          <w:sz w:val="24"/>
          <w:szCs w:val="24"/>
        </w:rPr>
        <w:t xml:space="preserve"> another response option</w:t>
      </w:r>
      <w:r>
        <w:rPr>
          <w:rFonts w:ascii="Times New Roman" w:hAnsi="Times New Roman" w:cs="Times New Roman"/>
          <w:sz w:val="24"/>
          <w:szCs w:val="24"/>
        </w:rPr>
        <w:t xml:space="preserve"> (“Chair of state-level board or commission”), the question about the final authority that selects the chief public defender for the office.</w:t>
      </w:r>
    </w:p>
    <w:p w:rsidR="008A7326" w:rsidP="009F58E1" w14:paraId="59DCA257" w14:textId="18F78EB8">
      <w:pPr>
        <w:rPr>
          <w:rFonts w:ascii="Times New Roman" w:eastAsia="Times New Roman" w:hAnsi="Times New Roman" w:cs="Times New Roman"/>
          <w:i/>
          <w:iCs/>
          <w:color w:val="000000" w:themeColor="text1"/>
          <w:sz w:val="24"/>
          <w:szCs w:val="24"/>
        </w:rPr>
      </w:pPr>
      <w:r w:rsidRPr="00541843">
        <w:rPr>
          <w:rFonts w:ascii="Times New Roman" w:hAnsi="Times New Roman" w:cs="Times New Roman"/>
          <w:i/>
          <w:iCs/>
          <w:sz w:val="24"/>
          <w:szCs w:val="24"/>
        </w:rPr>
        <w:t>Caseloads.</w:t>
      </w:r>
      <w:r w:rsidRPr="00CF1AB7">
        <w:rPr>
          <w:rFonts w:ascii="Times New Roman" w:hAnsi="Times New Roman" w:cs="Times New Roman"/>
          <w:sz w:val="24"/>
          <w:szCs w:val="24"/>
        </w:rPr>
        <w:t xml:space="preserve"> </w:t>
      </w:r>
      <w:r>
        <w:rPr>
          <w:rFonts w:ascii="Times New Roman" w:hAnsi="Times New Roman" w:cs="Times New Roman"/>
          <w:sz w:val="24"/>
          <w:szCs w:val="24"/>
        </w:rPr>
        <w:t>Section C of the CPDO census records caseload information for public defender offices.</w:t>
      </w:r>
      <w:r w:rsidR="009F58E1">
        <w:rPr>
          <w:rFonts w:ascii="Times New Roman" w:hAnsi="Times New Roman" w:cs="Times New Roman"/>
          <w:sz w:val="24"/>
          <w:szCs w:val="24"/>
        </w:rPr>
        <w:t xml:space="preserve"> At the start of Section C, an instruction specifying the reference period has been added. </w:t>
      </w:r>
      <w:r>
        <w:rPr>
          <w:rFonts w:ascii="Times New Roman" w:hAnsi="Times New Roman" w:cs="Times New Roman"/>
          <w:sz w:val="24"/>
          <w:szCs w:val="24"/>
        </w:rPr>
        <w:t xml:space="preserve"> Based on feedback received about the inadequacy of response options for question C1, which asks about case types or categories, another category for </w:t>
      </w:r>
      <w:r w:rsidRPr="000A7A49">
        <w:rPr>
          <w:rFonts w:ascii="Times New Roman" w:eastAsia="Times New Roman" w:hAnsi="Times New Roman" w:cs="Times New Roman"/>
          <w:color w:val="000000" w:themeColor="text1"/>
          <w:sz w:val="24"/>
          <w:szCs w:val="24"/>
        </w:rPr>
        <w:t>‘life without parole’</w:t>
      </w:r>
      <w:r w:rsidR="00D347D0">
        <w:rPr>
          <w:rFonts w:ascii="Times New Roman" w:eastAsia="Times New Roman" w:hAnsi="Times New Roman" w:cs="Times New Roman"/>
          <w:color w:val="000000" w:themeColor="text1"/>
          <w:sz w:val="24"/>
          <w:szCs w:val="24"/>
        </w:rPr>
        <w:t xml:space="preserve"> </w:t>
      </w:r>
      <w:r w:rsidR="00546FE3">
        <w:rPr>
          <w:rFonts w:ascii="Times New Roman" w:eastAsia="Times New Roman" w:hAnsi="Times New Roman" w:cs="Times New Roman"/>
          <w:color w:val="000000" w:themeColor="text1"/>
          <w:sz w:val="24"/>
          <w:szCs w:val="24"/>
        </w:rPr>
        <w:t>was</w:t>
      </w:r>
      <w:r w:rsidR="00D347D0">
        <w:rPr>
          <w:rFonts w:ascii="Times New Roman" w:eastAsia="Times New Roman" w:hAnsi="Times New Roman" w:cs="Times New Roman"/>
          <w:color w:val="000000" w:themeColor="text1"/>
          <w:sz w:val="24"/>
          <w:szCs w:val="24"/>
        </w:rPr>
        <w:t xml:space="preserve"> added</w:t>
      </w:r>
      <w:r w:rsidRPr="000A7A49">
        <w:rPr>
          <w:rFonts w:ascii="Times New Roman" w:eastAsia="Times New Roman" w:hAnsi="Times New Roman" w:cs="Times New Roman"/>
          <w:color w:val="000000" w:themeColor="text1"/>
          <w:sz w:val="24"/>
          <w:szCs w:val="24"/>
        </w:rPr>
        <w:t xml:space="preserve">. </w:t>
      </w:r>
    </w:p>
    <w:p w:rsidR="008A7326" w:rsidP="00D347D0" w14:paraId="56AFAEF8" w14:textId="040CD841">
      <w:pPr>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dditional input from several cognitive test respondents</w:t>
      </w:r>
      <w:r w:rsidR="00D347D0">
        <w:rPr>
          <w:rFonts w:ascii="Times New Roman" w:eastAsia="Times New Roman" w:hAnsi="Times New Roman" w:cs="Times New Roman"/>
          <w:color w:val="000000" w:themeColor="text1"/>
          <w:sz w:val="24"/>
          <w:szCs w:val="24"/>
        </w:rPr>
        <w:t xml:space="preserve"> suggested</w:t>
      </w:r>
      <w:r>
        <w:rPr>
          <w:rFonts w:ascii="Times New Roman" w:eastAsia="Times New Roman" w:hAnsi="Times New Roman" w:cs="Times New Roman"/>
          <w:color w:val="000000" w:themeColor="text1"/>
          <w:sz w:val="24"/>
          <w:szCs w:val="24"/>
        </w:rPr>
        <w:t xml:space="preserve"> the need for </w:t>
      </w:r>
      <w:r>
        <w:rPr>
          <w:rFonts w:ascii="Times New Roman" w:eastAsia="Times New Roman" w:hAnsi="Times New Roman" w:cs="Times New Roman"/>
          <w:color w:val="000000" w:themeColor="text1"/>
          <w:sz w:val="24"/>
          <w:szCs w:val="24"/>
        </w:rPr>
        <w:t>another category (</w:t>
      </w:r>
      <w:r w:rsidRPr="00486F83">
        <w:rPr>
          <w:rFonts w:ascii="Times New Roman" w:eastAsia="Times New Roman" w:hAnsi="Times New Roman" w:cs="Times New Roman"/>
          <w:color w:val="000000" w:themeColor="text1"/>
          <w:sz w:val="24"/>
          <w:szCs w:val="24"/>
        </w:rPr>
        <w:t>’Failure to pay child support’</w:t>
      </w:r>
      <w:r>
        <w:rPr>
          <w:rFonts w:ascii="Times New Roman" w:eastAsia="Times New Roman" w:hAnsi="Times New Roman" w:cs="Times New Roman"/>
          <w:color w:val="000000" w:themeColor="text1"/>
          <w:sz w:val="24"/>
          <w:szCs w:val="24"/>
        </w:rPr>
        <w:t>)</w:t>
      </w:r>
      <w:r w:rsidRPr="00486F83">
        <w:rPr>
          <w:rFonts w:ascii="Times New Roman" w:eastAsia="Times New Roman" w:hAnsi="Times New Roman" w:cs="Times New Roman"/>
          <w:color w:val="000000" w:themeColor="text1"/>
          <w:sz w:val="24"/>
          <w:szCs w:val="24"/>
        </w:rPr>
        <w:t xml:space="preserve"> </w:t>
      </w:r>
      <w:r w:rsidR="00D347D0">
        <w:rPr>
          <w:rFonts w:ascii="Times New Roman" w:eastAsia="Times New Roman" w:hAnsi="Times New Roman" w:cs="Times New Roman"/>
          <w:color w:val="000000" w:themeColor="text1"/>
          <w:sz w:val="24"/>
          <w:szCs w:val="24"/>
        </w:rPr>
        <w:t>in</w:t>
      </w:r>
      <w:r w:rsidRPr="00486F83">
        <w:rPr>
          <w:rFonts w:ascii="Times New Roman" w:eastAsia="Times New Roman" w:hAnsi="Times New Roman" w:cs="Times New Roman"/>
          <w:color w:val="000000" w:themeColor="text1"/>
          <w:sz w:val="24"/>
          <w:szCs w:val="24"/>
        </w:rPr>
        <w:t xml:space="preserve"> the list of case types.</w:t>
      </w:r>
      <w:r>
        <w:rPr>
          <w:rFonts w:ascii="Times New Roman" w:eastAsia="Times New Roman" w:hAnsi="Times New Roman" w:cs="Times New Roman"/>
          <w:color w:val="000000" w:themeColor="text1"/>
          <w:sz w:val="24"/>
          <w:szCs w:val="24"/>
        </w:rPr>
        <w:t xml:space="preserve"> There was o</w:t>
      </w:r>
      <w:r w:rsidRPr="00486F83">
        <w:rPr>
          <w:rFonts w:ascii="Times New Roman" w:eastAsia="Times New Roman" w:hAnsi="Times New Roman" w:cs="Times New Roman"/>
          <w:color w:val="000000" w:themeColor="text1"/>
          <w:sz w:val="24"/>
          <w:szCs w:val="24"/>
        </w:rPr>
        <w:t xml:space="preserve">ne </w:t>
      </w:r>
      <w:r>
        <w:rPr>
          <w:rFonts w:ascii="Times New Roman" w:eastAsia="Times New Roman" w:hAnsi="Times New Roman" w:cs="Times New Roman"/>
          <w:color w:val="000000" w:themeColor="text1"/>
          <w:sz w:val="24"/>
          <w:szCs w:val="24"/>
        </w:rPr>
        <w:t xml:space="preserve">cognitive test </w:t>
      </w:r>
      <w:r w:rsidRPr="00486F83">
        <w:rPr>
          <w:rFonts w:ascii="Times New Roman" w:eastAsia="Times New Roman" w:hAnsi="Times New Roman" w:cs="Times New Roman"/>
          <w:color w:val="000000" w:themeColor="text1"/>
          <w:sz w:val="24"/>
          <w:szCs w:val="24"/>
        </w:rPr>
        <w:t xml:space="preserve">respondent </w:t>
      </w:r>
      <w:r>
        <w:rPr>
          <w:rFonts w:ascii="Times New Roman" w:eastAsia="Times New Roman" w:hAnsi="Times New Roman" w:cs="Times New Roman"/>
          <w:color w:val="000000" w:themeColor="text1"/>
          <w:sz w:val="24"/>
          <w:szCs w:val="24"/>
        </w:rPr>
        <w:t xml:space="preserve">who </w:t>
      </w:r>
      <w:r w:rsidRPr="00486F83">
        <w:rPr>
          <w:rFonts w:ascii="Times New Roman" w:eastAsia="Times New Roman" w:hAnsi="Times New Roman" w:cs="Times New Roman"/>
          <w:color w:val="000000" w:themeColor="text1"/>
          <w:sz w:val="24"/>
          <w:szCs w:val="24"/>
        </w:rPr>
        <w:t>suggested adding ‘Children in Need of Supervision’ (CHINS)</w:t>
      </w:r>
      <w:r>
        <w:rPr>
          <w:rFonts w:ascii="Times New Roman" w:eastAsia="Times New Roman" w:hAnsi="Times New Roman" w:cs="Times New Roman"/>
          <w:color w:val="000000" w:themeColor="text1"/>
          <w:sz w:val="24"/>
          <w:szCs w:val="24"/>
        </w:rPr>
        <w:t xml:space="preserve"> as a separate category</w:t>
      </w:r>
      <w:r w:rsidRPr="00486F83">
        <w:rPr>
          <w:rFonts w:ascii="Times New Roman" w:eastAsia="Times New Roman" w:hAnsi="Times New Roman" w:cs="Times New Roman"/>
          <w:color w:val="000000" w:themeColor="text1"/>
          <w:sz w:val="24"/>
          <w:szCs w:val="24"/>
        </w:rPr>
        <w:t xml:space="preserve">, but </w:t>
      </w:r>
      <w:r w:rsidR="00D347D0">
        <w:rPr>
          <w:rFonts w:ascii="Times New Roman" w:eastAsia="Times New Roman" w:hAnsi="Times New Roman" w:cs="Times New Roman"/>
          <w:color w:val="000000" w:themeColor="text1"/>
          <w:sz w:val="24"/>
          <w:szCs w:val="24"/>
        </w:rPr>
        <w:t>the team</w:t>
      </w:r>
      <w:r w:rsidRPr="00486F83">
        <w:rPr>
          <w:rFonts w:ascii="Times New Roman" w:eastAsia="Times New Roman" w:hAnsi="Times New Roman" w:cs="Times New Roman"/>
          <w:color w:val="000000" w:themeColor="text1"/>
          <w:sz w:val="24"/>
          <w:szCs w:val="24"/>
        </w:rPr>
        <w:t xml:space="preserve"> declined to </w:t>
      </w:r>
      <w:r>
        <w:rPr>
          <w:rFonts w:ascii="Times New Roman" w:eastAsia="Times New Roman" w:hAnsi="Times New Roman" w:cs="Times New Roman"/>
          <w:color w:val="000000" w:themeColor="text1"/>
          <w:sz w:val="24"/>
          <w:szCs w:val="24"/>
        </w:rPr>
        <w:t>do</w:t>
      </w:r>
      <w:r w:rsidRPr="00486F83">
        <w:rPr>
          <w:rFonts w:ascii="Times New Roman" w:eastAsia="Times New Roman" w:hAnsi="Times New Roman" w:cs="Times New Roman"/>
          <w:color w:val="000000" w:themeColor="text1"/>
          <w:sz w:val="24"/>
          <w:szCs w:val="24"/>
        </w:rPr>
        <w:t xml:space="preserve"> this because </w:t>
      </w:r>
      <w:r>
        <w:rPr>
          <w:rFonts w:ascii="Times New Roman" w:eastAsia="Times New Roman" w:hAnsi="Times New Roman" w:cs="Times New Roman"/>
          <w:color w:val="000000" w:themeColor="text1"/>
          <w:sz w:val="24"/>
          <w:szCs w:val="24"/>
        </w:rPr>
        <w:t>CHINS</w:t>
      </w:r>
      <w:r w:rsidRPr="00486F83">
        <w:rPr>
          <w:rFonts w:ascii="Times New Roman" w:eastAsia="Times New Roman" w:hAnsi="Times New Roman" w:cs="Times New Roman"/>
          <w:color w:val="000000" w:themeColor="text1"/>
          <w:sz w:val="24"/>
          <w:szCs w:val="24"/>
        </w:rPr>
        <w:t xml:space="preserve"> is not a universally understood term</w:t>
      </w:r>
      <w:r>
        <w:rPr>
          <w:rFonts w:ascii="Times New Roman" w:eastAsia="Times New Roman" w:hAnsi="Times New Roman" w:cs="Times New Roman"/>
          <w:color w:val="000000" w:themeColor="text1"/>
          <w:sz w:val="24"/>
          <w:szCs w:val="24"/>
        </w:rPr>
        <w:t xml:space="preserve"> across the country</w:t>
      </w:r>
      <w:r w:rsidRPr="00486F83">
        <w:rPr>
          <w:rFonts w:ascii="Times New Roman" w:eastAsia="Times New Roman" w:hAnsi="Times New Roman" w:cs="Times New Roman"/>
          <w:color w:val="000000" w:themeColor="text1"/>
          <w:sz w:val="24"/>
          <w:szCs w:val="24"/>
        </w:rPr>
        <w:t xml:space="preserve">, and </w:t>
      </w:r>
      <w:r>
        <w:rPr>
          <w:rFonts w:ascii="Times New Roman" w:eastAsia="Times New Roman" w:hAnsi="Times New Roman" w:cs="Times New Roman"/>
          <w:color w:val="000000" w:themeColor="text1"/>
          <w:sz w:val="24"/>
          <w:szCs w:val="24"/>
        </w:rPr>
        <w:t xml:space="preserve">it </w:t>
      </w:r>
      <w:r w:rsidRPr="00486F83">
        <w:rPr>
          <w:rFonts w:ascii="Times New Roman" w:eastAsia="Times New Roman" w:hAnsi="Times New Roman" w:cs="Times New Roman"/>
          <w:color w:val="000000" w:themeColor="text1"/>
          <w:sz w:val="24"/>
          <w:szCs w:val="24"/>
        </w:rPr>
        <w:t>is redundant with other categories.</w:t>
      </w:r>
      <w:r>
        <w:rPr>
          <w:rFonts w:ascii="Times New Roman" w:eastAsia="Times New Roman" w:hAnsi="Times New Roman" w:cs="Times New Roman"/>
          <w:color w:val="000000" w:themeColor="text1"/>
          <w:sz w:val="24"/>
          <w:szCs w:val="24"/>
        </w:rPr>
        <w:t xml:space="preserve"> </w:t>
      </w:r>
      <w:r w:rsidR="00D347D0">
        <w:rPr>
          <w:rFonts w:ascii="Times New Roman" w:eastAsia="Times New Roman" w:hAnsi="Times New Roman" w:cs="Times New Roman"/>
          <w:color w:val="000000" w:themeColor="text1"/>
          <w:sz w:val="24"/>
          <w:szCs w:val="24"/>
        </w:rPr>
        <w:t>For consistency with</w:t>
      </w:r>
      <w:r>
        <w:rPr>
          <w:rFonts w:ascii="Times New Roman" w:eastAsia="Times New Roman" w:hAnsi="Times New Roman" w:cs="Times New Roman"/>
          <w:color w:val="000000" w:themeColor="text1"/>
          <w:sz w:val="24"/>
          <w:szCs w:val="24"/>
        </w:rPr>
        <w:t xml:space="preserve"> C1</w:t>
      </w:r>
      <w:r w:rsidR="00D347D0">
        <w:rPr>
          <w:rFonts w:ascii="Times New Roman" w:eastAsia="Times New Roman" w:hAnsi="Times New Roman" w:cs="Times New Roman"/>
          <w:color w:val="000000" w:themeColor="text1"/>
          <w:sz w:val="24"/>
          <w:szCs w:val="24"/>
        </w:rPr>
        <w:t>,</w:t>
      </w:r>
      <w:r w:rsidR="00D347D0">
        <w:rPr>
          <w:rFonts w:ascii="Times New Roman" w:hAnsi="Times New Roman" w:cs="Times New Roman"/>
          <w:sz w:val="24"/>
          <w:szCs w:val="24"/>
        </w:rPr>
        <w:t xml:space="preserve"> </w:t>
      </w:r>
      <w:r w:rsidRPr="000A7A49" w:rsidR="00D347D0">
        <w:rPr>
          <w:rFonts w:ascii="Times New Roman" w:eastAsia="Times New Roman" w:hAnsi="Times New Roman" w:cs="Times New Roman"/>
          <w:color w:val="000000" w:themeColor="text1"/>
          <w:sz w:val="24"/>
          <w:szCs w:val="24"/>
        </w:rPr>
        <w:t>‘life without parole’</w:t>
      </w:r>
      <w:r w:rsidR="00D347D0">
        <w:rPr>
          <w:rFonts w:ascii="Times New Roman" w:eastAsia="Times New Roman" w:hAnsi="Times New Roman" w:cs="Times New Roman"/>
          <w:color w:val="000000" w:themeColor="text1"/>
          <w:sz w:val="24"/>
          <w:szCs w:val="24"/>
        </w:rPr>
        <w:t xml:space="preserve"> and ‘failure to pay child support’ </w:t>
      </w:r>
      <w:r w:rsidR="00546FE3">
        <w:rPr>
          <w:rFonts w:ascii="Times New Roman" w:eastAsia="Times New Roman" w:hAnsi="Times New Roman" w:cs="Times New Roman"/>
          <w:color w:val="000000" w:themeColor="text1"/>
          <w:sz w:val="24"/>
          <w:szCs w:val="24"/>
        </w:rPr>
        <w:t>were</w:t>
      </w:r>
      <w:r w:rsidR="00D347D0">
        <w:rPr>
          <w:rFonts w:ascii="Times New Roman" w:eastAsia="Times New Roman" w:hAnsi="Times New Roman" w:cs="Times New Roman"/>
          <w:color w:val="000000" w:themeColor="text1"/>
          <w:sz w:val="24"/>
          <w:szCs w:val="24"/>
        </w:rPr>
        <w:t xml:space="preserve"> added to </w:t>
      </w:r>
      <w:r>
        <w:rPr>
          <w:rFonts w:ascii="Times New Roman" w:eastAsia="Times New Roman" w:hAnsi="Times New Roman" w:cs="Times New Roman"/>
          <w:color w:val="000000" w:themeColor="text1"/>
          <w:sz w:val="24"/>
          <w:szCs w:val="24"/>
        </w:rPr>
        <w:t>item C3 ask</w:t>
      </w:r>
      <w:r w:rsidR="00D347D0">
        <w:rPr>
          <w:rFonts w:ascii="Times New Roman" w:eastAsia="Times New Roman" w:hAnsi="Times New Roman" w:cs="Times New Roman"/>
          <w:color w:val="000000" w:themeColor="text1"/>
          <w:sz w:val="24"/>
          <w:szCs w:val="24"/>
        </w:rPr>
        <w:t>ing</w:t>
      </w:r>
      <w:r>
        <w:rPr>
          <w:rFonts w:ascii="Times New Roman" w:eastAsia="Times New Roman" w:hAnsi="Times New Roman" w:cs="Times New Roman"/>
          <w:color w:val="000000" w:themeColor="text1"/>
          <w:sz w:val="24"/>
          <w:szCs w:val="24"/>
        </w:rPr>
        <w:t xml:space="preserve"> for the numbers of cases received </w:t>
      </w:r>
      <w:r w:rsidR="00D347D0">
        <w:rPr>
          <w:rFonts w:ascii="Times New Roman" w:eastAsia="Times New Roman" w:hAnsi="Times New Roman" w:cs="Times New Roman"/>
          <w:color w:val="000000" w:themeColor="text1"/>
          <w:sz w:val="24"/>
          <w:szCs w:val="24"/>
        </w:rPr>
        <w:t>by</w:t>
      </w:r>
      <w:r>
        <w:rPr>
          <w:rFonts w:ascii="Times New Roman" w:eastAsia="Times New Roman" w:hAnsi="Times New Roman" w:cs="Times New Roman"/>
          <w:color w:val="000000" w:themeColor="text1"/>
          <w:sz w:val="24"/>
          <w:szCs w:val="24"/>
        </w:rPr>
        <w:t xml:space="preserve"> case type</w:t>
      </w:r>
      <w:r w:rsidR="00D347D0">
        <w:rPr>
          <w:rFonts w:ascii="Times New Roman" w:eastAsia="Times New Roman" w:hAnsi="Times New Roman" w:cs="Times New Roman"/>
          <w:color w:val="000000" w:themeColor="text1"/>
          <w:sz w:val="24"/>
          <w:szCs w:val="24"/>
        </w:rPr>
        <w:t>.</w:t>
      </w:r>
      <w:r w:rsidRPr="000A7A49">
        <w:rPr>
          <w:rFonts w:ascii="Times New Roman" w:eastAsia="Times New Roman" w:hAnsi="Times New Roman" w:cs="Times New Roman"/>
          <w:color w:val="000000" w:themeColor="text1"/>
          <w:sz w:val="24"/>
          <w:szCs w:val="24"/>
        </w:rPr>
        <w:t xml:space="preserve"> </w:t>
      </w:r>
    </w:p>
    <w:p w:rsidR="008A7326" w:rsidRPr="00167DEC" w:rsidP="008A7326" w14:paraId="7D4A98F9" w14:textId="2E6C8F28">
      <w:pPr>
        <w:rPr>
          <w:rFonts w:ascii="Times New Roman" w:hAnsi="Times New Roman" w:cs="Times New Roman"/>
          <w:sz w:val="24"/>
          <w:szCs w:val="24"/>
        </w:rPr>
      </w:pPr>
      <w:r>
        <w:rPr>
          <w:rFonts w:ascii="Times New Roman" w:hAnsi="Times New Roman" w:cs="Times New Roman"/>
          <w:i/>
          <w:iCs/>
          <w:sz w:val="24"/>
          <w:szCs w:val="24"/>
        </w:rPr>
        <w:t>Eligibility for Services.</w:t>
      </w:r>
      <w:r w:rsidRPr="003D3E8D">
        <w:rPr>
          <w:rFonts w:ascii="Times New Roman" w:hAnsi="Times New Roman" w:cs="Times New Roman"/>
          <w:sz w:val="24"/>
          <w:szCs w:val="24"/>
        </w:rPr>
        <w:t xml:space="preserve"> </w:t>
      </w:r>
      <w:r>
        <w:rPr>
          <w:rFonts w:ascii="Times New Roman" w:hAnsi="Times New Roman" w:cs="Times New Roman"/>
          <w:sz w:val="24"/>
          <w:szCs w:val="24"/>
        </w:rPr>
        <w:t>Section D of the census collects information from p</w:t>
      </w:r>
      <w:r w:rsidR="00275A11">
        <w:rPr>
          <w:rFonts w:ascii="Times New Roman" w:hAnsi="Times New Roman" w:cs="Times New Roman"/>
          <w:sz w:val="24"/>
          <w:szCs w:val="24"/>
        </w:rPr>
        <w:t>ublic defender</w:t>
      </w:r>
      <w:r>
        <w:rPr>
          <w:rFonts w:ascii="Times New Roman" w:hAnsi="Times New Roman" w:cs="Times New Roman"/>
          <w:sz w:val="24"/>
          <w:szCs w:val="24"/>
        </w:rPr>
        <w:t xml:space="preserve"> offices about eligibility for services. As a result of cognitive test feedback we received, for the first question in this section (item D1), </w:t>
      </w:r>
      <w:r w:rsidR="00546FE3">
        <w:rPr>
          <w:rFonts w:ascii="Times New Roman" w:hAnsi="Times New Roman" w:cs="Times New Roman"/>
          <w:sz w:val="24"/>
          <w:szCs w:val="24"/>
        </w:rPr>
        <w:t>BJS added a</w:t>
      </w:r>
      <w:r>
        <w:rPr>
          <w:rFonts w:ascii="Times New Roman" w:hAnsi="Times New Roman" w:cs="Times New Roman"/>
          <w:sz w:val="24"/>
          <w:szCs w:val="24"/>
        </w:rPr>
        <w:t xml:space="preserve"> third response option (</w:t>
      </w:r>
      <w:r>
        <w:rPr>
          <w:rFonts w:ascii="Times New Roman" w:eastAsia="Times New Roman" w:hAnsi="Times New Roman" w:cs="Times New Roman"/>
          <w:color w:val="000000" w:themeColor="text1"/>
          <w:sz w:val="24"/>
          <w:szCs w:val="24"/>
        </w:rPr>
        <w:t>“</w:t>
      </w:r>
      <w:r w:rsidRPr="00F14462">
        <w:rPr>
          <w:rFonts w:ascii="Times New Roman" w:eastAsia="Times New Roman" w:hAnsi="Times New Roman" w:cs="Times New Roman"/>
          <w:color w:val="000000" w:themeColor="text1"/>
          <w:sz w:val="24"/>
          <w:szCs w:val="24"/>
        </w:rPr>
        <w:t>Not applicable – no screening process is used for persons seeking representation from our office</w:t>
      </w:r>
      <w:r>
        <w:rPr>
          <w:rFonts w:ascii="Times New Roman" w:eastAsia="Times New Roman" w:hAnsi="Times New Roman" w:cs="Times New Roman"/>
          <w:color w:val="000000" w:themeColor="text1"/>
          <w:sz w:val="24"/>
          <w:szCs w:val="24"/>
        </w:rPr>
        <w:t>”).</w:t>
      </w:r>
      <w:r>
        <w:rPr>
          <w:rFonts w:ascii="Times New Roman" w:hAnsi="Times New Roman" w:cs="Times New Roman"/>
          <w:sz w:val="24"/>
          <w:szCs w:val="24"/>
        </w:rPr>
        <w:t xml:space="preserve"> </w:t>
      </w:r>
      <w:r w:rsidRPr="00F14462">
        <w:rPr>
          <w:rFonts w:ascii="Times New Roman" w:eastAsia="Times New Roman" w:hAnsi="Times New Roman" w:cs="Times New Roman"/>
          <w:color w:val="000000" w:themeColor="text1"/>
          <w:sz w:val="24"/>
          <w:szCs w:val="24"/>
        </w:rPr>
        <w:t xml:space="preserve">Any </w:t>
      </w:r>
      <w:r>
        <w:rPr>
          <w:rFonts w:ascii="Times New Roman" w:eastAsia="Times New Roman" w:hAnsi="Times New Roman" w:cs="Times New Roman"/>
          <w:color w:val="000000" w:themeColor="text1"/>
          <w:sz w:val="24"/>
          <w:szCs w:val="24"/>
        </w:rPr>
        <w:t>respondent</w:t>
      </w:r>
      <w:r w:rsidRPr="00F14462">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who </w:t>
      </w:r>
      <w:r w:rsidRPr="00F14462">
        <w:rPr>
          <w:rFonts w:ascii="Times New Roman" w:eastAsia="Times New Roman" w:hAnsi="Times New Roman" w:cs="Times New Roman"/>
          <w:color w:val="000000" w:themeColor="text1"/>
          <w:sz w:val="24"/>
          <w:szCs w:val="24"/>
        </w:rPr>
        <w:t>select</w:t>
      </w:r>
      <w:r>
        <w:rPr>
          <w:rFonts w:ascii="Times New Roman" w:eastAsia="Times New Roman" w:hAnsi="Times New Roman" w:cs="Times New Roman"/>
          <w:color w:val="000000" w:themeColor="text1"/>
          <w:sz w:val="24"/>
          <w:szCs w:val="24"/>
        </w:rPr>
        <w:t>s</w:t>
      </w:r>
      <w:r w:rsidRPr="00F14462">
        <w:rPr>
          <w:rFonts w:ascii="Times New Roman" w:eastAsia="Times New Roman" w:hAnsi="Times New Roman" w:cs="Times New Roman"/>
          <w:color w:val="000000" w:themeColor="text1"/>
          <w:sz w:val="24"/>
          <w:szCs w:val="24"/>
        </w:rPr>
        <w:t xml:space="preserve"> ‘Not applicable’ w</w:t>
      </w:r>
      <w:r>
        <w:rPr>
          <w:rFonts w:ascii="Times New Roman" w:eastAsia="Times New Roman" w:hAnsi="Times New Roman" w:cs="Times New Roman"/>
          <w:color w:val="000000" w:themeColor="text1"/>
          <w:sz w:val="24"/>
          <w:szCs w:val="24"/>
        </w:rPr>
        <w:t>ill</w:t>
      </w:r>
      <w:r w:rsidRPr="00F14462">
        <w:rPr>
          <w:rFonts w:ascii="Times New Roman" w:eastAsia="Times New Roman" w:hAnsi="Times New Roman" w:cs="Times New Roman"/>
          <w:color w:val="000000" w:themeColor="text1"/>
          <w:sz w:val="24"/>
          <w:szCs w:val="24"/>
        </w:rPr>
        <w:t xml:space="preserve"> skip</w:t>
      </w:r>
      <w:r>
        <w:rPr>
          <w:rFonts w:ascii="Times New Roman" w:eastAsia="Times New Roman" w:hAnsi="Times New Roman" w:cs="Times New Roman"/>
          <w:color w:val="000000" w:themeColor="text1"/>
          <w:sz w:val="24"/>
          <w:szCs w:val="24"/>
        </w:rPr>
        <w:t xml:space="preserve"> </w:t>
      </w:r>
      <w:r w:rsidRPr="00F14462">
        <w:rPr>
          <w:rFonts w:ascii="Times New Roman" w:eastAsia="Times New Roman" w:hAnsi="Times New Roman" w:cs="Times New Roman"/>
          <w:color w:val="000000" w:themeColor="text1"/>
          <w:sz w:val="24"/>
          <w:szCs w:val="24"/>
        </w:rPr>
        <w:t>to question D5.</w:t>
      </w:r>
      <w:r>
        <w:rPr>
          <w:rFonts w:ascii="Times New Roman" w:eastAsia="Times New Roman" w:hAnsi="Times New Roman" w:cs="Times New Roman"/>
          <w:color w:val="000000" w:themeColor="text1"/>
          <w:sz w:val="24"/>
          <w:szCs w:val="24"/>
        </w:rPr>
        <w:t xml:space="preserve"> </w:t>
      </w:r>
      <w:r w:rsidR="00546FE3">
        <w:rPr>
          <w:rFonts w:ascii="Times New Roman" w:eastAsia="Times New Roman" w:hAnsi="Times New Roman" w:cs="Times New Roman"/>
          <w:color w:val="000000" w:themeColor="text1"/>
          <w:sz w:val="24"/>
          <w:szCs w:val="24"/>
        </w:rPr>
        <w:t>F</w:t>
      </w:r>
      <w:r>
        <w:rPr>
          <w:rFonts w:ascii="Times New Roman" w:eastAsia="Times New Roman" w:hAnsi="Times New Roman" w:cs="Times New Roman"/>
          <w:color w:val="000000" w:themeColor="text1"/>
          <w:sz w:val="24"/>
          <w:szCs w:val="24"/>
        </w:rPr>
        <w:t>or item D2 (financial eligibility criteria), another column (“</w:t>
      </w:r>
      <w:r w:rsidRPr="00F14462">
        <w:rPr>
          <w:rFonts w:ascii="Times New Roman" w:eastAsia="Times New Roman" w:hAnsi="Times New Roman" w:cs="Times New Roman"/>
          <w:color w:val="000000" w:themeColor="text1"/>
          <w:sz w:val="24"/>
          <w:szCs w:val="24"/>
        </w:rPr>
        <w:t>Some courts consider, others do not</w:t>
      </w:r>
      <w:r>
        <w:rPr>
          <w:rFonts w:ascii="Times New Roman" w:eastAsia="Times New Roman" w:hAnsi="Times New Roman" w:cs="Times New Roman"/>
          <w:color w:val="000000" w:themeColor="text1"/>
          <w:sz w:val="24"/>
          <w:szCs w:val="24"/>
        </w:rPr>
        <w:t>”)</w:t>
      </w:r>
      <w:r w:rsidRPr="00F14462">
        <w:rPr>
          <w:rFonts w:ascii="Times New Roman" w:eastAsia="Times New Roman" w:hAnsi="Times New Roman" w:cs="Times New Roman"/>
          <w:color w:val="000000" w:themeColor="text1"/>
          <w:sz w:val="24"/>
          <w:szCs w:val="24"/>
        </w:rPr>
        <w:t xml:space="preserve"> </w:t>
      </w:r>
      <w:r w:rsidR="00546FE3">
        <w:rPr>
          <w:rFonts w:ascii="Times New Roman" w:eastAsia="Times New Roman" w:hAnsi="Times New Roman" w:cs="Times New Roman"/>
          <w:color w:val="000000" w:themeColor="text1"/>
          <w:sz w:val="24"/>
          <w:szCs w:val="24"/>
        </w:rPr>
        <w:t>was</w:t>
      </w:r>
      <w:r w:rsidR="00275A11">
        <w:rPr>
          <w:rFonts w:ascii="Times New Roman" w:eastAsia="Times New Roman" w:hAnsi="Times New Roman" w:cs="Times New Roman"/>
          <w:color w:val="000000" w:themeColor="text1"/>
          <w:sz w:val="24"/>
          <w:szCs w:val="24"/>
        </w:rPr>
        <w:t xml:space="preserve"> included </w:t>
      </w:r>
      <w:r w:rsidRPr="00F14462">
        <w:rPr>
          <w:rFonts w:ascii="Times New Roman" w:eastAsia="Times New Roman" w:hAnsi="Times New Roman" w:cs="Times New Roman"/>
          <w:color w:val="000000" w:themeColor="text1"/>
          <w:sz w:val="24"/>
          <w:szCs w:val="24"/>
        </w:rPr>
        <w:t>to account for variety within jurisdictions in eligibility determination procedures.</w:t>
      </w:r>
      <w:r>
        <w:rPr>
          <w:rFonts w:ascii="Times New Roman" w:eastAsia="Times New Roman" w:hAnsi="Times New Roman" w:cs="Times New Roman"/>
          <w:color w:val="000000" w:themeColor="text1"/>
          <w:sz w:val="24"/>
          <w:szCs w:val="24"/>
        </w:rPr>
        <w:t xml:space="preserve"> This change </w:t>
      </w:r>
      <w:r w:rsidR="00546FE3">
        <w:rPr>
          <w:rFonts w:ascii="Times New Roman" w:eastAsia="Times New Roman" w:hAnsi="Times New Roman" w:cs="Times New Roman"/>
          <w:color w:val="000000" w:themeColor="text1"/>
          <w:sz w:val="24"/>
          <w:szCs w:val="24"/>
        </w:rPr>
        <w:t>was</w:t>
      </w:r>
      <w:r>
        <w:rPr>
          <w:rFonts w:ascii="Times New Roman" w:eastAsia="Times New Roman" w:hAnsi="Times New Roman" w:cs="Times New Roman"/>
          <w:color w:val="000000" w:themeColor="text1"/>
          <w:sz w:val="24"/>
          <w:szCs w:val="24"/>
        </w:rPr>
        <w:t xml:space="preserve"> made based on recommendations from cognitive test respondents. </w:t>
      </w:r>
      <w:r w:rsidR="00546FE3">
        <w:rPr>
          <w:rFonts w:ascii="Times New Roman" w:eastAsia="Times New Roman" w:hAnsi="Times New Roman" w:cs="Times New Roman"/>
          <w:color w:val="000000" w:themeColor="text1"/>
          <w:sz w:val="24"/>
          <w:szCs w:val="24"/>
        </w:rPr>
        <w:t>BJS also added</w:t>
      </w:r>
      <w:r>
        <w:rPr>
          <w:rFonts w:ascii="Times New Roman" w:eastAsia="Times New Roman" w:hAnsi="Times New Roman" w:cs="Times New Roman"/>
          <w:color w:val="000000" w:themeColor="text1"/>
          <w:sz w:val="24"/>
          <w:szCs w:val="24"/>
        </w:rPr>
        <w:t xml:space="preserve"> the phrase “</w:t>
      </w:r>
      <w:r w:rsidRPr="00F14462">
        <w:rPr>
          <w:rFonts w:ascii="Times New Roman" w:eastAsia="Times New Roman" w:hAnsi="Times New Roman" w:cs="Times New Roman"/>
          <w:color w:val="000000" w:themeColor="text1"/>
          <w:sz w:val="24"/>
          <w:szCs w:val="24"/>
        </w:rPr>
        <w:t>to the best of your knowledge</w:t>
      </w:r>
      <w:r>
        <w:rPr>
          <w:rFonts w:ascii="Times New Roman" w:eastAsia="Times New Roman" w:hAnsi="Times New Roman" w:cs="Times New Roman"/>
          <w:color w:val="000000" w:themeColor="text1"/>
          <w:sz w:val="24"/>
          <w:szCs w:val="24"/>
        </w:rPr>
        <w:t>”</w:t>
      </w:r>
      <w:r w:rsidRPr="00F14462">
        <w:rPr>
          <w:rFonts w:ascii="Times New Roman" w:eastAsia="Times New Roman" w:hAnsi="Times New Roman" w:cs="Times New Roman"/>
          <w:color w:val="000000" w:themeColor="text1"/>
          <w:sz w:val="24"/>
          <w:szCs w:val="24"/>
        </w:rPr>
        <w:t xml:space="preserve"> to the </w:t>
      </w:r>
      <w:r>
        <w:rPr>
          <w:rFonts w:ascii="Times New Roman" w:eastAsia="Times New Roman" w:hAnsi="Times New Roman" w:cs="Times New Roman"/>
          <w:color w:val="000000" w:themeColor="text1"/>
          <w:sz w:val="24"/>
          <w:szCs w:val="24"/>
        </w:rPr>
        <w:t xml:space="preserve">D2 </w:t>
      </w:r>
      <w:r w:rsidRPr="00F14462">
        <w:rPr>
          <w:rFonts w:ascii="Times New Roman" w:eastAsia="Times New Roman" w:hAnsi="Times New Roman" w:cs="Times New Roman"/>
          <w:color w:val="000000" w:themeColor="text1"/>
          <w:sz w:val="24"/>
          <w:szCs w:val="24"/>
        </w:rPr>
        <w:t>question text</w:t>
      </w:r>
      <w:r>
        <w:rPr>
          <w:rFonts w:ascii="Times New Roman" w:eastAsia="Times New Roman" w:hAnsi="Times New Roman" w:cs="Times New Roman"/>
          <w:color w:val="000000" w:themeColor="text1"/>
          <w:sz w:val="24"/>
          <w:szCs w:val="24"/>
        </w:rPr>
        <w:t xml:space="preserve">.  Finally, based on feedback from respondents, </w:t>
      </w:r>
      <w:r w:rsidR="00546FE3">
        <w:rPr>
          <w:rFonts w:ascii="Times New Roman" w:eastAsia="Times New Roman" w:hAnsi="Times New Roman" w:cs="Times New Roman"/>
          <w:color w:val="000000" w:themeColor="text1"/>
          <w:sz w:val="24"/>
          <w:szCs w:val="24"/>
        </w:rPr>
        <w:t>BJS</w:t>
      </w:r>
      <w:r>
        <w:rPr>
          <w:rFonts w:ascii="Times New Roman" w:eastAsia="Times New Roman" w:hAnsi="Times New Roman" w:cs="Times New Roman"/>
          <w:color w:val="000000" w:themeColor="text1"/>
          <w:sz w:val="24"/>
          <w:szCs w:val="24"/>
        </w:rPr>
        <w:t xml:space="preserve"> rephras</w:t>
      </w:r>
      <w:r w:rsidR="00546FE3">
        <w:rPr>
          <w:rFonts w:ascii="Times New Roman" w:eastAsia="Times New Roman" w:hAnsi="Times New Roman" w:cs="Times New Roman"/>
          <w:color w:val="000000" w:themeColor="text1"/>
          <w:sz w:val="24"/>
          <w:szCs w:val="24"/>
        </w:rPr>
        <w:t>ed</w:t>
      </w:r>
      <w:r>
        <w:rPr>
          <w:rFonts w:ascii="Times New Roman" w:eastAsia="Times New Roman" w:hAnsi="Times New Roman" w:cs="Times New Roman"/>
          <w:color w:val="000000" w:themeColor="text1"/>
          <w:sz w:val="24"/>
          <w:szCs w:val="24"/>
        </w:rPr>
        <w:t xml:space="preserve"> question D4 </w:t>
      </w:r>
      <w:r w:rsidRPr="00167DEC">
        <w:rPr>
          <w:rFonts w:ascii="Times New Roman" w:hAnsi="Times New Roman" w:cs="Times New Roman"/>
          <w:sz w:val="24"/>
          <w:szCs w:val="24"/>
        </w:rPr>
        <w:t xml:space="preserve">to focus on how a person </w:t>
      </w:r>
      <w:r w:rsidRPr="00167DEC">
        <w:rPr>
          <w:rFonts w:ascii="Times New Roman" w:hAnsi="Times New Roman" w:cs="Times New Roman"/>
          <w:i/>
          <w:iCs/>
          <w:sz w:val="24"/>
          <w:szCs w:val="24"/>
        </w:rPr>
        <w:t xml:space="preserve">qualifies </w:t>
      </w:r>
      <w:r w:rsidRPr="00167DEC">
        <w:rPr>
          <w:rFonts w:ascii="Times New Roman" w:hAnsi="Times New Roman" w:cs="Times New Roman"/>
          <w:sz w:val="24"/>
          <w:szCs w:val="24"/>
        </w:rPr>
        <w:t xml:space="preserve">for counsel rather than </w:t>
      </w:r>
      <w:r>
        <w:rPr>
          <w:rFonts w:ascii="Times New Roman" w:hAnsi="Times New Roman" w:cs="Times New Roman"/>
          <w:sz w:val="24"/>
          <w:szCs w:val="24"/>
        </w:rPr>
        <w:t xml:space="preserve">how a person </w:t>
      </w:r>
      <w:r w:rsidRPr="00167DEC">
        <w:rPr>
          <w:rFonts w:ascii="Times New Roman" w:hAnsi="Times New Roman" w:cs="Times New Roman"/>
          <w:sz w:val="24"/>
          <w:szCs w:val="24"/>
        </w:rPr>
        <w:t>is denied counsel.</w:t>
      </w:r>
      <w:r>
        <w:rPr>
          <w:rFonts w:ascii="Times New Roman" w:hAnsi="Times New Roman" w:cs="Times New Roman"/>
          <w:sz w:val="24"/>
          <w:szCs w:val="24"/>
        </w:rPr>
        <w:t xml:space="preserve"> </w:t>
      </w:r>
    </w:p>
    <w:p w:rsidR="008A7326" w:rsidRPr="00167DEC" w:rsidP="008A7326" w14:paraId="31DB73AE" w14:textId="75A85747">
      <w:pPr>
        <w:rPr>
          <w:rFonts w:ascii="Times New Roman" w:hAnsi="Times New Roman" w:cs="Times New Roman"/>
          <w:sz w:val="24"/>
          <w:szCs w:val="24"/>
        </w:rPr>
      </w:pPr>
      <w:r>
        <w:rPr>
          <w:rFonts w:ascii="Times New Roman" w:hAnsi="Times New Roman" w:cs="Times New Roman"/>
          <w:i/>
          <w:iCs/>
          <w:sz w:val="24"/>
          <w:szCs w:val="24"/>
        </w:rPr>
        <w:t>Office Resources.</w:t>
      </w:r>
      <w:r w:rsidRPr="00167DEC">
        <w:rPr>
          <w:rFonts w:ascii="Times New Roman" w:hAnsi="Times New Roman" w:cs="Times New Roman"/>
          <w:sz w:val="24"/>
          <w:szCs w:val="24"/>
        </w:rPr>
        <w:t xml:space="preserve"> </w:t>
      </w:r>
      <w:r>
        <w:rPr>
          <w:rFonts w:ascii="Times New Roman" w:hAnsi="Times New Roman" w:cs="Times New Roman"/>
          <w:sz w:val="24"/>
          <w:szCs w:val="24"/>
        </w:rPr>
        <w:t xml:space="preserve">The final section of the census (Section E) captures information about office resources within public defender offices. Regarding question E1 about office policies, cognitive test respondents </w:t>
      </w:r>
      <w:r w:rsidR="00275A11">
        <w:rPr>
          <w:rFonts w:ascii="Times New Roman" w:hAnsi="Times New Roman" w:cs="Times New Roman"/>
          <w:sz w:val="24"/>
          <w:szCs w:val="24"/>
        </w:rPr>
        <w:t xml:space="preserve">noted </w:t>
      </w:r>
      <w:r>
        <w:rPr>
          <w:rFonts w:ascii="Times New Roman" w:hAnsi="Times New Roman" w:cs="Times New Roman"/>
          <w:sz w:val="24"/>
          <w:szCs w:val="24"/>
        </w:rPr>
        <w:t>that two important office policies (</w:t>
      </w:r>
      <w:r w:rsidRPr="00167DEC">
        <w:rPr>
          <w:rFonts w:ascii="Times New Roman" w:hAnsi="Times New Roman" w:cs="Times New Roman"/>
          <w:sz w:val="24"/>
          <w:szCs w:val="24"/>
        </w:rPr>
        <w:t>‘leave policy’</w:t>
      </w:r>
      <w:r>
        <w:rPr>
          <w:rFonts w:ascii="Times New Roman" w:hAnsi="Times New Roman" w:cs="Times New Roman"/>
          <w:sz w:val="24"/>
          <w:szCs w:val="24"/>
        </w:rPr>
        <w:t xml:space="preserve"> and</w:t>
      </w:r>
      <w:r w:rsidRPr="00167DEC">
        <w:rPr>
          <w:rFonts w:ascii="Times New Roman" w:hAnsi="Times New Roman" w:cs="Times New Roman"/>
          <w:sz w:val="24"/>
          <w:szCs w:val="24"/>
        </w:rPr>
        <w:t xml:space="preserve"> ‘professional development policy’</w:t>
      </w:r>
      <w:r>
        <w:rPr>
          <w:rFonts w:ascii="Times New Roman" w:hAnsi="Times New Roman" w:cs="Times New Roman"/>
          <w:sz w:val="24"/>
          <w:szCs w:val="24"/>
        </w:rPr>
        <w:t xml:space="preserve">) </w:t>
      </w:r>
      <w:r w:rsidR="00275A11">
        <w:rPr>
          <w:rFonts w:ascii="Times New Roman" w:hAnsi="Times New Roman" w:cs="Times New Roman"/>
          <w:sz w:val="24"/>
          <w:szCs w:val="24"/>
        </w:rPr>
        <w:t>should be added to</w:t>
      </w:r>
      <w:r>
        <w:rPr>
          <w:rFonts w:ascii="Times New Roman" w:hAnsi="Times New Roman" w:cs="Times New Roman"/>
          <w:sz w:val="24"/>
          <w:szCs w:val="24"/>
        </w:rPr>
        <w:t xml:space="preserve"> this question</w:t>
      </w:r>
      <w:r w:rsidR="00275A11">
        <w:rPr>
          <w:rFonts w:ascii="Times New Roman" w:hAnsi="Times New Roman" w:cs="Times New Roman"/>
          <w:sz w:val="24"/>
          <w:szCs w:val="24"/>
        </w:rPr>
        <w:t xml:space="preserve"> and are now</w:t>
      </w:r>
      <w:r>
        <w:rPr>
          <w:rFonts w:ascii="Times New Roman" w:hAnsi="Times New Roman" w:cs="Times New Roman"/>
          <w:sz w:val="24"/>
          <w:szCs w:val="24"/>
        </w:rPr>
        <w:t xml:space="preserve"> items E1(</w:t>
      </w:r>
      <w:r w:rsidR="00275A11">
        <w:rPr>
          <w:rFonts w:ascii="Times New Roman" w:hAnsi="Times New Roman" w:cs="Times New Roman"/>
          <w:sz w:val="24"/>
          <w:szCs w:val="24"/>
        </w:rPr>
        <w:t>i</w:t>
      </w:r>
      <w:r>
        <w:rPr>
          <w:rFonts w:ascii="Times New Roman" w:hAnsi="Times New Roman" w:cs="Times New Roman"/>
          <w:sz w:val="24"/>
          <w:szCs w:val="24"/>
        </w:rPr>
        <w:t>) and E1(</w:t>
      </w:r>
      <w:r w:rsidR="00275A11">
        <w:rPr>
          <w:rFonts w:ascii="Times New Roman" w:hAnsi="Times New Roman" w:cs="Times New Roman"/>
          <w:sz w:val="24"/>
          <w:szCs w:val="24"/>
        </w:rPr>
        <w:t>m</w:t>
      </w:r>
      <w:r>
        <w:rPr>
          <w:rFonts w:ascii="Times New Roman" w:hAnsi="Times New Roman" w:cs="Times New Roman"/>
          <w:sz w:val="24"/>
          <w:szCs w:val="24"/>
        </w:rPr>
        <w:t xml:space="preserve">). </w:t>
      </w:r>
      <w:r w:rsidR="00E24128">
        <w:rPr>
          <w:rFonts w:ascii="Times New Roman" w:hAnsi="Times New Roman" w:cs="Times New Roman"/>
          <w:sz w:val="24"/>
          <w:szCs w:val="24"/>
        </w:rPr>
        <w:t xml:space="preserve">In E6, “volume of digital discovery evidence” was added to acknowledge the demands placed on technological infrastructure by digital evidence. </w:t>
      </w:r>
      <w:r>
        <w:rPr>
          <w:rFonts w:ascii="Times New Roman" w:hAnsi="Times New Roman" w:cs="Times New Roman"/>
          <w:sz w:val="24"/>
          <w:szCs w:val="24"/>
        </w:rPr>
        <w:t xml:space="preserve">In addition, one respondent reported that the use </w:t>
      </w:r>
      <w:r>
        <w:rPr>
          <w:rFonts w:ascii="Times New Roman" w:hAnsi="Times New Roman" w:cs="Times New Roman"/>
          <w:sz w:val="24"/>
          <w:szCs w:val="24"/>
        </w:rPr>
        <w:t xml:space="preserve">of the word “communication” in item E7(h) was unclear/too vague. Therefore, </w:t>
      </w:r>
      <w:r w:rsidR="00546FE3">
        <w:rPr>
          <w:rFonts w:ascii="Times New Roman" w:hAnsi="Times New Roman" w:cs="Times New Roman"/>
          <w:sz w:val="24"/>
          <w:szCs w:val="24"/>
        </w:rPr>
        <w:t xml:space="preserve">BJS </w:t>
      </w:r>
      <w:r>
        <w:rPr>
          <w:rFonts w:ascii="Times New Roman" w:hAnsi="Times New Roman" w:cs="Times New Roman"/>
          <w:sz w:val="24"/>
          <w:szCs w:val="24"/>
        </w:rPr>
        <w:t>replaced the phrase “stores all communication” with “stores information about communication with clients” for this item, to eliminate confusion.</w:t>
      </w:r>
      <w:r w:rsidR="00E24128">
        <w:rPr>
          <w:rFonts w:ascii="Times New Roman" w:hAnsi="Times New Roman" w:cs="Times New Roman"/>
          <w:sz w:val="24"/>
          <w:szCs w:val="24"/>
        </w:rPr>
        <w:t xml:space="preserve"> Finally, the original theme of digital evidence in E8 </w:t>
      </w:r>
      <w:r w:rsidR="00546FE3">
        <w:rPr>
          <w:rFonts w:ascii="Times New Roman" w:hAnsi="Times New Roman" w:cs="Times New Roman"/>
          <w:sz w:val="24"/>
          <w:szCs w:val="24"/>
        </w:rPr>
        <w:t>was</w:t>
      </w:r>
      <w:r w:rsidR="00E24128">
        <w:rPr>
          <w:rFonts w:ascii="Times New Roman" w:hAnsi="Times New Roman" w:cs="Times New Roman"/>
          <w:sz w:val="24"/>
          <w:szCs w:val="24"/>
        </w:rPr>
        <w:t xml:space="preserve"> retained while the wording and response option structure </w:t>
      </w:r>
      <w:r w:rsidR="00546FE3">
        <w:rPr>
          <w:rFonts w:ascii="Times New Roman" w:hAnsi="Times New Roman" w:cs="Times New Roman"/>
          <w:sz w:val="24"/>
          <w:szCs w:val="24"/>
        </w:rPr>
        <w:t>was</w:t>
      </w:r>
      <w:r w:rsidR="00E24128">
        <w:rPr>
          <w:rFonts w:ascii="Times New Roman" w:hAnsi="Times New Roman" w:cs="Times New Roman"/>
          <w:sz w:val="24"/>
          <w:szCs w:val="24"/>
        </w:rPr>
        <w:t xml:space="preserve"> changed to align with other BJS administrative surveys capturing the types of digital evidence and storage devices reviewed by offices.</w:t>
      </w:r>
    </w:p>
    <w:p w:rsidR="008A7326" w:rsidRPr="004D4436" w:rsidP="008A7326" w14:paraId="4AF1B15A" w14:textId="77777777">
      <w:pPr>
        <w:rPr>
          <w:rFonts w:ascii="Times New Roman" w:hAnsi="Times New Roman" w:cs="Times New Roman"/>
          <w:sz w:val="24"/>
          <w:szCs w:val="24"/>
        </w:rPr>
      </w:pPr>
      <w:r>
        <w:rPr>
          <w:rFonts w:ascii="Times New Roman" w:hAnsi="Times New Roman" w:cs="Times New Roman"/>
          <w:i/>
          <w:iCs/>
          <w:sz w:val="24"/>
          <w:szCs w:val="24"/>
        </w:rPr>
        <w:t>Burden</w:t>
      </w:r>
      <w:r w:rsidRPr="001133FC">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Cognitive test respondents reported an average burden of 61.6 minutes to complete the CPDO census questionnaire. The burden reported by those offices who participated in the pretest ranged from a minimum of 15 minutes to a maximum of 120 minutes.</w:t>
      </w:r>
    </w:p>
    <w:p w:rsidR="008542A8" w:rsidP="008542A8" w14:paraId="46F11C3D" w14:textId="0218A98C">
      <w:pPr>
        <w:spacing w:after="0" w:line="240" w:lineRule="auto"/>
        <w:rPr>
          <w:rFonts w:ascii="Times New Roman" w:hAnsi="Times New Roman" w:cs="Times New Roman"/>
          <w:sz w:val="24"/>
          <w:szCs w:val="24"/>
        </w:rPr>
      </w:pPr>
    </w:p>
    <w:p w:rsidR="00912D4E" w:rsidRPr="007B0DB1" w:rsidP="005B3085" w14:paraId="76493D12" w14:textId="77777777">
      <w:pPr>
        <w:spacing w:after="0" w:line="240" w:lineRule="auto"/>
        <w:rPr>
          <w:rFonts w:ascii="Times New Roman" w:hAnsi="Times New Roman" w:cs="Times New Roman"/>
          <w:sz w:val="24"/>
          <w:szCs w:val="24"/>
        </w:rPr>
      </w:pPr>
    </w:p>
    <w:p w:rsidR="005B3085" w:rsidRPr="007B0DB1" w:rsidP="005B3085" w14:paraId="5B743910" w14:textId="77777777">
      <w:pPr>
        <w:spacing w:after="0" w:line="240" w:lineRule="auto"/>
        <w:rPr>
          <w:rFonts w:ascii="Times New Roman" w:hAnsi="Times New Roman" w:cs="Times New Roman"/>
          <w:b/>
          <w:sz w:val="24"/>
          <w:szCs w:val="24"/>
        </w:rPr>
      </w:pPr>
      <w:r w:rsidRPr="007B0DB1">
        <w:rPr>
          <w:rFonts w:ascii="Times New Roman" w:hAnsi="Times New Roman" w:cs="Times New Roman"/>
          <w:b/>
          <w:sz w:val="24"/>
          <w:szCs w:val="24"/>
        </w:rPr>
        <w:t xml:space="preserve">5. </w:t>
      </w:r>
      <w:r>
        <w:rPr>
          <w:rFonts w:ascii="Times New Roman" w:hAnsi="Times New Roman" w:cs="Times New Roman"/>
          <w:b/>
          <w:sz w:val="24"/>
          <w:szCs w:val="24"/>
        </w:rPr>
        <w:t>Consultants on the Statistical Aspects of the Design</w:t>
      </w:r>
    </w:p>
    <w:p w:rsidR="005B3085" w:rsidRPr="007B0DB1" w:rsidP="005B3085" w14:paraId="14BE1194" w14:textId="77777777">
      <w:pPr>
        <w:spacing w:after="0" w:line="240" w:lineRule="auto"/>
        <w:rPr>
          <w:rFonts w:ascii="Times New Roman" w:hAnsi="Times New Roman" w:cs="Times New Roman"/>
          <w:sz w:val="24"/>
          <w:szCs w:val="24"/>
        </w:rPr>
      </w:pPr>
    </w:p>
    <w:p w:rsidR="005B3085" w:rsidP="005B3085" w14:paraId="5AB50A6B" w14:textId="3E3729B5">
      <w:pPr>
        <w:spacing w:after="0" w:line="240" w:lineRule="auto"/>
        <w:rPr>
          <w:rFonts w:ascii="Times New Roman" w:hAnsi="Times New Roman" w:cs="Times New Roman"/>
          <w:sz w:val="24"/>
          <w:szCs w:val="24"/>
        </w:rPr>
      </w:pPr>
      <w:r w:rsidRPr="007B0DB1">
        <w:rPr>
          <w:rFonts w:ascii="Times New Roman" w:hAnsi="Times New Roman" w:cs="Times New Roman"/>
          <w:sz w:val="24"/>
          <w:szCs w:val="24"/>
        </w:rPr>
        <w:t xml:space="preserve">The </w:t>
      </w:r>
      <w:r w:rsidR="00EC60E3">
        <w:rPr>
          <w:rFonts w:ascii="Times New Roman" w:hAnsi="Times New Roman" w:cs="Times New Roman"/>
          <w:sz w:val="24"/>
          <w:szCs w:val="24"/>
        </w:rPr>
        <w:t>Judicial</w:t>
      </w:r>
      <w:r w:rsidRPr="007B0DB1">
        <w:rPr>
          <w:rFonts w:ascii="Times New Roman" w:hAnsi="Times New Roman" w:cs="Times New Roman"/>
          <w:sz w:val="24"/>
          <w:szCs w:val="24"/>
        </w:rPr>
        <w:t xml:space="preserve"> </w:t>
      </w:r>
      <w:r>
        <w:rPr>
          <w:rFonts w:ascii="Times New Roman" w:hAnsi="Times New Roman" w:cs="Times New Roman"/>
          <w:sz w:val="24"/>
          <w:szCs w:val="24"/>
        </w:rPr>
        <w:t>S</w:t>
      </w:r>
      <w:r w:rsidRPr="007B0DB1">
        <w:rPr>
          <w:rFonts w:ascii="Times New Roman" w:hAnsi="Times New Roman" w:cs="Times New Roman"/>
          <w:sz w:val="24"/>
          <w:szCs w:val="24"/>
        </w:rPr>
        <w:t xml:space="preserve">tatistics </w:t>
      </w:r>
      <w:r>
        <w:rPr>
          <w:rFonts w:ascii="Times New Roman" w:hAnsi="Times New Roman" w:cs="Times New Roman"/>
          <w:sz w:val="24"/>
          <w:szCs w:val="24"/>
        </w:rPr>
        <w:t>U</w:t>
      </w:r>
      <w:r w:rsidRPr="007B0DB1">
        <w:rPr>
          <w:rFonts w:ascii="Times New Roman" w:hAnsi="Times New Roman" w:cs="Times New Roman"/>
          <w:sz w:val="24"/>
          <w:szCs w:val="24"/>
        </w:rPr>
        <w:t>nit of BJS takes responsibility for the overall design and management of the activities described in this submission, including data collection procedures, development of the questionnaires, and analysis of the data. The following individuals consulted on statistical aspects and collecting/analyzing the data:</w:t>
      </w:r>
    </w:p>
    <w:p w:rsidR="005B3085" w:rsidP="005B3085" w14:paraId="6E5D98CA" w14:textId="77777777">
      <w:pPr>
        <w:spacing w:after="0" w:line="240" w:lineRule="auto"/>
        <w:rPr>
          <w:rFonts w:ascii="Times New Roman" w:hAnsi="Times New Roman" w:cs="Times New Roman"/>
          <w:sz w:val="24"/>
          <w:szCs w:val="24"/>
        </w:rPr>
      </w:pPr>
    </w:p>
    <w:tbl>
      <w:tblPr>
        <w:tblStyle w:val="TableGrid"/>
        <w:tblW w:w="0" w:type="auto"/>
        <w:tblLook w:val="04A0"/>
      </w:tblPr>
      <w:tblGrid>
        <w:gridCol w:w="3685"/>
        <w:gridCol w:w="4770"/>
      </w:tblGrid>
      <w:tr w14:paraId="176F4D23" w14:textId="77777777" w:rsidTr="002539F4">
        <w:tblPrEx>
          <w:tblW w:w="0" w:type="auto"/>
          <w:tblLook w:val="04A0"/>
        </w:tblPrEx>
        <w:trPr>
          <w:trHeight w:val="557"/>
        </w:trPr>
        <w:tc>
          <w:tcPr>
            <w:tcW w:w="3685" w:type="dxa"/>
          </w:tcPr>
          <w:p w:rsidR="00E24128" w:rsidRPr="00D2430F" w:rsidP="00E24128" w14:paraId="17BB6922" w14:textId="379E3AAF">
            <w:pPr>
              <w:rPr>
                <w:rFonts w:ascii="Times New Roman" w:hAnsi="Times New Roman" w:cs="Times New Roman"/>
                <w:b/>
                <w:bCs/>
              </w:rPr>
            </w:pPr>
            <w:r w:rsidRPr="00D2430F">
              <w:rPr>
                <w:rFonts w:ascii="Times New Roman" w:hAnsi="Times New Roman" w:cs="Times New Roman"/>
                <w:b/>
                <w:bCs/>
              </w:rPr>
              <w:t>Bureau of Justice Statistics</w:t>
            </w:r>
            <w:r w:rsidR="00722567">
              <w:rPr>
                <w:rFonts w:ascii="Times New Roman" w:hAnsi="Times New Roman" w:cs="Times New Roman"/>
                <w:b/>
                <w:bCs/>
              </w:rPr>
              <w:t xml:space="preserve"> Contacts</w:t>
            </w:r>
          </w:p>
          <w:p w:rsidR="00E24128" w:rsidRPr="00D2430F" w:rsidP="00E24128" w14:paraId="72C024E7" w14:textId="0D0DD958">
            <w:pPr>
              <w:rPr>
                <w:rFonts w:ascii="Times New Roman" w:hAnsi="Times New Roman" w:cs="Times New Roman"/>
              </w:rPr>
            </w:pPr>
          </w:p>
        </w:tc>
        <w:tc>
          <w:tcPr>
            <w:tcW w:w="4770" w:type="dxa"/>
          </w:tcPr>
          <w:p w:rsidR="00E24128" w:rsidRPr="00D2430F" w:rsidP="00E24128" w14:paraId="50D99DCA" w14:textId="67F4CB6F">
            <w:pPr>
              <w:rPr>
                <w:rFonts w:ascii="Times New Roman" w:hAnsi="Times New Roman" w:cs="Times New Roman"/>
              </w:rPr>
            </w:pPr>
            <w:r>
              <w:rPr>
                <w:rFonts w:ascii="Times New Roman" w:hAnsi="Times New Roman" w:cs="Times New Roman"/>
                <w:b/>
                <w:bCs/>
              </w:rPr>
              <w:t>Persons consulted on data collection, analysis, and methodology</w:t>
            </w:r>
          </w:p>
        </w:tc>
      </w:tr>
      <w:tr w14:paraId="0EFC24CF" w14:textId="77777777" w:rsidTr="00A56797">
        <w:tblPrEx>
          <w:tblW w:w="0" w:type="auto"/>
          <w:tblLook w:val="04A0"/>
        </w:tblPrEx>
        <w:trPr>
          <w:trHeight w:val="863"/>
        </w:trPr>
        <w:tc>
          <w:tcPr>
            <w:tcW w:w="3685" w:type="dxa"/>
          </w:tcPr>
          <w:p w:rsidR="00722567" w:rsidRPr="00D2430F" w:rsidP="00722567" w14:paraId="3468E426" w14:textId="77777777">
            <w:pPr>
              <w:rPr>
                <w:rFonts w:ascii="Times New Roman" w:hAnsi="Times New Roman" w:cs="Times New Roman"/>
              </w:rPr>
            </w:pPr>
            <w:bookmarkStart w:id="3" w:name="_Hlk170807235"/>
            <w:r>
              <w:rPr>
                <w:rFonts w:ascii="Times New Roman" w:hAnsi="Times New Roman" w:cs="Times New Roman"/>
              </w:rPr>
              <w:t>Ryan Kling</w:t>
            </w:r>
          </w:p>
          <w:p w:rsidR="00722567" w:rsidRPr="00D2430F" w:rsidP="00722567" w14:paraId="37054439" w14:textId="77777777">
            <w:pPr>
              <w:rPr>
                <w:rFonts w:ascii="Times New Roman" w:hAnsi="Times New Roman" w:cs="Times New Roman"/>
              </w:rPr>
            </w:pPr>
            <w:r w:rsidRPr="00D2430F">
              <w:rPr>
                <w:rFonts w:ascii="Times New Roman" w:hAnsi="Times New Roman" w:cs="Times New Roman"/>
              </w:rPr>
              <w:t xml:space="preserve">Statistician and Project Manager </w:t>
            </w:r>
          </w:p>
          <w:p w:rsidR="00E24128" w:rsidRPr="00D2430F" w:rsidP="00E24128" w14:paraId="5E9D6358" w14:textId="1B7EA469">
            <w:pPr>
              <w:rPr>
                <w:rFonts w:ascii="Times New Roman" w:hAnsi="Times New Roman" w:cs="Times New Roman"/>
              </w:rPr>
            </w:pPr>
            <w:r w:rsidRPr="00D2430F">
              <w:rPr>
                <w:rFonts w:ascii="Times New Roman" w:hAnsi="Times New Roman" w:cs="Times New Roman"/>
                <w:color w:val="000000"/>
              </w:rPr>
              <w:t>(</w:t>
            </w:r>
            <w:r w:rsidRPr="00EC60E3">
              <w:rPr>
                <w:rFonts w:ascii="Times New Roman" w:hAnsi="Times New Roman" w:cs="Times New Roman"/>
              </w:rPr>
              <w:t xml:space="preserve">202) </w:t>
            </w:r>
            <w:r>
              <w:rPr>
                <w:rFonts w:ascii="Times New Roman" w:hAnsi="Times New Roman" w:cs="Times New Roman"/>
              </w:rPr>
              <w:t>704-0076</w:t>
            </w:r>
          </w:p>
        </w:tc>
        <w:tc>
          <w:tcPr>
            <w:tcW w:w="4770" w:type="dxa"/>
          </w:tcPr>
          <w:p w:rsidR="00722567" w:rsidP="00722567" w14:paraId="3C5BD12A" w14:textId="77777777">
            <w:pPr>
              <w:rPr>
                <w:rFonts w:ascii="Times New Roman" w:hAnsi="Times New Roman"/>
              </w:rPr>
            </w:pPr>
            <w:bookmarkStart w:id="4" w:name="OLE_LINK9"/>
            <w:bookmarkStart w:id="5" w:name="OLE_LINK2"/>
            <w:r>
              <w:rPr>
                <w:rFonts w:ascii="Times New Roman" w:hAnsi="Times New Roman"/>
              </w:rPr>
              <w:t>William Adams, MPP</w:t>
            </w:r>
          </w:p>
          <w:p w:rsidR="00722567" w:rsidP="00722567" w14:paraId="29741E03" w14:textId="77777777">
            <w:pPr>
              <w:rPr>
                <w:rFonts w:ascii="Times New Roman" w:hAnsi="Times New Roman"/>
              </w:rPr>
            </w:pPr>
            <w:r>
              <w:rPr>
                <w:rFonts w:ascii="Times New Roman" w:hAnsi="Times New Roman"/>
              </w:rPr>
              <w:t>Urban Institute</w:t>
            </w:r>
          </w:p>
          <w:bookmarkEnd w:id="4"/>
          <w:bookmarkEnd w:id="5"/>
          <w:p w:rsidR="00E24128" w:rsidRPr="00D2430F" w:rsidP="00722567" w14:paraId="6291AD5E" w14:textId="431CD82B">
            <w:pPr>
              <w:rPr>
                <w:rFonts w:ascii="Times New Roman" w:hAnsi="Times New Roman" w:cs="Times New Roman"/>
              </w:rPr>
            </w:pPr>
          </w:p>
        </w:tc>
      </w:tr>
      <w:tr w14:paraId="1AE4EC4C" w14:textId="77777777" w:rsidTr="00A56797">
        <w:tblPrEx>
          <w:tblW w:w="0" w:type="auto"/>
          <w:tblLook w:val="04A0"/>
        </w:tblPrEx>
        <w:trPr>
          <w:trHeight w:val="890"/>
        </w:trPr>
        <w:tc>
          <w:tcPr>
            <w:tcW w:w="3685" w:type="dxa"/>
          </w:tcPr>
          <w:p w:rsidR="00722567" w:rsidP="00722567" w14:paraId="2D813836" w14:textId="77777777">
            <w:pPr>
              <w:rPr>
                <w:rFonts w:ascii="Times New Roman" w:hAnsi="Times New Roman" w:cs="Times New Roman"/>
              </w:rPr>
            </w:pPr>
            <w:bookmarkStart w:id="6" w:name="_Hlk170807246"/>
            <w:bookmarkEnd w:id="3"/>
            <w:r>
              <w:rPr>
                <w:rFonts w:ascii="Times New Roman" w:hAnsi="Times New Roman" w:cs="Times New Roman"/>
              </w:rPr>
              <w:t>George (Ebo) Browne, PhD</w:t>
            </w:r>
          </w:p>
          <w:p w:rsidR="00722567" w:rsidP="00722567" w14:paraId="515647CF" w14:textId="77777777">
            <w:pPr>
              <w:rPr>
                <w:rFonts w:ascii="Times New Roman" w:hAnsi="Times New Roman" w:cs="Times New Roman"/>
              </w:rPr>
            </w:pPr>
            <w:r>
              <w:rPr>
                <w:rFonts w:ascii="Times New Roman" w:hAnsi="Times New Roman" w:cs="Times New Roman"/>
              </w:rPr>
              <w:t>Statistician</w:t>
            </w:r>
          </w:p>
          <w:p w:rsidR="00722567" w:rsidRPr="00D2430F" w:rsidP="00722567" w14:paraId="6639E73B" w14:textId="647621E4">
            <w:pPr>
              <w:rPr>
                <w:rFonts w:ascii="Times New Roman" w:hAnsi="Times New Roman" w:cs="Times New Roman"/>
              </w:rPr>
            </w:pPr>
            <w:r>
              <w:rPr>
                <w:rFonts w:ascii="Times New Roman" w:hAnsi="Times New Roman" w:cs="Times New Roman"/>
              </w:rPr>
              <w:t xml:space="preserve">(202) </w:t>
            </w:r>
            <w:r w:rsidRPr="00E50DA2">
              <w:rPr>
                <w:rFonts w:ascii="Times New Roman" w:hAnsi="Times New Roman" w:cs="Times New Roman"/>
              </w:rPr>
              <w:t>598-1395</w:t>
            </w:r>
          </w:p>
        </w:tc>
        <w:tc>
          <w:tcPr>
            <w:tcW w:w="4770" w:type="dxa"/>
          </w:tcPr>
          <w:p w:rsidR="00722567" w:rsidP="00722567" w14:paraId="78E4698D" w14:textId="77777777">
            <w:pPr>
              <w:rPr>
                <w:rFonts w:ascii="Times New Roman" w:hAnsi="Times New Roman"/>
              </w:rPr>
            </w:pPr>
            <w:r>
              <w:rPr>
                <w:rFonts w:ascii="Times New Roman" w:hAnsi="Times New Roman"/>
              </w:rPr>
              <w:t>Andrew Davies, PhD</w:t>
            </w:r>
          </w:p>
          <w:p w:rsidR="00722567" w:rsidRPr="00346ACA" w:rsidP="00722567" w14:paraId="6DB248D2" w14:textId="77777777">
            <w:pPr>
              <w:rPr>
                <w:rFonts w:ascii="Times New Roman" w:hAnsi="Times New Roman"/>
              </w:rPr>
            </w:pPr>
            <w:r w:rsidRPr="00346ACA">
              <w:rPr>
                <w:rFonts w:ascii="Times New Roman" w:hAnsi="Times New Roman"/>
              </w:rPr>
              <w:t>Deason</w:t>
            </w:r>
            <w:r w:rsidRPr="00346ACA">
              <w:rPr>
                <w:rFonts w:ascii="Times New Roman" w:hAnsi="Times New Roman"/>
              </w:rPr>
              <w:t xml:space="preserve"> Criminal Justice Reform Center</w:t>
            </w:r>
          </w:p>
          <w:p w:rsidR="00722567" w:rsidRPr="00D2430F" w:rsidP="00722567" w14:paraId="6B196353" w14:textId="5BA7BEBE">
            <w:pPr>
              <w:rPr>
                <w:rFonts w:ascii="Times New Roman" w:hAnsi="Times New Roman"/>
              </w:rPr>
            </w:pPr>
          </w:p>
        </w:tc>
      </w:tr>
      <w:tr w14:paraId="10EAD5BF" w14:textId="77777777" w:rsidTr="00A56797">
        <w:tblPrEx>
          <w:tblW w:w="0" w:type="auto"/>
          <w:tblLook w:val="04A0"/>
        </w:tblPrEx>
        <w:trPr>
          <w:trHeight w:val="890"/>
        </w:trPr>
        <w:tc>
          <w:tcPr>
            <w:tcW w:w="3685" w:type="dxa"/>
          </w:tcPr>
          <w:p w:rsidR="00722567" w:rsidRPr="00D2430F" w:rsidP="00722567" w14:paraId="3141303C" w14:textId="77777777">
            <w:pPr>
              <w:rPr>
                <w:rFonts w:ascii="Times New Roman" w:hAnsi="Times New Roman" w:cs="Times New Roman"/>
              </w:rPr>
            </w:pPr>
            <w:r>
              <w:rPr>
                <w:rFonts w:ascii="Times New Roman" w:hAnsi="Times New Roman" w:cs="Times New Roman"/>
              </w:rPr>
              <w:t>Suzanne Strong, PhD</w:t>
            </w:r>
          </w:p>
          <w:p w:rsidR="00722567" w:rsidRPr="00D2430F" w:rsidP="00722567" w14:paraId="2CE43A00" w14:textId="77777777">
            <w:pPr>
              <w:rPr>
                <w:rFonts w:ascii="Times New Roman" w:hAnsi="Times New Roman" w:cs="Times New Roman"/>
              </w:rPr>
            </w:pPr>
            <w:r w:rsidRPr="00D2430F">
              <w:rPr>
                <w:rFonts w:ascii="Times New Roman" w:hAnsi="Times New Roman" w:cs="Times New Roman"/>
              </w:rPr>
              <w:t xml:space="preserve">Chief, </w:t>
            </w:r>
            <w:r>
              <w:rPr>
                <w:rFonts w:ascii="Times New Roman" w:hAnsi="Times New Roman" w:cs="Times New Roman"/>
              </w:rPr>
              <w:t>Judicial</w:t>
            </w:r>
            <w:r w:rsidRPr="00D2430F">
              <w:rPr>
                <w:rFonts w:ascii="Times New Roman" w:hAnsi="Times New Roman" w:cs="Times New Roman"/>
              </w:rPr>
              <w:t xml:space="preserve"> Statistics Unit</w:t>
            </w:r>
          </w:p>
          <w:p w:rsidR="00722567" w:rsidP="00722567" w14:paraId="09CF4118" w14:textId="22FF0830">
            <w:pPr>
              <w:rPr>
                <w:rFonts w:ascii="Times New Roman" w:hAnsi="Times New Roman" w:cs="Times New Roman"/>
              </w:rPr>
            </w:pPr>
            <w:r w:rsidRPr="00D2430F">
              <w:rPr>
                <w:rFonts w:ascii="Times New Roman" w:hAnsi="Times New Roman" w:cs="Times New Roman"/>
                <w:color w:val="000000"/>
              </w:rPr>
              <w:t>(202</w:t>
            </w:r>
            <w:r w:rsidRPr="00EC60E3">
              <w:rPr>
                <w:rFonts w:ascii="Times New Roman" w:hAnsi="Times New Roman" w:cs="Times New Roman"/>
              </w:rPr>
              <w:t>) 880-7387</w:t>
            </w:r>
          </w:p>
        </w:tc>
        <w:tc>
          <w:tcPr>
            <w:tcW w:w="4770" w:type="dxa"/>
          </w:tcPr>
          <w:p w:rsidR="00722567" w:rsidP="00722567" w14:paraId="1C8A8BEE" w14:textId="77777777">
            <w:pPr>
              <w:rPr>
                <w:rFonts w:ascii="Times New Roman" w:hAnsi="Times New Roman" w:cs="Times New Roman"/>
              </w:rPr>
            </w:pPr>
            <w:r>
              <w:rPr>
                <w:rFonts w:ascii="Times New Roman" w:hAnsi="Times New Roman" w:cs="Times New Roman"/>
              </w:rPr>
              <w:t xml:space="preserve">Heather Hall </w:t>
            </w:r>
          </w:p>
          <w:p w:rsidR="00722567" w:rsidP="00722567" w14:paraId="6BA09134" w14:textId="6461F1EA">
            <w:pPr>
              <w:rPr>
                <w:rFonts w:ascii="Times New Roman" w:hAnsi="Times New Roman" w:cs="Times New Roman"/>
              </w:rPr>
            </w:pPr>
            <w:r>
              <w:rPr>
                <w:rFonts w:ascii="Times New Roman" w:hAnsi="Times New Roman" w:cs="Times New Roman"/>
              </w:rPr>
              <w:t>Consultant</w:t>
            </w:r>
          </w:p>
          <w:p w:rsidR="00722567" w:rsidRPr="00D2430F" w:rsidP="00722567" w14:paraId="6F00E8AB" w14:textId="533ACF19">
            <w:pPr>
              <w:rPr>
                <w:rFonts w:ascii="Times New Roman" w:hAnsi="Times New Roman" w:cs="Times New Roman"/>
              </w:rPr>
            </w:pPr>
          </w:p>
        </w:tc>
      </w:tr>
      <w:bookmarkEnd w:id="6"/>
      <w:tr w14:paraId="7020CF30" w14:textId="77777777" w:rsidTr="00EC474D">
        <w:tblPrEx>
          <w:tblW w:w="0" w:type="auto"/>
          <w:tblLook w:val="04A0"/>
        </w:tblPrEx>
        <w:trPr>
          <w:trHeight w:val="665"/>
        </w:trPr>
        <w:tc>
          <w:tcPr>
            <w:tcW w:w="3685" w:type="dxa"/>
          </w:tcPr>
          <w:p w:rsidR="00722567" w:rsidRPr="00D2430F" w:rsidP="00722567" w14:paraId="6C8A118C" w14:textId="571E4BC0">
            <w:pPr>
              <w:rPr>
                <w:rFonts w:ascii="Times New Roman" w:hAnsi="Times New Roman" w:cs="Times New Roman"/>
              </w:rPr>
            </w:pPr>
          </w:p>
        </w:tc>
        <w:tc>
          <w:tcPr>
            <w:tcW w:w="4770" w:type="dxa"/>
          </w:tcPr>
          <w:p w:rsidR="00722567" w:rsidP="00722567" w14:paraId="09EF6DE8" w14:textId="77777777">
            <w:pPr>
              <w:autoSpaceDE w:val="0"/>
              <w:autoSpaceDN w:val="0"/>
              <w:adjustRightInd w:val="0"/>
              <w:rPr>
                <w:rFonts w:ascii="Times New Roman" w:hAnsi="Times New Roman" w:cs="Times New Roman"/>
                <w:color w:val="000000"/>
              </w:rPr>
            </w:pPr>
            <w:r>
              <w:rPr>
                <w:rFonts w:ascii="Times New Roman" w:hAnsi="Times New Roman" w:cs="Times New Roman"/>
                <w:color w:val="000000"/>
              </w:rPr>
              <w:t>Jeanette Hussemann, PhD</w:t>
            </w:r>
          </w:p>
          <w:p w:rsidR="00722567" w:rsidRPr="002539F4" w:rsidP="002539F4" w14:paraId="07D015A2" w14:textId="0409C409">
            <w:pPr>
              <w:autoSpaceDE w:val="0"/>
              <w:autoSpaceDN w:val="0"/>
              <w:adjustRightInd w:val="0"/>
              <w:rPr>
                <w:rFonts w:ascii="Times New Roman" w:hAnsi="Times New Roman" w:cs="Times New Roman"/>
                <w:color w:val="000000"/>
              </w:rPr>
            </w:pPr>
            <w:r>
              <w:rPr>
                <w:rFonts w:ascii="Times New Roman" w:hAnsi="Times New Roman" w:cs="Times New Roman"/>
                <w:color w:val="000000"/>
              </w:rPr>
              <w:t>NORC at the University of Chicago</w:t>
            </w:r>
          </w:p>
        </w:tc>
      </w:tr>
    </w:tbl>
    <w:p w:rsidR="00781FF4" w:rsidP="00B27B00" w14:paraId="38CA3B32" w14:textId="77777777"/>
    <w:sectPr w:rsidSect="00EE7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3449999"/>
      <w:docPartObj>
        <w:docPartGallery w:val="Page Numbers (Bottom of Page)"/>
        <w:docPartUnique/>
      </w:docPartObj>
    </w:sdtPr>
    <w:sdtEndPr>
      <w:rPr>
        <w:noProof/>
      </w:rPr>
    </w:sdtEndPr>
    <w:sdtContent>
      <w:p w:rsidR="002F4A37" w14:paraId="6D59AF6D" w14:textId="77777777">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rsidR="008B1ED4" w14:paraId="4E74B767" w14:textId="24ABC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741C" w:rsidP="005B3085" w14:paraId="1975FDF2" w14:textId="77777777">
      <w:pPr>
        <w:spacing w:after="0" w:line="240" w:lineRule="auto"/>
      </w:pPr>
      <w:r>
        <w:separator/>
      </w:r>
    </w:p>
  </w:footnote>
  <w:footnote w:type="continuationSeparator" w:id="1">
    <w:p w:rsidR="0051741C" w:rsidP="005B3085" w14:paraId="1DDC63EA" w14:textId="77777777">
      <w:pPr>
        <w:spacing w:after="0" w:line="240" w:lineRule="auto"/>
      </w:pPr>
      <w:r>
        <w:continuationSeparator/>
      </w:r>
    </w:p>
  </w:footnote>
  <w:footnote w:type="continuationNotice" w:id="2">
    <w:p w:rsidR="0051741C" w14:paraId="1A332D5F" w14:textId="77777777">
      <w:pPr>
        <w:spacing w:after="0" w:line="240" w:lineRule="auto"/>
      </w:pPr>
    </w:p>
  </w:footnote>
  <w:footnote w:id="3">
    <w:p w:rsidR="006C2D77" w14:paraId="07224131" w14:textId="4E93DFFF">
      <w:pPr>
        <w:pStyle w:val="FootnoteText"/>
      </w:pPr>
      <w:r>
        <w:rPr>
          <w:rStyle w:val="FootnoteReference"/>
        </w:rPr>
        <w:footnoteRef/>
      </w:r>
      <w:r>
        <w:t xml:space="preserve"> </w:t>
      </w:r>
      <w:r w:rsidRPr="006C2D77">
        <w:t>https://www.census.gov/programs-surveys/acs/data.html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A37" w:rsidRPr="000778D9" w14:paraId="6EACD99C" w14:textId="0BEC6097">
    <w:pPr>
      <w:pStyle w:val="Header"/>
      <w:rPr>
        <w:rFonts w:ascii="Times New Roman" w:hAnsi="Times New Roman" w:cs="Times New Roman"/>
        <w:sz w:val="20"/>
        <w:szCs w:val="20"/>
      </w:rPr>
    </w:pPr>
    <w:r>
      <w:rPr>
        <w:rFonts w:ascii="Times New Roman" w:hAnsi="Times New Roman" w:cs="Times New Roman"/>
        <w:sz w:val="20"/>
        <w:szCs w:val="20"/>
      </w:rPr>
      <w:t>Census of Public Defender Offices</w:t>
    </w:r>
  </w:p>
  <w:p w:rsidR="002F4A37" w:rsidRPr="000778D9" w14:paraId="782524CA" w14:textId="65265113">
    <w:pPr>
      <w:pStyle w:val="Header"/>
      <w:rPr>
        <w:rFonts w:ascii="Times New Roman" w:hAnsi="Times New Roman" w:cs="Times New Roman"/>
        <w:sz w:val="20"/>
        <w:szCs w:val="20"/>
      </w:rPr>
    </w:pPr>
    <w:r w:rsidRPr="000778D9">
      <w:rPr>
        <w:rFonts w:ascii="Times New Roman" w:hAnsi="Times New Roman" w:cs="Times New Roman"/>
        <w:sz w:val="20"/>
        <w:szCs w:val="20"/>
      </w:rPr>
      <w:t xml:space="preserve">OMB Control Number </w:t>
    </w:r>
    <w:bookmarkStart w:id="0" w:name="_Hlk177478815"/>
    <w:r w:rsidR="006C770B">
      <w:rPr>
        <w:rFonts w:ascii="Times New Roman" w:hAnsi="Times New Roman" w:cs="Times New Roman"/>
        <w:sz w:val="20"/>
        <w:szCs w:val="20"/>
      </w:rPr>
      <w:t>1121</w:t>
    </w:r>
    <w:r w:rsidR="00167E81">
      <w:rPr>
        <w:rFonts w:ascii="Times New Roman" w:hAnsi="Times New Roman" w:cs="Times New Roman"/>
        <w:sz w:val="20"/>
        <w:szCs w:val="20"/>
      </w:rPr>
      <w:t>-</w:t>
    </w:r>
    <w:bookmarkEnd w:id="0"/>
    <w:r w:rsidR="006C770B">
      <w:rPr>
        <w:rFonts w:ascii="Times New Roman" w:hAnsi="Times New Roman" w:cs="Times New Roman"/>
        <w:sz w:val="20"/>
        <w:szCs w:val="20"/>
      </w:rPr>
      <w:t>0095</w:t>
    </w:r>
  </w:p>
  <w:p w:rsidR="008B1ED4" w14:paraId="58B9B106" w14:textId="17253764">
    <w:pPr>
      <w:pStyle w:val="Header"/>
      <w:rPr>
        <w:rFonts w:ascii="Times New Roman" w:hAnsi="Times New Roman" w:cs="Times New Roman"/>
        <w:sz w:val="20"/>
        <w:szCs w:val="20"/>
      </w:rPr>
    </w:pPr>
    <w:r w:rsidRPr="000778D9">
      <w:rPr>
        <w:rFonts w:ascii="Times New Roman" w:hAnsi="Times New Roman" w:cs="Times New Roman"/>
        <w:sz w:val="20"/>
        <w:szCs w:val="20"/>
      </w:rPr>
      <w:t xml:space="preserve">OMB Expiration Date: </w:t>
    </w:r>
    <w:r w:rsidR="00167E81">
      <w:rPr>
        <w:rFonts w:ascii="Times New Roman" w:hAnsi="Times New Roman" w:cs="Times New Roman"/>
        <w:sz w:val="20"/>
        <w:szCs w:val="20"/>
      </w:rPr>
      <w:t>XX/XX/XXXX</w:t>
    </w:r>
  </w:p>
  <w:p w:rsidR="00167E81" w14:paraId="414C186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4179D0"/>
    <w:multiLevelType w:val="hybridMultilevel"/>
    <w:tmpl w:val="F4BEE736"/>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BE66AE"/>
    <w:multiLevelType w:val="hybridMultilevel"/>
    <w:tmpl w:val="F094EB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D8F3B8E"/>
    <w:multiLevelType w:val="hybridMultilevel"/>
    <w:tmpl w:val="7122C954"/>
    <w:lvl w:ilvl="0">
      <w:start w:val="3"/>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3D6019D"/>
    <w:multiLevelType w:val="hybridMultilevel"/>
    <w:tmpl w:val="17BC0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187BFB"/>
    <w:multiLevelType w:val="hybridMultilevel"/>
    <w:tmpl w:val="483A6F8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E8266F1"/>
    <w:multiLevelType w:val="hybridMultilevel"/>
    <w:tmpl w:val="022E1E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DC710E"/>
    <w:multiLevelType w:val="hybridMultilevel"/>
    <w:tmpl w:val="CD28EEF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53F655E"/>
    <w:multiLevelType w:val="hybridMultilevel"/>
    <w:tmpl w:val="4178E26E"/>
    <w:lvl w:ilvl="0">
      <w:start w:val="4"/>
      <w:numFmt w:val="bullet"/>
      <w:lvlText w:val=""/>
      <w:lvlJc w:val="left"/>
      <w:pPr>
        <w:ind w:left="720" w:hanging="360"/>
      </w:pPr>
      <w:rPr>
        <w:rFonts w:ascii="Wingdings" w:hAnsi="Wingdings"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6133D63"/>
    <w:multiLevelType w:val="hybridMultilevel"/>
    <w:tmpl w:val="02B2A0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1471595"/>
    <w:multiLevelType w:val="hybridMultilevel"/>
    <w:tmpl w:val="745C7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2673937"/>
    <w:multiLevelType w:val="hybridMultilevel"/>
    <w:tmpl w:val="04F6CCFC"/>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AD7705"/>
    <w:multiLevelType w:val="hybridMultilevel"/>
    <w:tmpl w:val="F6A26D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EF227EB"/>
    <w:multiLevelType w:val="hybridMultilevel"/>
    <w:tmpl w:val="21C034C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B674E5"/>
    <w:multiLevelType w:val="hybridMultilevel"/>
    <w:tmpl w:val="534C0A10"/>
    <w:lvl w:ilvl="0">
      <w:start w:val="3"/>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5F94728"/>
    <w:multiLevelType w:val="hybridMultilevel"/>
    <w:tmpl w:val="28640F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7B565F1"/>
    <w:multiLevelType w:val="hybridMultilevel"/>
    <w:tmpl w:val="4FD89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5B7BE3"/>
    <w:multiLevelType w:val="hybridMultilevel"/>
    <w:tmpl w:val="8D86B47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0A06E51"/>
    <w:multiLevelType w:val="hybridMultilevel"/>
    <w:tmpl w:val="BF5CB2E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22E235F"/>
    <w:multiLevelType w:val="hybridMultilevel"/>
    <w:tmpl w:val="3F5284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3A9629B"/>
    <w:multiLevelType w:val="hybridMultilevel"/>
    <w:tmpl w:val="4DCCD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3BF36A7"/>
    <w:multiLevelType w:val="hybridMultilevel"/>
    <w:tmpl w:val="066CA0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83331E"/>
    <w:multiLevelType w:val="hybridMultilevel"/>
    <w:tmpl w:val="AEC8E4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4737195">
    <w:abstractNumId w:val="0"/>
  </w:num>
  <w:num w:numId="2" w16cid:durableId="65997088">
    <w:abstractNumId w:val="5"/>
  </w:num>
  <w:num w:numId="3" w16cid:durableId="1169756004">
    <w:abstractNumId w:val="8"/>
  </w:num>
  <w:num w:numId="4" w16cid:durableId="595944126">
    <w:abstractNumId w:val="16"/>
  </w:num>
  <w:num w:numId="5" w16cid:durableId="1535775735">
    <w:abstractNumId w:val="11"/>
  </w:num>
  <w:num w:numId="6" w16cid:durableId="379327864">
    <w:abstractNumId w:val="9"/>
  </w:num>
  <w:num w:numId="7" w16cid:durableId="1513765387">
    <w:abstractNumId w:val="17"/>
  </w:num>
  <w:num w:numId="8" w16cid:durableId="1750686561">
    <w:abstractNumId w:val="6"/>
  </w:num>
  <w:num w:numId="9" w16cid:durableId="1411199742">
    <w:abstractNumId w:val="12"/>
  </w:num>
  <w:num w:numId="10" w16cid:durableId="1931087343">
    <w:abstractNumId w:val="4"/>
  </w:num>
  <w:num w:numId="11" w16cid:durableId="815880463">
    <w:abstractNumId w:val="14"/>
  </w:num>
  <w:num w:numId="12" w16cid:durableId="1308441357">
    <w:abstractNumId w:val="19"/>
  </w:num>
  <w:num w:numId="13" w16cid:durableId="570627840">
    <w:abstractNumId w:val="18"/>
  </w:num>
  <w:num w:numId="14" w16cid:durableId="374432433">
    <w:abstractNumId w:val="1"/>
  </w:num>
  <w:num w:numId="15" w16cid:durableId="1750040295">
    <w:abstractNumId w:val="3"/>
  </w:num>
  <w:num w:numId="16" w16cid:durableId="1122723021">
    <w:abstractNumId w:val="21"/>
  </w:num>
  <w:num w:numId="17" w16cid:durableId="250741897">
    <w:abstractNumId w:val="19"/>
  </w:num>
  <w:num w:numId="18" w16cid:durableId="572349276">
    <w:abstractNumId w:val="13"/>
  </w:num>
  <w:num w:numId="19" w16cid:durableId="248470923">
    <w:abstractNumId w:val="2"/>
  </w:num>
  <w:num w:numId="20" w16cid:durableId="307587235">
    <w:abstractNumId w:val="7"/>
  </w:num>
  <w:num w:numId="21" w16cid:durableId="1336179372">
    <w:abstractNumId w:val="19"/>
  </w:num>
  <w:num w:numId="22" w16cid:durableId="1421486652">
    <w:abstractNumId w:val="19"/>
  </w:num>
  <w:num w:numId="23" w16cid:durableId="620579052">
    <w:abstractNumId w:val="15"/>
  </w:num>
  <w:num w:numId="24" w16cid:durableId="1623196440">
    <w:abstractNumId w:val="10"/>
  </w:num>
  <w:num w:numId="25" w16cid:durableId="1369068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85"/>
    <w:rsid w:val="000226BF"/>
    <w:rsid w:val="00046E4F"/>
    <w:rsid w:val="00063262"/>
    <w:rsid w:val="00065F86"/>
    <w:rsid w:val="0007172C"/>
    <w:rsid w:val="0007187B"/>
    <w:rsid w:val="000778D9"/>
    <w:rsid w:val="00094CF6"/>
    <w:rsid w:val="000A2739"/>
    <w:rsid w:val="000A7A49"/>
    <w:rsid w:val="000B26F4"/>
    <w:rsid w:val="000B3BAB"/>
    <w:rsid w:val="000B48D8"/>
    <w:rsid w:val="000B4E31"/>
    <w:rsid w:val="000C16F0"/>
    <w:rsid w:val="000D7CBB"/>
    <w:rsid w:val="000E445F"/>
    <w:rsid w:val="000F309D"/>
    <w:rsid w:val="000F46D4"/>
    <w:rsid w:val="00100570"/>
    <w:rsid w:val="00106460"/>
    <w:rsid w:val="001133FC"/>
    <w:rsid w:val="0011606A"/>
    <w:rsid w:val="00125831"/>
    <w:rsid w:val="00127FBA"/>
    <w:rsid w:val="001305F9"/>
    <w:rsid w:val="0013778D"/>
    <w:rsid w:val="00147248"/>
    <w:rsid w:val="00147F35"/>
    <w:rsid w:val="0016019B"/>
    <w:rsid w:val="00167DEC"/>
    <w:rsid w:val="00167E81"/>
    <w:rsid w:val="00171AE7"/>
    <w:rsid w:val="0017258B"/>
    <w:rsid w:val="00175DA9"/>
    <w:rsid w:val="00181002"/>
    <w:rsid w:val="00184993"/>
    <w:rsid w:val="00184F5F"/>
    <w:rsid w:val="00185364"/>
    <w:rsid w:val="00192647"/>
    <w:rsid w:val="001A468D"/>
    <w:rsid w:val="001A61F1"/>
    <w:rsid w:val="001C4D32"/>
    <w:rsid w:val="001D2F0D"/>
    <w:rsid w:val="001D3416"/>
    <w:rsid w:val="001D6767"/>
    <w:rsid w:val="001E4F24"/>
    <w:rsid w:val="001E5934"/>
    <w:rsid w:val="001F54BA"/>
    <w:rsid w:val="0022157F"/>
    <w:rsid w:val="0023532A"/>
    <w:rsid w:val="00237E5C"/>
    <w:rsid w:val="0024324E"/>
    <w:rsid w:val="00243EE2"/>
    <w:rsid w:val="00244B56"/>
    <w:rsid w:val="002539F4"/>
    <w:rsid w:val="00253E71"/>
    <w:rsid w:val="00262657"/>
    <w:rsid w:val="00263D97"/>
    <w:rsid w:val="002664EF"/>
    <w:rsid w:val="00271E1C"/>
    <w:rsid w:val="00275A11"/>
    <w:rsid w:val="0029489E"/>
    <w:rsid w:val="00295144"/>
    <w:rsid w:val="002A22B2"/>
    <w:rsid w:val="002B02BE"/>
    <w:rsid w:val="002B1A4A"/>
    <w:rsid w:val="002C2AB2"/>
    <w:rsid w:val="002C328D"/>
    <w:rsid w:val="002D18A2"/>
    <w:rsid w:val="002D3519"/>
    <w:rsid w:val="002E3ED1"/>
    <w:rsid w:val="002E7511"/>
    <w:rsid w:val="002F4A37"/>
    <w:rsid w:val="002F4CF3"/>
    <w:rsid w:val="00310FF2"/>
    <w:rsid w:val="003205B3"/>
    <w:rsid w:val="00323B37"/>
    <w:rsid w:val="003425BC"/>
    <w:rsid w:val="003468D1"/>
    <w:rsid w:val="00346ACA"/>
    <w:rsid w:val="00347042"/>
    <w:rsid w:val="003675E5"/>
    <w:rsid w:val="00395A6C"/>
    <w:rsid w:val="003B30F8"/>
    <w:rsid w:val="003B3B7A"/>
    <w:rsid w:val="003B679E"/>
    <w:rsid w:val="003C005B"/>
    <w:rsid w:val="003C23D6"/>
    <w:rsid w:val="003C2494"/>
    <w:rsid w:val="003C7915"/>
    <w:rsid w:val="003D3E8D"/>
    <w:rsid w:val="003D4070"/>
    <w:rsid w:val="003E537A"/>
    <w:rsid w:val="003F4872"/>
    <w:rsid w:val="003F4C4F"/>
    <w:rsid w:val="00401426"/>
    <w:rsid w:val="00412016"/>
    <w:rsid w:val="00415F1D"/>
    <w:rsid w:val="00421126"/>
    <w:rsid w:val="00426693"/>
    <w:rsid w:val="004327FF"/>
    <w:rsid w:val="0044151A"/>
    <w:rsid w:val="00455DAF"/>
    <w:rsid w:val="00466177"/>
    <w:rsid w:val="00476DA6"/>
    <w:rsid w:val="0048491E"/>
    <w:rsid w:val="00486F83"/>
    <w:rsid w:val="00495673"/>
    <w:rsid w:val="004A0F04"/>
    <w:rsid w:val="004A0F60"/>
    <w:rsid w:val="004A485C"/>
    <w:rsid w:val="004B3E04"/>
    <w:rsid w:val="004B56CF"/>
    <w:rsid w:val="004B75D5"/>
    <w:rsid w:val="004C6E16"/>
    <w:rsid w:val="004D0A6D"/>
    <w:rsid w:val="004D42B0"/>
    <w:rsid w:val="004D4436"/>
    <w:rsid w:val="004F1196"/>
    <w:rsid w:val="00502EF1"/>
    <w:rsid w:val="0050493D"/>
    <w:rsid w:val="00511F40"/>
    <w:rsid w:val="00511F8E"/>
    <w:rsid w:val="00512193"/>
    <w:rsid w:val="0051741C"/>
    <w:rsid w:val="00521236"/>
    <w:rsid w:val="00523B12"/>
    <w:rsid w:val="00541843"/>
    <w:rsid w:val="00546FE3"/>
    <w:rsid w:val="00547613"/>
    <w:rsid w:val="00567D9D"/>
    <w:rsid w:val="0057127E"/>
    <w:rsid w:val="00576D5E"/>
    <w:rsid w:val="00587F1A"/>
    <w:rsid w:val="005A3EF3"/>
    <w:rsid w:val="005B3085"/>
    <w:rsid w:val="005B3706"/>
    <w:rsid w:val="005B4303"/>
    <w:rsid w:val="005C129A"/>
    <w:rsid w:val="005C2790"/>
    <w:rsid w:val="005D53F1"/>
    <w:rsid w:val="005F3EAA"/>
    <w:rsid w:val="005F3EAE"/>
    <w:rsid w:val="00614A04"/>
    <w:rsid w:val="006161EE"/>
    <w:rsid w:val="00617DA3"/>
    <w:rsid w:val="006259DB"/>
    <w:rsid w:val="00633856"/>
    <w:rsid w:val="006373D0"/>
    <w:rsid w:val="0065060B"/>
    <w:rsid w:val="006525DB"/>
    <w:rsid w:val="006631E9"/>
    <w:rsid w:val="00665388"/>
    <w:rsid w:val="00674242"/>
    <w:rsid w:val="006A29E6"/>
    <w:rsid w:val="006A3060"/>
    <w:rsid w:val="006A4B03"/>
    <w:rsid w:val="006A4B13"/>
    <w:rsid w:val="006C2D77"/>
    <w:rsid w:val="006C770B"/>
    <w:rsid w:val="006D0709"/>
    <w:rsid w:val="006D40F8"/>
    <w:rsid w:val="006D4A5D"/>
    <w:rsid w:val="006D4EC6"/>
    <w:rsid w:val="006D5017"/>
    <w:rsid w:val="006F204F"/>
    <w:rsid w:val="00701474"/>
    <w:rsid w:val="00712D2F"/>
    <w:rsid w:val="00713914"/>
    <w:rsid w:val="00722567"/>
    <w:rsid w:val="007229DF"/>
    <w:rsid w:val="007243B7"/>
    <w:rsid w:val="00734BF3"/>
    <w:rsid w:val="00754008"/>
    <w:rsid w:val="0075716C"/>
    <w:rsid w:val="00763041"/>
    <w:rsid w:val="00781AE3"/>
    <w:rsid w:val="00781FF4"/>
    <w:rsid w:val="007864D6"/>
    <w:rsid w:val="00786BD4"/>
    <w:rsid w:val="007931AD"/>
    <w:rsid w:val="0079691B"/>
    <w:rsid w:val="007B0DB1"/>
    <w:rsid w:val="007C2BBC"/>
    <w:rsid w:val="007D6D12"/>
    <w:rsid w:val="007F0F95"/>
    <w:rsid w:val="0080389D"/>
    <w:rsid w:val="0080539D"/>
    <w:rsid w:val="0081040A"/>
    <w:rsid w:val="00811AAB"/>
    <w:rsid w:val="00830167"/>
    <w:rsid w:val="008405A3"/>
    <w:rsid w:val="0084188B"/>
    <w:rsid w:val="00843CAA"/>
    <w:rsid w:val="00852D93"/>
    <w:rsid w:val="008542A8"/>
    <w:rsid w:val="0086691C"/>
    <w:rsid w:val="00875380"/>
    <w:rsid w:val="00881ECA"/>
    <w:rsid w:val="00882969"/>
    <w:rsid w:val="0088559A"/>
    <w:rsid w:val="008A5D37"/>
    <w:rsid w:val="008A709A"/>
    <w:rsid w:val="008A7326"/>
    <w:rsid w:val="008B1ED4"/>
    <w:rsid w:val="008B43EF"/>
    <w:rsid w:val="008C0FEE"/>
    <w:rsid w:val="008C238B"/>
    <w:rsid w:val="008C735A"/>
    <w:rsid w:val="008D4A16"/>
    <w:rsid w:val="008E547C"/>
    <w:rsid w:val="008E7BCE"/>
    <w:rsid w:val="008F3B03"/>
    <w:rsid w:val="008F3C06"/>
    <w:rsid w:val="00904A0D"/>
    <w:rsid w:val="00912D4E"/>
    <w:rsid w:val="00913685"/>
    <w:rsid w:val="00914521"/>
    <w:rsid w:val="00926441"/>
    <w:rsid w:val="00937A28"/>
    <w:rsid w:val="009535AB"/>
    <w:rsid w:val="00956338"/>
    <w:rsid w:val="00956940"/>
    <w:rsid w:val="00960FAD"/>
    <w:rsid w:val="00967486"/>
    <w:rsid w:val="00974A5F"/>
    <w:rsid w:val="009808F9"/>
    <w:rsid w:val="009919B1"/>
    <w:rsid w:val="00996FED"/>
    <w:rsid w:val="009B53F5"/>
    <w:rsid w:val="009C226D"/>
    <w:rsid w:val="009C31CC"/>
    <w:rsid w:val="009C7E27"/>
    <w:rsid w:val="009E4168"/>
    <w:rsid w:val="009E7F2D"/>
    <w:rsid w:val="009F01A5"/>
    <w:rsid w:val="009F58E1"/>
    <w:rsid w:val="00A03F25"/>
    <w:rsid w:val="00A05F8D"/>
    <w:rsid w:val="00A33772"/>
    <w:rsid w:val="00A56797"/>
    <w:rsid w:val="00A636E3"/>
    <w:rsid w:val="00A74BE4"/>
    <w:rsid w:val="00A80F31"/>
    <w:rsid w:val="00A85BF3"/>
    <w:rsid w:val="00A870CD"/>
    <w:rsid w:val="00A90ACD"/>
    <w:rsid w:val="00A9419D"/>
    <w:rsid w:val="00A96175"/>
    <w:rsid w:val="00A96D1B"/>
    <w:rsid w:val="00AA127A"/>
    <w:rsid w:val="00AA3474"/>
    <w:rsid w:val="00AB75B3"/>
    <w:rsid w:val="00AC4E76"/>
    <w:rsid w:val="00AD0E2A"/>
    <w:rsid w:val="00AD78DC"/>
    <w:rsid w:val="00AE1E15"/>
    <w:rsid w:val="00AF0D06"/>
    <w:rsid w:val="00AF13D5"/>
    <w:rsid w:val="00AF56F3"/>
    <w:rsid w:val="00B17861"/>
    <w:rsid w:val="00B27B00"/>
    <w:rsid w:val="00B47081"/>
    <w:rsid w:val="00B504CE"/>
    <w:rsid w:val="00B53091"/>
    <w:rsid w:val="00B56EBB"/>
    <w:rsid w:val="00B72474"/>
    <w:rsid w:val="00B7500E"/>
    <w:rsid w:val="00B75F58"/>
    <w:rsid w:val="00B81424"/>
    <w:rsid w:val="00B9058A"/>
    <w:rsid w:val="00B95F89"/>
    <w:rsid w:val="00BC0700"/>
    <w:rsid w:val="00BC27D6"/>
    <w:rsid w:val="00BD0584"/>
    <w:rsid w:val="00BD5A3F"/>
    <w:rsid w:val="00BE7576"/>
    <w:rsid w:val="00BF5FC4"/>
    <w:rsid w:val="00C00C2B"/>
    <w:rsid w:val="00C01C81"/>
    <w:rsid w:val="00C124E0"/>
    <w:rsid w:val="00C174AB"/>
    <w:rsid w:val="00C210F3"/>
    <w:rsid w:val="00C3095E"/>
    <w:rsid w:val="00C435CD"/>
    <w:rsid w:val="00C447CE"/>
    <w:rsid w:val="00C46111"/>
    <w:rsid w:val="00C50D7E"/>
    <w:rsid w:val="00C53FC5"/>
    <w:rsid w:val="00C61278"/>
    <w:rsid w:val="00C73F59"/>
    <w:rsid w:val="00C7686B"/>
    <w:rsid w:val="00C86FA3"/>
    <w:rsid w:val="00C95935"/>
    <w:rsid w:val="00CB0A3B"/>
    <w:rsid w:val="00CB37D0"/>
    <w:rsid w:val="00CD6EE4"/>
    <w:rsid w:val="00CF03FC"/>
    <w:rsid w:val="00CF1AB7"/>
    <w:rsid w:val="00CF31B7"/>
    <w:rsid w:val="00CF508F"/>
    <w:rsid w:val="00CF6CFA"/>
    <w:rsid w:val="00D125BA"/>
    <w:rsid w:val="00D15F05"/>
    <w:rsid w:val="00D230AE"/>
    <w:rsid w:val="00D2430F"/>
    <w:rsid w:val="00D347D0"/>
    <w:rsid w:val="00D40986"/>
    <w:rsid w:val="00D42C5F"/>
    <w:rsid w:val="00D4719A"/>
    <w:rsid w:val="00D50442"/>
    <w:rsid w:val="00D561D9"/>
    <w:rsid w:val="00D853DD"/>
    <w:rsid w:val="00D9448C"/>
    <w:rsid w:val="00DA408C"/>
    <w:rsid w:val="00DA671E"/>
    <w:rsid w:val="00DB3A31"/>
    <w:rsid w:val="00DB70A2"/>
    <w:rsid w:val="00DC5FC0"/>
    <w:rsid w:val="00DC7E73"/>
    <w:rsid w:val="00DD733A"/>
    <w:rsid w:val="00DF5165"/>
    <w:rsid w:val="00DF6BB2"/>
    <w:rsid w:val="00E04713"/>
    <w:rsid w:val="00E065ED"/>
    <w:rsid w:val="00E15DB1"/>
    <w:rsid w:val="00E1602A"/>
    <w:rsid w:val="00E24128"/>
    <w:rsid w:val="00E416B9"/>
    <w:rsid w:val="00E420BA"/>
    <w:rsid w:val="00E450C2"/>
    <w:rsid w:val="00E50DA2"/>
    <w:rsid w:val="00E53D1D"/>
    <w:rsid w:val="00E8630D"/>
    <w:rsid w:val="00E92BB0"/>
    <w:rsid w:val="00EB470C"/>
    <w:rsid w:val="00EB6A45"/>
    <w:rsid w:val="00EB7273"/>
    <w:rsid w:val="00EC474D"/>
    <w:rsid w:val="00EC60E3"/>
    <w:rsid w:val="00ED55C2"/>
    <w:rsid w:val="00EE2ACF"/>
    <w:rsid w:val="00EE77C0"/>
    <w:rsid w:val="00EF4E3D"/>
    <w:rsid w:val="00F10530"/>
    <w:rsid w:val="00F13BE6"/>
    <w:rsid w:val="00F14462"/>
    <w:rsid w:val="00F16CE7"/>
    <w:rsid w:val="00F20E8E"/>
    <w:rsid w:val="00F279CF"/>
    <w:rsid w:val="00F33ABF"/>
    <w:rsid w:val="00F34DF9"/>
    <w:rsid w:val="00F36549"/>
    <w:rsid w:val="00F40E60"/>
    <w:rsid w:val="00F54DE5"/>
    <w:rsid w:val="00F66CC3"/>
    <w:rsid w:val="00F85327"/>
    <w:rsid w:val="00F856F4"/>
    <w:rsid w:val="00F85E6E"/>
    <w:rsid w:val="00F9078A"/>
    <w:rsid w:val="00F90B8C"/>
    <w:rsid w:val="00F920EE"/>
    <w:rsid w:val="00F92436"/>
    <w:rsid w:val="00F95F45"/>
    <w:rsid w:val="00FA2604"/>
    <w:rsid w:val="00FA5679"/>
    <w:rsid w:val="00FB4BE0"/>
    <w:rsid w:val="00FC0949"/>
    <w:rsid w:val="00FC7DBD"/>
    <w:rsid w:val="00FC7F2D"/>
    <w:rsid w:val="00FD709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F17ABB3"/>
  <w15:docId w15:val="{10A448D0-7E2C-430A-9B1F-8C9D6598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6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085"/>
    <w:rPr>
      <w:sz w:val="16"/>
      <w:szCs w:val="16"/>
    </w:rPr>
  </w:style>
  <w:style w:type="paragraph" w:styleId="CommentText">
    <w:name w:val="annotation text"/>
    <w:basedOn w:val="Normal"/>
    <w:link w:val="CommentTextChar"/>
    <w:uiPriority w:val="99"/>
    <w:unhideWhenUsed/>
    <w:rsid w:val="005B3085"/>
    <w:pPr>
      <w:spacing w:line="240" w:lineRule="auto"/>
    </w:pPr>
    <w:rPr>
      <w:sz w:val="20"/>
      <w:szCs w:val="20"/>
    </w:rPr>
  </w:style>
  <w:style w:type="character" w:customStyle="1" w:styleId="CommentTextChar">
    <w:name w:val="Comment Text Char"/>
    <w:basedOn w:val="DefaultParagraphFont"/>
    <w:link w:val="CommentText"/>
    <w:uiPriority w:val="99"/>
    <w:rsid w:val="005B3085"/>
    <w:rPr>
      <w:sz w:val="20"/>
      <w:szCs w:val="20"/>
    </w:rPr>
  </w:style>
  <w:style w:type="paragraph" w:styleId="CommentSubject">
    <w:name w:val="annotation subject"/>
    <w:basedOn w:val="CommentText"/>
    <w:next w:val="CommentText"/>
    <w:link w:val="CommentSubjectChar"/>
    <w:uiPriority w:val="99"/>
    <w:semiHidden/>
    <w:unhideWhenUsed/>
    <w:rsid w:val="005B3085"/>
    <w:rPr>
      <w:b/>
      <w:bCs/>
    </w:rPr>
  </w:style>
  <w:style w:type="character" w:customStyle="1" w:styleId="CommentSubjectChar">
    <w:name w:val="Comment Subject Char"/>
    <w:basedOn w:val="CommentTextChar"/>
    <w:link w:val="CommentSubject"/>
    <w:uiPriority w:val="99"/>
    <w:semiHidden/>
    <w:rsid w:val="005B3085"/>
    <w:rPr>
      <w:b/>
      <w:bCs/>
      <w:sz w:val="20"/>
      <w:szCs w:val="20"/>
    </w:rPr>
  </w:style>
  <w:style w:type="paragraph" w:styleId="BalloonText">
    <w:name w:val="Balloon Text"/>
    <w:basedOn w:val="Normal"/>
    <w:link w:val="BalloonTextChar"/>
    <w:uiPriority w:val="99"/>
    <w:semiHidden/>
    <w:unhideWhenUsed/>
    <w:rsid w:val="005B3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085"/>
    <w:rPr>
      <w:rFonts w:ascii="Segoe UI" w:hAnsi="Segoe UI" w:cs="Segoe UI"/>
      <w:sz w:val="18"/>
      <w:szCs w:val="18"/>
    </w:rPr>
  </w:style>
  <w:style w:type="paragraph" w:styleId="ListParagraph">
    <w:name w:val="List Paragraph"/>
    <w:basedOn w:val="Normal"/>
    <w:uiPriority w:val="34"/>
    <w:qFormat/>
    <w:rsid w:val="005B3085"/>
    <w:pPr>
      <w:ind w:left="720"/>
      <w:contextualSpacing/>
    </w:pPr>
  </w:style>
  <w:style w:type="paragraph" w:styleId="FootnoteText">
    <w:name w:val="footnote text"/>
    <w:aliases w:val="F1"/>
    <w:basedOn w:val="Normal"/>
    <w:link w:val="FootnoteTextChar"/>
    <w:uiPriority w:val="99"/>
    <w:unhideWhenUsed/>
    <w:rsid w:val="005B3085"/>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5B3085"/>
    <w:rPr>
      <w:sz w:val="20"/>
      <w:szCs w:val="20"/>
    </w:rPr>
  </w:style>
  <w:style w:type="character" w:styleId="FootnoteReference">
    <w:name w:val="footnote reference"/>
    <w:basedOn w:val="DefaultParagraphFont"/>
    <w:uiPriority w:val="99"/>
    <w:unhideWhenUsed/>
    <w:rsid w:val="005B3085"/>
    <w:rPr>
      <w:vertAlign w:val="superscript"/>
    </w:rPr>
  </w:style>
  <w:style w:type="character" w:styleId="Hyperlink">
    <w:name w:val="Hyperlink"/>
    <w:basedOn w:val="DefaultParagraphFont"/>
    <w:uiPriority w:val="99"/>
    <w:unhideWhenUsed/>
    <w:rsid w:val="005B3085"/>
    <w:rPr>
      <w:color w:val="0563C1" w:themeColor="hyperlink"/>
      <w:u w:val="single"/>
    </w:rPr>
  </w:style>
  <w:style w:type="table" w:styleId="TableGrid">
    <w:name w:val="Table Grid"/>
    <w:basedOn w:val="TableNormal"/>
    <w:uiPriority w:val="39"/>
    <w:rsid w:val="005B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3085"/>
    <w:pPr>
      <w:spacing w:after="0" w:line="240" w:lineRule="auto"/>
    </w:pPr>
  </w:style>
  <w:style w:type="paragraph" w:customStyle="1" w:styleId="CM14">
    <w:name w:val="CM14"/>
    <w:basedOn w:val="Normal"/>
    <w:next w:val="Normal"/>
    <w:uiPriority w:val="99"/>
    <w:rsid w:val="005B3085"/>
    <w:pPr>
      <w:autoSpaceDE w:val="0"/>
      <w:autoSpaceDN w:val="0"/>
      <w:adjustRightInd w:val="0"/>
      <w:spacing w:after="0" w:line="240" w:lineRule="auto"/>
    </w:pPr>
    <w:rPr>
      <w:rFonts w:ascii="Minion Pro" w:eastAsia="Times New Roman" w:hAnsi="Minion Pro" w:cs="Times New Roman"/>
      <w:sz w:val="24"/>
      <w:szCs w:val="24"/>
    </w:rPr>
  </w:style>
  <w:style w:type="paragraph" w:styleId="Header">
    <w:name w:val="header"/>
    <w:basedOn w:val="Normal"/>
    <w:link w:val="HeaderChar"/>
    <w:uiPriority w:val="99"/>
    <w:unhideWhenUsed/>
    <w:rsid w:val="005B3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085"/>
  </w:style>
  <w:style w:type="paragraph" w:styleId="Footer">
    <w:name w:val="footer"/>
    <w:basedOn w:val="Normal"/>
    <w:link w:val="FooterChar"/>
    <w:uiPriority w:val="99"/>
    <w:unhideWhenUsed/>
    <w:rsid w:val="005B3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085"/>
  </w:style>
  <w:style w:type="character" w:customStyle="1" w:styleId="UnresolvedMention1">
    <w:name w:val="Unresolved Mention1"/>
    <w:basedOn w:val="DefaultParagraphFont"/>
    <w:uiPriority w:val="99"/>
    <w:semiHidden/>
    <w:unhideWhenUsed/>
    <w:rsid w:val="005B3085"/>
    <w:rPr>
      <w:color w:val="605E5C"/>
      <w:shd w:val="clear" w:color="auto" w:fill="E1DFDD"/>
    </w:rPr>
  </w:style>
  <w:style w:type="character" w:customStyle="1" w:styleId="UnresolvedMention2">
    <w:name w:val="Unresolved Mention2"/>
    <w:basedOn w:val="DefaultParagraphFont"/>
    <w:uiPriority w:val="99"/>
    <w:semiHidden/>
    <w:unhideWhenUsed/>
    <w:rsid w:val="005B3085"/>
    <w:rPr>
      <w:color w:val="605E5C"/>
      <w:shd w:val="clear" w:color="auto" w:fill="E1DFDD"/>
    </w:rPr>
  </w:style>
  <w:style w:type="paragraph" w:customStyle="1" w:styleId="Default">
    <w:name w:val="Default"/>
    <w:basedOn w:val="Normal"/>
    <w:rsid w:val="005B3085"/>
    <w:pPr>
      <w:autoSpaceDE w:val="0"/>
      <w:autoSpaceDN w:val="0"/>
      <w:spacing w:after="0" w:line="240" w:lineRule="auto"/>
    </w:pPr>
    <w:rPr>
      <w:rFonts w:ascii="Times New Roman" w:hAnsi="Times New Roman" w:cs="Times New Roman"/>
      <w:color w:val="000000"/>
      <w:sz w:val="24"/>
      <w:szCs w:val="24"/>
    </w:rPr>
  </w:style>
  <w:style w:type="character" w:customStyle="1" w:styleId="UnresolvedMention3">
    <w:name w:val="Unresolved Mention3"/>
    <w:basedOn w:val="DefaultParagraphFont"/>
    <w:uiPriority w:val="99"/>
    <w:semiHidden/>
    <w:unhideWhenUsed/>
    <w:rsid w:val="005B3085"/>
    <w:rPr>
      <w:color w:val="605E5C"/>
      <w:shd w:val="clear" w:color="auto" w:fill="E1DFDD"/>
    </w:rPr>
  </w:style>
  <w:style w:type="character" w:styleId="UnresolvedMention">
    <w:name w:val="Unresolved Mention"/>
    <w:basedOn w:val="DefaultParagraphFont"/>
    <w:uiPriority w:val="99"/>
    <w:semiHidden/>
    <w:unhideWhenUsed/>
    <w:rsid w:val="00F9078A"/>
    <w:rPr>
      <w:color w:val="605E5C"/>
      <w:shd w:val="clear" w:color="auto" w:fill="E1DFDD"/>
    </w:rPr>
  </w:style>
  <w:style w:type="character" w:customStyle="1" w:styleId="SP-SglSpParaChar">
    <w:name w:val="SP-Sgl Sp Para Char"/>
    <w:link w:val="SP-SglSpPara"/>
    <w:uiPriority w:val="99"/>
    <w:locked/>
    <w:rsid w:val="00912D4E"/>
    <w:rPr>
      <w:rFonts w:ascii="Times New Roman" w:eastAsia="Times New Roman" w:hAnsi="Times New Roman" w:cs="Times New Roman"/>
      <w:szCs w:val="20"/>
    </w:rPr>
  </w:style>
  <w:style w:type="paragraph" w:customStyle="1" w:styleId="SP-SglSpPara">
    <w:name w:val="SP-Sgl Sp Para"/>
    <w:link w:val="SP-SglSpParaChar"/>
    <w:uiPriority w:val="99"/>
    <w:rsid w:val="00912D4E"/>
    <w:pPr>
      <w:tabs>
        <w:tab w:val="left" w:pos="576"/>
      </w:tabs>
      <w:spacing w:after="0" w:line="240" w:lineRule="atLeast"/>
      <w:ind w:firstLine="576"/>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yperlink" Target="mailto:CPDO@norc.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F48C3-93A4-974C-AAF5-F0655F28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13</Pages>
  <Words>5386</Words>
  <Characters>31029</Characters>
  <Application>Microsoft Office Word</Application>
  <DocSecurity>0</DocSecurity>
  <Lines>674</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Rachel (OJP)</dc:creator>
  <cp:lastModifiedBy>Adams, Devon (OJP)</cp:lastModifiedBy>
  <cp:revision>6</cp:revision>
  <dcterms:created xsi:type="dcterms:W3CDTF">2024-11-01T16:56:00Z</dcterms:created>
  <dcterms:modified xsi:type="dcterms:W3CDTF">2024-11-26T16:49:00Z</dcterms:modified>
</cp:coreProperties>
</file>