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C69" w:rsidRPr="005F1C69" w:rsidP="005F1C69" w14:paraId="560306F0" w14:textId="77777777">
      <w:pPr>
        <w:widowControl/>
        <w:autoSpaceDE/>
        <w:autoSpaceDN/>
        <w:adjustRightInd/>
        <w:jc w:val="center"/>
      </w:pPr>
      <w:r w:rsidRPr="005F1C69">
        <w:t>Department of Justice</w:t>
      </w:r>
    </w:p>
    <w:p w:rsidR="005F1C69" w:rsidRPr="005F1C69" w:rsidP="005F1C69" w14:paraId="4D2E00C0" w14:textId="77777777">
      <w:pPr>
        <w:widowControl/>
        <w:autoSpaceDE/>
        <w:autoSpaceDN/>
        <w:adjustRightInd/>
        <w:jc w:val="center"/>
      </w:pPr>
      <w:r w:rsidRPr="005F1C69">
        <w:t>Bureau of Alcohol, Tobacco, Firearms and Explosives</w:t>
      </w:r>
    </w:p>
    <w:p w:rsidR="005F1C69" w:rsidRPr="005F1C69" w:rsidP="005F1C69" w14:paraId="78DF9E3D" w14:textId="77777777">
      <w:pPr>
        <w:widowControl/>
        <w:autoSpaceDE/>
        <w:autoSpaceDN/>
        <w:adjustRightInd/>
        <w:jc w:val="center"/>
      </w:pPr>
      <w:r w:rsidRPr="005F1C69">
        <w:t>Supporting Statement</w:t>
      </w:r>
    </w:p>
    <w:p w:rsidR="005F1C69" w:rsidRPr="005F1C69" w:rsidP="005F1C69" w14:paraId="35C677DB" w14:textId="77777777">
      <w:pPr>
        <w:widowControl/>
        <w:autoSpaceDE/>
        <w:autoSpaceDN/>
        <w:adjustRightInd/>
        <w:jc w:val="center"/>
      </w:pPr>
      <w:r w:rsidRPr="005F1C69">
        <w:t xml:space="preserve"> Information Collection Request</w:t>
      </w:r>
    </w:p>
    <w:p w:rsidR="005F1C69" w:rsidRPr="005F1C69" w:rsidP="005F1C69" w14:paraId="19F0E367" w14:textId="77777777">
      <w:pPr>
        <w:widowControl/>
        <w:autoSpaceDE/>
        <w:autoSpaceDN/>
        <w:adjustRightInd/>
        <w:jc w:val="center"/>
      </w:pPr>
      <w:r w:rsidRPr="005F1C69">
        <w:t xml:space="preserve">OMB 1140-0024 </w:t>
      </w:r>
    </w:p>
    <w:p w:rsidR="005F1C69" w:rsidRPr="005F1C69" w:rsidP="005F1C69" w14:paraId="4950ADE6" w14:textId="77777777">
      <w:pPr>
        <w:widowControl/>
        <w:autoSpaceDE/>
        <w:autoSpaceDN/>
        <w:adjustRightInd/>
        <w:jc w:val="center"/>
      </w:pPr>
      <w:bookmarkStart w:id="0" w:name="_Hlk83728694"/>
      <w:r w:rsidRPr="005F1C69">
        <w:t>Demand 2 Program: Report of Firearms Transactions –– ATF Form 5300.5</w:t>
      </w:r>
    </w:p>
    <w:bookmarkEnd w:id="0"/>
    <w:p w:rsidR="000B6FB6" w:rsidRPr="00A47DA7" w:rsidP="00690F56" w14:paraId="1CF8A88F" w14:textId="77777777">
      <w:pPr>
        <w:widowControl/>
        <w:rPr>
          <w:b/>
          <w:bCs/>
        </w:rPr>
      </w:pPr>
    </w:p>
    <w:p w:rsidR="00690F56" w:rsidRPr="00A47DA7" w:rsidP="00242CA0" w14:paraId="0A674873" w14:textId="77777777">
      <w:pPr>
        <w:widowControl/>
        <w:numPr>
          <w:ilvl w:val="0"/>
          <w:numId w:val="8"/>
        </w:numPr>
        <w:ind w:left="540" w:hanging="450"/>
        <w:rPr>
          <w:b/>
          <w:bCs/>
        </w:rPr>
      </w:pPr>
      <w:r w:rsidRPr="00A47DA7">
        <w:rPr>
          <w:b/>
          <w:bCs/>
        </w:rPr>
        <w:t>JUSTIFICATION</w:t>
      </w:r>
    </w:p>
    <w:p w:rsidR="00690F56" w:rsidRPr="00F4518C" w:rsidP="00690F56" w14:paraId="375316BB" w14:textId="77777777">
      <w:pPr>
        <w:widowControl/>
        <w:rPr>
          <w:b/>
          <w:bCs/>
        </w:rPr>
      </w:pPr>
    </w:p>
    <w:p w:rsidR="00690F56" w:rsidP="00690F56" w14:paraId="38CEE6AD" w14:textId="6D3624AE">
      <w:pPr>
        <w:widowControl/>
      </w:pPr>
      <w:r w:rsidRPr="00D53DEB">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A336C" w:rsidP="007A336C" w14:paraId="120FB0B4" w14:textId="77777777">
      <w:pPr>
        <w:widowControl/>
        <w:autoSpaceDE/>
        <w:autoSpaceDN/>
        <w:adjustRightInd/>
      </w:pPr>
    </w:p>
    <w:p w:rsidR="007A336C" w:rsidP="007A336C" w14:paraId="62B9BDCB" w14:textId="549E5CEF">
      <w:pPr>
        <w:widowControl/>
        <w:autoSpaceDE/>
        <w:autoSpaceDN/>
        <w:adjustRightInd/>
      </w:pPr>
      <w:r w:rsidRPr="006564BD">
        <w:t>This report is required under authority 18 U.S.C. § 923(g)</w:t>
      </w:r>
      <w:r w:rsidR="00192405">
        <w:t>(5)</w:t>
      </w:r>
      <w:r w:rsidRPr="006564BD">
        <w:t xml:space="preserve">, in the form and manner specified in 27 CFR § </w:t>
      </w:r>
      <w:r w:rsidRPr="006564BD" w:rsidR="008C1C01">
        <w:t>478.126(a) and</w:t>
      </w:r>
      <w:r w:rsidRPr="006564BD">
        <w:t xml:space="preserve"> is in addition to all records and reports required under any other provision of law or regulations. This information collection documents transactions of firearms for law enforcement purposes. Each federal firearms licensee (FFL), when required by letter issued by a Bureau of Alcohol, Tobacco, Firearms and Explosives (ATF) official, shall submit a Demand 2 Program: Report of Firearms Transactions –– ATF Form 5300.5 (ATF Form 5300.5), detailing all firearms transactions during a specified period, with quarterly follow up reports required until notified in writing by the official to cease such reporting.</w:t>
      </w:r>
    </w:p>
    <w:p w:rsidR="006564BD" w:rsidP="007A336C" w14:paraId="1979BA1A" w14:textId="77777777">
      <w:pPr>
        <w:widowControl/>
        <w:autoSpaceDE/>
        <w:autoSpaceDN/>
        <w:adjustRightInd/>
      </w:pPr>
    </w:p>
    <w:p w:rsidR="006564BD" w:rsidRPr="006564BD" w:rsidP="006564BD" w14:paraId="712F5B5E" w14:textId="77777777">
      <w:pPr>
        <w:widowControl/>
        <w:autoSpaceDE/>
        <w:autoSpaceDN/>
        <w:adjustRightInd/>
        <w:rPr>
          <w:b/>
          <w:bCs/>
        </w:rPr>
      </w:pPr>
      <w:r w:rsidRPr="006564BD">
        <w:rPr>
          <w:b/>
          <w:bCs/>
        </w:rPr>
        <w:t>Expansion of Demand 2 Program to Include Type 07 and Type 08 FFLs:</w:t>
      </w:r>
    </w:p>
    <w:p w:rsidR="006564BD" w:rsidRPr="006564BD" w:rsidP="006564BD" w14:paraId="40D106C8" w14:textId="77777777">
      <w:pPr>
        <w:widowControl/>
        <w:autoSpaceDE/>
        <w:autoSpaceDN/>
        <w:adjustRightInd/>
      </w:pPr>
      <w:r w:rsidRPr="006564BD">
        <w:t xml:space="preserve"> </w:t>
      </w:r>
    </w:p>
    <w:p w:rsidR="00407CFB" w:rsidRPr="00890E20" w:rsidP="0000200E" w14:paraId="64760EC7" w14:textId="1D2A04C3">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564BD">
        <w:t xml:space="preserve">Since the Demand 2 Program’s inception in 2000, only Type 01 (Dealer in Firearms Other Than Destructive Devices) and Type 02 (Pawnbroker in Firearms Other Than Destructive Devices) that meet the program’s criteria of having a certain number of traces that have a time to crime of three years or less have been required to report information on firearms they have acquired from non-FFLs (i.e., “used” firearms).  </w:t>
      </w:r>
      <w:r>
        <w:rPr>
          <w:color w:val="000000" w:themeColor="text1"/>
        </w:rPr>
        <w:t xml:space="preserve"> </w:t>
      </w:r>
      <w:r w:rsidRPr="00E34B61">
        <w:t xml:space="preserve">The </w:t>
      </w:r>
      <w:r>
        <w:t>Demand 2</w:t>
      </w:r>
      <w:r w:rsidRPr="00E34B61">
        <w:t xml:space="preserve"> </w:t>
      </w:r>
      <w:r>
        <w:t xml:space="preserve">program is </w:t>
      </w:r>
      <w:r w:rsidRPr="00E34B61">
        <w:t xml:space="preserve">an important tool </w:t>
      </w:r>
      <w:r>
        <w:t xml:space="preserve">to assist in identifying and investigating the diversion of firearms from lawful commerce to criminal use.  Information from the Demand 2 program helps identify </w:t>
      </w:r>
      <w:r w:rsidRPr="00E34B61">
        <w:t>purchasing patterns</w:t>
      </w:r>
      <w:r>
        <w:t xml:space="preserve"> involved in </w:t>
      </w:r>
      <w:r w:rsidRPr="00E34B61">
        <w:t>trafficking</w:t>
      </w:r>
      <w:r>
        <w:t xml:space="preserve"> </w:t>
      </w:r>
      <w:r w:rsidRPr="00E34B61">
        <w:t>schemes</w:t>
      </w:r>
      <w:r>
        <w:t xml:space="preserve"> and other forms of criminal </w:t>
      </w:r>
      <w:r>
        <w:t>diversion, and</w:t>
      </w:r>
      <w:r>
        <w:t xml:space="preserve"> enhances the ability of law enforcement to determine the source of firearms used in violent crimes.</w:t>
      </w:r>
      <w:r w:rsidRPr="00F1759B">
        <w:rPr>
          <w:color w:val="000000" w:themeColor="text1"/>
        </w:rPr>
        <w:t xml:space="preserve"> </w:t>
      </w:r>
    </w:p>
    <w:p w:rsidR="006564BD" w:rsidRPr="006564BD" w:rsidP="0000200E" w14:paraId="2DFDF435" w14:textId="28602891">
      <w:pPr>
        <w:widowControl/>
        <w:autoSpaceDE/>
        <w:autoSpaceDN/>
        <w:adjustRightInd/>
      </w:pPr>
    </w:p>
    <w:p w:rsidR="006564BD" w:rsidRPr="006564BD" w:rsidP="006564BD" w14:paraId="028E6F06" w14:textId="77777777">
      <w:pPr>
        <w:widowControl/>
        <w:autoSpaceDE/>
        <w:autoSpaceDN/>
        <w:adjustRightInd/>
      </w:pPr>
    </w:p>
    <w:p w:rsidR="006564BD" w:rsidRPr="006564BD" w:rsidP="006564BD" w14:paraId="2D45DD85" w14:textId="2F407866">
      <w:pPr>
        <w:widowControl/>
        <w:autoSpaceDE/>
        <w:autoSpaceDN/>
        <w:adjustRightInd/>
      </w:pPr>
      <w:r w:rsidRPr="006564BD">
        <w:t xml:space="preserve">Over the past five years, there has been an increase in the number of Type 07 (Manufacturer Firearms) FFLs that meet the Demand 2 program criteria.  Based on the number of traces from 2019 to 2023, there were 299 Type 07 FFLs that would have qualified for Demand 2 program at least once between 2020 to 2024.  Approximately 65% of these FFLs met the Demand 2 requirements in more than one year.  Furthermore, just under half (46%) of the affected FFLs performed no manufacturing in the last </w:t>
      </w:r>
      <w:r w:rsidR="007234FA">
        <w:t>five</w:t>
      </w:r>
      <w:r w:rsidRPr="006564BD">
        <w:t xml:space="preserve"> years based on the Annual Firearm Manufacturing and Exportation Report.  This would suggest that most of the Type 7 FFLs that would have been subject Demand 2 requirements primarily deal in firearms rather than manufacture.      </w:t>
      </w:r>
    </w:p>
    <w:p w:rsidR="006564BD" w:rsidRPr="006564BD" w:rsidP="006564BD" w14:paraId="6C5014D4" w14:textId="77777777">
      <w:pPr>
        <w:widowControl/>
        <w:autoSpaceDE/>
        <w:autoSpaceDN/>
        <w:adjustRightInd/>
      </w:pPr>
    </w:p>
    <w:p w:rsidR="006564BD" w:rsidRPr="006564BD" w:rsidP="006564BD" w14:paraId="573BEDDE" w14:textId="0CBF2CDC">
      <w:pPr>
        <w:widowControl/>
        <w:autoSpaceDE/>
        <w:autoSpaceDN/>
        <w:adjustRightInd/>
      </w:pPr>
      <w:r w:rsidRPr="006564BD">
        <w:t>While the numbers for Type 08 (Importers of Firearms) FFLs</w:t>
      </w:r>
      <w:r w:rsidR="007234FA">
        <w:t xml:space="preserve"> that meet the Demand 2</w:t>
      </w:r>
      <w:r w:rsidRPr="006564BD">
        <w:t xml:space="preserve"> </w:t>
      </w:r>
      <w:r w:rsidR="007234FA">
        <w:t xml:space="preserve">program </w:t>
      </w:r>
      <w:r w:rsidRPr="006564BD">
        <w:t xml:space="preserve">is lower than Type 07, trace data shows that of </w:t>
      </w:r>
      <w:r w:rsidRPr="006564BD">
        <w:t>the 16 Type</w:t>
      </w:r>
      <w:r w:rsidRPr="006564BD">
        <w:t xml:space="preserve"> 08</w:t>
      </w:r>
      <w:r w:rsidR="00552183">
        <w:t xml:space="preserve"> FFLs</w:t>
      </w:r>
      <w:r w:rsidRPr="006564BD">
        <w:t xml:space="preserve"> that met the Demand 2 criteria in the past five years, more than half met the Demand 2 criteria in more than one year.  Furthermore, of </w:t>
      </w:r>
      <w:r w:rsidRPr="006564BD">
        <w:t>the 16 Type</w:t>
      </w:r>
      <w:r w:rsidRPr="006564BD">
        <w:t xml:space="preserve"> 08 FFLs that would have been subject to Demand 2 between 2020 to 2024, only one submitted the “Release and Receipt of Imported Firearms, Ammunition, and Defense Articles,” ATF Form 6A to actually import firearms into the United States.  Again, this suggests that most of the Type 08 FFLs that would have been subject to Demand 2 primarily deal in firearms rather than import. </w:t>
      </w:r>
    </w:p>
    <w:p w:rsidR="006564BD" w:rsidRPr="006564BD" w:rsidP="006564BD" w14:paraId="31214A5F" w14:textId="77777777">
      <w:pPr>
        <w:widowControl/>
        <w:autoSpaceDE/>
        <w:autoSpaceDN/>
        <w:adjustRightInd/>
      </w:pPr>
    </w:p>
    <w:p w:rsidR="006564BD" w:rsidRPr="006564BD" w:rsidP="006564BD" w14:paraId="652EE77D" w14:textId="77777777">
      <w:pPr>
        <w:widowControl/>
        <w:autoSpaceDE/>
        <w:autoSpaceDN/>
        <w:adjustRightInd/>
      </w:pPr>
      <w:r w:rsidRPr="006564BD">
        <w:t>For all new Type 07 and 08 FFLs that would have been subjected to Demand 2 for the past five years, they make up only 1.01% (299) of the current (19,637) Type 07 population and 0.86% (16) of the current (1,856) Type 08 population.</w:t>
      </w:r>
    </w:p>
    <w:p w:rsidR="006564BD" w:rsidRPr="006564BD" w:rsidP="006564BD" w14:paraId="5373A377" w14:textId="77777777">
      <w:pPr>
        <w:widowControl/>
        <w:autoSpaceDE/>
        <w:autoSpaceDN/>
        <w:adjustRightInd/>
      </w:pPr>
    </w:p>
    <w:p w:rsidR="006564BD" w:rsidRPr="006564BD" w:rsidP="006564BD" w14:paraId="1652EC24" w14:textId="3AC4D013">
      <w:pPr>
        <w:widowControl/>
        <w:autoSpaceDE/>
        <w:autoSpaceDN/>
        <w:adjustRightInd/>
      </w:pPr>
      <w:r w:rsidRPr="006564BD">
        <w:t xml:space="preserve">Due to the </w:t>
      </w:r>
      <w:r w:rsidR="007234FA">
        <w:t>growing number of</w:t>
      </w:r>
      <w:r w:rsidRPr="006564BD">
        <w:t xml:space="preserve"> Type 07 FFLs meeting Demand 2 criteria</w:t>
      </w:r>
      <w:r w:rsidR="007234FA">
        <w:t xml:space="preserve">—with many showing little or no manufacturing activity—and </w:t>
      </w:r>
      <w:r w:rsidRPr="006564BD">
        <w:t xml:space="preserve">the  </w:t>
      </w:r>
      <w:r w:rsidR="00FA183B">
        <w:t xml:space="preserve">potential that some FFLs may use </w:t>
      </w:r>
      <w:r w:rsidRPr="006564BD">
        <w:t xml:space="preserve"> a Type 08 license to deal</w:t>
      </w:r>
      <w:r w:rsidR="00FA183B">
        <w:t xml:space="preserve"> in firearms</w:t>
      </w:r>
      <w:r w:rsidRPr="006564BD">
        <w:t xml:space="preserve"> and avoid reporting requirement if Type 08 is not subjected to Demand 2, ATF is now including Type 07 and 08 FFLs as a population that is subject to the reporting requirements of Demand 2 program. </w:t>
      </w:r>
    </w:p>
    <w:p w:rsidR="007A336C" w:rsidP="00690F56" w14:paraId="4D3EB9EE" w14:textId="77777777">
      <w:pPr>
        <w:widowControl/>
        <w:rPr>
          <w:b/>
          <w:bCs/>
        </w:rPr>
      </w:pPr>
    </w:p>
    <w:p w:rsidR="00690F56" w:rsidP="00690F56" w14:paraId="2BBF8E2F" w14:textId="19437DD3">
      <w:pPr>
        <w:widowControl/>
        <w:rPr>
          <w:b/>
          <w:bCs/>
        </w:rPr>
      </w:pPr>
      <w:r w:rsidRPr="00D53DEB">
        <w:rPr>
          <w:b/>
          <w:bCs/>
        </w:rPr>
        <w:t>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b/>
          <w:bCs/>
        </w:rPr>
      </w:pPr>
    </w:p>
    <w:p w:rsidR="00690F56" w:rsidP="006564BD" w14:paraId="6EBE63D5" w14:textId="2DBC27DA">
      <w:bookmarkStart w:id="1" w:name="_Hlk74293115"/>
      <w:r w:rsidRPr="007A336C">
        <w:t xml:space="preserve">ATF Form 5300.5 </w:t>
      </w:r>
      <w:bookmarkEnd w:id="1"/>
      <w:r w:rsidRPr="007A336C">
        <w:t xml:space="preserve">is used when an ATF official has determined that an FFL has met the Demand 2 reporting requirements. </w:t>
      </w:r>
      <w:r w:rsidR="008C1C01">
        <w:t>Currently, t</w:t>
      </w:r>
      <w:r w:rsidRPr="007A336C">
        <w:t>he Demand 2 program requires FFLs with 25 or more traces with a time to crime of three years or less in a calendar year, to submit an annual report followed by quarterly reports of firearms acquired from unlicensed sources (non-FFL holders). The form clearly outlines all required information</w:t>
      </w:r>
      <w:r w:rsidR="008C1C01">
        <w:t xml:space="preserve"> to </w:t>
      </w:r>
      <w:r w:rsidR="008C1C01">
        <w:t>include:</w:t>
      </w:r>
      <w:r w:rsidR="008C1C01">
        <w:t xml:space="preserve">  Acquisition Date, </w:t>
      </w:r>
      <w:r w:rsidR="007126F1">
        <w:t xml:space="preserve">Firearm </w:t>
      </w:r>
      <w:r w:rsidR="008C1C01">
        <w:t xml:space="preserve">Manufacturer, </w:t>
      </w:r>
      <w:r w:rsidR="007126F1">
        <w:t xml:space="preserve">Firearm </w:t>
      </w:r>
      <w:r w:rsidR="008C1C01">
        <w:t>Model, Serial Number, Type of Firearm, Caliber or Gauge</w:t>
      </w:r>
      <w:r w:rsidRPr="007A336C">
        <w:t xml:space="preserve">. ATF personnel will examine all completed forms for any discrepancies.  </w:t>
      </w:r>
    </w:p>
    <w:p w:rsidR="007A336C" w:rsidP="006564BD" w14:paraId="2A753889" w14:textId="77777777"/>
    <w:p w:rsidR="007A336C" w:rsidRPr="007A336C" w:rsidP="006564BD" w14:paraId="106AC59C" w14:textId="7E8C50B7">
      <w:r>
        <w:t xml:space="preserve">The </w:t>
      </w:r>
      <w:r w:rsidR="006564BD">
        <w:t>“</w:t>
      </w:r>
      <w:r w:rsidR="008C1C01">
        <w:t>used</w:t>
      </w:r>
      <w:r w:rsidR="006564BD">
        <w:t>”</w:t>
      </w:r>
      <w:r w:rsidR="008C1C01">
        <w:t xml:space="preserve"> </w:t>
      </w:r>
      <w:r>
        <w:t xml:space="preserve">firearm information collected on the ATF Form 5300.5 is recorded in the Firearms Tracing System (FTS) and </w:t>
      </w:r>
      <w:r w:rsidR="002547AA">
        <w:t xml:space="preserve">used by the ATF NTC Tracing Staff to </w:t>
      </w:r>
      <w:r w:rsidR="008C1C01">
        <w:t>facilitate the tracing of</w:t>
      </w:r>
      <w:r w:rsidR="002547AA">
        <w:t xml:space="preserve"> secondary market firearms.</w:t>
      </w:r>
    </w:p>
    <w:p w:rsidR="00802A30" w:rsidRPr="00A47DA7" w:rsidP="00802A30" w14:paraId="34E41BA0" w14:textId="77777777">
      <w:pPr>
        <w:widowControl/>
        <w:rPr>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b/>
          <w:bCs/>
        </w:rPr>
        <w:t>,</w:t>
      </w:r>
      <w:r w:rsidRPr="00D53DEB">
        <w:rPr>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8B3811" w:rsidRPr="008B3811" w:rsidP="006564BD" w14:paraId="41EACE7A" w14:textId="56C72BC4">
      <w:r w:rsidRPr="008B3811">
        <w:t xml:space="preserve">ATF Form 5300.5 is available on ATF’s website and can be downloaded and printed for completion. The electronic form is fillable and accessible (508 compliant) to individuals with disabilities. The completed form can be submitted by email. </w:t>
      </w:r>
    </w:p>
    <w:p w:rsidR="008B3811" w:rsidP="00241CE0" w14:paraId="4566284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2"/>
          <w:szCs w:val="22"/>
        </w:rPr>
      </w:pPr>
    </w:p>
    <w:p w:rsidR="009407FC" w:rsidRPr="004B5B71" w:rsidP="006564BD" w14:paraId="711B75A7" w14:textId="2FA68221">
      <w:r w:rsidRPr="004B5B71">
        <w:t xml:space="preserve">Demand 2 Participant FFLs can electronically </w:t>
      </w:r>
      <w:r w:rsidRPr="004B5B71" w:rsidR="00E562E8">
        <w:t xml:space="preserve">or manually </w:t>
      </w:r>
      <w:r w:rsidRPr="004B5B71">
        <w:t xml:space="preserve">complete the PDF Version of the ATF Form 5300.5 </w:t>
      </w:r>
      <w:r w:rsidRPr="004B5B71" w:rsidR="00E562E8">
        <w:t>and submit it via e-mail, fax, or mail/ship.  Alternatively, FFLs can create their own electronic Demand 2 Reports using programs such as MS Excel and MS Word to submit the required, quarterly information.</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A4637">
        <w:rPr>
          <w:b/>
          <w:bCs/>
        </w:rPr>
        <w:t xml:space="preserve"> </w:t>
      </w:r>
      <w:r w:rsidRPr="00D53DEB">
        <w:rPr>
          <w:b/>
          <w:bCs/>
        </w:rPr>
        <w:t xml:space="preserve">4.  Describe efforts to identify duplication.  Show specifically why any similar information already available cannot be used or modified for use for the purposes described in Item </w:t>
      </w:r>
      <w:r w:rsidRPr="00D53DEB" w:rsidR="00237691">
        <w:rPr>
          <w:b/>
          <w:bCs/>
        </w:rPr>
        <w:t>A.</w:t>
      </w:r>
      <w:r w:rsidRPr="00D53DEB">
        <w:rPr>
          <w:b/>
          <w:bCs/>
        </w:rPr>
        <w:t>2 above.</w:t>
      </w:r>
    </w:p>
    <w:p w:rsidR="008B3811" w:rsidP="008B3811" w14:paraId="588808B9" w14:textId="77777777">
      <w:pPr>
        <w:widowControl/>
        <w:autoSpaceDE/>
        <w:autoSpaceDN/>
        <w:adjustRightInd/>
        <w:rPr>
          <w:rFonts w:asciiTheme="minorHAnsi" w:hAnsiTheme="minorHAnsi" w:cstheme="minorHAnsi"/>
          <w:sz w:val="22"/>
          <w:szCs w:val="22"/>
        </w:rPr>
      </w:pPr>
    </w:p>
    <w:p w:rsidR="008B3811" w:rsidRPr="008B3811" w:rsidP="006564BD" w14:paraId="0C557C1D" w14:textId="14D55E1C">
      <w:r w:rsidRPr="008B3811">
        <w:t>ATF uses a uniform subject classification system to identify duplication and to ensure that any similar information already available cannot be used or modified for use for this information collection.</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686EF219" w14:textId="64C13A3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5.</w:t>
      </w:r>
      <w:r w:rsidRPr="00D53DEB">
        <w:t xml:space="preserve">  </w:t>
      </w:r>
      <w:r w:rsidRPr="00D53DEB">
        <w:rPr>
          <w:b/>
          <w:bCs/>
        </w:rPr>
        <w:t>If the collection of information impacts small businesses or other small entities</w:t>
      </w:r>
      <w:r w:rsidRPr="00D53DEB" w:rsidR="00237691">
        <w:rPr>
          <w:b/>
          <w:bCs/>
        </w:rPr>
        <w:t>,</w:t>
      </w:r>
      <w:r w:rsidRPr="00D53DEB">
        <w:rPr>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8465DD" w:rsidRPr="008465DD" w:rsidP="006564BD" w14:paraId="4228AC0A" w14:textId="77777777">
      <w:r w:rsidRPr="008465DD">
        <w:t>This collection of information has no significant impact on small businesses or other small entities. Electronic reports are acceptable.</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 6</w:t>
      </w:r>
      <w:r w:rsidRPr="00D53DEB" w:rsidR="00237691">
        <w:rPr>
          <w:b/>
          <w:bCs/>
        </w:rPr>
        <w:t>.  Describe the consequence to f</w:t>
      </w:r>
      <w:r w:rsidRPr="00D53DEB">
        <w:rPr>
          <w:b/>
          <w:bCs/>
        </w:rPr>
        <w:t>ederal program or policy activities if the collection is not conducted or is conducted less frequently, as well as any technical or legal obstacles to reducing burden.</w:t>
      </w:r>
    </w:p>
    <w:p w:rsidR="008465DD" w:rsidP="008465DD" w14:paraId="3A0D2E8D" w14:textId="77777777">
      <w:pPr>
        <w:widowControl/>
        <w:autoSpaceDE/>
        <w:autoSpaceDN/>
        <w:adjustRightInd/>
      </w:pPr>
    </w:p>
    <w:p w:rsidR="008465DD" w:rsidRPr="008465DD" w:rsidP="006564BD" w14:paraId="685CEBCD" w14:textId="675BB573">
      <w:r>
        <w:t>W</w:t>
      </w:r>
      <w:r w:rsidRPr="008465DD">
        <w:t>ithout this collection, ATF personnel would not have access to trace data to assist law enforcement entities with criminal investigations.</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564BD" w:rsidP="006564BD" w14:paraId="164905A6" w14:textId="77777777">
      <w:pPr>
        <w:pStyle w:val="ListParagraph"/>
        <w:numPr>
          <w:ilvl w:val="0"/>
          <w:numId w:val="20"/>
        </w:numPr>
      </w:pPr>
      <w:r w:rsidRPr="006564BD">
        <w:rPr>
          <w:b/>
          <w:bCs/>
        </w:rPr>
        <w:t>r</w:t>
      </w:r>
      <w:r w:rsidRPr="006564BD" w:rsidR="00690F56">
        <w:rPr>
          <w:b/>
          <w:bCs/>
        </w:rPr>
        <w:t xml:space="preserve">equiring respondents to report information to the agency more often than </w:t>
      </w:r>
      <w:r w:rsidRPr="006564BD" w:rsidR="00690F56">
        <w:rPr>
          <w:b/>
          <w:bCs/>
        </w:rPr>
        <w:t>quarterly;</w:t>
      </w:r>
      <w:r w:rsidRPr="006564BD" w:rsidR="00FC2E13">
        <w:rPr>
          <w:b/>
          <w:bCs/>
        </w:rPr>
        <w:t xml:space="preserve">  </w:t>
      </w:r>
      <w:r w:rsidRPr="006564BD" w:rsidR="00FC2E13">
        <w:t>There</w:t>
      </w:r>
      <w:r w:rsidRPr="006564BD" w:rsidR="00FC2E13">
        <w:t xml:space="preserve"> are no special circumstances. The data will be collected in a manner consistent with the</w:t>
      </w:r>
      <w:r>
        <w:t xml:space="preserve"> </w:t>
      </w:r>
      <w:r w:rsidRPr="006564BD" w:rsidR="00FC2E13">
        <w:t>guidelines in 5 CFR 1320.6.</w:t>
      </w:r>
      <w:bookmarkStart w:id="2" w:name="_Hlk172274273"/>
    </w:p>
    <w:p w:rsidR="006564BD" w:rsidRPr="006564BD" w:rsidP="006564BD" w14:paraId="2EFF5A73" w14:textId="77777777">
      <w:pPr>
        <w:pStyle w:val="ListParagraph"/>
      </w:pPr>
    </w:p>
    <w:p w:rsidR="00885AA0" w:rsidRPr="006564BD" w:rsidP="006564BD" w14:paraId="5EC00482" w14:textId="0A6A6708">
      <w:pPr>
        <w:pStyle w:val="ListParagraph"/>
        <w:numPr>
          <w:ilvl w:val="0"/>
          <w:numId w:val="20"/>
        </w:numPr>
      </w:pPr>
      <w:r w:rsidRPr="006564BD">
        <w:rPr>
          <w:b/>
          <w:bCs/>
        </w:rPr>
        <w:t xml:space="preserve">requiring respondents to prepare a written response to a collection of information in fewer than 30 days after receipt of it; </w:t>
      </w:r>
      <w:r w:rsidRPr="006564BD">
        <w:t>There are no special circumstances.</w:t>
      </w:r>
      <w:r w:rsidRPr="006564BD">
        <w:rPr>
          <w:rFonts w:asciiTheme="minorHAnsi" w:hAnsiTheme="minorHAnsi" w:cstheme="minorHAnsi"/>
          <w:sz w:val="22"/>
          <w:szCs w:val="22"/>
        </w:rPr>
        <w:t xml:space="preserve">  </w:t>
      </w:r>
    </w:p>
    <w:bookmarkEnd w:id="2"/>
    <w:p w:rsidR="00CE2633" w:rsidRPr="00D53DEB" w:rsidP="0034325A" w14:paraId="4377E495" w14:textId="0779D13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FC2E13" w:rsidRPr="006564BD" w:rsidP="006564BD" w14:paraId="33979010" w14:textId="692BA7D5">
      <w:pPr>
        <w:pStyle w:val="Level1"/>
        <w:widowControl/>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more than an original and two copies of any document;</w:t>
      </w:r>
      <w:r w:rsidRPr="006564BD" w:rsidR="0034325A">
        <w:t xml:space="preserve"> There are no special circumstances.  </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6564BD" w:rsidP="006564BD" w14:paraId="3B520558" w14:textId="4AD27576">
      <w:pPr>
        <w:pStyle w:val="Level1"/>
        <w:widowControl/>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equiring respondents to retain records, other than health, medical, government contract, grant-in-aid, or tax records for more than three years;</w:t>
      </w:r>
      <w:r w:rsidR="0034325A">
        <w:rPr>
          <w:b/>
          <w:bCs/>
        </w:rPr>
        <w:t xml:space="preserve"> </w:t>
      </w:r>
      <w:r w:rsidRPr="006564BD" w:rsidR="0034325A">
        <w:t xml:space="preserve">There are no special circumstances.  </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6564BD" w:rsidP="006564BD" w14:paraId="2CD76B54" w14:textId="6AF0F530">
      <w:pPr>
        <w:pStyle w:val="Level1"/>
        <w:widowControl/>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r w:rsidR="0034325A">
        <w:rPr>
          <w:b/>
          <w:bCs/>
        </w:rPr>
        <w:t xml:space="preserve"> </w:t>
      </w:r>
      <w:r w:rsidRPr="00CE2633" w:rsidR="0034325A">
        <w:rPr>
          <w:rFonts w:asciiTheme="minorHAnsi" w:hAnsiTheme="minorHAnsi" w:cstheme="minorHAnsi"/>
          <w:sz w:val="22"/>
          <w:szCs w:val="22"/>
        </w:rPr>
        <w:t>T</w:t>
      </w:r>
      <w:r w:rsidRPr="006564BD" w:rsidR="0034325A">
        <w:t xml:space="preserve">here are no special circumstances. </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564BD" w14:paraId="4E4545CA" w14:textId="38FB1AE3">
      <w:pPr>
        <w:pStyle w:val="Level1"/>
        <w:widowControl/>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r w:rsidR="0034325A">
        <w:rPr>
          <w:b/>
          <w:bCs/>
        </w:rPr>
        <w:t xml:space="preserve"> </w:t>
      </w:r>
      <w:r w:rsidRPr="006564BD" w:rsidR="0034325A">
        <w:t>There are no special circumstances.</w:t>
      </w:r>
      <w:r w:rsidRPr="00CE2633" w:rsidR="0034325A">
        <w:rPr>
          <w:rFonts w:asciiTheme="minorHAnsi" w:hAnsiTheme="minorHAnsi" w:cstheme="minorHAnsi"/>
          <w:sz w:val="22"/>
          <w:szCs w:val="22"/>
        </w:rPr>
        <w:t xml:space="preserve">  </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564BD" w:rsidP="006564BD" w14:paraId="1CC3A908" w14:textId="77777777">
      <w:pPr>
        <w:pStyle w:val="Level1"/>
        <w:widowControl/>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confidentially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006564BD" w:rsidP="006564BD" w14:paraId="193854E7" w14:textId="77777777"/>
    <w:p w:rsidR="00B71D29" w:rsidRPr="006564BD" w:rsidP="006564BD" w14:paraId="2754E212" w14:textId="08AAD540">
      <w:pPr>
        <w:ind w:left="720"/>
        <w:rPr>
          <w:b/>
          <w:bCs/>
        </w:rPr>
      </w:pPr>
      <w:r w:rsidRPr="006564BD">
        <w:t>This information is used for law enforcement purposes only. These records will be viewed by ATF personnel only. Confidentiality is not assured.</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0F56" w:rsidRPr="00D53DEB" w:rsidP="006564BD" w14:paraId="583D2BFF" w14:textId="77777777">
      <w:pPr>
        <w:pStyle w:val="Level1"/>
        <w:widowControl/>
        <w:numPr>
          <w:ilvl w:val="0"/>
          <w:numId w:val="2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564BD" w:rsidP="006564BD" w14:paraId="4343E796" w14:textId="77777777"/>
    <w:p w:rsidR="0034325A" w:rsidRPr="0034325A" w:rsidP="006564BD" w14:paraId="6B153900" w14:textId="565034D9">
      <w:pPr>
        <w:ind w:left="720"/>
      </w:pPr>
      <w:r>
        <w:t>No trade secrets are requested.</w:t>
      </w:r>
      <w:r w:rsidRPr="0034325A">
        <w:t xml:space="preserve"> </w:t>
      </w:r>
      <w:r w:rsidR="006746A7">
        <w:t>R</w:t>
      </w:r>
      <w:r w:rsidRPr="0034325A">
        <w:t>ecords will be viewed by ATF personnel only. Confidentiality is not assured.</w:t>
      </w:r>
    </w:p>
    <w:p w:rsidR="006564BD" w:rsidP="00EA76CE" w14:paraId="191FD295" w14:textId="77777777">
      <w:pPr>
        <w:widowControl/>
        <w:autoSpaceDE/>
        <w:autoSpaceDN/>
        <w:adjustRightInd/>
        <w:rPr>
          <w:b/>
          <w:bCs/>
        </w:rPr>
      </w:pPr>
    </w:p>
    <w:p w:rsidR="006564BD" w:rsidP="006564BD" w14:paraId="5146EF8D" w14:textId="77777777">
      <w:pPr>
        <w:rPr>
          <w:b/>
          <w:bCs/>
        </w:rPr>
      </w:pPr>
      <w:r w:rsidRPr="00D53DEB">
        <w:rPr>
          <w:b/>
          <w:bCs/>
        </w:rPr>
        <w:t xml:space="preserve">8.  If applicable, provide a copy and identify the date and page number of </w:t>
      </w:r>
      <w:r w:rsidRPr="00D53DEB">
        <w:rPr>
          <w:b/>
          <w:bCs/>
        </w:rPr>
        <w:t>publication</w:t>
      </w:r>
      <w:r w:rsidRPr="00D53DEB">
        <w:rPr>
          <w:b/>
          <w:bCs/>
        </w:rPr>
        <w:t xml:space="preserve"> in the </w:t>
      </w:r>
      <w:r w:rsidRPr="00D53DEB">
        <w:rPr>
          <w:rStyle w:val="Heading2Char"/>
          <w:rFonts w:ascii="Times New Roman" w:hAnsi="Times New Roman" w:cs="Times New Roman"/>
          <w:bCs w:val="0"/>
          <w:sz w:val="24"/>
          <w:szCs w:val="24"/>
        </w:rPr>
        <w:t>Federal Register</w:t>
      </w:r>
      <w:r w:rsidRPr="00D53DEB">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b/>
          <w:bCs/>
        </w:rPr>
        <w:t xml:space="preserve"> </w:t>
      </w:r>
      <w:r w:rsidRPr="00D53DEB">
        <w:rPr>
          <w:b/>
          <w:bCs/>
        </w:rPr>
        <w:t>Specifically address comments received on cost and hour burden.</w:t>
      </w:r>
      <w:r w:rsidR="00EA76CE">
        <w:rPr>
          <w:b/>
          <w:bCs/>
        </w:rPr>
        <w:t xml:space="preserve">  </w:t>
      </w:r>
    </w:p>
    <w:p w:rsidR="006564BD" w:rsidP="006564BD" w14:paraId="04D34AB3" w14:textId="77777777">
      <w:pPr>
        <w:rPr>
          <w:b/>
          <w:bCs/>
        </w:rPr>
      </w:pPr>
    </w:p>
    <w:p w:rsidR="00EA76CE" w:rsidP="006564BD" w14:paraId="3F607DB5" w14:textId="2960E238">
      <w:r w:rsidRPr="00EA76CE">
        <w:t>No comments were received during the 60-day Federal Register notice period. However, a 30-day FR notice will be published to solicit public comments.</w:t>
      </w:r>
    </w:p>
    <w:p w:rsidR="00690F56" w:rsidRPr="00D53DEB" w:rsidP="006564BD" w14:paraId="1E3B8C08" w14:textId="73C36AC2"/>
    <w:p w:rsidR="006564BD" w:rsidP="00690F56" w14:paraId="0B16BC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EA76CE">
        <w:rPr>
          <w:b/>
          <w:bCs/>
        </w:rPr>
        <w:t xml:space="preserve"> </w:t>
      </w:r>
      <w:r w:rsidRPr="006564BD" w:rsidR="00EA76CE">
        <w:t xml:space="preserve"> </w:t>
      </w:r>
    </w:p>
    <w:p w:rsidR="006564BD" w:rsidP="00690F56" w14:paraId="2CD92B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6564BD" w:rsidP="00690F56" w14:paraId="26F2F511" w14:textId="0241AE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564BD">
        <w:t>No efforts made to consult with persons outside the agency.</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564BD" w:rsidP="00690F56" w14:paraId="6F7E59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2"/>
          <w:szCs w:val="22"/>
        </w:rPr>
      </w:pPr>
      <w:r w:rsidRPr="00D53DEB">
        <w:rPr>
          <w:b/>
          <w:bCs/>
        </w:rPr>
        <w:t>Consultation with representatives of those from whom information is to be obtained or those who must compile records should occur at least once every 3 years</w:t>
      </w:r>
      <w:r w:rsidRPr="00D53DEB" w:rsidR="00901EF6">
        <w:rPr>
          <w:b/>
          <w:bCs/>
        </w:rPr>
        <w:t xml:space="preserve"> --</w:t>
      </w:r>
      <w:r w:rsidRPr="00D53DEB">
        <w:rPr>
          <w:b/>
          <w:bCs/>
        </w:rPr>
        <w:t xml:space="preserve"> even if the collection-of-information activity is the same as in prior periods.  There may be circumstances that may preclude consultation in a specific situation.  These circumstances should be explained.</w:t>
      </w:r>
      <w:r w:rsidR="00EA76CE">
        <w:rPr>
          <w:b/>
          <w:bCs/>
        </w:rPr>
        <w:t xml:space="preserve"> </w:t>
      </w:r>
      <w:r w:rsidRPr="00EA76CE" w:rsidR="00EA76CE">
        <w:rPr>
          <w:rFonts w:asciiTheme="minorHAnsi" w:hAnsiTheme="minorHAnsi" w:cstheme="minorHAnsi"/>
          <w:sz w:val="22"/>
          <w:szCs w:val="22"/>
        </w:rPr>
        <w:t xml:space="preserve"> </w:t>
      </w:r>
    </w:p>
    <w:p w:rsidR="006564BD" w:rsidP="006564BD" w14:paraId="26CA6E69" w14:textId="77777777"/>
    <w:p w:rsidR="00690F56" w:rsidRPr="00D53DEB" w:rsidP="006564BD" w14:paraId="767B60FC" w14:textId="288238D1">
      <w:r w:rsidRPr="00EA76CE">
        <w:t>No efforts made to consult with such representatives.</w:t>
      </w:r>
    </w:p>
    <w:p w:rsidR="00DA7DC9" w:rsidRPr="00A47DA7" w:rsidP="0060114B" w14:paraId="0C933CDF" w14:textId="77777777">
      <w:pPr>
        <w:widowControl/>
        <w:autoSpaceDE/>
        <w:autoSpaceDN/>
        <w:adjustRightInd/>
        <w:rPr>
          <w:rFonts w:eastAsia="Calibri"/>
        </w:rPr>
      </w:pPr>
    </w:p>
    <w:p w:rsidR="006564BD" w:rsidP="00262716" w14:paraId="708416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9.  Explain any decision to provide any payments or gift</w:t>
      </w:r>
      <w:r w:rsidR="009441E2">
        <w:rPr>
          <w:b/>
          <w:bCs/>
        </w:rPr>
        <w:t>s</w:t>
      </w:r>
      <w:r w:rsidRPr="00D53DEB">
        <w:rPr>
          <w:b/>
          <w:bCs/>
        </w:rPr>
        <w:t xml:space="preserve"> to respondents, other than </w:t>
      </w:r>
      <w:r w:rsidRPr="00D53DEB" w:rsidR="006E1A08">
        <w:rPr>
          <w:b/>
          <w:bCs/>
        </w:rPr>
        <w:t>remuneration</w:t>
      </w:r>
      <w:r w:rsidRPr="00D53DEB">
        <w:rPr>
          <w:b/>
          <w:bCs/>
        </w:rPr>
        <w:t xml:space="preserve"> of contractors or grantees.</w:t>
      </w:r>
      <w:r w:rsidR="00D91D64">
        <w:rPr>
          <w:b/>
          <w:bCs/>
        </w:rPr>
        <w:t xml:space="preserve">  </w:t>
      </w:r>
    </w:p>
    <w:p w:rsidR="006564BD" w:rsidP="00262716" w14:paraId="4BED43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262716" w:rsidRPr="006564BD" w:rsidP="00262716" w14:paraId="47C3F7E4" w14:textId="1654BD4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6564BD">
        <w:t>No government funds will be used as payment or for gifts to respondents</w:t>
      </w:r>
      <w:r w:rsidRPr="006564BD">
        <w:t>.</w:t>
      </w:r>
    </w:p>
    <w:p w:rsidR="00D91D64" w:rsidP="00D91D64" w14:paraId="052603EC" w14:textId="77777777">
      <w:pPr>
        <w:widowControl/>
        <w:autoSpaceDE/>
        <w:autoSpaceDN/>
        <w:adjustRightInd/>
      </w:pPr>
    </w:p>
    <w:p w:rsidR="006564BD" w:rsidP="006564BD" w14:paraId="46E4D2EC" w14:textId="77777777">
      <w:pPr>
        <w:rPr>
          <w:b/>
          <w:bCs/>
        </w:rPr>
      </w:pPr>
      <w:r w:rsidRPr="00D53DEB">
        <w:rPr>
          <w:b/>
          <w:bCs/>
        </w:rPr>
        <w:t xml:space="preserve">10.  </w:t>
      </w:r>
      <w:r w:rsidRPr="00D53DEB" w:rsidR="00690F56">
        <w:rPr>
          <w:b/>
          <w:bCs/>
        </w:rPr>
        <w:t>Describe any assurance of confidentiality provided to respondents and the basis for the assurance in statute, regulation, or agency policy.</w:t>
      </w:r>
      <w:r w:rsidR="00D91D64">
        <w:rPr>
          <w:b/>
          <w:bCs/>
        </w:rPr>
        <w:t xml:space="preserve">  </w:t>
      </w:r>
    </w:p>
    <w:p w:rsidR="006564BD" w:rsidP="006564BD" w14:paraId="6B5B4C5F" w14:textId="77777777">
      <w:pPr>
        <w:rPr>
          <w:b/>
          <w:bCs/>
        </w:rPr>
      </w:pPr>
    </w:p>
    <w:p w:rsidR="00D91D64" w:rsidP="006564BD" w14:paraId="444ABE7C" w14:textId="537C8731">
      <w:r w:rsidRPr="00D91D64">
        <w:t>Confidentiality is not required in the processing of this information collection.</w:t>
      </w:r>
    </w:p>
    <w:p w:rsidR="00690F56" w:rsidRPr="00D53DEB" w:rsidP="00690F56" w14:paraId="0BFB46C5" w14:textId="016EE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564BD" w:rsidP="00690F56" w14:paraId="645B1A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11. </w:t>
      </w:r>
      <w:r w:rsidRPr="00D53DEB" w:rsidR="00690F56">
        <w:rPr>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b/>
          <w:bCs/>
        </w:rPr>
        <w:t>a</w:t>
      </w:r>
      <w:r w:rsidRPr="00D53DEB" w:rsidR="00690F56">
        <w:rPr>
          <w:b/>
          <w:bCs/>
        </w:rPr>
        <w:t>gency considers the questions necessary, the specific uses to be made of the information, the explanation to be given to persons from whom the information is requested, and any steps to be taken to obtain their consent.</w:t>
      </w:r>
      <w:r w:rsidR="00D91D64">
        <w:rPr>
          <w:b/>
          <w:bCs/>
        </w:rPr>
        <w:t xml:space="preserve">  </w:t>
      </w:r>
    </w:p>
    <w:p w:rsidR="006564BD" w:rsidP="00690F56" w14:paraId="31A7781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90F56" w:rsidRPr="00D91D64" w:rsidP="006564BD" w14:paraId="3F71900A" w14:textId="161B5563">
      <w:r w:rsidRPr="00D91D64">
        <w:t>No questions of sensitive nature asked.</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90F56"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Indicate </w:t>
      </w:r>
      <w:r w:rsidRPr="00D53DEB">
        <w:rPr>
          <w:b/>
          <w:bCs/>
        </w:rPr>
        <w:t>the number of respondents, frequency of response, annual hour burden, and an explanation o</w:t>
      </w:r>
      <w:r w:rsidRPr="00D53DEB" w:rsidR="00D2331B">
        <w:rPr>
          <w:b/>
          <w:bCs/>
        </w:rPr>
        <w:t xml:space="preserve">f </w:t>
      </w:r>
      <w:r w:rsidRPr="00D53DEB">
        <w:rPr>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b/>
          <w:bCs/>
        </w:rPr>
        <w:t>,</w:t>
      </w:r>
      <w:r w:rsidRPr="00D53DEB">
        <w:rPr>
          <w:b/>
          <w:bCs/>
        </w:rPr>
        <w:t xml:space="preserve"> estimates should not include burden hours</w:t>
      </w:r>
      <w:r w:rsidRPr="00D53DEB" w:rsidR="00CD215D">
        <w:rPr>
          <w:b/>
          <w:bCs/>
        </w:rPr>
        <w:t xml:space="preserve"> </w:t>
      </w:r>
      <w:r w:rsidRPr="00D53DEB">
        <w:rPr>
          <w:b/>
          <w:bCs/>
        </w:rPr>
        <w:t>for customary and usual business practices.</w:t>
      </w:r>
    </w:p>
    <w:p w:rsidR="006564BD" w:rsidP="00B71D29" w14:paraId="0737279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p>
    <w:p w:rsidR="00B71D29" w:rsidRPr="00B71D29" w:rsidP="00B71D29" w14:paraId="67F1CB01" w14:textId="0C7BDF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r>
        <w:t>See below table.</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564BD" w:rsidP="007A7F79" w14:paraId="1E2890CA"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r w:rsidR="00FD599F">
        <w:rPr>
          <w:b/>
          <w:bCs/>
        </w:rPr>
        <w:t xml:space="preserve">  </w:t>
      </w:r>
    </w:p>
    <w:p w:rsidR="006564BD" w:rsidP="006564BD" w14:paraId="16ECBF9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0"/>
        <w:rPr>
          <w:b/>
          <w:bCs/>
        </w:rPr>
      </w:pPr>
    </w:p>
    <w:p w:rsidR="007A7F79" w:rsidRPr="006564BD" w:rsidP="006564BD" w14:paraId="37614E37" w14:textId="7C63ACE5">
      <w:pPr>
        <w:ind w:left="360" w:firstLine="720"/>
        <w:rPr>
          <w:b/>
          <w:bCs/>
        </w:rPr>
      </w:pPr>
      <w:r w:rsidRPr="006564BD">
        <w:t>Request for approval covers only one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b/>
          <w:bCs/>
        </w:rPr>
        <w:t>this cost</w:t>
      </w:r>
      <w:r w:rsidRPr="00D53DEB" w:rsidR="00C667F3">
        <w:rPr>
          <w:b/>
          <w:bCs/>
        </w:rPr>
        <w:t xml:space="preserve"> should be included in Item 14</w:t>
      </w:r>
      <w:r w:rsidRPr="00D53DEB">
        <w:rPr>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6626FF" w:rsidP="006626FF" w14:paraId="49938EA8" w14:textId="77777777">
      <w:pPr>
        <w:ind w:left="720"/>
        <w:rPr>
          <w:i/>
        </w:rPr>
      </w:pPr>
    </w:p>
    <w:p w:rsidR="00313C28" w:rsidP="006626FF" w14:paraId="0DA81070" w14:textId="77777777">
      <w:pPr>
        <w:ind w:left="720"/>
        <w:rPr>
          <w:i/>
        </w:rPr>
      </w:pPr>
    </w:p>
    <w:p w:rsidR="00313C28" w:rsidP="006626FF" w14:paraId="152BD3F2" w14:textId="77777777">
      <w:pPr>
        <w:ind w:left="720"/>
        <w:rPr>
          <w:i/>
        </w:rPr>
      </w:pPr>
    </w:p>
    <w:p w:rsidR="00313C28" w:rsidRPr="006626FF" w:rsidP="006626FF" w14:paraId="2946226A" w14:textId="77777777">
      <w:pPr>
        <w:ind w:left="720"/>
        <w:rPr>
          <w:i/>
        </w:rPr>
      </w:pPr>
    </w:p>
    <w:p w:rsidR="006626FF" w:rsidRPr="00E60FB0" w:rsidP="006626FF" w14:paraId="3CD4954E" w14:textId="77777777">
      <w:pPr>
        <w:ind w:left="720"/>
        <w:jc w:val="center"/>
        <w:rPr>
          <w:i/>
        </w:rPr>
      </w:pPr>
      <w:r w:rsidRPr="00E60FB0">
        <w:rPr>
          <w:b/>
        </w:rPr>
        <w:t>Estimated Annualized Respondent Cost and Hour Burden</w:t>
      </w:r>
    </w:p>
    <w:tbl>
      <w:tblPr>
        <w:tblStyle w:val="TableGrid"/>
        <w:tblW w:w="9839" w:type="dxa"/>
        <w:tblLook w:val="04A0"/>
      </w:tblPr>
      <w:tblGrid>
        <w:gridCol w:w="1439"/>
        <w:gridCol w:w="1415"/>
        <w:gridCol w:w="1219"/>
        <w:gridCol w:w="1182"/>
        <w:gridCol w:w="1097"/>
        <w:gridCol w:w="950"/>
        <w:gridCol w:w="1208"/>
        <w:gridCol w:w="1329"/>
      </w:tblGrid>
      <w:tr w14:paraId="4AA59B92" w14:textId="77777777" w:rsidTr="00313C28">
        <w:tblPrEx>
          <w:tblW w:w="9839" w:type="dxa"/>
          <w:tblLook w:val="04A0"/>
        </w:tblPrEx>
        <w:trPr>
          <w:trHeight w:val="619"/>
        </w:trPr>
        <w:tc>
          <w:tcPr>
            <w:tcW w:w="1406"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383"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191"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55"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72"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28"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405"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299"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313C28">
        <w:tblPrEx>
          <w:tblW w:w="9839" w:type="dxa"/>
          <w:tblLook w:val="04A0"/>
        </w:tblPrEx>
        <w:trPr>
          <w:trHeight w:val="180"/>
        </w:trPr>
        <w:tc>
          <w:tcPr>
            <w:tcW w:w="1406" w:type="dxa"/>
            <w:vAlign w:val="bottom"/>
          </w:tcPr>
          <w:p w:rsidR="003908B9" w:rsidRPr="008F47CB" w:rsidP="008C6A87" w14:paraId="4E4E0FA6" w14:textId="7B90D53B">
            <w:pPr>
              <w:jc w:val="right"/>
              <w:rPr>
                <w:rFonts w:ascii="Times New Roman" w:hAnsi="Times New Roman"/>
                <w:sz w:val="22"/>
                <w:szCs w:val="22"/>
              </w:rPr>
            </w:pPr>
            <w:r>
              <w:rPr>
                <w:rFonts w:ascii="Times New Roman" w:hAnsi="Times New Roman"/>
                <w:sz w:val="22"/>
                <w:szCs w:val="22"/>
              </w:rPr>
              <w:t>ATF Form 5300.5</w:t>
            </w:r>
          </w:p>
        </w:tc>
        <w:tc>
          <w:tcPr>
            <w:tcW w:w="1383" w:type="dxa"/>
            <w:vAlign w:val="bottom"/>
          </w:tcPr>
          <w:p w:rsidR="003908B9" w:rsidRPr="008F47CB" w:rsidP="008C6A87" w14:paraId="23BB2474" w14:textId="03020EFA">
            <w:pPr>
              <w:jc w:val="right"/>
              <w:rPr>
                <w:rFonts w:ascii="Times New Roman" w:hAnsi="Times New Roman"/>
                <w:sz w:val="22"/>
                <w:szCs w:val="22"/>
              </w:rPr>
            </w:pPr>
            <w:r>
              <w:rPr>
                <w:rFonts w:ascii="Times New Roman" w:hAnsi="Times New Roman"/>
                <w:sz w:val="22"/>
                <w:szCs w:val="22"/>
              </w:rPr>
              <w:t>1</w:t>
            </w:r>
            <w:r w:rsidR="00FA10B2">
              <w:rPr>
                <w:rFonts w:ascii="Times New Roman" w:hAnsi="Times New Roman"/>
                <w:sz w:val="22"/>
                <w:szCs w:val="22"/>
              </w:rPr>
              <w:t>,453</w:t>
            </w:r>
          </w:p>
        </w:tc>
        <w:tc>
          <w:tcPr>
            <w:tcW w:w="1191" w:type="dxa"/>
            <w:vAlign w:val="bottom"/>
          </w:tcPr>
          <w:p w:rsidR="003908B9" w:rsidRPr="008F47CB" w:rsidP="008C6A87" w14:paraId="5D72451D" w14:textId="474A3516">
            <w:pPr>
              <w:jc w:val="right"/>
              <w:rPr>
                <w:rFonts w:ascii="Times New Roman" w:hAnsi="Times New Roman"/>
                <w:sz w:val="22"/>
                <w:szCs w:val="22"/>
              </w:rPr>
            </w:pPr>
            <w:r>
              <w:rPr>
                <w:rFonts w:ascii="Times New Roman" w:hAnsi="Times New Roman"/>
                <w:sz w:val="22"/>
                <w:szCs w:val="22"/>
              </w:rPr>
              <w:t>4</w:t>
            </w:r>
          </w:p>
        </w:tc>
        <w:tc>
          <w:tcPr>
            <w:tcW w:w="1155" w:type="dxa"/>
            <w:vAlign w:val="bottom"/>
          </w:tcPr>
          <w:p w:rsidR="003908B9" w:rsidRPr="008F47CB" w:rsidP="006E734C" w14:paraId="03D2549D" w14:textId="5CEC9867">
            <w:pPr>
              <w:jc w:val="center"/>
              <w:rPr>
                <w:rFonts w:ascii="Times New Roman" w:hAnsi="Times New Roman"/>
                <w:sz w:val="22"/>
                <w:szCs w:val="22"/>
              </w:rPr>
            </w:pPr>
            <w:r>
              <w:rPr>
                <w:rFonts w:ascii="Times New Roman" w:hAnsi="Times New Roman"/>
                <w:sz w:val="22"/>
                <w:szCs w:val="22"/>
              </w:rPr>
              <w:t>5,812</w:t>
            </w:r>
          </w:p>
        </w:tc>
        <w:tc>
          <w:tcPr>
            <w:tcW w:w="1072" w:type="dxa"/>
            <w:vAlign w:val="bottom"/>
          </w:tcPr>
          <w:p w:rsidR="003908B9" w:rsidRPr="008F47CB" w:rsidP="008C6A87" w14:paraId="3704ADCE" w14:textId="29335D00">
            <w:pPr>
              <w:jc w:val="right"/>
              <w:rPr>
                <w:rFonts w:ascii="Times New Roman" w:hAnsi="Times New Roman"/>
                <w:sz w:val="22"/>
                <w:szCs w:val="22"/>
              </w:rPr>
            </w:pPr>
            <w:r>
              <w:rPr>
                <w:rFonts w:ascii="Times New Roman" w:hAnsi="Times New Roman"/>
                <w:sz w:val="22"/>
                <w:szCs w:val="22"/>
              </w:rPr>
              <w:t>0.5 hours</w:t>
            </w:r>
          </w:p>
        </w:tc>
        <w:tc>
          <w:tcPr>
            <w:tcW w:w="928" w:type="dxa"/>
            <w:vAlign w:val="bottom"/>
          </w:tcPr>
          <w:p w:rsidR="003908B9" w:rsidRPr="008F47CB" w:rsidP="008C6A87" w14:paraId="498C761A" w14:textId="04E96AEB">
            <w:pPr>
              <w:jc w:val="right"/>
              <w:rPr>
                <w:rFonts w:ascii="Times New Roman" w:hAnsi="Times New Roman"/>
                <w:sz w:val="22"/>
                <w:szCs w:val="22"/>
              </w:rPr>
            </w:pPr>
            <w:r>
              <w:rPr>
                <w:rFonts w:ascii="Times New Roman" w:hAnsi="Times New Roman"/>
                <w:sz w:val="22"/>
                <w:szCs w:val="22"/>
              </w:rPr>
              <w:t>2</w:t>
            </w:r>
            <w:r w:rsidR="00FA10B2">
              <w:rPr>
                <w:rFonts w:ascii="Times New Roman" w:hAnsi="Times New Roman"/>
                <w:sz w:val="22"/>
                <w:szCs w:val="22"/>
              </w:rPr>
              <w:t>,906</w:t>
            </w:r>
          </w:p>
        </w:tc>
        <w:tc>
          <w:tcPr>
            <w:tcW w:w="1405" w:type="dxa"/>
            <w:vAlign w:val="bottom"/>
          </w:tcPr>
          <w:p w:rsidR="003908B9" w:rsidRPr="008F47CB" w:rsidP="008C6A87" w14:paraId="2C9B9B1D" w14:textId="1CF01564">
            <w:pPr>
              <w:jc w:val="right"/>
              <w:rPr>
                <w:rFonts w:ascii="Times New Roman" w:hAnsi="Times New Roman"/>
                <w:sz w:val="22"/>
                <w:szCs w:val="22"/>
              </w:rPr>
            </w:pPr>
            <w:r>
              <w:rPr>
                <w:rFonts w:ascii="Times New Roman" w:hAnsi="Times New Roman"/>
                <w:sz w:val="22"/>
                <w:szCs w:val="22"/>
              </w:rPr>
              <w:t>N/A</w:t>
            </w:r>
          </w:p>
        </w:tc>
        <w:tc>
          <w:tcPr>
            <w:tcW w:w="1299" w:type="dxa"/>
            <w:vAlign w:val="bottom"/>
          </w:tcPr>
          <w:p w:rsidR="003908B9" w:rsidRPr="008F47CB" w:rsidP="008C6A87" w14:paraId="689A6EF1" w14:textId="3B3315AE">
            <w:pPr>
              <w:jc w:val="right"/>
              <w:rPr>
                <w:rFonts w:ascii="Times New Roman" w:hAnsi="Times New Roman"/>
                <w:sz w:val="22"/>
                <w:szCs w:val="22"/>
              </w:rPr>
            </w:pPr>
            <w:r>
              <w:rPr>
                <w:rFonts w:ascii="Times New Roman" w:hAnsi="Times New Roman"/>
                <w:sz w:val="22"/>
                <w:szCs w:val="22"/>
              </w:rPr>
              <w:t>N/A</w:t>
            </w:r>
          </w:p>
        </w:tc>
      </w:tr>
      <w:tr w14:paraId="28A27403" w14:textId="77777777" w:rsidTr="00313C28">
        <w:tblPrEx>
          <w:tblW w:w="9839" w:type="dxa"/>
          <w:tblLook w:val="04A0"/>
        </w:tblPrEx>
        <w:trPr>
          <w:trHeight w:val="180"/>
        </w:trPr>
        <w:tc>
          <w:tcPr>
            <w:tcW w:w="1406" w:type="dxa"/>
            <w:vAlign w:val="bottom"/>
          </w:tcPr>
          <w:p w:rsidR="003908B9" w:rsidRPr="008F47CB" w:rsidP="008C6A87" w14:paraId="779E4025" w14:textId="77777777">
            <w:pPr>
              <w:jc w:val="right"/>
              <w:rPr>
                <w:rFonts w:ascii="Times New Roman" w:hAnsi="Times New Roman"/>
                <w:sz w:val="22"/>
                <w:szCs w:val="22"/>
              </w:rPr>
            </w:pPr>
          </w:p>
        </w:tc>
        <w:tc>
          <w:tcPr>
            <w:tcW w:w="1383" w:type="dxa"/>
            <w:vAlign w:val="bottom"/>
          </w:tcPr>
          <w:p w:rsidR="003908B9" w:rsidRPr="008F47CB" w:rsidP="008C6A87" w14:paraId="0D0FB099" w14:textId="77777777">
            <w:pPr>
              <w:jc w:val="right"/>
              <w:rPr>
                <w:rFonts w:ascii="Times New Roman" w:hAnsi="Times New Roman"/>
                <w:sz w:val="22"/>
                <w:szCs w:val="22"/>
              </w:rPr>
            </w:pPr>
          </w:p>
        </w:tc>
        <w:tc>
          <w:tcPr>
            <w:tcW w:w="1191" w:type="dxa"/>
            <w:vAlign w:val="bottom"/>
          </w:tcPr>
          <w:p w:rsidR="003908B9" w:rsidRPr="008F47CB" w:rsidP="008C6A87" w14:paraId="2DF69973" w14:textId="77777777">
            <w:pPr>
              <w:jc w:val="right"/>
              <w:rPr>
                <w:rFonts w:ascii="Times New Roman" w:hAnsi="Times New Roman"/>
                <w:sz w:val="22"/>
                <w:szCs w:val="22"/>
              </w:rPr>
            </w:pPr>
          </w:p>
        </w:tc>
        <w:tc>
          <w:tcPr>
            <w:tcW w:w="1155" w:type="dxa"/>
            <w:vAlign w:val="bottom"/>
          </w:tcPr>
          <w:p w:rsidR="003908B9" w:rsidRPr="008F47CB" w:rsidP="008C6A87" w14:paraId="6869AFA2" w14:textId="77777777">
            <w:pPr>
              <w:jc w:val="right"/>
              <w:rPr>
                <w:rFonts w:ascii="Times New Roman" w:hAnsi="Times New Roman"/>
                <w:sz w:val="22"/>
                <w:szCs w:val="22"/>
              </w:rPr>
            </w:pPr>
          </w:p>
        </w:tc>
        <w:tc>
          <w:tcPr>
            <w:tcW w:w="1072" w:type="dxa"/>
            <w:vAlign w:val="bottom"/>
          </w:tcPr>
          <w:p w:rsidR="003908B9" w:rsidRPr="008F47CB" w:rsidP="008C6A87" w14:paraId="3983D868" w14:textId="77777777">
            <w:pPr>
              <w:jc w:val="right"/>
              <w:rPr>
                <w:rFonts w:ascii="Times New Roman" w:hAnsi="Times New Roman"/>
                <w:sz w:val="22"/>
                <w:szCs w:val="22"/>
              </w:rPr>
            </w:pPr>
          </w:p>
        </w:tc>
        <w:tc>
          <w:tcPr>
            <w:tcW w:w="928" w:type="dxa"/>
            <w:vAlign w:val="bottom"/>
          </w:tcPr>
          <w:p w:rsidR="003908B9" w:rsidRPr="008F47CB" w:rsidP="008C6A87" w14:paraId="1211DF9B" w14:textId="77777777">
            <w:pPr>
              <w:jc w:val="right"/>
              <w:rPr>
                <w:rFonts w:ascii="Times New Roman" w:hAnsi="Times New Roman"/>
                <w:sz w:val="22"/>
                <w:szCs w:val="22"/>
              </w:rPr>
            </w:pPr>
          </w:p>
        </w:tc>
        <w:tc>
          <w:tcPr>
            <w:tcW w:w="1405" w:type="dxa"/>
            <w:vAlign w:val="bottom"/>
          </w:tcPr>
          <w:p w:rsidR="003908B9" w:rsidRPr="008F47CB" w:rsidP="008C6A87" w14:paraId="52BBFE45" w14:textId="77777777">
            <w:pPr>
              <w:jc w:val="right"/>
              <w:rPr>
                <w:rFonts w:ascii="Times New Roman" w:hAnsi="Times New Roman"/>
                <w:sz w:val="22"/>
                <w:szCs w:val="22"/>
              </w:rPr>
            </w:pPr>
          </w:p>
        </w:tc>
        <w:tc>
          <w:tcPr>
            <w:tcW w:w="1299" w:type="dxa"/>
            <w:vAlign w:val="bottom"/>
          </w:tcPr>
          <w:p w:rsidR="003908B9" w:rsidRPr="008F47CB" w:rsidP="008C6A87" w14:paraId="1116896A" w14:textId="77777777">
            <w:pPr>
              <w:jc w:val="right"/>
              <w:rPr>
                <w:rFonts w:ascii="Times New Roman" w:hAnsi="Times New Roman"/>
                <w:sz w:val="22"/>
                <w:szCs w:val="22"/>
              </w:rPr>
            </w:pPr>
          </w:p>
        </w:tc>
      </w:tr>
      <w:tr w14:paraId="7117E8A9" w14:textId="77777777" w:rsidTr="00313C28">
        <w:tblPrEx>
          <w:tblW w:w="9839" w:type="dxa"/>
          <w:tblLook w:val="04A0"/>
        </w:tblPrEx>
        <w:trPr>
          <w:trHeight w:val="180"/>
        </w:trPr>
        <w:tc>
          <w:tcPr>
            <w:tcW w:w="1406" w:type="dxa"/>
            <w:vAlign w:val="bottom"/>
          </w:tcPr>
          <w:p w:rsidR="003908B9" w:rsidRPr="008F47CB" w:rsidP="008C6A87" w14:paraId="7B495C05" w14:textId="1E5C0B79">
            <w:pPr>
              <w:jc w:val="right"/>
              <w:rPr>
                <w:rFonts w:ascii="Times New Roman" w:hAnsi="Times New Roman"/>
                <w:sz w:val="22"/>
                <w:szCs w:val="22"/>
              </w:rPr>
            </w:pPr>
          </w:p>
        </w:tc>
        <w:tc>
          <w:tcPr>
            <w:tcW w:w="1383" w:type="dxa"/>
            <w:vAlign w:val="bottom"/>
          </w:tcPr>
          <w:p w:rsidR="003908B9" w:rsidRPr="008F47CB" w:rsidP="008C6A87" w14:paraId="485C3037" w14:textId="77777777">
            <w:pPr>
              <w:jc w:val="right"/>
              <w:rPr>
                <w:rFonts w:ascii="Times New Roman" w:hAnsi="Times New Roman"/>
                <w:sz w:val="22"/>
                <w:szCs w:val="22"/>
              </w:rPr>
            </w:pPr>
          </w:p>
        </w:tc>
        <w:tc>
          <w:tcPr>
            <w:tcW w:w="1191" w:type="dxa"/>
            <w:vAlign w:val="bottom"/>
          </w:tcPr>
          <w:p w:rsidR="003908B9" w:rsidRPr="008F47CB" w:rsidP="008C6A87" w14:paraId="13B28653" w14:textId="77777777">
            <w:pPr>
              <w:jc w:val="right"/>
              <w:rPr>
                <w:rFonts w:ascii="Times New Roman" w:hAnsi="Times New Roman"/>
                <w:sz w:val="22"/>
                <w:szCs w:val="22"/>
              </w:rPr>
            </w:pPr>
          </w:p>
        </w:tc>
        <w:tc>
          <w:tcPr>
            <w:tcW w:w="1155" w:type="dxa"/>
            <w:vAlign w:val="bottom"/>
          </w:tcPr>
          <w:p w:rsidR="003908B9" w:rsidRPr="008F47CB" w:rsidP="008C6A87" w14:paraId="42D7D78C" w14:textId="77777777">
            <w:pPr>
              <w:jc w:val="right"/>
              <w:rPr>
                <w:rFonts w:ascii="Times New Roman" w:hAnsi="Times New Roman"/>
                <w:sz w:val="22"/>
                <w:szCs w:val="22"/>
              </w:rPr>
            </w:pPr>
          </w:p>
        </w:tc>
        <w:tc>
          <w:tcPr>
            <w:tcW w:w="1072" w:type="dxa"/>
            <w:vAlign w:val="bottom"/>
          </w:tcPr>
          <w:p w:rsidR="003908B9" w:rsidRPr="008F47CB" w:rsidP="008C6A87" w14:paraId="6D74F4F1" w14:textId="77777777">
            <w:pPr>
              <w:jc w:val="right"/>
              <w:rPr>
                <w:rFonts w:ascii="Times New Roman" w:hAnsi="Times New Roman"/>
                <w:sz w:val="22"/>
                <w:szCs w:val="22"/>
              </w:rPr>
            </w:pPr>
          </w:p>
        </w:tc>
        <w:tc>
          <w:tcPr>
            <w:tcW w:w="928" w:type="dxa"/>
            <w:vAlign w:val="bottom"/>
          </w:tcPr>
          <w:p w:rsidR="003908B9" w:rsidRPr="008F47CB" w:rsidP="008C6A87" w14:paraId="3AE5AEA6" w14:textId="77777777">
            <w:pPr>
              <w:jc w:val="right"/>
              <w:rPr>
                <w:rFonts w:ascii="Times New Roman" w:hAnsi="Times New Roman"/>
                <w:sz w:val="22"/>
                <w:szCs w:val="22"/>
              </w:rPr>
            </w:pPr>
          </w:p>
        </w:tc>
        <w:tc>
          <w:tcPr>
            <w:tcW w:w="1405" w:type="dxa"/>
            <w:vAlign w:val="bottom"/>
          </w:tcPr>
          <w:p w:rsidR="003908B9" w:rsidRPr="008F47CB" w:rsidP="008C6A87" w14:paraId="1869DBC4" w14:textId="77777777">
            <w:pPr>
              <w:jc w:val="right"/>
              <w:rPr>
                <w:rFonts w:ascii="Times New Roman" w:hAnsi="Times New Roman"/>
                <w:sz w:val="22"/>
                <w:szCs w:val="22"/>
              </w:rPr>
            </w:pPr>
          </w:p>
        </w:tc>
        <w:tc>
          <w:tcPr>
            <w:tcW w:w="1299" w:type="dxa"/>
            <w:vAlign w:val="bottom"/>
          </w:tcPr>
          <w:p w:rsidR="003908B9" w:rsidRPr="008F47CB" w:rsidP="008C6A87" w14:paraId="3020B04B" w14:textId="77777777">
            <w:pPr>
              <w:jc w:val="right"/>
              <w:rPr>
                <w:rFonts w:ascii="Times New Roman" w:hAnsi="Times New Roman"/>
                <w:sz w:val="22"/>
                <w:szCs w:val="22"/>
              </w:rPr>
            </w:pPr>
          </w:p>
        </w:tc>
      </w:tr>
      <w:tr w14:paraId="4F62D8EB" w14:textId="77777777" w:rsidTr="00313C28">
        <w:tblPrEx>
          <w:tblW w:w="9839" w:type="dxa"/>
          <w:tblLook w:val="04A0"/>
        </w:tblPrEx>
        <w:trPr>
          <w:trHeight w:val="180"/>
        </w:trPr>
        <w:tc>
          <w:tcPr>
            <w:tcW w:w="1406" w:type="dxa"/>
            <w:vAlign w:val="bottom"/>
          </w:tcPr>
          <w:p w:rsidR="00403B06" w:rsidRPr="008F47CB" w:rsidP="008C6A87" w14:paraId="1182DFD4" w14:textId="77777777">
            <w:pPr>
              <w:jc w:val="right"/>
              <w:rPr>
                <w:rFonts w:ascii="Times New Roman" w:hAnsi="Times New Roman"/>
                <w:sz w:val="22"/>
                <w:szCs w:val="22"/>
              </w:rPr>
            </w:pPr>
          </w:p>
        </w:tc>
        <w:tc>
          <w:tcPr>
            <w:tcW w:w="1383" w:type="dxa"/>
            <w:vAlign w:val="bottom"/>
          </w:tcPr>
          <w:p w:rsidR="00403B06" w:rsidRPr="008F47CB" w:rsidP="008C6A87" w14:paraId="64D194D1" w14:textId="77777777">
            <w:pPr>
              <w:jc w:val="right"/>
              <w:rPr>
                <w:rFonts w:ascii="Times New Roman" w:hAnsi="Times New Roman"/>
                <w:sz w:val="22"/>
                <w:szCs w:val="22"/>
              </w:rPr>
            </w:pPr>
          </w:p>
        </w:tc>
        <w:tc>
          <w:tcPr>
            <w:tcW w:w="1191" w:type="dxa"/>
            <w:vAlign w:val="bottom"/>
          </w:tcPr>
          <w:p w:rsidR="00403B06" w:rsidRPr="008F47CB" w:rsidP="008C6A87" w14:paraId="5746F6BB" w14:textId="77777777">
            <w:pPr>
              <w:jc w:val="right"/>
              <w:rPr>
                <w:rFonts w:ascii="Times New Roman" w:hAnsi="Times New Roman"/>
                <w:sz w:val="22"/>
                <w:szCs w:val="22"/>
              </w:rPr>
            </w:pPr>
          </w:p>
        </w:tc>
        <w:tc>
          <w:tcPr>
            <w:tcW w:w="1155" w:type="dxa"/>
            <w:vAlign w:val="bottom"/>
          </w:tcPr>
          <w:p w:rsidR="00403B06" w:rsidRPr="008F47CB" w:rsidP="008C6A87" w14:paraId="587457D9" w14:textId="77777777">
            <w:pPr>
              <w:jc w:val="right"/>
              <w:rPr>
                <w:rFonts w:ascii="Times New Roman" w:hAnsi="Times New Roman"/>
                <w:sz w:val="22"/>
                <w:szCs w:val="22"/>
              </w:rPr>
            </w:pPr>
          </w:p>
        </w:tc>
        <w:tc>
          <w:tcPr>
            <w:tcW w:w="1072" w:type="dxa"/>
            <w:vAlign w:val="bottom"/>
          </w:tcPr>
          <w:p w:rsidR="00403B06" w:rsidRPr="008F47CB" w:rsidP="008C6A87" w14:paraId="025AF99A" w14:textId="77777777">
            <w:pPr>
              <w:jc w:val="right"/>
              <w:rPr>
                <w:rFonts w:ascii="Times New Roman" w:hAnsi="Times New Roman"/>
                <w:sz w:val="22"/>
                <w:szCs w:val="22"/>
              </w:rPr>
            </w:pPr>
          </w:p>
        </w:tc>
        <w:tc>
          <w:tcPr>
            <w:tcW w:w="928" w:type="dxa"/>
            <w:vAlign w:val="bottom"/>
          </w:tcPr>
          <w:p w:rsidR="00403B06" w:rsidRPr="008F47CB" w:rsidP="008C6A87" w14:paraId="77262D48" w14:textId="77777777">
            <w:pPr>
              <w:jc w:val="right"/>
              <w:rPr>
                <w:rFonts w:ascii="Times New Roman" w:hAnsi="Times New Roman"/>
                <w:sz w:val="22"/>
                <w:szCs w:val="22"/>
              </w:rPr>
            </w:pPr>
          </w:p>
        </w:tc>
        <w:tc>
          <w:tcPr>
            <w:tcW w:w="1405" w:type="dxa"/>
            <w:vAlign w:val="bottom"/>
          </w:tcPr>
          <w:p w:rsidR="00403B06" w:rsidRPr="008F47CB" w:rsidP="008C6A87" w14:paraId="0EA42709" w14:textId="77777777">
            <w:pPr>
              <w:jc w:val="right"/>
              <w:rPr>
                <w:rFonts w:ascii="Times New Roman" w:hAnsi="Times New Roman"/>
                <w:sz w:val="22"/>
                <w:szCs w:val="22"/>
              </w:rPr>
            </w:pPr>
          </w:p>
        </w:tc>
        <w:tc>
          <w:tcPr>
            <w:tcW w:w="1299" w:type="dxa"/>
            <w:vAlign w:val="bottom"/>
          </w:tcPr>
          <w:p w:rsidR="00403B06" w:rsidRPr="008F47CB" w:rsidP="008C6A87" w14:paraId="4A7A42D6" w14:textId="77777777">
            <w:pPr>
              <w:jc w:val="right"/>
              <w:rPr>
                <w:rFonts w:ascii="Times New Roman" w:hAnsi="Times New Roman"/>
                <w:sz w:val="22"/>
                <w:szCs w:val="22"/>
              </w:rPr>
            </w:pPr>
          </w:p>
        </w:tc>
      </w:tr>
      <w:tr w14:paraId="0A87EBC1" w14:textId="77777777" w:rsidTr="00313C28">
        <w:tblPrEx>
          <w:tblW w:w="9839" w:type="dxa"/>
          <w:tblLook w:val="04A0"/>
        </w:tblPrEx>
        <w:trPr>
          <w:trHeight w:val="180"/>
        </w:trPr>
        <w:tc>
          <w:tcPr>
            <w:tcW w:w="1406" w:type="dxa"/>
            <w:vAlign w:val="bottom"/>
          </w:tcPr>
          <w:p w:rsidR="00403B06" w:rsidRPr="008F47CB" w:rsidP="008C6A87" w14:paraId="37C5EA3C" w14:textId="77777777">
            <w:pPr>
              <w:jc w:val="right"/>
              <w:rPr>
                <w:rFonts w:ascii="Times New Roman" w:hAnsi="Times New Roman"/>
                <w:sz w:val="22"/>
                <w:szCs w:val="22"/>
              </w:rPr>
            </w:pPr>
          </w:p>
        </w:tc>
        <w:tc>
          <w:tcPr>
            <w:tcW w:w="1383" w:type="dxa"/>
            <w:vAlign w:val="bottom"/>
          </w:tcPr>
          <w:p w:rsidR="00403B06" w:rsidRPr="008F47CB" w:rsidP="008C6A87" w14:paraId="3EB7E1A7" w14:textId="77777777">
            <w:pPr>
              <w:jc w:val="right"/>
              <w:rPr>
                <w:rFonts w:ascii="Times New Roman" w:hAnsi="Times New Roman"/>
                <w:sz w:val="22"/>
                <w:szCs w:val="22"/>
              </w:rPr>
            </w:pPr>
          </w:p>
        </w:tc>
        <w:tc>
          <w:tcPr>
            <w:tcW w:w="1191" w:type="dxa"/>
            <w:vAlign w:val="bottom"/>
          </w:tcPr>
          <w:p w:rsidR="00403B06" w:rsidRPr="008F47CB" w:rsidP="008C6A87" w14:paraId="2F58A60D" w14:textId="77777777">
            <w:pPr>
              <w:jc w:val="right"/>
              <w:rPr>
                <w:rFonts w:ascii="Times New Roman" w:hAnsi="Times New Roman"/>
                <w:sz w:val="22"/>
                <w:szCs w:val="22"/>
              </w:rPr>
            </w:pPr>
          </w:p>
        </w:tc>
        <w:tc>
          <w:tcPr>
            <w:tcW w:w="1155" w:type="dxa"/>
            <w:vAlign w:val="bottom"/>
          </w:tcPr>
          <w:p w:rsidR="00403B06" w:rsidRPr="008F47CB" w:rsidP="008C6A87" w14:paraId="76E70727" w14:textId="77777777">
            <w:pPr>
              <w:jc w:val="right"/>
              <w:rPr>
                <w:rFonts w:ascii="Times New Roman" w:hAnsi="Times New Roman"/>
                <w:sz w:val="22"/>
                <w:szCs w:val="22"/>
              </w:rPr>
            </w:pPr>
          </w:p>
        </w:tc>
        <w:tc>
          <w:tcPr>
            <w:tcW w:w="1072" w:type="dxa"/>
            <w:vAlign w:val="bottom"/>
          </w:tcPr>
          <w:p w:rsidR="00403B06" w:rsidRPr="008F47CB" w:rsidP="008C6A87" w14:paraId="180A597C" w14:textId="77777777">
            <w:pPr>
              <w:jc w:val="right"/>
              <w:rPr>
                <w:rFonts w:ascii="Times New Roman" w:hAnsi="Times New Roman"/>
                <w:sz w:val="22"/>
                <w:szCs w:val="22"/>
              </w:rPr>
            </w:pPr>
          </w:p>
        </w:tc>
        <w:tc>
          <w:tcPr>
            <w:tcW w:w="928" w:type="dxa"/>
            <w:vAlign w:val="bottom"/>
          </w:tcPr>
          <w:p w:rsidR="00403B06" w:rsidRPr="008F47CB" w:rsidP="008C6A87" w14:paraId="60179654" w14:textId="77777777">
            <w:pPr>
              <w:jc w:val="right"/>
              <w:rPr>
                <w:rFonts w:ascii="Times New Roman" w:hAnsi="Times New Roman"/>
                <w:sz w:val="22"/>
                <w:szCs w:val="22"/>
              </w:rPr>
            </w:pPr>
          </w:p>
        </w:tc>
        <w:tc>
          <w:tcPr>
            <w:tcW w:w="1405" w:type="dxa"/>
            <w:vAlign w:val="bottom"/>
          </w:tcPr>
          <w:p w:rsidR="00403B06" w:rsidRPr="008F47CB" w:rsidP="008C6A87" w14:paraId="03EEFBC5" w14:textId="77777777">
            <w:pPr>
              <w:jc w:val="right"/>
              <w:rPr>
                <w:rFonts w:ascii="Times New Roman" w:hAnsi="Times New Roman"/>
                <w:sz w:val="22"/>
                <w:szCs w:val="22"/>
              </w:rPr>
            </w:pPr>
          </w:p>
        </w:tc>
        <w:tc>
          <w:tcPr>
            <w:tcW w:w="1299" w:type="dxa"/>
            <w:vAlign w:val="bottom"/>
          </w:tcPr>
          <w:p w:rsidR="00403B06" w:rsidRPr="008F47CB" w:rsidP="008C6A87" w14:paraId="023D7396" w14:textId="77777777">
            <w:pPr>
              <w:jc w:val="right"/>
              <w:rPr>
                <w:rFonts w:ascii="Times New Roman" w:hAnsi="Times New Roman"/>
                <w:sz w:val="22"/>
                <w:szCs w:val="22"/>
              </w:rPr>
            </w:pPr>
          </w:p>
        </w:tc>
      </w:tr>
      <w:tr w14:paraId="578B68EB" w14:textId="77777777" w:rsidTr="00313C28">
        <w:tblPrEx>
          <w:tblW w:w="9839" w:type="dxa"/>
          <w:tblLook w:val="04A0"/>
        </w:tblPrEx>
        <w:trPr>
          <w:trHeight w:val="619"/>
        </w:trPr>
        <w:tc>
          <w:tcPr>
            <w:tcW w:w="1406" w:type="dxa"/>
          </w:tcPr>
          <w:p w:rsidR="00334DD2" w:rsidRPr="008F47CB" w:rsidP="00334DD2"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383" w:type="dxa"/>
            <w:vAlign w:val="bottom"/>
          </w:tcPr>
          <w:p w:rsidR="00334DD2" w:rsidRPr="008F47CB" w:rsidP="00334DD2" w14:paraId="32AB6B8A" w14:textId="7D8DE308">
            <w:pPr>
              <w:jc w:val="right"/>
              <w:rPr>
                <w:rFonts w:ascii="Times New Roman" w:hAnsi="Times New Roman"/>
                <w:b/>
                <w:i/>
                <w:sz w:val="22"/>
                <w:szCs w:val="22"/>
              </w:rPr>
            </w:pPr>
            <w:r>
              <w:rPr>
                <w:rFonts w:ascii="Times New Roman" w:hAnsi="Times New Roman"/>
                <w:sz w:val="22"/>
                <w:szCs w:val="22"/>
              </w:rPr>
              <w:t>1</w:t>
            </w:r>
            <w:r w:rsidR="00FA10B2">
              <w:rPr>
                <w:rFonts w:ascii="Times New Roman" w:hAnsi="Times New Roman"/>
                <w:sz w:val="22"/>
                <w:szCs w:val="22"/>
              </w:rPr>
              <w:t>,453</w:t>
            </w:r>
          </w:p>
        </w:tc>
        <w:tc>
          <w:tcPr>
            <w:tcW w:w="1191" w:type="dxa"/>
            <w:vAlign w:val="bottom"/>
          </w:tcPr>
          <w:p w:rsidR="00334DD2" w:rsidRPr="008F47CB" w:rsidP="00334DD2" w14:paraId="75495CB4" w14:textId="79018131">
            <w:pPr>
              <w:jc w:val="center"/>
              <w:rPr>
                <w:rFonts w:ascii="Times New Roman" w:hAnsi="Times New Roman"/>
                <w:b/>
                <w:i/>
                <w:sz w:val="22"/>
                <w:szCs w:val="22"/>
              </w:rPr>
            </w:pPr>
            <w:r>
              <w:rPr>
                <w:rFonts w:ascii="Times New Roman" w:hAnsi="Times New Roman"/>
                <w:sz w:val="22"/>
                <w:szCs w:val="22"/>
              </w:rPr>
              <w:t>4</w:t>
            </w:r>
          </w:p>
        </w:tc>
        <w:tc>
          <w:tcPr>
            <w:tcW w:w="1155" w:type="dxa"/>
            <w:vAlign w:val="bottom"/>
          </w:tcPr>
          <w:p w:rsidR="00334DD2" w:rsidRPr="0096233D" w:rsidP="00334DD2" w14:paraId="1A7661D9" w14:textId="0B8979D1">
            <w:pPr>
              <w:jc w:val="right"/>
              <w:rPr>
                <w:rFonts w:ascii="Times New Roman" w:hAnsi="Times New Roman"/>
                <w:bCs/>
                <w:iCs/>
                <w:sz w:val="22"/>
                <w:szCs w:val="22"/>
              </w:rPr>
            </w:pPr>
            <w:r w:rsidRPr="0096233D">
              <w:rPr>
                <w:rFonts w:ascii="Times New Roman" w:hAnsi="Times New Roman"/>
                <w:bCs/>
                <w:iCs/>
                <w:sz w:val="22"/>
                <w:szCs w:val="22"/>
              </w:rPr>
              <w:t>5,812</w:t>
            </w:r>
          </w:p>
        </w:tc>
        <w:tc>
          <w:tcPr>
            <w:tcW w:w="1072" w:type="dxa"/>
            <w:vAlign w:val="bottom"/>
          </w:tcPr>
          <w:p w:rsidR="00334DD2" w:rsidRPr="008F47CB" w:rsidP="00334DD2" w14:paraId="4A94906E" w14:textId="53AFDBE6">
            <w:pPr>
              <w:jc w:val="right"/>
              <w:rPr>
                <w:rFonts w:ascii="Times New Roman" w:hAnsi="Times New Roman"/>
                <w:b/>
                <w:i/>
                <w:sz w:val="22"/>
                <w:szCs w:val="22"/>
              </w:rPr>
            </w:pPr>
            <w:r>
              <w:rPr>
                <w:rFonts w:ascii="Times New Roman" w:hAnsi="Times New Roman"/>
                <w:sz w:val="22"/>
                <w:szCs w:val="22"/>
              </w:rPr>
              <w:t>0.5 hours</w:t>
            </w:r>
          </w:p>
        </w:tc>
        <w:tc>
          <w:tcPr>
            <w:tcW w:w="928" w:type="dxa"/>
            <w:vAlign w:val="bottom"/>
          </w:tcPr>
          <w:p w:rsidR="00334DD2" w:rsidRPr="008F47CB" w:rsidP="00334DD2" w14:paraId="4075BA8E" w14:textId="3396F8D2">
            <w:pPr>
              <w:jc w:val="right"/>
              <w:rPr>
                <w:rFonts w:ascii="Times New Roman" w:hAnsi="Times New Roman"/>
                <w:b/>
                <w:i/>
                <w:sz w:val="22"/>
                <w:szCs w:val="22"/>
              </w:rPr>
            </w:pPr>
            <w:r>
              <w:rPr>
                <w:rFonts w:ascii="Times New Roman" w:hAnsi="Times New Roman"/>
                <w:sz w:val="22"/>
                <w:szCs w:val="22"/>
              </w:rPr>
              <w:t>2</w:t>
            </w:r>
            <w:r w:rsidR="00FA10B2">
              <w:rPr>
                <w:rFonts w:ascii="Times New Roman" w:hAnsi="Times New Roman"/>
                <w:sz w:val="22"/>
                <w:szCs w:val="22"/>
              </w:rPr>
              <w:t>,906</w:t>
            </w:r>
          </w:p>
        </w:tc>
        <w:tc>
          <w:tcPr>
            <w:tcW w:w="1405" w:type="dxa"/>
            <w:vAlign w:val="bottom"/>
          </w:tcPr>
          <w:p w:rsidR="00334DD2" w:rsidRPr="008F47CB" w:rsidP="00334DD2" w14:paraId="7F82B751" w14:textId="73924C24">
            <w:pPr>
              <w:jc w:val="right"/>
              <w:rPr>
                <w:rFonts w:ascii="Times New Roman" w:hAnsi="Times New Roman"/>
                <w:b/>
                <w:i/>
                <w:sz w:val="22"/>
                <w:szCs w:val="22"/>
              </w:rPr>
            </w:pPr>
            <w:r>
              <w:rPr>
                <w:rFonts w:ascii="Times New Roman" w:hAnsi="Times New Roman"/>
                <w:sz w:val="22"/>
                <w:szCs w:val="22"/>
              </w:rPr>
              <w:t>N/A</w:t>
            </w:r>
          </w:p>
        </w:tc>
        <w:tc>
          <w:tcPr>
            <w:tcW w:w="1299" w:type="dxa"/>
            <w:vAlign w:val="bottom"/>
          </w:tcPr>
          <w:p w:rsidR="00334DD2" w:rsidRPr="008F47CB" w:rsidP="00334DD2" w14:paraId="54BFA78B" w14:textId="4E7FF12C">
            <w:pPr>
              <w:jc w:val="right"/>
              <w:rPr>
                <w:rFonts w:ascii="Times New Roman" w:hAnsi="Times New Roman"/>
                <w:b/>
                <w:i/>
                <w:sz w:val="22"/>
                <w:szCs w:val="22"/>
              </w:rPr>
            </w:pPr>
            <w:r>
              <w:rPr>
                <w:rFonts w:ascii="Times New Roman" w:hAnsi="Times New Roman"/>
                <w:sz w:val="22"/>
                <w:szCs w:val="22"/>
              </w:rPr>
              <w:t>N/A</w:t>
            </w:r>
          </w:p>
        </w:tc>
      </w:tr>
    </w:tbl>
    <w:p w:rsidR="00D472BE" w:rsidP="00E60FB0" w14:paraId="1758C1F3" w14:textId="7C90956B">
      <w:pPr>
        <w:widowControl/>
        <w:autoSpaceDE/>
        <w:autoSpaceDN/>
        <w:adjustRightInd/>
        <w:rPr>
          <w:highlight w:val="yellow"/>
        </w:rPr>
      </w:pPr>
    </w:p>
    <w:p w:rsidR="00EE2223" w:rsidRPr="00EE2223" w:rsidP="00E60FB0" w14:paraId="51C113BE" w14:textId="4093117F">
      <w:pPr>
        <w:widowControl/>
        <w:autoSpaceDE/>
        <w:autoSpaceDN/>
        <w:adjustRightInd/>
        <w:rPr>
          <w:i/>
          <w:iCs/>
        </w:rPr>
      </w:pPr>
      <w:r w:rsidRPr="00EE2223">
        <w:rPr>
          <w:i/>
          <w:iCs/>
        </w:rPr>
        <w:t>Hourly rate source citation</w:t>
      </w:r>
      <w:r w:rsidR="002E6F9C">
        <w:rPr>
          <w:i/>
          <w:iCs/>
        </w:rPr>
        <w:t xml:space="preserve"> or you may enter a footnote</w:t>
      </w:r>
      <w:r w:rsidRPr="00EE2223">
        <w:rPr>
          <w:i/>
          <w:iCs/>
        </w:rPr>
        <w:t xml:space="preserve">: </w:t>
      </w:r>
    </w:p>
    <w:p w:rsidR="00EE2223" w:rsidRPr="00EE2223" w:rsidP="00E60FB0" w14:paraId="73540948" w14:textId="77777777">
      <w:pPr>
        <w:widowControl/>
        <w:autoSpaceDE/>
        <w:autoSpaceDN/>
        <w:adjustRightInd/>
        <w:rPr>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 xml:space="preserve">13.  Provide an estimate of </w:t>
      </w:r>
      <w:r w:rsidRPr="00D53DEB" w:rsidR="00C667F3">
        <w:rPr>
          <w:b/>
        </w:rPr>
        <w:t>the tot</w:t>
      </w:r>
      <w:r w:rsidRPr="00D53DEB">
        <w:rPr>
          <w:b/>
        </w:rPr>
        <w:t xml:space="preserve">al annual cost burden to respondents or recordkeepers resulting from the collection of information.  (Do not include the cost of any hour </w:t>
      </w:r>
      <w:r w:rsidRPr="00D53DEB" w:rsidR="00C667F3">
        <w:rPr>
          <w:b/>
        </w:rPr>
        <w:t>burden shown in Items 12 and 14</w:t>
      </w:r>
      <w:r w:rsidRPr="00D53DEB">
        <w:rPr>
          <w:b/>
        </w:rPr>
        <w:t>)</w:t>
      </w:r>
      <w:r w:rsidRPr="00D53DEB" w:rsidR="00C667F3">
        <w:rPr>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T</w:t>
      </w:r>
      <w:r w:rsidRPr="006F6E13" w:rsidR="00CD215D">
        <w:rPr>
          <w:b/>
        </w:rPr>
        <w:t>he cost estimate should be split into two components</w:t>
      </w:r>
      <w:r w:rsidRPr="006F6E13" w:rsidR="00CD215D">
        <w:rPr>
          <w:b/>
        </w:rPr>
        <w:t>:</w:t>
      </w:r>
      <w:r w:rsidRPr="006F6E13" w:rsidR="00AB4DC3">
        <w:rPr>
          <w:b/>
        </w:rPr>
        <w:t xml:space="preserve">  (</w:t>
      </w:r>
      <w:r w:rsidRPr="006F6E13" w:rsidR="00AB4DC3">
        <w:rPr>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a</w:t>
      </w:r>
      <w:r w:rsidRPr="006F6E13" w:rsidR="00AB4DC3">
        <w:rPr>
          <w:b/>
        </w:rPr>
        <w:t>nd</w:t>
      </w:r>
      <w:r w:rsidR="00584F8D">
        <w:rPr>
          <w:b/>
        </w:rPr>
        <w:t xml:space="preserve"> </w:t>
      </w:r>
      <w:r w:rsidRPr="006F6E13" w:rsidR="00AB4DC3">
        <w:rPr>
          <w:b/>
        </w:rPr>
        <w:t xml:space="preserve">start </w:t>
      </w:r>
      <w:r w:rsidRPr="006F6E13" w:rsidR="00CD215D">
        <w:rPr>
          <w:b/>
        </w:rPr>
        <w:t xml:space="preserve">up cost component </w:t>
      </w:r>
      <w:r w:rsidRPr="006F6E13" w:rsidR="00C667F3">
        <w:rPr>
          <w:b/>
        </w:rPr>
        <w:t>(</w:t>
      </w:r>
      <w:r w:rsidRPr="006F6E13" w:rsidR="00CD215D">
        <w:rPr>
          <w:b/>
        </w:rPr>
        <w:t>annualized over its expected useful life)</w:t>
      </w:r>
      <w:r w:rsidRPr="006F6E13" w:rsidR="00C667F3">
        <w:rPr>
          <w:b/>
        </w:rPr>
        <w:t>;</w:t>
      </w:r>
      <w:r w:rsidRPr="006F6E13" w:rsidR="00CD215D">
        <w:rPr>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 xml:space="preserve">total operation and </w:t>
      </w:r>
      <w:r w:rsidRPr="006F6E13" w:rsidR="006F6E13">
        <w:rPr>
          <w:b/>
        </w:rPr>
        <w:t>m</w:t>
      </w:r>
      <w:r w:rsidRPr="006F6E13">
        <w:rPr>
          <w:b/>
        </w:rPr>
        <w:t>aintenance and purchase of se</w:t>
      </w:r>
      <w:r w:rsidR="006F6E13">
        <w:rPr>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006F6E13">
        <w:rPr>
          <w:b/>
        </w:rPr>
        <w:t>The estimates</w:t>
      </w:r>
      <w:r>
        <w:rPr>
          <w:b/>
        </w:rPr>
        <w:t xml:space="preserve"> </w:t>
      </w:r>
      <w:r w:rsidRPr="006F6E13" w:rsidR="00CD215D">
        <w:rPr>
          <w:b/>
        </w:rPr>
        <w:t xml:space="preserve">should </w:t>
      </w:r>
      <w:r w:rsidRPr="006F6E13" w:rsidR="00CD215D">
        <w:rPr>
          <w:b/>
        </w:rPr>
        <w:t>take into account</w:t>
      </w:r>
      <w:r w:rsidRPr="006F6E13" w:rsidR="00CD215D">
        <w:rPr>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Pr="006F6E13" w:rsidR="00CD215D">
        <w:rPr>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 xml:space="preserve">methods used to estimate major cost factors including system and technology acquisition, expected useful life of capital equipment, the discount rate(s), and the </w:t>
      </w:r>
      <w:r w:rsidRPr="006F6E13">
        <w:rPr>
          <w:b/>
        </w:rPr>
        <w:t>time period</w:t>
      </w:r>
      <w:r w:rsidRPr="006F6E13">
        <w:rPr>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334DD2" w:rsidP="00334DD2" w14:paraId="57C62081" w14:textId="77777777">
      <w:pPr>
        <w:widowControl/>
        <w:autoSpaceDE/>
        <w:adjustRightInd/>
      </w:pPr>
    </w:p>
    <w:p w:rsidR="00334DD2" w:rsidP="00B876FA" w14:paraId="03D35816" w14:textId="238D5FD3">
      <w:pPr>
        <w:ind w:left="720"/>
      </w:pPr>
      <w:r>
        <w:t xml:space="preserve">It is estimated that </w:t>
      </w:r>
      <w:r w:rsidR="00E55A7C">
        <w:t>8</w:t>
      </w:r>
      <w:r>
        <w:t xml:space="preserve">0% email their response, </w:t>
      </w:r>
      <w:r w:rsidR="00E55A7C">
        <w:t xml:space="preserve">10% fax their response, </w:t>
      </w:r>
      <w:r>
        <w:t>and 10% mail</w:t>
      </w:r>
      <w:r w:rsidR="00E55A7C">
        <w:t xml:space="preserve"> or ship</w:t>
      </w:r>
      <w:r>
        <w:t xml:space="preserve"> their response. Therefore, the total annual cost burden associated with the submission of the ATF Form 5300.5 is estimated at $</w:t>
      </w:r>
      <w:r w:rsidR="0096233D">
        <w:t>424</w:t>
      </w:r>
      <w:r>
        <w:t>, which is equal to</w:t>
      </w:r>
      <w:r w:rsidR="0096233D">
        <w:t xml:space="preserve"> 581</w:t>
      </w:r>
      <w:r>
        <w:t xml:space="preserve"> (10% </w:t>
      </w:r>
      <w:r w:rsidR="0096233D">
        <w:t>of responses</w:t>
      </w:r>
      <w:r>
        <w:t>) * $0.73 (estimated cost for each respondent to mail multiple forms).</w:t>
      </w:r>
      <w:r>
        <w:rPr>
          <w:vertAlign w:val="superscript"/>
        </w:rPr>
        <w:footnoteReference w:id="3"/>
      </w:r>
      <w:r>
        <w:rPr>
          <w:vertAlign w:val="superscript"/>
        </w:rPr>
        <w:t>,</w:t>
      </w:r>
      <w:r>
        <w:rPr>
          <w:vertAlign w:val="superscript"/>
        </w:rPr>
        <w:footnoteReference w:id="4"/>
      </w:r>
    </w:p>
    <w:p w:rsidR="00CD215D" w:rsidRPr="00D53DEB" w:rsidP="00B876FA" w14:paraId="10DEAAA9" w14:textId="77777777">
      <w:pPr>
        <w:rPr>
          <w:b/>
        </w:rPr>
      </w:pPr>
    </w:p>
    <w:p w:rsidR="00CD215D"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85576" w:rsidP="00585576" w14:paraId="68DE54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B876FA" w14:paraId="726D62FC" w14:textId="0DAE8866"/>
    <w:p w:rsidR="008B3128" w:rsidRPr="004A1222" w:rsidP="00B876FA" w14:paraId="6E4E03BB" w14:textId="46C55339">
      <w:pPr>
        <w:ind w:firstLine="720"/>
      </w:pPr>
      <w:r w:rsidRPr="004A1222">
        <w:t>The annual IC cost burden for this collection is $</w:t>
      </w:r>
      <w:r w:rsidR="00001403">
        <w:t>424</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t xml:space="preserve"> </w:t>
      </w:r>
      <w:r w:rsidRPr="00D53DEB">
        <w:rPr>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 </w:t>
      </w:r>
    </w:p>
    <w:p w:rsidR="00F96885" w:rsidRPr="004A1222" w:rsidP="00B876FA" w14:paraId="1A15C4F0" w14:textId="6CE1C7D2">
      <w:r>
        <w:t>The Federal Government will send a certified letter to respondents with a return receipt</w:t>
      </w:r>
      <w:r w:rsidRPr="004A1222" w:rsidR="00CC2E4A">
        <w:t>.</w:t>
      </w:r>
      <w:r>
        <w:t xml:space="preserve"> The certified mail costs $4.85 and the return receipt costs $4.10, making the total cost for mail $8.95 ($4.85 + $4.10) per respondent.</w:t>
      </w:r>
      <w:r>
        <w:rPr>
          <w:rStyle w:val="FootnoteReference"/>
        </w:rPr>
        <w:footnoteReference w:id="5"/>
      </w:r>
      <w:r>
        <w:t xml:space="preserve"> </w:t>
      </w:r>
      <w:r w:rsidR="007B4BB6">
        <w:t>At 1,453 respondents, the Federal Government Cost $13,004 (14,53 respondents * $8.95 mailing cost).</w:t>
      </w:r>
    </w:p>
    <w:p w:rsidR="00CC2E4A" w:rsidRPr="00871CA6" w:rsidP="00690F56" w14:paraId="7F693A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rPr>
      </w:pPr>
      <w:r w:rsidRPr="00D53DEB">
        <w:rPr>
          <w:b/>
          <w:bCs/>
        </w:rPr>
        <w:t>15.</w:t>
      </w:r>
      <w:r w:rsidRPr="00D53DEB">
        <w:rPr>
          <w:b/>
          <w:bCs/>
        </w:rPr>
        <w:tab/>
        <w:t>Explain the reasons for any</w:t>
      </w:r>
      <w:r w:rsidRPr="00D53DEB" w:rsidR="00882AB5">
        <w:rPr>
          <w:b/>
          <w:bCs/>
        </w:rPr>
        <w:t xml:space="preserve"> program changes or adjustments</w:t>
      </w:r>
      <w:r w:rsidRPr="00A47DA7" w:rsidR="00882AB5">
        <w:rPr>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CC2E4A" w:rsidP="00CC2E4A" w14:paraId="1CA121AD" w14:textId="77777777">
      <w:pPr>
        <w:pStyle w:val="NoSpacing"/>
        <w:ind w:left="0" w:firstLine="0"/>
      </w:pPr>
      <w:r>
        <w:t xml:space="preserve">There was a decrease in total respondents, but an increase in total responses, burden hours, and cost and is </w:t>
      </w:r>
      <w:r w:rsidRPr="00581E03">
        <w:t>due to</w:t>
      </w:r>
      <w:r>
        <w:t xml:space="preserve"> the</w:t>
      </w:r>
      <w:r w:rsidRPr="00581E03">
        <w:t xml:space="preserve"> </w:t>
      </w:r>
      <w:r>
        <w:t>increase in multiple sales. See Table below</w:t>
      </w:r>
    </w:p>
    <w:p w:rsidR="00CC2E4A" w:rsidP="00690F56" w14:paraId="7A8C771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tbl>
      <w:tblPr>
        <w:tblW w:w="4356" w:type="dxa"/>
        <w:jc w:val="center"/>
        <w:tblLook w:val="04A0"/>
      </w:tblPr>
      <w:tblGrid>
        <w:gridCol w:w="1443"/>
        <w:gridCol w:w="1150"/>
        <w:gridCol w:w="1150"/>
        <w:gridCol w:w="1242"/>
      </w:tblGrid>
      <w:tr w14:paraId="010F6734" w14:textId="77777777" w:rsidTr="00313C28">
        <w:tblPrEx>
          <w:tblW w:w="4356" w:type="dxa"/>
          <w:jc w:val="center"/>
          <w:tblLook w:val="04A0"/>
        </w:tblPrEx>
        <w:trPr>
          <w:trHeight w:val="300"/>
          <w:jc w:val="center"/>
        </w:trPr>
        <w:tc>
          <w:tcPr>
            <w:tcW w:w="1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806CD" w:rsidRPr="008806CD" w:rsidP="008806CD" w14:paraId="4646E3A0" w14:textId="77777777">
            <w:pPr>
              <w:widowControl/>
              <w:autoSpaceDE/>
              <w:autoSpaceDN/>
              <w:adjustRightInd/>
              <w:rPr>
                <w:color w:val="000000"/>
              </w:rPr>
            </w:pPr>
            <w:r w:rsidRPr="008806CD">
              <w:rPr>
                <w:color w:val="000000"/>
              </w:rPr>
              <w:t> </w:t>
            </w:r>
          </w:p>
        </w:tc>
        <w:tc>
          <w:tcPr>
            <w:tcW w:w="1040" w:type="dxa"/>
            <w:tcBorders>
              <w:top w:val="single" w:sz="8" w:space="0" w:color="auto"/>
              <w:left w:val="nil"/>
              <w:bottom w:val="single" w:sz="8" w:space="0" w:color="auto"/>
              <w:right w:val="single" w:sz="8" w:space="0" w:color="auto"/>
            </w:tcBorders>
            <w:shd w:val="clear" w:color="auto" w:fill="auto"/>
            <w:noWrap/>
            <w:vAlign w:val="center"/>
            <w:hideMark/>
          </w:tcPr>
          <w:p w:rsidR="008806CD" w:rsidRPr="008806CD" w:rsidP="008806CD" w14:paraId="28974FB0" w14:textId="77777777">
            <w:pPr>
              <w:widowControl/>
              <w:autoSpaceDE/>
              <w:autoSpaceDN/>
              <w:adjustRightInd/>
              <w:rPr>
                <w:color w:val="000000"/>
              </w:rPr>
            </w:pPr>
            <w:r w:rsidRPr="008806CD">
              <w:rPr>
                <w:color w:val="000000"/>
              </w:rPr>
              <w:t>Current OMB Inventory</w:t>
            </w:r>
          </w:p>
        </w:tc>
        <w:tc>
          <w:tcPr>
            <w:tcW w:w="1040" w:type="dxa"/>
            <w:tcBorders>
              <w:top w:val="single" w:sz="8" w:space="0" w:color="auto"/>
              <w:left w:val="nil"/>
              <w:bottom w:val="single" w:sz="8" w:space="0" w:color="auto"/>
              <w:right w:val="single" w:sz="8" w:space="0" w:color="auto"/>
            </w:tcBorders>
            <w:shd w:val="clear" w:color="auto" w:fill="auto"/>
            <w:noWrap/>
            <w:vAlign w:val="center"/>
            <w:hideMark/>
          </w:tcPr>
          <w:p w:rsidR="008806CD" w:rsidRPr="008806CD" w:rsidP="008806CD" w14:paraId="4FD8CF41" w14:textId="77777777">
            <w:pPr>
              <w:widowControl/>
              <w:autoSpaceDE/>
              <w:autoSpaceDN/>
              <w:adjustRightInd/>
              <w:rPr>
                <w:color w:val="000000"/>
              </w:rPr>
            </w:pPr>
            <w:r w:rsidRPr="008806CD">
              <w:rPr>
                <w:color w:val="000000"/>
              </w:rPr>
              <w:t>New OMB Inventory</w:t>
            </w:r>
          </w:p>
        </w:tc>
        <w:tc>
          <w:tcPr>
            <w:tcW w:w="1040" w:type="dxa"/>
            <w:tcBorders>
              <w:top w:val="single" w:sz="8" w:space="0" w:color="auto"/>
              <w:left w:val="nil"/>
              <w:bottom w:val="single" w:sz="8" w:space="0" w:color="auto"/>
              <w:right w:val="single" w:sz="8" w:space="0" w:color="auto"/>
            </w:tcBorders>
            <w:shd w:val="clear" w:color="auto" w:fill="auto"/>
            <w:noWrap/>
            <w:vAlign w:val="center"/>
            <w:hideMark/>
          </w:tcPr>
          <w:p w:rsidR="008806CD" w:rsidRPr="008806CD" w:rsidP="008806CD" w14:paraId="4B93D2EB" w14:textId="77777777">
            <w:pPr>
              <w:widowControl/>
              <w:autoSpaceDE/>
              <w:autoSpaceDN/>
              <w:adjustRightInd/>
              <w:rPr>
                <w:color w:val="000000"/>
              </w:rPr>
            </w:pPr>
            <w:r w:rsidRPr="008806CD">
              <w:rPr>
                <w:color w:val="000000"/>
              </w:rPr>
              <w:t>Difference</w:t>
            </w:r>
          </w:p>
        </w:tc>
      </w:tr>
      <w:tr w14:paraId="7C42284C" w14:textId="77777777" w:rsidTr="00313C28">
        <w:tblPrEx>
          <w:tblW w:w="4356" w:type="dxa"/>
          <w:jc w:val="center"/>
          <w:tblLook w:val="04A0"/>
        </w:tblPrEx>
        <w:trPr>
          <w:trHeight w:val="300"/>
          <w:jc w:val="center"/>
        </w:trPr>
        <w:tc>
          <w:tcPr>
            <w:tcW w:w="1236" w:type="dxa"/>
            <w:tcBorders>
              <w:top w:val="nil"/>
              <w:left w:val="single" w:sz="8" w:space="0" w:color="auto"/>
              <w:bottom w:val="single" w:sz="8" w:space="0" w:color="auto"/>
              <w:right w:val="single" w:sz="8" w:space="0" w:color="auto"/>
            </w:tcBorders>
            <w:shd w:val="clear" w:color="auto" w:fill="auto"/>
            <w:noWrap/>
            <w:vAlign w:val="center"/>
            <w:hideMark/>
          </w:tcPr>
          <w:p w:rsidR="008806CD" w:rsidRPr="008806CD" w:rsidP="008806CD" w14:paraId="46F6E399" w14:textId="77777777">
            <w:pPr>
              <w:widowControl/>
              <w:autoSpaceDE/>
              <w:autoSpaceDN/>
              <w:adjustRightInd/>
              <w:rPr>
                <w:color w:val="000000"/>
              </w:rPr>
            </w:pPr>
            <w:r w:rsidRPr="008806CD">
              <w:rPr>
                <w:color w:val="000000"/>
              </w:rPr>
              <w:t>Respondents</w:t>
            </w:r>
          </w:p>
        </w:tc>
        <w:tc>
          <w:tcPr>
            <w:tcW w:w="1040" w:type="dxa"/>
            <w:tcBorders>
              <w:top w:val="nil"/>
              <w:left w:val="nil"/>
              <w:bottom w:val="single" w:sz="8" w:space="0" w:color="auto"/>
              <w:right w:val="single" w:sz="8" w:space="0" w:color="auto"/>
            </w:tcBorders>
            <w:shd w:val="clear" w:color="auto" w:fill="auto"/>
            <w:noWrap/>
            <w:vAlign w:val="center"/>
            <w:hideMark/>
          </w:tcPr>
          <w:p w:rsidR="008806CD" w:rsidRPr="008806CD" w:rsidP="008806CD" w14:paraId="088636C9" w14:textId="77777777">
            <w:pPr>
              <w:widowControl/>
              <w:autoSpaceDE/>
              <w:autoSpaceDN/>
              <w:adjustRightInd/>
              <w:jc w:val="right"/>
              <w:rPr>
                <w:color w:val="000000"/>
              </w:rPr>
            </w:pPr>
            <w:r w:rsidRPr="008806CD">
              <w:rPr>
                <w:color w:val="000000"/>
              </w:rPr>
              <w:t>628</w:t>
            </w:r>
          </w:p>
        </w:tc>
        <w:tc>
          <w:tcPr>
            <w:tcW w:w="1040" w:type="dxa"/>
            <w:tcBorders>
              <w:top w:val="nil"/>
              <w:left w:val="nil"/>
              <w:bottom w:val="single" w:sz="8" w:space="0" w:color="auto"/>
              <w:right w:val="single" w:sz="8" w:space="0" w:color="auto"/>
            </w:tcBorders>
            <w:shd w:val="clear" w:color="auto" w:fill="auto"/>
            <w:noWrap/>
            <w:vAlign w:val="center"/>
            <w:hideMark/>
          </w:tcPr>
          <w:p w:rsidR="008806CD" w:rsidRPr="008806CD" w:rsidP="008806CD" w14:paraId="1FF05F90" w14:textId="77777777">
            <w:pPr>
              <w:widowControl/>
              <w:autoSpaceDE/>
              <w:autoSpaceDN/>
              <w:adjustRightInd/>
              <w:jc w:val="right"/>
              <w:rPr>
                <w:color w:val="000000"/>
              </w:rPr>
            </w:pPr>
            <w:r w:rsidRPr="008806CD">
              <w:rPr>
                <w:color w:val="000000"/>
              </w:rPr>
              <w:t>1,453</w:t>
            </w:r>
          </w:p>
        </w:tc>
        <w:tc>
          <w:tcPr>
            <w:tcW w:w="1040" w:type="dxa"/>
            <w:tcBorders>
              <w:top w:val="nil"/>
              <w:left w:val="nil"/>
              <w:bottom w:val="single" w:sz="8" w:space="0" w:color="auto"/>
              <w:right w:val="single" w:sz="8" w:space="0" w:color="auto"/>
            </w:tcBorders>
            <w:shd w:val="clear" w:color="auto" w:fill="auto"/>
            <w:noWrap/>
            <w:vAlign w:val="center"/>
            <w:hideMark/>
          </w:tcPr>
          <w:p w:rsidR="008806CD" w:rsidRPr="008806CD" w:rsidP="008806CD" w14:paraId="638EE709" w14:textId="77777777">
            <w:pPr>
              <w:widowControl/>
              <w:autoSpaceDE/>
              <w:autoSpaceDN/>
              <w:adjustRightInd/>
              <w:jc w:val="right"/>
              <w:rPr>
                <w:color w:val="000000"/>
              </w:rPr>
            </w:pPr>
            <w:r w:rsidRPr="008806CD">
              <w:rPr>
                <w:color w:val="000000"/>
              </w:rPr>
              <w:t>825</w:t>
            </w:r>
          </w:p>
        </w:tc>
      </w:tr>
      <w:tr w14:paraId="04A2909D" w14:textId="77777777" w:rsidTr="00313C28">
        <w:tblPrEx>
          <w:tblW w:w="4356" w:type="dxa"/>
          <w:jc w:val="center"/>
          <w:tblLook w:val="04A0"/>
        </w:tblPrEx>
        <w:trPr>
          <w:trHeight w:val="300"/>
          <w:jc w:val="center"/>
        </w:trPr>
        <w:tc>
          <w:tcPr>
            <w:tcW w:w="1236" w:type="dxa"/>
            <w:tcBorders>
              <w:top w:val="nil"/>
              <w:left w:val="single" w:sz="8" w:space="0" w:color="auto"/>
              <w:bottom w:val="single" w:sz="8" w:space="0" w:color="auto"/>
              <w:right w:val="single" w:sz="8" w:space="0" w:color="auto"/>
            </w:tcBorders>
            <w:shd w:val="clear" w:color="auto" w:fill="auto"/>
            <w:noWrap/>
            <w:vAlign w:val="center"/>
            <w:hideMark/>
          </w:tcPr>
          <w:p w:rsidR="008806CD" w:rsidRPr="008806CD" w:rsidP="008806CD" w14:paraId="1110D842" w14:textId="77777777">
            <w:pPr>
              <w:widowControl/>
              <w:autoSpaceDE/>
              <w:autoSpaceDN/>
              <w:adjustRightInd/>
              <w:rPr>
                <w:color w:val="000000"/>
              </w:rPr>
            </w:pPr>
            <w:r w:rsidRPr="008806CD">
              <w:rPr>
                <w:color w:val="000000"/>
              </w:rPr>
              <w:t>Responses</w:t>
            </w:r>
          </w:p>
        </w:tc>
        <w:tc>
          <w:tcPr>
            <w:tcW w:w="1040" w:type="dxa"/>
            <w:tcBorders>
              <w:top w:val="nil"/>
              <w:left w:val="nil"/>
              <w:bottom w:val="single" w:sz="8" w:space="0" w:color="auto"/>
              <w:right w:val="single" w:sz="8" w:space="0" w:color="auto"/>
            </w:tcBorders>
            <w:shd w:val="clear" w:color="auto" w:fill="auto"/>
            <w:noWrap/>
            <w:vAlign w:val="center"/>
            <w:hideMark/>
          </w:tcPr>
          <w:p w:rsidR="008806CD" w:rsidRPr="008806CD" w:rsidP="008806CD" w14:paraId="4E451E23" w14:textId="77777777">
            <w:pPr>
              <w:widowControl/>
              <w:autoSpaceDE/>
              <w:autoSpaceDN/>
              <w:adjustRightInd/>
              <w:jc w:val="right"/>
              <w:rPr>
                <w:color w:val="000000"/>
              </w:rPr>
            </w:pPr>
            <w:r w:rsidRPr="008806CD">
              <w:rPr>
                <w:color w:val="000000"/>
              </w:rPr>
              <w:t>2,512</w:t>
            </w:r>
          </w:p>
        </w:tc>
        <w:tc>
          <w:tcPr>
            <w:tcW w:w="1040" w:type="dxa"/>
            <w:tcBorders>
              <w:top w:val="nil"/>
              <w:left w:val="nil"/>
              <w:bottom w:val="single" w:sz="8" w:space="0" w:color="auto"/>
              <w:right w:val="single" w:sz="8" w:space="0" w:color="auto"/>
            </w:tcBorders>
            <w:shd w:val="clear" w:color="auto" w:fill="auto"/>
            <w:noWrap/>
            <w:vAlign w:val="center"/>
            <w:hideMark/>
          </w:tcPr>
          <w:p w:rsidR="008806CD" w:rsidRPr="008806CD" w:rsidP="008806CD" w14:paraId="4CA20D77" w14:textId="77777777">
            <w:pPr>
              <w:widowControl/>
              <w:autoSpaceDE/>
              <w:autoSpaceDN/>
              <w:adjustRightInd/>
              <w:jc w:val="right"/>
              <w:rPr>
                <w:color w:val="000000"/>
              </w:rPr>
            </w:pPr>
            <w:r w:rsidRPr="008806CD">
              <w:rPr>
                <w:color w:val="000000"/>
              </w:rPr>
              <w:t>5,812</w:t>
            </w:r>
          </w:p>
        </w:tc>
        <w:tc>
          <w:tcPr>
            <w:tcW w:w="1040" w:type="dxa"/>
            <w:tcBorders>
              <w:top w:val="nil"/>
              <w:left w:val="nil"/>
              <w:bottom w:val="single" w:sz="8" w:space="0" w:color="auto"/>
              <w:right w:val="single" w:sz="8" w:space="0" w:color="auto"/>
            </w:tcBorders>
            <w:shd w:val="clear" w:color="auto" w:fill="auto"/>
            <w:noWrap/>
            <w:vAlign w:val="center"/>
            <w:hideMark/>
          </w:tcPr>
          <w:p w:rsidR="008806CD" w:rsidRPr="008806CD" w:rsidP="008806CD" w14:paraId="7FEB6585" w14:textId="77777777">
            <w:pPr>
              <w:widowControl/>
              <w:autoSpaceDE/>
              <w:autoSpaceDN/>
              <w:adjustRightInd/>
              <w:jc w:val="right"/>
              <w:rPr>
                <w:color w:val="000000"/>
              </w:rPr>
            </w:pPr>
            <w:r w:rsidRPr="008806CD">
              <w:rPr>
                <w:color w:val="000000"/>
              </w:rPr>
              <w:t>3,300</w:t>
            </w:r>
          </w:p>
        </w:tc>
      </w:tr>
      <w:tr w14:paraId="5B870067" w14:textId="77777777" w:rsidTr="00313C28">
        <w:tblPrEx>
          <w:tblW w:w="4356" w:type="dxa"/>
          <w:jc w:val="center"/>
          <w:tblLook w:val="04A0"/>
        </w:tblPrEx>
        <w:trPr>
          <w:trHeight w:val="300"/>
          <w:jc w:val="center"/>
        </w:trPr>
        <w:tc>
          <w:tcPr>
            <w:tcW w:w="1236" w:type="dxa"/>
            <w:tcBorders>
              <w:top w:val="nil"/>
              <w:left w:val="single" w:sz="8" w:space="0" w:color="auto"/>
              <w:bottom w:val="single" w:sz="8" w:space="0" w:color="auto"/>
              <w:right w:val="single" w:sz="8" w:space="0" w:color="auto"/>
            </w:tcBorders>
            <w:shd w:val="clear" w:color="auto" w:fill="auto"/>
            <w:noWrap/>
            <w:vAlign w:val="center"/>
            <w:hideMark/>
          </w:tcPr>
          <w:p w:rsidR="008806CD" w:rsidRPr="008806CD" w:rsidP="008806CD" w14:paraId="6B927CB9" w14:textId="77777777">
            <w:pPr>
              <w:widowControl/>
              <w:autoSpaceDE/>
              <w:autoSpaceDN/>
              <w:adjustRightInd/>
              <w:rPr>
                <w:color w:val="000000"/>
              </w:rPr>
            </w:pPr>
            <w:r w:rsidRPr="008806CD">
              <w:rPr>
                <w:color w:val="000000"/>
              </w:rPr>
              <w:t>Burden Hours</w:t>
            </w:r>
          </w:p>
        </w:tc>
        <w:tc>
          <w:tcPr>
            <w:tcW w:w="1040" w:type="dxa"/>
            <w:tcBorders>
              <w:top w:val="nil"/>
              <w:left w:val="nil"/>
              <w:bottom w:val="single" w:sz="8" w:space="0" w:color="auto"/>
              <w:right w:val="single" w:sz="8" w:space="0" w:color="auto"/>
            </w:tcBorders>
            <w:shd w:val="clear" w:color="auto" w:fill="auto"/>
            <w:noWrap/>
            <w:vAlign w:val="center"/>
            <w:hideMark/>
          </w:tcPr>
          <w:p w:rsidR="008806CD" w:rsidRPr="008806CD" w:rsidP="008806CD" w14:paraId="6DC7AD0E" w14:textId="77777777">
            <w:pPr>
              <w:widowControl/>
              <w:autoSpaceDE/>
              <w:autoSpaceDN/>
              <w:adjustRightInd/>
              <w:jc w:val="right"/>
              <w:rPr>
                <w:color w:val="000000"/>
              </w:rPr>
            </w:pPr>
            <w:r w:rsidRPr="008806CD">
              <w:rPr>
                <w:color w:val="000000"/>
              </w:rPr>
              <w:t>1,256</w:t>
            </w:r>
          </w:p>
        </w:tc>
        <w:tc>
          <w:tcPr>
            <w:tcW w:w="1040" w:type="dxa"/>
            <w:tcBorders>
              <w:top w:val="nil"/>
              <w:left w:val="nil"/>
              <w:bottom w:val="single" w:sz="8" w:space="0" w:color="auto"/>
              <w:right w:val="single" w:sz="8" w:space="0" w:color="auto"/>
            </w:tcBorders>
            <w:shd w:val="clear" w:color="auto" w:fill="auto"/>
            <w:noWrap/>
            <w:vAlign w:val="center"/>
            <w:hideMark/>
          </w:tcPr>
          <w:p w:rsidR="008806CD" w:rsidRPr="008806CD" w:rsidP="008806CD" w14:paraId="2046E900" w14:textId="77777777">
            <w:pPr>
              <w:widowControl/>
              <w:autoSpaceDE/>
              <w:autoSpaceDN/>
              <w:adjustRightInd/>
              <w:jc w:val="right"/>
              <w:rPr>
                <w:color w:val="000000"/>
              </w:rPr>
            </w:pPr>
            <w:r w:rsidRPr="008806CD">
              <w:rPr>
                <w:color w:val="000000"/>
              </w:rPr>
              <w:t>2,906</w:t>
            </w:r>
          </w:p>
        </w:tc>
        <w:tc>
          <w:tcPr>
            <w:tcW w:w="1040" w:type="dxa"/>
            <w:tcBorders>
              <w:top w:val="nil"/>
              <w:left w:val="nil"/>
              <w:bottom w:val="single" w:sz="8" w:space="0" w:color="auto"/>
              <w:right w:val="single" w:sz="8" w:space="0" w:color="auto"/>
            </w:tcBorders>
            <w:shd w:val="clear" w:color="auto" w:fill="auto"/>
            <w:noWrap/>
            <w:vAlign w:val="center"/>
            <w:hideMark/>
          </w:tcPr>
          <w:p w:rsidR="008806CD" w:rsidRPr="008806CD" w:rsidP="008806CD" w14:paraId="5B6562AA" w14:textId="77777777">
            <w:pPr>
              <w:widowControl/>
              <w:autoSpaceDE/>
              <w:autoSpaceDN/>
              <w:adjustRightInd/>
              <w:jc w:val="right"/>
              <w:rPr>
                <w:color w:val="000000"/>
              </w:rPr>
            </w:pPr>
            <w:r w:rsidRPr="008806CD">
              <w:rPr>
                <w:color w:val="000000"/>
              </w:rPr>
              <w:t>1,650</w:t>
            </w:r>
          </w:p>
        </w:tc>
      </w:tr>
      <w:tr w14:paraId="0303E12B" w14:textId="77777777" w:rsidTr="00313C28">
        <w:tblPrEx>
          <w:tblW w:w="4356" w:type="dxa"/>
          <w:jc w:val="center"/>
          <w:tblLook w:val="04A0"/>
        </w:tblPrEx>
        <w:trPr>
          <w:trHeight w:val="300"/>
          <w:jc w:val="center"/>
        </w:trPr>
        <w:tc>
          <w:tcPr>
            <w:tcW w:w="1236" w:type="dxa"/>
            <w:tcBorders>
              <w:top w:val="nil"/>
              <w:left w:val="single" w:sz="8" w:space="0" w:color="auto"/>
              <w:bottom w:val="single" w:sz="8" w:space="0" w:color="auto"/>
              <w:right w:val="single" w:sz="8" w:space="0" w:color="auto"/>
            </w:tcBorders>
            <w:shd w:val="clear" w:color="auto" w:fill="auto"/>
            <w:noWrap/>
            <w:vAlign w:val="center"/>
            <w:hideMark/>
          </w:tcPr>
          <w:p w:rsidR="008806CD" w:rsidRPr="008806CD" w:rsidP="008806CD" w14:paraId="652757CB" w14:textId="77777777">
            <w:pPr>
              <w:widowControl/>
              <w:autoSpaceDE/>
              <w:autoSpaceDN/>
              <w:adjustRightInd/>
              <w:rPr>
                <w:color w:val="000000"/>
              </w:rPr>
            </w:pPr>
            <w:r w:rsidRPr="008806CD">
              <w:rPr>
                <w:color w:val="000000"/>
              </w:rPr>
              <w:t>Cost</w:t>
            </w:r>
          </w:p>
        </w:tc>
        <w:tc>
          <w:tcPr>
            <w:tcW w:w="1040" w:type="dxa"/>
            <w:tcBorders>
              <w:top w:val="nil"/>
              <w:left w:val="nil"/>
              <w:bottom w:val="single" w:sz="8" w:space="0" w:color="auto"/>
              <w:right w:val="single" w:sz="8" w:space="0" w:color="auto"/>
            </w:tcBorders>
            <w:shd w:val="clear" w:color="auto" w:fill="auto"/>
            <w:noWrap/>
            <w:vAlign w:val="center"/>
            <w:hideMark/>
          </w:tcPr>
          <w:p w:rsidR="008806CD" w:rsidRPr="008806CD" w:rsidP="008806CD" w14:paraId="315FE18F" w14:textId="77777777">
            <w:pPr>
              <w:widowControl/>
              <w:autoSpaceDE/>
              <w:autoSpaceDN/>
              <w:adjustRightInd/>
              <w:jc w:val="right"/>
              <w:rPr>
                <w:color w:val="000000"/>
              </w:rPr>
            </w:pPr>
            <w:r w:rsidRPr="008806CD">
              <w:rPr>
                <w:color w:val="000000"/>
              </w:rPr>
              <w:t xml:space="preserve">$240 </w:t>
            </w:r>
          </w:p>
        </w:tc>
        <w:tc>
          <w:tcPr>
            <w:tcW w:w="1040" w:type="dxa"/>
            <w:tcBorders>
              <w:top w:val="nil"/>
              <w:left w:val="nil"/>
              <w:bottom w:val="single" w:sz="8" w:space="0" w:color="auto"/>
              <w:right w:val="single" w:sz="8" w:space="0" w:color="auto"/>
            </w:tcBorders>
            <w:shd w:val="clear" w:color="auto" w:fill="auto"/>
            <w:noWrap/>
            <w:vAlign w:val="center"/>
            <w:hideMark/>
          </w:tcPr>
          <w:p w:rsidR="008806CD" w:rsidRPr="008806CD" w:rsidP="008806CD" w14:paraId="465D0A7C" w14:textId="77777777">
            <w:pPr>
              <w:widowControl/>
              <w:autoSpaceDE/>
              <w:autoSpaceDN/>
              <w:adjustRightInd/>
              <w:jc w:val="right"/>
              <w:rPr>
                <w:color w:val="000000"/>
              </w:rPr>
            </w:pPr>
            <w:r w:rsidRPr="008806CD">
              <w:rPr>
                <w:color w:val="000000"/>
              </w:rPr>
              <w:t xml:space="preserve">$424 </w:t>
            </w:r>
          </w:p>
        </w:tc>
        <w:tc>
          <w:tcPr>
            <w:tcW w:w="1040" w:type="dxa"/>
            <w:tcBorders>
              <w:top w:val="nil"/>
              <w:left w:val="nil"/>
              <w:bottom w:val="single" w:sz="8" w:space="0" w:color="auto"/>
              <w:right w:val="single" w:sz="8" w:space="0" w:color="auto"/>
            </w:tcBorders>
            <w:shd w:val="clear" w:color="auto" w:fill="auto"/>
            <w:noWrap/>
            <w:vAlign w:val="center"/>
            <w:hideMark/>
          </w:tcPr>
          <w:p w:rsidR="008806CD" w:rsidRPr="008806CD" w:rsidP="008806CD" w14:paraId="7A680139" w14:textId="77777777">
            <w:pPr>
              <w:widowControl/>
              <w:autoSpaceDE/>
              <w:autoSpaceDN/>
              <w:adjustRightInd/>
              <w:jc w:val="right"/>
              <w:rPr>
                <w:color w:val="000000"/>
              </w:rPr>
            </w:pPr>
            <w:r w:rsidRPr="008806CD">
              <w:rPr>
                <w:color w:val="000000"/>
              </w:rPr>
              <w:t>$184</w:t>
            </w:r>
          </w:p>
        </w:tc>
      </w:tr>
    </w:tbl>
    <w:p w:rsidR="00CC2E4A" w:rsidP="00690F56" w14:paraId="64553E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1</w:t>
      </w:r>
      <w:r w:rsidRPr="00D53DEB" w:rsidR="00882AB5">
        <w:rPr>
          <w:b/>
          <w:bCs/>
        </w:rPr>
        <w:t xml:space="preserve">6. </w:t>
      </w:r>
      <w:r w:rsidRPr="00D53DEB">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5F1C69" w:rsidP="005F1C69" w14:paraId="102DA6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The results of this Collection of Information will not be published.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C39F6">
        <w:t>We are requesting no exemption.</w:t>
      </w:r>
      <w: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49001D">
        <w:t>This collection of information does not include any exceptions to the certificate</w:t>
      </w:r>
      <w:r w:rsidR="003A4476">
        <w:t xml:space="preserve"> </w:t>
      </w:r>
      <w:r w:rsidRPr="0049001D">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7A7F79" w:rsidRPr="00A973AA" w:rsidP="007A7F79" w14:paraId="077F6D32" w14:textId="77777777">
      <w:pPr>
        <w:widowControl/>
        <w:autoSpaceDE/>
        <w:autoSpaceDN/>
        <w:adjustRightInd/>
        <w:spacing w:after="200" w:line="276" w:lineRule="auto"/>
      </w:pPr>
      <w:r w:rsidRPr="00A973AA">
        <w:rPr>
          <w:b/>
          <w:bCs/>
        </w:rPr>
        <w:t>B. COLLECTIONS OF INFORMATON EMPLOYING STATISTICAL METHODS.</w:t>
      </w:r>
    </w:p>
    <w:p w:rsidR="00332F98" w:rsidRPr="00D53DEB" w14:paraId="3E8CBCDA" w14:textId="09628189">
      <w:r>
        <w:t>This collection</w:t>
      </w:r>
      <w:r w:rsidR="00CC1B60">
        <w:t xml:space="preserve"> does/does not</w:t>
      </w:r>
      <w:r>
        <w:t xml:space="preserve"> contain statistical data.</w:t>
      </w: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Pr>
    </w:pPr>
    <w:r w:rsidRPr="00B26E3E">
      <w:rPr>
        <w:rStyle w:val="PageNumber"/>
      </w:rPr>
      <w:fldChar w:fldCharType="begin"/>
    </w:r>
    <w:r w:rsidRPr="00B26E3E">
      <w:rPr>
        <w:rStyle w:val="PageNumber"/>
      </w:rPr>
      <w:instrText xml:space="preserve">PAGE  </w:instrText>
    </w:r>
    <w:r w:rsidRPr="00B26E3E">
      <w:rPr>
        <w:rStyle w:val="PageNumber"/>
      </w:rPr>
      <w:fldChar w:fldCharType="separate"/>
    </w:r>
    <w:r w:rsidR="00094A5E">
      <w:rPr>
        <w:rStyle w:val="PageNumber"/>
        <w:noProof/>
      </w:rPr>
      <w:t>1</w:t>
    </w:r>
    <w:r w:rsidRPr="00B26E3E">
      <w:rPr>
        <w:rStyle w:val="PageNumber"/>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16DC" w14:paraId="2FFDDC5D" w14:textId="77777777">
      <w:r>
        <w:separator/>
      </w:r>
    </w:p>
  </w:footnote>
  <w:footnote w:type="continuationSeparator" w:id="1">
    <w:p w:rsidR="008D16DC" w14:paraId="273ABD6D" w14:textId="77777777">
      <w:r>
        <w:continuationSeparator/>
      </w:r>
    </w:p>
  </w:footnote>
  <w:footnote w:type="continuationNotice" w:id="2">
    <w:p w:rsidR="008D16DC" w14:paraId="73C6FB7B" w14:textId="77777777"/>
  </w:footnote>
  <w:footnote w:id="3">
    <w:p w:rsidR="00334DD2" w:rsidP="00334DD2" w14:paraId="5DE707F3" w14:textId="141245E2">
      <w:pPr>
        <w:pStyle w:val="FootnoteText"/>
      </w:pPr>
      <w:r>
        <w:rPr>
          <w:rStyle w:val="FootnoteReference"/>
        </w:rPr>
        <w:footnoteRef/>
      </w:r>
      <w:r>
        <w:t xml:space="preserve"> The number of mail-in responses is </w:t>
      </w:r>
      <w:r w:rsidR="0096233D">
        <w:t>581</w:t>
      </w:r>
      <w:r w:rsidR="00585576">
        <w:t xml:space="preserve"> total mailed in responses</w:t>
      </w:r>
      <w:r>
        <w:t xml:space="preserve"> =10% </w:t>
      </w:r>
      <w:r w:rsidR="00585576">
        <w:t xml:space="preserve">mail in </w:t>
      </w:r>
      <w:r>
        <w:t>*</w:t>
      </w:r>
      <w:r w:rsidR="00585576">
        <w:t xml:space="preserve"> </w:t>
      </w:r>
      <w:r w:rsidR="0096233D">
        <w:t>5,812</w:t>
      </w:r>
      <w:r w:rsidR="00585576">
        <w:t xml:space="preserve"> annual responses</w:t>
      </w:r>
      <w:r w:rsidR="00B876FA">
        <w:t>.</w:t>
      </w:r>
    </w:p>
  </w:footnote>
  <w:footnote w:id="4">
    <w:p w:rsidR="00334DD2" w:rsidP="00334DD2" w14:paraId="0328EBD1" w14:textId="77777777">
      <w:pPr>
        <w:pStyle w:val="FootnoteText"/>
      </w:pPr>
      <w:r>
        <w:rPr>
          <w:rStyle w:val="FootnoteReference"/>
        </w:rPr>
        <w:footnoteRef/>
      </w:r>
      <w:r>
        <w:t xml:space="preserve"> https://www.usps.com/business/prices.htm</w:t>
      </w:r>
    </w:p>
  </w:footnote>
  <w:footnote w:id="5">
    <w:p w:rsidR="007B4BB6" w14:paraId="61AF3777" w14:textId="729D0419">
      <w:pPr>
        <w:pStyle w:val="FootnoteText"/>
      </w:pPr>
      <w:r>
        <w:rPr>
          <w:rStyle w:val="FootnoteReference"/>
        </w:rPr>
        <w:footnoteRef/>
      </w:r>
      <w:r>
        <w:t xml:space="preserve"> </w:t>
      </w:r>
      <w:hyperlink r:id="rId1" w:anchor=":~:text=The%20US%20Postal%20Service%20will,Receipt%20Electronic%20increases%20to%20%242.62." w:history="1">
        <w:r w:rsidRPr="007B4BB6">
          <w:rPr>
            <w:rStyle w:val="Hyperlink"/>
          </w:rPr>
          <w:t>USPS Certified Mail Rates, Mailing Costs | Simple Certified Mail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1574BA82">
    <w:pPr>
      <w:pStyle w:val="Header"/>
      <w:rPr>
        <w:bCs/>
        <w:sz w:val="20"/>
        <w:szCs w:val="20"/>
      </w:rPr>
    </w:pPr>
    <w:r>
      <w:rPr>
        <w:bCs/>
        <w:sz w:val="20"/>
        <w:szCs w:val="20"/>
      </w:rPr>
      <w:t>[COLLECTION TITLE]</w:t>
    </w:r>
  </w:p>
  <w:p w:rsidR="00EC0B43" w14:paraId="52F50703" w14:textId="2260296A">
    <w:pPr>
      <w:pStyle w:val="Header"/>
      <w:rPr>
        <w:sz w:val="20"/>
        <w:szCs w:val="20"/>
      </w:rPr>
    </w:pPr>
    <w:r>
      <w:rPr>
        <w:sz w:val="20"/>
        <w:szCs w:val="20"/>
      </w:rPr>
      <w:t xml:space="preserve">OMB Control </w:t>
    </w:r>
    <w:r w:rsidR="006E1A08">
      <w:rPr>
        <w:sz w:val="20"/>
        <w:szCs w:val="20"/>
      </w:rPr>
      <w:t>Number</w:t>
    </w:r>
    <w:r w:rsidR="006626FF">
      <w:rPr>
        <w:sz w:val="20"/>
        <w:szCs w:val="20"/>
      </w:rPr>
      <w:t xml:space="preserve"> </w:t>
    </w:r>
    <w:r w:rsidR="00996A5D">
      <w:rPr>
        <w:sz w:val="20"/>
        <w:szCs w:val="20"/>
      </w:rPr>
      <w:t>XXXX-XXXX</w:t>
    </w:r>
  </w:p>
  <w:p w:rsidR="00304132" w14:paraId="29EBD65C" w14:textId="02C10ED4">
    <w:pPr>
      <w:pStyle w:val="Header"/>
      <w:rPr>
        <w:sz w:val="20"/>
        <w:szCs w:val="20"/>
      </w:rPr>
    </w:pPr>
    <w:r>
      <w:rPr>
        <w:sz w:val="20"/>
        <w:szCs w:val="20"/>
      </w:rPr>
      <w:t xml:space="preserve">OMB Expiration Date: </w:t>
    </w:r>
    <w:r w:rsidR="00996A5D">
      <w:rPr>
        <w:sz w:val="20"/>
        <w:szCs w:val="20"/>
      </w:rPr>
      <w:t>XX/XX/XXXX</w:t>
    </w:r>
  </w:p>
  <w:p w:rsidR="006E1A08" w14:paraId="578B4815" w14:textId="7777777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CF338F"/>
    <w:multiLevelType w:val="hybridMultilevel"/>
    <w:tmpl w:val="0F520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39C2248"/>
    <w:multiLevelType w:val="hybridMultilevel"/>
    <w:tmpl w:val="95E869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E157502"/>
    <w:multiLevelType w:val="hybridMultilevel"/>
    <w:tmpl w:val="5FBACB0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5548AF"/>
    <w:multiLevelType w:val="hybridMultilevel"/>
    <w:tmpl w:val="5FBACB0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E501F4D"/>
    <w:multiLevelType w:val="hybridMultilevel"/>
    <w:tmpl w:val="398059F2"/>
    <w:lvl w:ilvl="0">
      <w:start w:val="1"/>
      <w:numFmt w:val="decimal"/>
      <w:lvlText w:val="%1."/>
      <w:lvlJc w:val="left"/>
      <w:pPr>
        <w:ind w:left="864" w:hanging="432"/>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11"/>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3"/>
  </w:num>
  <w:num w:numId="9" w16cid:durableId="312102842">
    <w:abstractNumId w:val="1"/>
  </w:num>
  <w:num w:numId="10" w16cid:durableId="1376466984">
    <w:abstractNumId w:val="12"/>
  </w:num>
  <w:num w:numId="11" w16cid:durableId="1904831391">
    <w:abstractNumId w:val="7"/>
  </w:num>
  <w:num w:numId="12" w16cid:durableId="1478107046">
    <w:abstractNumId w:val="10"/>
  </w:num>
  <w:num w:numId="13" w16cid:durableId="1542084800">
    <w:abstractNumId w:val="6"/>
  </w:num>
  <w:num w:numId="14" w16cid:durableId="136800702">
    <w:abstractNumId w:val="15"/>
  </w:num>
  <w:num w:numId="15" w16cid:durableId="1217090383">
    <w:abstractNumId w:val="9"/>
  </w:num>
  <w:num w:numId="16" w16cid:durableId="1370569715">
    <w:abstractNumId w:val="17"/>
  </w:num>
  <w:num w:numId="17" w16cid:durableId="1289314398">
    <w:abstractNumId w:val="14"/>
  </w:num>
  <w:num w:numId="18" w16cid:durableId="1828550935">
    <w:abstractNumId w:val="8"/>
  </w:num>
  <w:num w:numId="19" w16cid:durableId="748573712">
    <w:abstractNumId w:val="16"/>
  </w:num>
  <w:num w:numId="20" w16cid:durableId="1444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1403"/>
    <w:rsid w:val="0000200E"/>
    <w:rsid w:val="0000482B"/>
    <w:rsid w:val="000058DD"/>
    <w:rsid w:val="00007F1C"/>
    <w:rsid w:val="00011139"/>
    <w:rsid w:val="000114C0"/>
    <w:rsid w:val="000133FD"/>
    <w:rsid w:val="000135FA"/>
    <w:rsid w:val="00014158"/>
    <w:rsid w:val="00020F69"/>
    <w:rsid w:val="00022303"/>
    <w:rsid w:val="0003073D"/>
    <w:rsid w:val="0004107F"/>
    <w:rsid w:val="00042CBD"/>
    <w:rsid w:val="00044405"/>
    <w:rsid w:val="00052174"/>
    <w:rsid w:val="00061F6C"/>
    <w:rsid w:val="00064E28"/>
    <w:rsid w:val="000655CC"/>
    <w:rsid w:val="00067ACB"/>
    <w:rsid w:val="0007383F"/>
    <w:rsid w:val="00094A5E"/>
    <w:rsid w:val="00095C30"/>
    <w:rsid w:val="000965DF"/>
    <w:rsid w:val="00097C15"/>
    <w:rsid w:val="000A4E4A"/>
    <w:rsid w:val="000A7853"/>
    <w:rsid w:val="000B0391"/>
    <w:rsid w:val="000B4875"/>
    <w:rsid w:val="000B6FB6"/>
    <w:rsid w:val="000C257C"/>
    <w:rsid w:val="000C3A92"/>
    <w:rsid w:val="000C74FB"/>
    <w:rsid w:val="000D7F95"/>
    <w:rsid w:val="000E1C64"/>
    <w:rsid w:val="000F0110"/>
    <w:rsid w:val="000F6836"/>
    <w:rsid w:val="001040D4"/>
    <w:rsid w:val="0010684D"/>
    <w:rsid w:val="001078BB"/>
    <w:rsid w:val="00116CD5"/>
    <w:rsid w:val="00117CA5"/>
    <w:rsid w:val="001252F2"/>
    <w:rsid w:val="00133C47"/>
    <w:rsid w:val="00133E3D"/>
    <w:rsid w:val="001376D3"/>
    <w:rsid w:val="0014556E"/>
    <w:rsid w:val="0014601E"/>
    <w:rsid w:val="00147A17"/>
    <w:rsid w:val="00152CE4"/>
    <w:rsid w:val="0015322B"/>
    <w:rsid w:val="0015365E"/>
    <w:rsid w:val="00157A90"/>
    <w:rsid w:val="00167AD4"/>
    <w:rsid w:val="001714A3"/>
    <w:rsid w:val="00180E5A"/>
    <w:rsid w:val="00192405"/>
    <w:rsid w:val="00192711"/>
    <w:rsid w:val="001A47D9"/>
    <w:rsid w:val="001B4BB9"/>
    <w:rsid w:val="001C39F6"/>
    <w:rsid w:val="001C53E2"/>
    <w:rsid w:val="001D10ED"/>
    <w:rsid w:val="001D2D09"/>
    <w:rsid w:val="001D67BB"/>
    <w:rsid w:val="001E0E7F"/>
    <w:rsid w:val="001E2932"/>
    <w:rsid w:val="001E3596"/>
    <w:rsid w:val="001E5213"/>
    <w:rsid w:val="001F056F"/>
    <w:rsid w:val="001F2E8E"/>
    <w:rsid w:val="001F552E"/>
    <w:rsid w:val="002036A1"/>
    <w:rsid w:val="00210A61"/>
    <w:rsid w:val="00210CE8"/>
    <w:rsid w:val="002134B4"/>
    <w:rsid w:val="002203C9"/>
    <w:rsid w:val="002237E0"/>
    <w:rsid w:val="00234341"/>
    <w:rsid w:val="00237691"/>
    <w:rsid w:val="00241CE0"/>
    <w:rsid w:val="00242CA0"/>
    <w:rsid w:val="00243432"/>
    <w:rsid w:val="0024438F"/>
    <w:rsid w:val="00247146"/>
    <w:rsid w:val="002517E4"/>
    <w:rsid w:val="002547AA"/>
    <w:rsid w:val="00262716"/>
    <w:rsid w:val="00273D58"/>
    <w:rsid w:val="00277C1F"/>
    <w:rsid w:val="002866AD"/>
    <w:rsid w:val="00286BE3"/>
    <w:rsid w:val="00287ACB"/>
    <w:rsid w:val="00287B7D"/>
    <w:rsid w:val="0029135D"/>
    <w:rsid w:val="00292951"/>
    <w:rsid w:val="00293CD1"/>
    <w:rsid w:val="002A3962"/>
    <w:rsid w:val="002A5731"/>
    <w:rsid w:val="002A5972"/>
    <w:rsid w:val="002A6914"/>
    <w:rsid w:val="002A6FB5"/>
    <w:rsid w:val="002C5AE9"/>
    <w:rsid w:val="002D0699"/>
    <w:rsid w:val="002E238B"/>
    <w:rsid w:val="002E4200"/>
    <w:rsid w:val="002E6DF9"/>
    <w:rsid w:val="002E6F9C"/>
    <w:rsid w:val="002F32B0"/>
    <w:rsid w:val="002F3BB8"/>
    <w:rsid w:val="00300F26"/>
    <w:rsid w:val="00304132"/>
    <w:rsid w:val="00304EAD"/>
    <w:rsid w:val="00312124"/>
    <w:rsid w:val="00313820"/>
    <w:rsid w:val="00313AC0"/>
    <w:rsid w:val="00313C28"/>
    <w:rsid w:val="00314392"/>
    <w:rsid w:val="00322C1B"/>
    <w:rsid w:val="0032649A"/>
    <w:rsid w:val="00332F98"/>
    <w:rsid w:val="00334DD2"/>
    <w:rsid w:val="0033578D"/>
    <w:rsid w:val="003430A6"/>
    <w:rsid w:val="0034325A"/>
    <w:rsid w:val="003448FC"/>
    <w:rsid w:val="00354787"/>
    <w:rsid w:val="003548D8"/>
    <w:rsid w:val="00363CC2"/>
    <w:rsid w:val="00370C9A"/>
    <w:rsid w:val="00371EEC"/>
    <w:rsid w:val="003876F3"/>
    <w:rsid w:val="00390426"/>
    <w:rsid w:val="003908B9"/>
    <w:rsid w:val="00394AEB"/>
    <w:rsid w:val="003A3F59"/>
    <w:rsid w:val="003A4476"/>
    <w:rsid w:val="003A6353"/>
    <w:rsid w:val="003B0988"/>
    <w:rsid w:val="003B2488"/>
    <w:rsid w:val="003B2F28"/>
    <w:rsid w:val="003B7191"/>
    <w:rsid w:val="003C13C6"/>
    <w:rsid w:val="003D5958"/>
    <w:rsid w:val="003D6AC7"/>
    <w:rsid w:val="003E15A0"/>
    <w:rsid w:val="003E49A6"/>
    <w:rsid w:val="003E5E34"/>
    <w:rsid w:val="003E6021"/>
    <w:rsid w:val="003F53FB"/>
    <w:rsid w:val="003F6FCF"/>
    <w:rsid w:val="00400B4D"/>
    <w:rsid w:val="00401F18"/>
    <w:rsid w:val="00403B06"/>
    <w:rsid w:val="004056B7"/>
    <w:rsid w:val="00407CFB"/>
    <w:rsid w:val="00410AC8"/>
    <w:rsid w:val="00414664"/>
    <w:rsid w:val="00415C53"/>
    <w:rsid w:val="004172C1"/>
    <w:rsid w:val="00423E3A"/>
    <w:rsid w:val="004328D9"/>
    <w:rsid w:val="00435E05"/>
    <w:rsid w:val="00436260"/>
    <w:rsid w:val="004372D2"/>
    <w:rsid w:val="0043771F"/>
    <w:rsid w:val="00442410"/>
    <w:rsid w:val="00443460"/>
    <w:rsid w:val="0044773C"/>
    <w:rsid w:val="00461B8A"/>
    <w:rsid w:val="004672B5"/>
    <w:rsid w:val="00467E8C"/>
    <w:rsid w:val="0047416F"/>
    <w:rsid w:val="004844D1"/>
    <w:rsid w:val="0048559D"/>
    <w:rsid w:val="0049001D"/>
    <w:rsid w:val="00494A93"/>
    <w:rsid w:val="00494D75"/>
    <w:rsid w:val="004A1222"/>
    <w:rsid w:val="004A1763"/>
    <w:rsid w:val="004A579E"/>
    <w:rsid w:val="004B1E83"/>
    <w:rsid w:val="004B5B71"/>
    <w:rsid w:val="004D1C78"/>
    <w:rsid w:val="004D441E"/>
    <w:rsid w:val="004D46D1"/>
    <w:rsid w:val="004E1D9E"/>
    <w:rsid w:val="004E5B39"/>
    <w:rsid w:val="00501A15"/>
    <w:rsid w:val="00510A31"/>
    <w:rsid w:val="005164DC"/>
    <w:rsid w:val="00522B8D"/>
    <w:rsid w:val="0052585C"/>
    <w:rsid w:val="00530EBD"/>
    <w:rsid w:val="00552183"/>
    <w:rsid w:val="005622FE"/>
    <w:rsid w:val="00567912"/>
    <w:rsid w:val="00570098"/>
    <w:rsid w:val="00571706"/>
    <w:rsid w:val="005805E7"/>
    <w:rsid w:val="00581E03"/>
    <w:rsid w:val="005825A4"/>
    <w:rsid w:val="00583F5D"/>
    <w:rsid w:val="0058424C"/>
    <w:rsid w:val="00584F8D"/>
    <w:rsid w:val="00585576"/>
    <w:rsid w:val="00590D7A"/>
    <w:rsid w:val="005A0350"/>
    <w:rsid w:val="005A53D8"/>
    <w:rsid w:val="005A7D9E"/>
    <w:rsid w:val="005B0818"/>
    <w:rsid w:val="005B2697"/>
    <w:rsid w:val="005B3120"/>
    <w:rsid w:val="005B5990"/>
    <w:rsid w:val="005C1A42"/>
    <w:rsid w:val="005C6147"/>
    <w:rsid w:val="005D5F8C"/>
    <w:rsid w:val="005E5148"/>
    <w:rsid w:val="005F1C69"/>
    <w:rsid w:val="0060114B"/>
    <w:rsid w:val="00601CAB"/>
    <w:rsid w:val="00603D4A"/>
    <w:rsid w:val="00611DE2"/>
    <w:rsid w:val="00614A1C"/>
    <w:rsid w:val="006227B3"/>
    <w:rsid w:val="00627B1F"/>
    <w:rsid w:val="00642220"/>
    <w:rsid w:val="0065148D"/>
    <w:rsid w:val="00652ED1"/>
    <w:rsid w:val="006564BD"/>
    <w:rsid w:val="006626FF"/>
    <w:rsid w:val="006650A8"/>
    <w:rsid w:val="006746A7"/>
    <w:rsid w:val="00675E11"/>
    <w:rsid w:val="0067772C"/>
    <w:rsid w:val="00683A96"/>
    <w:rsid w:val="00685435"/>
    <w:rsid w:val="00687746"/>
    <w:rsid w:val="00690F56"/>
    <w:rsid w:val="00697E85"/>
    <w:rsid w:val="006A4637"/>
    <w:rsid w:val="006C39F8"/>
    <w:rsid w:val="006D5AA2"/>
    <w:rsid w:val="006E1A08"/>
    <w:rsid w:val="006E4433"/>
    <w:rsid w:val="006E54FE"/>
    <w:rsid w:val="006E604F"/>
    <w:rsid w:val="006E63C6"/>
    <w:rsid w:val="006E734C"/>
    <w:rsid w:val="006F2132"/>
    <w:rsid w:val="006F66F9"/>
    <w:rsid w:val="006F6E13"/>
    <w:rsid w:val="007010C5"/>
    <w:rsid w:val="007011F1"/>
    <w:rsid w:val="007053E7"/>
    <w:rsid w:val="007126F1"/>
    <w:rsid w:val="007127A1"/>
    <w:rsid w:val="00713ACE"/>
    <w:rsid w:val="00715F82"/>
    <w:rsid w:val="0071749C"/>
    <w:rsid w:val="00721E05"/>
    <w:rsid w:val="007234FA"/>
    <w:rsid w:val="007412B6"/>
    <w:rsid w:val="00753389"/>
    <w:rsid w:val="00755761"/>
    <w:rsid w:val="007636EC"/>
    <w:rsid w:val="00767D37"/>
    <w:rsid w:val="00774503"/>
    <w:rsid w:val="007746BC"/>
    <w:rsid w:val="007754A0"/>
    <w:rsid w:val="00776C04"/>
    <w:rsid w:val="00777CD2"/>
    <w:rsid w:val="00780272"/>
    <w:rsid w:val="0078038F"/>
    <w:rsid w:val="0078153B"/>
    <w:rsid w:val="007844FF"/>
    <w:rsid w:val="00785FE9"/>
    <w:rsid w:val="00786E04"/>
    <w:rsid w:val="007A336C"/>
    <w:rsid w:val="007A7F79"/>
    <w:rsid w:val="007B4BB6"/>
    <w:rsid w:val="007C124D"/>
    <w:rsid w:val="007D46C2"/>
    <w:rsid w:val="007E3065"/>
    <w:rsid w:val="007F1692"/>
    <w:rsid w:val="007F3B38"/>
    <w:rsid w:val="007F3C02"/>
    <w:rsid w:val="00802605"/>
    <w:rsid w:val="00802A30"/>
    <w:rsid w:val="008043E5"/>
    <w:rsid w:val="00804A1A"/>
    <w:rsid w:val="0081073D"/>
    <w:rsid w:val="00813CC0"/>
    <w:rsid w:val="008323ED"/>
    <w:rsid w:val="00835955"/>
    <w:rsid w:val="008401A6"/>
    <w:rsid w:val="008429D6"/>
    <w:rsid w:val="008465DD"/>
    <w:rsid w:val="00846701"/>
    <w:rsid w:val="008624D5"/>
    <w:rsid w:val="00871CA6"/>
    <w:rsid w:val="008806CD"/>
    <w:rsid w:val="00882AB5"/>
    <w:rsid w:val="00882B1D"/>
    <w:rsid w:val="008835D0"/>
    <w:rsid w:val="00885AA0"/>
    <w:rsid w:val="0088672C"/>
    <w:rsid w:val="00890E20"/>
    <w:rsid w:val="008A1F0C"/>
    <w:rsid w:val="008A40D1"/>
    <w:rsid w:val="008A7225"/>
    <w:rsid w:val="008B3128"/>
    <w:rsid w:val="008B3811"/>
    <w:rsid w:val="008B541B"/>
    <w:rsid w:val="008B724B"/>
    <w:rsid w:val="008C1C01"/>
    <w:rsid w:val="008C5066"/>
    <w:rsid w:val="008C656B"/>
    <w:rsid w:val="008C6A87"/>
    <w:rsid w:val="008D16DC"/>
    <w:rsid w:val="008E10CE"/>
    <w:rsid w:val="008F47CB"/>
    <w:rsid w:val="00901003"/>
    <w:rsid w:val="0090158E"/>
    <w:rsid w:val="00901EF6"/>
    <w:rsid w:val="0090413E"/>
    <w:rsid w:val="00923B37"/>
    <w:rsid w:val="009271B1"/>
    <w:rsid w:val="0093485F"/>
    <w:rsid w:val="009407FC"/>
    <w:rsid w:val="009441E2"/>
    <w:rsid w:val="0096233D"/>
    <w:rsid w:val="00963680"/>
    <w:rsid w:val="00964D3F"/>
    <w:rsid w:val="009700D9"/>
    <w:rsid w:val="009755B5"/>
    <w:rsid w:val="00975CD8"/>
    <w:rsid w:val="00977119"/>
    <w:rsid w:val="00983CA7"/>
    <w:rsid w:val="00985369"/>
    <w:rsid w:val="00985C15"/>
    <w:rsid w:val="00986AF0"/>
    <w:rsid w:val="00996A5D"/>
    <w:rsid w:val="00997FCE"/>
    <w:rsid w:val="009A6BF9"/>
    <w:rsid w:val="009A6DCA"/>
    <w:rsid w:val="009B00FD"/>
    <w:rsid w:val="009B38D1"/>
    <w:rsid w:val="009B4116"/>
    <w:rsid w:val="009B689F"/>
    <w:rsid w:val="009B6955"/>
    <w:rsid w:val="009C2A10"/>
    <w:rsid w:val="009D0BBA"/>
    <w:rsid w:val="009D1829"/>
    <w:rsid w:val="009D1EA2"/>
    <w:rsid w:val="009E0141"/>
    <w:rsid w:val="009E234B"/>
    <w:rsid w:val="009F52F3"/>
    <w:rsid w:val="00A00B53"/>
    <w:rsid w:val="00A10441"/>
    <w:rsid w:val="00A15094"/>
    <w:rsid w:val="00A217C3"/>
    <w:rsid w:val="00A21F98"/>
    <w:rsid w:val="00A2391E"/>
    <w:rsid w:val="00A33AAC"/>
    <w:rsid w:val="00A41C21"/>
    <w:rsid w:val="00A47DA7"/>
    <w:rsid w:val="00A52DE7"/>
    <w:rsid w:val="00A55023"/>
    <w:rsid w:val="00A55207"/>
    <w:rsid w:val="00A56B86"/>
    <w:rsid w:val="00A632EF"/>
    <w:rsid w:val="00A677E9"/>
    <w:rsid w:val="00A703CD"/>
    <w:rsid w:val="00A740AB"/>
    <w:rsid w:val="00A834BF"/>
    <w:rsid w:val="00A90769"/>
    <w:rsid w:val="00A973AA"/>
    <w:rsid w:val="00AA177A"/>
    <w:rsid w:val="00AA2F4B"/>
    <w:rsid w:val="00AA418C"/>
    <w:rsid w:val="00AA443B"/>
    <w:rsid w:val="00AB4DC3"/>
    <w:rsid w:val="00AC775D"/>
    <w:rsid w:val="00AD022F"/>
    <w:rsid w:val="00AD113F"/>
    <w:rsid w:val="00AD75AC"/>
    <w:rsid w:val="00AE0D00"/>
    <w:rsid w:val="00AE3ABE"/>
    <w:rsid w:val="00AF0EE0"/>
    <w:rsid w:val="00AF2C11"/>
    <w:rsid w:val="00AF3788"/>
    <w:rsid w:val="00AF5262"/>
    <w:rsid w:val="00AF7928"/>
    <w:rsid w:val="00B13844"/>
    <w:rsid w:val="00B26E3E"/>
    <w:rsid w:val="00B26FBF"/>
    <w:rsid w:val="00B35DAD"/>
    <w:rsid w:val="00B411D1"/>
    <w:rsid w:val="00B417B3"/>
    <w:rsid w:val="00B47443"/>
    <w:rsid w:val="00B5043F"/>
    <w:rsid w:val="00B5377A"/>
    <w:rsid w:val="00B6181C"/>
    <w:rsid w:val="00B64496"/>
    <w:rsid w:val="00B66231"/>
    <w:rsid w:val="00B674DE"/>
    <w:rsid w:val="00B67A3F"/>
    <w:rsid w:val="00B71D29"/>
    <w:rsid w:val="00B85D99"/>
    <w:rsid w:val="00B876FA"/>
    <w:rsid w:val="00B9439C"/>
    <w:rsid w:val="00B96E43"/>
    <w:rsid w:val="00BA4BAD"/>
    <w:rsid w:val="00BA6A42"/>
    <w:rsid w:val="00BA6C9C"/>
    <w:rsid w:val="00BB2AA1"/>
    <w:rsid w:val="00BB3BEF"/>
    <w:rsid w:val="00BC081C"/>
    <w:rsid w:val="00BC5F22"/>
    <w:rsid w:val="00BD21CA"/>
    <w:rsid w:val="00BD34F2"/>
    <w:rsid w:val="00BE2CCE"/>
    <w:rsid w:val="00BF0E96"/>
    <w:rsid w:val="00BF3AB0"/>
    <w:rsid w:val="00C02E4A"/>
    <w:rsid w:val="00C03AFD"/>
    <w:rsid w:val="00C059DD"/>
    <w:rsid w:val="00C05B4B"/>
    <w:rsid w:val="00C05B88"/>
    <w:rsid w:val="00C06A29"/>
    <w:rsid w:val="00C07F7F"/>
    <w:rsid w:val="00C12530"/>
    <w:rsid w:val="00C14429"/>
    <w:rsid w:val="00C16FA7"/>
    <w:rsid w:val="00C247D8"/>
    <w:rsid w:val="00C25486"/>
    <w:rsid w:val="00C25E66"/>
    <w:rsid w:val="00C34009"/>
    <w:rsid w:val="00C345C2"/>
    <w:rsid w:val="00C4763A"/>
    <w:rsid w:val="00C52180"/>
    <w:rsid w:val="00C53B2A"/>
    <w:rsid w:val="00C63D1E"/>
    <w:rsid w:val="00C667F3"/>
    <w:rsid w:val="00C712D2"/>
    <w:rsid w:val="00C77B5C"/>
    <w:rsid w:val="00C824C6"/>
    <w:rsid w:val="00C8275F"/>
    <w:rsid w:val="00C8427B"/>
    <w:rsid w:val="00C87068"/>
    <w:rsid w:val="00C9162F"/>
    <w:rsid w:val="00CA2F0A"/>
    <w:rsid w:val="00CB18F4"/>
    <w:rsid w:val="00CB1ECE"/>
    <w:rsid w:val="00CB3579"/>
    <w:rsid w:val="00CB5C31"/>
    <w:rsid w:val="00CC0731"/>
    <w:rsid w:val="00CC1B60"/>
    <w:rsid w:val="00CC2E4A"/>
    <w:rsid w:val="00CC770C"/>
    <w:rsid w:val="00CD215D"/>
    <w:rsid w:val="00CD4F92"/>
    <w:rsid w:val="00CD6628"/>
    <w:rsid w:val="00CE2633"/>
    <w:rsid w:val="00D00B48"/>
    <w:rsid w:val="00D0779F"/>
    <w:rsid w:val="00D2331B"/>
    <w:rsid w:val="00D36BB6"/>
    <w:rsid w:val="00D472BE"/>
    <w:rsid w:val="00D53DEB"/>
    <w:rsid w:val="00D57DE8"/>
    <w:rsid w:val="00D735B0"/>
    <w:rsid w:val="00D73AAD"/>
    <w:rsid w:val="00D75842"/>
    <w:rsid w:val="00D802D6"/>
    <w:rsid w:val="00D86A15"/>
    <w:rsid w:val="00D86FF7"/>
    <w:rsid w:val="00D91D64"/>
    <w:rsid w:val="00D96DB4"/>
    <w:rsid w:val="00DA7DC9"/>
    <w:rsid w:val="00DB7B7C"/>
    <w:rsid w:val="00DD6DF0"/>
    <w:rsid w:val="00DF260B"/>
    <w:rsid w:val="00DF7785"/>
    <w:rsid w:val="00E0031C"/>
    <w:rsid w:val="00E0138A"/>
    <w:rsid w:val="00E06430"/>
    <w:rsid w:val="00E13DE5"/>
    <w:rsid w:val="00E163CF"/>
    <w:rsid w:val="00E20D5B"/>
    <w:rsid w:val="00E22463"/>
    <w:rsid w:val="00E23871"/>
    <w:rsid w:val="00E322E9"/>
    <w:rsid w:val="00E34B61"/>
    <w:rsid w:val="00E400EA"/>
    <w:rsid w:val="00E435BA"/>
    <w:rsid w:val="00E46EE5"/>
    <w:rsid w:val="00E55A7C"/>
    <w:rsid w:val="00E562E8"/>
    <w:rsid w:val="00E57F5E"/>
    <w:rsid w:val="00E60FB0"/>
    <w:rsid w:val="00E614A1"/>
    <w:rsid w:val="00E64950"/>
    <w:rsid w:val="00E674A9"/>
    <w:rsid w:val="00E700AD"/>
    <w:rsid w:val="00E74ABD"/>
    <w:rsid w:val="00E754AB"/>
    <w:rsid w:val="00E81C88"/>
    <w:rsid w:val="00E829F2"/>
    <w:rsid w:val="00E83023"/>
    <w:rsid w:val="00E83271"/>
    <w:rsid w:val="00E833E4"/>
    <w:rsid w:val="00E86973"/>
    <w:rsid w:val="00E909D5"/>
    <w:rsid w:val="00E92EED"/>
    <w:rsid w:val="00E93A0F"/>
    <w:rsid w:val="00EA3E66"/>
    <w:rsid w:val="00EA76CE"/>
    <w:rsid w:val="00EC0B43"/>
    <w:rsid w:val="00EC4383"/>
    <w:rsid w:val="00EC5D7E"/>
    <w:rsid w:val="00ED49C1"/>
    <w:rsid w:val="00EE2223"/>
    <w:rsid w:val="00EE5F02"/>
    <w:rsid w:val="00EF2D0A"/>
    <w:rsid w:val="00EF70DB"/>
    <w:rsid w:val="00F11AA8"/>
    <w:rsid w:val="00F125CD"/>
    <w:rsid w:val="00F12F81"/>
    <w:rsid w:val="00F1759B"/>
    <w:rsid w:val="00F24787"/>
    <w:rsid w:val="00F27223"/>
    <w:rsid w:val="00F3623C"/>
    <w:rsid w:val="00F41116"/>
    <w:rsid w:val="00F41B65"/>
    <w:rsid w:val="00F44D20"/>
    <w:rsid w:val="00F4518C"/>
    <w:rsid w:val="00F4529D"/>
    <w:rsid w:val="00F5194A"/>
    <w:rsid w:val="00F53F09"/>
    <w:rsid w:val="00F548A6"/>
    <w:rsid w:val="00F56B20"/>
    <w:rsid w:val="00F6219B"/>
    <w:rsid w:val="00F64E0B"/>
    <w:rsid w:val="00F72D66"/>
    <w:rsid w:val="00F8164B"/>
    <w:rsid w:val="00F92057"/>
    <w:rsid w:val="00F935EE"/>
    <w:rsid w:val="00F96885"/>
    <w:rsid w:val="00FA10B2"/>
    <w:rsid w:val="00FA183B"/>
    <w:rsid w:val="00FA3D8C"/>
    <w:rsid w:val="00FB026D"/>
    <w:rsid w:val="00FB587F"/>
    <w:rsid w:val="00FC2E13"/>
    <w:rsid w:val="00FD35DD"/>
    <w:rsid w:val="00FD5326"/>
    <w:rsid w:val="00FD599F"/>
    <w:rsid w:val="00FF3EAD"/>
    <w:rsid w:val="00FF42E2"/>
    <w:rsid w:val="00FF4C58"/>
    <w:rsid w:val="00FF61D3"/>
    <w:rsid w:val="00FF6C7B"/>
    <w:rsid w:val="00FF7A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64BD"/>
    <w:pPr>
      <w:widowControl w:val="0"/>
      <w:autoSpaceDE w:val="0"/>
      <w:autoSpaceDN w:val="0"/>
      <w:adjustRightInd w:val="0"/>
    </w:pPr>
    <w:rPr>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style>
  <w:style w:type="paragraph" w:customStyle="1" w:styleId="Level2">
    <w:name w:val="Level 2"/>
    <w:basedOn w:val="Normal"/>
    <w:rsid w:val="00CD215D"/>
    <w:pPr>
      <w:ind w:left="990" w:hanging="270"/>
    </w:p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NoSpacing">
    <w:name w:val="No Spacing"/>
    <w:basedOn w:val="Normal"/>
    <w:uiPriority w:val="1"/>
    <w:qFormat/>
    <w:rsid w:val="00CC2E4A"/>
    <w:pPr>
      <w:widowControl/>
      <w:autoSpaceDE/>
      <w:autoSpaceDN/>
      <w:adjustRightInd/>
      <w:ind w:left="360" w:firstLin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simplecertifiedmail.com/usps-postal-r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402A6456E12340B067C970D31CDF1A" ma:contentTypeVersion="15" ma:contentTypeDescription="Create a new document." ma:contentTypeScope="" ma:versionID="938f2d396d90deb3b479110d902fa823">
  <xsd:schema xmlns:xsd="http://www.w3.org/2001/XMLSchema" xmlns:xs="http://www.w3.org/2001/XMLSchema" xmlns:p="http://schemas.microsoft.com/office/2006/metadata/properties" xmlns:ns3="adde057a-4e11-461d-be09-6621893a59f0" xmlns:ns4="4f7efbbe-2f07-4569-942d-abe325cebfaa" targetNamespace="http://schemas.microsoft.com/office/2006/metadata/properties" ma:root="true" ma:fieldsID="021954326421b6c301c947b010f927ee" ns3:_="" ns4:_="">
    <xsd:import namespace="adde057a-4e11-461d-be09-6621893a59f0"/>
    <xsd:import namespace="4f7efbbe-2f07-4569-942d-abe325cebf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e057a-4e11-461d-be09-6621893a5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efbbe-2f07-4569-942d-abe325cebf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dde057a-4e11-461d-be09-6621893a59f0" xsi:nil="true"/>
  </documentManagement>
</p:properties>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2.xml><?xml version="1.0" encoding="utf-8"?>
<ds:datastoreItem xmlns:ds="http://schemas.openxmlformats.org/officeDocument/2006/customXml" ds:itemID="{6B99E6B9-8ACD-42B0-8091-9339C1028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e057a-4e11-461d-be09-6621893a59f0"/>
    <ds:schemaRef ds:uri="4f7efbbe-2f07-4569-942d-abe325ceb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C7B910-1D93-4B01-9B35-38069D4191AC}">
  <ds:schemaRefs>
    <ds:schemaRef ds:uri="http://schemas.microsoft.com/sharepoint/v3/contenttype/forms"/>
  </ds:schemaRefs>
</ds:datastoreItem>
</file>

<file path=customXml/itemProps4.xml><?xml version="1.0" encoding="utf-8"?>
<ds:datastoreItem xmlns:ds="http://schemas.openxmlformats.org/officeDocument/2006/customXml" ds:itemID="{84DE6974-1A1E-4CC9-A4EE-D4E68C0AF309}">
  <ds:schemaRefs>
    <ds:schemaRef ds:uri="http://schemas.microsoft.com/office/2006/metadata/properties"/>
    <ds:schemaRef ds:uri="http://schemas.microsoft.com/office/infopath/2007/PartnerControls"/>
    <ds:schemaRef ds:uri="adde057a-4e11-461d-be09-6621893a59f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Joseph</cp:lastModifiedBy>
  <cp:revision>3</cp:revision>
  <cp:lastPrinted>2020-02-19T15:46:00Z</cp:lastPrinted>
  <dcterms:created xsi:type="dcterms:W3CDTF">2024-08-30T17:19:00Z</dcterms:created>
  <dcterms:modified xsi:type="dcterms:W3CDTF">2024-08-30T17:20:00Z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0x0101007C402A6456E12340B067C970D31CDF1A</vt:lpwstr>
  </property>
</Properties>
</file>