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86973" w:rsidRPr="00871CA6" w:rsidP="00E86973" w14:paraId="60089450" w14:textId="3B678B81">
      <w:pPr>
        <w:widowControl/>
        <w:jc w:val="center"/>
        <w:rPr>
          <w:rFonts w:ascii="Times New Roman" w:hAnsi="Times New Roman"/>
          <w:b/>
          <w:bCs/>
        </w:rPr>
      </w:pPr>
      <w:r>
        <w:rPr>
          <w:rFonts w:ascii="Times New Roman" w:hAnsi="Times New Roman"/>
          <w:b/>
          <w:bCs/>
        </w:rPr>
        <w:t>IDENTIFICATION OF IMPORTED EXPLOSIVES MATERIALS</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74965" w:rsidP="00690F56" w14:paraId="72989D65" w14:textId="77777777">
      <w:pPr>
        <w:widowControl/>
        <w:rPr>
          <w:rFonts w:ascii="Times New Roman" w:hAnsi="Times New Roman"/>
        </w:rPr>
      </w:pPr>
    </w:p>
    <w:p w:rsidR="00B5043F" w:rsidP="00D802D6" w14:paraId="386CE7D5" w14:textId="27C172DE">
      <w:pPr>
        <w:pStyle w:val="paragraph"/>
        <w:textAlignment w:val="baseline"/>
        <w:rPr>
          <w:color w:val="000000"/>
        </w:rPr>
      </w:pPr>
      <w:r>
        <w:rPr>
          <w:color w:val="000000"/>
        </w:rPr>
        <w:t>ATF is charged with enforcing Title XI of the Organized Crime Control Act of 1970 (the Act) and implementing the regulations at 27 CFR</w:t>
      </w:r>
      <w:r w:rsidR="0041629B">
        <w:rPr>
          <w:color w:val="000000"/>
        </w:rPr>
        <w:t xml:space="preserve"> Part 555.  One purpose of the Act was to reduce the hazards to persons and property, arising from the misuse of explosive materials.</w:t>
      </w:r>
      <w:r w:rsidR="00A05A3A">
        <w:rPr>
          <w:color w:val="000000"/>
        </w:rPr>
        <w:t xml:space="preserve">  Pursuant to 18 U.S.C. § 847, “the Attorney General may prescribe such rules and regulations as he deems reasonably necessary to carry out the provisions of this chapter.”</w:t>
      </w:r>
    </w:p>
    <w:p w:rsidR="00A05A3A" w:rsidP="00D802D6" w14:paraId="66DD120D" w14:textId="6F86D193">
      <w:pPr>
        <w:pStyle w:val="paragraph"/>
        <w:textAlignment w:val="baseline"/>
        <w:rPr>
          <w:color w:val="000000"/>
        </w:rPr>
      </w:pPr>
      <w:r>
        <w:rPr>
          <w:color w:val="000000"/>
        </w:rPr>
        <w:t>To protect the public</w:t>
      </w:r>
      <w:r w:rsidR="000B623C">
        <w:rPr>
          <w:color w:val="000000"/>
        </w:rPr>
        <w:t xml:space="preserve"> from the hazards resulting from the misuse of explosive materials, ATF generally requires that explosives manufacturers</w:t>
      </w:r>
      <w:r w:rsidR="00131DE9">
        <w:rPr>
          <w:color w:val="000000"/>
        </w:rPr>
        <w:t xml:space="preserve"> mark all manufactured explosives with specific information.  ATF published a final</w:t>
      </w:r>
      <w:r w:rsidR="005F71BC">
        <w:rPr>
          <w:color w:val="000000"/>
        </w:rPr>
        <w:t xml:space="preserve"> rule on May 27, 2005, for 27 CFR Part 555, which requires licensed importers to identify by marking all explosive materials they import</w:t>
      </w:r>
      <w:r w:rsidR="001E6908">
        <w:rPr>
          <w:color w:val="000000"/>
        </w:rPr>
        <w:t xml:space="preserve"> for sale or distribution.  Specifically, section 555.109 requires licensed manufacturers of explosive materials to legibly</w:t>
      </w:r>
      <w:r w:rsidR="009B7FF5">
        <w:rPr>
          <w:color w:val="000000"/>
        </w:rPr>
        <w:t xml:space="preserve"> identify all explosive materials manufactured for sale or distribution by marking them.  </w:t>
      </w:r>
      <w:r w:rsidR="00B44385">
        <w:rPr>
          <w:color w:val="000000"/>
        </w:rPr>
        <w:t>The markings required by this section include the identity of the manufacturer and the location, date, and shift of manufacture.  This section also mandates that licensed manufacturers must place the required marks</w:t>
      </w:r>
      <w:r w:rsidR="00EA3E3B">
        <w:rPr>
          <w:color w:val="000000"/>
        </w:rPr>
        <w:t xml:space="preserve"> on each cartridge, bag, or other immediate container of any explosive materials for sale or distribution, as well as on the outside container, if any, that is used for their packaging.</w:t>
      </w:r>
    </w:p>
    <w:p w:rsidR="00EA3E3B" w:rsidRPr="00D802D6" w:rsidP="00D802D6" w14:paraId="446B86B2" w14:textId="7D7DE80A">
      <w:pPr>
        <w:pStyle w:val="paragraph"/>
        <w:textAlignment w:val="baseline"/>
        <w:rPr>
          <w:color w:val="000000"/>
        </w:rPr>
      </w:pPr>
      <w:r>
        <w:rPr>
          <w:color w:val="000000"/>
        </w:rPr>
        <w:t xml:space="preserve">These requirements help ensure that explosive materials can be effectively traced for criminal enforcement purposes.  Explosives markings often provide valuable information for </w:t>
      </w:r>
      <w:r w:rsidR="007A7001">
        <w:rPr>
          <w:color w:val="000000"/>
        </w:rPr>
        <w:t>explosion</w:t>
      </w:r>
      <w:r>
        <w:rPr>
          <w:color w:val="000000"/>
        </w:rPr>
        <w:t xml:space="preserve"> and bombing investigations and is useful for explosives compliance investigations in verifying </w:t>
      </w:r>
      <w:r w:rsidR="007A7001">
        <w:rPr>
          <w:color w:val="000000"/>
        </w:rPr>
        <w:t>inventory and proper conduct of business practices.</w:t>
      </w: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690F56" w:rsidRPr="00802A30" w:rsidP="0033578D" w14:paraId="6EBE63D5" w14:textId="27305F0B">
      <w:pPr>
        <w:widowControl/>
        <w:rPr>
          <w:rFonts w:ascii="Times New Roman" w:hAnsi="Times New Roman"/>
        </w:rPr>
      </w:pPr>
      <w:r>
        <w:rPr>
          <w:rFonts w:ascii="Times New Roman" w:hAnsi="Times New Roman"/>
        </w:rPr>
        <w:t xml:space="preserve">Explosives markings </w:t>
      </w:r>
      <w:r w:rsidR="00C37B7D">
        <w:rPr>
          <w:rFonts w:ascii="Times New Roman" w:hAnsi="Times New Roman"/>
        </w:rPr>
        <w:t xml:space="preserve">enable the tracing of recovered explosive materials.  </w:t>
      </w:r>
      <w:r w:rsidR="00172FD2">
        <w:rPr>
          <w:rFonts w:ascii="Times New Roman" w:hAnsi="Times New Roman"/>
        </w:rPr>
        <w:t xml:space="preserve">ATF requires that persons who import explosive materials for sale or distribution, or for their own use, mark these explosive materials with relevant identification information including the country of manufacture, importer name and location, and </w:t>
      </w:r>
      <w:r w:rsidR="00D20161">
        <w:rPr>
          <w:rFonts w:ascii="Times New Roman" w:hAnsi="Times New Roman"/>
        </w:rPr>
        <w:t xml:space="preserve">the </w:t>
      </w:r>
      <w:r w:rsidR="00172FD2">
        <w:rPr>
          <w:rFonts w:ascii="Times New Roman" w:hAnsi="Times New Roman"/>
        </w:rPr>
        <w:t>date</w:t>
      </w:r>
      <w:r w:rsidR="00D20161">
        <w:rPr>
          <w:rFonts w:ascii="Times New Roman" w:hAnsi="Times New Roman"/>
        </w:rPr>
        <w:t xml:space="preserve"> and </w:t>
      </w:r>
      <w:r w:rsidR="00172FD2">
        <w:rPr>
          <w:rFonts w:ascii="Times New Roman" w:hAnsi="Times New Roman"/>
        </w:rPr>
        <w:t xml:space="preserve">shift </w:t>
      </w:r>
      <w:r w:rsidR="00D20161">
        <w:rPr>
          <w:rFonts w:ascii="Times New Roman" w:hAnsi="Times New Roman"/>
        </w:rPr>
        <w:t>of manufacture</w:t>
      </w:r>
      <w:r w:rsidR="00172FD2">
        <w:rPr>
          <w:rFonts w:ascii="Times New Roman" w:hAnsi="Times New Roman"/>
        </w:rPr>
        <w:t>.  The required</w:t>
      </w:r>
      <w:r w:rsidR="00D52023">
        <w:rPr>
          <w:rFonts w:ascii="Times New Roman" w:hAnsi="Times New Roman"/>
        </w:rPr>
        <w:t xml:space="preserve"> records of licensees and permittees must accurately reflect the marks of identification.  In furtherance of criminal investigations, the ATF U.S. Bomb Data Center conducts explosives traces by contacting</w:t>
      </w:r>
      <w:r w:rsidR="00D73C1C">
        <w:rPr>
          <w:rFonts w:ascii="Times New Roman" w:hAnsi="Times New Roman"/>
        </w:rPr>
        <w:t xml:space="preserve"> the manufacturer of the materials and “tracing” them through successive </w:t>
      </w:r>
      <w:r w:rsidR="00D73C1C">
        <w:rPr>
          <w:rFonts w:ascii="Times New Roman" w:hAnsi="Times New Roman"/>
        </w:rPr>
        <w:t xml:space="preserve">dealers.  The marking process for </w:t>
      </w:r>
      <w:r w:rsidR="008B150B">
        <w:rPr>
          <w:rFonts w:ascii="Times New Roman" w:hAnsi="Times New Roman"/>
        </w:rPr>
        <w:t>imported explosive</w:t>
      </w:r>
      <w:r w:rsidR="007506DE">
        <w:rPr>
          <w:rFonts w:ascii="Times New Roman" w:hAnsi="Times New Roman"/>
        </w:rPr>
        <w:t>s</w:t>
      </w:r>
      <w:r w:rsidR="008B150B">
        <w:rPr>
          <w:rFonts w:ascii="Times New Roman" w:hAnsi="Times New Roman"/>
        </w:rPr>
        <w:t xml:space="preserve"> dealers will be similar to the process described above.  However, the importer information will be used to commence the identification process for imported explosives.</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A47DA7" w:rsidP="00690F56" w14:paraId="711B75A7" w14:textId="6CB1CD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w:t>
      </w:r>
      <w:r w:rsidR="00E84C47">
        <w:rPr>
          <w:rFonts w:ascii="Times New Roman" w:hAnsi="Times New Roman"/>
        </w:rPr>
        <w:t>is information collection</w:t>
      </w:r>
      <w:r w:rsidR="004C0D1E">
        <w:rPr>
          <w:rFonts w:ascii="Times New Roman" w:hAnsi="Times New Roman"/>
        </w:rPr>
        <w:t xml:space="preserve">, which requires marking explosives imported for sale or distribution, </w:t>
      </w:r>
      <w:r w:rsidR="00E84C47">
        <w:rPr>
          <w:rFonts w:ascii="Times New Roman" w:hAnsi="Times New Roman"/>
        </w:rPr>
        <w:t>does not involve any use of automated</w:t>
      </w:r>
      <w:r w:rsidR="005056F8">
        <w:rPr>
          <w:rFonts w:ascii="Times New Roman" w:hAnsi="Times New Roman"/>
        </w:rPr>
        <w:t>, electronic, mechanical, or other technological collection techniques to collect responses.</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25E66" w:rsidP="00690F56" w14:paraId="1F4E2827" w14:textId="361AEB2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Licensed manufacturers who make explosive materials in the United States are also required to place identification markings on all explosives.  However, this collection is directed at importers</w:t>
      </w:r>
      <w:r w:rsidR="00176DA1">
        <w:rPr>
          <w:rFonts w:ascii="Times New Roman" w:hAnsi="Times New Roman"/>
        </w:rPr>
        <w:t xml:space="preserve"> who must place markings on explosives they import for sale or distribution.  Otherwise, the information sought is unattainable. </w:t>
      </w:r>
    </w:p>
    <w:p w:rsidR="009D2053" w:rsidRPr="00A973AA" w:rsidP="00690F56" w14:paraId="5CD44AA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C4C2F67" w14:textId="442F21C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Explosives tracing efforts for criminal enforcement cases would be hindered without this information collection.  Additionally, explosives compliance inspection activities, such as inventory verifications</w:t>
      </w:r>
      <w:r w:rsidR="004E7D7E">
        <w:rPr>
          <w:rFonts w:ascii="Times New Roman" w:hAnsi="Times New Roman"/>
        </w:rPr>
        <w:t xml:space="preserve"> for public safety, would also be adversely affected without this collection. </w:t>
      </w:r>
    </w:p>
    <w:p w:rsidR="004E7D7E" w:rsidRPr="00A47DA7" w:rsidP="00690F56" w14:paraId="5A2F3DE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359B136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E55F14">
        <w:rPr>
          <w:rFonts w:ascii="Times New Roman" w:hAnsi="Times New Roman"/>
        </w:rPr>
        <w:t xml:space="preserve"> associated with this collection.  Respondents are required to report information only as often as necessitated by criminal enforcement or regulatory </w:t>
      </w:r>
      <w:r w:rsidR="00C766B1">
        <w:rPr>
          <w:rFonts w:ascii="Times New Roman" w:hAnsi="Times New Roman"/>
        </w:rPr>
        <w:t>activities.</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37D4F2E8">
      <w:pPr>
        <w:widowControl/>
        <w:autoSpaceDE/>
        <w:autoSpaceDN/>
        <w:adjustRightInd/>
        <w:rPr>
          <w:rFonts w:ascii="Times New Roman" w:hAnsi="Times New Roman"/>
        </w:rPr>
      </w:pPr>
      <w:r>
        <w:rPr>
          <w:rFonts w:ascii="Times New Roman" w:hAnsi="Times New Roman"/>
        </w:rPr>
        <w:t>Both a 60-day and a 30-day notice will be published in the Federal Register to solicit public comments.</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78BB1AE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r w:rsidR="0077296D">
        <w:rPr>
          <w:rFonts w:ascii="Times New Roman" w:hAnsi="Times New Roman"/>
        </w:rPr>
        <w:t xml:space="preserve">  The information</w:t>
      </w:r>
      <w:r w:rsidR="00D977F0">
        <w:rPr>
          <w:rFonts w:ascii="Times New Roman" w:hAnsi="Times New Roman"/>
        </w:rPr>
        <w:t xml:space="preserve"> obtained from this collection is only available to ATF’s Industry Operation Investigators</w:t>
      </w:r>
      <w:r w:rsidR="008434DE">
        <w:rPr>
          <w:rFonts w:ascii="Times New Roman" w:hAnsi="Times New Roman"/>
        </w:rPr>
        <w:t xml:space="preserve"> </w:t>
      </w:r>
      <w:r w:rsidR="00F72CF7">
        <w:rPr>
          <w:rFonts w:ascii="Times New Roman" w:hAnsi="Times New Roman"/>
        </w:rPr>
        <w:t xml:space="preserve">and Special Agents </w:t>
      </w:r>
      <w:r w:rsidR="008434DE">
        <w:rPr>
          <w:rFonts w:ascii="Times New Roman" w:hAnsi="Times New Roman"/>
        </w:rPr>
        <w:t>for explosives inspections</w:t>
      </w:r>
      <w:r w:rsidR="002260F6">
        <w:rPr>
          <w:rFonts w:ascii="Times New Roman" w:hAnsi="Times New Roman"/>
        </w:rPr>
        <w:t>, investigations,</w:t>
      </w:r>
      <w:r w:rsidR="008434DE">
        <w:rPr>
          <w:rFonts w:ascii="Times New Roman" w:hAnsi="Times New Roman"/>
        </w:rPr>
        <w:t xml:space="preserve"> and traces.</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27A67CE6" w14:textId="2EC6F11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No questions of a sensitive nature are asked.</w:t>
      </w:r>
    </w:p>
    <w:p w:rsidR="0008074E" w:rsidRPr="00871CA6" w:rsidP="00690F56" w14:paraId="43C16C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9625" w:type="dxa"/>
        <w:tblLook w:val="04A0"/>
      </w:tblPr>
      <w:tblGrid>
        <w:gridCol w:w="1439"/>
        <w:gridCol w:w="1415"/>
        <w:gridCol w:w="1219"/>
        <w:gridCol w:w="1182"/>
        <w:gridCol w:w="1097"/>
        <w:gridCol w:w="950"/>
        <w:gridCol w:w="1438"/>
        <w:gridCol w:w="1329"/>
      </w:tblGrid>
      <w:tr w14:paraId="4AA59B92" w14:textId="77777777" w:rsidTr="00501A15">
        <w:tblPrEx>
          <w:tblW w:w="9625" w:type="dxa"/>
          <w:tblLook w:val="04A0"/>
        </w:tblPrEx>
        <w:tc>
          <w:tcPr>
            <w:tcW w:w="1439"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 xml:space="preserve">Number of </w:t>
            </w:r>
            <w:r w:rsidRPr="008F47CB">
              <w:rPr>
                <w:rFonts w:ascii="Times New Roman" w:hAnsi="Times New Roman"/>
                <w:b/>
                <w:sz w:val="22"/>
                <w:szCs w:val="22"/>
              </w:rPr>
              <w:t>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 xml:space="preserve">Total </w:t>
            </w:r>
            <w:r w:rsidRPr="008F47CB">
              <w:rPr>
                <w:rFonts w:ascii="Times New Roman" w:hAnsi="Times New Roman"/>
                <w:b/>
                <w:sz w:val="22"/>
                <w:szCs w:val="22"/>
              </w:rPr>
              <w:t>Annual Responses</w:t>
            </w:r>
          </w:p>
        </w:tc>
        <w:tc>
          <w:tcPr>
            <w:tcW w:w="1097"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 xml:space="preserve">Time Per </w:t>
            </w:r>
            <w:r w:rsidRPr="008F47CB">
              <w:rPr>
                <w:rFonts w:ascii="Times New Roman" w:hAnsi="Times New Roman"/>
                <w:b/>
                <w:sz w:val="22"/>
                <w:szCs w:val="22"/>
              </w:rPr>
              <w:t>Response</w:t>
            </w:r>
          </w:p>
        </w:tc>
        <w:tc>
          <w:tcPr>
            <w:tcW w:w="950"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 xml:space="preserve">Total </w:t>
            </w:r>
            <w:r w:rsidRPr="008F47CB">
              <w:rPr>
                <w:rFonts w:ascii="Times New Roman" w:hAnsi="Times New Roman"/>
                <w:b/>
                <w:sz w:val="22"/>
                <w:szCs w:val="22"/>
              </w:rPr>
              <w:t>Annual Burden (Hours)</w:t>
            </w:r>
          </w:p>
        </w:tc>
        <w:tc>
          <w:tcPr>
            <w:tcW w:w="889" w:type="dxa"/>
            <w:shd w:val="clear" w:color="auto" w:fill="ADB9CA" w:themeFill="text2" w:themeFillTint="66"/>
          </w:tcPr>
          <w:p w:rsidR="003908B9" w:rsidRPr="008F47CB" w:rsidP="008C6A87" w14:paraId="66A83D48" w14:textId="77777777">
            <w:pPr>
              <w:rPr>
                <w:rFonts w:ascii="Times New Roman" w:hAnsi="Times New Roman"/>
                <w:b/>
                <w:sz w:val="22"/>
                <w:szCs w:val="22"/>
              </w:rPr>
            </w:pPr>
            <w:r w:rsidRPr="008F47CB">
              <w:rPr>
                <w:rFonts w:ascii="Times New Roman" w:hAnsi="Times New Roman"/>
                <w:b/>
                <w:sz w:val="22"/>
                <w:szCs w:val="22"/>
              </w:rPr>
              <w:t xml:space="preserve">Hourly </w:t>
            </w:r>
            <w:r w:rsidRPr="008F47CB">
              <w:rPr>
                <w:rFonts w:ascii="Times New Roman" w:hAnsi="Times New Roman"/>
                <w:b/>
                <w:sz w:val="22"/>
                <w:szCs w:val="22"/>
              </w:rPr>
              <w:t>Rate</w:t>
            </w:r>
            <w:r>
              <w:rPr>
                <w:rFonts w:ascii="Times New Roman" w:hAnsi="Times New Roman"/>
                <w:b/>
                <w:sz w:val="22"/>
                <w:szCs w:val="22"/>
              </w:rPr>
              <w:t>*</w:t>
            </w:r>
          </w:p>
        </w:tc>
        <w:tc>
          <w:tcPr>
            <w:tcW w:w="1434"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 xml:space="preserve">Monetized </w:t>
            </w:r>
            <w:r w:rsidRPr="008F47CB">
              <w:rPr>
                <w:rFonts w:ascii="Times New Roman" w:hAnsi="Times New Roman"/>
                <w:b/>
                <w:sz w:val="22"/>
                <w:szCs w:val="22"/>
              </w:rPr>
              <w:t>Value of Respondent Time</w:t>
            </w:r>
          </w:p>
        </w:tc>
      </w:tr>
      <w:tr w14:paraId="079EF15D" w14:textId="77777777" w:rsidTr="00501A15">
        <w:tblPrEx>
          <w:tblW w:w="9625" w:type="dxa"/>
          <w:tblLook w:val="04A0"/>
        </w:tblPrEx>
        <w:tc>
          <w:tcPr>
            <w:tcW w:w="1439" w:type="dxa"/>
            <w:vAlign w:val="bottom"/>
          </w:tcPr>
          <w:p w:rsidR="003908B9" w:rsidRPr="008F47CB" w:rsidP="008C6A87" w14:paraId="4E4E0FA6" w14:textId="3ADE543C">
            <w:pPr>
              <w:jc w:val="right"/>
              <w:rPr>
                <w:rFonts w:ascii="Times New Roman" w:hAnsi="Times New Roman"/>
                <w:sz w:val="22"/>
                <w:szCs w:val="22"/>
              </w:rPr>
            </w:pPr>
            <w:r>
              <w:rPr>
                <w:rFonts w:ascii="Times New Roman" w:hAnsi="Times New Roman"/>
                <w:sz w:val="22"/>
                <w:szCs w:val="22"/>
              </w:rPr>
              <w:t>OMB 1140-0062</w:t>
            </w:r>
          </w:p>
        </w:tc>
        <w:tc>
          <w:tcPr>
            <w:tcW w:w="1415" w:type="dxa"/>
            <w:vAlign w:val="bottom"/>
          </w:tcPr>
          <w:p w:rsidR="003908B9" w:rsidRPr="008F47CB" w:rsidP="008C6A87" w14:paraId="23BB2474" w14:textId="05D9C26C">
            <w:pPr>
              <w:jc w:val="right"/>
              <w:rPr>
                <w:rFonts w:ascii="Times New Roman" w:hAnsi="Times New Roman"/>
                <w:sz w:val="22"/>
                <w:szCs w:val="22"/>
              </w:rPr>
            </w:pPr>
            <w:r>
              <w:rPr>
                <w:rFonts w:ascii="Times New Roman" w:hAnsi="Times New Roman"/>
                <w:sz w:val="22"/>
                <w:szCs w:val="22"/>
              </w:rPr>
              <w:t>17</w:t>
            </w:r>
          </w:p>
        </w:tc>
        <w:tc>
          <w:tcPr>
            <w:tcW w:w="1219" w:type="dxa"/>
            <w:vAlign w:val="bottom"/>
          </w:tcPr>
          <w:p w:rsidR="003908B9" w:rsidRPr="008F47CB" w:rsidP="008C6A87" w14:paraId="5D72451D" w14:textId="58E9BDD7">
            <w:pPr>
              <w:jc w:val="right"/>
              <w:rPr>
                <w:rFonts w:ascii="Times New Roman" w:hAnsi="Times New Roman"/>
                <w:sz w:val="22"/>
                <w:szCs w:val="22"/>
              </w:rPr>
            </w:pPr>
            <w:r>
              <w:rPr>
                <w:rFonts w:ascii="Times New Roman" w:hAnsi="Times New Roman"/>
                <w:sz w:val="22"/>
                <w:szCs w:val="22"/>
              </w:rPr>
              <w:t>3</w:t>
            </w:r>
          </w:p>
        </w:tc>
        <w:tc>
          <w:tcPr>
            <w:tcW w:w="1182" w:type="dxa"/>
            <w:vAlign w:val="bottom"/>
          </w:tcPr>
          <w:p w:rsidR="003908B9" w:rsidRPr="008F47CB" w:rsidP="008C6A87" w14:paraId="03D2549D" w14:textId="478F7731">
            <w:pPr>
              <w:jc w:val="right"/>
              <w:rPr>
                <w:rFonts w:ascii="Times New Roman" w:hAnsi="Times New Roman"/>
                <w:sz w:val="22"/>
                <w:szCs w:val="22"/>
              </w:rPr>
            </w:pPr>
            <w:r>
              <w:rPr>
                <w:rFonts w:ascii="Times New Roman" w:hAnsi="Times New Roman"/>
                <w:sz w:val="22"/>
                <w:szCs w:val="22"/>
              </w:rPr>
              <w:t>51</w:t>
            </w:r>
          </w:p>
        </w:tc>
        <w:tc>
          <w:tcPr>
            <w:tcW w:w="1097" w:type="dxa"/>
            <w:vAlign w:val="bottom"/>
          </w:tcPr>
          <w:p w:rsidR="003908B9" w:rsidRPr="008F47CB" w:rsidP="008C6A87" w14:paraId="3704ADCE" w14:textId="2B9AC16A">
            <w:pPr>
              <w:jc w:val="right"/>
              <w:rPr>
                <w:rFonts w:ascii="Times New Roman" w:hAnsi="Times New Roman"/>
                <w:sz w:val="22"/>
                <w:szCs w:val="22"/>
              </w:rPr>
            </w:pPr>
            <w:r>
              <w:rPr>
                <w:rFonts w:ascii="Times New Roman" w:hAnsi="Times New Roman"/>
                <w:sz w:val="22"/>
                <w:szCs w:val="22"/>
              </w:rPr>
              <w:t>1hour</w:t>
            </w:r>
          </w:p>
        </w:tc>
        <w:tc>
          <w:tcPr>
            <w:tcW w:w="950" w:type="dxa"/>
            <w:vAlign w:val="bottom"/>
          </w:tcPr>
          <w:p w:rsidR="003908B9" w:rsidRPr="008F47CB" w:rsidP="008C6A87" w14:paraId="498C761A" w14:textId="27B22D10">
            <w:pPr>
              <w:jc w:val="right"/>
              <w:rPr>
                <w:rFonts w:ascii="Times New Roman" w:hAnsi="Times New Roman"/>
                <w:sz w:val="22"/>
                <w:szCs w:val="22"/>
              </w:rPr>
            </w:pPr>
            <w:r>
              <w:rPr>
                <w:rFonts w:ascii="Times New Roman" w:hAnsi="Times New Roman"/>
                <w:sz w:val="22"/>
                <w:szCs w:val="22"/>
              </w:rPr>
              <w:t>51</w:t>
            </w:r>
          </w:p>
        </w:tc>
        <w:tc>
          <w:tcPr>
            <w:tcW w:w="889" w:type="dxa"/>
            <w:vAlign w:val="bottom"/>
          </w:tcPr>
          <w:p w:rsidR="003908B9" w:rsidRPr="008F47CB" w:rsidP="008C6A87" w14:paraId="2C9B9B1D" w14:textId="6FE47E75">
            <w:pPr>
              <w:jc w:val="right"/>
              <w:rPr>
                <w:rFonts w:ascii="Times New Roman" w:hAnsi="Times New Roman"/>
                <w:sz w:val="22"/>
                <w:szCs w:val="22"/>
              </w:rPr>
            </w:pPr>
          </w:p>
        </w:tc>
        <w:tc>
          <w:tcPr>
            <w:tcW w:w="1434" w:type="dxa"/>
            <w:vAlign w:val="bottom"/>
          </w:tcPr>
          <w:p w:rsidR="003908B9" w:rsidRPr="008F47CB" w:rsidP="008C6A87" w14:paraId="689A6EF1" w14:textId="2BD442B8">
            <w:pPr>
              <w:jc w:val="right"/>
              <w:rPr>
                <w:rFonts w:ascii="Times New Roman" w:hAnsi="Times New Roman"/>
                <w:sz w:val="22"/>
                <w:szCs w:val="22"/>
              </w:rPr>
            </w:pPr>
          </w:p>
        </w:tc>
      </w:tr>
      <w:tr w14:paraId="28A27403" w14:textId="77777777" w:rsidTr="00501A15">
        <w:tblPrEx>
          <w:tblW w:w="9625" w:type="dxa"/>
          <w:tblLook w:val="04A0"/>
        </w:tblPrEx>
        <w:tc>
          <w:tcPr>
            <w:tcW w:w="1439" w:type="dxa"/>
            <w:vAlign w:val="bottom"/>
          </w:tcPr>
          <w:p w:rsidR="003908B9" w:rsidRPr="008F47CB" w:rsidP="008C6A87" w14:paraId="779E4025" w14:textId="77777777">
            <w:pPr>
              <w:jc w:val="right"/>
              <w:rPr>
                <w:rFonts w:ascii="Times New Roman" w:hAnsi="Times New Roman"/>
                <w:sz w:val="22"/>
                <w:szCs w:val="22"/>
              </w:rPr>
            </w:pPr>
          </w:p>
        </w:tc>
        <w:tc>
          <w:tcPr>
            <w:tcW w:w="1415" w:type="dxa"/>
            <w:vAlign w:val="bottom"/>
          </w:tcPr>
          <w:p w:rsidR="003908B9" w:rsidRPr="008F47CB" w:rsidP="008C6A87" w14:paraId="0D0FB099" w14:textId="77777777">
            <w:pPr>
              <w:jc w:val="right"/>
              <w:rPr>
                <w:rFonts w:ascii="Times New Roman" w:hAnsi="Times New Roman"/>
                <w:sz w:val="22"/>
                <w:szCs w:val="22"/>
              </w:rPr>
            </w:pPr>
          </w:p>
        </w:tc>
        <w:tc>
          <w:tcPr>
            <w:tcW w:w="1219" w:type="dxa"/>
            <w:vAlign w:val="bottom"/>
          </w:tcPr>
          <w:p w:rsidR="003908B9" w:rsidRPr="008F47CB" w:rsidP="008C6A87" w14:paraId="2DF69973" w14:textId="77777777">
            <w:pPr>
              <w:jc w:val="right"/>
              <w:rPr>
                <w:rFonts w:ascii="Times New Roman" w:hAnsi="Times New Roman"/>
                <w:sz w:val="22"/>
                <w:szCs w:val="22"/>
              </w:rPr>
            </w:pPr>
          </w:p>
        </w:tc>
        <w:tc>
          <w:tcPr>
            <w:tcW w:w="1182" w:type="dxa"/>
            <w:vAlign w:val="bottom"/>
          </w:tcPr>
          <w:p w:rsidR="003908B9" w:rsidRPr="008F47CB" w:rsidP="008C6A87" w14:paraId="6869AFA2" w14:textId="77777777">
            <w:pPr>
              <w:jc w:val="right"/>
              <w:rPr>
                <w:rFonts w:ascii="Times New Roman" w:hAnsi="Times New Roman"/>
                <w:sz w:val="22"/>
                <w:szCs w:val="22"/>
              </w:rPr>
            </w:pPr>
          </w:p>
        </w:tc>
        <w:tc>
          <w:tcPr>
            <w:tcW w:w="1097" w:type="dxa"/>
            <w:vAlign w:val="bottom"/>
          </w:tcPr>
          <w:p w:rsidR="003908B9" w:rsidRPr="008F47CB" w:rsidP="008C6A87" w14:paraId="3983D868" w14:textId="77777777">
            <w:pPr>
              <w:jc w:val="right"/>
              <w:rPr>
                <w:rFonts w:ascii="Times New Roman" w:hAnsi="Times New Roman"/>
                <w:sz w:val="22"/>
                <w:szCs w:val="22"/>
              </w:rPr>
            </w:pPr>
          </w:p>
        </w:tc>
        <w:tc>
          <w:tcPr>
            <w:tcW w:w="950" w:type="dxa"/>
            <w:vAlign w:val="bottom"/>
          </w:tcPr>
          <w:p w:rsidR="003908B9" w:rsidRPr="008F47CB" w:rsidP="008C6A87" w14:paraId="1211DF9B" w14:textId="77777777">
            <w:pPr>
              <w:jc w:val="right"/>
              <w:rPr>
                <w:rFonts w:ascii="Times New Roman" w:hAnsi="Times New Roman"/>
                <w:sz w:val="22"/>
                <w:szCs w:val="22"/>
              </w:rPr>
            </w:pPr>
          </w:p>
        </w:tc>
        <w:tc>
          <w:tcPr>
            <w:tcW w:w="889" w:type="dxa"/>
            <w:vAlign w:val="bottom"/>
          </w:tcPr>
          <w:p w:rsidR="003908B9" w:rsidRPr="008F47CB" w:rsidP="008C6A87" w14:paraId="52BBFE45" w14:textId="77777777">
            <w:pPr>
              <w:jc w:val="right"/>
              <w:rPr>
                <w:rFonts w:ascii="Times New Roman" w:hAnsi="Times New Roman"/>
                <w:sz w:val="22"/>
                <w:szCs w:val="22"/>
              </w:rPr>
            </w:pPr>
          </w:p>
        </w:tc>
        <w:tc>
          <w:tcPr>
            <w:tcW w:w="1434" w:type="dxa"/>
            <w:vAlign w:val="bottom"/>
          </w:tcPr>
          <w:p w:rsidR="003908B9" w:rsidRPr="008F47CB" w:rsidP="008C6A87" w14:paraId="1116896A" w14:textId="77777777">
            <w:pPr>
              <w:jc w:val="right"/>
              <w:rPr>
                <w:rFonts w:ascii="Times New Roman" w:hAnsi="Times New Roman"/>
                <w:sz w:val="22"/>
                <w:szCs w:val="22"/>
              </w:rPr>
            </w:pPr>
          </w:p>
        </w:tc>
      </w:tr>
      <w:tr w14:paraId="7117E8A9" w14:textId="77777777" w:rsidTr="00501A15">
        <w:tblPrEx>
          <w:tblW w:w="9625" w:type="dxa"/>
          <w:tblLook w:val="04A0"/>
        </w:tblPrEx>
        <w:tc>
          <w:tcPr>
            <w:tcW w:w="1439" w:type="dxa"/>
            <w:vAlign w:val="bottom"/>
          </w:tcPr>
          <w:p w:rsidR="003908B9" w:rsidRPr="008F47CB" w:rsidP="008C6A87" w14:paraId="7B495C05" w14:textId="1E5C0B79">
            <w:pPr>
              <w:jc w:val="right"/>
              <w:rPr>
                <w:rFonts w:ascii="Times New Roman" w:hAnsi="Times New Roman"/>
                <w:sz w:val="22"/>
                <w:szCs w:val="22"/>
              </w:rPr>
            </w:pPr>
          </w:p>
        </w:tc>
        <w:tc>
          <w:tcPr>
            <w:tcW w:w="1415" w:type="dxa"/>
            <w:vAlign w:val="bottom"/>
          </w:tcPr>
          <w:p w:rsidR="003908B9" w:rsidRPr="008F47CB" w:rsidP="008C6A87" w14:paraId="485C3037" w14:textId="77777777">
            <w:pPr>
              <w:jc w:val="right"/>
              <w:rPr>
                <w:rFonts w:ascii="Times New Roman" w:hAnsi="Times New Roman"/>
                <w:sz w:val="22"/>
                <w:szCs w:val="22"/>
              </w:rPr>
            </w:pPr>
          </w:p>
        </w:tc>
        <w:tc>
          <w:tcPr>
            <w:tcW w:w="1219" w:type="dxa"/>
            <w:vAlign w:val="bottom"/>
          </w:tcPr>
          <w:p w:rsidR="003908B9" w:rsidRPr="008F47CB" w:rsidP="008C6A87" w14:paraId="13B28653" w14:textId="77777777">
            <w:pPr>
              <w:jc w:val="right"/>
              <w:rPr>
                <w:rFonts w:ascii="Times New Roman" w:hAnsi="Times New Roman"/>
                <w:sz w:val="22"/>
                <w:szCs w:val="22"/>
              </w:rPr>
            </w:pPr>
          </w:p>
        </w:tc>
        <w:tc>
          <w:tcPr>
            <w:tcW w:w="1182" w:type="dxa"/>
            <w:vAlign w:val="bottom"/>
          </w:tcPr>
          <w:p w:rsidR="003908B9" w:rsidRPr="008F47CB" w:rsidP="008C6A87" w14:paraId="42D7D78C" w14:textId="77777777">
            <w:pPr>
              <w:jc w:val="right"/>
              <w:rPr>
                <w:rFonts w:ascii="Times New Roman" w:hAnsi="Times New Roman"/>
                <w:sz w:val="22"/>
                <w:szCs w:val="22"/>
              </w:rPr>
            </w:pPr>
          </w:p>
        </w:tc>
        <w:tc>
          <w:tcPr>
            <w:tcW w:w="1097" w:type="dxa"/>
            <w:vAlign w:val="bottom"/>
          </w:tcPr>
          <w:p w:rsidR="003908B9" w:rsidRPr="008F47CB" w:rsidP="008C6A87" w14:paraId="6D74F4F1" w14:textId="77777777">
            <w:pPr>
              <w:jc w:val="right"/>
              <w:rPr>
                <w:rFonts w:ascii="Times New Roman" w:hAnsi="Times New Roman"/>
                <w:sz w:val="22"/>
                <w:szCs w:val="22"/>
              </w:rPr>
            </w:pPr>
          </w:p>
        </w:tc>
        <w:tc>
          <w:tcPr>
            <w:tcW w:w="950" w:type="dxa"/>
            <w:vAlign w:val="bottom"/>
          </w:tcPr>
          <w:p w:rsidR="003908B9" w:rsidRPr="008F47CB" w:rsidP="008C6A87" w14:paraId="3AE5AEA6" w14:textId="77777777">
            <w:pPr>
              <w:jc w:val="right"/>
              <w:rPr>
                <w:rFonts w:ascii="Times New Roman" w:hAnsi="Times New Roman"/>
                <w:sz w:val="22"/>
                <w:szCs w:val="22"/>
              </w:rPr>
            </w:pPr>
          </w:p>
        </w:tc>
        <w:tc>
          <w:tcPr>
            <w:tcW w:w="889" w:type="dxa"/>
            <w:vAlign w:val="bottom"/>
          </w:tcPr>
          <w:p w:rsidR="003908B9" w:rsidRPr="008F47CB" w:rsidP="008C6A87" w14:paraId="1869DBC4" w14:textId="77777777">
            <w:pPr>
              <w:jc w:val="right"/>
              <w:rPr>
                <w:rFonts w:ascii="Times New Roman" w:hAnsi="Times New Roman"/>
                <w:sz w:val="22"/>
                <w:szCs w:val="22"/>
              </w:rPr>
            </w:pPr>
          </w:p>
        </w:tc>
        <w:tc>
          <w:tcPr>
            <w:tcW w:w="1434" w:type="dxa"/>
            <w:vAlign w:val="bottom"/>
          </w:tcPr>
          <w:p w:rsidR="003908B9" w:rsidRPr="008F47CB" w:rsidP="008C6A87" w14:paraId="3020B04B" w14:textId="77777777">
            <w:pPr>
              <w:jc w:val="right"/>
              <w:rPr>
                <w:rFonts w:ascii="Times New Roman" w:hAnsi="Times New Roman"/>
                <w:sz w:val="22"/>
                <w:szCs w:val="22"/>
              </w:rPr>
            </w:pPr>
          </w:p>
        </w:tc>
      </w:tr>
      <w:tr w14:paraId="4F62D8EB" w14:textId="77777777" w:rsidTr="00501A15">
        <w:tblPrEx>
          <w:tblW w:w="9625" w:type="dxa"/>
          <w:tblLook w:val="04A0"/>
        </w:tblPrEx>
        <w:tc>
          <w:tcPr>
            <w:tcW w:w="1439" w:type="dxa"/>
            <w:vAlign w:val="bottom"/>
          </w:tcPr>
          <w:p w:rsidR="00403B06" w:rsidRPr="008F47CB" w:rsidP="008C6A87" w14:paraId="1182DFD4" w14:textId="77777777">
            <w:pPr>
              <w:jc w:val="right"/>
              <w:rPr>
                <w:rFonts w:ascii="Times New Roman" w:hAnsi="Times New Roman"/>
                <w:sz w:val="22"/>
                <w:szCs w:val="22"/>
              </w:rPr>
            </w:pPr>
          </w:p>
        </w:tc>
        <w:tc>
          <w:tcPr>
            <w:tcW w:w="1415" w:type="dxa"/>
            <w:vAlign w:val="bottom"/>
          </w:tcPr>
          <w:p w:rsidR="00403B06" w:rsidRPr="008F47CB" w:rsidP="008C6A87" w14:paraId="64D194D1" w14:textId="77777777">
            <w:pPr>
              <w:jc w:val="right"/>
              <w:rPr>
                <w:rFonts w:ascii="Times New Roman" w:hAnsi="Times New Roman"/>
                <w:sz w:val="22"/>
                <w:szCs w:val="22"/>
              </w:rPr>
            </w:pPr>
          </w:p>
        </w:tc>
        <w:tc>
          <w:tcPr>
            <w:tcW w:w="1219" w:type="dxa"/>
            <w:vAlign w:val="bottom"/>
          </w:tcPr>
          <w:p w:rsidR="00403B06" w:rsidRPr="008F47CB" w:rsidP="008C6A87" w14:paraId="5746F6BB" w14:textId="77777777">
            <w:pPr>
              <w:jc w:val="right"/>
              <w:rPr>
                <w:rFonts w:ascii="Times New Roman" w:hAnsi="Times New Roman"/>
                <w:sz w:val="22"/>
                <w:szCs w:val="22"/>
              </w:rPr>
            </w:pPr>
          </w:p>
        </w:tc>
        <w:tc>
          <w:tcPr>
            <w:tcW w:w="1182" w:type="dxa"/>
            <w:vAlign w:val="bottom"/>
          </w:tcPr>
          <w:p w:rsidR="00403B06" w:rsidRPr="008F47CB" w:rsidP="008C6A87" w14:paraId="587457D9" w14:textId="77777777">
            <w:pPr>
              <w:jc w:val="right"/>
              <w:rPr>
                <w:rFonts w:ascii="Times New Roman" w:hAnsi="Times New Roman"/>
                <w:sz w:val="22"/>
                <w:szCs w:val="22"/>
              </w:rPr>
            </w:pPr>
          </w:p>
        </w:tc>
        <w:tc>
          <w:tcPr>
            <w:tcW w:w="1097" w:type="dxa"/>
            <w:vAlign w:val="bottom"/>
          </w:tcPr>
          <w:p w:rsidR="00403B06" w:rsidRPr="008F47CB" w:rsidP="008C6A87" w14:paraId="025AF99A" w14:textId="77777777">
            <w:pPr>
              <w:jc w:val="right"/>
              <w:rPr>
                <w:rFonts w:ascii="Times New Roman" w:hAnsi="Times New Roman"/>
                <w:sz w:val="22"/>
                <w:szCs w:val="22"/>
              </w:rPr>
            </w:pPr>
          </w:p>
        </w:tc>
        <w:tc>
          <w:tcPr>
            <w:tcW w:w="950" w:type="dxa"/>
            <w:vAlign w:val="bottom"/>
          </w:tcPr>
          <w:p w:rsidR="00403B06" w:rsidRPr="008F47CB" w:rsidP="008C6A87" w14:paraId="77262D48" w14:textId="77777777">
            <w:pPr>
              <w:jc w:val="right"/>
              <w:rPr>
                <w:rFonts w:ascii="Times New Roman" w:hAnsi="Times New Roman"/>
                <w:sz w:val="22"/>
                <w:szCs w:val="22"/>
              </w:rPr>
            </w:pPr>
          </w:p>
        </w:tc>
        <w:tc>
          <w:tcPr>
            <w:tcW w:w="889" w:type="dxa"/>
            <w:vAlign w:val="bottom"/>
          </w:tcPr>
          <w:p w:rsidR="00403B06" w:rsidRPr="008F47CB" w:rsidP="008C6A87" w14:paraId="0EA42709" w14:textId="77777777">
            <w:pPr>
              <w:jc w:val="right"/>
              <w:rPr>
                <w:rFonts w:ascii="Times New Roman" w:hAnsi="Times New Roman"/>
                <w:sz w:val="22"/>
                <w:szCs w:val="22"/>
              </w:rPr>
            </w:pPr>
          </w:p>
        </w:tc>
        <w:tc>
          <w:tcPr>
            <w:tcW w:w="1434" w:type="dxa"/>
            <w:vAlign w:val="bottom"/>
          </w:tcPr>
          <w:p w:rsidR="00403B06" w:rsidRPr="008F47CB" w:rsidP="008C6A87" w14:paraId="4A7A42D6" w14:textId="77777777">
            <w:pPr>
              <w:jc w:val="right"/>
              <w:rPr>
                <w:rFonts w:ascii="Times New Roman" w:hAnsi="Times New Roman"/>
                <w:sz w:val="22"/>
                <w:szCs w:val="22"/>
              </w:rPr>
            </w:pPr>
          </w:p>
        </w:tc>
      </w:tr>
      <w:tr w14:paraId="0A87EBC1" w14:textId="77777777" w:rsidTr="00501A15">
        <w:tblPrEx>
          <w:tblW w:w="9625" w:type="dxa"/>
          <w:tblLook w:val="04A0"/>
        </w:tblPrEx>
        <w:tc>
          <w:tcPr>
            <w:tcW w:w="1439" w:type="dxa"/>
            <w:vAlign w:val="bottom"/>
          </w:tcPr>
          <w:p w:rsidR="00403B06" w:rsidRPr="008F47CB" w:rsidP="008C6A87" w14:paraId="37C5EA3C" w14:textId="77777777">
            <w:pPr>
              <w:jc w:val="right"/>
              <w:rPr>
                <w:rFonts w:ascii="Times New Roman" w:hAnsi="Times New Roman"/>
                <w:sz w:val="22"/>
                <w:szCs w:val="22"/>
              </w:rPr>
            </w:pPr>
          </w:p>
        </w:tc>
        <w:tc>
          <w:tcPr>
            <w:tcW w:w="1415" w:type="dxa"/>
            <w:vAlign w:val="bottom"/>
          </w:tcPr>
          <w:p w:rsidR="00403B06" w:rsidRPr="008F47CB" w:rsidP="008C6A87" w14:paraId="3EB7E1A7" w14:textId="77777777">
            <w:pPr>
              <w:jc w:val="right"/>
              <w:rPr>
                <w:rFonts w:ascii="Times New Roman" w:hAnsi="Times New Roman"/>
                <w:sz w:val="22"/>
                <w:szCs w:val="22"/>
              </w:rPr>
            </w:pPr>
          </w:p>
        </w:tc>
        <w:tc>
          <w:tcPr>
            <w:tcW w:w="1219" w:type="dxa"/>
            <w:vAlign w:val="bottom"/>
          </w:tcPr>
          <w:p w:rsidR="00403B06" w:rsidRPr="008F47CB" w:rsidP="008C6A87" w14:paraId="2F58A60D" w14:textId="77777777">
            <w:pPr>
              <w:jc w:val="right"/>
              <w:rPr>
                <w:rFonts w:ascii="Times New Roman" w:hAnsi="Times New Roman"/>
                <w:sz w:val="22"/>
                <w:szCs w:val="22"/>
              </w:rPr>
            </w:pPr>
          </w:p>
        </w:tc>
        <w:tc>
          <w:tcPr>
            <w:tcW w:w="1182" w:type="dxa"/>
            <w:vAlign w:val="bottom"/>
          </w:tcPr>
          <w:p w:rsidR="00403B06" w:rsidRPr="008F47CB" w:rsidP="008C6A87" w14:paraId="76E70727" w14:textId="77777777">
            <w:pPr>
              <w:jc w:val="right"/>
              <w:rPr>
                <w:rFonts w:ascii="Times New Roman" w:hAnsi="Times New Roman"/>
                <w:sz w:val="22"/>
                <w:szCs w:val="22"/>
              </w:rPr>
            </w:pPr>
          </w:p>
        </w:tc>
        <w:tc>
          <w:tcPr>
            <w:tcW w:w="1097" w:type="dxa"/>
            <w:vAlign w:val="bottom"/>
          </w:tcPr>
          <w:p w:rsidR="00403B06" w:rsidRPr="008F47CB" w:rsidP="008C6A87" w14:paraId="180A597C" w14:textId="77777777">
            <w:pPr>
              <w:jc w:val="right"/>
              <w:rPr>
                <w:rFonts w:ascii="Times New Roman" w:hAnsi="Times New Roman"/>
                <w:sz w:val="22"/>
                <w:szCs w:val="22"/>
              </w:rPr>
            </w:pPr>
          </w:p>
        </w:tc>
        <w:tc>
          <w:tcPr>
            <w:tcW w:w="950" w:type="dxa"/>
            <w:vAlign w:val="bottom"/>
          </w:tcPr>
          <w:p w:rsidR="00403B06" w:rsidRPr="008F47CB" w:rsidP="008C6A87" w14:paraId="60179654" w14:textId="77777777">
            <w:pPr>
              <w:jc w:val="right"/>
              <w:rPr>
                <w:rFonts w:ascii="Times New Roman" w:hAnsi="Times New Roman"/>
                <w:sz w:val="22"/>
                <w:szCs w:val="22"/>
              </w:rPr>
            </w:pPr>
          </w:p>
        </w:tc>
        <w:tc>
          <w:tcPr>
            <w:tcW w:w="889" w:type="dxa"/>
            <w:vAlign w:val="bottom"/>
          </w:tcPr>
          <w:p w:rsidR="00403B06" w:rsidRPr="008F47CB" w:rsidP="008C6A87" w14:paraId="03EEFBC5" w14:textId="77777777">
            <w:pPr>
              <w:jc w:val="right"/>
              <w:rPr>
                <w:rFonts w:ascii="Times New Roman" w:hAnsi="Times New Roman"/>
                <w:sz w:val="22"/>
                <w:szCs w:val="22"/>
              </w:rPr>
            </w:pPr>
          </w:p>
        </w:tc>
        <w:tc>
          <w:tcPr>
            <w:tcW w:w="1434" w:type="dxa"/>
            <w:vAlign w:val="bottom"/>
          </w:tcPr>
          <w:p w:rsidR="00403B06" w:rsidRPr="008F47CB" w:rsidP="008C6A87" w14:paraId="023D7396" w14:textId="77777777">
            <w:pPr>
              <w:jc w:val="right"/>
              <w:rPr>
                <w:rFonts w:ascii="Times New Roman" w:hAnsi="Times New Roman"/>
                <w:sz w:val="22"/>
                <w:szCs w:val="22"/>
              </w:rPr>
            </w:pPr>
          </w:p>
        </w:tc>
      </w:tr>
      <w:tr w14:paraId="578B68EB" w14:textId="77777777" w:rsidTr="00501A15">
        <w:tblPrEx>
          <w:tblW w:w="9625" w:type="dxa"/>
          <w:tblLook w:val="04A0"/>
        </w:tblPrEx>
        <w:tc>
          <w:tcPr>
            <w:tcW w:w="1439" w:type="dxa"/>
          </w:tcPr>
          <w:p w:rsidR="00501A15"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501A15" w:rsidRPr="008F47CB" w:rsidP="00501A15" w14:paraId="32AB6B8A" w14:textId="4C30E059">
            <w:pPr>
              <w:jc w:val="right"/>
              <w:rPr>
                <w:rFonts w:ascii="Times New Roman" w:hAnsi="Times New Roman"/>
                <w:b/>
                <w:i/>
                <w:sz w:val="22"/>
                <w:szCs w:val="22"/>
              </w:rPr>
            </w:pPr>
          </w:p>
        </w:tc>
        <w:tc>
          <w:tcPr>
            <w:tcW w:w="1219" w:type="dxa"/>
            <w:vAlign w:val="bottom"/>
          </w:tcPr>
          <w:p w:rsidR="00501A15" w:rsidRPr="008F47CB" w:rsidP="00627B1F" w14:paraId="75495CB4" w14:textId="7C6FC44B">
            <w:pPr>
              <w:jc w:val="center"/>
              <w:rPr>
                <w:rFonts w:ascii="Times New Roman" w:hAnsi="Times New Roman"/>
                <w:b/>
                <w:i/>
                <w:sz w:val="22"/>
                <w:szCs w:val="22"/>
              </w:rPr>
            </w:pPr>
          </w:p>
        </w:tc>
        <w:tc>
          <w:tcPr>
            <w:tcW w:w="1182" w:type="dxa"/>
            <w:vAlign w:val="bottom"/>
          </w:tcPr>
          <w:p w:rsidR="00501A15" w:rsidRPr="008F47CB" w:rsidP="00501A15" w14:paraId="1A7661D9" w14:textId="0A1B8370">
            <w:pPr>
              <w:jc w:val="right"/>
              <w:rPr>
                <w:rFonts w:ascii="Times New Roman" w:hAnsi="Times New Roman"/>
                <w:b/>
                <w:i/>
                <w:sz w:val="22"/>
                <w:szCs w:val="22"/>
              </w:rPr>
            </w:pPr>
          </w:p>
        </w:tc>
        <w:tc>
          <w:tcPr>
            <w:tcW w:w="1097" w:type="dxa"/>
            <w:vAlign w:val="bottom"/>
          </w:tcPr>
          <w:p w:rsidR="00501A15" w:rsidRPr="008F47CB" w:rsidP="00501A15" w14:paraId="4A94906E" w14:textId="66CA6502">
            <w:pPr>
              <w:jc w:val="right"/>
              <w:rPr>
                <w:rFonts w:ascii="Times New Roman" w:hAnsi="Times New Roman"/>
                <w:b/>
                <w:i/>
                <w:sz w:val="22"/>
                <w:szCs w:val="22"/>
              </w:rPr>
            </w:pPr>
          </w:p>
        </w:tc>
        <w:tc>
          <w:tcPr>
            <w:tcW w:w="950" w:type="dxa"/>
            <w:vAlign w:val="bottom"/>
          </w:tcPr>
          <w:p w:rsidR="00501A15" w:rsidRPr="008F47CB" w:rsidP="00501A15" w14:paraId="4075BA8E" w14:textId="5C8E0FA4">
            <w:pPr>
              <w:jc w:val="right"/>
              <w:rPr>
                <w:rFonts w:ascii="Times New Roman" w:hAnsi="Times New Roman"/>
                <w:b/>
                <w:i/>
                <w:sz w:val="22"/>
                <w:szCs w:val="22"/>
              </w:rPr>
            </w:pPr>
          </w:p>
        </w:tc>
        <w:tc>
          <w:tcPr>
            <w:tcW w:w="889" w:type="dxa"/>
            <w:vAlign w:val="bottom"/>
          </w:tcPr>
          <w:p w:rsidR="00501A15" w:rsidRPr="008F47CB" w:rsidP="00501A15" w14:paraId="7F82B751" w14:textId="50FAEA02">
            <w:pPr>
              <w:jc w:val="right"/>
              <w:rPr>
                <w:rFonts w:ascii="Times New Roman" w:hAnsi="Times New Roman"/>
                <w:b/>
                <w:i/>
                <w:sz w:val="22"/>
                <w:szCs w:val="22"/>
              </w:rPr>
            </w:pPr>
          </w:p>
        </w:tc>
        <w:tc>
          <w:tcPr>
            <w:tcW w:w="1434" w:type="dxa"/>
            <w:vAlign w:val="bottom"/>
          </w:tcPr>
          <w:p w:rsidR="00501A15" w:rsidRPr="008F47CB" w:rsidP="00501A15" w14:paraId="54BFA78B" w14:textId="44F029FD">
            <w:pPr>
              <w:jc w:val="right"/>
              <w:rPr>
                <w:rFonts w:ascii="Times New Roman" w:hAnsi="Times New Roman"/>
                <w:b/>
                <w:i/>
                <w:sz w:val="22"/>
                <w:szCs w:val="22"/>
              </w:rPr>
            </w:pPr>
          </w:p>
        </w:tc>
      </w:tr>
    </w:tbl>
    <w:p w:rsidR="00D472BE" w:rsidP="00E60FB0" w14:paraId="1758C1F3" w14:textId="7C90956B">
      <w:pPr>
        <w:widowControl/>
        <w:autoSpaceDE/>
        <w:autoSpaceDN/>
        <w:adjustRightInd/>
        <w:rPr>
          <w:rFonts w:ascii="Times New Roman" w:hAnsi="Times New Roman"/>
          <w:highlight w:val="yellow"/>
        </w:rPr>
      </w:pPr>
    </w:p>
    <w:p w:rsidR="00EE2223" w:rsidRPr="00EE2223" w:rsidP="00E60FB0" w14:paraId="51C113BE" w14:textId="4093117F">
      <w:pPr>
        <w:widowControl/>
        <w:autoSpaceDE/>
        <w:autoSpaceDN/>
        <w:adjustRightInd/>
        <w:rPr>
          <w:rFonts w:ascii="Times New Roman" w:hAnsi="Times New Roman"/>
          <w:i/>
          <w:iCs/>
        </w:rPr>
      </w:pPr>
      <w:r w:rsidRPr="00EE2223">
        <w:rPr>
          <w:rFonts w:ascii="Times New Roman" w:hAnsi="Times New Roman"/>
          <w:i/>
          <w:iCs/>
        </w:rPr>
        <w:t>Hourly rate source citation</w:t>
      </w:r>
      <w:r w:rsidR="002E6F9C">
        <w:rPr>
          <w:rFonts w:ascii="Times New Roman" w:hAnsi="Times New Roman"/>
          <w:i/>
          <w:iCs/>
        </w:rPr>
        <w:t xml:space="preserve"> or you may enter a footnote</w:t>
      </w:r>
      <w:r w:rsidRPr="00EE2223">
        <w:rPr>
          <w:rFonts w:ascii="Times New Roman" w:hAnsi="Times New Roman"/>
          <w:i/>
          <w:iCs/>
        </w:rPr>
        <w:t xml:space="preserve">: </w:t>
      </w: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CD215D">
        <w:rPr>
          <w:rFonts w:ascii="Times New Roman" w:hAnsi="Times New Roman"/>
          <w:b/>
        </w:rPr>
        <w:t>:</w:t>
      </w:r>
      <w:r w:rsidRPr="006F6E13" w:rsidR="00AB4DC3">
        <w:rPr>
          <w:rFonts w:ascii="Times New Roman" w:hAnsi="Times New Roman"/>
          <w:b/>
        </w:rPr>
        <w:t xml:space="preserve">  (</w:t>
      </w:r>
      <w:r w:rsidRPr="006F6E13" w:rsidR="00AB4DC3">
        <w:rPr>
          <w:rFonts w:ascii="Times New Roman" w:hAnsi="Times New Roman"/>
          <w:b/>
        </w:rPr>
        <w:t>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3128" w:rsidP="00690F56" w14:paraId="6E4E03BB" w14:textId="0B7A33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w:t>
      </w:r>
      <w:r>
        <w:rPr>
          <w:rFonts w:ascii="Times New Roman" w:hAnsi="Times New Roman"/>
        </w:rPr>
        <w:t>are</w:t>
      </w:r>
      <w:r w:rsidR="00A4387C">
        <w:rPr>
          <w:rFonts w:ascii="Times New Roman" w:hAnsi="Times New Roman"/>
        </w:rPr>
        <w:t xml:space="preserve"> no</w:t>
      </w:r>
      <w:r>
        <w:rPr>
          <w:rFonts w:ascii="Times New Roman" w:hAnsi="Times New Roman"/>
        </w:rPr>
        <w:t xml:space="preserve"> start</w:t>
      </w:r>
      <w:r w:rsidR="00A4387C">
        <w:rPr>
          <w:rFonts w:ascii="Times New Roman" w:hAnsi="Times New Roman"/>
        </w:rPr>
        <w:t>-</w:t>
      </w:r>
      <w:r>
        <w:rPr>
          <w:rFonts w:ascii="Times New Roman" w:hAnsi="Times New Roman"/>
        </w:rPr>
        <w:t>up costs associated with this collection.</w:t>
      </w:r>
    </w:p>
    <w:p w:rsidR="000E29DF" w:rsidP="00690F56" w14:paraId="4C5AF05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3128" w:rsidRPr="00F4518C"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 xml:space="preserve">without this collection of information.  Agencies also may aggregate cost estimates from Items 12, 13, and 14 into a </w:t>
      </w:r>
      <w:r w:rsidRPr="00D53DEB">
        <w:rPr>
          <w:rFonts w:ascii="Times New Roman" w:hAnsi="Times New Roman"/>
          <w:b/>
          <w:bCs/>
        </w:rPr>
        <w:t>single table</w:t>
      </w:r>
      <w:r w:rsidRPr="00D53DEB">
        <w:rPr>
          <w:rFonts w:ascii="Times New Roman" w:hAnsi="Times New Roman"/>
          <w:b/>
          <w:bCs/>
        </w:rPr>
        <w:t>.</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F96885" w:rsidP="00690F56" w14:paraId="1A15C4F0" w14:textId="7D6307A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is no Federal Government cost associated with this information collection.</w:t>
      </w:r>
    </w:p>
    <w:p w:rsidR="00F0742A" w:rsidRPr="00871CA6" w:rsidP="00690F56" w14:paraId="71C8D44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83CA7" w:rsidP="00690F56" w14:paraId="33AED649" w14:textId="46D27E7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w:t>
      </w:r>
      <w:r w:rsidR="00C366B4">
        <w:rPr>
          <w:rFonts w:ascii="Times New Roman" w:hAnsi="Times New Roman"/>
        </w:rPr>
        <w:t xml:space="preserve">is no change in the public burden associated with this collection. </w:t>
      </w:r>
    </w:p>
    <w:p w:rsidR="00C366B4" w:rsidRPr="00F4518C" w:rsidP="00690F56" w14:paraId="0EE643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50E76B4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results of this information collection will not be published. </w:t>
      </w:r>
    </w:p>
    <w:p w:rsidR="009037F6" w:rsidRPr="00871CA6" w:rsidP="00690F56" w14:paraId="4BC719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DD80159">
      <w:pPr>
        <w:rPr>
          <w:rFonts w:ascii="Times New Roman" w:hAnsi="Times New Roman"/>
        </w:rPr>
      </w:pPr>
      <w:r>
        <w:rPr>
          <w:rFonts w:ascii="Times New Roman" w:hAnsi="Times New Roman"/>
        </w:rPr>
        <w:t>This collection</w:t>
      </w:r>
      <w:r w:rsidR="00CC1B60">
        <w:rPr>
          <w:rFonts w:ascii="Times New Roman" w:hAnsi="Times New Roman"/>
        </w:rPr>
        <w:t xml:space="preserve"> does not</w:t>
      </w:r>
      <w:r>
        <w:rPr>
          <w:rFonts w:ascii="Times New Roman" w:hAnsi="Times New Roman"/>
        </w:rPr>
        <w:t xml:space="preserve"> contain statistical data.</w:t>
      </w:r>
    </w:p>
    <w:sectPr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86973" w:rsidRPr="006626FF" w:rsidP="00F8164B" w14:paraId="4C516217" w14:textId="0B025609">
    <w:pPr>
      <w:pStyle w:val="Header"/>
      <w:rPr>
        <w:rFonts w:ascii="Times New Roman" w:hAnsi="Times New Roman"/>
        <w:bCs/>
        <w:sz w:val="20"/>
        <w:szCs w:val="20"/>
      </w:rPr>
    </w:pPr>
    <w:r>
      <w:rPr>
        <w:rFonts w:ascii="Times New Roman" w:hAnsi="Times New Roman"/>
        <w:bCs/>
        <w:sz w:val="20"/>
        <w:szCs w:val="20"/>
      </w:rPr>
      <w:t>Identification of Imported Explosives Materials</w:t>
    </w:r>
  </w:p>
  <w:p w:rsidR="00EC0B43" w14:paraId="52F50703" w14:textId="32807219">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5F10BE">
      <w:rPr>
        <w:rFonts w:ascii="Times New Roman" w:hAnsi="Times New Roman"/>
        <w:sz w:val="20"/>
        <w:szCs w:val="20"/>
      </w:rPr>
      <w:t>1140-0062</w:t>
    </w:r>
  </w:p>
  <w:p w:rsidR="00304132" w14:paraId="29EBD65C" w14:textId="02C10ED4">
    <w:pPr>
      <w:pStyle w:val="Header"/>
      <w:rPr>
        <w:rFonts w:ascii="Times New Roman" w:hAnsi="Times New Roman"/>
        <w:sz w:val="20"/>
        <w:szCs w:val="20"/>
      </w:rPr>
    </w:pPr>
    <w:r>
      <w:rPr>
        <w:rFonts w:ascii="Times New Roman" w:hAnsi="Times New Roman"/>
        <w:sz w:val="20"/>
        <w:szCs w:val="20"/>
      </w:rPr>
      <w:t xml:space="preserve">OMB Expiration Date: </w:t>
    </w:r>
    <w:r w:rsidR="00996A5D">
      <w:rPr>
        <w:rFonts w:ascii="Times New Roman" w:hAnsi="Times New Roman"/>
        <w:sz w:val="20"/>
        <w:szCs w:val="20"/>
      </w:rPr>
      <w:t>XX/XX/XXXX</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moah, Mammyaa (JMD) (CTR)">
    <w15:presenceInfo w15:providerId="AD" w15:userId="S::Mammyaa.Amoah@usdoj.gov::5fa775a4-674a-4628-b6ec-4642be94f9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44915"/>
    <w:rsid w:val="00052174"/>
    <w:rsid w:val="00061F6C"/>
    <w:rsid w:val="00064E28"/>
    <w:rsid w:val="000655CC"/>
    <w:rsid w:val="0007383F"/>
    <w:rsid w:val="0008074E"/>
    <w:rsid w:val="00094A5E"/>
    <w:rsid w:val="00095C30"/>
    <w:rsid w:val="00097C15"/>
    <w:rsid w:val="000A7853"/>
    <w:rsid w:val="000B0391"/>
    <w:rsid w:val="000B4875"/>
    <w:rsid w:val="000B623C"/>
    <w:rsid w:val="000B6FB6"/>
    <w:rsid w:val="000C257C"/>
    <w:rsid w:val="000C3A92"/>
    <w:rsid w:val="000C74FB"/>
    <w:rsid w:val="000D7F95"/>
    <w:rsid w:val="000E1C64"/>
    <w:rsid w:val="000E29DF"/>
    <w:rsid w:val="000F120E"/>
    <w:rsid w:val="000F6836"/>
    <w:rsid w:val="001040D4"/>
    <w:rsid w:val="001078BB"/>
    <w:rsid w:val="00116CD5"/>
    <w:rsid w:val="00117CA5"/>
    <w:rsid w:val="00131DE9"/>
    <w:rsid w:val="00133C47"/>
    <w:rsid w:val="00133E3D"/>
    <w:rsid w:val="001376D3"/>
    <w:rsid w:val="0014556E"/>
    <w:rsid w:val="0014601E"/>
    <w:rsid w:val="00146213"/>
    <w:rsid w:val="0015322B"/>
    <w:rsid w:val="0015365E"/>
    <w:rsid w:val="00157A90"/>
    <w:rsid w:val="00167AD4"/>
    <w:rsid w:val="00172FD2"/>
    <w:rsid w:val="00174965"/>
    <w:rsid w:val="00176DA1"/>
    <w:rsid w:val="00180E5A"/>
    <w:rsid w:val="00192711"/>
    <w:rsid w:val="001A47D9"/>
    <w:rsid w:val="001B4BB9"/>
    <w:rsid w:val="001C39F6"/>
    <w:rsid w:val="001D10ED"/>
    <w:rsid w:val="001D2D09"/>
    <w:rsid w:val="001D67BB"/>
    <w:rsid w:val="001E0E7F"/>
    <w:rsid w:val="001E2932"/>
    <w:rsid w:val="001E3596"/>
    <w:rsid w:val="001E5213"/>
    <w:rsid w:val="001E6908"/>
    <w:rsid w:val="001F056F"/>
    <w:rsid w:val="001F2E8E"/>
    <w:rsid w:val="001F552E"/>
    <w:rsid w:val="002036A1"/>
    <w:rsid w:val="00210A61"/>
    <w:rsid w:val="002134B4"/>
    <w:rsid w:val="002203C9"/>
    <w:rsid w:val="002260F6"/>
    <w:rsid w:val="00234341"/>
    <w:rsid w:val="00236EA3"/>
    <w:rsid w:val="00237691"/>
    <w:rsid w:val="00242CA0"/>
    <w:rsid w:val="00243432"/>
    <w:rsid w:val="0024438F"/>
    <w:rsid w:val="00247146"/>
    <w:rsid w:val="002517E4"/>
    <w:rsid w:val="00262716"/>
    <w:rsid w:val="00273D58"/>
    <w:rsid w:val="00277C1F"/>
    <w:rsid w:val="002866AD"/>
    <w:rsid w:val="00286BE3"/>
    <w:rsid w:val="00287ACB"/>
    <w:rsid w:val="00287B7D"/>
    <w:rsid w:val="0029135D"/>
    <w:rsid w:val="00292951"/>
    <w:rsid w:val="00293CD1"/>
    <w:rsid w:val="002A3962"/>
    <w:rsid w:val="002A5972"/>
    <w:rsid w:val="002A6FB5"/>
    <w:rsid w:val="002C5AE9"/>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548D8"/>
    <w:rsid w:val="00363CC2"/>
    <w:rsid w:val="00370C9A"/>
    <w:rsid w:val="00371EEC"/>
    <w:rsid w:val="003876F3"/>
    <w:rsid w:val="00390426"/>
    <w:rsid w:val="003908B9"/>
    <w:rsid w:val="00394AEB"/>
    <w:rsid w:val="003A4476"/>
    <w:rsid w:val="003A6353"/>
    <w:rsid w:val="003B2F28"/>
    <w:rsid w:val="003C13C6"/>
    <w:rsid w:val="003D5958"/>
    <w:rsid w:val="003D6AC7"/>
    <w:rsid w:val="003E15A0"/>
    <w:rsid w:val="003E49A6"/>
    <w:rsid w:val="003E5E34"/>
    <w:rsid w:val="003E6021"/>
    <w:rsid w:val="003F53FB"/>
    <w:rsid w:val="00400B4D"/>
    <w:rsid w:val="00401F18"/>
    <w:rsid w:val="00403B06"/>
    <w:rsid w:val="004056B7"/>
    <w:rsid w:val="00410AC8"/>
    <w:rsid w:val="0041373C"/>
    <w:rsid w:val="00414664"/>
    <w:rsid w:val="0041629B"/>
    <w:rsid w:val="004163D0"/>
    <w:rsid w:val="004172C1"/>
    <w:rsid w:val="00423E3A"/>
    <w:rsid w:val="004328D9"/>
    <w:rsid w:val="00435E05"/>
    <w:rsid w:val="0043771F"/>
    <w:rsid w:val="00442410"/>
    <w:rsid w:val="00443460"/>
    <w:rsid w:val="0044773C"/>
    <w:rsid w:val="00461B8A"/>
    <w:rsid w:val="004672B5"/>
    <w:rsid w:val="00481412"/>
    <w:rsid w:val="004844D1"/>
    <w:rsid w:val="0048559D"/>
    <w:rsid w:val="0049001D"/>
    <w:rsid w:val="00494A93"/>
    <w:rsid w:val="00494D75"/>
    <w:rsid w:val="004A1763"/>
    <w:rsid w:val="004B1E83"/>
    <w:rsid w:val="004C0D1E"/>
    <w:rsid w:val="004D1C78"/>
    <w:rsid w:val="004D441E"/>
    <w:rsid w:val="004D46D1"/>
    <w:rsid w:val="004E1D9E"/>
    <w:rsid w:val="004E22E4"/>
    <w:rsid w:val="004E5B39"/>
    <w:rsid w:val="004E7D7E"/>
    <w:rsid w:val="00501A15"/>
    <w:rsid w:val="005056F8"/>
    <w:rsid w:val="005164DC"/>
    <w:rsid w:val="00522B8D"/>
    <w:rsid w:val="0052585C"/>
    <w:rsid w:val="00530EBD"/>
    <w:rsid w:val="00542966"/>
    <w:rsid w:val="005622FE"/>
    <w:rsid w:val="00567912"/>
    <w:rsid w:val="00570098"/>
    <w:rsid w:val="005805E7"/>
    <w:rsid w:val="005825A4"/>
    <w:rsid w:val="00583F5D"/>
    <w:rsid w:val="0058424C"/>
    <w:rsid w:val="00584F8D"/>
    <w:rsid w:val="005A0350"/>
    <w:rsid w:val="005A7D9E"/>
    <w:rsid w:val="005B2697"/>
    <w:rsid w:val="005B5990"/>
    <w:rsid w:val="005C22DE"/>
    <w:rsid w:val="005C6147"/>
    <w:rsid w:val="005D5F8C"/>
    <w:rsid w:val="005E5148"/>
    <w:rsid w:val="005F10BE"/>
    <w:rsid w:val="005F71BC"/>
    <w:rsid w:val="0060114B"/>
    <w:rsid w:val="00603D4A"/>
    <w:rsid w:val="00611DE2"/>
    <w:rsid w:val="00614A1C"/>
    <w:rsid w:val="00615B5B"/>
    <w:rsid w:val="006227B3"/>
    <w:rsid w:val="00627B1F"/>
    <w:rsid w:val="00642220"/>
    <w:rsid w:val="0065148D"/>
    <w:rsid w:val="00652ED1"/>
    <w:rsid w:val="006626FF"/>
    <w:rsid w:val="006650A8"/>
    <w:rsid w:val="0067772C"/>
    <w:rsid w:val="00683A96"/>
    <w:rsid w:val="00685435"/>
    <w:rsid w:val="00687746"/>
    <w:rsid w:val="00690F56"/>
    <w:rsid w:val="006A4637"/>
    <w:rsid w:val="006C39F8"/>
    <w:rsid w:val="006E1A08"/>
    <w:rsid w:val="006E4433"/>
    <w:rsid w:val="006E54FE"/>
    <w:rsid w:val="006E604F"/>
    <w:rsid w:val="006E63C6"/>
    <w:rsid w:val="006F2132"/>
    <w:rsid w:val="006F66F9"/>
    <w:rsid w:val="006F6E13"/>
    <w:rsid w:val="007010C5"/>
    <w:rsid w:val="007011F1"/>
    <w:rsid w:val="00706CF3"/>
    <w:rsid w:val="007127A1"/>
    <w:rsid w:val="00713ACE"/>
    <w:rsid w:val="00715F82"/>
    <w:rsid w:val="0071749C"/>
    <w:rsid w:val="00721E05"/>
    <w:rsid w:val="00737FFA"/>
    <w:rsid w:val="007412B6"/>
    <w:rsid w:val="007506DE"/>
    <w:rsid w:val="00753389"/>
    <w:rsid w:val="00755761"/>
    <w:rsid w:val="007636EC"/>
    <w:rsid w:val="00767D37"/>
    <w:rsid w:val="0077296D"/>
    <w:rsid w:val="00774503"/>
    <w:rsid w:val="007754A0"/>
    <w:rsid w:val="00777CD2"/>
    <w:rsid w:val="00780272"/>
    <w:rsid w:val="0078038F"/>
    <w:rsid w:val="0078153B"/>
    <w:rsid w:val="00785FE9"/>
    <w:rsid w:val="00786E04"/>
    <w:rsid w:val="007A7001"/>
    <w:rsid w:val="007A7F79"/>
    <w:rsid w:val="007C124D"/>
    <w:rsid w:val="007D46C2"/>
    <w:rsid w:val="007E3065"/>
    <w:rsid w:val="007F3B38"/>
    <w:rsid w:val="007F3C02"/>
    <w:rsid w:val="007F7FD9"/>
    <w:rsid w:val="00802605"/>
    <w:rsid w:val="00802A30"/>
    <w:rsid w:val="008043E5"/>
    <w:rsid w:val="00804A1A"/>
    <w:rsid w:val="0081073D"/>
    <w:rsid w:val="00813CC0"/>
    <w:rsid w:val="00825FA8"/>
    <w:rsid w:val="008323ED"/>
    <w:rsid w:val="00835955"/>
    <w:rsid w:val="008434DE"/>
    <w:rsid w:val="00843E26"/>
    <w:rsid w:val="00846701"/>
    <w:rsid w:val="008624D5"/>
    <w:rsid w:val="00871CA6"/>
    <w:rsid w:val="00882AB5"/>
    <w:rsid w:val="00882B1D"/>
    <w:rsid w:val="0088672C"/>
    <w:rsid w:val="008A1F0C"/>
    <w:rsid w:val="008A40D1"/>
    <w:rsid w:val="008B150B"/>
    <w:rsid w:val="008B3128"/>
    <w:rsid w:val="008B541B"/>
    <w:rsid w:val="008C656B"/>
    <w:rsid w:val="008C6A87"/>
    <w:rsid w:val="008F47CB"/>
    <w:rsid w:val="00901003"/>
    <w:rsid w:val="0090158E"/>
    <w:rsid w:val="00901EF6"/>
    <w:rsid w:val="009037F6"/>
    <w:rsid w:val="0090413E"/>
    <w:rsid w:val="00911541"/>
    <w:rsid w:val="00923B37"/>
    <w:rsid w:val="009271B1"/>
    <w:rsid w:val="0093485F"/>
    <w:rsid w:val="009407FC"/>
    <w:rsid w:val="009441E2"/>
    <w:rsid w:val="00963680"/>
    <w:rsid w:val="00964D3F"/>
    <w:rsid w:val="009700D9"/>
    <w:rsid w:val="00983CA7"/>
    <w:rsid w:val="00985369"/>
    <w:rsid w:val="00985C15"/>
    <w:rsid w:val="00996A5D"/>
    <w:rsid w:val="009A6DCA"/>
    <w:rsid w:val="009B00FD"/>
    <w:rsid w:val="009B38D1"/>
    <w:rsid w:val="009B4116"/>
    <w:rsid w:val="009B689F"/>
    <w:rsid w:val="009B6955"/>
    <w:rsid w:val="009B7FF5"/>
    <w:rsid w:val="009C2A10"/>
    <w:rsid w:val="009D0BBA"/>
    <w:rsid w:val="009D1EA2"/>
    <w:rsid w:val="009D2053"/>
    <w:rsid w:val="009E0141"/>
    <w:rsid w:val="009E234B"/>
    <w:rsid w:val="009F08C6"/>
    <w:rsid w:val="009F52F3"/>
    <w:rsid w:val="00A05A3A"/>
    <w:rsid w:val="00A10441"/>
    <w:rsid w:val="00A15094"/>
    <w:rsid w:val="00A17BE8"/>
    <w:rsid w:val="00A217C3"/>
    <w:rsid w:val="00A21F98"/>
    <w:rsid w:val="00A2391E"/>
    <w:rsid w:val="00A33AAC"/>
    <w:rsid w:val="00A41C21"/>
    <w:rsid w:val="00A4387C"/>
    <w:rsid w:val="00A47DA7"/>
    <w:rsid w:val="00A52DE7"/>
    <w:rsid w:val="00A55023"/>
    <w:rsid w:val="00A5535D"/>
    <w:rsid w:val="00A56B86"/>
    <w:rsid w:val="00A632EF"/>
    <w:rsid w:val="00A677E9"/>
    <w:rsid w:val="00A72345"/>
    <w:rsid w:val="00A740AB"/>
    <w:rsid w:val="00A834BF"/>
    <w:rsid w:val="00A90769"/>
    <w:rsid w:val="00A91521"/>
    <w:rsid w:val="00A973AA"/>
    <w:rsid w:val="00AA177A"/>
    <w:rsid w:val="00AA418C"/>
    <w:rsid w:val="00AB4DC3"/>
    <w:rsid w:val="00AC775D"/>
    <w:rsid w:val="00AD022F"/>
    <w:rsid w:val="00AD113F"/>
    <w:rsid w:val="00AD75AC"/>
    <w:rsid w:val="00AE0D00"/>
    <w:rsid w:val="00AF2C11"/>
    <w:rsid w:val="00AF3788"/>
    <w:rsid w:val="00AF5262"/>
    <w:rsid w:val="00AF7928"/>
    <w:rsid w:val="00B044A1"/>
    <w:rsid w:val="00B13844"/>
    <w:rsid w:val="00B26E3E"/>
    <w:rsid w:val="00B35DAD"/>
    <w:rsid w:val="00B417B3"/>
    <w:rsid w:val="00B44385"/>
    <w:rsid w:val="00B47443"/>
    <w:rsid w:val="00B5043F"/>
    <w:rsid w:val="00B5377A"/>
    <w:rsid w:val="00B6181C"/>
    <w:rsid w:val="00B64496"/>
    <w:rsid w:val="00B66231"/>
    <w:rsid w:val="00B674DE"/>
    <w:rsid w:val="00B67A3F"/>
    <w:rsid w:val="00B9439C"/>
    <w:rsid w:val="00B96E43"/>
    <w:rsid w:val="00BA6A42"/>
    <w:rsid w:val="00BA6C9C"/>
    <w:rsid w:val="00BB2AA1"/>
    <w:rsid w:val="00BB3BEF"/>
    <w:rsid w:val="00BC5F22"/>
    <w:rsid w:val="00BD21CA"/>
    <w:rsid w:val="00BD34F2"/>
    <w:rsid w:val="00BF0E96"/>
    <w:rsid w:val="00C02E4A"/>
    <w:rsid w:val="00C05B4B"/>
    <w:rsid w:val="00C05B88"/>
    <w:rsid w:val="00C07F7F"/>
    <w:rsid w:val="00C12530"/>
    <w:rsid w:val="00C14429"/>
    <w:rsid w:val="00C16FA7"/>
    <w:rsid w:val="00C247D8"/>
    <w:rsid w:val="00C25486"/>
    <w:rsid w:val="00C25E66"/>
    <w:rsid w:val="00C34009"/>
    <w:rsid w:val="00C366B4"/>
    <w:rsid w:val="00C37B7D"/>
    <w:rsid w:val="00C4763A"/>
    <w:rsid w:val="00C63D1E"/>
    <w:rsid w:val="00C667F3"/>
    <w:rsid w:val="00C712D2"/>
    <w:rsid w:val="00C766B1"/>
    <w:rsid w:val="00C77B5C"/>
    <w:rsid w:val="00C824C6"/>
    <w:rsid w:val="00C8275F"/>
    <w:rsid w:val="00C87068"/>
    <w:rsid w:val="00C9162F"/>
    <w:rsid w:val="00CA2F0A"/>
    <w:rsid w:val="00CB1ECE"/>
    <w:rsid w:val="00CB3579"/>
    <w:rsid w:val="00CB5C31"/>
    <w:rsid w:val="00CC0731"/>
    <w:rsid w:val="00CC1B60"/>
    <w:rsid w:val="00CC770C"/>
    <w:rsid w:val="00CD215D"/>
    <w:rsid w:val="00CD4F92"/>
    <w:rsid w:val="00CD6628"/>
    <w:rsid w:val="00D00B48"/>
    <w:rsid w:val="00D20161"/>
    <w:rsid w:val="00D2331B"/>
    <w:rsid w:val="00D36BB6"/>
    <w:rsid w:val="00D4451A"/>
    <w:rsid w:val="00D472BE"/>
    <w:rsid w:val="00D52023"/>
    <w:rsid w:val="00D53DEB"/>
    <w:rsid w:val="00D57DE8"/>
    <w:rsid w:val="00D61B35"/>
    <w:rsid w:val="00D735B0"/>
    <w:rsid w:val="00D73AAD"/>
    <w:rsid w:val="00D73C1C"/>
    <w:rsid w:val="00D75842"/>
    <w:rsid w:val="00D802D6"/>
    <w:rsid w:val="00D86A15"/>
    <w:rsid w:val="00D86FF7"/>
    <w:rsid w:val="00D977F0"/>
    <w:rsid w:val="00DA7DC9"/>
    <w:rsid w:val="00DB7B7C"/>
    <w:rsid w:val="00DD6DF0"/>
    <w:rsid w:val="00E0031C"/>
    <w:rsid w:val="00E0138A"/>
    <w:rsid w:val="00E06430"/>
    <w:rsid w:val="00E13DE5"/>
    <w:rsid w:val="00E163CF"/>
    <w:rsid w:val="00E20D5B"/>
    <w:rsid w:val="00E22463"/>
    <w:rsid w:val="00E23871"/>
    <w:rsid w:val="00E322E9"/>
    <w:rsid w:val="00E36F49"/>
    <w:rsid w:val="00E400EA"/>
    <w:rsid w:val="00E46EE5"/>
    <w:rsid w:val="00E55F14"/>
    <w:rsid w:val="00E57F5E"/>
    <w:rsid w:val="00E60FB0"/>
    <w:rsid w:val="00E614A1"/>
    <w:rsid w:val="00E674A9"/>
    <w:rsid w:val="00E700AD"/>
    <w:rsid w:val="00E74ABD"/>
    <w:rsid w:val="00E81C88"/>
    <w:rsid w:val="00E829F2"/>
    <w:rsid w:val="00E83023"/>
    <w:rsid w:val="00E83271"/>
    <w:rsid w:val="00E833E4"/>
    <w:rsid w:val="00E84C47"/>
    <w:rsid w:val="00E86973"/>
    <w:rsid w:val="00E909D5"/>
    <w:rsid w:val="00E92EED"/>
    <w:rsid w:val="00E93A0F"/>
    <w:rsid w:val="00EA3E3B"/>
    <w:rsid w:val="00EA3E66"/>
    <w:rsid w:val="00EB263C"/>
    <w:rsid w:val="00EC0B43"/>
    <w:rsid w:val="00EC4383"/>
    <w:rsid w:val="00EC5D7E"/>
    <w:rsid w:val="00ED49C1"/>
    <w:rsid w:val="00EE2223"/>
    <w:rsid w:val="00EF70DB"/>
    <w:rsid w:val="00F0742A"/>
    <w:rsid w:val="00F11AA8"/>
    <w:rsid w:val="00F12F81"/>
    <w:rsid w:val="00F24787"/>
    <w:rsid w:val="00F27223"/>
    <w:rsid w:val="00F3623C"/>
    <w:rsid w:val="00F41116"/>
    <w:rsid w:val="00F44D20"/>
    <w:rsid w:val="00F4518C"/>
    <w:rsid w:val="00F4529D"/>
    <w:rsid w:val="00F53F09"/>
    <w:rsid w:val="00F56B20"/>
    <w:rsid w:val="00F6219B"/>
    <w:rsid w:val="00F64E0B"/>
    <w:rsid w:val="00F72C77"/>
    <w:rsid w:val="00F72CF7"/>
    <w:rsid w:val="00F72D66"/>
    <w:rsid w:val="00F81248"/>
    <w:rsid w:val="00F8164B"/>
    <w:rsid w:val="00F935EE"/>
    <w:rsid w:val="00F96885"/>
    <w:rsid w:val="00FA3D8C"/>
    <w:rsid w:val="00FB026D"/>
    <w:rsid w:val="00FB3D17"/>
    <w:rsid w:val="00FB587F"/>
    <w:rsid w:val="00FC2AA6"/>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aa5055-bdc8-4d99-85ab-7a0d9e91e1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11160D7C081F438E8CB418279212EB" ma:contentTypeVersion="16" ma:contentTypeDescription="Create a new document." ma:contentTypeScope="" ma:versionID="c66a7c7ef673bf0742e058faf9cb9686">
  <xsd:schema xmlns:xsd="http://www.w3.org/2001/XMLSchema" xmlns:xs="http://www.w3.org/2001/XMLSchema" xmlns:p="http://schemas.microsoft.com/office/2006/metadata/properties" xmlns:ns3="adaa5055-bdc8-4d99-85ab-7a0d9e91e1de" xmlns:ns4="41552ccb-ae80-439f-a788-3bc848a1b94c" targetNamespace="http://schemas.microsoft.com/office/2006/metadata/properties" ma:root="true" ma:fieldsID="d090de528e4851322c9717baecd23b33" ns3:_="" ns4:_="">
    <xsd:import namespace="adaa5055-bdc8-4d99-85ab-7a0d9e91e1de"/>
    <xsd:import namespace="41552ccb-ae80-439f-a788-3bc848a1b9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a5055-bdc8-4d99-85ab-7a0d9e91e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552ccb-ae80-439f-a788-3bc848a1b9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AB1EB-157C-4C6C-B88E-7FFAEA73470D}">
  <ds:schemaRefs>
    <ds:schemaRef ds:uri="http://purl.org/dc/dcmitype/"/>
    <ds:schemaRef ds:uri="http://schemas.openxmlformats.org/package/2006/metadata/core-properties"/>
    <ds:schemaRef ds:uri="adaa5055-bdc8-4d99-85ab-7a0d9e91e1de"/>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41552ccb-ae80-439f-a788-3bc848a1b94c"/>
    <ds:schemaRef ds:uri="http://www.w3.org/XML/1998/namespace"/>
  </ds:schemaRefs>
</ds:datastoreItem>
</file>

<file path=customXml/itemProps2.xml><?xml version="1.0" encoding="utf-8"?>
<ds:datastoreItem xmlns:ds="http://schemas.openxmlformats.org/officeDocument/2006/customXml" ds:itemID="{411F2AFC-FA06-4067-AE81-44977F1D87FE}">
  <ds:schemaRefs>
    <ds:schemaRef ds:uri="http://schemas.microsoft.com/sharepoint/v3/contenttype/forms"/>
  </ds:schemaRefs>
</ds:datastoreItem>
</file>

<file path=customXml/itemProps3.xml><?xml version="1.0" encoding="utf-8"?>
<ds:datastoreItem xmlns:ds="http://schemas.openxmlformats.org/officeDocument/2006/customXml" ds:itemID="{E49C016B-E56F-4685-80F0-8C7D1E765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a5055-bdc8-4d99-85ab-7a0d9e91e1de"/>
    <ds:schemaRef ds:uri="41552ccb-ae80-439f-a788-3bc848a1b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2077</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Clardy, Crystal R. (ATF)</cp:lastModifiedBy>
  <cp:revision>2</cp:revision>
  <cp:lastPrinted>2020-02-19T15:46:00Z</cp:lastPrinted>
  <dcterms:created xsi:type="dcterms:W3CDTF">2024-09-19T16:41:00Z</dcterms:created>
  <dcterms:modified xsi:type="dcterms:W3CDTF">2024-09-19T16:41:00Z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0x0101000A11160D7C081F438E8CB418279212EB</vt:lpwstr>
  </property>
</Properties>
</file>