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102" w:rsidRPr="00261102" w:rsidP="00261102" w14:paraId="2C3EF7E9" w14:textId="5E2798A6">
      <w:pPr>
        <w:rPr>
          <w:rFonts w:ascii="Times New Roman" w:hAnsi="Times New Roman" w:cs="Times New Roman"/>
        </w:rPr>
      </w:pPr>
    </w:p>
    <w:p w:rsidR="00261102" w:rsidRPr="00261102" w:rsidP="00261102" w14:paraId="110CBB62" w14:textId="10559EFC">
      <w:pPr>
        <w:rPr>
          <w:rFonts w:ascii="Times New Roman" w:hAnsi="Times New Roman" w:cs="Times New Roman"/>
          <w:b/>
          <w:bCs/>
          <w:sz w:val="28"/>
          <w:szCs w:val="28"/>
        </w:rPr>
      </w:pPr>
      <w:r w:rsidRPr="00261102">
        <w:rPr>
          <w:rFonts w:ascii="Times New Roman" w:hAnsi="Times New Roman" w:cs="Times New Roman"/>
          <w:b/>
          <w:bCs/>
          <w:sz w:val="28"/>
          <w:szCs w:val="28"/>
        </w:rPr>
        <w:t>The Electronic Code of Federal Regulations</w:t>
      </w:r>
    </w:p>
    <w:p w:rsidR="00261102" w:rsidRPr="00261102" w:rsidP="00261102" w14:paraId="55A4BEFC" w14:textId="4AC4664F">
      <w:pPr>
        <w:rPr>
          <w:rFonts w:ascii="Times New Roman" w:hAnsi="Times New Roman" w:cs="Times New Roman"/>
        </w:rPr>
      </w:pPr>
      <w:r w:rsidRPr="00261102">
        <w:rPr>
          <w:rFonts w:ascii="Times New Roman" w:hAnsi="Times New Roman" w:cs="Times New Roman"/>
        </w:rPr>
        <w:t>Displaying title 29, up to date as of 11/14/2024. Title 29 was last amended 10/31/2024. </w:t>
      </w:r>
    </w:p>
    <w:p w:rsidR="00261102" w:rsidRPr="004656DD" w:rsidP="00261102" w14:paraId="2C3F9E4B" w14:textId="77777777">
      <w:pPr>
        <w:rPr>
          <w:rFonts w:ascii="Times New Roman" w:hAnsi="Times New Roman" w:cs="Times New Roman"/>
        </w:rPr>
      </w:pPr>
      <w:r w:rsidRPr="00261102">
        <w:rPr>
          <w:rFonts w:ascii="Times New Roman" w:hAnsi="Times New Roman" w:cs="Times New Roman"/>
        </w:rPr>
        <w:t>At </w:t>
      </w:r>
      <w:hyperlink r:id="rId4" w:history="1">
        <w:r w:rsidRPr="00261102">
          <w:rPr>
            <w:rStyle w:val="Hyperlink"/>
            <w:rFonts w:ascii="Times New Roman" w:hAnsi="Times New Roman" w:cs="Times New Roman"/>
          </w:rPr>
          <w:t>82 FR 20548</w:t>
        </w:r>
      </w:hyperlink>
      <w:r w:rsidRPr="00261102">
        <w:rPr>
          <w:rFonts w:ascii="Times New Roman" w:hAnsi="Times New Roman" w:cs="Times New Roman"/>
        </w:rPr>
        <w:t>, May 3, 2017, as required by the Congressional Review Act and </w:t>
      </w:r>
      <w:hyperlink r:id="rId5" w:tgtFrame="_blank" w:history="1">
        <w:r w:rsidRPr="00261102">
          <w:rPr>
            <w:rStyle w:val="Hyperlink"/>
            <w:rFonts w:ascii="Times New Roman" w:hAnsi="Times New Roman" w:cs="Times New Roman"/>
          </w:rPr>
          <w:t>Public Law 115-21</w:t>
        </w:r>
      </w:hyperlink>
      <w:r w:rsidRPr="00261102">
        <w:rPr>
          <w:rFonts w:ascii="Times New Roman" w:hAnsi="Times New Roman" w:cs="Times New Roman"/>
        </w:rPr>
        <w:t>, the Occupational Safety and Health Administration removed all amendments to part 1904 published at </w:t>
      </w:r>
      <w:hyperlink r:id="rId6" w:history="1">
        <w:r w:rsidRPr="00261102">
          <w:rPr>
            <w:rStyle w:val="Hyperlink"/>
            <w:rFonts w:ascii="Times New Roman" w:hAnsi="Times New Roman" w:cs="Times New Roman"/>
          </w:rPr>
          <w:t>81 FR 91792</w:t>
        </w:r>
      </w:hyperlink>
      <w:r w:rsidRPr="00261102">
        <w:rPr>
          <w:rFonts w:ascii="Times New Roman" w:hAnsi="Times New Roman" w:cs="Times New Roman"/>
        </w:rPr>
        <w:t>, Dec. 19, 2016.</w:t>
      </w:r>
    </w:p>
    <w:p w:rsidR="004656DD" w:rsidRPr="00261102" w:rsidP="00261102" w14:paraId="68853F48" w14:textId="77777777">
      <w:pPr>
        <w:rPr>
          <w:rFonts w:ascii="Times New Roman" w:hAnsi="Times New Roman" w:cs="Times New Roman"/>
        </w:rPr>
      </w:pPr>
    </w:p>
    <w:p w:rsidR="00261102" w:rsidRPr="00261102" w:rsidP="00261102" w14:paraId="1FA8676F" w14:textId="77777777">
      <w:pPr>
        <w:rPr>
          <w:rFonts w:ascii="Times New Roman" w:hAnsi="Times New Roman" w:cs="Times New Roman"/>
          <w:b/>
          <w:bCs/>
        </w:rPr>
      </w:pPr>
      <w:r w:rsidRPr="00261102">
        <w:rPr>
          <w:rFonts w:ascii="Times New Roman" w:hAnsi="Times New Roman" w:cs="Times New Roman"/>
          <w:b/>
          <w:bCs/>
        </w:rPr>
        <w:t>§ 1904.33 Retention and updating.</w:t>
      </w:r>
    </w:p>
    <w:p w:rsidR="00261102" w:rsidRPr="00261102" w:rsidP="00261102" w14:paraId="1A94CC0B" w14:textId="77777777">
      <w:pPr>
        <w:rPr>
          <w:rFonts w:ascii="Times New Roman" w:hAnsi="Times New Roman" w:cs="Times New Roman"/>
        </w:rPr>
      </w:pPr>
      <w:r w:rsidRPr="00261102">
        <w:rPr>
          <w:rFonts w:ascii="Times New Roman" w:hAnsi="Times New Roman" w:cs="Times New Roman"/>
        </w:rPr>
        <w:t>(a) </w:t>
      </w:r>
      <w:r w:rsidRPr="00261102">
        <w:rPr>
          <w:rFonts w:ascii="Times New Roman" w:hAnsi="Times New Roman" w:cs="Times New Roman"/>
          <w:i/>
          <w:iCs/>
        </w:rPr>
        <w:t>Basic requirement.</w:t>
      </w:r>
      <w:r w:rsidRPr="00261102">
        <w:rPr>
          <w:rFonts w:ascii="Times New Roman" w:hAnsi="Times New Roman" w:cs="Times New Roman"/>
        </w:rPr>
        <w:t> You must save the OSHA 300 Log, the privacy case list (if one exists), the annual summary, and the OSHA 301 Incident Report forms for five (5) years following the end of the calendar year that these records cover.</w:t>
      </w:r>
    </w:p>
    <w:p w:rsidR="00261102" w:rsidRPr="00261102" w:rsidP="00261102" w14:paraId="596476BF" w14:textId="77777777">
      <w:pPr>
        <w:rPr>
          <w:rFonts w:ascii="Times New Roman" w:hAnsi="Times New Roman" w:cs="Times New Roman"/>
        </w:rPr>
      </w:pPr>
      <w:r w:rsidRPr="00261102">
        <w:rPr>
          <w:rFonts w:ascii="Times New Roman" w:hAnsi="Times New Roman" w:cs="Times New Roman"/>
        </w:rPr>
        <w:t>(b) </w:t>
      </w:r>
      <w:r w:rsidRPr="00261102">
        <w:rPr>
          <w:rFonts w:ascii="Times New Roman" w:hAnsi="Times New Roman" w:cs="Times New Roman"/>
          <w:i/>
          <w:iCs/>
        </w:rPr>
        <w:t>Implementation</w:t>
      </w:r>
      <w:r w:rsidRPr="00261102">
        <w:rPr>
          <w:rFonts w:ascii="Times New Roman" w:hAnsi="Times New Roman" w:cs="Times New Roman"/>
        </w:rPr>
        <w:t> —</w:t>
      </w:r>
    </w:p>
    <w:p w:rsidR="00261102" w:rsidRPr="00261102" w:rsidP="00261102" w14:paraId="7E2C526D" w14:textId="77777777">
      <w:pPr>
        <w:rPr>
          <w:rFonts w:ascii="Times New Roman" w:hAnsi="Times New Roman" w:cs="Times New Roman"/>
        </w:rPr>
      </w:pPr>
      <w:r w:rsidRPr="00261102">
        <w:rPr>
          <w:rFonts w:ascii="Times New Roman" w:hAnsi="Times New Roman" w:cs="Times New Roman"/>
        </w:rPr>
        <w:t>(1) </w:t>
      </w:r>
      <w:r w:rsidRPr="00261102">
        <w:rPr>
          <w:rFonts w:ascii="Times New Roman" w:hAnsi="Times New Roman" w:cs="Times New Roman"/>
          <w:i/>
          <w:iCs/>
        </w:rPr>
        <w:t>Do I have to update the OSHA 300 Log during the five-year storage period?</w:t>
      </w:r>
      <w:r w:rsidRPr="00261102">
        <w:rPr>
          <w:rFonts w:ascii="Times New Roman" w:hAnsi="Times New Roman" w:cs="Times New Roman"/>
        </w:rPr>
        <w:t> Yes, during the storage period, you must update your stored OSHA 300 Logs to include newly discovered recordable injuries or illnesses and to show any changes that have occurred in the classification of previously recorded injuries and illnesses. If the description or outcome of a case changes, you must remove or line out the original entry and enter the new information.</w:t>
      </w:r>
    </w:p>
    <w:p w:rsidR="00261102" w:rsidRPr="00261102" w:rsidP="00261102" w14:paraId="05632606" w14:textId="77777777">
      <w:pPr>
        <w:rPr>
          <w:rFonts w:ascii="Times New Roman" w:hAnsi="Times New Roman" w:cs="Times New Roman"/>
        </w:rPr>
      </w:pPr>
      <w:r w:rsidRPr="00261102">
        <w:rPr>
          <w:rFonts w:ascii="Times New Roman" w:hAnsi="Times New Roman" w:cs="Times New Roman"/>
        </w:rPr>
        <w:t>(2) </w:t>
      </w:r>
      <w:r w:rsidRPr="00261102">
        <w:rPr>
          <w:rFonts w:ascii="Times New Roman" w:hAnsi="Times New Roman" w:cs="Times New Roman"/>
          <w:i/>
          <w:iCs/>
        </w:rPr>
        <w:t>Do I have to update the annual summary?</w:t>
      </w:r>
      <w:r w:rsidRPr="00261102">
        <w:rPr>
          <w:rFonts w:ascii="Times New Roman" w:hAnsi="Times New Roman" w:cs="Times New Roman"/>
        </w:rPr>
        <w:t> No, you are not required to update the annual summary, but you may do so if you wish.</w:t>
      </w:r>
    </w:p>
    <w:p w:rsidR="00261102" w:rsidRPr="00261102" w:rsidP="00261102" w14:paraId="47B6628F" w14:textId="77777777">
      <w:pPr>
        <w:rPr>
          <w:rFonts w:ascii="Times New Roman" w:hAnsi="Times New Roman" w:cs="Times New Roman"/>
        </w:rPr>
      </w:pPr>
      <w:r w:rsidRPr="00261102">
        <w:rPr>
          <w:rFonts w:ascii="Times New Roman" w:hAnsi="Times New Roman" w:cs="Times New Roman"/>
        </w:rPr>
        <w:t>(3) </w:t>
      </w:r>
      <w:r w:rsidRPr="00261102">
        <w:rPr>
          <w:rFonts w:ascii="Times New Roman" w:hAnsi="Times New Roman" w:cs="Times New Roman"/>
          <w:i/>
          <w:iCs/>
        </w:rPr>
        <w:t>Do I have to update the OSHA 301 Incident Reports?</w:t>
      </w:r>
      <w:r w:rsidRPr="00261102">
        <w:rPr>
          <w:rFonts w:ascii="Times New Roman" w:hAnsi="Times New Roman" w:cs="Times New Roman"/>
        </w:rPr>
        <w:t> No, you are not required to update the OSHA 301 Incident Reports, but you may do so if you wish.</w:t>
      </w:r>
    </w:p>
    <w:p w:rsidR="00261102" w:rsidRPr="00261102" w:rsidP="00261102" w14:paraId="3AEFF27F" w14:textId="77777777">
      <w:pPr>
        <w:rPr>
          <w:rFonts w:ascii="Times New Roman" w:hAnsi="Times New Roman" w:cs="Times New Roman"/>
          <w:i/>
          <w:iCs/>
        </w:rPr>
      </w:pPr>
      <w:r w:rsidRPr="00261102">
        <w:rPr>
          <w:rFonts w:ascii="Times New Roman" w:hAnsi="Times New Roman" w:cs="Times New Roman"/>
          <w:i/>
          <w:iCs/>
        </w:rPr>
        <w:t>[</w:t>
      </w:r>
      <w:hyperlink r:id="rId7" w:history="1">
        <w:r w:rsidRPr="00261102">
          <w:rPr>
            <w:rStyle w:val="Hyperlink"/>
            <w:rFonts w:ascii="Times New Roman" w:hAnsi="Times New Roman" w:cs="Times New Roman"/>
            <w:i/>
            <w:iCs/>
          </w:rPr>
          <w:t>66 FR 6122</w:t>
        </w:r>
      </w:hyperlink>
      <w:r w:rsidRPr="00261102">
        <w:rPr>
          <w:rFonts w:ascii="Times New Roman" w:hAnsi="Times New Roman" w:cs="Times New Roman"/>
          <w:i/>
          <w:iCs/>
        </w:rPr>
        <w:t>, Jan. 19, 2001, as amended at </w:t>
      </w:r>
      <w:hyperlink r:id="rId8" w:history="1">
        <w:r w:rsidRPr="00261102">
          <w:rPr>
            <w:rStyle w:val="Hyperlink"/>
            <w:rFonts w:ascii="Times New Roman" w:hAnsi="Times New Roman" w:cs="Times New Roman"/>
            <w:i/>
            <w:iCs/>
          </w:rPr>
          <w:t>81 FR 91810</w:t>
        </w:r>
      </w:hyperlink>
      <w:r w:rsidRPr="00261102">
        <w:rPr>
          <w:rFonts w:ascii="Times New Roman" w:hAnsi="Times New Roman" w:cs="Times New Roman"/>
          <w:i/>
          <w:iCs/>
        </w:rPr>
        <w:t>, Dec. 19, 2016; </w:t>
      </w:r>
      <w:hyperlink r:id="rId4" w:history="1">
        <w:r w:rsidRPr="00261102">
          <w:rPr>
            <w:rStyle w:val="Hyperlink"/>
            <w:rFonts w:ascii="Times New Roman" w:hAnsi="Times New Roman" w:cs="Times New Roman"/>
            <w:i/>
            <w:iCs/>
          </w:rPr>
          <w:t>82 FR 20548</w:t>
        </w:r>
      </w:hyperlink>
      <w:r w:rsidRPr="00261102">
        <w:rPr>
          <w:rFonts w:ascii="Times New Roman" w:hAnsi="Times New Roman" w:cs="Times New Roman"/>
          <w:i/>
          <w:iCs/>
        </w:rPr>
        <w:t>, May 3, 2017]</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F4E34"/>
    <w:multiLevelType w:val="multilevel"/>
    <w:tmpl w:val="E7F2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56160"/>
    <w:multiLevelType w:val="multilevel"/>
    <w:tmpl w:val="B34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C6733"/>
    <w:multiLevelType w:val="multilevel"/>
    <w:tmpl w:val="AF9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1172EB"/>
    <w:multiLevelType w:val="multilevel"/>
    <w:tmpl w:val="E07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C32C4"/>
    <w:multiLevelType w:val="multilevel"/>
    <w:tmpl w:val="96D0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C46489"/>
    <w:multiLevelType w:val="multilevel"/>
    <w:tmpl w:val="33E89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E80BF4"/>
    <w:multiLevelType w:val="multilevel"/>
    <w:tmpl w:val="88A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600D3"/>
    <w:multiLevelType w:val="multilevel"/>
    <w:tmpl w:val="785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964160">
    <w:abstractNumId w:val="0"/>
  </w:num>
  <w:num w:numId="2" w16cid:durableId="888998381">
    <w:abstractNumId w:val="5"/>
  </w:num>
  <w:num w:numId="3" w16cid:durableId="128130093">
    <w:abstractNumId w:val="1"/>
  </w:num>
  <w:num w:numId="4" w16cid:durableId="1465730437">
    <w:abstractNumId w:val="4"/>
  </w:num>
  <w:num w:numId="5" w16cid:durableId="1430851225">
    <w:abstractNumId w:val="6"/>
  </w:num>
  <w:num w:numId="6" w16cid:durableId="1779568451">
    <w:abstractNumId w:val="2"/>
  </w:num>
  <w:num w:numId="7" w16cid:durableId="2069379806">
    <w:abstractNumId w:val="3"/>
  </w:num>
  <w:num w:numId="8" w16cid:durableId="2061467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02"/>
    <w:rsid w:val="00261102"/>
    <w:rsid w:val="004656DD"/>
    <w:rsid w:val="008919F3"/>
    <w:rsid w:val="00A828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F64761"/>
  <w15:chartTrackingRefBased/>
  <w15:docId w15:val="{537C64E5-5470-4141-AAE3-EF26680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02"/>
    <w:rPr>
      <w:rFonts w:eastAsiaTheme="majorEastAsia" w:cstheme="majorBidi"/>
      <w:color w:val="272727" w:themeColor="text1" w:themeTint="D8"/>
    </w:rPr>
  </w:style>
  <w:style w:type="paragraph" w:styleId="Title">
    <w:name w:val="Title"/>
    <w:basedOn w:val="Normal"/>
    <w:next w:val="Normal"/>
    <w:link w:val="TitleChar"/>
    <w:uiPriority w:val="10"/>
    <w:qFormat/>
    <w:rsid w:val="0026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02"/>
    <w:pPr>
      <w:spacing w:before="160"/>
      <w:jc w:val="center"/>
    </w:pPr>
    <w:rPr>
      <w:i/>
      <w:iCs/>
      <w:color w:val="404040" w:themeColor="text1" w:themeTint="BF"/>
    </w:rPr>
  </w:style>
  <w:style w:type="character" w:customStyle="1" w:styleId="QuoteChar">
    <w:name w:val="Quote Char"/>
    <w:basedOn w:val="DefaultParagraphFont"/>
    <w:link w:val="Quote"/>
    <w:uiPriority w:val="29"/>
    <w:rsid w:val="00261102"/>
    <w:rPr>
      <w:i/>
      <w:iCs/>
      <w:color w:val="404040" w:themeColor="text1" w:themeTint="BF"/>
    </w:rPr>
  </w:style>
  <w:style w:type="paragraph" w:styleId="ListParagraph">
    <w:name w:val="List Paragraph"/>
    <w:basedOn w:val="Normal"/>
    <w:uiPriority w:val="34"/>
    <w:qFormat/>
    <w:rsid w:val="00261102"/>
    <w:pPr>
      <w:ind w:left="720"/>
      <w:contextualSpacing/>
    </w:pPr>
  </w:style>
  <w:style w:type="character" w:styleId="IntenseEmphasis">
    <w:name w:val="Intense Emphasis"/>
    <w:basedOn w:val="DefaultParagraphFont"/>
    <w:uiPriority w:val="21"/>
    <w:qFormat/>
    <w:rsid w:val="00261102"/>
    <w:rPr>
      <w:i/>
      <w:iCs/>
      <w:color w:val="0F4761" w:themeColor="accent1" w:themeShade="BF"/>
    </w:rPr>
  </w:style>
  <w:style w:type="paragraph" w:styleId="IntenseQuote">
    <w:name w:val="Intense Quote"/>
    <w:basedOn w:val="Normal"/>
    <w:next w:val="Normal"/>
    <w:link w:val="IntenseQuoteChar"/>
    <w:uiPriority w:val="30"/>
    <w:qFormat/>
    <w:rsid w:val="0026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02"/>
    <w:rPr>
      <w:i/>
      <w:iCs/>
      <w:color w:val="0F4761" w:themeColor="accent1" w:themeShade="BF"/>
    </w:rPr>
  </w:style>
  <w:style w:type="character" w:styleId="IntenseReference">
    <w:name w:val="Intense Reference"/>
    <w:basedOn w:val="DefaultParagraphFont"/>
    <w:uiPriority w:val="32"/>
    <w:qFormat/>
    <w:rsid w:val="00261102"/>
    <w:rPr>
      <w:b/>
      <w:bCs/>
      <w:smallCaps/>
      <w:color w:val="0F4761" w:themeColor="accent1" w:themeShade="BF"/>
      <w:spacing w:val="5"/>
    </w:rPr>
  </w:style>
  <w:style w:type="character" w:styleId="Hyperlink">
    <w:name w:val="Hyperlink"/>
    <w:basedOn w:val="DefaultParagraphFont"/>
    <w:uiPriority w:val="99"/>
    <w:unhideWhenUsed/>
    <w:rsid w:val="00261102"/>
    <w:rPr>
      <w:color w:val="467886" w:themeColor="hyperlink"/>
      <w:u w:val="single"/>
    </w:rPr>
  </w:style>
  <w:style w:type="character" w:styleId="UnresolvedMention">
    <w:name w:val="Unresolved Mention"/>
    <w:basedOn w:val="DefaultParagraphFont"/>
    <w:uiPriority w:val="99"/>
    <w:semiHidden/>
    <w:unhideWhenUsed/>
    <w:rsid w:val="0026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citation/82-FR-20548" TargetMode="External" /><Relationship Id="rId5" Type="http://schemas.openxmlformats.org/officeDocument/2006/relationships/hyperlink" Target="https://www.govinfo.gov/link/plaw/115/public/21" TargetMode="External" /><Relationship Id="rId6" Type="http://schemas.openxmlformats.org/officeDocument/2006/relationships/hyperlink" Target="https://www.federalregister.gov/citation/81-FR-91792" TargetMode="External" /><Relationship Id="rId7" Type="http://schemas.openxmlformats.org/officeDocument/2006/relationships/hyperlink" Target="https://www.federalregister.gov/citation/66-FR-6122" TargetMode="External" /><Relationship Id="rId8" Type="http://schemas.openxmlformats.org/officeDocument/2006/relationships/hyperlink" Target="https://www.federalregister.gov/citation/81-FR-9181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1611</Characters>
  <Application>Microsoft Office Word</Application>
  <DocSecurity>0</DocSecurity>
  <Lines>13</Lines>
  <Paragraphs>3</Paragraphs>
  <ScaleCrop>false</ScaleCrop>
  <Company>U.S. Department of Labor</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3</cp:revision>
  <dcterms:created xsi:type="dcterms:W3CDTF">2024-11-17T20:05:00Z</dcterms:created>
  <dcterms:modified xsi:type="dcterms:W3CDTF">2024-11-17T20:12:00Z</dcterms:modified>
</cp:coreProperties>
</file>