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7670" w:rsidRPr="00F47670" w:rsidP="00F47670" w14:paraId="67C70C51" w14:textId="77777777">
      <w:pPr>
        <w:rPr>
          <w:rFonts w:ascii="Times New Roman" w:hAnsi="Times New Roman" w:cs="Times New Roman"/>
          <w:b/>
          <w:bCs/>
          <w:sz w:val="28"/>
          <w:szCs w:val="28"/>
        </w:rPr>
      </w:pPr>
      <w:r w:rsidRPr="00F47670">
        <w:rPr>
          <w:rFonts w:ascii="Times New Roman" w:hAnsi="Times New Roman" w:cs="Times New Roman"/>
          <w:b/>
          <w:bCs/>
          <w:sz w:val="28"/>
          <w:szCs w:val="28"/>
        </w:rPr>
        <w:t>The Electronic Code of Federal Regulations</w:t>
      </w:r>
    </w:p>
    <w:p w:rsidR="00F47670" w:rsidRPr="00F47670" w:rsidP="00F47670" w14:paraId="10B43FA4" w14:textId="462B612E">
      <w:pPr>
        <w:rPr>
          <w:rFonts w:ascii="Times New Roman" w:hAnsi="Times New Roman" w:cs="Times New Roman"/>
        </w:rPr>
      </w:pPr>
      <w:r w:rsidRPr="00F47670">
        <w:rPr>
          <w:rFonts w:ascii="Times New Roman" w:hAnsi="Times New Roman" w:cs="Times New Roman"/>
        </w:rPr>
        <w:t> Displaying title 29, up to date as of 11/14/2024. Title 29 was last amended 10/31/2024.</w:t>
      </w:r>
    </w:p>
    <w:p w:rsidR="00F47670" w:rsidRPr="00F47670" w:rsidP="00F47670" w14:paraId="66410F8E" w14:textId="77777777">
      <w:pPr>
        <w:rPr>
          <w:rFonts w:ascii="Times New Roman" w:hAnsi="Times New Roman" w:cs="Times New Roman"/>
        </w:rPr>
      </w:pPr>
      <w:r w:rsidRPr="00F47670">
        <w:rPr>
          <w:rFonts w:ascii="Times New Roman" w:hAnsi="Times New Roman" w:cs="Times New Roman"/>
        </w:rPr>
        <w:t>At </w:t>
      </w:r>
      <w:hyperlink r:id="rId4" w:history="1">
        <w:r w:rsidRPr="00F47670">
          <w:rPr>
            <w:rStyle w:val="Hyperlink"/>
            <w:rFonts w:ascii="Times New Roman" w:hAnsi="Times New Roman" w:cs="Times New Roman"/>
          </w:rPr>
          <w:t>82 FR 20548</w:t>
        </w:r>
      </w:hyperlink>
      <w:r w:rsidRPr="00F47670">
        <w:rPr>
          <w:rFonts w:ascii="Times New Roman" w:hAnsi="Times New Roman" w:cs="Times New Roman"/>
        </w:rPr>
        <w:t>, May 3, 2017, as required by the Congressional Review Act and </w:t>
      </w:r>
      <w:hyperlink r:id="rId5" w:tgtFrame="_blank" w:history="1">
        <w:r w:rsidRPr="00F47670">
          <w:rPr>
            <w:rStyle w:val="Hyperlink"/>
            <w:rFonts w:ascii="Times New Roman" w:hAnsi="Times New Roman" w:cs="Times New Roman"/>
          </w:rPr>
          <w:t>Public Law 115-21</w:t>
        </w:r>
      </w:hyperlink>
      <w:r w:rsidRPr="00F47670">
        <w:rPr>
          <w:rFonts w:ascii="Times New Roman" w:hAnsi="Times New Roman" w:cs="Times New Roman"/>
        </w:rPr>
        <w:t>, the Occupational Safety and Health Administration removed all amendments to part 1904 published at </w:t>
      </w:r>
      <w:hyperlink r:id="rId6" w:history="1">
        <w:r w:rsidRPr="00F47670">
          <w:rPr>
            <w:rStyle w:val="Hyperlink"/>
            <w:rFonts w:ascii="Times New Roman" w:hAnsi="Times New Roman" w:cs="Times New Roman"/>
          </w:rPr>
          <w:t>81 FR 91792</w:t>
        </w:r>
      </w:hyperlink>
      <w:r w:rsidRPr="00F47670">
        <w:rPr>
          <w:rFonts w:ascii="Times New Roman" w:hAnsi="Times New Roman" w:cs="Times New Roman"/>
        </w:rPr>
        <w:t>, Dec. 19, 2016.</w:t>
      </w:r>
    </w:p>
    <w:p w:rsidR="00F47670" w:rsidRPr="00F47670" w:rsidP="00F47670" w14:paraId="39F87332" w14:textId="77777777">
      <w:pPr>
        <w:rPr>
          <w:rFonts w:ascii="Times New Roman" w:hAnsi="Times New Roman" w:cs="Times New Roman"/>
        </w:rPr>
      </w:pPr>
    </w:p>
    <w:p w:rsidR="00F47670" w:rsidRPr="00F47670" w:rsidP="00F47670" w14:paraId="68FEB039" w14:textId="77777777">
      <w:pPr>
        <w:rPr>
          <w:rFonts w:ascii="Times New Roman" w:hAnsi="Times New Roman" w:cs="Times New Roman"/>
          <w:b/>
          <w:bCs/>
        </w:rPr>
      </w:pPr>
      <w:r w:rsidRPr="00F47670">
        <w:rPr>
          <w:rFonts w:ascii="Times New Roman" w:hAnsi="Times New Roman" w:cs="Times New Roman"/>
          <w:b/>
          <w:bCs/>
        </w:rPr>
        <w:t>§ 1904.8 Recording criteria for needlestick and sharps injuries.</w:t>
      </w:r>
    </w:p>
    <w:p w:rsidR="00F47670" w:rsidRPr="00F47670" w:rsidP="00F47670" w14:paraId="0DBB5B4B" w14:textId="77777777">
      <w:pPr>
        <w:rPr>
          <w:rFonts w:ascii="Times New Roman" w:hAnsi="Times New Roman" w:cs="Times New Roman"/>
        </w:rPr>
      </w:pPr>
      <w:r w:rsidRPr="00F47670">
        <w:rPr>
          <w:rFonts w:ascii="Times New Roman" w:hAnsi="Times New Roman" w:cs="Times New Roman"/>
        </w:rPr>
        <w:t>(a) </w:t>
      </w:r>
      <w:r w:rsidRPr="00F47670">
        <w:rPr>
          <w:rFonts w:ascii="Times New Roman" w:hAnsi="Times New Roman" w:cs="Times New Roman"/>
          <w:i/>
          <w:iCs/>
        </w:rPr>
        <w:t>Basic requirement.</w:t>
      </w:r>
      <w:r w:rsidRPr="00F47670">
        <w:rPr>
          <w:rFonts w:ascii="Times New Roman" w:hAnsi="Times New Roman" w:cs="Times New Roman"/>
        </w:rPr>
        <w:t> You must record all work-related needlestick injuries and cuts from sharp objects that are contaminated with another person's blood or other potentially infectious material (as defined by </w:t>
      </w:r>
      <w:hyperlink r:id="rId7" w:history="1">
        <w:r w:rsidRPr="00F47670">
          <w:rPr>
            <w:rStyle w:val="Hyperlink"/>
            <w:rFonts w:ascii="Times New Roman" w:hAnsi="Times New Roman" w:cs="Times New Roman"/>
          </w:rPr>
          <w:t>29 CFR 1910.1030</w:t>
        </w:r>
      </w:hyperlink>
      <w:r w:rsidRPr="00F47670">
        <w:rPr>
          <w:rFonts w:ascii="Times New Roman" w:hAnsi="Times New Roman" w:cs="Times New Roman"/>
        </w:rPr>
        <w:t>). You must enter the case on the OSHA 300 Log as an injury. To protect the employee's privacy, you may not enter the employee's name on the OSHA 300 Log (see the requirements for privacy cases in paragraphs 1904.29(b)(6) through 1904.29(b)(9)).</w:t>
      </w:r>
    </w:p>
    <w:p w:rsidR="00F47670" w:rsidRPr="00F47670" w:rsidP="00F47670" w14:paraId="67AA04E4" w14:textId="77777777">
      <w:pPr>
        <w:rPr>
          <w:rFonts w:ascii="Times New Roman" w:hAnsi="Times New Roman" w:cs="Times New Roman"/>
        </w:rPr>
      </w:pPr>
      <w:r w:rsidRPr="00F47670">
        <w:rPr>
          <w:rFonts w:ascii="Times New Roman" w:hAnsi="Times New Roman" w:cs="Times New Roman"/>
        </w:rPr>
        <w:t>(b) </w:t>
      </w:r>
      <w:r w:rsidRPr="00F47670">
        <w:rPr>
          <w:rFonts w:ascii="Times New Roman" w:hAnsi="Times New Roman" w:cs="Times New Roman"/>
          <w:i/>
          <w:iCs/>
        </w:rPr>
        <w:t>Implementation</w:t>
      </w:r>
      <w:r w:rsidRPr="00F47670">
        <w:rPr>
          <w:rFonts w:ascii="Times New Roman" w:hAnsi="Times New Roman" w:cs="Times New Roman"/>
        </w:rPr>
        <w:t> —</w:t>
      </w:r>
    </w:p>
    <w:p w:rsidR="00F47670" w:rsidRPr="00F47670" w:rsidP="00F47670" w14:paraId="008A84F6" w14:textId="77777777">
      <w:pPr>
        <w:rPr>
          <w:rFonts w:ascii="Times New Roman" w:hAnsi="Times New Roman" w:cs="Times New Roman"/>
        </w:rPr>
      </w:pPr>
      <w:r w:rsidRPr="00F47670">
        <w:rPr>
          <w:rFonts w:ascii="Times New Roman" w:hAnsi="Times New Roman" w:cs="Times New Roman"/>
        </w:rPr>
        <w:t>(1) </w:t>
      </w:r>
      <w:r w:rsidRPr="00F47670">
        <w:rPr>
          <w:rFonts w:ascii="Times New Roman" w:hAnsi="Times New Roman" w:cs="Times New Roman"/>
          <w:i/>
          <w:iCs/>
        </w:rPr>
        <w:t>What does “other potentially infectious material” mean?</w:t>
      </w:r>
      <w:r w:rsidRPr="00F47670">
        <w:rPr>
          <w:rFonts w:ascii="Times New Roman" w:hAnsi="Times New Roman" w:cs="Times New Roman"/>
        </w:rPr>
        <w:t> The term “other potentially infectious materials” is defined in the OSHA Bloodborne Pathogens standard at </w:t>
      </w:r>
      <w:hyperlink r:id="rId7" w:anchor="p-1910.1030(b)" w:history="1">
        <w:r w:rsidRPr="00F47670">
          <w:rPr>
            <w:rStyle w:val="Hyperlink"/>
            <w:rFonts w:ascii="Times New Roman" w:hAnsi="Times New Roman" w:cs="Times New Roman"/>
          </w:rPr>
          <w:t>§ 1910.1030(b)</w:t>
        </w:r>
      </w:hyperlink>
      <w:r w:rsidRPr="00F47670">
        <w:rPr>
          <w:rFonts w:ascii="Times New Roman" w:hAnsi="Times New Roman" w:cs="Times New Roman"/>
        </w:rPr>
        <w:t>. These materials include:</w:t>
      </w:r>
    </w:p>
    <w:p w:rsidR="00F47670" w:rsidRPr="00F47670" w:rsidP="00F47670" w14:paraId="5D1B7495" w14:textId="77777777">
      <w:pPr>
        <w:rPr>
          <w:rFonts w:ascii="Times New Roman" w:hAnsi="Times New Roman" w:cs="Times New Roman"/>
        </w:rPr>
      </w:pPr>
      <w:r w:rsidRPr="00F47670">
        <w:rPr>
          <w:rFonts w:ascii="Times New Roman" w:hAnsi="Times New Roman" w:cs="Times New Roman"/>
        </w:rPr>
        <w:t>(</w:t>
      </w:r>
      <w:r w:rsidRPr="00F47670">
        <w:rPr>
          <w:rFonts w:ascii="Times New Roman" w:hAnsi="Times New Roman" w:cs="Times New Roman"/>
        </w:rPr>
        <w:t>i</w:t>
      </w:r>
      <w:r w:rsidRPr="00F47670">
        <w:rPr>
          <w:rFonts w:ascii="Times New Roman" w:hAnsi="Times New Roman" w:cs="Times New Roman"/>
        </w:rPr>
        <w:t>) Human bodily fluids, tissues and organs, and</w:t>
      </w:r>
    </w:p>
    <w:p w:rsidR="00F47670" w:rsidRPr="00F47670" w:rsidP="00F47670" w14:paraId="01546036" w14:textId="77777777">
      <w:pPr>
        <w:rPr>
          <w:rFonts w:ascii="Times New Roman" w:hAnsi="Times New Roman" w:cs="Times New Roman"/>
        </w:rPr>
      </w:pPr>
      <w:r w:rsidRPr="00F47670">
        <w:rPr>
          <w:rFonts w:ascii="Times New Roman" w:hAnsi="Times New Roman" w:cs="Times New Roman"/>
        </w:rPr>
        <w:t>(ii) Other materials infected with the HIV or hepatitis B (HBV) virus such as laboratory cultures or tissues from experimental animals.</w:t>
      </w:r>
    </w:p>
    <w:p w:rsidR="00F47670" w:rsidRPr="00F47670" w:rsidP="00F47670" w14:paraId="1CFB9BA9" w14:textId="77777777">
      <w:pPr>
        <w:rPr>
          <w:rFonts w:ascii="Times New Roman" w:hAnsi="Times New Roman" w:cs="Times New Roman"/>
        </w:rPr>
      </w:pPr>
      <w:r w:rsidRPr="00F47670">
        <w:rPr>
          <w:rFonts w:ascii="Times New Roman" w:hAnsi="Times New Roman" w:cs="Times New Roman"/>
        </w:rPr>
        <w:t>(2) </w:t>
      </w:r>
      <w:r w:rsidRPr="00F47670">
        <w:rPr>
          <w:rFonts w:ascii="Times New Roman" w:hAnsi="Times New Roman" w:cs="Times New Roman"/>
          <w:i/>
          <w:iCs/>
        </w:rPr>
        <w:t>Does this mean that I must record all cuts, lacerations, punctures, and scratches?</w:t>
      </w:r>
      <w:r w:rsidRPr="00F47670">
        <w:rPr>
          <w:rFonts w:ascii="Times New Roman" w:hAnsi="Times New Roman" w:cs="Times New Roman"/>
        </w:rPr>
        <w:t> No, you need to record cuts, lacerations, punctures, and scratches only if they are work-related and involve contamination with another person's blood or other potentially infectious material. If the cut, laceration, or scratch involves a clean object, or a contaminant other than blood or other potentially infectious material, you need to record the case only if it meets one or more of the recording criteria in </w:t>
      </w:r>
      <w:hyperlink r:id="rId8" w:history="1">
        <w:r w:rsidRPr="00F47670">
          <w:rPr>
            <w:rStyle w:val="Hyperlink"/>
            <w:rFonts w:ascii="Times New Roman" w:hAnsi="Times New Roman" w:cs="Times New Roman"/>
          </w:rPr>
          <w:t>§ 1904.7</w:t>
        </w:r>
      </w:hyperlink>
      <w:r w:rsidRPr="00F47670">
        <w:rPr>
          <w:rFonts w:ascii="Times New Roman" w:hAnsi="Times New Roman" w:cs="Times New Roman"/>
        </w:rPr>
        <w:t>.</w:t>
      </w:r>
    </w:p>
    <w:p w:rsidR="00F47670" w:rsidRPr="00F47670" w:rsidP="00F47670" w14:paraId="7B8F6408" w14:textId="77777777">
      <w:pPr>
        <w:rPr>
          <w:rFonts w:ascii="Times New Roman" w:hAnsi="Times New Roman" w:cs="Times New Roman"/>
        </w:rPr>
      </w:pPr>
      <w:r w:rsidRPr="00F47670">
        <w:rPr>
          <w:rFonts w:ascii="Times New Roman" w:hAnsi="Times New Roman" w:cs="Times New Roman"/>
        </w:rPr>
        <w:t>(3) </w:t>
      </w:r>
      <w:r w:rsidRPr="00F47670">
        <w:rPr>
          <w:rFonts w:ascii="Times New Roman" w:hAnsi="Times New Roman" w:cs="Times New Roman"/>
          <w:i/>
          <w:iCs/>
        </w:rPr>
        <w:t>If I record an injury and the employee is later diagnosed with an infectious bloodborne disease, do I need to update the OSHA 300 Log?</w:t>
      </w:r>
      <w:r w:rsidRPr="00F47670">
        <w:rPr>
          <w:rFonts w:ascii="Times New Roman" w:hAnsi="Times New Roman" w:cs="Times New Roman"/>
        </w:rPr>
        <w:t> Yes, you must update the classification of the case on the OSHA 300 Log if the case results in death, days away from work, restricted work, or job transfer. You must also update the description to identify the infectious disease and change the classification of the case from an injury to an illness.</w:t>
      </w:r>
    </w:p>
    <w:p w:rsidR="00F47670" w:rsidRPr="00F47670" w:rsidP="00F47670" w14:paraId="46FD70BE" w14:textId="77777777">
      <w:pPr>
        <w:rPr>
          <w:rFonts w:ascii="Times New Roman" w:hAnsi="Times New Roman" w:cs="Times New Roman"/>
        </w:rPr>
      </w:pPr>
      <w:r w:rsidRPr="00F47670">
        <w:rPr>
          <w:rFonts w:ascii="Times New Roman" w:hAnsi="Times New Roman" w:cs="Times New Roman"/>
        </w:rPr>
        <w:t>(4) </w:t>
      </w:r>
      <w:r w:rsidRPr="00F47670">
        <w:rPr>
          <w:rFonts w:ascii="Times New Roman" w:hAnsi="Times New Roman" w:cs="Times New Roman"/>
          <w:i/>
          <w:iCs/>
        </w:rPr>
        <w:t>What if one of my employees is splashed or exposed to blood or other potentially infectious material without being cut or scratched? Do I need to record this incident?</w:t>
      </w:r>
      <w:r w:rsidRPr="00F47670">
        <w:rPr>
          <w:rFonts w:ascii="Times New Roman" w:hAnsi="Times New Roman" w:cs="Times New Roman"/>
        </w:rPr>
        <w:t> You need to record such an incident on the OSHA 300 Log as an illness if:</w:t>
      </w:r>
    </w:p>
    <w:p w:rsidR="00F47670" w:rsidRPr="00F47670" w:rsidP="00F47670" w14:paraId="03DB0590" w14:textId="77777777">
      <w:pPr>
        <w:rPr>
          <w:rFonts w:ascii="Times New Roman" w:hAnsi="Times New Roman" w:cs="Times New Roman"/>
        </w:rPr>
      </w:pPr>
      <w:r w:rsidRPr="00F47670">
        <w:rPr>
          <w:rFonts w:ascii="Times New Roman" w:hAnsi="Times New Roman" w:cs="Times New Roman"/>
        </w:rPr>
        <w:t>(</w:t>
      </w:r>
      <w:r w:rsidRPr="00F47670">
        <w:rPr>
          <w:rFonts w:ascii="Times New Roman" w:hAnsi="Times New Roman" w:cs="Times New Roman"/>
        </w:rPr>
        <w:t>i</w:t>
      </w:r>
      <w:r w:rsidRPr="00F47670">
        <w:rPr>
          <w:rFonts w:ascii="Times New Roman" w:hAnsi="Times New Roman" w:cs="Times New Roman"/>
        </w:rPr>
        <w:t>) It results in the diagnosis of a bloodborne illness, such as HIV, hepatitis B, or hepatitis C; or</w:t>
      </w:r>
    </w:p>
    <w:p w:rsidR="00F47670" w:rsidRPr="00F47670" w:rsidP="00F47670" w14:paraId="0471254E" w14:textId="77777777">
      <w:pPr>
        <w:rPr>
          <w:rFonts w:ascii="Times New Roman" w:hAnsi="Times New Roman" w:cs="Times New Roman"/>
        </w:rPr>
      </w:pPr>
      <w:r w:rsidRPr="00F47670">
        <w:rPr>
          <w:rFonts w:ascii="Times New Roman" w:hAnsi="Times New Roman" w:cs="Times New Roman"/>
        </w:rPr>
        <w:t>(ii) It meets one or more of the recording criteria in </w:t>
      </w:r>
      <w:hyperlink r:id="rId8" w:history="1">
        <w:r w:rsidRPr="00F47670">
          <w:rPr>
            <w:rStyle w:val="Hyperlink"/>
            <w:rFonts w:ascii="Times New Roman" w:hAnsi="Times New Roman" w:cs="Times New Roman"/>
          </w:rPr>
          <w:t>§ 1904.7</w:t>
        </w:r>
      </w:hyperlink>
      <w:r w:rsidRPr="00F47670">
        <w:rPr>
          <w:rFonts w:ascii="Times New Roman" w:hAnsi="Times New Roman" w:cs="Times New Roman"/>
        </w:rPr>
        <w:t>.</w:t>
      </w:r>
    </w:p>
    <w:p w:rsidR="00F47670" w:rsidRPr="00F47670" w:rsidP="00F47670" w14:paraId="03B0D976" w14:textId="77777777">
      <w:pPr>
        <w:rPr>
          <w:rFonts w:ascii="Times New Roman" w:hAnsi="Times New Roman" w:cs="Times New Roman"/>
          <w:b/>
          <w:bCs/>
        </w:rPr>
      </w:pPr>
      <w:r w:rsidRPr="00F47670">
        <w:rPr>
          <w:rFonts w:ascii="Times New Roman" w:hAnsi="Times New Roman" w:cs="Times New Roman"/>
          <w:b/>
          <w:bCs/>
        </w:rPr>
        <w:t>eCFR</w:t>
      </w:r>
      <w:r w:rsidRPr="00F47670">
        <w:rPr>
          <w:rFonts w:ascii="Times New Roman" w:hAnsi="Times New Roman" w:cs="Times New Roman"/>
          <w:b/>
          <w:bCs/>
        </w:rPr>
        <w:t xml:space="preserve"> Content</w:t>
      </w:r>
    </w:p>
    <w:p w:rsidR="00F47670" w:rsidRPr="00F47670" w:rsidP="00F47670" w14:paraId="32933938" w14:textId="77777777">
      <w:pPr>
        <w:rPr>
          <w:rFonts w:ascii="Times New Roman" w:hAnsi="Times New Roman" w:cs="Times New Roman"/>
        </w:rPr>
      </w:pPr>
      <w:r w:rsidRPr="00F47670">
        <w:rPr>
          <w:rFonts w:ascii="Times New Roman" w:hAnsi="Times New Roman" w:cs="Times New Roman"/>
        </w:rPr>
        <w:t>Pages</w:t>
      </w:r>
    </w:p>
    <w:p w:rsidR="00F47670" w:rsidRPr="00F47670" w:rsidP="00F47670" w14:paraId="5506D968" w14:textId="77777777">
      <w:pPr>
        <w:numPr>
          <w:ilvl w:val="0"/>
          <w:numId w:val="13"/>
        </w:numPr>
        <w:rPr>
          <w:rFonts w:ascii="Times New Roman" w:hAnsi="Times New Roman" w:cs="Times New Roman"/>
        </w:rPr>
      </w:pPr>
      <w:hyperlink r:id="rId9" w:history="1">
        <w:r w:rsidRPr="00F47670">
          <w:rPr>
            <w:rStyle w:val="Hyperlink"/>
            <w:rFonts w:ascii="Times New Roman" w:hAnsi="Times New Roman" w:cs="Times New Roman"/>
          </w:rPr>
          <w:t>Home</w:t>
        </w:r>
      </w:hyperlink>
    </w:p>
    <w:p w:rsidR="00F47670" w:rsidRPr="00F47670" w:rsidP="00F47670" w14:paraId="02CF503D" w14:textId="77777777">
      <w:pPr>
        <w:numPr>
          <w:ilvl w:val="0"/>
          <w:numId w:val="13"/>
        </w:numPr>
        <w:rPr>
          <w:rFonts w:ascii="Times New Roman" w:hAnsi="Times New Roman" w:cs="Times New Roman"/>
        </w:rPr>
      </w:pPr>
      <w:hyperlink r:id="rId9" w:history="1">
        <w:r w:rsidRPr="00F47670">
          <w:rPr>
            <w:rStyle w:val="Hyperlink"/>
            <w:rFonts w:ascii="Times New Roman" w:hAnsi="Times New Roman" w:cs="Times New Roman"/>
          </w:rPr>
          <w:t>Titles</w:t>
        </w:r>
      </w:hyperlink>
    </w:p>
    <w:p w:rsidR="00F47670" w:rsidRPr="00F47670" w:rsidP="00F47670" w14:paraId="6645E563" w14:textId="77777777">
      <w:pPr>
        <w:numPr>
          <w:ilvl w:val="0"/>
          <w:numId w:val="13"/>
        </w:numPr>
        <w:rPr>
          <w:rFonts w:ascii="Times New Roman" w:hAnsi="Times New Roman" w:cs="Times New Roman"/>
        </w:rPr>
      </w:pPr>
      <w:hyperlink r:id="rId10" w:history="1">
        <w:r w:rsidRPr="00F47670">
          <w:rPr>
            <w:rStyle w:val="Hyperlink"/>
            <w:rFonts w:ascii="Times New Roman" w:hAnsi="Times New Roman" w:cs="Times New Roman"/>
          </w:rPr>
          <w:t>Search</w:t>
        </w:r>
      </w:hyperlink>
    </w:p>
    <w:p w:rsidR="00F47670" w:rsidRPr="00F47670" w:rsidP="00F47670" w14:paraId="227DEDC5" w14:textId="77777777">
      <w:pPr>
        <w:numPr>
          <w:ilvl w:val="0"/>
          <w:numId w:val="13"/>
        </w:numPr>
        <w:rPr>
          <w:rFonts w:ascii="Times New Roman" w:hAnsi="Times New Roman" w:cs="Times New Roman"/>
        </w:rPr>
      </w:pPr>
      <w:hyperlink r:id="rId11" w:history="1">
        <w:r w:rsidRPr="00F47670">
          <w:rPr>
            <w:rStyle w:val="Hyperlink"/>
            <w:rFonts w:ascii="Times New Roman" w:hAnsi="Times New Roman" w:cs="Times New Roman"/>
          </w:rPr>
          <w:t>Recent Changes</w:t>
        </w:r>
      </w:hyperlink>
    </w:p>
    <w:p w:rsidR="00F47670" w:rsidRPr="00F47670" w:rsidP="00F47670" w14:paraId="54177123" w14:textId="77777777">
      <w:pPr>
        <w:numPr>
          <w:ilvl w:val="0"/>
          <w:numId w:val="13"/>
        </w:numPr>
        <w:rPr>
          <w:rFonts w:ascii="Times New Roman" w:hAnsi="Times New Roman" w:cs="Times New Roman"/>
        </w:rPr>
      </w:pPr>
      <w:hyperlink r:id="rId12" w:history="1">
        <w:r w:rsidRPr="00F47670">
          <w:rPr>
            <w:rStyle w:val="Hyperlink"/>
            <w:rFonts w:ascii="Times New Roman" w:hAnsi="Times New Roman" w:cs="Times New Roman"/>
          </w:rPr>
          <w:t>Corrections</w:t>
        </w:r>
      </w:hyperlink>
    </w:p>
    <w:p w:rsidR="00F47670" w:rsidRPr="00F47670" w:rsidP="00F47670" w14:paraId="225C2C00" w14:textId="77777777">
      <w:pPr>
        <w:rPr>
          <w:rFonts w:ascii="Times New Roman" w:hAnsi="Times New Roman" w:cs="Times New Roman"/>
        </w:rPr>
      </w:pPr>
      <w:r w:rsidRPr="00F47670">
        <w:rPr>
          <w:rFonts w:ascii="Times New Roman" w:hAnsi="Times New Roman" w:cs="Times New Roman"/>
        </w:rPr>
        <w:t>Reader Aids</w:t>
      </w:r>
    </w:p>
    <w:p w:rsidR="00F47670" w:rsidRPr="00F47670" w:rsidP="00F47670" w14:paraId="4510BF23" w14:textId="77777777">
      <w:pPr>
        <w:numPr>
          <w:ilvl w:val="0"/>
          <w:numId w:val="14"/>
        </w:numPr>
        <w:rPr>
          <w:rFonts w:ascii="Times New Roman" w:hAnsi="Times New Roman" w:cs="Times New Roman"/>
        </w:rPr>
      </w:pPr>
      <w:r w:rsidRPr="00F47670">
        <w:rPr>
          <w:rFonts w:ascii="Times New Roman" w:hAnsi="Times New Roman" w:cs="Times New Roman"/>
        </w:rPr>
        <w:t> </w:t>
      </w:r>
      <w:hyperlink r:id="rId13" w:history="1">
        <w:r w:rsidRPr="00F47670">
          <w:rPr>
            <w:rStyle w:val="Hyperlink"/>
            <w:rFonts w:ascii="Times New Roman" w:hAnsi="Times New Roman" w:cs="Times New Roman"/>
          </w:rPr>
          <w:t xml:space="preserve">Using the </w:t>
        </w:r>
        <w:r w:rsidRPr="00F47670">
          <w:rPr>
            <w:rStyle w:val="Hyperlink"/>
            <w:rFonts w:ascii="Times New Roman" w:hAnsi="Times New Roman" w:cs="Times New Roman"/>
          </w:rPr>
          <w:t>eCFR</w:t>
        </w:r>
        <w:r w:rsidRPr="00F47670">
          <w:rPr>
            <w:rStyle w:val="Hyperlink"/>
            <w:rFonts w:ascii="Times New Roman" w:hAnsi="Times New Roman" w:cs="Times New Roman"/>
          </w:rPr>
          <w:t xml:space="preserve"> Point-in-Time System</w:t>
        </w:r>
      </w:hyperlink>
    </w:p>
    <w:p w:rsidR="00F47670" w:rsidRPr="00F47670" w:rsidP="00F47670" w14:paraId="2E8171F7" w14:textId="77777777">
      <w:pPr>
        <w:numPr>
          <w:ilvl w:val="0"/>
          <w:numId w:val="14"/>
        </w:numPr>
        <w:rPr>
          <w:rFonts w:ascii="Times New Roman" w:hAnsi="Times New Roman" w:cs="Times New Roman"/>
        </w:rPr>
      </w:pPr>
      <w:r w:rsidRPr="00F47670">
        <w:rPr>
          <w:rFonts w:ascii="Times New Roman" w:hAnsi="Times New Roman" w:cs="Times New Roman"/>
        </w:rPr>
        <w:t> </w:t>
      </w:r>
      <w:hyperlink r:id="rId14" w:history="1">
        <w:r w:rsidRPr="00F47670">
          <w:rPr>
            <w:rStyle w:val="Hyperlink"/>
            <w:rFonts w:ascii="Times New Roman" w:hAnsi="Times New Roman" w:cs="Times New Roman"/>
          </w:rPr>
          <w:t xml:space="preserve">Understanding the </w:t>
        </w:r>
        <w:r w:rsidRPr="00F47670">
          <w:rPr>
            <w:rStyle w:val="Hyperlink"/>
            <w:rFonts w:ascii="Times New Roman" w:hAnsi="Times New Roman" w:cs="Times New Roman"/>
          </w:rPr>
          <w:t>eCFR</w:t>
        </w:r>
      </w:hyperlink>
    </w:p>
    <w:p w:rsidR="00F47670" w:rsidRPr="00F47670" w:rsidP="00F47670" w14:paraId="36FDD8D0" w14:textId="77777777">
      <w:pPr>
        <w:numPr>
          <w:ilvl w:val="0"/>
          <w:numId w:val="14"/>
        </w:numPr>
        <w:rPr>
          <w:rFonts w:ascii="Times New Roman" w:hAnsi="Times New Roman" w:cs="Times New Roman"/>
        </w:rPr>
      </w:pPr>
      <w:r w:rsidRPr="00F47670">
        <w:rPr>
          <w:rFonts w:ascii="Times New Roman" w:hAnsi="Times New Roman" w:cs="Times New Roman"/>
        </w:rPr>
        <w:t> </w:t>
      </w:r>
      <w:hyperlink r:id="rId15" w:history="1">
        <w:r w:rsidRPr="00F47670">
          <w:rPr>
            <w:rStyle w:val="Hyperlink"/>
            <w:rFonts w:ascii="Times New Roman" w:hAnsi="Times New Roman" w:cs="Times New Roman"/>
          </w:rPr>
          <w:t>Government Policy and OFR Procedures</w:t>
        </w:r>
      </w:hyperlink>
    </w:p>
    <w:p w:rsidR="00F47670" w:rsidRPr="00F47670" w:rsidP="00F47670" w14:paraId="4373735C" w14:textId="77777777">
      <w:pPr>
        <w:numPr>
          <w:ilvl w:val="0"/>
          <w:numId w:val="14"/>
        </w:numPr>
        <w:rPr>
          <w:rFonts w:ascii="Times New Roman" w:hAnsi="Times New Roman" w:cs="Times New Roman"/>
        </w:rPr>
      </w:pPr>
      <w:r w:rsidRPr="00F47670">
        <w:rPr>
          <w:rFonts w:ascii="Times New Roman" w:hAnsi="Times New Roman" w:cs="Times New Roman"/>
        </w:rPr>
        <w:t> </w:t>
      </w:r>
      <w:hyperlink r:id="rId16" w:history="1">
        <w:r w:rsidRPr="00F47670">
          <w:rPr>
            <w:rStyle w:val="Hyperlink"/>
            <w:rFonts w:ascii="Times New Roman" w:hAnsi="Times New Roman" w:cs="Times New Roman"/>
          </w:rPr>
          <w:t>Developer Resources</w:t>
        </w:r>
      </w:hyperlink>
    </w:p>
    <w:p w:rsidR="00F47670" w:rsidRPr="00F47670" w:rsidP="00F47670" w14:paraId="3F1D7B6B" w14:textId="77777777">
      <w:pPr>
        <w:rPr>
          <w:rFonts w:ascii="Times New Roman" w:hAnsi="Times New Roman" w:cs="Times New Roman"/>
        </w:rPr>
      </w:pPr>
      <w:r w:rsidRPr="00F47670">
        <w:rPr>
          <w:rFonts w:ascii="Times New Roman" w:hAnsi="Times New Roman" w:cs="Times New Roman"/>
        </w:rPr>
        <w:t>Information</w:t>
      </w:r>
    </w:p>
    <w:p w:rsidR="00F47670" w:rsidRPr="00F47670" w:rsidP="00F47670" w14:paraId="6914A065" w14:textId="77777777">
      <w:pPr>
        <w:numPr>
          <w:ilvl w:val="0"/>
          <w:numId w:val="15"/>
        </w:numPr>
        <w:rPr>
          <w:rFonts w:ascii="Times New Roman" w:hAnsi="Times New Roman" w:cs="Times New Roman"/>
        </w:rPr>
      </w:pPr>
      <w:hyperlink r:id="rId17" w:history="1">
        <w:r w:rsidRPr="00F47670">
          <w:rPr>
            <w:rStyle w:val="Hyperlink"/>
            <w:rFonts w:ascii="Times New Roman" w:hAnsi="Times New Roman" w:cs="Times New Roman"/>
          </w:rPr>
          <w:t>About This Site</w:t>
        </w:r>
      </w:hyperlink>
    </w:p>
    <w:p w:rsidR="00F47670" w:rsidRPr="00F47670" w:rsidP="00F47670" w14:paraId="575A2B71" w14:textId="77777777">
      <w:pPr>
        <w:numPr>
          <w:ilvl w:val="0"/>
          <w:numId w:val="15"/>
        </w:numPr>
        <w:rPr>
          <w:rFonts w:ascii="Times New Roman" w:hAnsi="Times New Roman" w:cs="Times New Roman"/>
        </w:rPr>
      </w:pPr>
      <w:hyperlink r:id="rId17" w:anchor="legal-status" w:history="1">
        <w:r w:rsidRPr="00F47670">
          <w:rPr>
            <w:rStyle w:val="Hyperlink"/>
            <w:rFonts w:ascii="Times New Roman" w:hAnsi="Times New Roman" w:cs="Times New Roman"/>
          </w:rPr>
          <w:t>Legal Status</w:t>
        </w:r>
      </w:hyperlink>
    </w:p>
    <w:p w:rsidR="00F47670" w:rsidRPr="00F47670" w:rsidP="00F47670" w14:paraId="39416558" w14:textId="77777777">
      <w:pPr>
        <w:numPr>
          <w:ilvl w:val="0"/>
          <w:numId w:val="15"/>
        </w:numPr>
        <w:rPr>
          <w:rFonts w:ascii="Times New Roman" w:hAnsi="Times New Roman" w:cs="Times New Roman"/>
        </w:rPr>
      </w:pPr>
      <w:hyperlink r:id="rId18" w:history="1">
        <w:r w:rsidRPr="00F47670">
          <w:rPr>
            <w:rStyle w:val="Hyperlink"/>
            <w:rFonts w:ascii="Times New Roman" w:hAnsi="Times New Roman" w:cs="Times New Roman"/>
          </w:rPr>
          <w:t>Privacy</w:t>
        </w:r>
      </w:hyperlink>
    </w:p>
    <w:p w:rsidR="00F47670" w:rsidRPr="00F47670" w:rsidP="00F47670" w14:paraId="1CD9ABE6" w14:textId="77777777">
      <w:pPr>
        <w:numPr>
          <w:ilvl w:val="0"/>
          <w:numId w:val="15"/>
        </w:numPr>
        <w:rPr>
          <w:rFonts w:ascii="Times New Roman" w:hAnsi="Times New Roman" w:cs="Times New Roman"/>
        </w:rPr>
      </w:pPr>
      <w:hyperlink r:id="rId19" w:history="1">
        <w:r w:rsidRPr="00F47670">
          <w:rPr>
            <w:rStyle w:val="Hyperlink"/>
            <w:rFonts w:ascii="Times New Roman" w:hAnsi="Times New Roman" w:cs="Times New Roman"/>
          </w:rPr>
          <w:t>Accessibility</w:t>
        </w:r>
      </w:hyperlink>
    </w:p>
    <w:p w:rsidR="00F47670" w:rsidRPr="00F47670" w:rsidP="00F47670" w14:paraId="65A4629B" w14:textId="77777777">
      <w:pPr>
        <w:numPr>
          <w:ilvl w:val="0"/>
          <w:numId w:val="15"/>
        </w:numPr>
        <w:rPr>
          <w:rFonts w:ascii="Times New Roman" w:hAnsi="Times New Roman" w:cs="Times New Roman"/>
        </w:rPr>
      </w:pPr>
      <w:hyperlink r:id="rId20" w:history="1">
        <w:r w:rsidRPr="00F47670">
          <w:rPr>
            <w:rStyle w:val="Hyperlink"/>
            <w:rFonts w:ascii="Times New Roman" w:hAnsi="Times New Roman" w:cs="Times New Roman"/>
          </w:rPr>
          <w:t>FOIA</w:t>
        </w:r>
      </w:hyperlink>
    </w:p>
    <w:p w:rsidR="00F47670" w:rsidRPr="00F47670" w:rsidP="00F47670" w14:paraId="6E67BC28" w14:textId="77777777">
      <w:pPr>
        <w:numPr>
          <w:ilvl w:val="0"/>
          <w:numId w:val="15"/>
        </w:numPr>
        <w:rPr>
          <w:rFonts w:ascii="Times New Roman" w:hAnsi="Times New Roman" w:cs="Times New Roman"/>
        </w:rPr>
      </w:pPr>
      <w:hyperlink r:id="rId21" w:history="1">
        <w:r w:rsidRPr="00F47670">
          <w:rPr>
            <w:rStyle w:val="Hyperlink"/>
            <w:rFonts w:ascii="Times New Roman" w:hAnsi="Times New Roman" w:cs="Times New Roman"/>
          </w:rPr>
          <w:t>No Fear Act</w:t>
        </w:r>
      </w:hyperlink>
    </w:p>
    <w:p w:rsidR="00F47670" w:rsidRPr="00F47670" w:rsidP="00F47670" w14:paraId="1CAA414C" w14:textId="77777777">
      <w:pPr>
        <w:numPr>
          <w:ilvl w:val="0"/>
          <w:numId w:val="15"/>
        </w:numPr>
        <w:rPr>
          <w:rFonts w:ascii="Times New Roman" w:hAnsi="Times New Roman" w:cs="Times New Roman"/>
        </w:rPr>
      </w:pPr>
      <w:hyperlink r:id="rId22" w:anchor="coop" w:history="1">
        <w:r w:rsidRPr="00F47670">
          <w:rPr>
            <w:rStyle w:val="Hyperlink"/>
            <w:rFonts w:ascii="Times New Roman" w:hAnsi="Times New Roman" w:cs="Times New Roman"/>
          </w:rPr>
          <w:t>Continuity Information</w:t>
        </w:r>
      </w:hyperlink>
    </w:p>
    <w:p w:rsidR="00F47670" w:rsidRPr="00F47670" w:rsidP="00F47670" w14:paraId="4A97B057" w14:textId="77777777">
      <w:pPr>
        <w:rPr>
          <w:rFonts w:ascii="Times New Roman" w:hAnsi="Times New Roman" w:cs="Times New Roman"/>
        </w:rPr>
      </w:pPr>
      <w:r w:rsidRPr="00F47670">
        <w:rPr>
          <w:rFonts w:ascii="Times New Roman" w:hAnsi="Times New Roman" w:cs="Times New Roman"/>
        </w:rPr>
        <w:t xml:space="preserve">My </w:t>
      </w:r>
      <w:r w:rsidRPr="00F47670">
        <w:rPr>
          <w:rFonts w:ascii="Times New Roman" w:hAnsi="Times New Roman" w:cs="Times New Roman"/>
        </w:rPr>
        <w:t>eCFR</w:t>
      </w:r>
    </w:p>
    <w:p w:rsidR="00F47670" w:rsidRPr="00F47670" w:rsidP="00F47670" w14:paraId="3854C822" w14:textId="77777777">
      <w:pPr>
        <w:numPr>
          <w:ilvl w:val="0"/>
          <w:numId w:val="16"/>
        </w:numPr>
        <w:rPr>
          <w:rFonts w:ascii="Times New Roman" w:hAnsi="Times New Roman" w:cs="Times New Roman"/>
        </w:rPr>
      </w:pPr>
      <w:r w:rsidRPr="00F47670">
        <w:rPr>
          <w:rFonts w:ascii="Times New Roman" w:hAnsi="Times New Roman" w:cs="Times New Roman"/>
        </w:rPr>
        <w:t> </w:t>
      </w:r>
      <w:hyperlink r:id="rId23" w:history="1">
        <w:r w:rsidRPr="00F47670">
          <w:rPr>
            <w:rStyle w:val="Hyperlink"/>
            <w:rFonts w:ascii="Times New Roman" w:hAnsi="Times New Roman" w:cs="Times New Roman"/>
          </w:rPr>
          <w:t>My Subscriptions</w:t>
        </w:r>
      </w:hyperlink>
    </w:p>
    <w:p w:rsidR="00F47670" w:rsidRPr="00F47670" w:rsidP="00F47670" w14:paraId="278E819E" w14:textId="77777777">
      <w:pPr>
        <w:numPr>
          <w:ilvl w:val="0"/>
          <w:numId w:val="16"/>
        </w:numPr>
        <w:rPr>
          <w:rFonts w:ascii="Times New Roman" w:hAnsi="Times New Roman" w:cs="Times New Roman"/>
        </w:rPr>
      </w:pPr>
      <w:r w:rsidRPr="00F47670">
        <w:rPr>
          <w:rFonts w:ascii="Times New Roman" w:hAnsi="Times New Roman" w:cs="Times New Roman"/>
        </w:rPr>
        <w:t> </w:t>
      </w:r>
      <w:hyperlink r:id="rId24" w:history="1">
        <w:r w:rsidRPr="00F47670">
          <w:rPr>
            <w:rStyle w:val="Hyperlink"/>
            <w:rFonts w:ascii="Times New Roman" w:hAnsi="Times New Roman" w:cs="Times New Roman"/>
          </w:rPr>
          <w:t>Sign In / Sign Up</w:t>
        </w:r>
      </w:hyperlink>
    </w:p>
    <w:p w:rsidR="001C6CDB" w:rsidRPr="00F47670" w:rsidP="00F47670" w14:paraId="41BBA620"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A10A4"/>
    <w:multiLevelType w:val="multilevel"/>
    <w:tmpl w:val="1138E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34C38"/>
    <w:multiLevelType w:val="multilevel"/>
    <w:tmpl w:val="893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7101E"/>
    <w:multiLevelType w:val="multilevel"/>
    <w:tmpl w:val="FDE8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849CF"/>
    <w:multiLevelType w:val="multilevel"/>
    <w:tmpl w:val="939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DC3311"/>
    <w:multiLevelType w:val="multilevel"/>
    <w:tmpl w:val="C42A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AC2CC2"/>
    <w:multiLevelType w:val="multilevel"/>
    <w:tmpl w:val="8E4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B2218"/>
    <w:multiLevelType w:val="multilevel"/>
    <w:tmpl w:val="39106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A832F4"/>
    <w:multiLevelType w:val="multilevel"/>
    <w:tmpl w:val="DAC0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E975DD"/>
    <w:multiLevelType w:val="multilevel"/>
    <w:tmpl w:val="0296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DB2391"/>
    <w:multiLevelType w:val="multilevel"/>
    <w:tmpl w:val="2EE2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8203E1"/>
    <w:multiLevelType w:val="multilevel"/>
    <w:tmpl w:val="0492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2D3E84"/>
    <w:multiLevelType w:val="multilevel"/>
    <w:tmpl w:val="FA18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440EE7"/>
    <w:multiLevelType w:val="multilevel"/>
    <w:tmpl w:val="E6FA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144207"/>
    <w:multiLevelType w:val="multilevel"/>
    <w:tmpl w:val="904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823CEC"/>
    <w:multiLevelType w:val="multilevel"/>
    <w:tmpl w:val="E8E4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60792D"/>
    <w:multiLevelType w:val="multilevel"/>
    <w:tmpl w:val="13C4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8004395">
    <w:abstractNumId w:val="0"/>
  </w:num>
  <w:num w:numId="2" w16cid:durableId="1647735639">
    <w:abstractNumId w:val="11"/>
  </w:num>
  <w:num w:numId="3" w16cid:durableId="59719413">
    <w:abstractNumId w:val="1"/>
  </w:num>
  <w:num w:numId="4" w16cid:durableId="549268544">
    <w:abstractNumId w:val="10"/>
  </w:num>
  <w:num w:numId="5" w16cid:durableId="1986474197">
    <w:abstractNumId w:val="9"/>
  </w:num>
  <w:num w:numId="6" w16cid:durableId="1801143237">
    <w:abstractNumId w:val="7"/>
  </w:num>
  <w:num w:numId="7" w16cid:durableId="11759768">
    <w:abstractNumId w:val="2"/>
  </w:num>
  <w:num w:numId="8" w16cid:durableId="1736049481">
    <w:abstractNumId w:val="8"/>
  </w:num>
  <w:num w:numId="9" w16cid:durableId="2133018554">
    <w:abstractNumId w:val="6"/>
  </w:num>
  <w:num w:numId="10" w16cid:durableId="887647075">
    <w:abstractNumId w:val="15"/>
  </w:num>
  <w:num w:numId="11" w16cid:durableId="1946109222">
    <w:abstractNumId w:val="5"/>
  </w:num>
  <w:num w:numId="12" w16cid:durableId="1515798243">
    <w:abstractNumId w:val="12"/>
  </w:num>
  <w:num w:numId="13" w16cid:durableId="959798079">
    <w:abstractNumId w:val="4"/>
  </w:num>
  <w:num w:numId="14" w16cid:durableId="69694344">
    <w:abstractNumId w:val="14"/>
  </w:num>
  <w:num w:numId="15" w16cid:durableId="149060190">
    <w:abstractNumId w:val="3"/>
  </w:num>
  <w:num w:numId="16" w16cid:durableId="1327587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DB"/>
    <w:rsid w:val="001C6CDB"/>
    <w:rsid w:val="005C5E21"/>
    <w:rsid w:val="00A82869"/>
    <w:rsid w:val="00F476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499E40"/>
  <w15:chartTrackingRefBased/>
  <w15:docId w15:val="{E3BC9EAC-A683-42C3-84B8-78819DD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CDB"/>
    <w:rPr>
      <w:rFonts w:eastAsiaTheme="majorEastAsia" w:cstheme="majorBidi"/>
      <w:color w:val="272727" w:themeColor="text1" w:themeTint="D8"/>
    </w:rPr>
  </w:style>
  <w:style w:type="paragraph" w:styleId="Title">
    <w:name w:val="Title"/>
    <w:basedOn w:val="Normal"/>
    <w:next w:val="Normal"/>
    <w:link w:val="TitleChar"/>
    <w:uiPriority w:val="10"/>
    <w:qFormat/>
    <w:rsid w:val="001C6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CDB"/>
    <w:pPr>
      <w:spacing w:before="160"/>
      <w:jc w:val="center"/>
    </w:pPr>
    <w:rPr>
      <w:i/>
      <w:iCs/>
      <w:color w:val="404040" w:themeColor="text1" w:themeTint="BF"/>
    </w:rPr>
  </w:style>
  <w:style w:type="character" w:customStyle="1" w:styleId="QuoteChar">
    <w:name w:val="Quote Char"/>
    <w:basedOn w:val="DefaultParagraphFont"/>
    <w:link w:val="Quote"/>
    <w:uiPriority w:val="29"/>
    <w:rsid w:val="001C6CDB"/>
    <w:rPr>
      <w:i/>
      <w:iCs/>
      <w:color w:val="404040" w:themeColor="text1" w:themeTint="BF"/>
    </w:rPr>
  </w:style>
  <w:style w:type="paragraph" w:styleId="ListParagraph">
    <w:name w:val="List Paragraph"/>
    <w:basedOn w:val="Normal"/>
    <w:uiPriority w:val="34"/>
    <w:qFormat/>
    <w:rsid w:val="001C6CDB"/>
    <w:pPr>
      <w:ind w:left="720"/>
      <w:contextualSpacing/>
    </w:pPr>
  </w:style>
  <w:style w:type="character" w:styleId="IntenseEmphasis">
    <w:name w:val="Intense Emphasis"/>
    <w:basedOn w:val="DefaultParagraphFont"/>
    <w:uiPriority w:val="21"/>
    <w:qFormat/>
    <w:rsid w:val="001C6CDB"/>
    <w:rPr>
      <w:i/>
      <w:iCs/>
      <w:color w:val="0F4761" w:themeColor="accent1" w:themeShade="BF"/>
    </w:rPr>
  </w:style>
  <w:style w:type="paragraph" w:styleId="IntenseQuote">
    <w:name w:val="Intense Quote"/>
    <w:basedOn w:val="Normal"/>
    <w:next w:val="Normal"/>
    <w:link w:val="IntenseQuoteChar"/>
    <w:uiPriority w:val="30"/>
    <w:qFormat/>
    <w:rsid w:val="001C6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CDB"/>
    <w:rPr>
      <w:i/>
      <w:iCs/>
      <w:color w:val="0F4761" w:themeColor="accent1" w:themeShade="BF"/>
    </w:rPr>
  </w:style>
  <w:style w:type="character" w:styleId="IntenseReference">
    <w:name w:val="Intense Reference"/>
    <w:basedOn w:val="DefaultParagraphFont"/>
    <w:uiPriority w:val="32"/>
    <w:qFormat/>
    <w:rsid w:val="001C6CDB"/>
    <w:rPr>
      <w:b/>
      <w:bCs/>
      <w:smallCaps/>
      <w:color w:val="0F4761" w:themeColor="accent1" w:themeShade="BF"/>
      <w:spacing w:val="5"/>
    </w:rPr>
  </w:style>
  <w:style w:type="character" w:styleId="Hyperlink">
    <w:name w:val="Hyperlink"/>
    <w:basedOn w:val="DefaultParagraphFont"/>
    <w:uiPriority w:val="99"/>
    <w:unhideWhenUsed/>
    <w:rsid w:val="001C6CDB"/>
    <w:rPr>
      <w:color w:val="467886" w:themeColor="hyperlink"/>
      <w:u w:val="single"/>
    </w:rPr>
  </w:style>
  <w:style w:type="character" w:styleId="UnresolvedMention">
    <w:name w:val="Unresolved Mention"/>
    <w:basedOn w:val="DefaultParagraphFont"/>
    <w:uiPriority w:val="99"/>
    <w:semiHidden/>
    <w:unhideWhenUsed/>
    <w:rsid w:val="001C6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search" TargetMode="External" /><Relationship Id="rId11" Type="http://schemas.openxmlformats.org/officeDocument/2006/relationships/hyperlink" Target="https://www.ecfr.gov/recent-changes" TargetMode="External" /><Relationship Id="rId12" Type="http://schemas.openxmlformats.org/officeDocument/2006/relationships/hyperlink" Target="https://www.ecfr.gov/corrections" TargetMode="External" /><Relationship Id="rId13" Type="http://schemas.openxmlformats.org/officeDocument/2006/relationships/hyperlink" Target="https://www.ecfr.gov/reader-aids/using-ecfr" TargetMode="External" /><Relationship Id="rId14" Type="http://schemas.openxmlformats.org/officeDocument/2006/relationships/hyperlink" Target="https://www.ecfr.gov/reader-aids/understanding-the-ecfr" TargetMode="External" /><Relationship Id="rId15" Type="http://schemas.openxmlformats.org/officeDocument/2006/relationships/hyperlink" Target="https://www.ecfr.gov/reader-aids/government-policy-and-ofr-procedures" TargetMode="External" /><Relationship Id="rId16" Type="http://schemas.openxmlformats.org/officeDocument/2006/relationships/hyperlink" Target="https://www.ecfr.gov/reader-aids/ecfr-developer-resources" TargetMode="External" /><Relationship Id="rId17" Type="http://schemas.openxmlformats.org/officeDocument/2006/relationships/hyperlink" Target="https://www.ecfr.gov/reader-aids/government-policy-and-ofr-procedures/about-this-site" TargetMode="External" /><Relationship Id="rId18" Type="http://schemas.openxmlformats.org/officeDocument/2006/relationships/hyperlink" Target="https://www.ecfr.gov/reader-aids/government-policy-and-ofr-procedures/privacy" TargetMode="External" /><Relationship Id="rId19" Type="http://schemas.openxmlformats.org/officeDocument/2006/relationships/hyperlink" Target="https://www.ecfr.gov/reader-aids/government-policy-and-ofr-procedures/accessibility" TargetMode="External" /><Relationship Id="rId2" Type="http://schemas.openxmlformats.org/officeDocument/2006/relationships/webSettings" Target="webSettings.xml" /><Relationship Id="rId20" Type="http://schemas.openxmlformats.org/officeDocument/2006/relationships/hyperlink" Target="https://www.ecfr.gov/reader-aids/government-policy-and-ofr-procedures/foia" TargetMode="External" /><Relationship Id="rId21" Type="http://schemas.openxmlformats.org/officeDocument/2006/relationships/hyperlink" Target="https://www.archives.gov/eeo/policy/no-fear-notice.html" TargetMode="External" /><Relationship Id="rId22" Type="http://schemas.openxmlformats.org/officeDocument/2006/relationships/hyperlink" Target="https://www.archives.gov/federal-register/contact.html" TargetMode="External" /><Relationship Id="rId23" Type="http://schemas.openxmlformats.org/officeDocument/2006/relationships/hyperlink" Target="https://www.ecfr.gov/my/subscriptions" TargetMode="External" /><Relationship Id="rId24" Type="http://schemas.openxmlformats.org/officeDocument/2006/relationships/hyperlink" Target="https://www.ecfr.gov/auth/sign_in?jwt=eyJhbGciOiJIUzI1NiJ9.eyJub3RpZmljYXRpb25zIjp7ImluZm8iOiJZb3Ugd2lsbCBiZSByZWRpcmVjdGVkIGJhY2sgdG8gdGhlIGVDRlIgYWZ0ZXIgeW91IGhhdmUgc2lnbmVkIGluIG9yIGNyZWF0ZWQgYW4gYWNjb3VudC4ifX0.-sYkHWfC02yb0CpuUqmPkxxnF0yzlNHaS5520hYIUy8&amp;redirect_to=https://www.ecfr.gov/current/title-29/subtitle-B/chapter-XVII/part-1904/subpart-C/section-1904.8"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federalregister.gov/citation/82-FR-20548" TargetMode="External" /><Relationship Id="rId5" Type="http://schemas.openxmlformats.org/officeDocument/2006/relationships/hyperlink" Target="https://www.govinfo.gov/link/plaw/115/public/21" TargetMode="External" /><Relationship Id="rId6" Type="http://schemas.openxmlformats.org/officeDocument/2006/relationships/hyperlink" Target="https://www.federalregister.gov/citation/81-FR-91792" TargetMode="External" /><Relationship Id="rId7" Type="http://schemas.openxmlformats.org/officeDocument/2006/relationships/hyperlink" Target="https://www.ecfr.gov/current/title-29/section-1910.1030" TargetMode="External" /><Relationship Id="rId8" Type="http://schemas.openxmlformats.org/officeDocument/2006/relationships/hyperlink" Target="https://www.ecfr.gov/current/title-29/section-1904.7" TargetMode="Externa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2024-11-17T20:05:00Z</dcterms:created>
  <dcterms:modified xsi:type="dcterms:W3CDTF">2024-11-17T20:22:00Z</dcterms:modified>
</cp:coreProperties>
</file>