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3E37" w:rsidRPr="00D50451" w:rsidP="007D3E37" w14:paraId="0D58AB43" w14:textId="76C49DD1">
      <w:pPr>
        <w:rPr>
          <w:sz w:val="14"/>
          <w:szCs w:val="14"/>
        </w:rPr>
      </w:pPr>
      <w:bookmarkStart w:id="0" w:name="_Hlk178178808"/>
      <w:r w:rsidRPr="00D50451">
        <w:rPr>
          <w:b/>
          <w:bCs/>
          <w:noProof/>
          <w:sz w:val="14"/>
          <w:szCs w:val="14"/>
        </w:rPr>
        <w:drawing>
          <wp:inline distT="0" distB="0" distL="0" distR="0">
            <wp:extent cx="5486400" cy="924560"/>
            <wp:effectExtent l="0" t="0" r="0" b="0"/>
            <wp:docPr id="148111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173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924560"/>
                    </a:xfrm>
                    <a:prstGeom prst="rect">
                      <a:avLst/>
                    </a:prstGeom>
                    <a:noFill/>
                    <a:ln>
                      <a:noFill/>
                    </a:ln>
                  </pic:spPr>
                </pic:pic>
              </a:graphicData>
            </a:graphic>
          </wp:inline>
        </w:drawing>
      </w:r>
    </w:p>
    <w:p w:rsidR="007D3E37" w:rsidRPr="00D50451" w:rsidP="00AC3A34" w14:paraId="5A88BD56" w14:textId="7AF07BA7">
      <w:pPr>
        <w:spacing w:line="360" w:lineRule="auto"/>
        <w:rPr>
          <w:rFonts w:ascii="Times New Roman" w:hAnsi="Times New Roman" w:cs="Times New Roman"/>
          <w:sz w:val="24"/>
          <w:szCs w:val="24"/>
        </w:rPr>
      </w:pPr>
      <w:r w:rsidRPr="00D50451">
        <w:rPr>
          <w:rFonts w:ascii="Times New Roman" w:hAnsi="Times New Roman" w:cs="Times New Roman"/>
          <w:sz w:val="24"/>
          <w:szCs w:val="24"/>
        </w:rPr>
        <w:t>Displaying title 29, up to date as of 9/23/2024. Title 29 was last amended 9/23/2024</w:t>
      </w:r>
    </w:p>
    <w:p w:rsidR="007D3E37" w:rsidRPr="00D50451" w:rsidP="007D3E37" w14:paraId="27B38160" w14:textId="77777777">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50451">
        <w:rPr>
          <w:rFonts w:ascii="Times New Roman" w:eastAsia="Times New Roman" w:hAnsi="Times New Roman" w:cs="Times New Roman"/>
          <w:b/>
          <w:bCs/>
          <w:kern w:val="0"/>
          <w:sz w:val="24"/>
          <w:szCs w:val="24"/>
          <w14:ligatures w14:val="none"/>
        </w:rPr>
        <w:t>§ 1905.10 Variances and other relief under section 6(b)(6)(A).</w:t>
      </w:r>
    </w:p>
    <w:p w:rsidR="007D3E37" w:rsidRPr="007D3E37" w:rsidP="007D3E37" w14:paraId="2C76F9C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 xml:space="preserve">(a) </w:t>
      </w:r>
      <w:r w:rsidRPr="007D3E37">
        <w:rPr>
          <w:rFonts w:ascii="Times New Roman" w:eastAsia="Times New Roman" w:hAnsi="Times New Roman" w:cs="Times New Roman"/>
          <w:b/>
          <w:bCs/>
          <w:i/>
          <w:iCs/>
          <w:kern w:val="0"/>
          <w:sz w:val="24"/>
          <w:szCs w:val="24"/>
          <w14:ligatures w14:val="none"/>
        </w:rPr>
        <w:t>Application for variance.</w:t>
      </w:r>
      <w:r w:rsidRPr="007D3E37">
        <w:rPr>
          <w:rFonts w:ascii="Times New Roman" w:eastAsia="Times New Roman" w:hAnsi="Times New Roman" w:cs="Times New Roman"/>
          <w:kern w:val="0"/>
          <w:sz w:val="24"/>
          <w:szCs w:val="24"/>
          <w14:ligatures w14:val="none"/>
        </w:rPr>
        <w:t xml:space="preserve"> Any employer, or class of employers, desiring a variance from a standard, or portion thereof, authorized by section 6(b)(6)(A) of the Act may file a written application containing the information specified in </w:t>
      </w:r>
      <w:hyperlink r:id="rId5" w:anchor="p-1905.10(b)" w:history="1">
        <w:r w:rsidRPr="007D3E37">
          <w:rPr>
            <w:rFonts w:ascii="Times New Roman" w:eastAsia="Times New Roman" w:hAnsi="Times New Roman" w:cs="Times New Roman"/>
            <w:color w:val="0000FF"/>
            <w:kern w:val="0"/>
            <w:sz w:val="24"/>
            <w:szCs w:val="24"/>
            <w:u w:val="single"/>
            <w14:ligatures w14:val="none"/>
          </w:rPr>
          <w:t>paragraph (b)</w:t>
        </w:r>
      </w:hyperlink>
      <w:r w:rsidRPr="007D3E37">
        <w:rPr>
          <w:rFonts w:ascii="Times New Roman" w:eastAsia="Times New Roman" w:hAnsi="Times New Roman" w:cs="Times New Roman"/>
          <w:kern w:val="0"/>
          <w:sz w:val="24"/>
          <w:szCs w:val="24"/>
          <w14:ligatures w14:val="none"/>
        </w:rPr>
        <w:t xml:space="preserve"> of this section with the Assistant Secretary for Occupational Safety and Health, U.S. Department of Labor, Washington, DC 20210.</w:t>
      </w:r>
    </w:p>
    <w:p w:rsidR="007D3E37" w:rsidRPr="007D3E37" w:rsidP="007D3E37" w14:paraId="6B59CA3E"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 xml:space="preserve">(b) </w:t>
      </w:r>
      <w:r w:rsidRPr="007D3E37">
        <w:rPr>
          <w:rFonts w:ascii="Times New Roman" w:eastAsia="Times New Roman" w:hAnsi="Times New Roman" w:cs="Times New Roman"/>
          <w:b/>
          <w:bCs/>
          <w:i/>
          <w:iCs/>
          <w:kern w:val="0"/>
          <w:sz w:val="24"/>
          <w:szCs w:val="24"/>
          <w14:ligatures w14:val="none"/>
        </w:rPr>
        <w:t>Contents.</w:t>
      </w:r>
      <w:r w:rsidRPr="007D3E37">
        <w:rPr>
          <w:rFonts w:ascii="Times New Roman" w:eastAsia="Times New Roman" w:hAnsi="Times New Roman" w:cs="Times New Roman"/>
          <w:kern w:val="0"/>
          <w:sz w:val="24"/>
          <w:szCs w:val="24"/>
          <w14:ligatures w14:val="none"/>
        </w:rPr>
        <w:t xml:space="preserve"> An application filed pursuant to </w:t>
      </w:r>
      <w:hyperlink r:id="rId5" w:anchor="p-1905.10(a)" w:history="1">
        <w:r w:rsidRPr="007D3E37">
          <w:rPr>
            <w:rFonts w:ascii="Times New Roman" w:eastAsia="Times New Roman" w:hAnsi="Times New Roman" w:cs="Times New Roman"/>
            <w:color w:val="0000FF"/>
            <w:kern w:val="0"/>
            <w:sz w:val="24"/>
            <w:szCs w:val="24"/>
            <w:u w:val="single"/>
            <w14:ligatures w14:val="none"/>
          </w:rPr>
          <w:t>paragraph (a)</w:t>
        </w:r>
      </w:hyperlink>
      <w:r w:rsidRPr="007D3E37">
        <w:rPr>
          <w:rFonts w:ascii="Times New Roman" w:eastAsia="Times New Roman" w:hAnsi="Times New Roman" w:cs="Times New Roman"/>
          <w:kern w:val="0"/>
          <w:sz w:val="24"/>
          <w:szCs w:val="24"/>
          <w14:ligatures w14:val="none"/>
        </w:rPr>
        <w:t xml:space="preserve"> of this section shall include:</w:t>
      </w:r>
    </w:p>
    <w:p w:rsidR="007D3E37" w:rsidRPr="007D3E37" w:rsidP="007D3E37" w14:paraId="6EB0A32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(1) The name and address of the applicant;</w:t>
      </w:r>
    </w:p>
    <w:p w:rsidR="007D3E37" w:rsidRPr="007D3E37" w:rsidP="007D3E37" w14:paraId="096F3DE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(2) The address of the place or places of employment involved;</w:t>
      </w:r>
    </w:p>
    <w:p w:rsidR="007D3E37" w:rsidRPr="007D3E37" w:rsidP="007D3E37" w14:paraId="0BA56AD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(3) A specification of the standard or portion thereof from which the applicant seeks a variance;</w:t>
      </w:r>
    </w:p>
    <w:p w:rsidR="007D3E37" w:rsidRPr="007D3E37" w:rsidP="007D3E37" w14:paraId="64011B0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(4) A representation by the applicant, supported by representations from qualified persons having first-hand knowledge of the facts represented, that he is unable to comply with the standard or portion thereof by its effective date and a detailed statement of the reasons therefor;</w:t>
      </w:r>
    </w:p>
    <w:p w:rsidR="007D3E37" w:rsidRPr="007D3E37" w:rsidP="007D3E37" w14:paraId="1977336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(5) A statement of the steps the applicant has taken and will take, with specific dates where appropriate, to protect employees against the hazard covered by the standard;</w:t>
      </w:r>
    </w:p>
    <w:p w:rsidR="007D3E37" w:rsidRPr="007D3E37" w:rsidP="007D3E37" w14:paraId="0CFC28C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(6) A statement of when the applicant expects to be able to comply with the standard and of what steps he has taken and will take, with specific dates where appropriate, to come into compliance with the standard;</w:t>
      </w:r>
    </w:p>
    <w:p w:rsidR="007D3E37" w:rsidRPr="007D3E37" w:rsidP="007D3E37" w14:paraId="40B40CE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(7) A statement of the facts the applicant would show to establish that</w:t>
      </w:r>
    </w:p>
    <w:p w:rsidR="007D3E37" w:rsidRPr="007D3E37" w:rsidP="007D3E37" w14:paraId="56604B9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(i) The applicant is unable to comply with a standard by its effective date because of unavailability of professional or technical personnel or of materials and equipment needed to come into compliance with the standard or because necessary construction or alteration of facilities cannot be completed by the effective date;</w:t>
      </w:r>
    </w:p>
    <w:p w:rsidR="007D3E37" w:rsidRPr="007D3E37" w:rsidP="007D3E37" w14:paraId="473FDC5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(ii) He is taking all available steps to safeguard his employees against the hazards covered by the standard; and</w:t>
      </w:r>
    </w:p>
    <w:p w:rsidR="007D3E37" w:rsidRPr="007D3E37" w:rsidP="007D3E37" w14:paraId="77F5715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(iii) He has an effective program for coming into compliance with the standard as quickly as practicable;</w:t>
      </w:r>
    </w:p>
    <w:p w:rsidR="007D3E37" w:rsidRPr="007D3E37" w:rsidP="007D3E37" w14:paraId="1E0AE29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(8) Any request for a hearing, as provided in this part;</w:t>
      </w:r>
    </w:p>
    <w:p w:rsidR="007D3E37" w:rsidRPr="007D3E37" w:rsidP="007D3E37" w14:paraId="22A4752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(9) A statement that the applicant has informed his affected employees of the application by giving a copy thereof to their authorized representative, posting a statement, giving a summary of the application and specifying where a copy may be examined, at the place or places where notices to employees are normally posted, and by other appropriate means; and</w:t>
      </w:r>
    </w:p>
    <w:p w:rsidR="007D3E37" w:rsidRPr="007D3E37" w:rsidP="007D3E37" w14:paraId="1A303EE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(10) A description of how affected employees have been informed of the application and of their right to petition the Assistant Secretary for a hearing.</w:t>
      </w:r>
    </w:p>
    <w:p w:rsidR="007D3E37" w:rsidRPr="007D3E37" w:rsidP="007D3E37" w14:paraId="47E8F70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(11) Where the requested variance would be applicable to employment or places of employment in more than one State, including at least one State with a State plan approved under section 18 of the Act, and involves a standard, or portion thereof, identical to a State standard effective under such plan:</w:t>
      </w:r>
    </w:p>
    <w:p w:rsidR="007D3E37" w:rsidRPr="007D3E37" w:rsidP="007D3E37" w14:paraId="4F5AD29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(i) A side-by-side comparison of the Federal standard, or portion thereof, involved with the State standard, or portion thereof, identical in substance and requirements;</w:t>
      </w:r>
    </w:p>
    <w:p w:rsidR="007D3E37" w:rsidRPr="007D3E37" w:rsidP="007D3E37" w14:paraId="6A4CCF8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(ii) A certification that the employer or employers have not filed for such variance on the same material facts for the same employment or place of employment with any State authority having jurisdiction under an approval plan over any employment or place of employment covered in the application; and</w:t>
      </w:r>
    </w:p>
    <w:p w:rsidR="007D3E37" w:rsidRPr="007D3E37" w:rsidP="007D3E37" w14:paraId="1FC2597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(iii) A statement as to whether, with an identification of, any citations for violations of the State standard, or portion thereof, involved have been issued to the employer or employers by any of the State authorities enforcing the standard under a plan, and are pending.</w:t>
      </w:r>
    </w:p>
    <w:p w:rsidR="007D3E37" w:rsidRPr="007D3E37" w:rsidP="007D3E37" w14:paraId="7DEFFC6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 xml:space="preserve">(c) </w:t>
      </w:r>
      <w:r w:rsidRPr="007D3E37">
        <w:rPr>
          <w:rFonts w:ascii="Times New Roman" w:eastAsia="Times New Roman" w:hAnsi="Times New Roman" w:cs="Times New Roman"/>
          <w:b/>
          <w:bCs/>
          <w:i/>
          <w:iCs/>
          <w:kern w:val="0"/>
          <w:sz w:val="24"/>
          <w:szCs w:val="24"/>
          <w14:ligatures w14:val="none"/>
        </w:rPr>
        <w:t>Interim order</w:t>
      </w:r>
      <w:r w:rsidRPr="007D3E37">
        <w:rPr>
          <w:rFonts w:ascii="Times New Roman" w:eastAsia="Times New Roman" w:hAnsi="Times New Roman" w:cs="Times New Roman"/>
          <w:kern w:val="0"/>
          <w:sz w:val="24"/>
          <w:szCs w:val="24"/>
          <w14:ligatures w14:val="none"/>
        </w:rPr>
        <w:t xml:space="preserve"> —</w:t>
      </w:r>
    </w:p>
    <w:p w:rsidR="007D3E37" w:rsidRPr="007D3E37" w:rsidP="007D3E37" w14:paraId="7AB20B9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 xml:space="preserve">(1) </w:t>
      </w:r>
      <w:r w:rsidRPr="007D3E37">
        <w:rPr>
          <w:rFonts w:ascii="Times New Roman" w:eastAsia="Times New Roman" w:hAnsi="Times New Roman" w:cs="Times New Roman"/>
          <w:b/>
          <w:bCs/>
          <w:i/>
          <w:iCs/>
          <w:kern w:val="0"/>
          <w:sz w:val="24"/>
          <w:szCs w:val="24"/>
          <w14:ligatures w14:val="none"/>
        </w:rPr>
        <w:t>Application.</w:t>
      </w:r>
      <w:r w:rsidRPr="007D3E37">
        <w:rPr>
          <w:rFonts w:ascii="Times New Roman" w:eastAsia="Times New Roman" w:hAnsi="Times New Roman" w:cs="Times New Roman"/>
          <w:kern w:val="0"/>
          <w:sz w:val="24"/>
          <w:szCs w:val="24"/>
          <w14:ligatures w14:val="none"/>
        </w:rPr>
        <w:t xml:space="preserve"> An application may also be made for an interim order to be effective until a decision is rendered on the application for the variance filed previously or concurrently. An application for an interim order may include statements of fact and arguments as to why the order should be granted. The Assistant Secretary may rule ex parte upon the application.</w:t>
      </w:r>
    </w:p>
    <w:p w:rsidR="007D3E37" w:rsidRPr="007D3E37" w:rsidP="007D3E37" w14:paraId="1B74D2A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 xml:space="preserve">(2) </w:t>
      </w:r>
      <w:r w:rsidRPr="007D3E37">
        <w:rPr>
          <w:rFonts w:ascii="Times New Roman" w:eastAsia="Times New Roman" w:hAnsi="Times New Roman" w:cs="Times New Roman"/>
          <w:b/>
          <w:bCs/>
          <w:i/>
          <w:iCs/>
          <w:kern w:val="0"/>
          <w:sz w:val="24"/>
          <w:szCs w:val="24"/>
          <w14:ligatures w14:val="none"/>
        </w:rPr>
        <w:t>Notice of denial of application.</w:t>
      </w:r>
      <w:r w:rsidRPr="007D3E37">
        <w:rPr>
          <w:rFonts w:ascii="Times New Roman" w:eastAsia="Times New Roman" w:hAnsi="Times New Roman" w:cs="Times New Roman"/>
          <w:kern w:val="0"/>
          <w:sz w:val="24"/>
          <w:szCs w:val="24"/>
          <w14:ligatures w14:val="none"/>
        </w:rPr>
        <w:t xml:space="preserve"> If an application filed pursuant to </w:t>
      </w:r>
      <w:hyperlink r:id="rId5" w:anchor="p-1905.10(c)(1)" w:history="1">
        <w:r w:rsidRPr="007D3E37">
          <w:rPr>
            <w:rFonts w:ascii="Times New Roman" w:eastAsia="Times New Roman" w:hAnsi="Times New Roman" w:cs="Times New Roman"/>
            <w:color w:val="0000FF"/>
            <w:kern w:val="0"/>
            <w:sz w:val="24"/>
            <w:szCs w:val="24"/>
            <w:u w:val="single"/>
            <w14:ligatures w14:val="none"/>
          </w:rPr>
          <w:t>paragraph (c)(1)</w:t>
        </w:r>
      </w:hyperlink>
      <w:r w:rsidRPr="007D3E37">
        <w:rPr>
          <w:rFonts w:ascii="Times New Roman" w:eastAsia="Times New Roman" w:hAnsi="Times New Roman" w:cs="Times New Roman"/>
          <w:kern w:val="0"/>
          <w:sz w:val="24"/>
          <w:szCs w:val="24"/>
          <w14:ligatures w14:val="none"/>
        </w:rPr>
        <w:t xml:space="preserve"> of this section is denied, the applicant shall be given prompt notice of the </w:t>
      </w:r>
      <w:r w:rsidRPr="007D3E37">
        <w:rPr>
          <w:rFonts w:ascii="Times New Roman" w:eastAsia="Times New Roman" w:hAnsi="Times New Roman" w:cs="Times New Roman"/>
          <w:kern w:val="0"/>
          <w:sz w:val="24"/>
          <w:szCs w:val="24"/>
          <w14:ligatures w14:val="none"/>
        </w:rPr>
        <w:t>denial, which shall include, or be accompanied by, a brief statement of the grounds therefor.</w:t>
      </w:r>
    </w:p>
    <w:p w:rsidR="007D3E37" w:rsidRPr="007D3E37" w:rsidP="007D3E37" w14:paraId="6BC29FF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 xml:space="preserve">(3) </w:t>
      </w:r>
      <w:r w:rsidRPr="007D3E37">
        <w:rPr>
          <w:rFonts w:ascii="Times New Roman" w:eastAsia="Times New Roman" w:hAnsi="Times New Roman" w:cs="Times New Roman"/>
          <w:b/>
          <w:bCs/>
          <w:i/>
          <w:iCs/>
          <w:kern w:val="0"/>
          <w:sz w:val="24"/>
          <w:szCs w:val="24"/>
          <w14:ligatures w14:val="none"/>
        </w:rPr>
        <w:t>Notice of the grant of an interim order.</w:t>
      </w:r>
      <w:r w:rsidRPr="007D3E37">
        <w:rPr>
          <w:rFonts w:ascii="Times New Roman" w:eastAsia="Times New Roman" w:hAnsi="Times New Roman" w:cs="Times New Roman"/>
          <w:kern w:val="0"/>
          <w:sz w:val="24"/>
          <w:szCs w:val="24"/>
          <w14:ligatures w14:val="none"/>
        </w:rPr>
        <w:t xml:space="preserve"> If an interim order is granted, a copy of the order shall be served upon the applicant for the order and other parties and the terms of the order shall be published in the Federal Register. It shall be a condition of the order that the affected employer shall give notice thereof to affected employees by the same means to be used to inform them of an application for a variance.</w:t>
      </w:r>
    </w:p>
    <w:p w:rsidR="007D3E37" w:rsidRPr="007D3E37" w:rsidP="007D3E37" w14:paraId="2480C41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E37">
        <w:rPr>
          <w:rFonts w:ascii="Times New Roman" w:eastAsia="Times New Roman" w:hAnsi="Times New Roman" w:cs="Times New Roman"/>
          <w:kern w:val="0"/>
          <w:sz w:val="24"/>
          <w:szCs w:val="24"/>
          <w14:ligatures w14:val="none"/>
        </w:rPr>
        <w:t>[</w:t>
      </w:r>
      <w:hyperlink r:id="rId6" w:history="1">
        <w:r w:rsidRPr="007D3E37">
          <w:rPr>
            <w:rFonts w:ascii="Times New Roman" w:eastAsia="Times New Roman" w:hAnsi="Times New Roman" w:cs="Times New Roman"/>
            <w:color w:val="0000FF"/>
            <w:kern w:val="0"/>
            <w:sz w:val="24"/>
            <w:szCs w:val="24"/>
            <w:u w:val="single"/>
            <w14:ligatures w14:val="none"/>
          </w:rPr>
          <w:t>36 FR 12290</w:t>
        </w:r>
      </w:hyperlink>
      <w:r w:rsidRPr="007D3E37">
        <w:rPr>
          <w:rFonts w:ascii="Times New Roman" w:eastAsia="Times New Roman" w:hAnsi="Times New Roman" w:cs="Times New Roman"/>
          <w:kern w:val="0"/>
          <w:sz w:val="24"/>
          <w:szCs w:val="24"/>
          <w14:ligatures w14:val="none"/>
        </w:rPr>
        <w:t xml:space="preserve">, June 30, 1971, as amended at </w:t>
      </w:r>
      <w:hyperlink r:id="rId7" w:history="1">
        <w:r w:rsidRPr="007D3E37">
          <w:rPr>
            <w:rFonts w:ascii="Times New Roman" w:eastAsia="Times New Roman" w:hAnsi="Times New Roman" w:cs="Times New Roman"/>
            <w:color w:val="0000FF"/>
            <w:kern w:val="0"/>
            <w:sz w:val="24"/>
            <w:szCs w:val="24"/>
            <w:u w:val="single"/>
            <w14:ligatures w14:val="none"/>
          </w:rPr>
          <w:t>40 FR 25449</w:t>
        </w:r>
      </w:hyperlink>
      <w:r w:rsidRPr="007D3E37">
        <w:rPr>
          <w:rFonts w:ascii="Times New Roman" w:eastAsia="Times New Roman" w:hAnsi="Times New Roman" w:cs="Times New Roman"/>
          <w:kern w:val="0"/>
          <w:sz w:val="24"/>
          <w:szCs w:val="24"/>
          <w14:ligatures w14:val="none"/>
        </w:rPr>
        <w:t>, June 16, 1975</w:t>
      </w:r>
    </w:p>
    <w:bookmarkEnd w:id="0"/>
    <w:p w:rsidR="007D3E37" w:rsidRPr="007D3E37" w:rsidP="007D3E37" w14:paraId="511248AA" w14:textId="77777777"/>
    <w:sectPr w:rsidSect="00BC164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37"/>
    <w:rsid w:val="00040206"/>
    <w:rsid w:val="007D3E37"/>
    <w:rsid w:val="00AB05E0"/>
    <w:rsid w:val="00AC3A34"/>
    <w:rsid w:val="00BC1640"/>
    <w:rsid w:val="00D50451"/>
    <w:rsid w:val="00E13E1D"/>
    <w:rsid w:val="00FE5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252D1C"/>
  <w15:chartTrackingRefBased/>
  <w15:docId w15:val="{D4272A09-011A-479B-8376-CF6ADE0B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E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E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E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E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E37"/>
    <w:rPr>
      <w:rFonts w:eastAsiaTheme="majorEastAsia" w:cstheme="majorBidi"/>
      <w:color w:val="272727" w:themeColor="text1" w:themeTint="D8"/>
    </w:rPr>
  </w:style>
  <w:style w:type="paragraph" w:styleId="Title">
    <w:name w:val="Title"/>
    <w:basedOn w:val="Normal"/>
    <w:next w:val="Normal"/>
    <w:link w:val="TitleChar"/>
    <w:uiPriority w:val="10"/>
    <w:qFormat/>
    <w:rsid w:val="007D3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E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E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3E37"/>
    <w:rPr>
      <w:i/>
      <w:iCs/>
      <w:color w:val="404040" w:themeColor="text1" w:themeTint="BF"/>
    </w:rPr>
  </w:style>
  <w:style w:type="paragraph" w:styleId="ListParagraph">
    <w:name w:val="List Paragraph"/>
    <w:basedOn w:val="Normal"/>
    <w:uiPriority w:val="34"/>
    <w:qFormat/>
    <w:rsid w:val="007D3E37"/>
    <w:pPr>
      <w:ind w:left="720"/>
      <w:contextualSpacing/>
    </w:pPr>
  </w:style>
  <w:style w:type="character" w:styleId="IntenseEmphasis">
    <w:name w:val="Intense Emphasis"/>
    <w:basedOn w:val="DefaultParagraphFont"/>
    <w:uiPriority w:val="21"/>
    <w:qFormat/>
    <w:rsid w:val="007D3E37"/>
    <w:rPr>
      <w:i/>
      <w:iCs/>
      <w:color w:val="0F4761" w:themeColor="accent1" w:themeShade="BF"/>
    </w:rPr>
  </w:style>
  <w:style w:type="paragraph" w:styleId="IntenseQuote">
    <w:name w:val="Intense Quote"/>
    <w:basedOn w:val="Normal"/>
    <w:next w:val="Normal"/>
    <w:link w:val="IntenseQuoteChar"/>
    <w:uiPriority w:val="30"/>
    <w:qFormat/>
    <w:rsid w:val="007D3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E37"/>
    <w:rPr>
      <w:i/>
      <w:iCs/>
      <w:color w:val="0F4761" w:themeColor="accent1" w:themeShade="BF"/>
    </w:rPr>
  </w:style>
  <w:style w:type="character" w:styleId="IntenseReference">
    <w:name w:val="Intense Reference"/>
    <w:basedOn w:val="DefaultParagraphFont"/>
    <w:uiPriority w:val="32"/>
    <w:qFormat/>
    <w:rsid w:val="007D3E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https://www.ecfr.gov/current/title-29/section-1905.10" TargetMode="External" /><Relationship Id="rId6" Type="http://schemas.openxmlformats.org/officeDocument/2006/relationships/hyperlink" Target="https://www.federalregister.gov/citation/36-FR-12290" TargetMode="External" /><Relationship Id="rId7" Type="http://schemas.openxmlformats.org/officeDocument/2006/relationships/hyperlink" Target="https://www.federalregister.gov/citation/40-FR-25449"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 D.  - OSHA</dc:creator>
  <cp:lastModifiedBy>Green, Joann D.  - OSHA</cp:lastModifiedBy>
  <cp:revision>3</cp:revision>
  <dcterms:created xsi:type="dcterms:W3CDTF">2024-09-25T21:17:00Z</dcterms:created>
  <dcterms:modified xsi:type="dcterms:W3CDTF">2024-11-18T20:00:00Z</dcterms:modified>
</cp:coreProperties>
</file>