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26396" w:rsidRPr="00B370A4" w:rsidP="00B370A4" w14:paraId="27825387" w14:textId="77777777">
      <w:pPr>
        <w:suppressAutoHyphens/>
        <w:spacing w:line="240" w:lineRule="atLeast"/>
        <w:rPr>
          <w:bCs/>
          <w:sz w:val="24"/>
        </w:rPr>
      </w:pPr>
      <w:bookmarkStart w:id="0" w:name="_Hlk178178952"/>
      <w:bookmarkEnd w:id="0"/>
    </w:p>
    <w:p w:rsidR="0052708B" w:rsidP="00142A0C" w14:paraId="4DCB28A0" w14:textId="77777777">
      <w:pPr>
        <w:suppressAutoHyphens/>
        <w:spacing w:line="240" w:lineRule="atLeast"/>
        <w:jc w:val="center"/>
        <w:rPr>
          <w:b/>
          <w:bCs/>
          <w:sz w:val="24"/>
        </w:rPr>
      </w:pPr>
      <w:r>
        <w:rPr>
          <w:b/>
          <w:bCs/>
          <w:sz w:val="24"/>
        </w:rPr>
        <w:t>SUPPORTING STATEMENT FOR THE</w:t>
      </w:r>
    </w:p>
    <w:p w:rsidR="0052708B" w:rsidP="00142A0C" w14:paraId="05E26004" w14:textId="77777777">
      <w:pPr>
        <w:suppressAutoHyphens/>
        <w:spacing w:line="240" w:lineRule="atLeast"/>
        <w:jc w:val="center"/>
        <w:rPr>
          <w:b/>
          <w:bCs/>
          <w:sz w:val="24"/>
        </w:rPr>
      </w:pPr>
      <w:r>
        <w:rPr>
          <w:b/>
          <w:bCs/>
          <w:sz w:val="24"/>
        </w:rPr>
        <w:t>INFORMATION</w:t>
      </w:r>
      <w:r w:rsidR="007567C1">
        <w:rPr>
          <w:b/>
          <w:bCs/>
          <w:sz w:val="24"/>
        </w:rPr>
        <w:t xml:space="preserve"> </w:t>
      </w:r>
      <w:r>
        <w:rPr>
          <w:b/>
          <w:bCs/>
          <w:sz w:val="24"/>
        </w:rPr>
        <w:t xml:space="preserve">COLLECTION REQUIREMENTS </w:t>
      </w:r>
      <w:r w:rsidR="004D1429">
        <w:rPr>
          <w:b/>
          <w:bCs/>
          <w:sz w:val="24"/>
        </w:rPr>
        <w:t>IN</w:t>
      </w:r>
      <w:r>
        <w:rPr>
          <w:b/>
          <w:bCs/>
          <w:sz w:val="24"/>
        </w:rPr>
        <w:t xml:space="preserve"> THE</w:t>
      </w:r>
    </w:p>
    <w:p w:rsidR="001E3F71" w:rsidP="00142A0C" w14:paraId="4FF3A91A" w14:textId="77777777">
      <w:pPr>
        <w:suppressAutoHyphens/>
        <w:spacing w:line="240" w:lineRule="atLeast"/>
        <w:jc w:val="center"/>
        <w:rPr>
          <w:b/>
          <w:bCs/>
          <w:sz w:val="24"/>
        </w:rPr>
      </w:pPr>
      <w:r>
        <w:rPr>
          <w:b/>
          <w:bCs/>
          <w:sz w:val="24"/>
        </w:rPr>
        <w:t xml:space="preserve">OCCUPATIONAL SAFETY </w:t>
      </w:r>
      <w:r w:rsidR="00FB468F">
        <w:rPr>
          <w:b/>
          <w:bCs/>
          <w:sz w:val="24"/>
        </w:rPr>
        <w:t>AND</w:t>
      </w:r>
      <w:r>
        <w:rPr>
          <w:b/>
          <w:bCs/>
          <w:sz w:val="24"/>
        </w:rPr>
        <w:t xml:space="preserve"> HEALTH ACT </w:t>
      </w:r>
      <w:r w:rsidR="004D1429">
        <w:rPr>
          <w:b/>
          <w:bCs/>
          <w:sz w:val="24"/>
        </w:rPr>
        <w:t xml:space="preserve">VARIANCE </w:t>
      </w:r>
    </w:p>
    <w:p w:rsidR="0052708B" w:rsidP="00142A0C" w14:paraId="588A1D6B" w14:textId="0C345D80">
      <w:pPr>
        <w:suppressAutoHyphens/>
        <w:spacing w:line="240" w:lineRule="atLeast"/>
        <w:jc w:val="center"/>
        <w:rPr>
          <w:b/>
          <w:bCs/>
          <w:sz w:val="24"/>
        </w:rPr>
      </w:pPr>
      <w:r>
        <w:rPr>
          <w:b/>
          <w:bCs/>
          <w:sz w:val="24"/>
        </w:rPr>
        <w:t>REGULATION</w:t>
      </w:r>
      <w:r w:rsidR="00C71D7A">
        <w:rPr>
          <w:b/>
          <w:bCs/>
          <w:sz w:val="24"/>
        </w:rPr>
        <w:t xml:space="preserve">S </w:t>
      </w:r>
      <w:r w:rsidR="00655D28">
        <w:rPr>
          <w:b/>
          <w:bCs/>
          <w:sz w:val="24"/>
        </w:rPr>
        <w:t>(29 CFR 1905.10</w:t>
      </w:r>
      <w:r w:rsidR="00BD743E">
        <w:rPr>
          <w:b/>
          <w:bCs/>
          <w:sz w:val="24"/>
        </w:rPr>
        <w:t>, 1905.11 and 1905.12</w:t>
      </w:r>
      <w:r>
        <w:rPr>
          <w:b/>
          <w:bCs/>
          <w:sz w:val="24"/>
        </w:rPr>
        <w:t>)</w:t>
      </w:r>
      <w:r>
        <w:rPr>
          <w:rStyle w:val="FootnoteReference"/>
          <w:b/>
          <w:bCs/>
          <w:sz w:val="24"/>
          <w:vertAlign w:val="superscript"/>
        </w:rPr>
        <w:footnoteReference w:id="2"/>
      </w:r>
    </w:p>
    <w:p w:rsidR="00ED5BE8" w:rsidRPr="00265E24" w:rsidP="00142A0C" w14:paraId="32FC26C5" w14:textId="69C100A2">
      <w:pPr>
        <w:suppressAutoHyphens/>
        <w:spacing w:line="240" w:lineRule="atLeast"/>
        <w:jc w:val="center"/>
        <w:rPr>
          <w:b/>
          <w:bCs/>
          <w:sz w:val="24"/>
        </w:rPr>
      </w:pPr>
      <w:r w:rsidRPr="00BD049F">
        <w:rPr>
          <w:b/>
          <w:bCs/>
          <w:sz w:val="24"/>
        </w:rPr>
        <w:t>OFFICE OF MANAGEMENT AND BUDGET (OMB)</w:t>
      </w:r>
    </w:p>
    <w:p w:rsidR="0052708B" w:rsidP="0076368D" w14:paraId="459772E7" w14:textId="6E419A86">
      <w:pPr>
        <w:widowControl/>
        <w:jc w:val="center"/>
        <w:rPr>
          <w:b/>
          <w:sz w:val="24"/>
        </w:rPr>
      </w:pPr>
      <w:r>
        <w:rPr>
          <w:b/>
          <w:sz w:val="24"/>
        </w:rPr>
        <w:t>Control N</w:t>
      </w:r>
      <w:r w:rsidR="00520490">
        <w:rPr>
          <w:b/>
          <w:sz w:val="24"/>
        </w:rPr>
        <w:t>umber</w:t>
      </w:r>
      <w:r w:rsidR="009A50B2">
        <w:rPr>
          <w:b/>
          <w:sz w:val="24"/>
        </w:rPr>
        <w:t xml:space="preserve"> 1218-</w:t>
      </w:r>
      <w:r w:rsidR="001D524C">
        <w:rPr>
          <w:b/>
          <w:sz w:val="24"/>
        </w:rPr>
        <w:t xml:space="preserve">0265 </w:t>
      </w:r>
      <w:r w:rsidR="000B404C">
        <w:rPr>
          <w:b/>
          <w:sz w:val="24"/>
        </w:rPr>
        <w:t>(January 2025</w:t>
      </w:r>
      <w:r w:rsidR="00FB468F">
        <w:rPr>
          <w:b/>
          <w:sz w:val="24"/>
        </w:rPr>
        <w:t>)</w:t>
      </w:r>
    </w:p>
    <w:p w:rsidR="009A1B53" w:rsidP="0076368D" w14:paraId="56B25717" w14:textId="77777777">
      <w:pPr>
        <w:widowControl/>
        <w:jc w:val="center"/>
        <w:rPr>
          <w:b/>
          <w:sz w:val="24"/>
        </w:rPr>
      </w:pPr>
    </w:p>
    <w:p w:rsidR="00610911" w:rsidRPr="00C75807" w:rsidP="00610911" w14:paraId="09E899A0" w14:textId="6306A44C">
      <w:pPr>
        <w:adjustRightInd/>
        <w:rPr>
          <w:b/>
          <w:bCs/>
          <w:sz w:val="24"/>
        </w:rPr>
      </w:pPr>
      <w:r>
        <w:rPr>
          <w:bCs/>
          <w:sz w:val="24"/>
        </w:rPr>
        <w:t xml:space="preserve">The agency is requesting an extension of </w:t>
      </w:r>
      <w:r w:rsidR="00E43D81">
        <w:rPr>
          <w:bCs/>
          <w:sz w:val="24"/>
        </w:rPr>
        <w:t>a</w:t>
      </w:r>
      <w:r>
        <w:rPr>
          <w:bCs/>
          <w:sz w:val="24"/>
        </w:rPr>
        <w:t xml:space="preserve"> </w:t>
      </w:r>
      <w:r w:rsidR="00875F89">
        <w:rPr>
          <w:bCs/>
          <w:sz w:val="24"/>
        </w:rPr>
        <w:t>currently</w:t>
      </w:r>
      <w:r>
        <w:rPr>
          <w:bCs/>
          <w:sz w:val="24"/>
        </w:rPr>
        <w:t xml:space="preserve"> approved data collection. </w:t>
      </w:r>
    </w:p>
    <w:p w:rsidR="00610911" w:rsidRPr="00C75807" w:rsidP="00610911" w14:paraId="3B5A3BB5" w14:textId="77777777">
      <w:pPr>
        <w:adjustRightInd/>
        <w:rPr>
          <w:b/>
          <w:bCs/>
          <w:sz w:val="24"/>
        </w:rPr>
      </w:pPr>
    </w:p>
    <w:p w:rsidR="0052708B" w:rsidRPr="00121CC0" w:rsidP="0052708B" w14:paraId="0FB16B85" w14:textId="77777777">
      <w:pPr>
        <w:widowControl/>
        <w:rPr>
          <w:b/>
          <w:sz w:val="24"/>
        </w:rPr>
      </w:pPr>
      <w:r w:rsidRPr="00121CC0">
        <w:rPr>
          <w:b/>
          <w:bCs/>
          <w:sz w:val="24"/>
        </w:rPr>
        <w:t>A. JUSTIFICATION</w:t>
      </w:r>
    </w:p>
    <w:p w:rsidR="0052708B" w:rsidRPr="00121CC0" w:rsidP="0052708B" w14:paraId="24767BD9" w14:textId="77777777">
      <w:pPr>
        <w:widowControl/>
        <w:rPr>
          <w:sz w:val="24"/>
        </w:rPr>
      </w:pPr>
    </w:p>
    <w:p w:rsidR="00666025" w:rsidRPr="00121CC0" w:rsidP="0052708B" w14:paraId="707A05F3" w14:textId="77777777">
      <w:pPr>
        <w:widowControl/>
        <w:rPr>
          <w:sz w:val="24"/>
        </w:rPr>
      </w:pPr>
      <w:r w:rsidRPr="001E1E41">
        <w:rPr>
          <w:b/>
          <w:bCs/>
          <w:sz w:val="24"/>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666025" w:rsidP="0052708B" w14:paraId="14433E7B" w14:textId="77777777">
      <w:pPr>
        <w:widowControl/>
        <w:rPr>
          <w:sz w:val="24"/>
        </w:rPr>
      </w:pPr>
    </w:p>
    <w:p w:rsidR="0052708B" w:rsidP="0052708B" w14:paraId="72C0AA41" w14:textId="77777777">
      <w:pPr>
        <w:widowControl/>
        <w:rPr>
          <w:sz w:val="24"/>
        </w:rPr>
      </w:pPr>
      <w:r>
        <w:rPr>
          <w:sz w:val="24"/>
        </w:rPr>
        <w:t xml:space="preserve">The principal objective of the Occupational Safety and Health Act </w:t>
      </w:r>
      <w:r w:rsidRPr="00F1596A" w:rsidR="001C315D">
        <w:rPr>
          <w:noProof/>
          <w:sz w:val="24"/>
        </w:rPr>
        <w:t xml:space="preserve">of 1970 </w:t>
      </w:r>
      <w:r>
        <w:rPr>
          <w:sz w:val="24"/>
        </w:rPr>
        <w:t>(</w:t>
      </w:r>
      <w:r w:rsidR="008037AC">
        <w:rPr>
          <w:sz w:val="24"/>
        </w:rPr>
        <w:t>“the</w:t>
      </w:r>
      <w:r w:rsidR="001D524C">
        <w:rPr>
          <w:sz w:val="24"/>
        </w:rPr>
        <w:t xml:space="preserve"> OSH</w:t>
      </w:r>
      <w:r w:rsidR="008037AC">
        <w:rPr>
          <w:sz w:val="24"/>
        </w:rPr>
        <w:t xml:space="preserve"> </w:t>
      </w:r>
      <w:r>
        <w:rPr>
          <w:sz w:val="24"/>
        </w:rPr>
        <w:t>Act</w:t>
      </w:r>
      <w:r w:rsidR="008037AC">
        <w:rPr>
          <w:sz w:val="24"/>
        </w:rPr>
        <w:t>”</w:t>
      </w:r>
      <w:r>
        <w:rPr>
          <w:sz w:val="24"/>
        </w:rPr>
        <w:t xml:space="preserve">) is </w:t>
      </w:r>
      <w:r w:rsidR="00DA086A">
        <w:rPr>
          <w:sz w:val="24"/>
        </w:rPr>
        <w:t>“</w:t>
      </w:r>
      <w:r>
        <w:rPr>
          <w:sz w:val="24"/>
        </w:rPr>
        <w:t>to assure so far as possible every working man and woman in the Nation safe and healthful working conditions and to preserve our human resources</w:t>
      </w:r>
      <w:r w:rsidR="00DA086A">
        <w:rPr>
          <w:sz w:val="24"/>
        </w:rPr>
        <w:t>”</w:t>
      </w:r>
      <w:r>
        <w:rPr>
          <w:sz w:val="24"/>
        </w:rPr>
        <w:t xml:space="preserve"> (29 U.S.C. 651).  In fulfilling this objective, the OSH Act authorizes the implementation of </w:t>
      </w:r>
      <w:r w:rsidR="00FD6A39">
        <w:rPr>
          <w:sz w:val="24"/>
        </w:rPr>
        <w:t>“</w:t>
      </w:r>
      <w:r>
        <w:rPr>
          <w:sz w:val="24"/>
        </w:rPr>
        <w:t>such rules and regulations as the Assistant Secretary of Labor for Occupational Safety and Health may deem necessary to carry out [his/her] responsibilities under the Act</w:t>
      </w:r>
      <w:r w:rsidR="00DA086A">
        <w:rPr>
          <w:sz w:val="24"/>
        </w:rPr>
        <w:t xml:space="preserve">” </w:t>
      </w:r>
      <w:r>
        <w:rPr>
          <w:sz w:val="24"/>
        </w:rPr>
        <w:t>(29 U.S.C. 657).</w:t>
      </w:r>
    </w:p>
    <w:p w:rsidR="00F1596A" w:rsidRPr="00FC3C37" w:rsidP="00F1596A" w14:paraId="64507AF2" w14:textId="77777777">
      <w:pPr>
        <w:rPr>
          <w:sz w:val="24"/>
        </w:rPr>
      </w:pPr>
    </w:p>
    <w:p w:rsidR="006B0B82" w:rsidP="00747C6C" w14:paraId="7E896F26" w14:textId="77777777">
      <w:pPr>
        <w:rPr>
          <w:noProof/>
          <w:sz w:val="24"/>
        </w:rPr>
      </w:pPr>
      <w:r>
        <w:rPr>
          <w:sz w:val="24"/>
        </w:rPr>
        <w:t>Under several provisions of t</w:t>
      </w:r>
      <w:r w:rsidRPr="00FC3C37" w:rsidR="00F1596A">
        <w:rPr>
          <w:noProof/>
          <w:sz w:val="24"/>
        </w:rPr>
        <w:t>he</w:t>
      </w:r>
      <w:r w:rsidR="001D524C">
        <w:rPr>
          <w:noProof/>
          <w:sz w:val="24"/>
        </w:rPr>
        <w:t xml:space="preserve"> OSH</w:t>
      </w:r>
      <w:r w:rsidRPr="00FC3C37" w:rsidR="00F1596A">
        <w:rPr>
          <w:noProof/>
          <w:sz w:val="24"/>
        </w:rPr>
        <w:t xml:space="preserve"> Act</w:t>
      </w:r>
      <w:r>
        <w:rPr>
          <w:noProof/>
          <w:sz w:val="24"/>
        </w:rPr>
        <w:t xml:space="preserve">, </w:t>
      </w:r>
      <w:r w:rsidRPr="00FC3C37" w:rsidR="00F1596A">
        <w:rPr>
          <w:sz w:val="24"/>
        </w:rPr>
        <w:t>employer</w:t>
      </w:r>
      <w:r w:rsidR="00F263E2">
        <w:rPr>
          <w:sz w:val="24"/>
        </w:rPr>
        <w:t>s</w:t>
      </w:r>
      <w:r w:rsidR="00064F3E">
        <w:rPr>
          <w:sz w:val="24"/>
        </w:rPr>
        <w:t xml:space="preserve"> </w:t>
      </w:r>
      <w:r>
        <w:rPr>
          <w:sz w:val="24"/>
        </w:rPr>
        <w:t xml:space="preserve">may </w:t>
      </w:r>
      <w:r w:rsidR="000D66BB">
        <w:rPr>
          <w:sz w:val="24"/>
        </w:rPr>
        <w:t xml:space="preserve">apply for </w:t>
      </w:r>
      <w:r w:rsidR="008037AC">
        <w:rPr>
          <w:sz w:val="24"/>
        </w:rPr>
        <w:t xml:space="preserve">four different types of </w:t>
      </w:r>
      <w:r>
        <w:rPr>
          <w:sz w:val="24"/>
        </w:rPr>
        <w:t xml:space="preserve">variances from </w:t>
      </w:r>
      <w:r w:rsidRPr="00FC3C37" w:rsidR="00F1596A">
        <w:rPr>
          <w:sz w:val="24"/>
        </w:rPr>
        <w:t xml:space="preserve">the requirements of </w:t>
      </w:r>
      <w:r w:rsidR="007567C1">
        <w:rPr>
          <w:sz w:val="24"/>
        </w:rPr>
        <w:t>the Occupational Safety and Health Administration (</w:t>
      </w:r>
      <w:r w:rsidR="000D66BB">
        <w:rPr>
          <w:sz w:val="24"/>
        </w:rPr>
        <w:t>OSHA</w:t>
      </w:r>
      <w:r w:rsidR="007567C1">
        <w:rPr>
          <w:sz w:val="24"/>
        </w:rPr>
        <w:t>)</w:t>
      </w:r>
      <w:r w:rsidRPr="00FC3C37" w:rsidR="00F1596A">
        <w:rPr>
          <w:sz w:val="24"/>
        </w:rPr>
        <w:t xml:space="preserve"> standards</w:t>
      </w:r>
      <w:r w:rsidR="00064F3E">
        <w:rPr>
          <w:sz w:val="24"/>
        </w:rPr>
        <w:t xml:space="preserve">.  Employers submit variance applications </w:t>
      </w:r>
      <w:r w:rsidR="00FD2FE2">
        <w:rPr>
          <w:sz w:val="24"/>
        </w:rPr>
        <w:t xml:space="preserve">voluntarily </w:t>
      </w:r>
      <w:r w:rsidR="00064F3E">
        <w:rPr>
          <w:sz w:val="24"/>
        </w:rPr>
        <w:t>to OSHA</w:t>
      </w:r>
      <w:r w:rsidR="00FD2FE2">
        <w:rPr>
          <w:sz w:val="24"/>
        </w:rPr>
        <w:t xml:space="preserve">, and the applications specify </w:t>
      </w:r>
      <w:r w:rsidR="00064F3E">
        <w:rPr>
          <w:sz w:val="24"/>
        </w:rPr>
        <w:t>alternative means of complying with the requirements of OSHA standards</w:t>
      </w:r>
      <w:r w:rsidR="008037AC">
        <w:rPr>
          <w:sz w:val="24"/>
        </w:rPr>
        <w:t>.  The four types of variances are:</w:t>
      </w:r>
      <w:r w:rsidR="0046573F">
        <w:rPr>
          <w:sz w:val="24"/>
        </w:rPr>
        <w:t xml:space="preserve"> </w:t>
      </w:r>
      <w:r w:rsidR="008037AC">
        <w:rPr>
          <w:sz w:val="24"/>
        </w:rPr>
        <w:t xml:space="preserve"> temporary variances</w:t>
      </w:r>
      <w:r w:rsidR="000D66BB">
        <w:rPr>
          <w:sz w:val="24"/>
        </w:rPr>
        <w:t xml:space="preserve"> (Section 6(b)(6)(A)</w:t>
      </w:r>
      <w:r w:rsidR="008037AC">
        <w:rPr>
          <w:sz w:val="24"/>
        </w:rPr>
        <w:t xml:space="preserve"> of the </w:t>
      </w:r>
      <w:r w:rsidR="001D524C">
        <w:rPr>
          <w:sz w:val="24"/>
        </w:rPr>
        <w:t xml:space="preserve">OSH </w:t>
      </w:r>
      <w:r w:rsidR="008037AC">
        <w:rPr>
          <w:sz w:val="24"/>
        </w:rPr>
        <w:t xml:space="preserve">Act; 29 U.S.C. 655); experimental variances (Section 6(b)(6)(C) of the </w:t>
      </w:r>
      <w:r w:rsidR="001D524C">
        <w:rPr>
          <w:sz w:val="24"/>
        </w:rPr>
        <w:t xml:space="preserve">OSH </w:t>
      </w:r>
      <w:r w:rsidR="008037AC">
        <w:rPr>
          <w:sz w:val="24"/>
        </w:rPr>
        <w:t xml:space="preserve">Act; 29 U.S.C. 655); permanent variances (Section 6(d) of the </w:t>
      </w:r>
      <w:r w:rsidR="00411DB2">
        <w:rPr>
          <w:sz w:val="24"/>
        </w:rPr>
        <w:t xml:space="preserve">OSH </w:t>
      </w:r>
      <w:r w:rsidR="008037AC">
        <w:rPr>
          <w:sz w:val="24"/>
        </w:rPr>
        <w:t xml:space="preserve">Act; 29 U.S.C. 655); and national-defense variances (Section </w:t>
      </w:r>
      <w:r w:rsidR="00064F3E">
        <w:rPr>
          <w:sz w:val="24"/>
        </w:rPr>
        <w:t>1</w:t>
      </w:r>
      <w:r w:rsidR="008037AC">
        <w:rPr>
          <w:sz w:val="24"/>
        </w:rPr>
        <w:t>6</w:t>
      </w:r>
      <w:r w:rsidR="00064F3E">
        <w:rPr>
          <w:sz w:val="24"/>
        </w:rPr>
        <w:t xml:space="preserve"> of the </w:t>
      </w:r>
      <w:r w:rsidR="001D524C">
        <w:rPr>
          <w:sz w:val="24"/>
        </w:rPr>
        <w:t>O</w:t>
      </w:r>
      <w:r w:rsidR="00AF1603">
        <w:rPr>
          <w:sz w:val="24"/>
        </w:rPr>
        <w:t>S</w:t>
      </w:r>
      <w:r w:rsidR="005F3A01">
        <w:rPr>
          <w:sz w:val="24"/>
        </w:rPr>
        <w:t>H</w:t>
      </w:r>
      <w:r w:rsidR="001D524C">
        <w:rPr>
          <w:sz w:val="24"/>
        </w:rPr>
        <w:t xml:space="preserve"> </w:t>
      </w:r>
      <w:r w:rsidR="00064F3E">
        <w:rPr>
          <w:sz w:val="24"/>
        </w:rPr>
        <w:t>Act; 29 U.S.C. 66</w:t>
      </w:r>
      <w:r w:rsidR="008037AC">
        <w:rPr>
          <w:sz w:val="24"/>
        </w:rPr>
        <w:t>5)</w:t>
      </w:r>
      <w:r w:rsidR="000D66BB">
        <w:rPr>
          <w:sz w:val="24"/>
        </w:rPr>
        <w:t>.</w:t>
      </w:r>
      <w:r>
        <w:rPr>
          <w:rStyle w:val="FootnoteReference"/>
          <w:noProof/>
          <w:sz w:val="24"/>
          <w:vertAlign w:val="superscript"/>
        </w:rPr>
        <w:footnoteReference w:id="3"/>
      </w:r>
      <w:r w:rsidR="008037AC">
        <w:rPr>
          <w:noProof/>
          <w:sz w:val="24"/>
        </w:rPr>
        <w:t xml:space="preserve">  OSHA codified these statutory provisions under </w:t>
      </w:r>
      <w:r w:rsidRPr="006B0B82">
        <w:rPr>
          <w:noProof/>
          <w:sz w:val="24"/>
        </w:rPr>
        <w:t xml:space="preserve">29 CFR </w:t>
      </w:r>
      <w:r w:rsidR="008037AC">
        <w:rPr>
          <w:noProof/>
          <w:sz w:val="24"/>
        </w:rPr>
        <w:t xml:space="preserve">part </w:t>
      </w:r>
      <w:r w:rsidRPr="006B0B82">
        <w:rPr>
          <w:noProof/>
          <w:sz w:val="24"/>
        </w:rPr>
        <w:t>1905</w:t>
      </w:r>
      <w:r w:rsidR="008037AC">
        <w:rPr>
          <w:noProof/>
          <w:sz w:val="24"/>
        </w:rPr>
        <w:t xml:space="preserve"> (“Rules of Practice for Variances, Limitations, Variations, Tolerances, and Exemptions under the William-Steiger Occup</w:t>
      </w:r>
      <w:r w:rsidR="00431340">
        <w:rPr>
          <w:noProof/>
          <w:sz w:val="24"/>
        </w:rPr>
        <w:t>a</w:t>
      </w:r>
      <w:r w:rsidR="008037AC">
        <w:rPr>
          <w:noProof/>
          <w:sz w:val="24"/>
        </w:rPr>
        <w:t>tional Safety and Health Act of 1970”).</w:t>
      </w:r>
      <w:r>
        <w:rPr>
          <w:rStyle w:val="FootnoteReference"/>
          <w:noProof/>
          <w:sz w:val="24"/>
          <w:vertAlign w:val="superscript"/>
        </w:rPr>
        <w:footnoteReference w:id="4"/>
      </w:r>
      <w:r w:rsidRPr="006B0B82">
        <w:rPr>
          <w:noProof/>
          <w:sz w:val="24"/>
        </w:rPr>
        <w:t xml:space="preserve"> </w:t>
      </w:r>
      <w:r w:rsidR="00FD2FE2">
        <w:rPr>
          <w:noProof/>
          <w:sz w:val="24"/>
        </w:rPr>
        <w:t xml:space="preserve"> The following paragraphs </w:t>
      </w:r>
      <w:r w:rsidR="00ED362A">
        <w:rPr>
          <w:noProof/>
          <w:sz w:val="24"/>
        </w:rPr>
        <w:t xml:space="preserve">further </w:t>
      </w:r>
      <w:r w:rsidR="00FD2FE2">
        <w:rPr>
          <w:noProof/>
          <w:sz w:val="24"/>
        </w:rPr>
        <w:t xml:space="preserve">describe </w:t>
      </w:r>
      <w:r w:rsidR="00666025">
        <w:rPr>
          <w:noProof/>
          <w:sz w:val="24"/>
        </w:rPr>
        <w:t xml:space="preserve">each of </w:t>
      </w:r>
      <w:r w:rsidR="00FD2FE2">
        <w:rPr>
          <w:noProof/>
          <w:sz w:val="24"/>
        </w:rPr>
        <w:t>these four types of variances</w:t>
      </w:r>
      <w:r w:rsidR="00165DDA">
        <w:rPr>
          <w:noProof/>
          <w:sz w:val="24"/>
        </w:rPr>
        <w:t>.</w:t>
      </w:r>
    </w:p>
    <w:p w:rsidR="00666025" w:rsidP="00747C6C" w14:paraId="797A11D1" w14:textId="77777777">
      <w:pPr>
        <w:rPr>
          <w:noProof/>
          <w:sz w:val="24"/>
        </w:rPr>
      </w:pPr>
    </w:p>
    <w:p w:rsidR="00ED362A" w:rsidP="00FF20EB" w14:paraId="3BE17090" w14:textId="304B81C4">
      <w:pPr>
        <w:rPr>
          <w:b/>
          <w:noProof/>
          <w:sz w:val="24"/>
        </w:rPr>
      </w:pPr>
      <w:r w:rsidRPr="00666025">
        <w:rPr>
          <w:b/>
          <w:noProof/>
          <w:sz w:val="24"/>
        </w:rPr>
        <w:t>Types of Variance</w:t>
      </w:r>
    </w:p>
    <w:p w:rsidR="00FF20EB" w:rsidRPr="00FF20EB" w:rsidP="00FF20EB" w14:paraId="52AB7E6B" w14:textId="77777777">
      <w:pPr>
        <w:rPr>
          <w:b/>
          <w:noProof/>
          <w:sz w:val="24"/>
        </w:rPr>
      </w:pPr>
    </w:p>
    <w:p w:rsidR="00ED362A" w:rsidP="00165DDA" w14:paraId="52A82AF7" w14:textId="77777777">
      <w:pPr>
        <w:rPr>
          <w:noProof/>
          <w:sz w:val="24"/>
        </w:rPr>
      </w:pPr>
      <w:r w:rsidRPr="00EA3476">
        <w:rPr>
          <w:b/>
          <w:i/>
          <w:noProof/>
          <w:sz w:val="24"/>
          <w:u w:val="single"/>
        </w:rPr>
        <w:t xml:space="preserve">Temporary </w:t>
      </w:r>
      <w:r w:rsidRPr="00EA3476" w:rsidR="00DC4781">
        <w:rPr>
          <w:b/>
          <w:i/>
          <w:noProof/>
          <w:sz w:val="24"/>
          <w:u w:val="single"/>
        </w:rPr>
        <w:t>v</w:t>
      </w:r>
      <w:r w:rsidRPr="00EA3476">
        <w:rPr>
          <w:b/>
          <w:i/>
          <w:noProof/>
          <w:sz w:val="24"/>
          <w:u w:val="single"/>
        </w:rPr>
        <w:t>ariance</w:t>
      </w:r>
      <w:r w:rsidRPr="00D220D6">
        <w:rPr>
          <w:noProof/>
          <w:sz w:val="24"/>
        </w:rPr>
        <w:t>.</w:t>
      </w:r>
      <w:r w:rsidRPr="006B0B82">
        <w:rPr>
          <w:noProof/>
          <w:sz w:val="24"/>
        </w:rPr>
        <w:t xml:space="preserve"> </w:t>
      </w:r>
      <w:r w:rsidR="00DC4781">
        <w:rPr>
          <w:noProof/>
          <w:sz w:val="24"/>
        </w:rPr>
        <w:t xml:space="preserve"> </w:t>
      </w:r>
      <w:r w:rsidR="00A67607">
        <w:rPr>
          <w:noProof/>
          <w:sz w:val="24"/>
        </w:rPr>
        <w:t xml:space="preserve">This </w:t>
      </w:r>
      <w:r w:rsidRPr="006B0B82">
        <w:rPr>
          <w:noProof/>
          <w:sz w:val="24"/>
        </w:rPr>
        <w:t>variance</w:t>
      </w:r>
      <w:r w:rsidR="00FC677F">
        <w:rPr>
          <w:noProof/>
          <w:sz w:val="24"/>
        </w:rPr>
        <w:t xml:space="preserve"> delays the date on which </w:t>
      </w:r>
      <w:r w:rsidRPr="006B0B82">
        <w:rPr>
          <w:noProof/>
          <w:sz w:val="24"/>
        </w:rPr>
        <w:t xml:space="preserve">an employer </w:t>
      </w:r>
      <w:r w:rsidR="00FC677F">
        <w:rPr>
          <w:noProof/>
          <w:sz w:val="24"/>
        </w:rPr>
        <w:t>must</w:t>
      </w:r>
    </w:p>
    <w:p w:rsidR="00FF20EB" w:rsidP="00165DDA" w14:paraId="6802F06E" w14:textId="3ABDF849">
      <w:pPr>
        <w:rPr>
          <w:noProof/>
          <w:sz w:val="24"/>
        </w:rPr>
      </w:pPr>
      <w:r>
        <w:rPr>
          <w:noProof/>
          <w:sz w:val="24"/>
        </w:rPr>
        <w:t xml:space="preserve">comply </w:t>
      </w:r>
      <w:r w:rsidRPr="006B0B82" w:rsidR="006B0B82">
        <w:rPr>
          <w:noProof/>
          <w:sz w:val="24"/>
        </w:rPr>
        <w:t xml:space="preserve">with </w:t>
      </w:r>
      <w:r w:rsidR="00F675DC">
        <w:rPr>
          <w:noProof/>
          <w:sz w:val="24"/>
        </w:rPr>
        <w:t xml:space="preserve">the </w:t>
      </w:r>
      <w:r w:rsidRPr="006B0B82" w:rsidR="006B0B82">
        <w:rPr>
          <w:noProof/>
          <w:sz w:val="24"/>
        </w:rPr>
        <w:t>requirements of a</w:t>
      </w:r>
      <w:r>
        <w:rPr>
          <w:noProof/>
          <w:sz w:val="24"/>
        </w:rPr>
        <w:t xml:space="preserve"> newly issued </w:t>
      </w:r>
      <w:r w:rsidRPr="006B0B82" w:rsidR="006B0B82">
        <w:rPr>
          <w:noProof/>
          <w:sz w:val="24"/>
        </w:rPr>
        <w:t xml:space="preserve">OSHA standard. </w:t>
      </w:r>
      <w:r>
        <w:rPr>
          <w:noProof/>
          <w:sz w:val="24"/>
        </w:rPr>
        <w:t xml:space="preserve"> </w:t>
      </w:r>
      <w:r w:rsidRPr="006B0B82" w:rsidR="006B0B82">
        <w:rPr>
          <w:noProof/>
          <w:sz w:val="24"/>
        </w:rPr>
        <w:t xml:space="preserve">The </w:t>
      </w:r>
      <w:r>
        <w:rPr>
          <w:noProof/>
          <w:sz w:val="24"/>
        </w:rPr>
        <w:t xml:space="preserve">employer </w:t>
      </w:r>
      <w:r w:rsidRPr="006B0B82" w:rsidR="006B0B82">
        <w:rPr>
          <w:noProof/>
          <w:sz w:val="24"/>
        </w:rPr>
        <w:t xml:space="preserve">must </w:t>
      </w:r>
      <w:r>
        <w:rPr>
          <w:noProof/>
          <w:sz w:val="24"/>
        </w:rPr>
        <w:t xml:space="preserve">submit the variance application to OSHA </w:t>
      </w:r>
      <w:r w:rsidRPr="006B0B82" w:rsidR="006B0B82">
        <w:rPr>
          <w:noProof/>
          <w:sz w:val="24"/>
        </w:rPr>
        <w:t xml:space="preserve">after </w:t>
      </w:r>
      <w:r w:rsidR="00F263E2">
        <w:rPr>
          <w:noProof/>
          <w:sz w:val="24"/>
        </w:rPr>
        <w:t>OSHA issues</w:t>
      </w:r>
      <w:r>
        <w:rPr>
          <w:noProof/>
          <w:sz w:val="24"/>
        </w:rPr>
        <w:t xml:space="preserve"> the standard but</w:t>
      </w:r>
      <w:r w:rsidRPr="006B0B82" w:rsidR="006B0B82">
        <w:rPr>
          <w:noProof/>
          <w:sz w:val="24"/>
        </w:rPr>
        <w:t xml:space="preserve"> prior to the </w:t>
      </w:r>
    </w:p>
    <w:p w:rsidR="00FF20EB" w:rsidP="00165DDA" w14:paraId="5ED2F96F" w14:textId="77777777">
      <w:pPr>
        <w:rPr>
          <w:noProof/>
          <w:sz w:val="24"/>
        </w:rPr>
      </w:pPr>
    </w:p>
    <w:p w:rsidR="00DC4781" w:rsidP="00165DDA" w14:paraId="188519BA" w14:textId="654A21E3">
      <w:pPr>
        <w:rPr>
          <w:noProof/>
          <w:sz w:val="24"/>
        </w:rPr>
      </w:pPr>
      <w:r w:rsidRPr="006B0B82">
        <w:rPr>
          <w:noProof/>
          <w:sz w:val="24"/>
        </w:rPr>
        <w:t xml:space="preserve">effective date of the standard. </w:t>
      </w:r>
      <w:r w:rsidR="00FC677F">
        <w:rPr>
          <w:noProof/>
          <w:sz w:val="24"/>
        </w:rPr>
        <w:t xml:space="preserve"> In the variance application, the </w:t>
      </w:r>
      <w:r w:rsidRPr="006B0B82">
        <w:rPr>
          <w:noProof/>
          <w:sz w:val="24"/>
        </w:rPr>
        <w:t xml:space="preserve">employer </w:t>
      </w:r>
      <w:r w:rsidR="00FC677F">
        <w:rPr>
          <w:noProof/>
          <w:sz w:val="24"/>
        </w:rPr>
        <w:t xml:space="preserve">must </w:t>
      </w:r>
      <w:r w:rsidRPr="006B0B82">
        <w:rPr>
          <w:noProof/>
          <w:sz w:val="24"/>
        </w:rPr>
        <w:t>demonstrat</w:t>
      </w:r>
      <w:r w:rsidR="00FC677F">
        <w:rPr>
          <w:noProof/>
          <w:sz w:val="24"/>
        </w:rPr>
        <w:t>e</w:t>
      </w:r>
      <w:r w:rsidRPr="006B0B82">
        <w:rPr>
          <w:noProof/>
          <w:sz w:val="24"/>
        </w:rPr>
        <w:t xml:space="preserve"> </w:t>
      </w:r>
      <w:r w:rsidR="00FC677F">
        <w:rPr>
          <w:noProof/>
          <w:sz w:val="24"/>
        </w:rPr>
        <w:t xml:space="preserve">an </w:t>
      </w:r>
      <w:r w:rsidRPr="006B0B82">
        <w:rPr>
          <w:noProof/>
          <w:sz w:val="24"/>
        </w:rPr>
        <w:t xml:space="preserve">inability to comply with the standard by its effective date </w:t>
      </w:r>
      <w:r w:rsidR="00FC677F">
        <w:rPr>
          <w:noProof/>
          <w:sz w:val="24"/>
        </w:rPr>
        <w:t xml:space="preserve">“because of unavailability of professional or technical personnel or of materials and equipment needed to come into compliance with the standard or because necessary construction or alteration of facilities cannot be completed by the effective date” (see Section 6(A)(i) of the </w:t>
      </w:r>
      <w:r w:rsidR="001D524C">
        <w:rPr>
          <w:noProof/>
          <w:sz w:val="24"/>
        </w:rPr>
        <w:t xml:space="preserve">OSH </w:t>
      </w:r>
      <w:r w:rsidR="00FC677F">
        <w:rPr>
          <w:noProof/>
          <w:sz w:val="24"/>
        </w:rPr>
        <w:t>Act</w:t>
      </w:r>
      <w:r w:rsidR="00A67607">
        <w:rPr>
          <w:noProof/>
          <w:sz w:val="24"/>
        </w:rPr>
        <w:t xml:space="preserve">; 29 U.S.C. 655).  Employers also </w:t>
      </w:r>
      <w:r w:rsidRPr="006B0B82">
        <w:rPr>
          <w:noProof/>
          <w:sz w:val="24"/>
        </w:rPr>
        <w:t xml:space="preserve">must establish that </w:t>
      </w:r>
      <w:r w:rsidR="00A67607">
        <w:rPr>
          <w:noProof/>
          <w:sz w:val="24"/>
        </w:rPr>
        <w:t xml:space="preserve">they are “taking all available steps to safeguard [their] </w:t>
      </w:r>
      <w:r w:rsidRPr="006B0B82">
        <w:rPr>
          <w:noProof/>
          <w:sz w:val="24"/>
        </w:rPr>
        <w:t>employees against the hazards covered by the standard,</w:t>
      </w:r>
      <w:r w:rsidR="00A67607">
        <w:rPr>
          <w:noProof/>
          <w:sz w:val="24"/>
        </w:rPr>
        <w:t>”</w:t>
      </w:r>
      <w:r w:rsidRPr="006B0B82">
        <w:rPr>
          <w:noProof/>
          <w:sz w:val="24"/>
        </w:rPr>
        <w:t xml:space="preserve"> and that </w:t>
      </w:r>
      <w:r w:rsidR="00A67607">
        <w:rPr>
          <w:noProof/>
          <w:sz w:val="24"/>
        </w:rPr>
        <w:t>they have “</w:t>
      </w:r>
      <w:r w:rsidRPr="006B0B82">
        <w:rPr>
          <w:noProof/>
          <w:sz w:val="24"/>
        </w:rPr>
        <w:t>an effective program for coming into compliance with the standard as quickly as p</w:t>
      </w:r>
      <w:r w:rsidR="00A67607">
        <w:rPr>
          <w:noProof/>
          <w:sz w:val="24"/>
        </w:rPr>
        <w:t xml:space="preserve">racticable” (see Section 6(A)(ii) and (iii) of the </w:t>
      </w:r>
      <w:r w:rsidR="001D524C">
        <w:rPr>
          <w:noProof/>
          <w:sz w:val="24"/>
        </w:rPr>
        <w:t xml:space="preserve">OSH </w:t>
      </w:r>
      <w:r w:rsidR="00A67607">
        <w:rPr>
          <w:noProof/>
          <w:sz w:val="24"/>
        </w:rPr>
        <w:t>Act; 29 U.S.C. 655)</w:t>
      </w:r>
      <w:r w:rsidRPr="006B0B82">
        <w:rPr>
          <w:noProof/>
          <w:sz w:val="24"/>
        </w:rPr>
        <w:t>.</w:t>
      </w:r>
    </w:p>
    <w:p w:rsidR="00165DDA" w:rsidP="00AE7867" w14:paraId="4538BFCC" w14:textId="77777777">
      <w:pPr>
        <w:ind w:right="720"/>
        <w:rPr>
          <w:noProof/>
          <w:sz w:val="24"/>
        </w:rPr>
      </w:pPr>
    </w:p>
    <w:p w:rsidR="00DC4781" w:rsidRPr="006B0B82" w:rsidP="00165DDA" w14:paraId="2D22DD09" w14:textId="77777777">
      <w:pPr>
        <w:rPr>
          <w:noProof/>
          <w:sz w:val="24"/>
        </w:rPr>
      </w:pPr>
      <w:r w:rsidRPr="00EA3476">
        <w:rPr>
          <w:b/>
          <w:i/>
          <w:noProof/>
          <w:sz w:val="24"/>
          <w:u w:val="single"/>
        </w:rPr>
        <w:t>Experimental variance</w:t>
      </w:r>
      <w:r w:rsidRPr="006B0B82">
        <w:rPr>
          <w:noProof/>
          <w:sz w:val="24"/>
        </w:rPr>
        <w:t xml:space="preserve">. </w:t>
      </w:r>
      <w:r w:rsidR="00A67607">
        <w:rPr>
          <w:noProof/>
          <w:sz w:val="24"/>
        </w:rPr>
        <w:t xml:space="preserve"> OSHA may </w:t>
      </w:r>
      <w:r w:rsidRPr="006B0B82">
        <w:rPr>
          <w:noProof/>
          <w:sz w:val="24"/>
        </w:rPr>
        <w:t xml:space="preserve">grant </w:t>
      </w:r>
      <w:r w:rsidR="00A67607">
        <w:rPr>
          <w:noProof/>
          <w:sz w:val="24"/>
        </w:rPr>
        <w:t xml:space="preserve">this </w:t>
      </w:r>
      <w:r w:rsidRPr="006B0B82">
        <w:rPr>
          <w:noProof/>
          <w:sz w:val="24"/>
        </w:rPr>
        <w:t>variance</w:t>
      </w:r>
      <w:r w:rsidR="00F263E2">
        <w:rPr>
          <w:noProof/>
          <w:sz w:val="24"/>
        </w:rPr>
        <w:t xml:space="preserve"> as an alternative to complying with the requirements of a standard</w:t>
      </w:r>
      <w:r w:rsidRPr="006B0B82">
        <w:rPr>
          <w:noProof/>
          <w:sz w:val="24"/>
        </w:rPr>
        <w:t xml:space="preserve"> whenever it </w:t>
      </w:r>
      <w:r w:rsidR="00A67607">
        <w:rPr>
          <w:noProof/>
          <w:sz w:val="24"/>
        </w:rPr>
        <w:t>d</w:t>
      </w:r>
      <w:r w:rsidRPr="006B0B82">
        <w:rPr>
          <w:noProof/>
          <w:sz w:val="24"/>
        </w:rPr>
        <w:t>etermine</w:t>
      </w:r>
      <w:r w:rsidR="00AF1603">
        <w:rPr>
          <w:noProof/>
          <w:sz w:val="24"/>
        </w:rPr>
        <w:t>s</w:t>
      </w:r>
      <w:r w:rsidR="00F263E2">
        <w:rPr>
          <w:noProof/>
          <w:sz w:val="24"/>
        </w:rPr>
        <w:t xml:space="preserve"> that the</w:t>
      </w:r>
      <w:r w:rsidR="00165DDA">
        <w:rPr>
          <w:noProof/>
          <w:sz w:val="24"/>
        </w:rPr>
        <w:t xml:space="preserve"> </w:t>
      </w:r>
      <w:r w:rsidR="00F263E2">
        <w:rPr>
          <w:noProof/>
          <w:sz w:val="24"/>
        </w:rPr>
        <w:t>varian</w:t>
      </w:r>
      <w:r w:rsidRPr="006B0B82">
        <w:rPr>
          <w:noProof/>
          <w:sz w:val="24"/>
        </w:rPr>
        <w:t xml:space="preserve">ce </w:t>
      </w:r>
      <w:r w:rsidR="00ED362A">
        <w:rPr>
          <w:noProof/>
          <w:sz w:val="24"/>
        </w:rPr>
        <w:t>“</w:t>
      </w:r>
      <w:r w:rsidRPr="006B0B82">
        <w:rPr>
          <w:noProof/>
          <w:sz w:val="24"/>
        </w:rPr>
        <w:t xml:space="preserve">is necessary to permit an employer to participate in an experiment </w:t>
      </w:r>
      <w:r w:rsidR="00ED362A">
        <w:rPr>
          <w:noProof/>
          <w:sz w:val="24"/>
        </w:rPr>
        <w:t>. . .</w:t>
      </w:r>
      <w:r w:rsidR="00165DDA">
        <w:rPr>
          <w:noProof/>
          <w:sz w:val="24"/>
        </w:rPr>
        <w:t xml:space="preserve"> d</w:t>
      </w:r>
      <w:r w:rsidRPr="006B0B82">
        <w:rPr>
          <w:noProof/>
          <w:sz w:val="24"/>
        </w:rPr>
        <w:t xml:space="preserve">esigned to demonstrate or validate new and improved techniques to protect the health or safety of </w:t>
      </w:r>
      <w:r w:rsidR="00506280">
        <w:rPr>
          <w:noProof/>
          <w:sz w:val="24"/>
        </w:rPr>
        <w:t>employee</w:t>
      </w:r>
      <w:r w:rsidRPr="006B0B82">
        <w:rPr>
          <w:noProof/>
          <w:sz w:val="24"/>
        </w:rPr>
        <w:t>s</w:t>
      </w:r>
      <w:r w:rsidR="00ED362A">
        <w:rPr>
          <w:noProof/>
          <w:sz w:val="24"/>
        </w:rPr>
        <w:t xml:space="preserve">” (see Section 6(C) of the </w:t>
      </w:r>
      <w:r w:rsidR="001D524C">
        <w:rPr>
          <w:noProof/>
          <w:sz w:val="24"/>
        </w:rPr>
        <w:t xml:space="preserve">OSH </w:t>
      </w:r>
      <w:r w:rsidR="00ED362A">
        <w:rPr>
          <w:noProof/>
          <w:sz w:val="24"/>
        </w:rPr>
        <w:t>Act; 29 U.S.C. 655)</w:t>
      </w:r>
      <w:r w:rsidRPr="006B0B82">
        <w:rPr>
          <w:noProof/>
          <w:sz w:val="24"/>
        </w:rPr>
        <w:t>.</w:t>
      </w:r>
    </w:p>
    <w:p w:rsidR="00165DDA" w:rsidP="00165DDA" w14:paraId="2D8679A3" w14:textId="77777777">
      <w:pPr>
        <w:rPr>
          <w:noProof/>
          <w:sz w:val="24"/>
        </w:rPr>
      </w:pPr>
    </w:p>
    <w:p w:rsidR="00DC4781" w:rsidRPr="006B0B82" w:rsidP="00165DDA" w14:paraId="1AF5341D" w14:textId="77777777">
      <w:pPr>
        <w:rPr>
          <w:noProof/>
          <w:sz w:val="24"/>
        </w:rPr>
      </w:pPr>
      <w:r w:rsidRPr="00EA3476">
        <w:rPr>
          <w:b/>
          <w:i/>
          <w:noProof/>
          <w:sz w:val="24"/>
          <w:u w:val="single"/>
        </w:rPr>
        <w:t>Permanent variance</w:t>
      </w:r>
      <w:r w:rsidRPr="006B0B82">
        <w:rPr>
          <w:noProof/>
          <w:sz w:val="24"/>
        </w:rPr>
        <w:t xml:space="preserve">. </w:t>
      </w:r>
      <w:r>
        <w:rPr>
          <w:noProof/>
          <w:sz w:val="24"/>
        </w:rPr>
        <w:t xml:space="preserve"> </w:t>
      </w:r>
      <w:r w:rsidR="00AE7867">
        <w:rPr>
          <w:noProof/>
          <w:sz w:val="24"/>
        </w:rPr>
        <w:t xml:space="preserve">This </w:t>
      </w:r>
      <w:r w:rsidRPr="006B0B82">
        <w:rPr>
          <w:noProof/>
          <w:sz w:val="24"/>
        </w:rPr>
        <w:t xml:space="preserve">variance authorizes </w:t>
      </w:r>
      <w:r w:rsidRPr="006B0B82">
        <w:rPr>
          <w:iCs/>
          <w:noProof/>
          <w:sz w:val="24"/>
        </w:rPr>
        <w:t>employer</w:t>
      </w:r>
      <w:r>
        <w:rPr>
          <w:iCs/>
          <w:noProof/>
          <w:sz w:val="24"/>
        </w:rPr>
        <w:t>s</w:t>
      </w:r>
      <w:r w:rsidRPr="006B0B82">
        <w:rPr>
          <w:iCs/>
          <w:noProof/>
          <w:sz w:val="24"/>
        </w:rPr>
        <w:t xml:space="preserve"> </w:t>
      </w:r>
      <w:r w:rsidR="00F263E2">
        <w:rPr>
          <w:iCs/>
          <w:noProof/>
          <w:sz w:val="24"/>
        </w:rPr>
        <w:t xml:space="preserve">(or groups of employers) </w:t>
      </w:r>
      <w:r w:rsidRPr="006B0B82">
        <w:rPr>
          <w:iCs/>
          <w:noProof/>
          <w:sz w:val="24"/>
        </w:rPr>
        <w:t>to use</w:t>
      </w:r>
      <w:r w:rsidRPr="006B0B82">
        <w:rPr>
          <w:noProof/>
          <w:sz w:val="24"/>
        </w:rPr>
        <w:t xml:space="preserve"> alternative</w:t>
      </w:r>
      <w:r w:rsidR="00AE7867">
        <w:rPr>
          <w:noProof/>
          <w:sz w:val="24"/>
        </w:rPr>
        <w:t xml:space="preserve"> means</w:t>
      </w:r>
      <w:r w:rsidR="00F263E2">
        <w:rPr>
          <w:noProof/>
          <w:sz w:val="24"/>
        </w:rPr>
        <w:t xml:space="preserve"> of </w:t>
      </w:r>
      <w:r w:rsidRPr="006B0B82">
        <w:rPr>
          <w:noProof/>
          <w:sz w:val="24"/>
        </w:rPr>
        <w:t>compl</w:t>
      </w:r>
      <w:r>
        <w:rPr>
          <w:noProof/>
          <w:sz w:val="24"/>
        </w:rPr>
        <w:t xml:space="preserve">ying with the </w:t>
      </w:r>
      <w:r w:rsidRPr="006B0B82">
        <w:rPr>
          <w:noProof/>
          <w:sz w:val="24"/>
        </w:rPr>
        <w:t>requirement</w:t>
      </w:r>
      <w:r>
        <w:rPr>
          <w:noProof/>
          <w:sz w:val="24"/>
        </w:rPr>
        <w:t>s</w:t>
      </w:r>
      <w:r w:rsidRPr="006B0B82">
        <w:rPr>
          <w:noProof/>
          <w:sz w:val="24"/>
        </w:rPr>
        <w:t xml:space="preserve"> of OSHA</w:t>
      </w:r>
      <w:r w:rsidR="00F263E2">
        <w:rPr>
          <w:noProof/>
          <w:sz w:val="24"/>
        </w:rPr>
        <w:t xml:space="preserve"> </w:t>
      </w:r>
      <w:r w:rsidRPr="006B0B82">
        <w:rPr>
          <w:noProof/>
          <w:sz w:val="24"/>
        </w:rPr>
        <w:t>standard</w:t>
      </w:r>
      <w:r>
        <w:rPr>
          <w:noProof/>
          <w:sz w:val="24"/>
        </w:rPr>
        <w:t>s</w:t>
      </w:r>
      <w:r w:rsidRPr="006B0B82">
        <w:rPr>
          <w:noProof/>
          <w:sz w:val="24"/>
        </w:rPr>
        <w:t xml:space="preserve"> </w:t>
      </w:r>
      <w:r>
        <w:rPr>
          <w:noProof/>
          <w:sz w:val="24"/>
        </w:rPr>
        <w:t xml:space="preserve">when </w:t>
      </w:r>
      <w:r w:rsidR="00F263E2">
        <w:rPr>
          <w:noProof/>
          <w:sz w:val="24"/>
        </w:rPr>
        <w:t xml:space="preserve">the </w:t>
      </w:r>
      <w:r>
        <w:rPr>
          <w:noProof/>
          <w:sz w:val="24"/>
        </w:rPr>
        <w:t>employers</w:t>
      </w:r>
      <w:r w:rsidR="00AE7867">
        <w:rPr>
          <w:noProof/>
          <w:sz w:val="24"/>
        </w:rPr>
        <w:t xml:space="preserve"> </w:t>
      </w:r>
      <w:r>
        <w:rPr>
          <w:noProof/>
          <w:sz w:val="24"/>
        </w:rPr>
        <w:t xml:space="preserve">demonstrate, with a preponderance of evidence, that </w:t>
      </w:r>
      <w:r w:rsidRPr="006B0B82">
        <w:rPr>
          <w:noProof/>
          <w:sz w:val="24"/>
        </w:rPr>
        <w:t>the</w:t>
      </w:r>
      <w:r w:rsidR="001D524C">
        <w:rPr>
          <w:noProof/>
          <w:sz w:val="24"/>
        </w:rPr>
        <w:t xml:space="preserve"> proposed</w:t>
      </w:r>
      <w:r w:rsidR="00F263E2">
        <w:rPr>
          <w:noProof/>
          <w:sz w:val="24"/>
        </w:rPr>
        <w:t xml:space="preserve"> </w:t>
      </w:r>
      <w:r>
        <w:rPr>
          <w:noProof/>
          <w:sz w:val="24"/>
        </w:rPr>
        <w:t>alternative protects</w:t>
      </w:r>
      <w:r w:rsidR="00F263E2">
        <w:rPr>
          <w:noProof/>
          <w:sz w:val="24"/>
        </w:rPr>
        <w:t xml:space="preserve"> </w:t>
      </w:r>
      <w:r w:rsidR="00402BF2">
        <w:rPr>
          <w:noProof/>
          <w:sz w:val="24"/>
        </w:rPr>
        <w:t>employee</w:t>
      </w:r>
      <w:r>
        <w:rPr>
          <w:noProof/>
          <w:sz w:val="24"/>
        </w:rPr>
        <w:t>s at least as effective</w:t>
      </w:r>
      <w:r w:rsidR="00ED362A">
        <w:rPr>
          <w:noProof/>
          <w:sz w:val="24"/>
        </w:rPr>
        <w:t>ly</w:t>
      </w:r>
      <w:r>
        <w:rPr>
          <w:noProof/>
          <w:sz w:val="24"/>
        </w:rPr>
        <w:t xml:space="preserve"> as </w:t>
      </w:r>
      <w:r w:rsidRPr="006B0B82">
        <w:rPr>
          <w:noProof/>
          <w:sz w:val="24"/>
        </w:rPr>
        <w:t>the</w:t>
      </w:r>
      <w:r>
        <w:rPr>
          <w:noProof/>
          <w:sz w:val="24"/>
        </w:rPr>
        <w:t xml:space="preserve"> requirements of the</w:t>
      </w:r>
      <w:r w:rsidR="00165DDA">
        <w:rPr>
          <w:noProof/>
          <w:sz w:val="24"/>
        </w:rPr>
        <w:t xml:space="preserve"> </w:t>
      </w:r>
      <w:r w:rsidRPr="006B0B82">
        <w:rPr>
          <w:noProof/>
          <w:sz w:val="24"/>
        </w:rPr>
        <w:t>standard.</w:t>
      </w:r>
    </w:p>
    <w:p w:rsidR="00DC4781" w:rsidRPr="006B0B82" w:rsidP="00165DDA" w14:paraId="4BDD0477" w14:textId="77777777">
      <w:pPr>
        <w:rPr>
          <w:noProof/>
          <w:sz w:val="24"/>
        </w:rPr>
      </w:pPr>
    </w:p>
    <w:p w:rsidR="006B0B82" w:rsidP="00165DDA" w14:paraId="79013174" w14:textId="77777777">
      <w:pPr>
        <w:rPr>
          <w:noProof/>
          <w:sz w:val="24"/>
        </w:rPr>
      </w:pPr>
      <w:r w:rsidRPr="00EA3476">
        <w:rPr>
          <w:b/>
          <w:i/>
          <w:noProof/>
          <w:sz w:val="24"/>
          <w:u w:val="single"/>
        </w:rPr>
        <w:t>National</w:t>
      </w:r>
      <w:r w:rsidRPr="00EA3476" w:rsidR="00584807">
        <w:rPr>
          <w:b/>
          <w:i/>
          <w:noProof/>
          <w:sz w:val="24"/>
          <w:u w:val="single"/>
        </w:rPr>
        <w:t>-</w:t>
      </w:r>
      <w:r w:rsidRPr="00EA3476" w:rsidR="00DC4781">
        <w:rPr>
          <w:b/>
          <w:i/>
          <w:noProof/>
          <w:sz w:val="24"/>
          <w:u w:val="single"/>
        </w:rPr>
        <w:t>d</w:t>
      </w:r>
      <w:r w:rsidRPr="00EA3476">
        <w:rPr>
          <w:b/>
          <w:i/>
          <w:noProof/>
          <w:sz w:val="24"/>
          <w:u w:val="single"/>
        </w:rPr>
        <w:t xml:space="preserve">efense </w:t>
      </w:r>
      <w:r w:rsidRPr="00EA3476" w:rsidR="00DC4781">
        <w:rPr>
          <w:b/>
          <w:i/>
          <w:noProof/>
          <w:sz w:val="24"/>
          <w:u w:val="single"/>
        </w:rPr>
        <w:t>variance</w:t>
      </w:r>
      <w:r w:rsidRPr="006B0B82">
        <w:rPr>
          <w:noProof/>
          <w:sz w:val="24"/>
        </w:rPr>
        <w:t xml:space="preserve">. </w:t>
      </w:r>
      <w:r w:rsidR="00DC4781">
        <w:rPr>
          <w:noProof/>
          <w:sz w:val="24"/>
        </w:rPr>
        <w:t xml:space="preserve"> </w:t>
      </w:r>
      <w:r w:rsidR="00AE7867">
        <w:rPr>
          <w:noProof/>
          <w:sz w:val="24"/>
        </w:rPr>
        <w:t>Under this variance, OSHA</w:t>
      </w:r>
      <w:r w:rsidR="001776D4">
        <w:rPr>
          <w:noProof/>
          <w:sz w:val="24"/>
        </w:rPr>
        <w:t>, after notice and an</w:t>
      </w:r>
      <w:r w:rsidR="00165DDA">
        <w:rPr>
          <w:noProof/>
          <w:sz w:val="24"/>
        </w:rPr>
        <w:t xml:space="preserve"> op</w:t>
      </w:r>
      <w:r w:rsidR="001776D4">
        <w:rPr>
          <w:noProof/>
          <w:sz w:val="24"/>
        </w:rPr>
        <w:t>portunity for a hearing,</w:t>
      </w:r>
      <w:r w:rsidR="00AE7867">
        <w:rPr>
          <w:noProof/>
          <w:sz w:val="24"/>
        </w:rPr>
        <w:t xml:space="preserve"> </w:t>
      </w:r>
      <w:r w:rsidR="001776D4">
        <w:rPr>
          <w:noProof/>
          <w:sz w:val="24"/>
        </w:rPr>
        <w:t>“</w:t>
      </w:r>
      <w:r w:rsidR="00A7241C">
        <w:rPr>
          <w:noProof/>
          <w:sz w:val="24"/>
        </w:rPr>
        <w:t xml:space="preserve">may </w:t>
      </w:r>
      <w:r w:rsidR="001776D4">
        <w:rPr>
          <w:noProof/>
          <w:sz w:val="24"/>
        </w:rPr>
        <w:t xml:space="preserve">provide such reasonable limitations and may </w:t>
      </w:r>
      <w:r w:rsidR="00AE7867">
        <w:rPr>
          <w:noProof/>
          <w:sz w:val="24"/>
        </w:rPr>
        <w:t>make such rules</w:t>
      </w:r>
      <w:r w:rsidR="001776D4">
        <w:rPr>
          <w:noProof/>
          <w:sz w:val="24"/>
        </w:rPr>
        <w:t xml:space="preserve"> an</w:t>
      </w:r>
      <w:r w:rsidR="00AE7867">
        <w:rPr>
          <w:noProof/>
          <w:sz w:val="24"/>
        </w:rPr>
        <w:t xml:space="preserve">d regulations </w:t>
      </w:r>
      <w:r w:rsidR="001776D4">
        <w:rPr>
          <w:noProof/>
          <w:sz w:val="24"/>
        </w:rPr>
        <w:t xml:space="preserve">allowing </w:t>
      </w:r>
      <w:r w:rsidRPr="006B0B82">
        <w:rPr>
          <w:noProof/>
          <w:sz w:val="24"/>
        </w:rPr>
        <w:t>reasonable variation</w:t>
      </w:r>
      <w:r w:rsidR="001776D4">
        <w:rPr>
          <w:noProof/>
          <w:sz w:val="24"/>
        </w:rPr>
        <w:t>s</w:t>
      </w:r>
      <w:r w:rsidRPr="006B0B82">
        <w:rPr>
          <w:noProof/>
          <w:sz w:val="24"/>
        </w:rPr>
        <w:t>, tolerance</w:t>
      </w:r>
      <w:r w:rsidR="001776D4">
        <w:rPr>
          <w:noProof/>
          <w:sz w:val="24"/>
        </w:rPr>
        <w:t>s</w:t>
      </w:r>
      <w:r w:rsidRPr="006B0B82">
        <w:rPr>
          <w:noProof/>
          <w:sz w:val="24"/>
        </w:rPr>
        <w:t>, or exception</w:t>
      </w:r>
      <w:r w:rsidR="001776D4">
        <w:rPr>
          <w:noProof/>
          <w:sz w:val="24"/>
        </w:rPr>
        <w:t>s</w:t>
      </w:r>
      <w:r w:rsidRPr="006B0B82">
        <w:rPr>
          <w:noProof/>
          <w:sz w:val="24"/>
        </w:rPr>
        <w:t xml:space="preserve"> </w:t>
      </w:r>
      <w:r w:rsidR="001776D4">
        <w:rPr>
          <w:noProof/>
          <w:sz w:val="24"/>
        </w:rPr>
        <w:t xml:space="preserve">to and </w:t>
      </w:r>
      <w:r w:rsidRPr="006B0B82">
        <w:rPr>
          <w:noProof/>
          <w:sz w:val="24"/>
        </w:rPr>
        <w:t>from</w:t>
      </w:r>
      <w:r w:rsidR="001776D4">
        <w:rPr>
          <w:noProof/>
          <w:sz w:val="24"/>
        </w:rPr>
        <w:t>” the requir</w:t>
      </w:r>
      <w:r w:rsidR="003812D0">
        <w:rPr>
          <w:noProof/>
          <w:sz w:val="24"/>
        </w:rPr>
        <w:t>e</w:t>
      </w:r>
      <w:r w:rsidR="001776D4">
        <w:rPr>
          <w:noProof/>
          <w:sz w:val="24"/>
        </w:rPr>
        <w:t>ments of its standards th</w:t>
      </w:r>
      <w:r w:rsidR="00584807">
        <w:rPr>
          <w:noProof/>
          <w:sz w:val="24"/>
        </w:rPr>
        <w:t>at</w:t>
      </w:r>
      <w:r w:rsidR="001776D4">
        <w:rPr>
          <w:noProof/>
          <w:sz w:val="24"/>
        </w:rPr>
        <w:t xml:space="preserve"> it “finds are necessary and proper </w:t>
      </w:r>
      <w:r w:rsidRPr="006B0B82">
        <w:rPr>
          <w:noProof/>
          <w:sz w:val="24"/>
        </w:rPr>
        <w:t xml:space="preserve">to avoid serious impairment of the </w:t>
      </w:r>
      <w:r w:rsidR="001776D4">
        <w:rPr>
          <w:noProof/>
          <w:sz w:val="24"/>
        </w:rPr>
        <w:t>n</w:t>
      </w:r>
      <w:r w:rsidRPr="006B0B82">
        <w:rPr>
          <w:noProof/>
          <w:sz w:val="24"/>
        </w:rPr>
        <w:t xml:space="preserve">ational </w:t>
      </w:r>
      <w:r w:rsidR="001776D4">
        <w:rPr>
          <w:noProof/>
          <w:sz w:val="24"/>
        </w:rPr>
        <w:t>d</w:t>
      </w:r>
      <w:r w:rsidRPr="006B0B82">
        <w:rPr>
          <w:noProof/>
          <w:sz w:val="24"/>
        </w:rPr>
        <w:t>efense</w:t>
      </w:r>
      <w:r w:rsidR="001776D4">
        <w:rPr>
          <w:noProof/>
          <w:sz w:val="24"/>
        </w:rPr>
        <w:t xml:space="preserve">” (see Section 16 of the </w:t>
      </w:r>
      <w:r w:rsidR="001D524C">
        <w:rPr>
          <w:noProof/>
          <w:sz w:val="24"/>
        </w:rPr>
        <w:t xml:space="preserve">OSH </w:t>
      </w:r>
      <w:r w:rsidR="001776D4">
        <w:rPr>
          <w:noProof/>
          <w:sz w:val="24"/>
        </w:rPr>
        <w:t>Act; 29 U.S.C. 665)</w:t>
      </w:r>
      <w:r w:rsidRPr="006B0B82">
        <w:rPr>
          <w:noProof/>
          <w:sz w:val="24"/>
        </w:rPr>
        <w:t>.</w:t>
      </w:r>
      <w:r w:rsidR="001776D4">
        <w:rPr>
          <w:noProof/>
          <w:sz w:val="24"/>
        </w:rPr>
        <w:t xml:space="preserve">  </w:t>
      </w:r>
      <w:r w:rsidRPr="006B0B82">
        <w:rPr>
          <w:noProof/>
          <w:sz w:val="24"/>
        </w:rPr>
        <w:t xml:space="preserve">Such </w:t>
      </w:r>
      <w:r w:rsidR="001776D4">
        <w:rPr>
          <w:noProof/>
          <w:sz w:val="24"/>
        </w:rPr>
        <w:t xml:space="preserve">variances can be </w:t>
      </w:r>
      <w:r w:rsidR="00A7241C">
        <w:rPr>
          <w:noProof/>
          <w:sz w:val="24"/>
        </w:rPr>
        <w:t xml:space="preserve">in </w:t>
      </w:r>
      <w:r w:rsidR="001776D4">
        <w:rPr>
          <w:noProof/>
          <w:sz w:val="24"/>
        </w:rPr>
        <w:t xml:space="preserve">effect </w:t>
      </w:r>
      <w:r w:rsidR="00A7241C">
        <w:rPr>
          <w:noProof/>
          <w:sz w:val="24"/>
        </w:rPr>
        <w:t xml:space="preserve">no longer than </w:t>
      </w:r>
      <w:r w:rsidR="001776D4">
        <w:rPr>
          <w:noProof/>
          <w:sz w:val="24"/>
        </w:rPr>
        <w:t xml:space="preserve">six months without notifying the </w:t>
      </w:r>
      <w:r w:rsidRPr="006B0B82">
        <w:rPr>
          <w:noProof/>
          <w:sz w:val="24"/>
        </w:rPr>
        <w:t xml:space="preserve">affected </w:t>
      </w:r>
      <w:r w:rsidR="00402BF2">
        <w:rPr>
          <w:noProof/>
          <w:sz w:val="24"/>
        </w:rPr>
        <w:t>employee</w:t>
      </w:r>
      <w:r w:rsidRPr="006B0B82">
        <w:rPr>
          <w:noProof/>
          <w:sz w:val="24"/>
        </w:rPr>
        <w:t xml:space="preserve">s </w:t>
      </w:r>
      <w:r w:rsidR="00A7241C">
        <w:rPr>
          <w:noProof/>
          <w:sz w:val="24"/>
        </w:rPr>
        <w:t xml:space="preserve">and </w:t>
      </w:r>
      <w:r w:rsidR="001776D4">
        <w:rPr>
          <w:noProof/>
          <w:sz w:val="24"/>
        </w:rPr>
        <w:t>affording them an opportunity for a hearing</w:t>
      </w:r>
      <w:r w:rsidR="00DA3DF5">
        <w:rPr>
          <w:noProof/>
          <w:sz w:val="24"/>
        </w:rPr>
        <w:t>.</w:t>
      </w:r>
    </w:p>
    <w:p w:rsidR="00666025" w:rsidP="00165DDA" w14:paraId="3DD32261" w14:textId="77777777">
      <w:pPr>
        <w:rPr>
          <w:noProof/>
          <w:sz w:val="24"/>
        </w:rPr>
      </w:pPr>
    </w:p>
    <w:p w:rsidR="00666025" w:rsidRPr="00666025" w:rsidP="00165DDA" w14:paraId="67DACB29" w14:textId="77777777">
      <w:pPr>
        <w:rPr>
          <w:b/>
          <w:sz w:val="24"/>
        </w:rPr>
      </w:pPr>
      <w:r w:rsidRPr="00666025">
        <w:rPr>
          <w:b/>
          <w:noProof/>
          <w:sz w:val="24"/>
        </w:rPr>
        <w:t>Information Requirements for Each Type of Variance</w:t>
      </w:r>
    </w:p>
    <w:p w:rsidR="000B2E05" w:rsidP="00165DDA" w14:paraId="4FB0E1A0" w14:textId="77777777">
      <w:pPr>
        <w:rPr>
          <w:sz w:val="24"/>
        </w:rPr>
      </w:pPr>
    </w:p>
    <w:p w:rsidR="004C793E" w:rsidP="00165DDA" w14:paraId="4FCC8905" w14:textId="77777777">
      <w:pPr>
        <w:rPr>
          <w:sz w:val="24"/>
        </w:rPr>
      </w:pPr>
      <w:r>
        <w:rPr>
          <w:sz w:val="24"/>
        </w:rPr>
        <w:t>N</w:t>
      </w:r>
      <w:r w:rsidRPr="004C793E">
        <w:rPr>
          <w:sz w:val="24"/>
        </w:rPr>
        <w:t>o specific form</w:t>
      </w:r>
      <w:r>
        <w:rPr>
          <w:sz w:val="24"/>
        </w:rPr>
        <w:t xml:space="preserve">s are </w:t>
      </w:r>
      <w:r w:rsidR="001D524C">
        <w:rPr>
          <w:sz w:val="24"/>
        </w:rPr>
        <w:t>prescribed under the OSH Act and the Rules of Practice for Variances (29 CFR 1905) for requesting</w:t>
      </w:r>
      <w:r w:rsidR="008C2FC5">
        <w:rPr>
          <w:sz w:val="24"/>
        </w:rPr>
        <w:t xml:space="preserve"> these </w:t>
      </w:r>
      <w:r w:rsidRPr="004C793E">
        <w:rPr>
          <w:sz w:val="24"/>
        </w:rPr>
        <w:t>variance</w:t>
      </w:r>
      <w:r>
        <w:rPr>
          <w:sz w:val="24"/>
        </w:rPr>
        <w:t xml:space="preserve">s.  </w:t>
      </w:r>
      <w:r w:rsidR="008C2FC5">
        <w:rPr>
          <w:sz w:val="24"/>
        </w:rPr>
        <w:t>T</w:t>
      </w:r>
      <w:r>
        <w:rPr>
          <w:sz w:val="24"/>
        </w:rPr>
        <w:t xml:space="preserve">he </w:t>
      </w:r>
      <w:r w:rsidR="008C2FC5">
        <w:rPr>
          <w:sz w:val="24"/>
        </w:rPr>
        <w:t xml:space="preserve">following </w:t>
      </w:r>
      <w:r w:rsidRPr="004C793E">
        <w:rPr>
          <w:sz w:val="24"/>
        </w:rPr>
        <w:t>p</w:t>
      </w:r>
      <w:r w:rsidR="00165DDA">
        <w:rPr>
          <w:sz w:val="24"/>
        </w:rPr>
        <w:t>aragraph</w:t>
      </w:r>
      <w:r w:rsidRPr="004C793E">
        <w:rPr>
          <w:sz w:val="24"/>
        </w:rPr>
        <w:t xml:space="preserve">s </w:t>
      </w:r>
      <w:r w:rsidR="008C2FC5">
        <w:rPr>
          <w:sz w:val="24"/>
        </w:rPr>
        <w:t>describe the information required when applying for each type of variance.</w:t>
      </w:r>
      <w:r>
        <w:rPr>
          <w:rStyle w:val="FootnoteReference"/>
          <w:sz w:val="24"/>
          <w:vertAlign w:val="superscript"/>
        </w:rPr>
        <w:footnoteReference w:id="5"/>
      </w:r>
    </w:p>
    <w:p w:rsidR="006401B1" w:rsidP="00165DDA" w14:paraId="74B1731C" w14:textId="77777777">
      <w:pPr>
        <w:rPr>
          <w:sz w:val="24"/>
        </w:rPr>
      </w:pPr>
    </w:p>
    <w:p w:rsidR="006401B1" w:rsidP="006401B1" w14:paraId="5699E165" w14:textId="77777777">
      <w:pPr>
        <w:rPr>
          <w:sz w:val="24"/>
        </w:rPr>
      </w:pPr>
      <w:r w:rsidRPr="00EA3476">
        <w:rPr>
          <w:b/>
          <w:i/>
          <w:sz w:val="24"/>
          <w:u w:val="single"/>
        </w:rPr>
        <w:t>Temporary variance</w:t>
      </w:r>
      <w:r>
        <w:rPr>
          <w:sz w:val="24"/>
        </w:rPr>
        <w:t xml:space="preserve">.  </w:t>
      </w:r>
      <w:r w:rsidRPr="00584807">
        <w:rPr>
          <w:sz w:val="24"/>
        </w:rPr>
        <w:t>Under 29 CFR 1905.10, employers must provide OSHA with the following information when applying for this variance:</w:t>
      </w:r>
    </w:p>
    <w:p w:rsidR="00474C92" w:rsidRPr="00955936" w:rsidP="006401B1" w14:paraId="6868D301" w14:textId="77777777">
      <w:pPr>
        <w:rPr>
          <w:sz w:val="24"/>
          <w:u w:val="single"/>
        </w:rPr>
      </w:pPr>
    </w:p>
    <w:p w:rsidR="006401B1" w:rsidP="00B370A4" w14:paraId="1873BC1C" w14:textId="77777777">
      <w:pPr>
        <w:numPr>
          <w:ilvl w:val="0"/>
          <w:numId w:val="5"/>
        </w:numPr>
        <w:rPr>
          <w:sz w:val="24"/>
        </w:rPr>
      </w:pPr>
      <w:r>
        <w:rPr>
          <w:sz w:val="24"/>
        </w:rPr>
        <w:t>T</w:t>
      </w:r>
      <w:r w:rsidRPr="00B430DE">
        <w:rPr>
          <w:sz w:val="24"/>
        </w:rPr>
        <w:t xml:space="preserve">he name and address of the </w:t>
      </w:r>
      <w:r w:rsidR="004D7630">
        <w:rPr>
          <w:sz w:val="24"/>
        </w:rPr>
        <w:t>employer</w:t>
      </w:r>
      <w:r w:rsidRPr="00B430DE">
        <w:rPr>
          <w:sz w:val="24"/>
        </w:rPr>
        <w:t xml:space="preserve"> (1905.10(b)(1)) </w:t>
      </w:r>
    </w:p>
    <w:p w:rsidR="00FA1ADF" w:rsidP="00EA3476" w14:paraId="2B04437B" w14:textId="77777777">
      <w:pPr>
        <w:ind w:left="720"/>
        <w:rPr>
          <w:sz w:val="24"/>
        </w:rPr>
      </w:pPr>
    </w:p>
    <w:p w:rsidR="006401B1" w:rsidP="00B370A4" w14:paraId="5D9DA032" w14:textId="77777777">
      <w:pPr>
        <w:numPr>
          <w:ilvl w:val="0"/>
          <w:numId w:val="5"/>
        </w:numPr>
        <w:rPr>
          <w:sz w:val="24"/>
        </w:rPr>
      </w:pPr>
      <w:r>
        <w:rPr>
          <w:sz w:val="24"/>
        </w:rPr>
        <w:t>T</w:t>
      </w:r>
      <w:r w:rsidRPr="00B430DE">
        <w:rPr>
          <w:sz w:val="24"/>
        </w:rPr>
        <w:t>he address of the place or places of employment involved (1905.10(b)(2))</w:t>
      </w:r>
    </w:p>
    <w:p w:rsidR="00FA1ADF" w:rsidP="00EA3476" w14:paraId="03178831" w14:textId="77777777">
      <w:pPr>
        <w:ind w:left="720"/>
        <w:rPr>
          <w:sz w:val="24"/>
        </w:rPr>
      </w:pPr>
    </w:p>
    <w:p w:rsidR="006401B1" w:rsidP="00B370A4" w14:paraId="38D0741A" w14:textId="77777777">
      <w:pPr>
        <w:numPr>
          <w:ilvl w:val="0"/>
          <w:numId w:val="5"/>
        </w:numPr>
        <w:rPr>
          <w:sz w:val="24"/>
        </w:rPr>
      </w:pPr>
      <w:r>
        <w:rPr>
          <w:sz w:val="24"/>
        </w:rPr>
        <w:t xml:space="preserve">A </w:t>
      </w:r>
      <w:r w:rsidRPr="00B430DE">
        <w:rPr>
          <w:sz w:val="24"/>
        </w:rPr>
        <w:t>specification of the standard</w:t>
      </w:r>
      <w:r>
        <w:rPr>
          <w:sz w:val="24"/>
        </w:rPr>
        <w:t>,</w:t>
      </w:r>
      <w:r w:rsidRPr="00B430DE">
        <w:rPr>
          <w:sz w:val="24"/>
        </w:rPr>
        <w:t xml:space="preserve"> or portion thereof</w:t>
      </w:r>
      <w:r>
        <w:rPr>
          <w:sz w:val="24"/>
        </w:rPr>
        <w:t>,</w:t>
      </w:r>
      <w:r w:rsidRPr="00B430DE">
        <w:rPr>
          <w:sz w:val="24"/>
        </w:rPr>
        <w:t xml:space="preserve"> from which the </w:t>
      </w:r>
      <w:r w:rsidR="0083484C">
        <w:rPr>
          <w:sz w:val="24"/>
        </w:rPr>
        <w:t>employer</w:t>
      </w:r>
      <w:r w:rsidRPr="00B430DE">
        <w:rPr>
          <w:sz w:val="24"/>
        </w:rPr>
        <w:t xml:space="preserve"> seeks a</w:t>
      </w:r>
      <w:r w:rsidR="00D160BC">
        <w:rPr>
          <w:sz w:val="24"/>
        </w:rPr>
        <w:t xml:space="preserve"> </w:t>
      </w:r>
      <w:r w:rsidRPr="00B430DE">
        <w:rPr>
          <w:sz w:val="24"/>
        </w:rPr>
        <w:t>variance</w:t>
      </w:r>
      <w:r w:rsidR="00D160BC">
        <w:rPr>
          <w:sz w:val="24"/>
        </w:rPr>
        <w:t xml:space="preserve"> </w:t>
      </w:r>
      <w:r w:rsidRPr="00B430DE">
        <w:rPr>
          <w:sz w:val="24"/>
        </w:rPr>
        <w:t>(1905.10(b)(3))</w:t>
      </w:r>
    </w:p>
    <w:p w:rsidR="00610911" w:rsidP="00EA3476" w14:paraId="3002DB0C" w14:textId="77777777">
      <w:pPr>
        <w:ind w:left="720"/>
        <w:rPr>
          <w:sz w:val="24"/>
        </w:rPr>
      </w:pPr>
    </w:p>
    <w:p w:rsidR="006401B1" w:rsidP="00B370A4" w14:paraId="789A1E6B" w14:textId="77777777">
      <w:pPr>
        <w:numPr>
          <w:ilvl w:val="0"/>
          <w:numId w:val="5"/>
        </w:numPr>
        <w:rPr>
          <w:sz w:val="24"/>
        </w:rPr>
      </w:pPr>
      <w:r>
        <w:rPr>
          <w:sz w:val="24"/>
        </w:rPr>
        <w:t>A</w:t>
      </w:r>
      <w:r w:rsidRPr="00B430DE">
        <w:rPr>
          <w:sz w:val="24"/>
        </w:rPr>
        <w:t xml:space="preserve"> </w:t>
      </w:r>
      <w:r>
        <w:rPr>
          <w:sz w:val="24"/>
        </w:rPr>
        <w:t xml:space="preserve">statement </w:t>
      </w:r>
      <w:r w:rsidRPr="00B430DE">
        <w:rPr>
          <w:sz w:val="24"/>
        </w:rPr>
        <w:t xml:space="preserve">by the </w:t>
      </w:r>
      <w:r>
        <w:rPr>
          <w:sz w:val="24"/>
        </w:rPr>
        <w:t>employer</w:t>
      </w:r>
      <w:r w:rsidRPr="00B430DE">
        <w:rPr>
          <w:sz w:val="24"/>
        </w:rPr>
        <w:t xml:space="preserve">, supported by representations from qualified </w:t>
      </w:r>
      <w:r>
        <w:rPr>
          <w:sz w:val="24"/>
        </w:rPr>
        <w:t>individuals</w:t>
      </w:r>
      <w:r w:rsidR="00D160BC">
        <w:rPr>
          <w:sz w:val="24"/>
        </w:rPr>
        <w:t xml:space="preserve"> </w:t>
      </w:r>
      <w:r w:rsidRPr="00B430DE">
        <w:rPr>
          <w:sz w:val="24"/>
        </w:rPr>
        <w:t xml:space="preserve">having first-hand knowledge of the facts represented, that </w:t>
      </w:r>
      <w:r>
        <w:rPr>
          <w:sz w:val="24"/>
        </w:rPr>
        <w:t>the employer</w:t>
      </w:r>
      <w:r w:rsidRPr="00B430DE">
        <w:rPr>
          <w:sz w:val="24"/>
        </w:rPr>
        <w:t xml:space="preserve"> is unable to</w:t>
      </w:r>
      <w:r w:rsidR="00D160BC">
        <w:rPr>
          <w:sz w:val="24"/>
        </w:rPr>
        <w:t xml:space="preserve"> </w:t>
      </w:r>
      <w:r w:rsidRPr="00B430DE">
        <w:rPr>
          <w:sz w:val="24"/>
        </w:rPr>
        <w:t>comply with the standard</w:t>
      </w:r>
      <w:r>
        <w:rPr>
          <w:sz w:val="24"/>
        </w:rPr>
        <w:t>,</w:t>
      </w:r>
      <w:r w:rsidRPr="00B430DE">
        <w:rPr>
          <w:sz w:val="24"/>
        </w:rPr>
        <w:t xml:space="preserve"> or portion thereof</w:t>
      </w:r>
      <w:r>
        <w:rPr>
          <w:sz w:val="24"/>
        </w:rPr>
        <w:t>,</w:t>
      </w:r>
      <w:r w:rsidRPr="00B430DE">
        <w:rPr>
          <w:sz w:val="24"/>
        </w:rPr>
        <w:t xml:space="preserve"> by its effective date</w:t>
      </w:r>
      <w:r>
        <w:rPr>
          <w:sz w:val="24"/>
        </w:rPr>
        <w:t>,</w:t>
      </w:r>
      <w:r w:rsidRPr="00B430DE">
        <w:rPr>
          <w:sz w:val="24"/>
        </w:rPr>
        <w:t xml:space="preserve"> and a</w:t>
      </w:r>
      <w:r>
        <w:rPr>
          <w:sz w:val="24"/>
        </w:rPr>
        <w:t xml:space="preserve"> </w:t>
      </w:r>
      <w:r w:rsidRPr="00B430DE">
        <w:rPr>
          <w:sz w:val="24"/>
        </w:rPr>
        <w:t>detailed statement</w:t>
      </w:r>
      <w:r w:rsidR="00D160BC">
        <w:rPr>
          <w:sz w:val="24"/>
        </w:rPr>
        <w:t xml:space="preserve"> </w:t>
      </w:r>
      <w:r w:rsidRPr="00B430DE">
        <w:rPr>
          <w:sz w:val="24"/>
        </w:rPr>
        <w:t>of the reasons</w:t>
      </w:r>
      <w:r w:rsidR="00D160BC">
        <w:rPr>
          <w:sz w:val="24"/>
        </w:rPr>
        <w:t xml:space="preserve"> </w:t>
      </w:r>
      <w:r w:rsidRPr="00B430DE">
        <w:rPr>
          <w:sz w:val="24"/>
        </w:rPr>
        <w:t>therefor</w:t>
      </w:r>
      <w:r>
        <w:rPr>
          <w:sz w:val="24"/>
        </w:rPr>
        <w:t>e</w:t>
      </w:r>
      <w:r w:rsidRPr="00B430DE">
        <w:rPr>
          <w:sz w:val="24"/>
        </w:rPr>
        <w:t xml:space="preserve"> (1905.10(b)(4))</w:t>
      </w:r>
    </w:p>
    <w:p w:rsidR="00FA1ADF" w:rsidP="00EA3476" w14:paraId="4B8DDE84" w14:textId="77777777">
      <w:pPr>
        <w:ind w:left="720"/>
        <w:rPr>
          <w:sz w:val="24"/>
        </w:rPr>
      </w:pPr>
    </w:p>
    <w:p w:rsidR="006401B1" w:rsidP="00B370A4" w14:paraId="1C9E3A4F" w14:textId="77777777">
      <w:pPr>
        <w:numPr>
          <w:ilvl w:val="0"/>
          <w:numId w:val="5"/>
        </w:numPr>
        <w:rPr>
          <w:sz w:val="24"/>
        </w:rPr>
      </w:pPr>
      <w:r>
        <w:rPr>
          <w:sz w:val="24"/>
        </w:rPr>
        <w:t xml:space="preserve">A </w:t>
      </w:r>
      <w:r w:rsidRPr="00B430DE">
        <w:rPr>
          <w:sz w:val="24"/>
        </w:rPr>
        <w:t xml:space="preserve">statement </w:t>
      </w:r>
      <w:r>
        <w:rPr>
          <w:sz w:val="24"/>
        </w:rPr>
        <w:t xml:space="preserve">by the employer </w:t>
      </w:r>
      <w:r w:rsidRPr="00B430DE">
        <w:rPr>
          <w:sz w:val="24"/>
        </w:rPr>
        <w:t xml:space="preserve">of the steps taken and </w:t>
      </w:r>
      <w:r>
        <w:rPr>
          <w:sz w:val="24"/>
        </w:rPr>
        <w:t>planned</w:t>
      </w:r>
      <w:r w:rsidRPr="00B430DE">
        <w:rPr>
          <w:sz w:val="24"/>
        </w:rPr>
        <w:t>, with specific dates, to protect</w:t>
      </w:r>
      <w:r w:rsidR="00D160BC">
        <w:rPr>
          <w:sz w:val="24"/>
        </w:rPr>
        <w:t xml:space="preserve"> </w:t>
      </w:r>
      <w:r w:rsidR="00506280">
        <w:rPr>
          <w:sz w:val="24"/>
        </w:rPr>
        <w:t>employee</w:t>
      </w:r>
      <w:r w:rsidRPr="00B430DE">
        <w:rPr>
          <w:sz w:val="24"/>
        </w:rPr>
        <w:t>s against the hazard</w:t>
      </w:r>
      <w:r>
        <w:rPr>
          <w:sz w:val="24"/>
        </w:rPr>
        <w:t>s</w:t>
      </w:r>
      <w:r w:rsidRPr="00B430DE">
        <w:rPr>
          <w:sz w:val="24"/>
        </w:rPr>
        <w:t xml:space="preserve"> covered by the standard (1905.10(b)(5)</w:t>
      </w:r>
      <w:r w:rsidR="00584807">
        <w:rPr>
          <w:sz w:val="24"/>
        </w:rPr>
        <w:t>)</w:t>
      </w:r>
    </w:p>
    <w:p w:rsidR="00FA1ADF" w:rsidP="00EA3476" w14:paraId="7D2F9FB1" w14:textId="77777777">
      <w:pPr>
        <w:ind w:left="720"/>
        <w:rPr>
          <w:sz w:val="24"/>
        </w:rPr>
      </w:pPr>
    </w:p>
    <w:p w:rsidR="006401B1" w:rsidP="00B370A4" w14:paraId="270E55F1" w14:textId="77777777">
      <w:pPr>
        <w:numPr>
          <w:ilvl w:val="0"/>
          <w:numId w:val="5"/>
        </w:numPr>
        <w:rPr>
          <w:sz w:val="24"/>
        </w:rPr>
      </w:pPr>
      <w:r>
        <w:rPr>
          <w:sz w:val="24"/>
        </w:rPr>
        <w:t xml:space="preserve">A </w:t>
      </w:r>
      <w:r w:rsidRPr="00B430DE">
        <w:rPr>
          <w:sz w:val="24"/>
        </w:rPr>
        <w:t xml:space="preserve">statement of when the </w:t>
      </w:r>
      <w:r>
        <w:rPr>
          <w:sz w:val="24"/>
        </w:rPr>
        <w:t>employer</w:t>
      </w:r>
      <w:r w:rsidRPr="00B430DE">
        <w:rPr>
          <w:sz w:val="24"/>
        </w:rPr>
        <w:t xml:space="preserve"> expects to be able to comply with the standard</w:t>
      </w:r>
      <w:r>
        <w:rPr>
          <w:sz w:val="24"/>
        </w:rPr>
        <w:t>,</w:t>
      </w:r>
      <w:r w:rsidRPr="00B430DE">
        <w:rPr>
          <w:sz w:val="24"/>
        </w:rPr>
        <w:t xml:space="preserve"> and </w:t>
      </w:r>
      <w:r>
        <w:rPr>
          <w:sz w:val="24"/>
        </w:rPr>
        <w:t>the</w:t>
      </w:r>
      <w:r w:rsidR="00D160BC">
        <w:rPr>
          <w:sz w:val="24"/>
        </w:rPr>
        <w:t xml:space="preserve"> </w:t>
      </w:r>
      <w:r w:rsidRPr="00B430DE">
        <w:rPr>
          <w:sz w:val="24"/>
        </w:rPr>
        <w:t xml:space="preserve">steps taken and </w:t>
      </w:r>
      <w:r>
        <w:rPr>
          <w:sz w:val="24"/>
        </w:rPr>
        <w:t>planned</w:t>
      </w:r>
      <w:r w:rsidRPr="00B430DE">
        <w:rPr>
          <w:sz w:val="24"/>
        </w:rPr>
        <w:t>, with specific dates</w:t>
      </w:r>
      <w:r>
        <w:rPr>
          <w:sz w:val="24"/>
        </w:rPr>
        <w:t xml:space="preserve">, </w:t>
      </w:r>
      <w:r w:rsidRPr="00B430DE">
        <w:rPr>
          <w:sz w:val="24"/>
        </w:rPr>
        <w:t>to come into compliance with the standard</w:t>
      </w:r>
      <w:r w:rsidR="00D160BC">
        <w:rPr>
          <w:sz w:val="24"/>
        </w:rPr>
        <w:t xml:space="preserve"> </w:t>
      </w:r>
      <w:r w:rsidRPr="00B430DE">
        <w:rPr>
          <w:sz w:val="24"/>
        </w:rPr>
        <w:t>(1905.10(b)(6))</w:t>
      </w:r>
    </w:p>
    <w:p w:rsidR="00FA1ADF" w:rsidP="00EA3476" w14:paraId="6C03D624" w14:textId="77777777">
      <w:pPr>
        <w:ind w:left="720"/>
        <w:rPr>
          <w:sz w:val="24"/>
        </w:rPr>
      </w:pPr>
    </w:p>
    <w:p w:rsidR="006401B1" w:rsidP="00B370A4" w14:paraId="6A3B09E1" w14:textId="77777777">
      <w:pPr>
        <w:numPr>
          <w:ilvl w:val="0"/>
          <w:numId w:val="5"/>
        </w:numPr>
        <w:rPr>
          <w:sz w:val="24"/>
        </w:rPr>
      </w:pPr>
      <w:bookmarkStart w:id="1" w:name="1905.10(b)(7)"/>
      <w:bookmarkEnd w:id="1"/>
      <w:r>
        <w:rPr>
          <w:sz w:val="24"/>
        </w:rPr>
        <w:t>A</w:t>
      </w:r>
      <w:r w:rsidRPr="00B430DE">
        <w:rPr>
          <w:sz w:val="24"/>
        </w:rPr>
        <w:t xml:space="preserve"> statement of the facts establish</w:t>
      </w:r>
      <w:r>
        <w:rPr>
          <w:sz w:val="24"/>
        </w:rPr>
        <w:t>ing</w:t>
      </w:r>
      <w:r w:rsidRPr="00B430DE">
        <w:rPr>
          <w:sz w:val="24"/>
        </w:rPr>
        <w:t xml:space="preserve"> that</w:t>
      </w:r>
      <w:bookmarkStart w:id="2" w:name="1905.10(b)(7)(i)"/>
      <w:bookmarkEnd w:id="2"/>
      <w:r w:rsidRPr="00B430DE">
        <w:rPr>
          <w:sz w:val="24"/>
        </w:rPr>
        <w:t xml:space="preserve"> the </w:t>
      </w:r>
      <w:r>
        <w:rPr>
          <w:sz w:val="24"/>
        </w:rPr>
        <w:t>employer</w:t>
      </w:r>
      <w:r w:rsidRPr="00B430DE">
        <w:rPr>
          <w:sz w:val="24"/>
        </w:rPr>
        <w:t xml:space="preserve"> is unable to comply with </w:t>
      </w:r>
      <w:r>
        <w:rPr>
          <w:sz w:val="24"/>
        </w:rPr>
        <w:t>the</w:t>
      </w:r>
      <w:r w:rsidR="00D160BC">
        <w:rPr>
          <w:sz w:val="24"/>
        </w:rPr>
        <w:t xml:space="preserve"> </w:t>
      </w:r>
      <w:r w:rsidRPr="00B430DE">
        <w:rPr>
          <w:sz w:val="24"/>
        </w:rPr>
        <w:t xml:space="preserve">standard by its effective date because </w:t>
      </w:r>
      <w:r>
        <w:rPr>
          <w:sz w:val="24"/>
        </w:rPr>
        <w:t xml:space="preserve">(1) the </w:t>
      </w:r>
      <w:r w:rsidRPr="00B430DE">
        <w:rPr>
          <w:sz w:val="24"/>
        </w:rPr>
        <w:t>professional or technical</w:t>
      </w:r>
      <w:r>
        <w:rPr>
          <w:sz w:val="24"/>
        </w:rPr>
        <w:t xml:space="preserve"> </w:t>
      </w:r>
      <w:r w:rsidRPr="00B430DE">
        <w:rPr>
          <w:sz w:val="24"/>
        </w:rPr>
        <w:t>personnel</w:t>
      </w:r>
      <w:r>
        <w:rPr>
          <w:sz w:val="24"/>
        </w:rPr>
        <w:t xml:space="preserve">, </w:t>
      </w:r>
      <w:r w:rsidRPr="00B430DE">
        <w:rPr>
          <w:sz w:val="24"/>
        </w:rPr>
        <w:t>or</w:t>
      </w:r>
      <w:r w:rsidR="00D160BC">
        <w:rPr>
          <w:sz w:val="24"/>
        </w:rPr>
        <w:t xml:space="preserve"> </w:t>
      </w:r>
      <w:r w:rsidRPr="00B430DE">
        <w:rPr>
          <w:sz w:val="24"/>
        </w:rPr>
        <w:t>materials and</w:t>
      </w:r>
      <w:r w:rsidR="00D160BC">
        <w:rPr>
          <w:sz w:val="24"/>
        </w:rPr>
        <w:t xml:space="preserve"> </w:t>
      </w:r>
      <w:r w:rsidRPr="00B430DE">
        <w:rPr>
          <w:sz w:val="24"/>
        </w:rPr>
        <w:t>equipment</w:t>
      </w:r>
      <w:r>
        <w:rPr>
          <w:sz w:val="24"/>
        </w:rPr>
        <w:t>,</w:t>
      </w:r>
      <w:r w:rsidRPr="00B430DE">
        <w:rPr>
          <w:sz w:val="24"/>
        </w:rPr>
        <w:t xml:space="preserve"> needed to come into compliance with the standard </w:t>
      </w:r>
      <w:r>
        <w:rPr>
          <w:sz w:val="24"/>
        </w:rPr>
        <w:t>are</w:t>
      </w:r>
      <w:r w:rsidR="00D160BC">
        <w:rPr>
          <w:sz w:val="24"/>
        </w:rPr>
        <w:t xml:space="preserve"> </w:t>
      </w:r>
      <w:r>
        <w:rPr>
          <w:sz w:val="24"/>
        </w:rPr>
        <w:t xml:space="preserve">unavailable, </w:t>
      </w:r>
      <w:r w:rsidRPr="00B430DE">
        <w:rPr>
          <w:sz w:val="24"/>
        </w:rPr>
        <w:t xml:space="preserve">or </w:t>
      </w:r>
      <w:r>
        <w:rPr>
          <w:sz w:val="24"/>
        </w:rPr>
        <w:t xml:space="preserve">the employer cannot complete </w:t>
      </w:r>
      <w:r w:rsidRPr="00B430DE">
        <w:rPr>
          <w:sz w:val="24"/>
        </w:rPr>
        <w:t>necessary construction or alteration of</w:t>
      </w:r>
      <w:r w:rsidR="00D160BC">
        <w:rPr>
          <w:sz w:val="24"/>
        </w:rPr>
        <w:t xml:space="preserve"> </w:t>
      </w:r>
      <w:r w:rsidRPr="00B430DE">
        <w:rPr>
          <w:sz w:val="24"/>
        </w:rPr>
        <w:t>facilities</w:t>
      </w:r>
      <w:r>
        <w:rPr>
          <w:sz w:val="24"/>
        </w:rPr>
        <w:t>,</w:t>
      </w:r>
      <w:r w:rsidRPr="00B430DE">
        <w:rPr>
          <w:sz w:val="24"/>
        </w:rPr>
        <w:t xml:space="preserve"> by the effective date; </w:t>
      </w:r>
      <w:bookmarkStart w:id="3" w:name="1905.10(b)(7)(ii)"/>
      <w:bookmarkEnd w:id="3"/>
      <w:r>
        <w:rPr>
          <w:sz w:val="24"/>
        </w:rPr>
        <w:t xml:space="preserve">(2) the employer </w:t>
      </w:r>
      <w:r w:rsidRPr="00B430DE">
        <w:rPr>
          <w:sz w:val="24"/>
        </w:rPr>
        <w:t>is taking all available steps to safeguard</w:t>
      </w:r>
      <w:r w:rsidR="00D160BC">
        <w:rPr>
          <w:sz w:val="24"/>
        </w:rPr>
        <w:t xml:space="preserve"> </w:t>
      </w:r>
      <w:r w:rsidR="00506280">
        <w:rPr>
          <w:sz w:val="24"/>
        </w:rPr>
        <w:t>employee</w:t>
      </w:r>
      <w:r w:rsidRPr="00B430DE">
        <w:rPr>
          <w:sz w:val="24"/>
        </w:rPr>
        <w:t>s against the hazards covered by the standard; and</w:t>
      </w:r>
      <w:r>
        <w:rPr>
          <w:sz w:val="24"/>
        </w:rPr>
        <w:t xml:space="preserve"> (3) the employer</w:t>
      </w:r>
      <w:r w:rsidRPr="00B430DE">
        <w:rPr>
          <w:sz w:val="24"/>
        </w:rPr>
        <w:t xml:space="preserve"> has an</w:t>
      </w:r>
      <w:r w:rsidR="00D160BC">
        <w:rPr>
          <w:sz w:val="24"/>
        </w:rPr>
        <w:t xml:space="preserve"> </w:t>
      </w:r>
      <w:r w:rsidRPr="00B430DE">
        <w:rPr>
          <w:sz w:val="24"/>
        </w:rPr>
        <w:t>effective program for coming into compliance with the standard as quickly as practicable</w:t>
      </w:r>
      <w:bookmarkStart w:id="4" w:name="1905.10(b)(8)"/>
      <w:bookmarkEnd w:id="4"/>
      <w:r>
        <w:rPr>
          <w:sz w:val="24"/>
        </w:rPr>
        <w:t xml:space="preserve"> (1905.10(b)(7))</w:t>
      </w:r>
    </w:p>
    <w:p w:rsidR="00FA1ADF" w:rsidP="00EA3476" w14:paraId="75F6DEAB" w14:textId="77777777">
      <w:pPr>
        <w:ind w:left="720"/>
        <w:rPr>
          <w:sz w:val="24"/>
        </w:rPr>
      </w:pPr>
    </w:p>
    <w:p w:rsidR="006401B1" w:rsidP="00B370A4" w14:paraId="1AC92F79" w14:textId="77777777">
      <w:pPr>
        <w:numPr>
          <w:ilvl w:val="0"/>
          <w:numId w:val="5"/>
        </w:numPr>
        <w:rPr>
          <w:sz w:val="24"/>
        </w:rPr>
      </w:pPr>
      <w:r>
        <w:rPr>
          <w:sz w:val="24"/>
        </w:rPr>
        <w:t>A statement for requesting</w:t>
      </w:r>
      <w:r w:rsidR="00F709F1">
        <w:rPr>
          <w:sz w:val="24"/>
        </w:rPr>
        <w:t xml:space="preserve"> </w:t>
      </w:r>
      <w:r w:rsidRPr="0053353F">
        <w:rPr>
          <w:color w:val="000000"/>
          <w:sz w:val="24"/>
        </w:rPr>
        <w:t>a hearing as provided in this part</w:t>
      </w:r>
      <w:r w:rsidRPr="00B430DE">
        <w:rPr>
          <w:sz w:val="24"/>
        </w:rPr>
        <w:t xml:space="preserve"> (</w:t>
      </w:r>
      <w:r>
        <w:rPr>
          <w:sz w:val="24"/>
        </w:rPr>
        <w:t xml:space="preserve">29 </w:t>
      </w:r>
      <w:r w:rsidR="00AF1603">
        <w:rPr>
          <w:sz w:val="24"/>
        </w:rPr>
        <w:t xml:space="preserve">CFR </w:t>
      </w:r>
      <w:r w:rsidRPr="00B430DE">
        <w:rPr>
          <w:sz w:val="24"/>
        </w:rPr>
        <w:t>1905.10(b)(</w:t>
      </w:r>
      <w:r>
        <w:rPr>
          <w:sz w:val="24"/>
        </w:rPr>
        <w:t>8));</w:t>
      </w:r>
    </w:p>
    <w:p w:rsidR="00FA1ADF" w:rsidP="00EA3476" w14:paraId="332EF76B" w14:textId="77777777">
      <w:pPr>
        <w:ind w:left="720"/>
        <w:rPr>
          <w:sz w:val="24"/>
        </w:rPr>
      </w:pPr>
    </w:p>
    <w:p w:rsidR="006401B1" w:rsidP="00B370A4" w14:paraId="2BD6A222" w14:textId="68B959D0">
      <w:pPr>
        <w:numPr>
          <w:ilvl w:val="0"/>
          <w:numId w:val="5"/>
        </w:numPr>
        <w:rPr>
          <w:sz w:val="24"/>
        </w:rPr>
      </w:pPr>
      <w:r w:rsidRPr="0053353F">
        <w:rPr>
          <w:color w:val="000000"/>
          <w:sz w:val="24"/>
        </w:rPr>
        <w:t xml:space="preserve">A statement that the </w:t>
      </w:r>
      <w:r>
        <w:rPr>
          <w:color w:val="000000"/>
          <w:sz w:val="24"/>
        </w:rPr>
        <w:t>employer</w:t>
      </w:r>
      <w:r w:rsidRPr="0053353F">
        <w:rPr>
          <w:color w:val="000000"/>
          <w:sz w:val="24"/>
        </w:rPr>
        <w:t xml:space="preserve"> informed affected </w:t>
      </w:r>
      <w:r w:rsidR="00506280">
        <w:rPr>
          <w:color w:val="000000"/>
          <w:sz w:val="24"/>
        </w:rPr>
        <w:t>employee</w:t>
      </w:r>
      <w:r w:rsidRPr="0053353F">
        <w:rPr>
          <w:color w:val="000000"/>
          <w:sz w:val="24"/>
        </w:rPr>
        <w:t>s of the application by</w:t>
      </w:r>
      <w:r w:rsidR="00AA6D22">
        <w:rPr>
          <w:color w:val="000000"/>
          <w:sz w:val="24"/>
        </w:rPr>
        <w:t xml:space="preserve"> </w:t>
      </w:r>
      <w:r>
        <w:rPr>
          <w:color w:val="000000"/>
          <w:sz w:val="24"/>
        </w:rPr>
        <w:t xml:space="preserve">(1) </w:t>
      </w:r>
      <w:r w:rsidRPr="0053353F">
        <w:rPr>
          <w:color w:val="000000"/>
          <w:sz w:val="24"/>
        </w:rPr>
        <w:t>giving a</w:t>
      </w:r>
      <w:r>
        <w:rPr>
          <w:color w:val="000000"/>
          <w:sz w:val="24"/>
        </w:rPr>
        <w:t xml:space="preserve"> </w:t>
      </w:r>
      <w:r w:rsidRPr="0053353F">
        <w:rPr>
          <w:color w:val="000000"/>
          <w:sz w:val="24"/>
        </w:rPr>
        <w:t>copy thereof to their authorized representative</w:t>
      </w:r>
      <w:r>
        <w:rPr>
          <w:color w:val="000000"/>
          <w:sz w:val="24"/>
        </w:rPr>
        <w:t>;</w:t>
      </w:r>
      <w:r w:rsidRPr="0053353F">
        <w:rPr>
          <w:color w:val="000000"/>
          <w:sz w:val="24"/>
        </w:rPr>
        <w:t xml:space="preserve"> </w:t>
      </w:r>
      <w:r>
        <w:rPr>
          <w:color w:val="000000"/>
          <w:sz w:val="24"/>
        </w:rPr>
        <w:t xml:space="preserve">(2) </w:t>
      </w:r>
      <w:r w:rsidRPr="0053353F">
        <w:rPr>
          <w:color w:val="000000"/>
          <w:sz w:val="24"/>
        </w:rPr>
        <w:t>posting a statement, giving</w:t>
      </w:r>
      <w:r w:rsidR="00D160BC">
        <w:rPr>
          <w:color w:val="000000"/>
          <w:sz w:val="24"/>
        </w:rPr>
        <w:t xml:space="preserve"> </w:t>
      </w:r>
      <w:r w:rsidRPr="0053353F">
        <w:rPr>
          <w:color w:val="000000"/>
          <w:sz w:val="24"/>
        </w:rPr>
        <w:t>a summary of</w:t>
      </w:r>
      <w:r>
        <w:rPr>
          <w:color w:val="000000"/>
          <w:sz w:val="24"/>
        </w:rPr>
        <w:t xml:space="preserve"> </w:t>
      </w:r>
      <w:r w:rsidRPr="0053353F">
        <w:rPr>
          <w:color w:val="000000"/>
          <w:sz w:val="24"/>
        </w:rPr>
        <w:t>the application</w:t>
      </w:r>
      <w:r>
        <w:rPr>
          <w:color w:val="000000"/>
          <w:sz w:val="24"/>
        </w:rPr>
        <w:t>,</w:t>
      </w:r>
      <w:r w:rsidRPr="0053353F">
        <w:rPr>
          <w:color w:val="000000"/>
          <w:sz w:val="24"/>
        </w:rPr>
        <w:t xml:space="preserve"> and specifying where </w:t>
      </w:r>
      <w:r w:rsidR="00506280">
        <w:rPr>
          <w:color w:val="000000"/>
          <w:sz w:val="24"/>
        </w:rPr>
        <w:t>employee</w:t>
      </w:r>
      <w:r w:rsidR="001442E8">
        <w:rPr>
          <w:color w:val="000000"/>
          <w:sz w:val="24"/>
        </w:rPr>
        <w:t>s</w:t>
      </w:r>
      <w:r>
        <w:rPr>
          <w:color w:val="000000"/>
          <w:sz w:val="24"/>
        </w:rPr>
        <w:t xml:space="preserve"> can examine </w:t>
      </w:r>
      <w:r w:rsidRPr="0053353F">
        <w:rPr>
          <w:color w:val="000000"/>
          <w:sz w:val="24"/>
        </w:rPr>
        <w:t xml:space="preserve">a copy </w:t>
      </w:r>
      <w:r>
        <w:rPr>
          <w:color w:val="000000"/>
          <w:sz w:val="24"/>
        </w:rPr>
        <w:t xml:space="preserve">of </w:t>
      </w:r>
      <w:r w:rsidR="009B1A2F">
        <w:rPr>
          <w:color w:val="000000"/>
          <w:sz w:val="24"/>
        </w:rPr>
        <w:t xml:space="preserve">the </w:t>
      </w:r>
      <w:r w:rsidR="001E39A3">
        <w:rPr>
          <w:color w:val="000000"/>
          <w:sz w:val="24"/>
        </w:rPr>
        <w:t>application</w:t>
      </w:r>
      <w:r w:rsidRPr="0053353F">
        <w:rPr>
          <w:color w:val="000000"/>
          <w:sz w:val="24"/>
        </w:rPr>
        <w:t xml:space="preserve"> at the place or places where notices to </w:t>
      </w:r>
      <w:r w:rsidR="00506280">
        <w:rPr>
          <w:color w:val="000000"/>
          <w:sz w:val="24"/>
        </w:rPr>
        <w:t>employee</w:t>
      </w:r>
      <w:r w:rsidRPr="0053353F">
        <w:rPr>
          <w:color w:val="000000"/>
          <w:sz w:val="24"/>
        </w:rPr>
        <w:t>s are normally posted</w:t>
      </w:r>
      <w:r w:rsidR="001D524C">
        <w:rPr>
          <w:color w:val="000000"/>
          <w:sz w:val="24"/>
        </w:rPr>
        <w:t>;</w:t>
      </w:r>
      <w:r w:rsidRPr="0053353F" w:rsidR="001D524C">
        <w:rPr>
          <w:color w:val="000000"/>
          <w:sz w:val="24"/>
        </w:rPr>
        <w:t xml:space="preserve"> </w:t>
      </w:r>
      <w:r w:rsidRPr="0053353F">
        <w:rPr>
          <w:color w:val="000000"/>
          <w:sz w:val="24"/>
        </w:rPr>
        <w:t xml:space="preserve">and </w:t>
      </w:r>
      <w:r>
        <w:rPr>
          <w:color w:val="000000"/>
          <w:sz w:val="24"/>
        </w:rPr>
        <w:t xml:space="preserve">(3) </w:t>
      </w:r>
      <w:r w:rsidRPr="0053353F">
        <w:rPr>
          <w:color w:val="000000"/>
          <w:sz w:val="24"/>
        </w:rPr>
        <w:t>other appropriate</w:t>
      </w:r>
      <w:r w:rsidR="00D160BC">
        <w:rPr>
          <w:color w:val="000000"/>
          <w:sz w:val="24"/>
        </w:rPr>
        <w:t xml:space="preserve"> </w:t>
      </w:r>
      <w:r w:rsidRPr="0053353F">
        <w:rPr>
          <w:color w:val="000000"/>
          <w:sz w:val="24"/>
        </w:rPr>
        <w:t>means</w:t>
      </w:r>
      <w:r>
        <w:rPr>
          <w:color w:val="000000"/>
        </w:rPr>
        <w:t xml:space="preserve"> </w:t>
      </w:r>
      <w:r w:rsidRPr="00B430DE">
        <w:rPr>
          <w:sz w:val="24"/>
        </w:rPr>
        <w:t>(1905.10(b)(</w:t>
      </w:r>
      <w:r>
        <w:rPr>
          <w:sz w:val="24"/>
        </w:rPr>
        <w:t>9</w:t>
      </w:r>
      <w:r w:rsidRPr="00B430DE">
        <w:rPr>
          <w:sz w:val="24"/>
        </w:rPr>
        <w:t>))</w:t>
      </w:r>
    </w:p>
    <w:p w:rsidR="00FA1ADF" w:rsidP="00EA3476" w14:paraId="6416B928" w14:textId="77777777">
      <w:pPr>
        <w:ind w:left="720"/>
        <w:rPr>
          <w:sz w:val="24"/>
        </w:rPr>
      </w:pPr>
    </w:p>
    <w:p w:rsidR="006401B1" w:rsidP="00B370A4" w14:paraId="56CA2652" w14:textId="77777777">
      <w:pPr>
        <w:numPr>
          <w:ilvl w:val="0"/>
          <w:numId w:val="5"/>
        </w:numPr>
        <w:rPr>
          <w:sz w:val="24"/>
        </w:rPr>
      </w:pPr>
      <w:r>
        <w:rPr>
          <w:sz w:val="24"/>
        </w:rPr>
        <w:t xml:space="preserve">A description of </w:t>
      </w:r>
      <w:r w:rsidRPr="00EC3654">
        <w:rPr>
          <w:color w:val="000000"/>
          <w:sz w:val="24"/>
        </w:rPr>
        <w:t xml:space="preserve">how </w:t>
      </w:r>
      <w:r>
        <w:rPr>
          <w:color w:val="000000"/>
          <w:sz w:val="24"/>
        </w:rPr>
        <w:t xml:space="preserve">the employer informed </w:t>
      </w:r>
      <w:r w:rsidRPr="00EC3654">
        <w:rPr>
          <w:color w:val="000000"/>
          <w:sz w:val="24"/>
        </w:rPr>
        <w:t xml:space="preserve">affected </w:t>
      </w:r>
      <w:r w:rsidR="00506280">
        <w:rPr>
          <w:color w:val="000000"/>
          <w:sz w:val="24"/>
        </w:rPr>
        <w:t>employees</w:t>
      </w:r>
      <w:r w:rsidRPr="00EC3654">
        <w:rPr>
          <w:color w:val="000000"/>
          <w:sz w:val="24"/>
        </w:rPr>
        <w:t xml:space="preserve"> of the application and of their right to petition </w:t>
      </w:r>
      <w:r>
        <w:rPr>
          <w:color w:val="000000"/>
          <w:sz w:val="24"/>
        </w:rPr>
        <w:t xml:space="preserve">OSHA </w:t>
      </w:r>
      <w:r w:rsidRPr="00EC3654">
        <w:rPr>
          <w:color w:val="000000"/>
          <w:sz w:val="24"/>
        </w:rPr>
        <w:t>for a hearing</w:t>
      </w:r>
      <w:r w:rsidRPr="00B430DE">
        <w:rPr>
          <w:sz w:val="24"/>
        </w:rPr>
        <w:t xml:space="preserve"> (1905.10(b)(</w:t>
      </w:r>
      <w:r>
        <w:rPr>
          <w:sz w:val="24"/>
        </w:rPr>
        <w:t>10</w:t>
      </w:r>
      <w:r w:rsidRPr="00B430DE">
        <w:rPr>
          <w:sz w:val="24"/>
        </w:rPr>
        <w:t>))</w:t>
      </w:r>
    </w:p>
    <w:p w:rsidR="00FA1ADF" w:rsidRPr="00C15FFE" w:rsidP="00EA3476" w14:paraId="242CFC1F" w14:textId="77777777">
      <w:pPr>
        <w:ind w:left="720"/>
        <w:rPr>
          <w:sz w:val="24"/>
        </w:rPr>
      </w:pPr>
    </w:p>
    <w:p w:rsidR="006401B1" w:rsidP="00B370A4" w14:paraId="6CD0ED0D" w14:textId="77777777">
      <w:pPr>
        <w:numPr>
          <w:ilvl w:val="0"/>
          <w:numId w:val="5"/>
        </w:numPr>
        <w:rPr>
          <w:sz w:val="24"/>
        </w:rPr>
      </w:pPr>
      <w:r>
        <w:rPr>
          <w:sz w:val="24"/>
        </w:rPr>
        <w:t xml:space="preserve">For a variance that is </w:t>
      </w:r>
      <w:r w:rsidRPr="00EC3654">
        <w:rPr>
          <w:color w:val="000000"/>
          <w:sz w:val="24"/>
        </w:rPr>
        <w:t>applicable to employment or places of employment in more than one</w:t>
      </w:r>
      <w:r w:rsidR="00D160BC">
        <w:rPr>
          <w:color w:val="000000"/>
          <w:sz w:val="24"/>
        </w:rPr>
        <w:t xml:space="preserve"> </w:t>
      </w:r>
      <w:r w:rsidRPr="00EC3654">
        <w:rPr>
          <w:color w:val="000000"/>
          <w:sz w:val="24"/>
        </w:rPr>
        <w:t xml:space="preserve">State, including at least one State with a State plan approved under </w:t>
      </w:r>
      <w:r>
        <w:rPr>
          <w:color w:val="000000"/>
          <w:sz w:val="24"/>
        </w:rPr>
        <w:t>S</w:t>
      </w:r>
      <w:r w:rsidRPr="00EC3654">
        <w:rPr>
          <w:color w:val="000000"/>
          <w:sz w:val="24"/>
        </w:rPr>
        <w:t xml:space="preserve">ection 18 of the </w:t>
      </w:r>
      <w:r w:rsidR="001D524C">
        <w:rPr>
          <w:color w:val="000000"/>
          <w:sz w:val="24"/>
        </w:rPr>
        <w:t xml:space="preserve">OSH </w:t>
      </w:r>
      <w:r w:rsidRPr="00EC3654">
        <w:rPr>
          <w:color w:val="000000"/>
          <w:sz w:val="24"/>
        </w:rPr>
        <w:t>Act,</w:t>
      </w:r>
      <w:r w:rsidR="00D160BC">
        <w:rPr>
          <w:color w:val="000000"/>
          <w:sz w:val="24"/>
        </w:rPr>
        <w:t xml:space="preserve"> </w:t>
      </w:r>
      <w:r w:rsidRPr="00EC3654">
        <w:rPr>
          <w:color w:val="000000"/>
          <w:sz w:val="24"/>
        </w:rPr>
        <w:t>and involves a standard, or portion thereof, identical to a State standard effective under</w:t>
      </w:r>
      <w:r w:rsidR="00D160BC">
        <w:rPr>
          <w:color w:val="000000"/>
          <w:sz w:val="24"/>
        </w:rPr>
        <w:t xml:space="preserve"> </w:t>
      </w:r>
      <w:r w:rsidRPr="00EC3654">
        <w:rPr>
          <w:color w:val="000000"/>
          <w:sz w:val="24"/>
        </w:rPr>
        <w:t>such plan</w:t>
      </w:r>
      <w:r>
        <w:rPr>
          <w:color w:val="000000"/>
          <w:sz w:val="24"/>
        </w:rPr>
        <w:t xml:space="preserve"> (1905.10(b)(11)), provide</w:t>
      </w:r>
      <w:r w:rsidRPr="00EC3654">
        <w:rPr>
          <w:color w:val="000000"/>
          <w:sz w:val="24"/>
        </w:rPr>
        <w:t>:</w:t>
      </w:r>
      <w:r>
        <w:rPr>
          <w:color w:val="000000"/>
          <w:sz w:val="24"/>
        </w:rPr>
        <w:t xml:space="preserve">  (1) a </w:t>
      </w:r>
      <w:r w:rsidRPr="00EC3654">
        <w:rPr>
          <w:color w:val="000000"/>
          <w:sz w:val="24"/>
        </w:rPr>
        <w:t>side-by-side comparison of the Federal</w:t>
      </w:r>
      <w:r w:rsidR="00D160BC">
        <w:rPr>
          <w:color w:val="000000"/>
          <w:sz w:val="24"/>
        </w:rPr>
        <w:t xml:space="preserve"> </w:t>
      </w:r>
      <w:r>
        <w:rPr>
          <w:color w:val="000000"/>
          <w:sz w:val="24"/>
        </w:rPr>
        <w:t xml:space="preserve">OSHA </w:t>
      </w:r>
      <w:r w:rsidRPr="00EC3654">
        <w:rPr>
          <w:color w:val="000000"/>
          <w:sz w:val="24"/>
        </w:rPr>
        <w:t xml:space="preserve">standard, or portion thereof, </w:t>
      </w:r>
      <w:r>
        <w:rPr>
          <w:color w:val="000000"/>
          <w:sz w:val="24"/>
        </w:rPr>
        <w:t xml:space="preserve">and </w:t>
      </w:r>
      <w:r w:rsidRPr="00EC3654">
        <w:rPr>
          <w:color w:val="000000"/>
          <w:sz w:val="24"/>
        </w:rPr>
        <w:t xml:space="preserve">the State standard, or portion thereof, </w:t>
      </w:r>
      <w:r>
        <w:rPr>
          <w:color w:val="000000"/>
          <w:sz w:val="24"/>
        </w:rPr>
        <w:t>that are</w:t>
      </w:r>
      <w:r w:rsidR="00D160BC">
        <w:rPr>
          <w:color w:val="000000"/>
          <w:sz w:val="24"/>
        </w:rPr>
        <w:t xml:space="preserve"> </w:t>
      </w:r>
      <w:r w:rsidRPr="00EC3654">
        <w:rPr>
          <w:color w:val="000000"/>
          <w:sz w:val="24"/>
        </w:rPr>
        <w:t>identical in substance and requirements</w:t>
      </w:r>
      <w:r>
        <w:rPr>
          <w:color w:val="000000"/>
          <w:sz w:val="24"/>
        </w:rPr>
        <w:t xml:space="preserve"> (1905.10(b)(11)(i))</w:t>
      </w:r>
      <w:r w:rsidRPr="00EC3654">
        <w:rPr>
          <w:color w:val="000000"/>
          <w:sz w:val="24"/>
        </w:rPr>
        <w:t>;</w:t>
      </w:r>
      <w:r>
        <w:rPr>
          <w:color w:val="000000"/>
          <w:sz w:val="24"/>
        </w:rPr>
        <w:t xml:space="preserve"> (2) a</w:t>
      </w:r>
      <w:r w:rsidRPr="00EC3654">
        <w:rPr>
          <w:color w:val="000000"/>
          <w:sz w:val="24"/>
        </w:rPr>
        <w:t xml:space="preserve"> certification</w:t>
      </w:r>
      <w:r w:rsidR="00D160BC">
        <w:rPr>
          <w:color w:val="000000"/>
          <w:sz w:val="24"/>
        </w:rPr>
        <w:t xml:space="preserve"> </w:t>
      </w:r>
      <w:r w:rsidRPr="00EC3654">
        <w:rPr>
          <w:color w:val="000000"/>
          <w:sz w:val="24"/>
        </w:rPr>
        <w:t>that the employer ha</w:t>
      </w:r>
      <w:r>
        <w:rPr>
          <w:color w:val="000000"/>
          <w:sz w:val="24"/>
        </w:rPr>
        <w:t>s</w:t>
      </w:r>
      <w:r w:rsidRPr="00EC3654">
        <w:rPr>
          <w:color w:val="000000"/>
          <w:sz w:val="24"/>
        </w:rPr>
        <w:t xml:space="preserve"> not filed for </w:t>
      </w:r>
      <w:r>
        <w:rPr>
          <w:color w:val="000000"/>
          <w:sz w:val="24"/>
        </w:rPr>
        <w:t xml:space="preserve">a </w:t>
      </w:r>
      <w:r w:rsidR="001D524C">
        <w:rPr>
          <w:color w:val="000000"/>
          <w:sz w:val="24"/>
        </w:rPr>
        <w:t xml:space="preserve">permanent </w:t>
      </w:r>
      <w:r w:rsidRPr="00EC3654">
        <w:rPr>
          <w:color w:val="000000"/>
          <w:sz w:val="24"/>
        </w:rPr>
        <w:t>variance on the same material facts for the</w:t>
      </w:r>
      <w:r w:rsidR="00D160BC">
        <w:rPr>
          <w:color w:val="000000"/>
          <w:sz w:val="24"/>
        </w:rPr>
        <w:t xml:space="preserve"> </w:t>
      </w:r>
      <w:r w:rsidRPr="00EC3654">
        <w:rPr>
          <w:color w:val="000000"/>
          <w:sz w:val="24"/>
        </w:rPr>
        <w:t xml:space="preserve">same employment or place of employment with any State authority having </w:t>
      </w:r>
      <w:r w:rsidR="001D524C">
        <w:rPr>
          <w:color w:val="000000"/>
          <w:sz w:val="24"/>
        </w:rPr>
        <w:t xml:space="preserve">jurisdiction </w:t>
      </w:r>
      <w:r w:rsidRPr="00EC3654">
        <w:rPr>
          <w:color w:val="000000"/>
          <w:sz w:val="24"/>
        </w:rPr>
        <w:t>under an approv</w:t>
      </w:r>
      <w:r>
        <w:rPr>
          <w:color w:val="000000"/>
          <w:sz w:val="24"/>
        </w:rPr>
        <w:t>ed</w:t>
      </w:r>
      <w:r w:rsidRPr="00EC3654">
        <w:rPr>
          <w:color w:val="000000"/>
          <w:sz w:val="24"/>
        </w:rPr>
        <w:t xml:space="preserve"> </w:t>
      </w:r>
      <w:r>
        <w:rPr>
          <w:color w:val="000000"/>
          <w:sz w:val="24"/>
        </w:rPr>
        <w:t xml:space="preserve">State </w:t>
      </w:r>
      <w:r w:rsidRPr="00EC3654">
        <w:rPr>
          <w:color w:val="000000"/>
          <w:sz w:val="24"/>
        </w:rPr>
        <w:t>plan over any employment or place of employment covered in</w:t>
      </w:r>
      <w:r w:rsidR="00D160BC">
        <w:rPr>
          <w:color w:val="000000"/>
          <w:sz w:val="24"/>
        </w:rPr>
        <w:t xml:space="preserve"> </w:t>
      </w:r>
      <w:r w:rsidRPr="00EC3654">
        <w:rPr>
          <w:color w:val="000000"/>
          <w:sz w:val="24"/>
        </w:rPr>
        <w:t>the application</w:t>
      </w:r>
      <w:r>
        <w:rPr>
          <w:color w:val="000000"/>
          <w:sz w:val="24"/>
        </w:rPr>
        <w:t xml:space="preserve"> (1905.10(b)(11)(ii))</w:t>
      </w:r>
      <w:r w:rsidRPr="00EC3654">
        <w:rPr>
          <w:color w:val="000000"/>
          <w:sz w:val="24"/>
        </w:rPr>
        <w:t>; and</w:t>
      </w:r>
      <w:r>
        <w:rPr>
          <w:color w:val="000000"/>
          <w:sz w:val="24"/>
        </w:rPr>
        <w:t xml:space="preserve"> (3) a description</w:t>
      </w:r>
      <w:r w:rsidRPr="00EC3654">
        <w:rPr>
          <w:color w:val="000000"/>
          <w:sz w:val="24"/>
        </w:rPr>
        <w:t xml:space="preserve">, </w:t>
      </w:r>
      <w:r>
        <w:rPr>
          <w:color w:val="000000"/>
          <w:sz w:val="24"/>
        </w:rPr>
        <w:t>including</w:t>
      </w:r>
      <w:r w:rsidR="00D160BC">
        <w:rPr>
          <w:color w:val="000000"/>
          <w:sz w:val="24"/>
        </w:rPr>
        <w:t xml:space="preserve"> </w:t>
      </w:r>
      <w:r w:rsidRPr="00EC3654">
        <w:rPr>
          <w:color w:val="000000"/>
          <w:sz w:val="24"/>
        </w:rPr>
        <w:t>identification</w:t>
      </w:r>
      <w:r>
        <w:rPr>
          <w:color w:val="000000"/>
          <w:sz w:val="24"/>
        </w:rPr>
        <w:t>,</w:t>
      </w:r>
      <w:r w:rsidRPr="00EC3654">
        <w:rPr>
          <w:color w:val="000000"/>
          <w:sz w:val="24"/>
        </w:rPr>
        <w:t xml:space="preserve"> of any </w:t>
      </w:r>
      <w:r>
        <w:rPr>
          <w:color w:val="000000"/>
          <w:sz w:val="24"/>
        </w:rPr>
        <w:t xml:space="preserve">pending </w:t>
      </w:r>
      <w:r w:rsidRPr="00EC3654">
        <w:rPr>
          <w:color w:val="000000"/>
          <w:sz w:val="24"/>
        </w:rPr>
        <w:t xml:space="preserve">citation </w:t>
      </w:r>
      <w:r>
        <w:rPr>
          <w:color w:val="000000"/>
          <w:sz w:val="24"/>
        </w:rPr>
        <w:t xml:space="preserve">issued to the employer </w:t>
      </w:r>
      <w:r w:rsidRPr="00EC3654">
        <w:rPr>
          <w:color w:val="000000"/>
          <w:sz w:val="24"/>
        </w:rPr>
        <w:t>for violations of the State</w:t>
      </w:r>
      <w:r>
        <w:rPr>
          <w:color w:val="000000"/>
          <w:sz w:val="24"/>
        </w:rPr>
        <w:t xml:space="preserve"> </w:t>
      </w:r>
      <w:r w:rsidRPr="00EC3654">
        <w:rPr>
          <w:color w:val="000000"/>
          <w:sz w:val="24"/>
        </w:rPr>
        <w:t>standard, or portion thereof, by any State authorit</w:t>
      </w:r>
      <w:r>
        <w:rPr>
          <w:color w:val="000000"/>
          <w:sz w:val="24"/>
        </w:rPr>
        <w:t>y</w:t>
      </w:r>
      <w:r w:rsidRPr="00EC3654">
        <w:rPr>
          <w:color w:val="000000"/>
          <w:sz w:val="24"/>
        </w:rPr>
        <w:t xml:space="preserve"> enforcing the standard under a </w:t>
      </w:r>
      <w:r>
        <w:rPr>
          <w:color w:val="000000"/>
          <w:sz w:val="24"/>
        </w:rPr>
        <w:t xml:space="preserve">State </w:t>
      </w:r>
      <w:r w:rsidRPr="00EC3654">
        <w:rPr>
          <w:color w:val="000000"/>
          <w:sz w:val="24"/>
        </w:rPr>
        <w:t>plan</w:t>
      </w:r>
      <w:r>
        <w:rPr>
          <w:color w:val="000000"/>
          <w:sz w:val="24"/>
        </w:rPr>
        <w:t xml:space="preserve"> </w:t>
      </w:r>
      <w:r w:rsidRPr="00B430DE">
        <w:rPr>
          <w:sz w:val="24"/>
        </w:rPr>
        <w:t>(1905.10(b)(</w:t>
      </w:r>
      <w:r>
        <w:rPr>
          <w:sz w:val="24"/>
        </w:rPr>
        <w:t>11</w:t>
      </w:r>
      <w:r w:rsidRPr="00B430DE">
        <w:rPr>
          <w:sz w:val="24"/>
        </w:rPr>
        <w:t>)</w:t>
      </w:r>
      <w:r>
        <w:rPr>
          <w:sz w:val="24"/>
        </w:rPr>
        <w:t>(iii)</w:t>
      </w:r>
      <w:r w:rsidRPr="00B430DE">
        <w:rPr>
          <w:sz w:val="24"/>
        </w:rPr>
        <w:t>)</w:t>
      </w:r>
      <w:r>
        <w:rPr>
          <w:sz w:val="24"/>
        </w:rPr>
        <w:t>.</w:t>
      </w:r>
    </w:p>
    <w:p w:rsidR="00162BEC" w:rsidP="00D160BC" w14:paraId="262309FB" w14:textId="77777777">
      <w:pPr>
        <w:rPr>
          <w:sz w:val="24"/>
        </w:rPr>
      </w:pPr>
    </w:p>
    <w:p w:rsidR="009B1A2F" w:rsidP="00162BEC" w14:paraId="29429835" w14:textId="77777777">
      <w:pPr>
        <w:rPr>
          <w:sz w:val="24"/>
        </w:rPr>
      </w:pPr>
      <w:r w:rsidRPr="00EA3476">
        <w:rPr>
          <w:b/>
          <w:i/>
          <w:sz w:val="24"/>
          <w:u w:val="single"/>
        </w:rPr>
        <w:t xml:space="preserve">Temporary variance </w:t>
      </w:r>
      <w:r w:rsidRPr="00EA3476" w:rsidR="001442E8">
        <w:rPr>
          <w:b/>
          <w:i/>
          <w:sz w:val="24"/>
          <w:u w:val="single"/>
        </w:rPr>
        <w:t>i</w:t>
      </w:r>
      <w:r w:rsidRPr="00EA3476">
        <w:rPr>
          <w:b/>
          <w:i/>
          <w:sz w:val="24"/>
          <w:u w:val="single"/>
        </w:rPr>
        <w:t>nterim</w:t>
      </w:r>
      <w:r w:rsidRPr="00EA3476" w:rsidR="00F709F1">
        <w:rPr>
          <w:b/>
          <w:i/>
          <w:sz w:val="24"/>
          <w:u w:val="single"/>
        </w:rPr>
        <w:t>-</w:t>
      </w:r>
      <w:r w:rsidRPr="00EA3476" w:rsidR="001442E8">
        <w:rPr>
          <w:b/>
          <w:i/>
          <w:sz w:val="24"/>
          <w:u w:val="single"/>
        </w:rPr>
        <w:t>o</w:t>
      </w:r>
      <w:r w:rsidRPr="00EA3476">
        <w:rPr>
          <w:b/>
          <w:i/>
          <w:sz w:val="24"/>
          <w:u w:val="single"/>
        </w:rPr>
        <w:t xml:space="preserve">rder </w:t>
      </w:r>
      <w:r w:rsidRPr="00EA3476" w:rsidR="001442E8">
        <w:rPr>
          <w:b/>
          <w:i/>
          <w:sz w:val="24"/>
          <w:u w:val="single"/>
        </w:rPr>
        <w:t>a</w:t>
      </w:r>
      <w:r w:rsidRPr="00EA3476">
        <w:rPr>
          <w:b/>
          <w:i/>
          <w:sz w:val="24"/>
          <w:u w:val="single"/>
        </w:rPr>
        <w:t>pplication</w:t>
      </w:r>
      <w:r w:rsidRPr="001442E8">
        <w:rPr>
          <w:sz w:val="24"/>
        </w:rPr>
        <w:t>.</w:t>
      </w:r>
      <w:r w:rsidRPr="00E2423D">
        <w:rPr>
          <w:sz w:val="24"/>
        </w:rPr>
        <w:t xml:space="preserve">  Under 29 CFR 1905.10(c)(1), employers may apply for an interim order. </w:t>
      </w:r>
      <w:r w:rsidR="0063366B">
        <w:rPr>
          <w:sz w:val="24"/>
        </w:rPr>
        <w:t xml:space="preserve"> </w:t>
      </w:r>
      <w:r w:rsidRPr="00E2423D">
        <w:rPr>
          <w:sz w:val="24"/>
        </w:rPr>
        <w:t>Such an application must provide OSHA with the following information:</w:t>
      </w:r>
    </w:p>
    <w:p w:rsidR="00FA1ADF" w:rsidP="00162BEC" w14:paraId="7AD601AB" w14:textId="77777777">
      <w:pPr>
        <w:rPr>
          <w:sz w:val="24"/>
        </w:rPr>
      </w:pPr>
    </w:p>
    <w:p w:rsidR="00FA1ADF" w:rsidP="00FA1ADF" w14:paraId="7F0AE3D8" w14:textId="6B23F4F2">
      <w:pPr>
        <w:numPr>
          <w:ilvl w:val="0"/>
          <w:numId w:val="6"/>
        </w:numPr>
        <w:rPr>
          <w:sz w:val="24"/>
        </w:rPr>
      </w:pPr>
      <w:r>
        <w:rPr>
          <w:sz w:val="24"/>
        </w:rPr>
        <w:t>A</w:t>
      </w:r>
      <w:r w:rsidRPr="00B430DE">
        <w:rPr>
          <w:sz w:val="24"/>
        </w:rPr>
        <w:t xml:space="preserve"> statement </w:t>
      </w:r>
      <w:r>
        <w:rPr>
          <w:sz w:val="24"/>
        </w:rPr>
        <w:t>requesting</w:t>
      </w:r>
      <w:r>
        <w:rPr>
          <w:color w:val="000000"/>
        </w:rPr>
        <w:t xml:space="preserve"> </w:t>
      </w:r>
      <w:r w:rsidRPr="0053353F">
        <w:rPr>
          <w:color w:val="000000"/>
          <w:sz w:val="24"/>
        </w:rPr>
        <w:t>a</w:t>
      </w:r>
      <w:r>
        <w:rPr>
          <w:color w:val="000000"/>
          <w:sz w:val="24"/>
        </w:rPr>
        <w:t>n interim order</w:t>
      </w:r>
      <w:r w:rsidR="00CF7F83">
        <w:rPr>
          <w:color w:val="000000"/>
          <w:sz w:val="24"/>
        </w:rPr>
        <w:t xml:space="preserve"> and that the order </w:t>
      </w:r>
      <w:r w:rsidRPr="00162BEC" w:rsidR="00162BEC">
        <w:rPr>
          <w:sz w:val="24"/>
        </w:rPr>
        <w:t xml:space="preserve">be effective until a decision is rendered on the application for the </w:t>
      </w:r>
      <w:r w:rsidR="00162BEC">
        <w:rPr>
          <w:sz w:val="24"/>
        </w:rPr>
        <w:t xml:space="preserve">temporary </w:t>
      </w:r>
      <w:r w:rsidRPr="00162BEC" w:rsidR="00162BEC">
        <w:rPr>
          <w:sz w:val="24"/>
        </w:rPr>
        <w:t>variance filed previously or concurrently</w:t>
      </w:r>
    </w:p>
    <w:p w:rsidR="00FA1ADF" w:rsidRPr="00FA1ADF" w:rsidP="00EA3476" w14:paraId="5FD3D6DE" w14:textId="77777777">
      <w:pPr>
        <w:ind w:left="720"/>
        <w:rPr>
          <w:sz w:val="24"/>
        </w:rPr>
      </w:pPr>
    </w:p>
    <w:p w:rsidR="00162BEC" w:rsidRPr="00162BEC" w:rsidP="00B370A4" w14:paraId="5CE6F729" w14:textId="77777777">
      <w:pPr>
        <w:numPr>
          <w:ilvl w:val="0"/>
          <w:numId w:val="6"/>
        </w:numPr>
        <w:rPr>
          <w:sz w:val="24"/>
        </w:rPr>
      </w:pPr>
      <w:r>
        <w:rPr>
          <w:sz w:val="24"/>
        </w:rPr>
        <w:t xml:space="preserve">At the employer’s discretion, the </w:t>
      </w:r>
      <w:r w:rsidRPr="00162BEC">
        <w:rPr>
          <w:sz w:val="24"/>
        </w:rPr>
        <w:t xml:space="preserve">application for an interim order may include statements of fact and arguments as to why </w:t>
      </w:r>
      <w:r>
        <w:rPr>
          <w:sz w:val="24"/>
        </w:rPr>
        <w:t xml:space="preserve">OSHA should grant </w:t>
      </w:r>
      <w:r w:rsidRPr="00162BEC">
        <w:rPr>
          <w:sz w:val="24"/>
        </w:rPr>
        <w:t>the order.</w:t>
      </w:r>
    </w:p>
    <w:p w:rsidR="002F3F3A" w:rsidP="006401B1" w14:paraId="23A4CB0B" w14:textId="77777777">
      <w:pPr>
        <w:ind w:left="420"/>
        <w:rPr>
          <w:sz w:val="24"/>
        </w:rPr>
      </w:pPr>
    </w:p>
    <w:p w:rsidR="009F0FD6" w:rsidP="00E67410" w14:paraId="040E3519" w14:textId="2B86DFDB">
      <w:pPr>
        <w:widowControl/>
        <w:autoSpaceDE/>
        <w:autoSpaceDN/>
        <w:adjustRightInd/>
        <w:rPr>
          <w:sz w:val="24"/>
        </w:rPr>
      </w:pPr>
      <w:r w:rsidRPr="00EA3476">
        <w:rPr>
          <w:b/>
          <w:i/>
          <w:sz w:val="24"/>
          <w:u w:val="single"/>
        </w:rPr>
        <w:t>Experimental variance</w:t>
      </w:r>
      <w:r w:rsidRPr="005437A7">
        <w:rPr>
          <w:sz w:val="24"/>
        </w:rPr>
        <w:t xml:space="preserve">.  </w:t>
      </w:r>
      <w:r>
        <w:rPr>
          <w:sz w:val="24"/>
        </w:rPr>
        <w:t xml:space="preserve">Section </w:t>
      </w:r>
      <w:r>
        <w:rPr>
          <w:noProof/>
          <w:sz w:val="24"/>
        </w:rPr>
        <w:t>6</w:t>
      </w:r>
      <w:r w:rsidR="00E67410">
        <w:rPr>
          <w:noProof/>
          <w:sz w:val="24"/>
        </w:rPr>
        <w:t>(b)(6)</w:t>
      </w:r>
      <w:r>
        <w:rPr>
          <w:noProof/>
          <w:sz w:val="24"/>
        </w:rPr>
        <w:t xml:space="preserve">(C) of </w:t>
      </w:r>
      <w:r>
        <w:rPr>
          <w:sz w:val="24"/>
        </w:rPr>
        <w:t xml:space="preserve">the </w:t>
      </w:r>
      <w:r w:rsidR="001D524C">
        <w:rPr>
          <w:sz w:val="24"/>
        </w:rPr>
        <w:t xml:space="preserve">OSH </w:t>
      </w:r>
      <w:r>
        <w:rPr>
          <w:sz w:val="24"/>
        </w:rPr>
        <w:t>Act (2</w:t>
      </w:r>
      <w:r w:rsidR="004E48A4">
        <w:rPr>
          <w:sz w:val="24"/>
        </w:rPr>
        <w:t>9</w:t>
      </w:r>
      <w:r>
        <w:rPr>
          <w:sz w:val="24"/>
        </w:rPr>
        <w:t xml:space="preserve"> U.S.C. 655) </w:t>
      </w:r>
      <w:r w:rsidR="00E67410">
        <w:rPr>
          <w:sz w:val="24"/>
        </w:rPr>
        <w:t>does not</w:t>
      </w:r>
      <w:r>
        <w:rPr>
          <w:sz w:val="24"/>
        </w:rPr>
        <w:t xml:space="preserve"> specify information requirements when applying for this variance</w:t>
      </w:r>
      <w:r w:rsidRPr="00D032C7">
        <w:rPr>
          <w:sz w:val="24"/>
        </w:rPr>
        <w:t>.</w:t>
      </w:r>
      <w:r>
        <w:rPr>
          <w:sz w:val="24"/>
        </w:rPr>
        <w:t xml:space="preserve">  </w:t>
      </w:r>
      <w:r w:rsidR="00E67410">
        <w:rPr>
          <w:sz w:val="24"/>
        </w:rPr>
        <w:t xml:space="preserve">Moreover, </w:t>
      </w:r>
      <w:r w:rsidRPr="00996293" w:rsidR="00E67410">
        <w:rPr>
          <w:sz w:val="24"/>
        </w:rPr>
        <w:t xml:space="preserve">29 CFR </w:t>
      </w:r>
      <w:r w:rsidR="00E67410">
        <w:rPr>
          <w:sz w:val="24"/>
        </w:rPr>
        <w:t>1905(1)(c) states,</w:t>
      </w:r>
      <w:r w:rsidRPr="004C05C7" w:rsidR="00E67410">
        <w:rPr>
          <w:color w:val="000000"/>
          <w:sz w:val="24"/>
        </w:rPr>
        <w:t xml:space="preserve"> </w:t>
      </w:r>
      <w:r w:rsidR="00E67410">
        <w:rPr>
          <w:color w:val="000000"/>
          <w:sz w:val="24"/>
        </w:rPr>
        <w:t>“T</w:t>
      </w:r>
      <w:r w:rsidRPr="004C05C7" w:rsidR="00E67410">
        <w:rPr>
          <w:color w:val="000000"/>
          <w:sz w:val="24"/>
        </w:rPr>
        <w:t xml:space="preserve">he rules of practice in </w:t>
      </w:r>
      <w:r w:rsidRPr="00996293" w:rsidR="00E67410">
        <w:rPr>
          <w:sz w:val="24"/>
        </w:rPr>
        <w:t xml:space="preserve">29 CFR </w:t>
      </w:r>
      <w:r w:rsidR="00E67410">
        <w:rPr>
          <w:sz w:val="24"/>
        </w:rPr>
        <w:t xml:space="preserve">part 1905 </w:t>
      </w:r>
      <w:r w:rsidRPr="004C05C7" w:rsidR="00E67410">
        <w:rPr>
          <w:color w:val="000000"/>
          <w:sz w:val="24"/>
        </w:rPr>
        <w:t>do not apply to the granting of variances under section 6(b)(6)(C)</w:t>
      </w:r>
      <w:r w:rsidR="00E67410">
        <w:rPr>
          <w:color w:val="000000"/>
          <w:sz w:val="24"/>
        </w:rPr>
        <w:t xml:space="preserve"> [of the </w:t>
      </w:r>
      <w:r w:rsidR="001D524C">
        <w:rPr>
          <w:color w:val="000000"/>
          <w:sz w:val="24"/>
        </w:rPr>
        <w:t xml:space="preserve">OSH </w:t>
      </w:r>
      <w:r w:rsidR="00E67410">
        <w:rPr>
          <w:color w:val="000000"/>
          <w:sz w:val="24"/>
        </w:rPr>
        <w:t>Act],” and “W</w:t>
      </w:r>
      <w:r w:rsidRPr="004C05C7" w:rsidR="00E67410">
        <w:rPr>
          <w:color w:val="000000"/>
          <w:sz w:val="24"/>
        </w:rPr>
        <w:t>henever appropriate, the procedure for granting such a</w:t>
      </w:r>
      <w:r w:rsidR="00E67410">
        <w:rPr>
          <w:color w:val="000000"/>
          <w:sz w:val="24"/>
        </w:rPr>
        <w:t xml:space="preserve"> </w:t>
      </w:r>
      <w:r w:rsidRPr="004C05C7" w:rsidR="00E67410">
        <w:rPr>
          <w:color w:val="000000"/>
          <w:sz w:val="24"/>
        </w:rPr>
        <w:t xml:space="preserve">variance shall be published in the </w:t>
      </w:r>
      <w:r w:rsidRPr="00EA3476" w:rsidR="00E67410">
        <w:rPr>
          <w:i/>
          <w:color w:val="000000"/>
          <w:sz w:val="24"/>
        </w:rPr>
        <w:t>Federal Register</w:t>
      </w:r>
      <w:r w:rsidRPr="00503A0E" w:rsidR="00E67410">
        <w:rPr>
          <w:color w:val="000000"/>
          <w:sz w:val="24"/>
        </w:rPr>
        <w:t xml:space="preserve">.”  </w:t>
      </w:r>
      <w:r w:rsidRPr="00C5323A">
        <w:rPr>
          <w:sz w:val="24"/>
        </w:rPr>
        <w:t xml:space="preserve">However, based </w:t>
      </w:r>
      <w:r w:rsidR="00AF1603">
        <w:rPr>
          <w:sz w:val="24"/>
        </w:rPr>
        <w:t xml:space="preserve">on </w:t>
      </w:r>
      <w:r>
        <w:rPr>
          <w:sz w:val="24"/>
        </w:rPr>
        <w:t xml:space="preserve">the information specified for </w:t>
      </w:r>
      <w:r w:rsidRPr="00C5323A">
        <w:rPr>
          <w:sz w:val="24"/>
        </w:rPr>
        <w:t>temporary</w:t>
      </w:r>
      <w:r>
        <w:rPr>
          <w:sz w:val="24"/>
        </w:rPr>
        <w:t xml:space="preserve">, </w:t>
      </w:r>
      <w:r w:rsidR="0068160B">
        <w:rPr>
          <w:sz w:val="24"/>
        </w:rPr>
        <w:t>permanent,</w:t>
      </w:r>
      <w:r>
        <w:rPr>
          <w:sz w:val="24"/>
        </w:rPr>
        <w:t xml:space="preserve"> </w:t>
      </w:r>
      <w:r w:rsidRPr="00C5323A">
        <w:rPr>
          <w:sz w:val="24"/>
        </w:rPr>
        <w:t xml:space="preserve">and </w:t>
      </w:r>
      <w:r>
        <w:rPr>
          <w:sz w:val="24"/>
        </w:rPr>
        <w:t>n</w:t>
      </w:r>
      <w:r w:rsidRPr="00C5323A">
        <w:rPr>
          <w:sz w:val="24"/>
        </w:rPr>
        <w:t>ational</w:t>
      </w:r>
      <w:r>
        <w:rPr>
          <w:sz w:val="24"/>
        </w:rPr>
        <w:t>-d</w:t>
      </w:r>
      <w:r w:rsidRPr="00C5323A">
        <w:rPr>
          <w:sz w:val="24"/>
        </w:rPr>
        <w:t xml:space="preserve">efense variances, </w:t>
      </w:r>
      <w:r>
        <w:rPr>
          <w:sz w:val="24"/>
        </w:rPr>
        <w:t xml:space="preserve">OSHA </w:t>
      </w:r>
      <w:r w:rsidRPr="00C5323A">
        <w:rPr>
          <w:sz w:val="24"/>
        </w:rPr>
        <w:t xml:space="preserve">requires </w:t>
      </w:r>
      <w:r>
        <w:rPr>
          <w:sz w:val="24"/>
        </w:rPr>
        <w:t>that applications for this variance provide t</w:t>
      </w:r>
      <w:r w:rsidRPr="00C5323A">
        <w:rPr>
          <w:sz w:val="24"/>
        </w:rPr>
        <w:t>he following information</w:t>
      </w:r>
      <w:r>
        <w:rPr>
          <w:sz w:val="24"/>
        </w:rPr>
        <w:t>:</w:t>
      </w:r>
    </w:p>
    <w:p w:rsidR="00636819" w:rsidRPr="00C5323A" w:rsidP="00E67410" w14:paraId="3017BA3A" w14:textId="77777777">
      <w:pPr>
        <w:widowControl/>
        <w:autoSpaceDE/>
        <w:autoSpaceDN/>
        <w:adjustRightInd/>
        <w:rPr>
          <w:sz w:val="24"/>
        </w:rPr>
      </w:pPr>
    </w:p>
    <w:p w:rsidR="009F0FD6" w:rsidP="00B370A4" w14:paraId="19501B1D" w14:textId="77777777">
      <w:pPr>
        <w:numPr>
          <w:ilvl w:val="0"/>
          <w:numId w:val="7"/>
        </w:numPr>
        <w:rPr>
          <w:sz w:val="24"/>
        </w:rPr>
      </w:pPr>
      <w:r w:rsidRPr="00C5323A">
        <w:rPr>
          <w:sz w:val="24"/>
        </w:rPr>
        <w:t xml:space="preserve">The name and address of the </w:t>
      </w:r>
      <w:r w:rsidR="00346D1D">
        <w:rPr>
          <w:sz w:val="24"/>
        </w:rPr>
        <w:t>employer</w:t>
      </w:r>
      <w:r w:rsidR="00AF1603">
        <w:rPr>
          <w:sz w:val="24"/>
        </w:rPr>
        <w:t>,</w:t>
      </w:r>
    </w:p>
    <w:p w:rsidR="00FA1ADF" w:rsidRPr="00C5323A" w:rsidP="00EA3476" w14:paraId="312CEB6C" w14:textId="77777777">
      <w:pPr>
        <w:ind w:left="720"/>
        <w:rPr>
          <w:sz w:val="24"/>
        </w:rPr>
      </w:pPr>
    </w:p>
    <w:p w:rsidR="009F0FD6" w:rsidP="00B370A4" w14:paraId="23505771" w14:textId="77777777">
      <w:pPr>
        <w:numPr>
          <w:ilvl w:val="0"/>
          <w:numId w:val="7"/>
        </w:numPr>
        <w:rPr>
          <w:sz w:val="24"/>
        </w:rPr>
      </w:pPr>
      <w:r w:rsidRPr="00C5323A">
        <w:rPr>
          <w:sz w:val="24"/>
        </w:rPr>
        <w:t xml:space="preserve">The address of the place(s) of employment where the </w:t>
      </w:r>
      <w:r w:rsidR="00346D1D">
        <w:rPr>
          <w:sz w:val="24"/>
        </w:rPr>
        <w:t>employer will perform the</w:t>
      </w:r>
      <w:r w:rsidR="00360200">
        <w:rPr>
          <w:sz w:val="24"/>
        </w:rPr>
        <w:t xml:space="preserve"> </w:t>
      </w:r>
      <w:r w:rsidRPr="00C5323A">
        <w:rPr>
          <w:sz w:val="24"/>
        </w:rPr>
        <w:t>proposed experiment</w:t>
      </w:r>
      <w:r w:rsidR="00AF1603">
        <w:rPr>
          <w:sz w:val="24"/>
        </w:rPr>
        <w:t>,</w:t>
      </w:r>
    </w:p>
    <w:p w:rsidR="00FA1ADF" w:rsidP="00EA3476" w14:paraId="5C374F48" w14:textId="77777777">
      <w:pPr>
        <w:ind w:left="720"/>
        <w:rPr>
          <w:sz w:val="24"/>
        </w:rPr>
      </w:pPr>
    </w:p>
    <w:p w:rsidR="009F0FD6" w:rsidP="00B370A4" w14:paraId="50E97710" w14:textId="77777777">
      <w:pPr>
        <w:numPr>
          <w:ilvl w:val="0"/>
          <w:numId w:val="7"/>
        </w:numPr>
        <w:rPr>
          <w:sz w:val="24"/>
        </w:rPr>
      </w:pPr>
      <w:r w:rsidRPr="00C5323A">
        <w:rPr>
          <w:sz w:val="24"/>
        </w:rPr>
        <w:t xml:space="preserve">A general description of the </w:t>
      </w:r>
      <w:r w:rsidR="00346D1D">
        <w:rPr>
          <w:sz w:val="24"/>
        </w:rPr>
        <w:t>proposed experiment</w:t>
      </w:r>
      <w:r w:rsidR="00AF1603">
        <w:rPr>
          <w:sz w:val="24"/>
        </w:rPr>
        <w:t>,</w:t>
      </w:r>
    </w:p>
    <w:p w:rsidR="00FA1ADF" w:rsidRPr="00C5323A" w:rsidP="00EA3476" w14:paraId="27898EF5" w14:textId="77777777">
      <w:pPr>
        <w:ind w:left="720"/>
        <w:rPr>
          <w:sz w:val="24"/>
        </w:rPr>
      </w:pPr>
    </w:p>
    <w:p w:rsidR="009F0FD6" w:rsidP="00B370A4" w14:paraId="633E274A" w14:textId="77777777">
      <w:pPr>
        <w:numPr>
          <w:ilvl w:val="0"/>
          <w:numId w:val="7"/>
        </w:numPr>
        <w:rPr>
          <w:sz w:val="24"/>
        </w:rPr>
      </w:pPr>
      <w:r w:rsidRPr="00C5323A">
        <w:rPr>
          <w:sz w:val="24"/>
        </w:rPr>
        <w:t xml:space="preserve">An explanation of how the experiment </w:t>
      </w:r>
      <w:r w:rsidR="00346D1D">
        <w:rPr>
          <w:sz w:val="24"/>
        </w:rPr>
        <w:t xml:space="preserve">will </w:t>
      </w:r>
      <w:r w:rsidRPr="00C5323A">
        <w:rPr>
          <w:sz w:val="24"/>
        </w:rPr>
        <w:t>demonstrate or validate new and improved</w:t>
      </w:r>
      <w:r w:rsidR="00360200">
        <w:rPr>
          <w:sz w:val="24"/>
        </w:rPr>
        <w:t xml:space="preserve"> </w:t>
      </w:r>
      <w:r w:rsidRPr="00C5323A">
        <w:rPr>
          <w:sz w:val="24"/>
        </w:rPr>
        <w:t xml:space="preserve">techniques to safeguard the health or safety of </w:t>
      </w:r>
      <w:r w:rsidR="001D524C">
        <w:rPr>
          <w:sz w:val="24"/>
        </w:rPr>
        <w:t>workers</w:t>
      </w:r>
      <w:r w:rsidR="00AF1603">
        <w:rPr>
          <w:sz w:val="24"/>
        </w:rPr>
        <w:t>,</w:t>
      </w:r>
    </w:p>
    <w:p w:rsidR="00FA1ADF" w:rsidRPr="00C5323A" w:rsidP="00EA3476" w14:paraId="62763D5D" w14:textId="77777777">
      <w:pPr>
        <w:ind w:left="720"/>
        <w:rPr>
          <w:sz w:val="24"/>
        </w:rPr>
      </w:pPr>
    </w:p>
    <w:p w:rsidR="009F0FD6" w:rsidP="00B370A4" w14:paraId="6D1CFFCF" w14:textId="77777777">
      <w:pPr>
        <w:numPr>
          <w:ilvl w:val="0"/>
          <w:numId w:val="7"/>
        </w:numPr>
        <w:rPr>
          <w:sz w:val="24"/>
        </w:rPr>
      </w:pPr>
      <w:r w:rsidRPr="00C5323A">
        <w:rPr>
          <w:sz w:val="24"/>
        </w:rPr>
        <w:t>An explanation of why a variance from a standard, or part thereof, is necessary to</w:t>
      </w:r>
      <w:r w:rsidR="00346D1D">
        <w:rPr>
          <w:sz w:val="24"/>
        </w:rPr>
        <w:t xml:space="preserve"> </w:t>
      </w:r>
      <w:r w:rsidRPr="00C5323A">
        <w:rPr>
          <w:sz w:val="24"/>
        </w:rPr>
        <w:t xml:space="preserve">permit the </w:t>
      </w:r>
      <w:r w:rsidR="00346D1D">
        <w:rPr>
          <w:sz w:val="24"/>
        </w:rPr>
        <w:t xml:space="preserve">employer </w:t>
      </w:r>
      <w:r w:rsidRPr="00C5323A">
        <w:rPr>
          <w:sz w:val="24"/>
        </w:rPr>
        <w:t>to participate in t</w:t>
      </w:r>
      <w:r w:rsidR="00346D1D">
        <w:rPr>
          <w:sz w:val="24"/>
        </w:rPr>
        <w:t>he proposed experiment</w:t>
      </w:r>
      <w:r w:rsidR="00AF1603">
        <w:rPr>
          <w:sz w:val="24"/>
        </w:rPr>
        <w:t>,</w:t>
      </w:r>
    </w:p>
    <w:p w:rsidR="00FA1ADF" w:rsidRPr="00C5323A" w:rsidP="00EA3476" w14:paraId="0C8E9F0A" w14:textId="77777777">
      <w:pPr>
        <w:ind w:left="720"/>
        <w:rPr>
          <w:sz w:val="24"/>
        </w:rPr>
      </w:pPr>
    </w:p>
    <w:p w:rsidR="00D3135E" w:rsidP="00B370A4" w14:paraId="5677F968" w14:textId="21D0DBF2">
      <w:pPr>
        <w:numPr>
          <w:ilvl w:val="0"/>
          <w:numId w:val="7"/>
        </w:numPr>
        <w:rPr>
          <w:sz w:val="24"/>
        </w:rPr>
      </w:pPr>
      <w:r w:rsidRPr="00C5323A">
        <w:rPr>
          <w:sz w:val="24"/>
        </w:rPr>
        <w:t>A detailed description of the plan of the proposed experiment, includ</w:t>
      </w:r>
      <w:r w:rsidR="00346D1D">
        <w:rPr>
          <w:sz w:val="24"/>
        </w:rPr>
        <w:t>ing</w:t>
      </w:r>
      <w:r w:rsidRPr="00C5323A">
        <w:rPr>
          <w:sz w:val="24"/>
        </w:rPr>
        <w:t>:</w:t>
      </w:r>
      <w:r w:rsidR="00346D1D">
        <w:rPr>
          <w:sz w:val="24"/>
        </w:rPr>
        <w:t xml:space="preserve"> (1) th</w:t>
      </w:r>
      <w:r w:rsidRPr="00C5323A">
        <w:rPr>
          <w:sz w:val="24"/>
        </w:rPr>
        <w:t xml:space="preserve">e names and qualifications of the supervisor of the experiment, and the supervisor’s </w:t>
      </w:r>
      <w:r w:rsidRPr="00C5323A">
        <w:rPr>
          <w:sz w:val="24"/>
        </w:rPr>
        <w:t>staff;</w:t>
      </w:r>
      <w:r w:rsidR="00346D1D">
        <w:rPr>
          <w:sz w:val="24"/>
        </w:rPr>
        <w:t xml:space="preserve"> and</w:t>
      </w:r>
      <w:r w:rsidR="00360200">
        <w:rPr>
          <w:sz w:val="24"/>
        </w:rPr>
        <w:t xml:space="preserve"> </w:t>
      </w:r>
      <w:r w:rsidR="00346D1D">
        <w:rPr>
          <w:sz w:val="24"/>
        </w:rPr>
        <w:t>(2) the</w:t>
      </w:r>
      <w:r w:rsidR="00360200">
        <w:rPr>
          <w:sz w:val="24"/>
        </w:rPr>
        <w:t xml:space="preserve"> </w:t>
      </w:r>
      <w:r w:rsidRPr="00C5323A">
        <w:rPr>
          <w:sz w:val="24"/>
        </w:rPr>
        <w:t xml:space="preserve">proposed duration of the experiment </w:t>
      </w:r>
      <w:r w:rsidR="00360200">
        <w:rPr>
          <w:sz w:val="24"/>
        </w:rPr>
        <w:t>(in days)</w:t>
      </w:r>
      <w:r w:rsidRPr="00C5323A">
        <w:rPr>
          <w:sz w:val="24"/>
        </w:rPr>
        <w:t>,</w:t>
      </w:r>
      <w:r w:rsidR="005437A7">
        <w:rPr>
          <w:sz w:val="24"/>
        </w:rPr>
        <w:t xml:space="preserve"> </w:t>
      </w:r>
      <w:r w:rsidR="00506280">
        <w:rPr>
          <w:sz w:val="24"/>
        </w:rPr>
        <w:t>employee</w:t>
      </w:r>
      <w:r w:rsidR="00360200">
        <w:rPr>
          <w:sz w:val="24"/>
        </w:rPr>
        <w:t xml:space="preserve"> work time (in </w:t>
      </w:r>
      <w:r w:rsidRPr="00C5323A">
        <w:rPr>
          <w:sz w:val="24"/>
        </w:rPr>
        <w:t>hours</w:t>
      </w:r>
      <w:r w:rsidR="00360200">
        <w:rPr>
          <w:sz w:val="24"/>
        </w:rPr>
        <w:t>)</w:t>
      </w:r>
      <w:r w:rsidR="0046573F">
        <w:rPr>
          <w:sz w:val="24"/>
        </w:rPr>
        <w:t>,</w:t>
      </w:r>
      <w:r w:rsidR="00360200">
        <w:rPr>
          <w:sz w:val="24"/>
        </w:rPr>
        <w:t xml:space="preserve"> </w:t>
      </w:r>
      <w:r w:rsidR="001D524C">
        <w:rPr>
          <w:sz w:val="24"/>
        </w:rPr>
        <w:t>and</w:t>
      </w:r>
      <w:r w:rsidR="0046573F">
        <w:rPr>
          <w:sz w:val="24"/>
        </w:rPr>
        <w:t xml:space="preserve"> </w:t>
      </w:r>
      <w:r w:rsidR="00360200">
        <w:rPr>
          <w:sz w:val="24"/>
        </w:rPr>
        <w:t xml:space="preserve">hours of </w:t>
      </w:r>
      <w:r w:rsidRPr="00C5323A">
        <w:rPr>
          <w:sz w:val="24"/>
        </w:rPr>
        <w:t>machine operation (if applicable)</w:t>
      </w:r>
      <w:r w:rsidR="00AF1603">
        <w:rPr>
          <w:sz w:val="24"/>
        </w:rPr>
        <w:t>,</w:t>
      </w:r>
    </w:p>
    <w:p w:rsidR="00FA1ADF" w:rsidP="00EA3476" w14:paraId="53A7DC27" w14:textId="77777777">
      <w:pPr>
        <w:ind w:left="720"/>
        <w:rPr>
          <w:sz w:val="24"/>
        </w:rPr>
      </w:pPr>
    </w:p>
    <w:p w:rsidR="009F0FD6" w:rsidP="00B370A4" w14:paraId="69B5A80C" w14:textId="77777777">
      <w:pPr>
        <w:numPr>
          <w:ilvl w:val="0"/>
          <w:numId w:val="7"/>
        </w:numPr>
        <w:rPr>
          <w:sz w:val="24"/>
        </w:rPr>
      </w:pPr>
      <w:r w:rsidRPr="00C5323A">
        <w:rPr>
          <w:sz w:val="24"/>
        </w:rPr>
        <w:t>A statement describing similar experiment</w:t>
      </w:r>
      <w:r w:rsidR="00666025">
        <w:rPr>
          <w:sz w:val="24"/>
        </w:rPr>
        <w:t>s</w:t>
      </w:r>
      <w:r w:rsidRPr="00C5323A">
        <w:rPr>
          <w:sz w:val="24"/>
        </w:rPr>
        <w:t xml:space="preserve"> or related research </w:t>
      </w:r>
      <w:r w:rsidR="00666025">
        <w:rPr>
          <w:sz w:val="24"/>
        </w:rPr>
        <w:t xml:space="preserve">conducted </w:t>
      </w:r>
      <w:r w:rsidRPr="00C5323A">
        <w:rPr>
          <w:sz w:val="24"/>
        </w:rPr>
        <w:t>by the</w:t>
      </w:r>
      <w:r w:rsidR="00D3135E">
        <w:rPr>
          <w:sz w:val="24"/>
        </w:rPr>
        <w:t xml:space="preserve"> </w:t>
      </w:r>
      <w:r w:rsidR="00666025">
        <w:rPr>
          <w:sz w:val="24"/>
        </w:rPr>
        <w:t>employer, or</w:t>
      </w:r>
      <w:r w:rsidR="00360200">
        <w:rPr>
          <w:sz w:val="24"/>
        </w:rPr>
        <w:t xml:space="preserve"> </w:t>
      </w:r>
      <w:r w:rsidRPr="00C5323A">
        <w:rPr>
          <w:sz w:val="24"/>
        </w:rPr>
        <w:t xml:space="preserve">by another </w:t>
      </w:r>
      <w:r w:rsidR="00D3135E">
        <w:rPr>
          <w:sz w:val="24"/>
        </w:rPr>
        <w:t>party (if known); t</w:t>
      </w:r>
      <w:r w:rsidR="00666025">
        <w:rPr>
          <w:sz w:val="24"/>
        </w:rPr>
        <w:t xml:space="preserve">his </w:t>
      </w:r>
      <w:r w:rsidRPr="00C5323A">
        <w:rPr>
          <w:sz w:val="24"/>
        </w:rPr>
        <w:t>statement should be detailed</w:t>
      </w:r>
      <w:r w:rsidR="00666025">
        <w:rPr>
          <w:sz w:val="24"/>
        </w:rPr>
        <w:t>,</w:t>
      </w:r>
      <w:r w:rsidRPr="00C5323A">
        <w:rPr>
          <w:sz w:val="24"/>
        </w:rPr>
        <w:t xml:space="preserve"> and</w:t>
      </w:r>
      <w:r w:rsidR="00D3135E">
        <w:rPr>
          <w:sz w:val="24"/>
        </w:rPr>
        <w:t xml:space="preserve"> contain</w:t>
      </w:r>
      <w:r w:rsidR="00360200">
        <w:rPr>
          <w:sz w:val="24"/>
        </w:rPr>
        <w:t xml:space="preserve"> </w:t>
      </w:r>
      <w:r w:rsidR="00666025">
        <w:rPr>
          <w:sz w:val="24"/>
        </w:rPr>
        <w:t xml:space="preserve">any </w:t>
      </w:r>
      <w:r w:rsidRPr="00C5323A">
        <w:rPr>
          <w:sz w:val="24"/>
        </w:rPr>
        <w:t>available data, summaries, reports, and evaluation</w:t>
      </w:r>
      <w:r w:rsidR="00666025">
        <w:rPr>
          <w:sz w:val="24"/>
        </w:rPr>
        <w:t>s</w:t>
      </w:r>
      <w:r w:rsidRPr="00C5323A">
        <w:rPr>
          <w:sz w:val="24"/>
        </w:rPr>
        <w:t xml:space="preserve"> (or reference</w:t>
      </w:r>
      <w:r w:rsidR="00666025">
        <w:rPr>
          <w:sz w:val="24"/>
        </w:rPr>
        <w:t xml:space="preserve">s </w:t>
      </w:r>
      <w:r w:rsidRPr="00C5323A">
        <w:rPr>
          <w:sz w:val="24"/>
        </w:rPr>
        <w:t>thereto)</w:t>
      </w:r>
      <w:r w:rsidR="00D3135E">
        <w:rPr>
          <w:sz w:val="24"/>
        </w:rPr>
        <w:t xml:space="preserve"> of such</w:t>
      </w:r>
      <w:r w:rsidR="00360200">
        <w:rPr>
          <w:sz w:val="24"/>
        </w:rPr>
        <w:t xml:space="preserve"> </w:t>
      </w:r>
      <w:r w:rsidRPr="00C5323A">
        <w:rPr>
          <w:sz w:val="24"/>
        </w:rPr>
        <w:t>experiment</w:t>
      </w:r>
      <w:r w:rsidR="00666025">
        <w:rPr>
          <w:sz w:val="24"/>
        </w:rPr>
        <w:t xml:space="preserve">s and </w:t>
      </w:r>
      <w:r w:rsidRPr="00C5323A">
        <w:rPr>
          <w:sz w:val="24"/>
        </w:rPr>
        <w:t>research</w:t>
      </w:r>
      <w:r w:rsidR="00AF1603">
        <w:rPr>
          <w:sz w:val="24"/>
        </w:rPr>
        <w:t>,</w:t>
      </w:r>
    </w:p>
    <w:p w:rsidR="00FA1ADF" w:rsidRPr="00C5323A" w:rsidP="00EA3476" w14:paraId="78FCB311" w14:textId="77777777">
      <w:pPr>
        <w:ind w:left="720"/>
        <w:rPr>
          <w:sz w:val="24"/>
        </w:rPr>
      </w:pPr>
    </w:p>
    <w:p w:rsidR="00666025" w:rsidP="00B370A4" w14:paraId="116E83CC" w14:textId="77777777">
      <w:pPr>
        <w:numPr>
          <w:ilvl w:val="0"/>
          <w:numId w:val="7"/>
        </w:numPr>
        <w:rPr>
          <w:sz w:val="24"/>
        </w:rPr>
      </w:pPr>
      <w:r w:rsidRPr="00C5323A">
        <w:rPr>
          <w:sz w:val="24"/>
        </w:rPr>
        <w:t xml:space="preserve">A statement that the </w:t>
      </w:r>
      <w:r>
        <w:rPr>
          <w:sz w:val="24"/>
        </w:rPr>
        <w:t>employer</w:t>
      </w:r>
      <w:r w:rsidRPr="00C5323A">
        <w:rPr>
          <w:sz w:val="24"/>
        </w:rPr>
        <w:t xml:space="preserve"> has sufficient technological, economic, and </w:t>
      </w:r>
      <w:r>
        <w:rPr>
          <w:sz w:val="24"/>
        </w:rPr>
        <w:t>personnel</w:t>
      </w:r>
      <w:r w:rsidR="00360200">
        <w:rPr>
          <w:sz w:val="24"/>
        </w:rPr>
        <w:t xml:space="preserve"> </w:t>
      </w:r>
      <w:r w:rsidRPr="00C5323A">
        <w:rPr>
          <w:sz w:val="24"/>
        </w:rPr>
        <w:t xml:space="preserve">resources to perform the experiment properly, </w:t>
      </w:r>
      <w:r>
        <w:rPr>
          <w:sz w:val="24"/>
        </w:rPr>
        <w:t>including</w:t>
      </w:r>
      <w:r w:rsidRPr="00C5323A">
        <w:rPr>
          <w:sz w:val="24"/>
        </w:rPr>
        <w:t xml:space="preserve"> proper controls</w:t>
      </w:r>
      <w:r w:rsidR="00AF1603">
        <w:rPr>
          <w:sz w:val="24"/>
        </w:rPr>
        <w:t>,</w:t>
      </w:r>
    </w:p>
    <w:p w:rsidR="00FA1ADF" w:rsidP="00746D0C" w14:paraId="57C2DCE2" w14:textId="77777777">
      <w:pPr>
        <w:ind w:left="720"/>
        <w:rPr>
          <w:sz w:val="24"/>
        </w:rPr>
      </w:pPr>
    </w:p>
    <w:p w:rsidR="00C51E87" w:rsidP="00B370A4" w14:paraId="69A0B7A5" w14:textId="77777777">
      <w:pPr>
        <w:numPr>
          <w:ilvl w:val="0"/>
          <w:numId w:val="7"/>
        </w:numPr>
        <w:rPr>
          <w:sz w:val="24"/>
        </w:rPr>
      </w:pPr>
      <w:r>
        <w:rPr>
          <w:sz w:val="24"/>
        </w:rPr>
        <w:t>If applicable, a</w:t>
      </w:r>
      <w:r w:rsidRPr="00C5323A" w:rsidR="009F0FD6">
        <w:rPr>
          <w:sz w:val="24"/>
        </w:rPr>
        <w:t xml:space="preserve"> </w:t>
      </w:r>
      <w:r>
        <w:rPr>
          <w:sz w:val="24"/>
        </w:rPr>
        <w:t xml:space="preserve">description </w:t>
      </w:r>
      <w:r w:rsidRPr="00C5323A" w:rsidR="009F0FD6">
        <w:rPr>
          <w:sz w:val="24"/>
        </w:rPr>
        <w:t xml:space="preserve">of the </w:t>
      </w:r>
      <w:r>
        <w:rPr>
          <w:sz w:val="24"/>
        </w:rPr>
        <w:t>employer</w:t>
      </w:r>
      <w:r w:rsidRPr="00C5323A" w:rsidR="009F0FD6">
        <w:rPr>
          <w:sz w:val="24"/>
        </w:rPr>
        <w:t>’s past or pending OSHA citations</w:t>
      </w:r>
      <w:r>
        <w:rPr>
          <w:sz w:val="24"/>
        </w:rPr>
        <w:t>,</w:t>
      </w:r>
      <w:r w:rsidRPr="00C5323A" w:rsidR="009F0FD6">
        <w:rPr>
          <w:sz w:val="24"/>
        </w:rPr>
        <w:t xml:space="preserve"> and dispositions</w:t>
      </w:r>
      <w:r>
        <w:rPr>
          <w:sz w:val="24"/>
        </w:rPr>
        <w:t xml:space="preserve"> </w:t>
      </w:r>
      <w:r w:rsidRPr="00C5323A" w:rsidR="009F0FD6">
        <w:rPr>
          <w:sz w:val="24"/>
        </w:rPr>
        <w:t>thereof</w:t>
      </w:r>
      <w:r>
        <w:rPr>
          <w:sz w:val="24"/>
        </w:rPr>
        <w:t>,</w:t>
      </w:r>
      <w:r w:rsidRPr="00C5323A" w:rsidR="009F0FD6">
        <w:rPr>
          <w:sz w:val="24"/>
        </w:rPr>
        <w:t xml:space="preserve"> </w:t>
      </w:r>
      <w:r>
        <w:rPr>
          <w:sz w:val="24"/>
        </w:rPr>
        <w:t>and</w:t>
      </w:r>
      <w:r w:rsidRPr="00C5323A" w:rsidR="009F0FD6">
        <w:rPr>
          <w:sz w:val="24"/>
        </w:rPr>
        <w:t xml:space="preserve"> </w:t>
      </w:r>
      <w:r>
        <w:rPr>
          <w:sz w:val="24"/>
        </w:rPr>
        <w:t xml:space="preserve">any </w:t>
      </w:r>
      <w:r w:rsidRPr="00C5323A" w:rsidR="009F0FD6">
        <w:rPr>
          <w:sz w:val="24"/>
        </w:rPr>
        <w:t xml:space="preserve">judicial </w:t>
      </w:r>
      <w:r>
        <w:rPr>
          <w:sz w:val="24"/>
        </w:rPr>
        <w:t>and</w:t>
      </w:r>
      <w:r w:rsidRPr="00C5323A" w:rsidR="009F0FD6">
        <w:rPr>
          <w:sz w:val="24"/>
        </w:rPr>
        <w:t xml:space="preserve"> administrative proceedings involving</w:t>
      </w:r>
      <w:r>
        <w:rPr>
          <w:sz w:val="24"/>
        </w:rPr>
        <w:t xml:space="preserve"> breaches</w:t>
      </w:r>
      <w:r w:rsidRPr="00C5323A" w:rsidR="009F0FD6">
        <w:rPr>
          <w:sz w:val="24"/>
        </w:rPr>
        <w:t xml:space="preserve"> of the </w:t>
      </w:r>
      <w:r w:rsidR="001D524C">
        <w:rPr>
          <w:sz w:val="24"/>
        </w:rPr>
        <w:t xml:space="preserve">OSH </w:t>
      </w:r>
      <w:r w:rsidRPr="00C5323A" w:rsidR="009F0FD6">
        <w:rPr>
          <w:sz w:val="24"/>
        </w:rPr>
        <w:t>Act</w:t>
      </w:r>
      <w:r>
        <w:rPr>
          <w:sz w:val="24"/>
        </w:rPr>
        <w:t xml:space="preserve"> </w:t>
      </w:r>
      <w:r w:rsidRPr="00C5323A" w:rsidR="009F0FD6">
        <w:rPr>
          <w:sz w:val="24"/>
        </w:rPr>
        <w:t xml:space="preserve">or </w:t>
      </w:r>
      <w:r>
        <w:rPr>
          <w:sz w:val="24"/>
        </w:rPr>
        <w:t xml:space="preserve">OSHA </w:t>
      </w:r>
      <w:r w:rsidRPr="00C5323A" w:rsidR="009F0FD6">
        <w:rPr>
          <w:sz w:val="24"/>
        </w:rPr>
        <w:t>regulations</w:t>
      </w:r>
      <w:r>
        <w:rPr>
          <w:sz w:val="24"/>
        </w:rPr>
        <w:t xml:space="preserve"> </w:t>
      </w:r>
      <w:r w:rsidRPr="00C5323A" w:rsidR="009F0FD6">
        <w:rPr>
          <w:sz w:val="24"/>
        </w:rPr>
        <w:t>to which the applicant is or was a party</w:t>
      </w:r>
      <w:r w:rsidR="00AF1603">
        <w:rPr>
          <w:sz w:val="24"/>
        </w:rPr>
        <w:t>,</w:t>
      </w:r>
    </w:p>
    <w:p w:rsidR="00244FF3" w:rsidP="00746D0C" w14:paraId="55B22435" w14:textId="77777777">
      <w:pPr>
        <w:ind w:left="720"/>
        <w:rPr>
          <w:sz w:val="24"/>
        </w:rPr>
      </w:pPr>
    </w:p>
    <w:p w:rsidR="004277DB" w:rsidP="00B370A4" w14:paraId="2E23FB58" w14:textId="77777777">
      <w:pPr>
        <w:numPr>
          <w:ilvl w:val="0"/>
          <w:numId w:val="7"/>
        </w:numPr>
        <w:rPr>
          <w:sz w:val="24"/>
        </w:rPr>
      </w:pPr>
      <w:r w:rsidRPr="00C5323A">
        <w:rPr>
          <w:sz w:val="24"/>
        </w:rPr>
        <w:t xml:space="preserve">A copy of the written statement of voluntary participation signed by each </w:t>
      </w:r>
      <w:r w:rsidR="00AF1603">
        <w:rPr>
          <w:sz w:val="24"/>
        </w:rPr>
        <w:t>worker</w:t>
      </w:r>
      <w:r>
        <w:rPr>
          <w:sz w:val="24"/>
        </w:rPr>
        <w:t xml:space="preserve"> </w:t>
      </w:r>
      <w:r w:rsidRPr="00C5323A">
        <w:rPr>
          <w:sz w:val="24"/>
        </w:rPr>
        <w:t xml:space="preserve">who </w:t>
      </w:r>
      <w:r w:rsidR="001D524C">
        <w:rPr>
          <w:sz w:val="24"/>
        </w:rPr>
        <w:t xml:space="preserve">has </w:t>
      </w:r>
      <w:r w:rsidRPr="00C5323A">
        <w:rPr>
          <w:sz w:val="24"/>
        </w:rPr>
        <w:t>knowingly and willingly agreed to participate in the proposed experiment</w:t>
      </w:r>
      <w:r w:rsidR="00AF1603">
        <w:rPr>
          <w:sz w:val="24"/>
        </w:rPr>
        <w:t>,</w:t>
      </w:r>
    </w:p>
    <w:p w:rsidR="00244FF3" w:rsidP="00746D0C" w14:paraId="356E1CA3" w14:textId="77777777">
      <w:pPr>
        <w:ind w:left="720"/>
        <w:rPr>
          <w:sz w:val="24"/>
        </w:rPr>
      </w:pPr>
    </w:p>
    <w:p w:rsidR="009F0FD6" w:rsidP="00B370A4" w14:paraId="5C4D5F7F" w14:textId="77777777">
      <w:pPr>
        <w:numPr>
          <w:ilvl w:val="0"/>
          <w:numId w:val="7"/>
        </w:numPr>
        <w:rPr>
          <w:sz w:val="24"/>
        </w:rPr>
      </w:pPr>
      <w:r>
        <w:rPr>
          <w:sz w:val="24"/>
        </w:rPr>
        <w:t>Certification</w:t>
      </w:r>
      <w:r w:rsidRPr="00C5323A">
        <w:rPr>
          <w:sz w:val="24"/>
        </w:rPr>
        <w:t xml:space="preserve"> that the </w:t>
      </w:r>
      <w:r w:rsidR="00D3135E">
        <w:rPr>
          <w:sz w:val="24"/>
        </w:rPr>
        <w:t>employer</w:t>
      </w:r>
      <w:r w:rsidRPr="00C5323A">
        <w:rPr>
          <w:sz w:val="24"/>
        </w:rPr>
        <w:t xml:space="preserve"> informed </w:t>
      </w:r>
      <w:r w:rsidR="00875CCC">
        <w:rPr>
          <w:sz w:val="24"/>
        </w:rPr>
        <w:t xml:space="preserve">affected </w:t>
      </w:r>
      <w:r w:rsidR="00AF1603">
        <w:rPr>
          <w:sz w:val="24"/>
        </w:rPr>
        <w:t>workers</w:t>
      </w:r>
      <w:r w:rsidRPr="00C5323A">
        <w:rPr>
          <w:sz w:val="24"/>
        </w:rPr>
        <w:t xml:space="preserve"> of the application by:</w:t>
      </w:r>
      <w:r w:rsidR="00D3135E">
        <w:rPr>
          <w:sz w:val="24"/>
        </w:rPr>
        <w:t xml:space="preserve">  (1)</w:t>
      </w:r>
      <w:r w:rsidR="00360200">
        <w:rPr>
          <w:sz w:val="24"/>
        </w:rPr>
        <w:t xml:space="preserve"> </w:t>
      </w:r>
      <w:r w:rsidRPr="00C5323A">
        <w:rPr>
          <w:sz w:val="24"/>
        </w:rPr>
        <w:t>giving a</w:t>
      </w:r>
      <w:r w:rsidR="00875CCC">
        <w:rPr>
          <w:sz w:val="24"/>
        </w:rPr>
        <w:t xml:space="preserve"> </w:t>
      </w:r>
      <w:r w:rsidRPr="00C5323A">
        <w:rPr>
          <w:sz w:val="24"/>
        </w:rPr>
        <w:t xml:space="preserve">copy </w:t>
      </w:r>
      <w:r w:rsidR="00D3135E">
        <w:rPr>
          <w:sz w:val="24"/>
        </w:rPr>
        <w:t xml:space="preserve">of the application </w:t>
      </w:r>
      <w:r w:rsidRPr="00C5323A">
        <w:rPr>
          <w:sz w:val="24"/>
        </w:rPr>
        <w:t>to the</w:t>
      </w:r>
      <w:r w:rsidR="00D3135E">
        <w:rPr>
          <w:sz w:val="24"/>
        </w:rPr>
        <w:t xml:space="preserve"> </w:t>
      </w:r>
      <w:r w:rsidR="00AF1603">
        <w:rPr>
          <w:sz w:val="24"/>
        </w:rPr>
        <w:t>workers</w:t>
      </w:r>
      <w:r w:rsidR="00D3135E">
        <w:rPr>
          <w:sz w:val="24"/>
        </w:rPr>
        <w:t xml:space="preserve">’ </w:t>
      </w:r>
      <w:r w:rsidRPr="00C5323A">
        <w:rPr>
          <w:sz w:val="24"/>
        </w:rPr>
        <w:t>authorized representative;</w:t>
      </w:r>
      <w:r w:rsidR="00D3135E">
        <w:rPr>
          <w:sz w:val="24"/>
        </w:rPr>
        <w:t xml:space="preserve"> (2)</w:t>
      </w:r>
      <w:r w:rsidR="00360200">
        <w:rPr>
          <w:sz w:val="24"/>
        </w:rPr>
        <w:t xml:space="preserve"> </w:t>
      </w:r>
      <w:r w:rsidRPr="00C5323A">
        <w:rPr>
          <w:sz w:val="24"/>
        </w:rPr>
        <w:t xml:space="preserve">posting </w:t>
      </w:r>
      <w:r w:rsidR="00D3135E">
        <w:rPr>
          <w:sz w:val="24"/>
        </w:rPr>
        <w:t>(at the</w:t>
      </w:r>
      <w:r w:rsidR="00875CCC">
        <w:rPr>
          <w:sz w:val="24"/>
        </w:rPr>
        <w:t xml:space="preserve"> </w:t>
      </w:r>
      <w:r w:rsidR="00D3135E">
        <w:rPr>
          <w:sz w:val="24"/>
        </w:rPr>
        <w:t>place or places where the employer normally posts notices to</w:t>
      </w:r>
      <w:r w:rsidR="00875CCC">
        <w:rPr>
          <w:sz w:val="24"/>
        </w:rPr>
        <w:t xml:space="preserve"> </w:t>
      </w:r>
      <w:r w:rsidR="00AF1603">
        <w:rPr>
          <w:sz w:val="24"/>
        </w:rPr>
        <w:t>workers</w:t>
      </w:r>
      <w:r w:rsidR="00D3135E">
        <w:rPr>
          <w:sz w:val="24"/>
        </w:rPr>
        <w:t xml:space="preserve">) </w:t>
      </w:r>
      <w:r w:rsidRPr="00C5323A">
        <w:rPr>
          <w:sz w:val="24"/>
        </w:rPr>
        <w:t>a statement</w:t>
      </w:r>
      <w:r w:rsidR="00875CCC">
        <w:rPr>
          <w:sz w:val="24"/>
        </w:rPr>
        <w:t xml:space="preserve"> </w:t>
      </w:r>
      <w:r w:rsidRPr="00C5323A">
        <w:rPr>
          <w:sz w:val="24"/>
        </w:rPr>
        <w:t xml:space="preserve">giving a summary of the application and specifying </w:t>
      </w:r>
      <w:r w:rsidR="00E44453">
        <w:rPr>
          <w:sz w:val="24"/>
        </w:rPr>
        <w:t xml:space="preserve">where workers </w:t>
      </w:r>
      <w:r w:rsidRPr="00E44453" w:rsidR="001D524C">
        <w:rPr>
          <w:sz w:val="24"/>
        </w:rPr>
        <w:t>can examine a copy of it</w:t>
      </w:r>
      <w:r w:rsidR="00D3135E">
        <w:rPr>
          <w:sz w:val="24"/>
        </w:rPr>
        <w:t xml:space="preserve"> (instead of a summary statement, the employer </w:t>
      </w:r>
      <w:r w:rsidR="00254B99">
        <w:rPr>
          <w:sz w:val="24"/>
        </w:rPr>
        <w:t>may post a copy of the</w:t>
      </w:r>
      <w:r w:rsidR="00875CCC">
        <w:rPr>
          <w:sz w:val="24"/>
        </w:rPr>
        <w:t xml:space="preserve"> </w:t>
      </w:r>
      <w:r w:rsidR="00D3135E">
        <w:rPr>
          <w:sz w:val="24"/>
        </w:rPr>
        <w:t xml:space="preserve">application); and (3) </w:t>
      </w:r>
      <w:r w:rsidRPr="00C5323A">
        <w:rPr>
          <w:sz w:val="24"/>
        </w:rPr>
        <w:t>other appropriate means</w:t>
      </w:r>
      <w:r w:rsidR="00AF1603">
        <w:rPr>
          <w:sz w:val="24"/>
        </w:rPr>
        <w:t>,</w:t>
      </w:r>
    </w:p>
    <w:p w:rsidR="00244FF3" w:rsidP="00746D0C" w14:paraId="1F557384" w14:textId="77777777">
      <w:pPr>
        <w:ind w:left="720"/>
        <w:rPr>
          <w:sz w:val="24"/>
        </w:rPr>
      </w:pPr>
    </w:p>
    <w:p w:rsidR="00244FF3" w:rsidP="00244FF3" w14:paraId="2C3D4368" w14:textId="77777777">
      <w:pPr>
        <w:numPr>
          <w:ilvl w:val="0"/>
          <w:numId w:val="7"/>
        </w:numPr>
        <w:rPr>
          <w:sz w:val="24"/>
        </w:rPr>
      </w:pPr>
      <w:r w:rsidRPr="00244FF3">
        <w:rPr>
          <w:sz w:val="24"/>
        </w:rPr>
        <w:t xml:space="preserve">A description of how </w:t>
      </w:r>
      <w:r w:rsidRPr="00244FF3" w:rsidR="00254B99">
        <w:rPr>
          <w:sz w:val="24"/>
        </w:rPr>
        <w:t xml:space="preserve">the employer informed </w:t>
      </w:r>
      <w:r w:rsidRPr="00244FF3">
        <w:rPr>
          <w:sz w:val="24"/>
        </w:rPr>
        <w:t xml:space="preserve">affected </w:t>
      </w:r>
      <w:r w:rsidRPr="00244FF3" w:rsidR="00AF1603">
        <w:rPr>
          <w:sz w:val="24"/>
        </w:rPr>
        <w:t>workers</w:t>
      </w:r>
      <w:r w:rsidRPr="00244FF3">
        <w:rPr>
          <w:sz w:val="24"/>
        </w:rPr>
        <w:t xml:space="preserve"> of the application and</w:t>
      </w:r>
      <w:r w:rsidRPr="00244FF3" w:rsidR="00360200">
        <w:rPr>
          <w:sz w:val="24"/>
        </w:rPr>
        <w:t xml:space="preserve"> </w:t>
      </w:r>
      <w:r w:rsidRPr="00244FF3">
        <w:rPr>
          <w:sz w:val="24"/>
        </w:rPr>
        <w:t xml:space="preserve">their right to petition </w:t>
      </w:r>
      <w:r w:rsidRPr="00244FF3" w:rsidR="00254B99">
        <w:rPr>
          <w:sz w:val="24"/>
        </w:rPr>
        <w:t xml:space="preserve">OSHA </w:t>
      </w:r>
      <w:r w:rsidRPr="00244FF3">
        <w:rPr>
          <w:sz w:val="24"/>
        </w:rPr>
        <w:t xml:space="preserve">for a </w:t>
      </w:r>
      <w:r w:rsidRPr="00244FF3" w:rsidR="00F709F1">
        <w:rPr>
          <w:sz w:val="24"/>
        </w:rPr>
        <w:t>h</w:t>
      </w:r>
      <w:r w:rsidRPr="00244FF3">
        <w:rPr>
          <w:sz w:val="24"/>
        </w:rPr>
        <w:t>earing</w:t>
      </w:r>
      <w:r w:rsidRPr="00244FF3" w:rsidR="00AF1603">
        <w:rPr>
          <w:sz w:val="24"/>
        </w:rPr>
        <w:t>,</w:t>
      </w:r>
    </w:p>
    <w:p w:rsidR="00244FF3" w:rsidP="00A915DC" w14:paraId="454FA5F4" w14:textId="77777777">
      <w:pPr>
        <w:ind w:left="720"/>
        <w:rPr>
          <w:sz w:val="24"/>
        </w:rPr>
      </w:pPr>
    </w:p>
    <w:p w:rsidR="00244FF3" w:rsidP="00244FF3" w14:paraId="1B9E4BD2" w14:textId="77777777">
      <w:pPr>
        <w:numPr>
          <w:ilvl w:val="0"/>
          <w:numId w:val="7"/>
        </w:numPr>
        <w:rPr>
          <w:sz w:val="24"/>
        </w:rPr>
      </w:pPr>
      <w:r w:rsidRPr="00244FF3">
        <w:rPr>
          <w:sz w:val="24"/>
        </w:rPr>
        <w:t xml:space="preserve">A </w:t>
      </w:r>
      <w:r w:rsidRPr="00244FF3" w:rsidR="00875CCC">
        <w:rPr>
          <w:sz w:val="24"/>
        </w:rPr>
        <w:t>description, including identification, of an</w:t>
      </w:r>
      <w:r w:rsidRPr="00244FF3">
        <w:rPr>
          <w:sz w:val="24"/>
        </w:rPr>
        <w:t xml:space="preserve">y past or pending citations </w:t>
      </w:r>
      <w:r w:rsidRPr="00244FF3" w:rsidR="00875CCC">
        <w:rPr>
          <w:sz w:val="24"/>
        </w:rPr>
        <w:t>issued to the</w:t>
      </w:r>
      <w:r w:rsidRPr="00244FF3" w:rsidR="00360200">
        <w:rPr>
          <w:sz w:val="24"/>
        </w:rPr>
        <w:t xml:space="preserve"> </w:t>
      </w:r>
      <w:r w:rsidRPr="00244FF3" w:rsidR="00875CCC">
        <w:rPr>
          <w:sz w:val="24"/>
        </w:rPr>
        <w:t xml:space="preserve">employer for violations of </w:t>
      </w:r>
      <w:r w:rsidRPr="00244FF3">
        <w:rPr>
          <w:sz w:val="24"/>
        </w:rPr>
        <w:t xml:space="preserve">the </w:t>
      </w:r>
      <w:r w:rsidRPr="00244FF3" w:rsidR="00875CCC">
        <w:rPr>
          <w:sz w:val="24"/>
        </w:rPr>
        <w:t xml:space="preserve">State </w:t>
      </w:r>
      <w:r w:rsidRPr="00244FF3">
        <w:rPr>
          <w:sz w:val="24"/>
        </w:rPr>
        <w:t>standard</w:t>
      </w:r>
      <w:r w:rsidRPr="00244FF3" w:rsidR="00875CCC">
        <w:rPr>
          <w:sz w:val="24"/>
        </w:rPr>
        <w:t>,</w:t>
      </w:r>
      <w:r w:rsidRPr="00244FF3">
        <w:rPr>
          <w:sz w:val="24"/>
        </w:rPr>
        <w:t xml:space="preserve"> or portion thereof</w:t>
      </w:r>
      <w:r w:rsidRPr="00244FF3" w:rsidR="00875CCC">
        <w:rPr>
          <w:sz w:val="24"/>
        </w:rPr>
        <w:t xml:space="preserve">, </w:t>
      </w:r>
      <w:r w:rsidRPr="00244FF3">
        <w:rPr>
          <w:sz w:val="24"/>
        </w:rPr>
        <w:t>by any State authorit</w:t>
      </w:r>
      <w:r w:rsidRPr="008F16F0" w:rsidR="00875CCC">
        <w:rPr>
          <w:sz w:val="24"/>
        </w:rPr>
        <w:t>y</w:t>
      </w:r>
      <w:r w:rsidRPr="008F16F0" w:rsidR="00360200">
        <w:rPr>
          <w:sz w:val="24"/>
        </w:rPr>
        <w:t xml:space="preserve"> </w:t>
      </w:r>
      <w:r w:rsidRPr="008F16F0">
        <w:rPr>
          <w:sz w:val="24"/>
        </w:rPr>
        <w:t>enforcing the stan</w:t>
      </w:r>
      <w:r w:rsidRPr="00E53F99">
        <w:rPr>
          <w:sz w:val="24"/>
        </w:rPr>
        <w:t xml:space="preserve">dard under a State </w:t>
      </w:r>
      <w:r w:rsidRPr="00E53F99" w:rsidR="00875CCC">
        <w:rPr>
          <w:sz w:val="24"/>
        </w:rPr>
        <w:t>p</w:t>
      </w:r>
      <w:r w:rsidRPr="00E53F99">
        <w:rPr>
          <w:sz w:val="24"/>
        </w:rPr>
        <w:t>lan approved under</w:t>
      </w:r>
      <w:r w:rsidRPr="00610911" w:rsidR="00875CCC">
        <w:rPr>
          <w:sz w:val="24"/>
        </w:rPr>
        <w:t xml:space="preserve"> Section 18 of the </w:t>
      </w:r>
      <w:r w:rsidRPr="00610911" w:rsidR="001D524C">
        <w:rPr>
          <w:sz w:val="24"/>
        </w:rPr>
        <w:t xml:space="preserve">OSH </w:t>
      </w:r>
      <w:r w:rsidRPr="00610911" w:rsidR="00875CCC">
        <w:rPr>
          <w:sz w:val="24"/>
        </w:rPr>
        <w:t>Act</w:t>
      </w:r>
      <w:r w:rsidRPr="00610911" w:rsidR="00AF1603">
        <w:rPr>
          <w:sz w:val="24"/>
        </w:rPr>
        <w:t>,</w:t>
      </w:r>
    </w:p>
    <w:p w:rsidR="00244FF3" w:rsidRPr="00244FF3" w:rsidP="00746D0C" w14:paraId="22CF8A63" w14:textId="77777777">
      <w:pPr>
        <w:ind w:left="720"/>
        <w:rPr>
          <w:sz w:val="24"/>
        </w:rPr>
      </w:pPr>
    </w:p>
    <w:p w:rsidR="009F0FD6" w:rsidP="00B370A4" w14:paraId="0EFCBC4E" w14:textId="77777777">
      <w:pPr>
        <w:numPr>
          <w:ilvl w:val="0"/>
          <w:numId w:val="7"/>
        </w:numPr>
        <w:rPr>
          <w:sz w:val="24"/>
        </w:rPr>
      </w:pPr>
      <w:r>
        <w:rPr>
          <w:sz w:val="24"/>
        </w:rPr>
        <w:t xml:space="preserve">Certification by the employer </w:t>
      </w:r>
      <w:r w:rsidRPr="00C5323A">
        <w:rPr>
          <w:sz w:val="24"/>
        </w:rPr>
        <w:t xml:space="preserve">that the information contained in the application </w:t>
      </w:r>
      <w:r>
        <w:rPr>
          <w:sz w:val="24"/>
        </w:rPr>
        <w:t xml:space="preserve">is, to the best of the employer’s knowledge, </w:t>
      </w:r>
      <w:r w:rsidRPr="00C5323A">
        <w:rPr>
          <w:sz w:val="24"/>
        </w:rPr>
        <w:t>accurate and true.</w:t>
      </w:r>
    </w:p>
    <w:p w:rsidR="009F0FD6" w:rsidRPr="00EC26D0" w:rsidP="00D160BC" w14:paraId="10D0A2A1" w14:textId="77777777">
      <w:pPr>
        <w:rPr>
          <w:sz w:val="24"/>
        </w:rPr>
      </w:pPr>
    </w:p>
    <w:p w:rsidR="002E458E" w:rsidP="00393C61" w14:paraId="2EFBA6FF" w14:textId="77777777">
      <w:pPr>
        <w:rPr>
          <w:sz w:val="24"/>
        </w:rPr>
      </w:pPr>
      <w:r w:rsidRPr="00746D0C">
        <w:rPr>
          <w:b/>
          <w:i/>
          <w:sz w:val="24"/>
          <w:u w:val="single"/>
        </w:rPr>
        <w:t>Experimental variance Interim Order Application</w:t>
      </w:r>
      <w:r>
        <w:rPr>
          <w:i/>
          <w:sz w:val="24"/>
          <w:u w:val="single"/>
        </w:rPr>
        <w:t>:</w:t>
      </w:r>
      <w:r>
        <w:rPr>
          <w:sz w:val="24"/>
        </w:rPr>
        <w:t xml:space="preserve">  Section 6(b)(6)(C) of the OSH Act (29 U.S.C 655) does not specify information requirements when applying for an experimental variance interim order.  However, OSHA determined such an application must provide OSHA with the following information:</w:t>
      </w:r>
    </w:p>
    <w:p w:rsidR="00244FF3" w:rsidP="00393C61" w14:paraId="07425A6F" w14:textId="77777777">
      <w:pPr>
        <w:rPr>
          <w:sz w:val="24"/>
        </w:rPr>
      </w:pPr>
    </w:p>
    <w:p w:rsidR="00244FF3" w:rsidP="00244FF3" w14:paraId="179406FB" w14:textId="77777777">
      <w:pPr>
        <w:numPr>
          <w:ilvl w:val="0"/>
          <w:numId w:val="8"/>
        </w:numPr>
        <w:rPr>
          <w:sz w:val="24"/>
        </w:rPr>
      </w:pPr>
      <w:r>
        <w:rPr>
          <w:sz w:val="24"/>
        </w:rPr>
        <w:t xml:space="preserve">A statement requesting an interim order and that the order be effective until a </w:t>
      </w:r>
      <w:r>
        <w:rPr>
          <w:sz w:val="24"/>
        </w:rPr>
        <w:t>decision is rendered on the application for the experimental variances filed previously or concurrently</w:t>
      </w:r>
      <w:r w:rsidR="00140B25">
        <w:rPr>
          <w:sz w:val="24"/>
        </w:rPr>
        <w:t>, and</w:t>
      </w:r>
    </w:p>
    <w:p w:rsidR="00244FF3" w:rsidRPr="00244FF3" w:rsidP="00746D0C" w14:paraId="24DC7692" w14:textId="77777777">
      <w:pPr>
        <w:ind w:left="720"/>
        <w:rPr>
          <w:sz w:val="24"/>
        </w:rPr>
      </w:pPr>
    </w:p>
    <w:p w:rsidR="002E458E" w:rsidP="00B370A4" w14:paraId="38BD7909" w14:textId="77777777">
      <w:pPr>
        <w:numPr>
          <w:ilvl w:val="0"/>
          <w:numId w:val="8"/>
        </w:numPr>
        <w:rPr>
          <w:sz w:val="24"/>
        </w:rPr>
      </w:pPr>
      <w:r>
        <w:rPr>
          <w:sz w:val="24"/>
        </w:rPr>
        <w:t>At the employer’s discretion, the application for an interim order may include statements of fact and arguments as to why OSHA should grant the order.</w:t>
      </w:r>
    </w:p>
    <w:p w:rsidR="002E458E" w:rsidRPr="00B370A4" w:rsidP="00393C61" w14:paraId="57D9185F" w14:textId="77777777">
      <w:pPr>
        <w:rPr>
          <w:sz w:val="24"/>
        </w:rPr>
      </w:pPr>
    </w:p>
    <w:p w:rsidR="00DA2CC0" w:rsidP="00393C61" w14:paraId="3E88E701" w14:textId="77777777">
      <w:pPr>
        <w:rPr>
          <w:sz w:val="24"/>
        </w:rPr>
      </w:pPr>
      <w:r w:rsidRPr="00746D0C">
        <w:rPr>
          <w:b/>
          <w:i/>
          <w:sz w:val="24"/>
          <w:u w:val="single"/>
        </w:rPr>
        <w:t>Permanent variance</w:t>
      </w:r>
      <w:r w:rsidRPr="00DB684C" w:rsidR="008C2FC5">
        <w:rPr>
          <w:sz w:val="24"/>
        </w:rPr>
        <w:t xml:space="preserve">. </w:t>
      </w:r>
      <w:r w:rsidRPr="00992B43" w:rsidR="008C2FC5">
        <w:rPr>
          <w:sz w:val="24"/>
        </w:rPr>
        <w:t xml:space="preserve"> </w:t>
      </w:r>
      <w:r w:rsidRPr="00992B43" w:rsidR="00183845">
        <w:rPr>
          <w:sz w:val="24"/>
        </w:rPr>
        <w:t xml:space="preserve">Under </w:t>
      </w:r>
      <w:r w:rsidRPr="00992B43" w:rsidR="008C2FC5">
        <w:rPr>
          <w:sz w:val="24"/>
        </w:rPr>
        <w:t>29 CFR 1905.11</w:t>
      </w:r>
      <w:r w:rsidRPr="00992B43" w:rsidR="00183845">
        <w:rPr>
          <w:sz w:val="24"/>
        </w:rPr>
        <w:t>, employers must provide OSHA with the following information when applying for this variance</w:t>
      </w:r>
      <w:r w:rsidRPr="00B430DE" w:rsidR="00393C61">
        <w:rPr>
          <w:sz w:val="24"/>
        </w:rPr>
        <w:t>:</w:t>
      </w:r>
    </w:p>
    <w:p w:rsidR="00244FF3" w:rsidP="00393C61" w14:paraId="2512D9D2" w14:textId="77777777">
      <w:pPr>
        <w:rPr>
          <w:sz w:val="24"/>
        </w:rPr>
      </w:pPr>
    </w:p>
    <w:p w:rsidR="00DA2CC0" w:rsidP="00B370A4" w14:paraId="5F3B1991" w14:textId="77777777">
      <w:pPr>
        <w:numPr>
          <w:ilvl w:val="0"/>
          <w:numId w:val="9"/>
        </w:numPr>
        <w:rPr>
          <w:sz w:val="24"/>
        </w:rPr>
      </w:pPr>
      <w:r>
        <w:rPr>
          <w:sz w:val="24"/>
        </w:rPr>
        <w:t>T</w:t>
      </w:r>
      <w:r w:rsidRPr="00B430DE" w:rsidR="00393C61">
        <w:rPr>
          <w:sz w:val="24"/>
        </w:rPr>
        <w:t>he name and a</w:t>
      </w:r>
      <w:r w:rsidR="00393C61">
        <w:rPr>
          <w:sz w:val="24"/>
        </w:rPr>
        <w:t xml:space="preserve">ddress of the </w:t>
      </w:r>
      <w:r w:rsidR="004D7630">
        <w:rPr>
          <w:sz w:val="24"/>
        </w:rPr>
        <w:t>employer</w:t>
      </w:r>
      <w:r w:rsidR="00393C61">
        <w:rPr>
          <w:sz w:val="24"/>
        </w:rPr>
        <w:t xml:space="preserve"> (1905.11</w:t>
      </w:r>
      <w:r w:rsidRPr="00B430DE" w:rsidR="00393C61">
        <w:rPr>
          <w:sz w:val="24"/>
        </w:rPr>
        <w:t>(b)(1))</w:t>
      </w:r>
      <w:r w:rsidR="00140B25">
        <w:rPr>
          <w:sz w:val="24"/>
        </w:rPr>
        <w:t>,</w:t>
      </w:r>
    </w:p>
    <w:p w:rsidR="00E13A0C" w:rsidP="00E13A0C" w14:paraId="7950A611" w14:textId="77777777">
      <w:pPr>
        <w:ind w:left="720"/>
        <w:rPr>
          <w:sz w:val="24"/>
        </w:rPr>
      </w:pPr>
    </w:p>
    <w:p w:rsidR="00244FF3" w:rsidP="00B370A4" w14:paraId="25FFC493" w14:textId="77777777">
      <w:pPr>
        <w:numPr>
          <w:ilvl w:val="0"/>
          <w:numId w:val="9"/>
        </w:numPr>
        <w:rPr>
          <w:sz w:val="24"/>
        </w:rPr>
      </w:pPr>
      <w:r>
        <w:rPr>
          <w:sz w:val="24"/>
        </w:rPr>
        <w:t>T</w:t>
      </w:r>
      <w:r w:rsidRPr="00B430DE" w:rsidR="00393C61">
        <w:rPr>
          <w:sz w:val="24"/>
        </w:rPr>
        <w:t>he address of the place or places</w:t>
      </w:r>
      <w:r w:rsidR="00393C61">
        <w:rPr>
          <w:sz w:val="24"/>
        </w:rPr>
        <w:t xml:space="preserve"> of employment involved (1905.11</w:t>
      </w:r>
      <w:r w:rsidRPr="00B430DE" w:rsidR="00393C61">
        <w:rPr>
          <w:sz w:val="24"/>
        </w:rPr>
        <w:t>(b)(2))</w:t>
      </w:r>
      <w:r w:rsidR="00140B25">
        <w:rPr>
          <w:sz w:val="24"/>
        </w:rPr>
        <w:t>,</w:t>
      </w:r>
    </w:p>
    <w:p w:rsidR="00DA2CC0" w:rsidP="00746D0C" w14:paraId="6025128B" w14:textId="77777777">
      <w:pPr>
        <w:ind w:left="720"/>
        <w:rPr>
          <w:sz w:val="24"/>
        </w:rPr>
      </w:pPr>
      <w:r w:rsidRPr="00B430DE">
        <w:rPr>
          <w:sz w:val="24"/>
        </w:rPr>
        <w:t xml:space="preserve"> </w:t>
      </w:r>
    </w:p>
    <w:p w:rsidR="00DA2CC0" w:rsidP="00B370A4" w14:paraId="094541DB" w14:textId="77777777">
      <w:pPr>
        <w:numPr>
          <w:ilvl w:val="0"/>
          <w:numId w:val="9"/>
        </w:numPr>
        <w:rPr>
          <w:sz w:val="24"/>
        </w:rPr>
      </w:pPr>
      <w:r w:rsidRPr="00393C61">
        <w:rPr>
          <w:sz w:val="24"/>
        </w:rPr>
        <w:t xml:space="preserve">A description of the conditions, practices, means, methods, operations, or processes used or proposed </w:t>
      </w:r>
      <w:r w:rsidR="00DB684C">
        <w:rPr>
          <w:sz w:val="24"/>
        </w:rPr>
        <w:t>for use</w:t>
      </w:r>
      <w:r w:rsidRPr="00393C61">
        <w:rPr>
          <w:sz w:val="24"/>
        </w:rPr>
        <w:t xml:space="preserve"> by the </w:t>
      </w:r>
      <w:r w:rsidR="004D7630">
        <w:rPr>
          <w:sz w:val="24"/>
        </w:rPr>
        <w:t>employer</w:t>
      </w:r>
      <w:r w:rsidRPr="00393C61">
        <w:rPr>
          <w:sz w:val="24"/>
        </w:rPr>
        <w:t xml:space="preserve"> </w:t>
      </w:r>
      <w:r>
        <w:rPr>
          <w:sz w:val="24"/>
        </w:rPr>
        <w:t>(1905.11(b)(3))</w:t>
      </w:r>
      <w:r w:rsidR="00140B25">
        <w:rPr>
          <w:sz w:val="24"/>
        </w:rPr>
        <w:t>,</w:t>
      </w:r>
    </w:p>
    <w:p w:rsidR="00244FF3" w:rsidP="00746D0C" w14:paraId="40FC1C7D" w14:textId="77777777">
      <w:pPr>
        <w:ind w:left="720"/>
        <w:rPr>
          <w:sz w:val="24"/>
        </w:rPr>
      </w:pPr>
    </w:p>
    <w:p w:rsidR="00DA2CC0" w:rsidP="00B370A4" w14:paraId="22DDCE83" w14:textId="77777777">
      <w:pPr>
        <w:numPr>
          <w:ilvl w:val="0"/>
          <w:numId w:val="9"/>
        </w:numPr>
        <w:rPr>
          <w:sz w:val="24"/>
        </w:rPr>
      </w:pPr>
      <w:r>
        <w:rPr>
          <w:sz w:val="24"/>
        </w:rPr>
        <w:t>A</w:t>
      </w:r>
      <w:r w:rsidRPr="00393C61" w:rsidR="00393C61">
        <w:rPr>
          <w:sz w:val="24"/>
        </w:rPr>
        <w:t xml:space="preserve"> statement showing how the conditions, practices, means, methods, operations, or</w:t>
      </w:r>
      <w:r w:rsidR="00360200">
        <w:rPr>
          <w:sz w:val="24"/>
        </w:rPr>
        <w:t xml:space="preserve"> </w:t>
      </w:r>
      <w:r w:rsidRPr="00393C61" w:rsidR="00393C61">
        <w:rPr>
          <w:sz w:val="24"/>
        </w:rPr>
        <w:t xml:space="preserve">processes used or proposed </w:t>
      </w:r>
      <w:r w:rsidR="00183845">
        <w:rPr>
          <w:sz w:val="24"/>
        </w:rPr>
        <w:t>for use</w:t>
      </w:r>
      <w:r w:rsidRPr="00393C61" w:rsidR="00393C61">
        <w:rPr>
          <w:sz w:val="24"/>
        </w:rPr>
        <w:t xml:space="preserve"> would provide employment and places of employment</w:t>
      </w:r>
      <w:r w:rsidR="00183845">
        <w:rPr>
          <w:sz w:val="24"/>
        </w:rPr>
        <w:t xml:space="preserve"> </w:t>
      </w:r>
      <w:r w:rsidRPr="00393C61" w:rsidR="00393C61">
        <w:rPr>
          <w:sz w:val="24"/>
        </w:rPr>
        <w:t xml:space="preserve">to </w:t>
      </w:r>
      <w:r w:rsidR="00140B25">
        <w:rPr>
          <w:sz w:val="24"/>
        </w:rPr>
        <w:t>workers</w:t>
      </w:r>
      <w:r w:rsidRPr="00393C61" w:rsidR="00393C61">
        <w:rPr>
          <w:sz w:val="24"/>
        </w:rPr>
        <w:t xml:space="preserve"> </w:t>
      </w:r>
      <w:r w:rsidR="00183845">
        <w:rPr>
          <w:sz w:val="24"/>
        </w:rPr>
        <w:t>that</w:t>
      </w:r>
      <w:r w:rsidRPr="00393C61" w:rsidR="00393C61">
        <w:rPr>
          <w:sz w:val="24"/>
        </w:rPr>
        <w:t xml:space="preserve"> are as safe and healthful as th</w:t>
      </w:r>
      <w:r w:rsidR="00183845">
        <w:rPr>
          <w:sz w:val="24"/>
        </w:rPr>
        <w:t xml:space="preserve">e requirements specified </w:t>
      </w:r>
      <w:r w:rsidR="00140B25">
        <w:rPr>
          <w:sz w:val="24"/>
        </w:rPr>
        <w:t xml:space="preserve">by </w:t>
      </w:r>
      <w:r w:rsidRPr="00393C61" w:rsidR="00393C61">
        <w:rPr>
          <w:sz w:val="24"/>
        </w:rPr>
        <w:t>the standard</w:t>
      </w:r>
      <w:r w:rsidR="00360200">
        <w:rPr>
          <w:sz w:val="24"/>
        </w:rPr>
        <w:t xml:space="preserve"> </w:t>
      </w:r>
      <w:r w:rsidR="00393C61">
        <w:rPr>
          <w:sz w:val="24"/>
        </w:rPr>
        <w:t>from which a variance is sought (</w:t>
      </w:r>
      <w:r w:rsidRPr="00393C61" w:rsidR="00393C61">
        <w:rPr>
          <w:sz w:val="24"/>
        </w:rPr>
        <w:t>1905.11(b)(4)</w:t>
      </w:r>
      <w:r w:rsidR="00393C61">
        <w:rPr>
          <w:sz w:val="24"/>
        </w:rPr>
        <w:t>)</w:t>
      </w:r>
      <w:r w:rsidR="00140B25">
        <w:rPr>
          <w:sz w:val="24"/>
        </w:rPr>
        <w:t>,</w:t>
      </w:r>
    </w:p>
    <w:p w:rsidR="00244FF3" w:rsidP="00746D0C" w14:paraId="32484F08" w14:textId="77777777">
      <w:pPr>
        <w:ind w:left="720"/>
        <w:rPr>
          <w:sz w:val="24"/>
        </w:rPr>
      </w:pPr>
    </w:p>
    <w:p w:rsidR="009B4D7D" w:rsidP="00B370A4" w14:paraId="1B0CBEC6" w14:textId="0F48D9B2">
      <w:pPr>
        <w:numPr>
          <w:ilvl w:val="0"/>
          <w:numId w:val="9"/>
        </w:numPr>
        <w:rPr>
          <w:sz w:val="24"/>
        </w:rPr>
      </w:pPr>
      <w:r>
        <w:rPr>
          <w:sz w:val="24"/>
        </w:rPr>
        <w:t>C</w:t>
      </w:r>
      <w:r w:rsidRPr="00393C61" w:rsidR="00393C61">
        <w:rPr>
          <w:sz w:val="24"/>
        </w:rPr>
        <w:t xml:space="preserve">ertification that the </w:t>
      </w:r>
      <w:r w:rsidR="00183845">
        <w:rPr>
          <w:sz w:val="24"/>
        </w:rPr>
        <w:t xml:space="preserve">employer </w:t>
      </w:r>
      <w:r w:rsidRPr="00393C61" w:rsidR="00393C61">
        <w:rPr>
          <w:sz w:val="24"/>
        </w:rPr>
        <w:t xml:space="preserve">informed </w:t>
      </w:r>
      <w:r w:rsidR="00875CCC">
        <w:rPr>
          <w:sz w:val="24"/>
        </w:rPr>
        <w:t xml:space="preserve">affected </w:t>
      </w:r>
      <w:r w:rsidR="00140B25">
        <w:rPr>
          <w:sz w:val="24"/>
        </w:rPr>
        <w:t>workers</w:t>
      </w:r>
      <w:r w:rsidR="00393C61">
        <w:rPr>
          <w:sz w:val="24"/>
        </w:rPr>
        <w:t xml:space="preserve"> of the application</w:t>
      </w:r>
      <w:r w:rsidR="00183845">
        <w:rPr>
          <w:sz w:val="24"/>
        </w:rPr>
        <w:t xml:space="preserve"> </w:t>
      </w:r>
      <w:r w:rsidR="00393C61">
        <w:rPr>
          <w:sz w:val="24"/>
        </w:rPr>
        <w:t>(</w:t>
      </w:r>
      <w:r w:rsidRPr="00393C61" w:rsidR="00393C61">
        <w:rPr>
          <w:sz w:val="24"/>
        </w:rPr>
        <w:t>1905.11(b)(5)</w:t>
      </w:r>
      <w:r w:rsidR="00393C61">
        <w:rPr>
          <w:sz w:val="24"/>
        </w:rPr>
        <w:t>)</w:t>
      </w:r>
      <w:r w:rsidR="00875CCC">
        <w:rPr>
          <w:sz w:val="24"/>
        </w:rPr>
        <w:t xml:space="preserve"> </w:t>
      </w:r>
      <w:r w:rsidR="00393C61">
        <w:rPr>
          <w:sz w:val="24"/>
        </w:rPr>
        <w:t>by</w:t>
      </w:r>
      <w:r w:rsidR="006D4B24">
        <w:rPr>
          <w:sz w:val="24"/>
        </w:rPr>
        <w:t xml:space="preserve"> </w:t>
      </w:r>
      <w:r w:rsidR="00183845">
        <w:rPr>
          <w:sz w:val="24"/>
        </w:rPr>
        <w:t xml:space="preserve">(1) </w:t>
      </w:r>
      <w:r w:rsidRPr="00393C61" w:rsidR="00393C61">
        <w:rPr>
          <w:sz w:val="24"/>
        </w:rPr>
        <w:t xml:space="preserve">giving a copy </w:t>
      </w:r>
      <w:r w:rsidR="00183845">
        <w:rPr>
          <w:sz w:val="24"/>
        </w:rPr>
        <w:t xml:space="preserve">of the application </w:t>
      </w:r>
      <w:r w:rsidRPr="00393C61" w:rsidR="00393C61">
        <w:rPr>
          <w:sz w:val="24"/>
        </w:rPr>
        <w:t>to the</w:t>
      </w:r>
      <w:r w:rsidR="00183845">
        <w:rPr>
          <w:sz w:val="24"/>
        </w:rPr>
        <w:t xml:space="preserve"> </w:t>
      </w:r>
      <w:r w:rsidR="00140B25">
        <w:rPr>
          <w:sz w:val="24"/>
        </w:rPr>
        <w:t>workers</w:t>
      </w:r>
      <w:r w:rsidR="00183845">
        <w:rPr>
          <w:sz w:val="24"/>
        </w:rPr>
        <w:t xml:space="preserve">’ </w:t>
      </w:r>
      <w:r w:rsidRPr="00393C61" w:rsidR="00393C61">
        <w:rPr>
          <w:sz w:val="24"/>
        </w:rPr>
        <w:t>authorized</w:t>
      </w:r>
      <w:r w:rsidR="00360200">
        <w:rPr>
          <w:sz w:val="24"/>
        </w:rPr>
        <w:t xml:space="preserve"> </w:t>
      </w:r>
      <w:r w:rsidRPr="00393C61" w:rsidR="00393C61">
        <w:rPr>
          <w:sz w:val="24"/>
        </w:rPr>
        <w:t>representative</w:t>
      </w:r>
      <w:r w:rsidR="00393C61">
        <w:rPr>
          <w:sz w:val="24"/>
        </w:rPr>
        <w:t xml:space="preserve"> (</w:t>
      </w:r>
      <w:r w:rsidRPr="00393C61" w:rsidR="00393C61">
        <w:rPr>
          <w:sz w:val="24"/>
        </w:rPr>
        <w:t>1905.11(b)(5)(i)</w:t>
      </w:r>
      <w:r w:rsidR="00393C61">
        <w:rPr>
          <w:sz w:val="24"/>
        </w:rPr>
        <w:t xml:space="preserve">); </w:t>
      </w:r>
      <w:r w:rsidR="00183845">
        <w:rPr>
          <w:sz w:val="24"/>
        </w:rPr>
        <w:t xml:space="preserve">(2) </w:t>
      </w:r>
      <w:r w:rsidRPr="00393C61" w:rsidR="00393C61">
        <w:rPr>
          <w:sz w:val="24"/>
        </w:rPr>
        <w:t xml:space="preserve">posting </w:t>
      </w:r>
      <w:r>
        <w:rPr>
          <w:sz w:val="24"/>
        </w:rPr>
        <w:t>(at the place or places where the employer</w:t>
      </w:r>
      <w:r w:rsidR="00360200">
        <w:rPr>
          <w:sz w:val="24"/>
        </w:rPr>
        <w:t xml:space="preserve"> </w:t>
      </w:r>
      <w:r>
        <w:rPr>
          <w:sz w:val="24"/>
        </w:rPr>
        <w:t>normally posts</w:t>
      </w:r>
      <w:r w:rsidR="00875CCC">
        <w:rPr>
          <w:sz w:val="24"/>
        </w:rPr>
        <w:t xml:space="preserve"> </w:t>
      </w:r>
      <w:r>
        <w:rPr>
          <w:sz w:val="24"/>
        </w:rPr>
        <w:t xml:space="preserve">notices to </w:t>
      </w:r>
      <w:r w:rsidR="00140B25">
        <w:rPr>
          <w:sz w:val="24"/>
        </w:rPr>
        <w:t>workers</w:t>
      </w:r>
      <w:r>
        <w:rPr>
          <w:sz w:val="24"/>
        </w:rPr>
        <w:t xml:space="preserve">) </w:t>
      </w:r>
      <w:r w:rsidRPr="00393C61" w:rsidR="00393C61">
        <w:rPr>
          <w:sz w:val="24"/>
        </w:rPr>
        <w:t>a statement giving a summary of the</w:t>
      </w:r>
      <w:r>
        <w:rPr>
          <w:sz w:val="24"/>
        </w:rPr>
        <w:t xml:space="preserve"> </w:t>
      </w:r>
      <w:r w:rsidRPr="00393C61" w:rsidR="00393C61">
        <w:rPr>
          <w:sz w:val="24"/>
        </w:rPr>
        <w:t>application and</w:t>
      </w:r>
      <w:r w:rsidR="00360200">
        <w:rPr>
          <w:sz w:val="24"/>
        </w:rPr>
        <w:t xml:space="preserve"> </w:t>
      </w:r>
      <w:r w:rsidRPr="00393C61" w:rsidR="00393C61">
        <w:rPr>
          <w:sz w:val="24"/>
        </w:rPr>
        <w:t>specifying</w:t>
      </w:r>
      <w:r w:rsidR="00875CCC">
        <w:rPr>
          <w:sz w:val="24"/>
        </w:rPr>
        <w:t xml:space="preserve"> </w:t>
      </w:r>
      <w:r w:rsidRPr="00393C61" w:rsidR="00393C61">
        <w:rPr>
          <w:sz w:val="24"/>
        </w:rPr>
        <w:t>where</w:t>
      </w:r>
      <w:r w:rsidR="00183845">
        <w:rPr>
          <w:sz w:val="24"/>
        </w:rPr>
        <w:t xml:space="preserve"> </w:t>
      </w:r>
      <w:r w:rsidR="00140B25">
        <w:rPr>
          <w:sz w:val="24"/>
        </w:rPr>
        <w:t>workers</w:t>
      </w:r>
      <w:r w:rsidR="00183845">
        <w:rPr>
          <w:sz w:val="24"/>
        </w:rPr>
        <w:t xml:space="preserve"> can examine </w:t>
      </w:r>
      <w:r w:rsidR="002E458E">
        <w:rPr>
          <w:sz w:val="24"/>
        </w:rPr>
        <w:t xml:space="preserve">it </w:t>
      </w:r>
      <w:r w:rsidRPr="00393C61">
        <w:rPr>
          <w:sz w:val="24"/>
        </w:rPr>
        <w:t>(in</w:t>
      </w:r>
      <w:r>
        <w:rPr>
          <w:sz w:val="24"/>
        </w:rPr>
        <w:t>stead</w:t>
      </w:r>
      <w:r w:rsidRPr="00393C61">
        <w:rPr>
          <w:sz w:val="24"/>
        </w:rPr>
        <w:t xml:space="preserve"> of </w:t>
      </w:r>
      <w:r>
        <w:rPr>
          <w:sz w:val="24"/>
        </w:rPr>
        <w:t xml:space="preserve">a </w:t>
      </w:r>
      <w:r w:rsidRPr="00393C61">
        <w:rPr>
          <w:sz w:val="24"/>
        </w:rPr>
        <w:t>summary</w:t>
      </w:r>
      <w:r>
        <w:rPr>
          <w:sz w:val="24"/>
        </w:rPr>
        <w:t xml:space="preserve"> statement</w:t>
      </w:r>
      <w:r w:rsidRPr="00393C61">
        <w:rPr>
          <w:sz w:val="24"/>
        </w:rPr>
        <w:t>, the</w:t>
      </w:r>
      <w:r w:rsidR="00360200">
        <w:rPr>
          <w:sz w:val="24"/>
        </w:rPr>
        <w:t xml:space="preserve"> </w:t>
      </w:r>
      <w:r>
        <w:rPr>
          <w:sz w:val="24"/>
        </w:rPr>
        <w:t>employer</w:t>
      </w:r>
      <w:r w:rsidR="00875CCC">
        <w:rPr>
          <w:sz w:val="24"/>
        </w:rPr>
        <w:t xml:space="preserve"> </w:t>
      </w:r>
      <w:r>
        <w:rPr>
          <w:sz w:val="24"/>
        </w:rPr>
        <w:t xml:space="preserve">may </w:t>
      </w:r>
      <w:r w:rsidRPr="00393C61">
        <w:rPr>
          <w:sz w:val="24"/>
        </w:rPr>
        <w:t>post</w:t>
      </w:r>
      <w:r>
        <w:rPr>
          <w:sz w:val="24"/>
        </w:rPr>
        <w:t xml:space="preserve"> a copy </w:t>
      </w:r>
      <w:r w:rsidRPr="00393C61">
        <w:rPr>
          <w:sz w:val="24"/>
        </w:rPr>
        <w:t>of the application</w:t>
      </w:r>
      <w:r w:rsidRPr="00393C61" w:rsidR="00393C61">
        <w:rPr>
          <w:sz w:val="24"/>
        </w:rPr>
        <w:t xml:space="preserve">) </w:t>
      </w:r>
      <w:r w:rsidR="00393C61">
        <w:rPr>
          <w:sz w:val="24"/>
        </w:rPr>
        <w:t>(</w:t>
      </w:r>
      <w:r w:rsidRPr="00393C61" w:rsidR="00393C61">
        <w:rPr>
          <w:sz w:val="24"/>
        </w:rPr>
        <w:t>1905.11(b)(5)(ii)</w:t>
      </w:r>
      <w:r w:rsidR="00393C61">
        <w:rPr>
          <w:sz w:val="24"/>
        </w:rPr>
        <w:t>)</w:t>
      </w:r>
      <w:r w:rsidRPr="00393C61" w:rsidR="00393C61">
        <w:rPr>
          <w:sz w:val="24"/>
        </w:rPr>
        <w:t>; and</w:t>
      </w:r>
      <w:r w:rsidR="00393C61">
        <w:rPr>
          <w:sz w:val="24"/>
        </w:rPr>
        <w:t xml:space="preserve"> </w:t>
      </w:r>
      <w:r>
        <w:rPr>
          <w:sz w:val="24"/>
        </w:rPr>
        <w:t xml:space="preserve">(3) </w:t>
      </w:r>
      <w:r w:rsidRPr="00393C61" w:rsidR="00393C61">
        <w:rPr>
          <w:sz w:val="24"/>
        </w:rPr>
        <w:t>other</w:t>
      </w:r>
      <w:r w:rsidR="00360200">
        <w:rPr>
          <w:sz w:val="24"/>
        </w:rPr>
        <w:t xml:space="preserve"> </w:t>
      </w:r>
      <w:r w:rsidRPr="00393C61" w:rsidR="00393C61">
        <w:rPr>
          <w:sz w:val="24"/>
        </w:rPr>
        <w:t>appropriate means</w:t>
      </w:r>
      <w:r w:rsidR="00875CCC">
        <w:rPr>
          <w:sz w:val="24"/>
        </w:rPr>
        <w:t xml:space="preserve"> </w:t>
      </w:r>
      <w:r w:rsidR="00393C61">
        <w:rPr>
          <w:sz w:val="24"/>
        </w:rPr>
        <w:t>(</w:t>
      </w:r>
      <w:r w:rsidRPr="00393C61" w:rsidR="00393C61">
        <w:rPr>
          <w:sz w:val="24"/>
        </w:rPr>
        <w:t>1905.11(b)(5)(iii)</w:t>
      </w:r>
      <w:r w:rsidR="00393C61">
        <w:rPr>
          <w:sz w:val="24"/>
        </w:rPr>
        <w:t>)</w:t>
      </w:r>
      <w:r w:rsidR="00140B25">
        <w:rPr>
          <w:sz w:val="24"/>
        </w:rPr>
        <w:t>,</w:t>
      </w:r>
    </w:p>
    <w:p w:rsidR="00244FF3" w:rsidP="00746D0C" w14:paraId="52FF75BD" w14:textId="77777777">
      <w:pPr>
        <w:ind w:left="720"/>
        <w:rPr>
          <w:sz w:val="24"/>
        </w:rPr>
      </w:pPr>
    </w:p>
    <w:p w:rsidR="00A500C6" w:rsidP="00B370A4" w14:paraId="2D54BC43" w14:textId="77777777">
      <w:pPr>
        <w:numPr>
          <w:ilvl w:val="0"/>
          <w:numId w:val="9"/>
        </w:numPr>
        <w:rPr>
          <w:sz w:val="24"/>
        </w:rPr>
      </w:pPr>
      <w:r>
        <w:rPr>
          <w:sz w:val="24"/>
        </w:rPr>
        <w:t>A</w:t>
      </w:r>
      <w:r w:rsidRPr="00393C61" w:rsidR="00393C61">
        <w:rPr>
          <w:sz w:val="24"/>
        </w:rPr>
        <w:t>ny request for a hearing</w:t>
      </w:r>
      <w:r w:rsidR="0052400F">
        <w:rPr>
          <w:sz w:val="24"/>
        </w:rPr>
        <w:t xml:space="preserve"> (</w:t>
      </w:r>
      <w:r w:rsidRPr="00393C61" w:rsidR="0052400F">
        <w:rPr>
          <w:sz w:val="24"/>
        </w:rPr>
        <w:t>1905.11(b)(6)</w:t>
      </w:r>
      <w:r w:rsidR="0052400F">
        <w:rPr>
          <w:sz w:val="24"/>
        </w:rPr>
        <w:t>)</w:t>
      </w:r>
      <w:r w:rsidR="00140B25">
        <w:rPr>
          <w:sz w:val="24"/>
        </w:rPr>
        <w:t>,</w:t>
      </w:r>
    </w:p>
    <w:p w:rsidR="00244FF3" w:rsidP="00746D0C" w14:paraId="26C71FB2" w14:textId="77777777">
      <w:pPr>
        <w:ind w:left="720"/>
        <w:rPr>
          <w:sz w:val="24"/>
        </w:rPr>
      </w:pPr>
    </w:p>
    <w:p w:rsidR="00DA2CC0" w:rsidP="00B370A4" w14:paraId="4017C2D6" w14:textId="77777777">
      <w:pPr>
        <w:numPr>
          <w:ilvl w:val="0"/>
          <w:numId w:val="9"/>
        </w:numPr>
        <w:rPr>
          <w:sz w:val="24"/>
        </w:rPr>
      </w:pPr>
      <w:r>
        <w:rPr>
          <w:sz w:val="24"/>
        </w:rPr>
        <w:t>A</w:t>
      </w:r>
      <w:r w:rsidRPr="00393C61" w:rsidR="00393C61">
        <w:rPr>
          <w:sz w:val="24"/>
        </w:rPr>
        <w:t xml:space="preserve"> description of how </w:t>
      </w:r>
      <w:r w:rsidR="009B4D7D">
        <w:rPr>
          <w:sz w:val="24"/>
        </w:rPr>
        <w:t xml:space="preserve">the employer informed </w:t>
      </w:r>
      <w:r w:rsidR="00875CCC">
        <w:rPr>
          <w:sz w:val="24"/>
        </w:rPr>
        <w:t xml:space="preserve">affected </w:t>
      </w:r>
      <w:r w:rsidR="00140B25">
        <w:rPr>
          <w:sz w:val="24"/>
        </w:rPr>
        <w:t>workers</w:t>
      </w:r>
      <w:r w:rsidRPr="00393C61" w:rsidR="00393C61">
        <w:rPr>
          <w:sz w:val="24"/>
        </w:rPr>
        <w:t xml:space="preserve"> of the application and</w:t>
      </w:r>
      <w:r w:rsidR="00F569D2">
        <w:rPr>
          <w:sz w:val="24"/>
        </w:rPr>
        <w:t xml:space="preserve"> </w:t>
      </w:r>
      <w:r w:rsidRPr="00393C61" w:rsidR="00393C61">
        <w:rPr>
          <w:sz w:val="24"/>
        </w:rPr>
        <w:t>their right</w:t>
      </w:r>
      <w:r w:rsidR="00875CCC">
        <w:rPr>
          <w:sz w:val="24"/>
        </w:rPr>
        <w:t xml:space="preserve"> </w:t>
      </w:r>
      <w:r w:rsidRPr="00393C61" w:rsidR="00393C61">
        <w:rPr>
          <w:sz w:val="24"/>
        </w:rPr>
        <w:t xml:space="preserve">to petition </w:t>
      </w:r>
      <w:r w:rsidR="009B4D7D">
        <w:rPr>
          <w:sz w:val="24"/>
        </w:rPr>
        <w:t xml:space="preserve">OSHA </w:t>
      </w:r>
      <w:r w:rsidRPr="00393C61" w:rsidR="00393C61">
        <w:rPr>
          <w:sz w:val="24"/>
        </w:rPr>
        <w:t>for a hea</w:t>
      </w:r>
      <w:r w:rsidR="0052400F">
        <w:rPr>
          <w:sz w:val="24"/>
        </w:rPr>
        <w:t>ring (</w:t>
      </w:r>
      <w:r w:rsidRPr="00393C61" w:rsidR="0052400F">
        <w:rPr>
          <w:sz w:val="24"/>
        </w:rPr>
        <w:t>1905.11(b)(7)</w:t>
      </w:r>
      <w:r w:rsidR="0052400F">
        <w:rPr>
          <w:sz w:val="24"/>
        </w:rPr>
        <w:t>)</w:t>
      </w:r>
      <w:r w:rsidR="00140B25">
        <w:rPr>
          <w:sz w:val="24"/>
        </w:rPr>
        <w:t>,</w:t>
      </w:r>
    </w:p>
    <w:p w:rsidR="00244FF3" w:rsidP="00746D0C" w14:paraId="6A9A570B" w14:textId="77777777">
      <w:pPr>
        <w:ind w:left="720"/>
        <w:rPr>
          <w:sz w:val="24"/>
        </w:rPr>
      </w:pPr>
    </w:p>
    <w:p w:rsidR="00393C61" w:rsidRPr="00393C61" w:rsidP="00B370A4" w14:paraId="3E0A2FE4" w14:textId="77777777">
      <w:pPr>
        <w:numPr>
          <w:ilvl w:val="0"/>
          <w:numId w:val="9"/>
        </w:numPr>
        <w:rPr>
          <w:sz w:val="24"/>
        </w:rPr>
      </w:pPr>
      <w:r>
        <w:rPr>
          <w:sz w:val="24"/>
        </w:rPr>
        <w:t>For a</w:t>
      </w:r>
      <w:r w:rsidRPr="00393C61">
        <w:rPr>
          <w:sz w:val="24"/>
        </w:rPr>
        <w:t xml:space="preserve"> variance </w:t>
      </w:r>
      <w:r>
        <w:rPr>
          <w:sz w:val="24"/>
        </w:rPr>
        <w:t xml:space="preserve">that is </w:t>
      </w:r>
      <w:r w:rsidRPr="00393C61">
        <w:rPr>
          <w:sz w:val="24"/>
        </w:rPr>
        <w:t>applicable to employment or places of</w:t>
      </w:r>
      <w:r>
        <w:rPr>
          <w:sz w:val="24"/>
        </w:rPr>
        <w:t xml:space="preserve"> </w:t>
      </w:r>
      <w:r w:rsidRPr="00393C61">
        <w:rPr>
          <w:sz w:val="24"/>
        </w:rPr>
        <w:t>employment in more</w:t>
      </w:r>
      <w:r>
        <w:rPr>
          <w:sz w:val="24"/>
        </w:rPr>
        <w:t xml:space="preserve"> </w:t>
      </w:r>
      <w:r w:rsidRPr="00393C61">
        <w:rPr>
          <w:sz w:val="24"/>
        </w:rPr>
        <w:t>than one</w:t>
      </w:r>
      <w:r w:rsidR="00F569D2">
        <w:rPr>
          <w:sz w:val="24"/>
        </w:rPr>
        <w:t xml:space="preserve"> </w:t>
      </w:r>
      <w:r w:rsidRPr="00393C61">
        <w:rPr>
          <w:sz w:val="24"/>
        </w:rPr>
        <w:t>State, including at least one State with a State plan</w:t>
      </w:r>
      <w:r>
        <w:rPr>
          <w:sz w:val="24"/>
        </w:rPr>
        <w:t xml:space="preserve"> </w:t>
      </w:r>
      <w:r w:rsidRPr="00393C61">
        <w:rPr>
          <w:sz w:val="24"/>
        </w:rPr>
        <w:t xml:space="preserve">approved under </w:t>
      </w:r>
      <w:r w:rsidR="009B4D7D">
        <w:rPr>
          <w:sz w:val="24"/>
        </w:rPr>
        <w:t>S</w:t>
      </w:r>
      <w:r w:rsidRPr="00393C61">
        <w:rPr>
          <w:sz w:val="24"/>
        </w:rPr>
        <w:t>ection 18 of</w:t>
      </w:r>
      <w:r w:rsidR="00E322A2">
        <w:rPr>
          <w:sz w:val="24"/>
        </w:rPr>
        <w:t xml:space="preserve"> </w:t>
      </w:r>
      <w:r w:rsidRPr="00393C61">
        <w:rPr>
          <w:sz w:val="24"/>
        </w:rPr>
        <w:t xml:space="preserve">the </w:t>
      </w:r>
      <w:r w:rsidR="00407C34">
        <w:rPr>
          <w:sz w:val="24"/>
        </w:rPr>
        <w:t xml:space="preserve">OSH </w:t>
      </w:r>
      <w:r w:rsidRPr="00393C61">
        <w:rPr>
          <w:sz w:val="24"/>
        </w:rPr>
        <w:t>Act,</w:t>
      </w:r>
      <w:r w:rsidR="00F569D2">
        <w:rPr>
          <w:sz w:val="24"/>
        </w:rPr>
        <w:t xml:space="preserve"> </w:t>
      </w:r>
      <w:r w:rsidRPr="00393C61">
        <w:rPr>
          <w:sz w:val="24"/>
        </w:rPr>
        <w:t>and involves a standard, or portion thereof,</w:t>
      </w:r>
      <w:r>
        <w:rPr>
          <w:sz w:val="24"/>
        </w:rPr>
        <w:t xml:space="preserve"> </w:t>
      </w:r>
      <w:r w:rsidRPr="00393C61">
        <w:rPr>
          <w:sz w:val="24"/>
        </w:rPr>
        <w:t>identical to a State sta</w:t>
      </w:r>
      <w:r w:rsidR="0052400F">
        <w:rPr>
          <w:sz w:val="24"/>
        </w:rPr>
        <w:t>ndard</w:t>
      </w:r>
      <w:r w:rsidR="00E322A2">
        <w:rPr>
          <w:sz w:val="24"/>
        </w:rPr>
        <w:t xml:space="preserve"> </w:t>
      </w:r>
      <w:r w:rsidR="0052400F">
        <w:rPr>
          <w:sz w:val="24"/>
        </w:rPr>
        <w:t>effective under</w:t>
      </w:r>
      <w:r w:rsidR="00F569D2">
        <w:rPr>
          <w:sz w:val="24"/>
        </w:rPr>
        <w:t xml:space="preserve"> </w:t>
      </w:r>
      <w:r w:rsidR="0052400F">
        <w:rPr>
          <w:sz w:val="24"/>
        </w:rPr>
        <w:t>such plan (</w:t>
      </w:r>
      <w:r w:rsidRPr="00393C61" w:rsidR="0052400F">
        <w:rPr>
          <w:sz w:val="24"/>
        </w:rPr>
        <w:t>1905.11(b)(8)</w:t>
      </w:r>
      <w:r w:rsidR="0052400F">
        <w:rPr>
          <w:sz w:val="24"/>
        </w:rPr>
        <w:t>)</w:t>
      </w:r>
      <w:r w:rsidR="00312F44">
        <w:rPr>
          <w:sz w:val="24"/>
        </w:rPr>
        <w:t xml:space="preserve">, </w:t>
      </w:r>
      <w:r>
        <w:rPr>
          <w:sz w:val="24"/>
        </w:rPr>
        <w:t>p</w:t>
      </w:r>
      <w:r w:rsidR="00312F44">
        <w:rPr>
          <w:sz w:val="24"/>
        </w:rPr>
        <w:t>rovide:  (1) a</w:t>
      </w:r>
      <w:r>
        <w:rPr>
          <w:sz w:val="24"/>
        </w:rPr>
        <w:t xml:space="preserve"> </w:t>
      </w:r>
      <w:r w:rsidRPr="00393C61">
        <w:rPr>
          <w:sz w:val="24"/>
        </w:rPr>
        <w:t>side-by-side comparison of</w:t>
      </w:r>
      <w:r w:rsidR="00E322A2">
        <w:rPr>
          <w:sz w:val="24"/>
        </w:rPr>
        <w:t xml:space="preserve"> </w:t>
      </w:r>
      <w:r w:rsidRPr="00393C61">
        <w:rPr>
          <w:sz w:val="24"/>
        </w:rPr>
        <w:t xml:space="preserve">the Federal </w:t>
      </w:r>
      <w:r w:rsidR="009B4D7D">
        <w:rPr>
          <w:sz w:val="24"/>
        </w:rPr>
        <w:t>OSHA</w:t>
      </w:r>
      <w:r w:rsidR="00F569D2">
        <w:rPr>
          <w:sz w:val="24"/>
        </w:rPr>
        <w:t xml:space="preserve"> </w:t>
      </w:r>
      <w:r w:rsidRPr="00393C61">
        <w:rPr>
          <w:sz w:val="24"/>
        </w:rPr>
        <w:t xml:space="preserve">standard, or portion thereof, </w:t>
      </w:r>
      <w:r w:rsidR="009B4D7D">
        <w:rPr>
          <w:sz w:val="24"/>
        </w:rPr>
        <w:t xml:space="preserve">and </w:t>
      </w:r>
      <w:r w:rsidRPr="00393C61">
        <w:rPr>
          <w:sz w:val="24"/>
        </w:rPr>
        <w:t>the State standard, or portion thereof,</w:t>
      </w:r>
      <w:r w:rsidR="00E322A2">
        <w:rPr>
          <w:sz w:val="24"/>
        </w:rPr>
        <w:t xml:space="preserve"> </w:t>
      </w:r>
      <w:r w:rsidR="00312F44">
        <w:rPr>
          <w:sz w:val="24"/>
        </w:rPr>
        <w:t xml:space="preserve">that are </w:t>
      </w:r>
      <w:r w:rsidRPr="00393C61">
        <w:rPr>
          <w:sz w:val="24"/>
        </w:rPr>
        <w:t>identical in</w:t>
      </w:r>
      <w:r w:rsidR="00F569D2">
        <w:rPr>
          <w:sz w:val="24"/>
        </w:rPr>
        <w:t xml:space="preserve"> </w:t>
      </w:r>
      <w:r w:rsidRPr="00393C61">
        <w:rPr>
          <w:sz w:val="24"/>
        </w:rPr>
        <w:t>substance and req</w:t>
      </w:r>
      <w:r w:rsidR="0052400F">
        <w:rPr>
          <w:sz w:val="24"/>
        </w:rPr>
        <w:t>uirements</w:t>
      </w:r>
      <w:r w:rsidR="00312F44">
        <w:rPr>
          <w:sz w:val="24"/>
        </w:rPr>
        <w:t xml:space="preserve"> </w:t>
      </w:r>
      <w:r w:rsidR="0052400F">
        <w:rPr>
          <w:sz w:val="24"/>
        </w:rPr>
        <w:t>(</w:t>
      </w:r>
      <w:r w:rsidRPr="00393C61" w:rsidR="0052400F">
        <w:rPr>
          <w:sz w:val="24"/>
        </w:rPr>
        <w:t>1905.11(b)(8)(i)</w:t>
      </w:r>
      <w:r w:rsidR="0052400F">
        <w:rPr>
          <w:sz w:val="24"/>
        </w:rPr>
        <w:t xml:space="preserve">); </w:t>
      </w:r>
      <w:r w:rsidR="00312F44">
        <w:rPr>
          <w:sz w:val="24"/>
        </w:rPr>
        <w:t>(2) a</w:t>
      </w:r>
      <w:r w:rsidR="0052400F">
        <w:rPr>
          <w:sz w:val="24"/>
        </w:rPr>
        <w:t xml:space="preserve"> c</w:t>
      </w:r>
      <w:r w:rsidRPr="00393C61">
        <w:rPr>
          <w:sz w:val="24"/>
        </w:rPr>
        <w:t>ertification</w:t>
      </w:r>
      <w:r w:rsidR="00E322A2">
        <w:rPr>
          <w:sz w:val="24"/>
        </w:rPr>
        <w:t xml:space="preserve"> </w:t>
      </w:r>
      <w:r w:rsidRPr="00393C61">
        <w:rPr>
          <w:sz w:val="24"/>
        </w:rPr>
        <w:t>that</w:t>
      </w:r>
      <w:r>
        <w:rPr>
          <w:sz w:val="24"/>
        </w:rPr>
        <w:t xml:space="preserve"> </w:t>
      </w:r>
      <w:r w:rsidRPr="00393C61">
        <w:rPr>
          <w:sz w:val="24"/>
        </w:rPr>
        <w:t xml:space="preserve">the employer </w:t>
      </w:r>
      <w:r w:rsidR="003F49BA">
        <w:rPr>
          <w:sz w:val="24"/>
        </w:rPr>
        <w:t>has</w:t>
      </w:r>
      <w:r w:rsidR="00F569D2">
        <w:rPr>
          <w:sz w:val="24"/>
        </w:rPr>
        <w:t xml:space="preserve"> </w:t>
      </w:r>
      <w:r w:rsidRPr="00393C61">
        <w:rPr>
          <w:sz w:val="24"/>
        </w:rPr>
        <w:t>not filed for</w:t>
      </w:r>
      <w:r>
        <w:rPr>
          <w:sz w:val="24"/>
        </w:rPr>
        <w:t xml:space="preserve"> </w:t>
      </w:r>
      <w:r w:rsidR="006D2222">
        <w:rPr>
          <w:sz w:val="24"/>
        </w:rPr>
        <w:t xml:space="preserve">a permanent </w:t>
      </w:r>
      <w:r w:rsidRPr="00393C61">
        <w:rPr>
          <w:sz w:val="24"/>
        </w:rPr>
        <w:t>variance on the same material facts</w:t>
      </w:r>
      <w:r w:rsidR="006D2222">
        <w:rPr>
          <w:sz w:val="24"/>
        </w:rPr>
        <w:t xml:space="preserve"> </w:t>
      </w:r>
      <w:r w:rsidRPr="00393C61">
        <w:rPr>
          <w:sz w:val="24"/>
        </w:rPr>
        <w:t>for the same</w:t>
      </w:r>
      <w:r w:rsidR="003F49BA">
        <w:rPr>
          <w:sz w:val="24"/>
        </w:rPr>
        <w:t xml:space="preserve"> </w:t>
      </w:r>
      <w:r w:rsidRPr="00393C61">
        <w:rPr>
          <w:sz w:val="24"/>
        </w:rPr>
        <w:t>employment or</w:t>
      </w:r>
      <w:r w:rsidR="00F569D2">
        <w:rPr>
          <w:sz w:val="24"/>
        </w:rPr>
        <w:t xml:space="preserve"> </w:t>
      </w:r>
      <w:r w:rsidRPr="00393C61">
        <w:rPr>
          <w:sz w:val="24"/>
        </w:rPr>
        <w:t>place of</w:t>
      </w:r>
      <w:r>
        <w:rPr>
          <w:sz w:val="24"/>
        </w:rPr>
        <w:t xml:space="preserve"> </w:t>
      </w:r>
      <w:r w:rsidRPr="00393C61">
        <w:rPr>
          <w:sz w:val="24"/>
        </w:rPr>
        <w:t>employment with any State authority</w:t>
      </w:r>
      <w:r w:rsidR="00E322A2">
        <w:rPr>
          <w:sz w:val="24"/>
        </w:rPr>
        <w:t xml:space="preserve"> </w:t>
      </w:r>
      <w:r w:rsidRPr="00393C61">
        <w:rPr>
          <w:sz w:val="24"/>
        </w:rPr>
        <w:t>having</w:t>
      </w:r>
      <w:r w:rsidR="006D2222">
        <w:rPr>
          <w:sz w:val="24"/>
        </w:rPr>
        <w:t xml:space="preserve"> </w:t>
      </w:r>
      <w:r w:rsidR="00407C34">
        <w:rPr>
          <w:sz w:val="24"/>
        </w:rPr>
        <w:t xml:space="preserve">jurisdiction </w:t>
      </w:r>
      <w:r w:rsidRPr="00393C61">
        <w:rPr>
          <w:sz w:val="24"/>
        </w:rPr>
        <w:t>under an</w:t>
      </w:r>
      <w:r w:rsidR="003F49BA">
        <w:rPr>
          <w:sz w:val="24"/>
        </w:rPr>
        <w:t xml:space="preserve"> </w:t>
      </w:r>
      <w:r w:rsidRPr="00393C61">
        <w:rPr>
          <w:sz w:val="24"/>
        </w:rPr>
        <w:t xml:space="preserve">approved </w:t>
      </w:r>
      <w:r w:rsidR="006D2222">
        <w:rPr>
          <w:sz w:val="24"/>
        </w:rPr>
        <w:t xml:space="preserve">State </w:t>
      </w:r>
      <w:r w:rsidRPr="00393C61">
        <w:rPr>
          <w:sz w:val="24"/>
        </w:rPr>
        <w:t>plan over</w:t>
      </w:r>
      <w:r>
        <w:rPr>
          <w:sz w:val="24"/>
        </w:rPr>
        <w:t xml:space="preserve"> </w:t>
      </w:r>
      <w:r w:rsidRPr="00393C61">
        <w:rPr>
          <w:sz w:val="24"/>
        </w:rPr>
        <w:t>any employment or place of</w:t>
      </w:r>
      <w:r w:rsidR="00E322A2">
        <w:rPr>
          <w:sz w:val="24"/>
        </w:rPr>
        <w:t xml:space="preserve"> </w:t>
      </w:r>
      <w:r w:rsidRPr="00393C61">
        <w:rPr>
          <w:sz w:val="24"/>
        </w:rPr>
        <w:t>employment covered in the</w:t>
      </w:r>
      <w:r w:rsidR="003F49BA">
        <w:rPr>
          <w:sz w:val="24"/>
        </w:rPr>
        <w:t xml:space="preserve"> </w:t>
      </w:r>
      <w:r w:rsidRPr="00393C61">
        <w:rPr>
          <w:sz w:val="24"/>
        </w:rPr>
        <w:t>application</w:t>
      </w:r>
      <w:r w:rsidR="0052400F">
        <w:rPr>
          <w:sz w:val="24"/>
        </w:rPr>
        <w:t xml:space="preserve"> </w:t>
      </w:r>
      <w:r w:rsidR="00312F44">
        <w:rPr>
          <w:sz w:val="24"/>
        </w:rPr>
        <w:t>(</w:t>
      </w:r>
      <w:r w:rsidRPr="00393C61" w:rsidR="0052400F">
        <w:rPr>
          <w:sz w:val="24"/>
        </w:rPr>
        <w:t>1905.11(b)(8)(ii)</w:t>
      </w:r>
      <w:r w:rsidR="0052400F">
        <w:rPr>
          <w:sz w:val="24"/>
        </w:rPr>
        <w:t>)</w:t>
      </w:r>
      <w:r w:rsidRPr="00393C61">
        <w:rPr>
          <w:sz w:val="24"/>
        </w:rPr>
        <w:t>;</w:t>
      </w:r>
      <w:r w:rsidR="00312F44">
        <w:rPr>
          <w:sz w:val="24"/>
        </w:rPr>
        <w:t xml:space="preserve"> and (3) a</w:t>
      </w:r>
      <w:r w:rsidRPr="00393C61">
        <w:rPr>
          <w:sz w:val="24"/>
        </w:rPr>
        <w:t xml:space="preserve"> </w:t>
      </w:r>
      <w:r w:rsidR="00184D7B">
        <w:rPr>
          <w:sz w:val="24"/>
        </w:rPr>
        <w:t>description</w:t>
      </w:r>
      <w:r>
        <w:rPr>
          <w:sz w:val="24"/>
        </w:rPr>
        <w:t xml:space="preserve">, </w:t>
      </w:r>
      <w:r w:rsidR="00184D7B">
        <w:rPr>
          <w:sz w:val="24"/>
        </w:rPr>
        <w:t xml:space="preserve">including </w:t>
      </w:r>
      <w:r w:rsidRPr="00393C61">
        <w:rPr>
          <w:sz w:val="24"/>
        </w:rPr>
        <w:t>identification</w:t>
      </w:r>
      <w:r w:rsidR="00184D7B">
        <w:rPr>
          <w:sz w:val="24"/>
        </w:rPr>
        <w:t>,</w:t>
      </w:r>
      <w:r w:rsidRPr="00393C61">
        <w:rPr>
          <w:sz w:val="24"/>
        </w:rPr>
        <w:t xml:space="preserve"> of </w:t>
      </w:r>
      <w:r w:rsidRPr="00393C61">
        <w:rPr>
          <w:sz w:val="24"/>
        </w:rPr>
        <w:t>any</w:t>
      </w:r>
      <w:r w:rsidR="00312F44">
        <w:rPr>
          <w:sz w:val="24"/>
        </w:rPr>
        <w:t xml:space="preserve"> </w:t>
      </w:r>
      <w:r>
        <w:rPr>
          <w:sz w:val="24"/>
        </w:rPr>
        <w:t>pending</w:t>
      </w:r>
      <w:r w:rsidR="003F49BA">
        <w:rPr>
          <w:sz w:val="24"/>
        </w:rPr>
        <w:t xml:space="preserve"> </w:t>
      </w:r>
      <w:r w:rsidRPr="00393C61">
        <w:rPr>
          <w:sz w:val="24"/>
        </w:rPr>
        <w:t>citation</w:t>
      </w:r>
      <w:r w:rsidR="00F569D2">
        <w:rPr>
          <w:sz w:val="24"/>
        </w:rPr>
        <w:t xml:space="preserve"> </w:t>
      </w:r>
      <w:r>
        <w:rPr>
          <w:sz w:val="24"/>
        </w:rPr>
        <w:t>issued</w:t>
      </w:r>
      <w:r w:rsidR="00184D7B">
        <w:rPr>
          <w:sz w:val="24"/>
        </w:rPr>
        <w:t xml:space="preserve"> </w:t>
      </w:r>
      <w:r w:rsidR="00312F44">
        <w:rPr>
          <w:sz w:val="24"/>
        </w:rPr>
        <w:t xml:space="preserve">to the employer </w:t>
      </w:r>
      <w:r w:rsidRPr="00393C61" w:rsidR="006D2222">
        <w:rPr>
          <w:sz w:val="24"/>
        </w:rPr>
        <w:t>for</w:t>
      </w:r>
      <w:r w:rsidR="006D2222">
        <w:rPr>
          <w:sz w:val="24"/>
        </w:rPr>
        <w:t xml:space="preserve"> </w:t>
      </w:r>
      <w:r w:rsidRPr="00393C61" w:rsidR="006D2222">
        <w:rPr>
          <w:sz w:val="24"/>
        </w:rPr>
        <w:t>violations of the State</w:t>
      </w:r>
      <w:r w:rsidR="006D2222">
        <w:rPr>
          <w:sz w:val="24"/>
        </w:rPr>
        <w:t xml:space="preserve"> </w:t>
      </w:r>
      <w:r w:rsidRPr="00393C61" w:rsidR="006D2222">
        <w:rPr>
          <w:sz w:val="24"/>
        </w:rPr>
        <w:t>standard, or portion</w:t>
      </w:r>
      <w:r w:rsidR="006D2222">
        <w:rPr>
          <w:sz w:val="24"/>
        </w:rPr>
        <w:t xml:space="preserve"> thereof, </w:t>
      </w:r>
      <w:r w:rsidR="00312F44">
        <w:rPr>
          <w:sz w:val="24"/>
        </w:rPr>
        <w:t>by</w:t>
      </w:r>
      <w:r w:rsidR="003F49BA">
        <w:rPr>
          <w:sz w:val="24"/>
        </w:rPr>
        <w:t xml:space="preserve"> a</w:t>
      </w:r>
      <w:r w:rsidRPr="00393C61" w:rsidR="00312F44">
        <w:rPr>
          <w:sz w:val="24"/>
        </w:rPr>
        <w:t>ny State</w:t>
      </w:r>
      <w:r w:rsidR="00F569D2">
        <w:rPr>
          <w:sz w:val="24"/>
        </w:rPr>
        <w:t xml:space="preserve"> </w:t>
      </w:r>
      <w:r w:rsidRPr="00393C61" w:rsidR="00312F44">
        <w:rPr>
          <w:sz w:val="24"/>
        </w:rPr>
        <w:t>authorit</w:t>
      </w:r>
      <w:r w:rsidR="00165DDA">
        <w:rPr>
          <w:sz w:val="24"/>
        </w:rPr>
        <w:t>y</w:t>
      </w:r>
      <w:r w:rsidR="006D2222">
        <w:rPr>
          <w:sz w:val="24"/>
        </w:rPr>
        <w:t xml:space="preserve"> </w:t>
      </w:r>
      <w:r w:rsidRPr="00393C61" w:rsidR="00312F44">
        <w:rPr>
          <w:sz w:val="24"/>
        </w:rPr>
        <w:t>enforcing</w:t>
      </w:r>
      <w:r w:rsidR="00165DDA">
        <w:rPr>
          <w:sz w:val="24"/>
        </w:rPr>
        <w:t xml:space="preserve"> the </w:t>
      </w:r>
      <w:r w:rsidRPr="00393C61" w:rsidR="00312F44">
        <w:rPr>
          <w:sz w:val="24"/>
        </w:rPr>
        <w:t>standard under</w:t>
      </w:r>
      <w:r>
        <w:rPr>
          <w:sz w:val="24"/>
        </w:rPr>
        <w:t xml:space="preserve"> a</w:t>
      </w:r>
      <w:r w:rsidRPr="00393C61" w:rsidR="00312F44">
        <w:rPr>
          <w:sz w:val="24"/>
        </w:rPr>
        <w:t xml:space="preserve"> </w:t>
      </w:r>
      <w:r w:rsidR="00165DDA">
        <w:rPr>
          <w:sz w:val="24"/>
        </w:rPr>
        <w:t>State</w:t>
      </w:r>
      <w:r w:rsidR="003F49BA">
        <w:rPr>
          <w:sz w:val="24"/>
        </w:rPr>
        <w:t xml:space="preserve"> </w:t>
      </w:r>
      <w:r w:rsidRPr="00393C61" w:rsidR="00312F44">
        <w:rPr>
          <w:sz w:val="24"/>
        </w:rPr>
        <w:t>plan</w:t>
      </w:r>
      <w:r>
        <w:rPr>
          <w:sz w:val="24"/>
        </w:rPr>
        <w:t xml:space="preserve"> </w:t>
      </w:r>
      <w:r w:rsidR="00DA3DF5">
        <w:rPr>
          <w:sz w:val="24"/>
        </w:rPr>
        <w:t>(</w:t>
      </w:r>
      <w:r w:rsidRPr="00393C61" w:rsidR="0052400F">
        <w:rPr>
          <w:sz w:val="24"/>
        </w:rPr>
        <w:t>1905.11(b)(8)(iii)</w:t>
      </w:r>
      <w:r w:rsidR="00DA3DF5">
        <w:rPr>
          <w:sz w:val="24"/>
        </w:rPr>
        <w:t>)</w:t>
      </w:r>
      <w:r w:rsidRPr="00393C61">
        <w:rPr>
          <w:sz w:val="24"/>
        </w:rPr>
        <w:t>.</w:t>
      </w:r>
    </w:p>
    <w:p w:rsidR="009D6C36" w:rsidP="009D6C36" w14:paraId="27DC1113" w14:textId="77777777">
      <w:pPr>
        <w:rPr>
          <w:i/>
          <w:sz w:val="24"/>
          <w:u w:val="single"/>
        </w:rPr>
      </w:pPr>
    </w:p>
    <w:p w:rsidR="009D6C36" w:rsidP="009D6C36" w14:paraId="4087D82D" w14:textId="77777777">
      <w:pPr>
        <w:rPr>
          <w:sz w:val="24"/>
        </w:rPr>
      </w:pPr>
      <w:r w:rsidRPr="00746D0C">
        <w:rPr>
          <w:b/>
          <w:i/>
          <w:sz w:val="24"/>
          <w:u w:val="single"/>
        </w:rPr>
        <w:t xml:space="preserve">Permanent variance </w:t>
      </w:r>
      <w:r w:rsidRPr="00746D0C" w:rsidR="00407C34">
        <w:rPr>
          <w:b/>
          <w:i/>
          <w:sz w:val="24"/>
          <w:u w:val="single"/>
        </w:rPr>
        <w:t>Interim Order Application</w:t>
      </w:r>
      <w:r w:rsidRPr="00E2423D">
        <w:rPr>
          <w:sz w:val="24"/>
          <w:u w:val="single"/>
        </w:rPr>
        <w:t>.</w:t>
      </w:r>
      <w:r w:rsidRPr="00E2423D">
        <w:rPr>
          <w:sz w:val="24"/>
        </w:rPr>
        <w:t xml:space="preserve">  Under 29 CFR 1905.1</w:t>
      </w:r>
      <w:r>
        <w:rPr>
          <w:sz w:val="24"/>
        </w:rPr>
        <w:t>1</w:t>
      </w:r>
      <w:r w:rsidRPr="00E2423D">
        <w:rPr>
          <w:sz w:val="24"/>
        </w:rPr>
        <w:t xml:space="preserve">(c)(1), employers may apply for an interim order. </w:t>
      </w:r>
      <w:r w:rsidR="00CF7F83">
        <w:rPr>
          <w:sz w:val="24"/>
        </w:rPr>
        <w:t xml:space="preserve"> </w:t>
      </w:r>
      <w:r w:rsidRPr="00E2423D">
        <w:rPr>
          <w:sz w:val="24"/>
        </w:rPr>
        <w:t>Such an application must provide OSHA with the following information:</w:t>
      </w:r>
    </w:p>
    <w:p w:rsidR="00244FF3" w:rsidP="009D6C36" w14:paraId="367CFAC2" w14:textId="77777777">
      <w:pPr>
        <w:rPr>
          <w:sz w:val="24"/>
        </w:rPr>
      </w:pPr>
    </w:p>
    <w:p w:rsidR="00CF7F83" w:rsidP="00B370A4" w14:paraId="73ACB818" w14:textId="77777777">
      <w:pPr>
        <w:numPr>
          <w:ilvl w:val="0"/>
          <w:numId w:val="10"/>
        </w:numPr>
        <w:rPr>
          <w:sz w:val="24"/>
        </w:rPr>
      </w:pPr>
      <w:r>
        <w:rPr>
          <w:sz w:val="24"/>
        </w:rPr>
        <w:t>A</w:t>
      </w:r>
      <w:r w:rsidRPr="00B430DE">
        <w:rPr>
          <w:sz w:val="24"/>
        </w:rPr>
        <w:t xml:space="preserve"> statement </w:t>
      </w:r>
      <w:r>
        <w:rPr>
          <w:sz w:val="24"/>
        </w:rPr>
        <w:t>requesting</w:t>
      </w:r>
      <w:r>
        <w:rPr>
          <w:color w:val="000000"/>
        </w:rPr>
        <w:t xml:space="preserve"> </w:t>
      </w:r>
      <w:r w:rsidRPr="0053353F">
        <w:rPr>
          <w:color w:val="000000"/>
          <w:sz w:val="24"/>
        </w:rPr>
        <w:t>a</w:t>
      </w:r>
      <w:r>
        <w:rPr>
          <w:color w:val="000000"/>
          <w:sz w:val="24"/>
        </w:rPr>
        <w:t>n interim order, and that the</w:t>
      </w:r>
      <w:r>
        <w:rPr>
          <w:sz w:val="24"/>
        </w:rPr>
        <w:t xml:space="preserve"> order</w:t>
      </w:r>
      <w:r w:rsidRPr="00162BEC">
        <w:rPr>
          <w:sz w:val="24"/>
        </w:rPr>
        <w:t xml:space="preserve"> be effective until a decision is rendered on the application for the </w:t>
      </w:r>
      <w:r>
        <w:rPr>
          <w:sz w:val="24"/>
        </w:rPr>
        <w:t xml:space="preserve">permanent </w:t>
      </w:r>
      <w:r w:rsidRPr="00162BEC">
        <w:rPr>
          <w:sz w:val="24"/>
        </w:rPr>
        <w:t>variance filed previously or concurrently</w:t>
      </w:r>
      <w:r w:rsidR="00144AAB">
        <w:rPr>
          <w:sz w:val="24"/>
        </w:rPr>
        <w:t>, and</w:t>
      </w:r>
    </w:p>
    <w:p w:rsidR="00244FF3" w:rsidP="00746D0C" w14:paraId="441F65D5" w14:textId="77777777">
      <w:pPr>
        <w:ind w:left="720"/>
        <w:rPr>
          <w:sz w:val="24"/>
        </w:rPr>
      </w:pPr>
    </w:p>
    <w:p w:rsidR="009D6C36" w:rsidRPr="00162BEC" w:rsidP="00B370A4" w14:paraId="039272A0" w14:textId="77777777">
      <w:pPr>
        <w:numPr>
          <w:ilvl w:val="0"/>
          <w:numId w:val="10"/>
        </w:numPr>
        <w:rPr>
          <w:sz w:val="24"/>
        </w:rPr>
      </w:pPr>
      <w:r>
        <w:rPr>
          <w:sz w:val="24"/>
        </w:rPr>
        <w:t xml:space="preserve">At the employer’s discretion, the </w:t>
      </w:r>
      <w:r w:rsidRPr="00162BEC">
        <w:rPr>
          <w:sz w:val="24"/>
        </w:rPr>
        <w:t xml:space="preserve">application for an interim order may include statements of fact and arguments as to why </w:t>
      </w:r>
      <w:r>
        <w:rPr>
          <w:sz w:val="24"/>
        </w:rPr>
        <w:t xml:space="preserve">OSHA should grant </w:t>
      </w:r>
      <w:r w:rsidRPr="00162BEC">
        <w:rPr>
          <w:sz w:val="24"/>
        </w:rPr>
        <w:t>the order.</w:t>
      </w:r>
    </w:p>
    <w:p w:rsidR="003F49BA" w:rsidP="00360200" w14:paraId="24441A3A" w14:textId="77777777">
      <w:pPr>
        <w:rPr>
          <w:sz w:val="24"/>
        </w:rPr>
      </w:pPr>
    </w:p>
    <w:p w:rsidR="00D95A92" w:rsidP="001E0E4F" w14:paraId="63AEDC17" w14:textId="77777777">
      <w:pPr>
        <w:rPr>
          <w:sz w:val="24"/>
        </w:rPr>
      </w:pPr>
      <w:r w:rsidRPr="00746D0C">
        <w:rPr>
          <w:b/>
          <w:i/>
          <w:sz w:val="24"/>
          <w:u w:val="single"/>
        </w:rPr>
        <w:t>National</w:t>
      </w:r>
      <w:r w:rsidRPr="00746D0C" w:rsidR="00407C34">
        <w:rPr>
          <w:b/>
          <w:i/>
          <w:sz w:val="24"/>
          <w:u w:val="single"/>
        </w:rPr>
        <w:t xml:space="preserve"> Defense </w:t>
      </w:r>
      <w:r w:rsidRPr="00746D0C" w:rsidR="001E0E4F">
        <w:rPr>
          <w:b/>
          <w:i/>
          <w:sz w:val="24"/>
          <w:u w:val="single"/>
        </w:rPr>
        <w:t>variance</w:t>
      </w:r>
      <w:r w:rsidR="006D2222">
        <w:rPr>
          <w:sz w:val="24"/>
          <w:u w:val="single"/>
        </w:rPr>
        <w:t>.</w:t>
      </w:r>
      <w:r w:rsidRPr="00B370A4" w:rsidR="006D2222">
        <w:rPr>
          <w:sz w:val="24"/>
        </w:rPr>
        <w:t xml:space="preserve">  </w:t>
      </w:r>
      <w:r w:rsidRPr="00B370A4" w:rsidR="004D7630">
        <w:rPr>
          <w:sz w:val="24"/>
        </w:rPr>
        <w:t xml:space="preserve">Under </w:t>
      </w:r>
      <w:r w:rsidRPr="00B370A4" w:rsidR="001E0E4F">
        <w:rPr>
          <w:sz w:val="24"/>
        </w:rPr>
        <w:t>29 CFR 1905.12</w:t>
      </w:r>
      <w:r w:rsidRPr="00B370A4" w:rsidR="004D7630">
        <w:rPr>
          <w:sz w:val="24"/>
        </w:rPr>
        <w:t>,</w:t>
      </w:r>
      <w:r w:rsidR="004D7630">
        <w:rPr>
          <w:sz w:val="24"/>
          <w:u w:val="single"/>
        </w:rPr>
        <w:t xml:space="preserve"> </w:t>
      </w:r>
      <w:r w:rsidRPr="00B430DE" w:rsidR="000A1CC3">
        <w:rPr>
          <w:sz w:val="24"/>
        </w:rPr>
        <w:t xml:space="preserve">employers </w:t>
      </w:r>
      <w:r w:rsidR="004D7630">
        <w:rPr>
          <w:sz w:val="24"/>
        </w:rPr>
        <w:t xml:space="preserve">must </w:t>
      </w:r>
      <w:r w:rsidRPr="00B430DE" w:rsidR="000A1CC3">
        <w:rPr>
          <w:sz w:val="24"/>
        </w:rPr>
        <w:t xml:space="preserve">provide </w:t>
      </w:r>
      <w:r w:rsidR="004D7630">
        <w:rPr>
          <w:sz w:val="24"/>
        </w:rPr>
        <w:t xml:space="preserve">OSHA with </w:t>
      </w:r>
      <w:r w:rsidRPr="00B430DE" w:rsidR="000A1CC3">
        <w:rPr>
          <w:sz w:val="24"/>
        </w:rPr>
        <w:t>the</w:t>
      </w:r>
      <w:r w:rsidR="001E0E4F">
        <w:rPr>
          <w:sz w:val="24"/>
        </w:rPr>
        <w:t xml:space="preserve"> following information </w:t>
      </w:r>
      <w:r w:rsidR="004D7630">
        <w:rPr>
          <w:sz w:val="24"/>
        </w:rPr>
        <w:t>when applying for this variance</w:t>
      </w:r>
      <w:r w:rsidR="001E0E4F">
        <w:rPr>
          <w:sz w:val="24"/>
        </w:rPr>
        <w:t>:</w:t>
      </w:r>
    </w:p>
    <w:p w:rsidR="00244FF3" w:rsidP="001E0E4F" w14:paraId="463E40F6" w14:textId="77777777">
      <w:pPr>
        <w:rPr>
          <w:sz w:val="24"/>
        </w:rPr>
      </w:pPr>
    </w:p>
    <w:p w:rsidR="00244FF3" w:rsidP="00B370A4" w14:paraId="5D4EF8B4" w14:textId="77777777">
      <w:pPr>
        <w:numPr>
          <w:ilvl w:val="0"/>
          <w:numId w:val="11"/>
        </w:numPr>
        <w:rPr>
          <w:sz w:val="24"/>
        </w:rPr>
      </w:pPr>
      <w:r w:rsidRPr="001E0E4F">
        <w:rPr>
          <w:sz w:val="24"/>
        </w:rPr>
        <w:t xml:space="preserve">The name and address of the </w:t>
      </w:r>
      <w:r w:rsidR="004D7630">
        <w:rPr>
          <w:sz w:val="24"/>
        </w:rPr>
        <w:t>employer</w:t>
      </w:r>
      <w:r>
        <w:rPr>
          <w:sz w:val="24"/>
        </w:rPr>
        <w:t xml:space="preserve"> (</w:t>
      </w:r>
      <w:r w:rsidRPr="001E0E4F">
        <w:rPr>
          <w:sz w:val="24"/>
        </w:rPr>
        <w:t>1905.12(b)(1)</w:t>
      </w:r>
      <w:r>
        <w:rPr>
          <w:sz w:val="24"/>
        </w:rPr>
        <w:t>)</w:t>
      </w:r>
      <w:r w:rsidR="00144AAB">
        <w:rPr>
          <w:sz w:val="24"/>
        </w:rPr>
        <w:t>,</w:t>
      </w:r>
    </w:p>
    <w:p w:rsidR="00D95A92" w:rsidP="00746D0C" w14:paraId="39A7FB57" w14:textId="77777777">
      <w:pPr>
        <w:ind w:left="720"/>
        <w:rPr>
          <w:sz w:val="24"/>
        </w:rPr>
      </w:pPr>
      <w:r>
        <w:rPr>
          <w:sz w:val="24"/>
        </w:rPr>
        <w:t xml:space="preserve"> </w:t>
      </w:r>
    </w:p>
    <w:p w:rsidR="00D95A92" w:rsidP="00B370A4" w14:paraId="7C620C4C" w14:textId="77777777">
      <w:pPr>
        <w:numPr>
          <w:ilvl w:val="0"/>
          <w:numId w:val="11"/>
        </w:numPr>
        <w:rPr>
          <w:sz w:val="24"/>
        </w:rPr>
      </w:pPr>
      <w:r>
        <w:rPr>
          <w:sz w:val="24"/>
        </w:rPr>
        <w:t>T</w:t>
      </w:r>
      <w:r w:rsidRPr="001E0E4F" w:rsidR="001E0E4F">
        <w:rPr>
          <w:sz w:val="24"/>
        </w:rPr>
        <w:t>he address of the place or places of employment involved</w:t>
      </w:r>
      <w:r w:rsidR="001E0E4F">
        <w:rPr>
          <w:sz w:val="24"/>
        </w:rPr>
        <w:t xml:space="preserve"> (</w:t>
      </w:r>
      <w:r w:rsidRPr="001E0E4F" w:rsidR="001E0E4F">
        <w:rPr>
          <w:sz w:val="24"/>
        </w:rPr>
        <w:t>1905.12(b)(2)</w:t>
      </w:r>
      <w:r w:rsidR="001E0E4F">
        <w:rPr>
          <w:sz w:val="24"/>
        </w:rPr>
        <w:t>)</w:t>
      </w:r>
      <w:r w:rsidR="00144AAB">
        <w:rPr>
          <w:sz w:val="24"/>
        </w:rPr>
        <w:t>,</w:t>
      </w:r>
    </w:p>
    <w:p w:rsidR="00244FF3" w:rsidRPr="001E0E4F" w:rsidP="00746D0C" w14:paraId="587EBBB1" w14:textId="77777777">
      <w:pPr>
        <w:ind w:left="720"/>
        <w:rPr>
          <w:sz w:val="24"/>
        </w:rPr>
      </w:pPr>
    </w:p>
    <w:p w:rsidR="00D95A92" w:rsidP="00B370A4" w14:paraId="10F3475A" w14:textId="77777777">
      <w:pPr>
        <w:numPr>
          <w:ilvl w:val="0"/>
          <w:numId w:val="11"/>
        </w:numPr>
        <w:rPr>
          <w:sz w:val="24"/>
        </w:rPr>
      </w:pPr>
      <w:r>
        <w:rPr>
          <w:sz w:val="24"/>
        </w:rPr>
        <w:t xml:space="preserve">The standard, or portion thereof, </w:t>
      </w:r>
      <w:r w:rsidRPr="001E0E4F" w:rsidR="001E0E4F">
        <w:rPr>
          <w:sz w:val="24"/>
        </w:rPr>
        <w:t xml:space="preserve">from which the </w:t>
      </w:r>
      <w:r>
        <w:rPr>
          <w:sz w:val="24"/>
        </w:rPr>
        <w:t xml:space="preserve">employer </w:t>
      </w:r>
      <w:r w:rsidRPr="001E0E4F" w:rsidR="001E0E4F">
        <w:rPr>
          <w:sz w:val="24"/>
        </w:rPr>
        <w:t>seeks a</w:t>
      </w:r>
      <w:r>
        <w:rPr>
          <w:sz w:val="24"/>
        </w:rPr>
        <w:t xml:space="preserve"> </w:t>
      </w:r>
      <w:r w:rsidRPr="001E0E4F" w:rsidR="001E0E4F">
        <w:rPr>
          <w:sz w:val="24"/>
        </w:rPr>
        <w:t>limitation, variation,</w:t>
      </w:r>
      <w:r w:rsidR="00360200">
        <w:rPr>
          <w:sz w:val="24"/>
        </w:rPr>
        <w:t xml:space="preserve"> </w:t>
      </w:r>
      <w:r w:rsidRPr="001E0E4F" w:rsidR="001E0E4F">
        <w:rPr>
          <w:sz w:val="24"/>
        </w:rPr>
        <w:t>tolerance, or exemption</w:t>
      </w:r>
      <w:r w:rsidR="000172E9">
        <w:rPr>
          <w:sz w:val="24"/>
        </w:rPr>
        <w:t xml:space="preserve"> (</w:t>
      </w:r>
      <w:r w:rsidRPr="001E0E4F" w:rsidR="000172E9">
        <w:rPr>
          <w:sz w:val="24"/>
        </w:rPr>
        <w:t>1905.12(b)(3)</w:t>
      </w:r>
      <w:r w:rsidR="000172E9">
        <w:rPr>
          <w:sz w:val="24"/>
        </w:rPr>
        <w:t>)</w:t>
      </w:r>
      <w:r w:rsidR="00144AAB">
        <w:rPr>
          <w:sz w:val="24"/>
        </w:rPr>
        <w:t>,</w:t>
      </w:r>
    </w:p>
    <w:p w:rsidR="00244FF3" w:rsidP="00746D0C" w14:paraId="6004F733" w14:textId="77777777">
      <w:pPr>
        <w:ind w:left="720"/>
        <w:rPr>
          <w:sz w:val="24"/>
        </w:rPr>
      </w:pPr>
    </w:p>
    <w:p w:rsidR="00D95A92" w:rsidP="00B370A4" w14:paraId="398C3F83" w14:textId="77777777">
      <w:pPr>
        <w:numPr>
          <w:ilvl w:val="0"/>
          <w:numId w:val="11"/>
        </w:numPr>
        <w:rPr>
          <w:sz w:val="24"/>
        </w:rPr>
      </w:pPr>
      <w:r>
        <w:rPr>
          <w:sz w:val="24"/>
        </w:rPr>
        <w:t>A</w:t>
      </w:r>
      <w:r w:rsidRPr="001E0E4F" w:rsidR="001E0E4F">
        <w:rPr>
          <w:sz w:val="24"/>
        </w:rPr>
        <w:t xml:space="preserve"> </w:t>
      </w:r>
      <w:r w:rsidR="009F0FD6">
        <w:rPr>
          <w:sz w:val="24"/>
        </w:rPr>
        <w:t xml:space="preserve">statement </w:t>
      </w:r>
      <w:r w:rsidRPr="001E0E4F" w:rsidR="001E0E4F">
        <w:rPr>
          <w:sz w:val="24"/>
        </w:rPr>
        <w:t>showing that the limitation, variation, tolerance, or exemption sought</w:t>
      </w:r>
      <w:r w:rsidR="009F0FD6">
        <w:rPr>
          <w:sz w:val="24"/>
        </w:rPr>
        <w:t xml:space="preserve"> </w:t>
      </w:r>
      <w:r w:rsidRPr="001E0E4F" w:rsidR="001E0E4F">
        <w:rPr>
          <w:sz w:val="24"/>
        </w:rPr>
        <w:t>is</w:t>
      </w:r>
      <w:r w:rsidR="009F0FD6">
        <w:rPr>
          <w:sz w:val="24"/>
        </w:rPr>
        <w:t xml:space="preserve"> </w:t>
      </w:r>
      <w:r w:rsidRPr="001E0E4F" w:rsidR="001E0E4F">
        <w:rPr>
          <w:sz w:val="24"/>
        </w:rPr>
        <w:t>necessary and proper to avoid serious impairment of the national defense</w:t>
      </w:r>
      <w:r w:rsidR="009F0FD6">
        <w:rPr>
          <w:sz w:val="24"/>
        </w:rPr>
        <w:t xml:space="preserve"> </w:t>
      </w:r>
      <w:r w:rsidR="00E438B6">
        <w:rPr>
          <w:sz w:val="24"/>
        </w:rPr>
        <w:t>(</w:t>
      </w:r>
      <w:r w:rsidRPr="001E0E4F" w:rsidR="00E438B6">
        <w:rPr>
          <w:sz w:val="24"/>
        </w:rPr>
        <w:t>1905.12(b)(4)</w:t>
      </w:r>
      <w:r w:rsidR="00E438B6">
        <w:rPr>
          <w:sz w:val="24"/>
        </w:rPr>
        <w:t>)</w:t>
      </w:r>
      <w:r w:rsidR="00144AAB">
        <w:rPr>
          <w:sz w:val="24"/>
        </w:rPr>
        <w:t>,</w:t>
      </w:r>
    </w:p>
    <w:p w:rsidR="00244FF3" w:rsidP="00746D0C" w14:paraId="546D5237" w14:textId="77777777">
      <w:pPr>
        <w:ind w:left="720"/>
        <w:rPr>
          <w:sz w:val="24"/>
        </w:rPr>
      </w:pPr>
    </w:p>
    <w:p w:rsidR="00D95A92" w:rsidP="00B370A4" w14:paraId="00F7E8B8" w14:textId="77777777">
      <w:pPr>
        <w:numPr>
          <w:ilvl w:val="0"/>
          <w:numId w:val="11"/>
        </w:numPr>
        <w:rPr>
          <w:sz w:val="24"/>
        </w:rPr>
      </w:pPr>
      <w:r>
        <w:rPr>
          <w:sz w:val="24"/>
        </w:rPr>
        <w:t>A</w:t>
      </w:r>
      <w:r w:rsidRPr="001E0E4F" w:rsidR="001E0E4F">
        <w:rPr>
          <w:sz w:val="24"/>
        </w:rPr>
        <w:t>ny request for a hearing</w:t>
      </w:r>
      <w:r w:rsidR="00CF7F83">
        <w:rPr>
          <w:sz w:val="24"/>
        </w:rPr>
        <w:t xml:space="preserve"> </w:t>
      </w:r>
      <w:r w:rsidR="00E438B6">
        <w:rPr>
          <w:sz w:val="24"/>
        </w:rPr>
        <w:t>(</w:t>
      </w:r>
      <w:r w:rsidRPr="001E0E4F" w:rsidR="00E438B6">
        <w:rPr>
          <w:sz w:val="24"/>
        </w:rPr>
        <w:t>1905.12(b)(5)</w:t>
      </w:r>
      <w:r w:rsidR="00E438B6">
        <w:rPr>
          <w:sz w:val="24"/>
        </w:rPr>
        <w:t>)</w:t>
      </w:r>
      <w:r w:rsidR="00144AAB">
        <w:rPr>
          <w:sz w:val="24"/>
        </w:rPr>
        <w:t>, and</w:t>
      </w:r>
    </w:p>
    <w:p w:rsidR="00244FF3" w:rsidP="00746D0C" w14:paraId="41A77B10" w14:textId="77777777">
      <w:pPr>
        <w:ind w:left="720"/>
        <w:rPr>
          <w:sz w:val="24"/>
        </w:rPr>
      </w:pPr>
    </w:p>
    <w:p w:rsidR="000A1CC3" w:rsidRPr="009E1B70" w:rsidP="00B370A4" w14:paraId="5128F2B3" w14:textId="77777777">
      <w:pPr>
        <w:numPr>
          <w:ilvl w:val="0"/>
          <w:numId w:val="11"/>
        </w:numPr>
        <w:rPr>
          <w:sz w:val="24"/>
        </w:rPr>
      </w:pPr>
      <w:r>
        <w:rPr>
          <w:sz w:val="24"/>
        </w:rPr>
        <w:t>A</w:t>
      </w:r>
      <w:r w:rsidRPr="001E0E4F" w:rsidR="001E0E4F">
        <w:rPr>
          <w:sz w:val="24"/>
        </w:rPr>
        <w:t xml:space="preserve"> description of how </w:t>
      </w:r>
      <w:r w:rsidR="009F0FD6">
        <w:rPr>
          <w:sz w:val="24"/>
        </w:rPr>
        <w:t xml:space="preserve">the employer informed </w:t>
      </w:r>
      <w:r w:rsidR="00875CCC">
        <w:rPr>
          <w:sz w:val="24"/>
        </w:rPr>
        <w:t xml:space="preserve">affected </w:t>
      </w:r>
      <w:r w:rsidR="00506280">
        <w:rPr>
          <w:sz w:val="24"/>
        </w:rPr>
        <w:t>employee</w:t>
      </w:r>
      <w:r w:rsidRPr="001E0E4F" w:rsidR="001E0E4F">
        <w:rPr>
          <w:sz w:val="24"/>
        </w:rPr>
        <w:t xml:space="preserve">s </w:t>
      </w:r>
      <w:r w:rsidR="00E84F3E">
        <w:rPr>
          <w:sz w:val="24"/>
        </w:rPr>
        <w:t>the application and of</w:t>
      </w:r>
      <w:r w:rsidR="00875CCC">
        <w:rPr>
          <w:sz w:val="24"/>
        </w:rPr>
        <w:t xml:space="preserve"> </w:t>
      </w:r>
      <w:r w:rsidR="00E84F3E">
        <w:rPr>
          <w:sz w:val="24"/>
        </w:rPr>
        <w:t>their</w:t>
      </w:r>
      <w:r w:rsidR="00360200">
        <w:rPr>
          <w:sz w:val="24"/>
        </w:rPr>
        <w:t xml:space="preserve"> </w:t>
      </w:r>
      <w:r w:rsidRPr="001E0E4F" w:rsidR="001E0E4F">
        <w:rPr>
          <w:sz w:val="24"/>
        </w:rPr>
        <w:t xml:space="preserve">right to petition </w:t>
      </w:r>
      <w:r w:rsidR="009F0FD6">
        <w:rPr>
          <w:sz w:val="24"/>
        </w:rPr>
        <w:t xml:space="preserve">OSHA </w:t>
      </w:r>
      <w:r w:rsidRPr="001E0E4F" w:rsidR="001E0E4F">
        <w:rPr>
          <w:sz w:val="24"/>
        </w:rPr>
        <w:t>for a hearing</w:t>
      </w:r>
      <w:r w:rsidR="00E438B6">
        <w:rPr>
          <w:sz w:val="24"/>
        </w:rPr>
        <w:t xml:space="preserve"> (</w:t>
      </w:r>
      <w:r w:rsidRPr="001E0E4F" w:rsidR="00E438B6">
        <w:rPr>
          <w:sz w:val="24"/>
        </w:rPr>
        <w:t>1905.12(b)(6)</w:t>
      </w:r>
      <w:r w:rsidR="00E438B6">
        <w:rPr>
          <w:sz w:val="24"/>
        </w:rPr>
        <w:t>)</w:t>
      </w:r>
      <w:r w:rsidR="001E0E4F">
        <w:rPr>
          <w:sz w:val="24"/>
        </w:rPr>
        <w:t>.</w:t>
      </w:r>
    </w:p>
    <w:p w:rsidR="00FD2FE2" w:rsidP="009F0FD6" w14:paraId="2AF392D2" w14:textId="77777777">
      <w:pPr>
        <w:rPr>
          <w:sz w:val="24"/>
        </w:rPr>
      </w:pPr>
    </w:p>
    <w:p w:rsidR="000B62D6" w:rsidP="000B62D6" w14:paraId="5D545B4D" w14:textId="77777777">
      <w:pPr>
        <w:rPr>
          <w:sz w:val="24"/>
        </w:rPr>
      </w:pPr>
      <w:r w:rsidRPr="00746D0C">
        <w:rPr>
          <w:b/>
          <w:i/>
          <w:sz w:val="24"/>
          <w:u w:val="single"/>
        </w:rPr>
        <w:t>National</w:t>
      </w:r>
      <w:r w:rsidRPr="00746D0C" w:rsidR="00407C34">
        <w:rPr>
          <w:b/>
          <w:i/>
          <w:sz w:val="24"/>
          <w:u w:val="single"/>
        </w:rPr>
        <w:t xml:space="preserve"> Defense </w:t>
      </w:r>
      <w:r w:rsidRPr="00746D0C">
        <w:rPr>
          <w:b/>
          <w:i/>
          <w:sz w:val="24"/>
          <w:u w:val="single"/>
        </w:rPr>
        <w:t xml:space="preserve">variance </w:t>
      </w:r>
      <w:r w:rsidRPr="00746D0C" w:rsidR="00407C34">
        <w:rPr>
          <w:b/>
          <w:i/>
          <w:sz w:val="24"/>
          <w:u w:val="single"/>
        </w:rPr>
        <w:t>I</w:t>
      </w:r>
      <w:r w:rsidRPr="00746D0C">
        <w:rPr>
          <w:b/>
          <w:i/>
          <w:sz w:val="24"/>
          <w:u w:val="single"/>
        </w:rPr>
        <w:t>nterim</w:t>
      </w:r>
      <w:r w:rsidRPr="00746D0C" w:rsidR="00407C34">
        <w:rPr>
          <w:b/>
          <w:i/>
          <w:sz w:val="24"/>
          <w:u w:val="single"/>
        </w:rPr>
        <w:t xml:space="preserve"> Order Application</w:t>
      </w:r>
      <w:r w:rsidRPr="00E2423D">
        <w:rPr>
          <w:sz w:val="24"/>
          <w:u w:val="single"/>
        </w:rPr>
        <w:t>.</w:t>
      </w:r>
      <w:r w:rsidRPr="00E2423D">
        <w:rPr>
          <w:sz w:val="24"/>
        </w:rPr>
        <w:t xml:space="preserve">  Under 29 CFR 1905.1</w:t>
      </w:r>
      <w:r>
        <w:rPr>
          <w:sz w:val="24"/>
        </w:rPr>
        <w:t>2</w:t>
      </w:r>
      <w:r w:rsidRPr="00E2423D">
        <w:rPr>
          <w:sz w:val="24"/>
        </w:rPr>
        <w:t xml:space="preserve">(c)(1), employers may apply for an interim order. </w:t>
      </w:r>
      <w:r w:rsidR="00CF7F83">
        <w:rPr>
          <w:sz w:val="24"/>
        </w:rPr>
        <w:t xml:space="preserve"> </w:t>
      </w:r>
      <w:r w:rsidRPr="00E2423D">
        <w:rPr>
          <w:sz w:val="24"/>
        </w:rPr>
        <w:t>Such an application must provide OSHA with the following information:</w:t>
      </w:r>
    </w:p>
    <w:p w:rsidR="00244FF3" w:rsidRPr="00E2423D" w:rsidP="000B62D6" w14:paraId="083F9116" w14:textId="77777777">
      <w:pPr>
        <w:rPr>
          <w:sz w:val="24"/>
        </w:rPr>
      </w:pPr>
    </w:p>
    <w:p w:rsidR="00244FF3" w:rsidP="00244FF3" w14:paraId="09ADB2FE" w14:textId="3DF36600">
      <w:pPr>
        <w:numPr>
          <w:ilvl w:val="0"/>
          <w:numId w:val="12"/>
        </w:numPr>
        <w:rPr>
          <w:sz w:val="24"/>
        </w:rPr>
      </w:pPr>
      <w:r>
        <w:rPr>
          <w:sz w:val="24"/>
        </w:rPr>
        <w:t>A</w:t>
      </w:r>
      <w:r w:rsidRPr="00B430DE">
        <w:rPr>
          <w:sz w:val="24"/>
        </w:rPr>
        <w:t xml:space="preserve"> statement </w:t>
      </w:r>
      <w:r>
        <w:rPr>
          <w:sz w:val="24"/>
        </w:rPr>
        <w:t>requesting</w:t>
      </w:r>
      <w:r>
        <w:rPr>
          <w:color w:val="000000"/>
        </w:rPr>
        <w:t xml:space="preserve"> </w:t>
      </w:r>
      <w:r w:rsidRPr="0053353F">
        <w:rPr>
          <w:color w:val="000000"/>
          <w:sz w:val="24"/>
        </w:rPr>
        <w:t>a</w:t>
      </w:r>
      <w:r>
        <w:rPr>
          <w:color w:val="000000"/>
          <w:sz w:val="24"/>
        </w:rPr>
        <w:t>n interim order</w:t>
      </w:r>
      <w:r w:rsidR="00CF7F83">
        <w:rPr>
          <w:color w:val="000000"/>
          <w:sz w:val="24"/>
        </w:rPr>
        <w:t xml:space="preserve"> and that the order </w:t>
      </w:r>
      <w:r w:rsidR="009429B5">
        <w:rPr>
          <w:color w:val="000000"/>
          <w:sz w:val="24"/>
        </w:rPr>
        <w:t xml:space="preserve">be </w:t>
      </w:r>
      <w:r w:rsidRPr="00162BEC">
        <w:rPr>
          <w:sz w:val="24"/>
        </w:rPr>
        <w:t xml:space="preserve">effective until a decision is rendered on the application for the </w:t>
      </w:r>
      <w:r w:rsidR="00CF7F83">
        <w:rPr>
          <w:sz w:val="24"/>
        </w:rPr>
        <w:t>n</w:t>
      </w:r>
      <w:r w:rsidR="005D45C3">
        <w:rPr>
          <w:sz w:val="24"/>
        </w:rPr>
        <w:t>ational</w:t>
      </w:r>
      <w:r w:rsidR="00144AAB">
        <w:rPr>
          <w:sz w:val="24"/>
        </w:rPr>
        <w:t xml:space="preserve"> </w:t>
      </w:r>
      <w:r w:rsidR="00CF7F83">
        <w:rPr>
          <w:sz w:val="24"/>
        </w:rPr>
        <w:t>d</w:t>
      </w:r>
      <w:r w:rsidR="005D45C3">
        <w:rPr>
          <w:sz w:val="24"/>
        </w:rPr>
        <w:t>efense</w:t>
      </w:r>
      <w:r>
        <w:rPr>
          <w:sz w:val="24"/>
        </w:rPr>
        <w:t xml:space="preserve"> </w:t>
      </w:r>
      <w:r w:rsidRPr="00162BEC">
        <w:rPr>
          <w:sz w:val="24"/>
        </w:rPr>
        <w:t>variance filed previously or concurrently</w:t>
      </w:r>
      <w:r w:rsidR="00144AAB">
        <w:rPr>
          <w:sz w:val="24"/>
        </w:rPr>
        <w:t>, and</w:t>
      </w:r>
    </w:p>
    <w:p w:rsidR="00244FF3" w:rsidRPr="00244FF3" w:rsidP="00746D0C" w14:paraId="67B85E03" w14:textId="77777777">
      <w:pPr>
        <w:ind w:left="720"/>
        <w:rPr>
          <w:sz w:val="24"/>
        </w:rPr>
      </w:pPr>
    </w:p>
    <w:p w:rsidR="000B62D6" w:rsidP="00B370A4" w14:paraId="26FB8B95" w14:textId="77777777">
      <w:pPr>
        <w:numPr>
          <w:ilvl w:val="0"/>
          <w:numId w:val="12"/>
        </w:numPr>
        <w:rPr>
          <w:noProof/>
          <w:sz w:val="24"/>
        </w:rPr>
      </w:pPr>
      <w:r>
        <w:rPr>
          <w:sz w:val="24"/>
        </w:rPr>
        <w:t>At the employer’s discretion, the</w:t>
      </w:r>
      <w:r w:rsidRPr="00162BEC">
        <w:rPr>
          <w:sz w:val="24"/>
        </w:rPr>
        <w:t xml:space="preserve"> application for an interim order may include statements of fact and arguments as to why </w:t>
      </w:r>
      <w:r>
        <w:rPr>
          <w:sz w:val="24"/>
        </w:rPr>
        <w:t xml:space="preserve">OSHA should grant </w:t>
      </w:r>
      <w:r w:rsidRPr="00162BEC">
        <w:rPr>
          <w:sz w:val="24"/>
        </w:rPr>
        <w:t>the order.</w:t>
      </w:r>
    </w:p>
    <w:p w:rsidR="000B62D6" w:rsidP="00FD2FE2" w14:paraId="1B269B96" w14:textId="77777777">
      <w:pPr>
        <w:rPr>
          <w:noProof/>
          <w:sz w:val="24"/>
        </w:rPr>
      </w:pPr>
    </w:p>
    <w:p w:rsidR="00144AAB" w:rsidRPr="00AC6A84" w:rsidP="00FD2FE2" w14:paraId="332B95C5" w14:textId="57D2A6D5">
      <w:pPr>
        <w:rPr>
          <w:noProof/>
          <w:sz w:val="24"/>
        </w:rPr>
      </w:pPr>
      <w:r>
        <w:rPr>
          <w:noProof/>
          <w:sz w:val="24"/>
        </w:rPr>
        <w:t xml:space="preserve">Finally, OSHA developed optional </w:t>
      </w:r>
      <w:r w:rsidR="00B7292B">
        <w:rPr>
          <w:noProof/>
          <w:sz w:val="24"/>
        </w:rPr>
        <w:t>standardized variance application forms and obtained the required</w:t>
      </w:r>
      <w:r w:rsidRPr="00407C34">
        <w:rPr>
          <w:noProof/>
          <w:sz w:val="24"/>
        </w:rPr>
        <w:t xml:space="preserve"> </w:t>
      </w:r>
      <w:r>
        <w:rPr>
          <w:noProof/>
          <w:sz w:val="24"/>
        </w:rPr>
        <w:t xml:space="preserve">OMB approval for the information collection requirement (OMB Control No. 1218-0265) in order to assist employers in meeting the paperwork requirements contained in these regulations.  </w:t>
      </w:r>
      <w:r w:rsidRPr="00AC6A84">
        <w:rPr>
          <w:noProof/>
          <w:sz w:val="24"/>
        </w:rPr>
        <w:t xml:space="preserve">Additionally, in order to facilitate and </w:t>
      </w:r>
      <w:r w:rsidRPr="00AC6A84" w:rsidR="00E44453">
        <w:rPr>
          <w:noProof/>
          <w:sz w:val="24"/>
        </w:rPr>
        <w:t xml:space="preserve">simplify </w:t>
      </w:r>
      <w:r w:rsidRPr="00AC6A84">
        <w:rPr>
          <w:noProof/>
          <w:sz w:val="24"/>
        </w:rPr>
        <w:t xml:space="preserve">the completion of complex variance applications and reduce the information collection burden on applicants, OSHA made the variance application forms accessible from its </w:t>
      </w:r>
    </w:p>
    <w:p w:rsidR="00FD2FE2" w:rsidP="00FD2FE2" w14:paraId="2A1D7CF6" w14:textId="77777777">
      <w:pPr>
        <w:rPr>
          <w:noProof/>
          <w:sz w:val="24"/>
        </w:rPr>
      </w:pPr>
      <w:r w:rsidRPr="00AC6A84">
        <w:rPr>
          <w:noProof/>
          <w:sz w:val="24"/>
        </w:rPr>
        <w:t xml:space="preserve"> </w:t>
      </w:r>
      <w:r w:rsidRPr="00AC6A84" w:rsidR="00407C34">
        <w:rPr>
          <w:noProof/>
          <w:sz w:val="24"/>
        </w:rPr>
        <w:t>“How to Apply for a Variance” website</w:t>
      </w:r>
      <w:r w:rsidR="00144AAB">
        <w:rPr>
          <w:noProof/>
          <w:sz w:val="24"/>
        </w:rPr>
        <w:t xml:space="preserve"> </w:t>
      </w:r>
      <w:r w:rsidR="00407C34">
        <w:rPr>
          <w:noProof/>
          <w:sz w:val="24"/>
        </w:rPr>
        <w:t>(</w:t>
      </w:r>
      <w:hyperlink r:id="rId9" w:history="1">
        <w:r w:rsidRPr="00E53F99" w:rsidR="00407C34">
          <w:rPr>
            <w:rStyle w:val="Hyperlink"/>
            <w:noProof/>
            <w:sz w:val="24"/>
          </w:rPr>
          <w:t>http://www.osha.gov/dts/otpca/variances/index.html</w:t>
        </w:r>
      </w:hyperlink>
      <w:r w:rsidR="00407C34">
        <w:rPr>
          <w:noProof/>
          <w:sz w:val="24"/>
        </w:rPr>
        <w:t>).</w:t>
      </w:r>
    </w:p>
    <w:p w:rsidR="00111E2B" w:rsidP="0052708B" w14:paraId="484FAD67" w14:textId="77777777">
      <w:pPr>
        <w:widowControl/>
        <w:rPr>
          <w:sz w:val="24"/>
        </w:rPr>
      </w:pPr>
    </w:p>
    <w:p w:rsidR="0052708B" w:rsidRPr="001E1E41" w:rsidP="0052708B" w14:paraId="33BC1F90" w14:textId="77777777">
      <w:pPr>
        <w:widowControl/>
        <w:rPr>
          <w:b/>
          <w:sz w:val="24"/>
        </w:rPr>
      </w:pPr>
      <w:r w:rsidRPr="001E1E41">
        <w:rPr>
          <w:b/>
          <w:bCs/>
          <w:sz w:val="24"/>
        </w:rPr>
        <w:t>2.  Indicate how, by whom, and for what purpose the information is to be used.  Except for a new collection, indicate the actual use the Agency has made of the information received from the current collection.</w:t>
      </w:r>
    </w:p>
    <w:p w:rsidR="0052708B" w:rsidP="0052708B" w14:paraId="5313944E" w14:textId="77777777">
      <w:pPr>
        <w:widowControl/>
        <w:rPr>
          <w:b/>
          <w:szCs w:val="20"/>
        </w:rPr>
      </w:pPr>
    </w:p>
    <w:p w:rsidR="00B317E8" w:rsidRPr="00344C89" w:rsidP="00996293" w14:paraId="312D48A2" w14:textId="77777777">
      <w:pPr>
        <w:rPr>
          <w:sz w:val="24"/>
        </w:rPr>
      </w:pPr>
      <w:r w:rsidRPr="00344C89">
        <w:rPr>
          <w:sz w:val="24"/>
        </w:rPr>
        <w:t>Generally, OSHA uses th</w:t>
      </w:r>
      <w:r w:rsidR="00144AAB">
        <w:rPr>
          <w:sz w:val="24"/>
        </w:rPr>
        <w:t>e</w:t>
      </w:r>
      <w:r w:rsidRPr="00344C89">
        <w:rPr>
          <w:sz w:val="24"/>
        </w:rPr>
        <w:t xml:space="preserve"> information provided in these optional standardized variance applications to:  (1) evaluate the employer’s claim that the proposed alternate means of compliance would provide affected workers with the </w:t>
      </w:r>
      <w:r w:rsidRPr="00144AAB" w:rsidR="00144AAB">
        <w:rPr>
          <w:sz w:val="24"/>
        </w:rPr>
        <w:t>requisite</w:t>
      </w:r>
      <w:r w:rsidRPr="00344C89">
        <w:rPr>
          <w:sz w:val="24"/>
        </w:rPr>
        <w:t xml:space="preserve"> level of health and safety protection; (2) assess the technical feasibility of the proposed means of compliance; (3) determine that the employer notified affected workers of the variance application and their right to a hearing; and (4) verify that the application contains the administrative information required by the applicable variance regulations.  The following paragraphs further describe how, by whom, and for what purpose the information provided in each of the four types of variance</w:t>
      </w:r>
      <w:r w:rsidR="00144AAB">
        <w:rPr>
          <w:sz w:val="24"/>
        </w:rPr>
        <w:t>s</w:t>
      </w:r>
      <w:r w:rsidRPr="00344C89">
        <w:rPr>
          <w:sz w:val="24"/>
        </w:rPr>
        <w:t xml:space="preserve"> </w:t>
      </w:r>
      <w:r w:rsidR="00144AAB">
        <w:rPr>
          <w:sz w:val="24"/>
        </w:rPr>
        <w:t>are</w:t>
      </w:r>
      <w:r w:rsidRPr="00344C89">
        <w:rPr>
          <w:sz w:val="24"/>
        </w:rPr>
        <w:t xml:space="preserve"> to be used.</w:t>
      </w:r>
    </w:p>
    <w:p w:rsidR="00B317E8" w:rsidRPr="00B370A4" w:rsidP="00996293" w14:paraId="31482F97" w14:textId="77777777">
      <w:pPr>
        <w:rPr>
          <w:sz w:val="24"/>
          <w:u w:val="single"/>
        </w:rPr>
      </w:pPr>
    </w:p>
    <w:p w:rsidR="009D10F8" w:rsidP="00996293" w14:paraId="39568B4C" w14:textId="1237BA6B">
      <w:pPr>
        <w:rPr>
          <w:sz w:val="24"/>
        </w:rPr>
      </w:pPr>
      <w:r w:rsidRPr="00746D0C">
        <w:rPr>
          <w:b/>
          <w:i/>
          <w:sz w:val="24"/>
          <w:u w:val="single"/>
        </w:rPr>
        <w:t>Temporary variance</w:t>
      </w:r>
      <w:r w:rsidRPr="003D1FCC" w:rsidR="00C94C08">
        <w:rPr>
          <w:sz w:val="24"/>
        </w:rPr>
        <w:t xml:space="preserve">.  </w:t>
      </w:r>
      <w:r w:rsidRPr="00996293">
        <w:rPr>
          <w:sz w:val="24"/>
        </w:rPr>
        <w:t>Th</w:t>
      </w:r>
      <w:r w:rsidR="00C94C08">
        <w:rPr>
          <w:sz w:val="24"/>
        </w:rPr>
        <w:t>e</w:t>
      </w:r>
      <w:r w:rsidRPr="00996293">
        <w:rPr>
          <w:sz w:val="24"/>
        </w:rPr>
        <w:t xml:space="preserve"> application allows </w:t>
      </w:r>
      <w:r w:rsidR="00C94C08">
        <w:rPr>
          <w:sz w:val="24"/>
        </w:rPr>
        <w:t xml:space="preserve">OSHA </w:t>
      </w:r>
      <w:r w:rsidR="005B6669">
        <w:rPr>
          <w:sz w:val="24"/>
        </w:rPr>
        <w:t>to</w:t>
      </w:r>
      <w:r w:rsidR="00B7292B">
        <w:rPr>
          <w:sz w:val="24"/>
        </w:rPr>
        <w:t xml:space="preserve"> </w:t>
      </w:r>
      <w:r w:rsidR="00A30054">
        <w:rPr>
          <w:sz w:val="24"/>
        </w:rPr>
        <w:t>(1)</w:t>
      </w:r>
      <w:r w:rsidR="005B6669">
        <w:rPr>
          <w:sz w:val="24"/>
        </w:rPr>
        <w:t xml:space="preserve"> </w:t>
      </w:r>
      <w:r w:rsidR="0055686F">
        <w:rPr>
          <w:sz w:val="24"/>
        </w:rPr>
        <w:t>review and determine the efficacy of the employer’s description</w:t>
      </w:r>
      <w:r w:rsidRPr="0055686F" w:rsidR="0055686F">
        <w:rPr>
          <w:sz w:val="24"/>
        </w:rPr>
        <w:t xml:space="preserve"> of the steps taken </w:t>
      </w:r>
      <w:r w:rsidR="008348AF">
        <w:rPr>
          <w:sz w:val="24"/>
        </w:rPr>
        <w:t>and</w:t>
      </w:r>
      <w:r w:rsidR="0055686F">
        <w:rPr>
          <w:sz w:val="24"/>
        </w:rPr>
        <w:t xml:space="preserve"> to be</w:t>
      </w:r>
      <w:r w:rsidRPr="0055686F" w:rsidR="0055686F">
        <w:rPr>
          <w:sz w:val="24"/>
        </w:rPr>
        <w:t xml:space="preserve"> take</w:t>
      </w:r>
      <w:r w:rsidR="0055686F">
        <w:rPr>
          <w:sz w:val="24"/>
        </w:rPr>
        <w:t>n</w:t>
      </w:r>
      <w:r w:rsidRPr="0055686F" w:rsidR="0055686F">
        <w:rPr>
          <w:sz w:val="24"/>
        </w:rPr>
        <w:t xml:space="preserve"> </w:t>
      </w:r>
      <w:r w:rsidR="0055686F">
        <w:rPr>
          <w:sz w:val="24"/>
        </w:rPr>
        <w:t>(including</w:t>
      </w:r>
      <w:r w:rsidRPr="0055686F" w:rsidR="0055686F">
        <w:rPr>
          <w:sz w:val="24"/>
        </w:rPr>
        <w:t xml:space="preserve"> specific dates whe</w:t>
      </w:r>
      <w:r w:rsidR="00617CEB">
        <w:rPr>
          <w:sz w:val="24"/>
        </w:rPr>
        <w:t>n</w:t>
      </w:r>
      <w:r w:rsidRPr="0055686F" w:rsidR="0055686F">
        <w:rPr>
          <w:sz w:val="24"/>
        </w:rPr>
        <w:t xml:space="preserve"> appropriate</w:t>
      </w:r>
      <w:r w:rsidR="0055686F">
        <w:rPr>
          <w:sz w:val="24"/>
        </w:rPr>
        <w:t>)</w:t>
      </w:r>
      <w:r w:rsidRPr="0055686F" w:rsidR="0055686F">
        <w:rPr>
          <w:sz w:val="24"/>
        </w:rPr>
        <w:t xml:space="preserve"> to protect </w:t>
      </w:r>
      <w:r w:rsidR="00144AAB">
        <w:rPr>
          <w:sz w:val="24"/>
        </w:rPr>
        <w:t>workers</w:t>
      </w:r>
      <w:r w:rsidRPr="0055686F" w:rsidR="0055686F">
        <w:rPr>
          <w:sz w:val="24"/>
        </w:rPr>
        <w:t xml:space="preserve"> against the hazard</w:t>
      </w:r>
      <w:r w:rsidR="00144AAB">
        <w:rPr>
          <w:sz w:val="24"/>
        </w:rPr>
        <w:t>s</w:t>
      </w:r>
      <w:r w:rsidRPr="0055686F" w:rsidR="0055686F">
        <w:rPr>
          <w:sz w:val="24"/>
        </w:rPr>
        <w:t xml:space="preserve"> covered by the standard</w:t>
      </w:r>
      <w:r w:rsidR="00653942">
        <w:rPr>
          <w:sz w:val="24"/>
        </w:rPr>
        <w:t xml:space="preserve"> from which the </w:t>
      </w:r>
      <w:r w:rsidR="003D1FCC">
        <w:rPr>
          <w:sz w:val="24"/>
        </w:rPr>
        <w:t xml:space="preserve">employer is requesting the </w:t>
      </w:r>
      <w:r w:rsidR="00653942">
        <w:rPr>
          <w:sz w:val="24"/>
        </w:rPr>
        <w:t>temporary variance</w:t>
      </w:r>
      <w:r w:rsidR="005B6669">
        <w:rPr>
          <w:sz w:val="24"/>
        </w:rPr>
        <w:t xml:space="preserve">; (2) </w:t>
      </w:r>
      <w:r w:rsidR="008348AF">
        <w:rPr>
          <w:sz w:val="24"/>
        </w:rPr>
        <w:t>evaluat</w:t>
      </w:r>
      <w:r w:rsidR="00617CEB">
        <w:rPr>
          <w:sz w:val="24"/>
        </w:rPr>
        <w:t>e</w:t>
      </w:r>
      <w:r w:rsidR="008348AF">
        <w:rPr>
          <w:sz w:val="24"/>
        </w:rPr>
        <w:t xml:space="preserve"> the</w:t>
      </w:r>
      <w:r w:rsidRPr="008348AF" w:rsidR="008348AF">
        <w:rPr>
          <w:sz w:val="24"/>
        </w:rPr>
        <w:t xml:space="preserve"> statement of when the </w:t>
      </w:r>
      <w:r w:rsidR="00617CEB">
        <w:rPr>
          <w:sz w:val="24"/>
        </w:rPr>
        <w:t>employer</w:t>
      </w:r>
      <w:r w:rsidRPr="008348AF" w:rsidR="008348AF">
        <w:rPr>
          <w:sz w:val="24"/>
        </w:rPr>
        <w:t xml:space="preserve"> expects to be able to comply with the standard</w:t>
      </w:r>
      <w:r w:rsidR="00617CEB">
        <w:rPr>
          <w:sz w:val="24"/>
        </w:rPr>
        <w:t>,</w:t>
      </w:r>
      <w:r w:rsidRPr="008348AF" w:rsidR="008348AF">
        <w:rPr>
          <w:sz w:val="24"/>
        </w:rPr>
        <w:t xml:space="preserve"> and </w:t>
      </w:r>
      <w:r w:rsidR="00617CEB">
        <w:rPr>
          <w:sz w:val="24"/>
        </w:rPr>
        <w:t>the</w:t>
      </w:r>
      <w:r w:rsidRPr="008348AF" w:rsidR="008348AF">
        <w:rPr>
          <w:sz w:val="24"/>
        </w:rPr>
        <w:t xml:space="preserve"> steps taken and</w:t>
      </w:r>
      <w:r w:rsidR="00617CEB">
        <w:rPr>
          <w:sz w:val="24"/>
        </w:rPr>
        <w:t xml:space="preserve"> to be </w:t>
      </w:r>
      <w:r w:rsidRPr="008348AF" w:rsidR="008348AF">
        <w:rPr>
          <w:sz w:val="24"/>
        </w:rPr>
        <w:t>take</w:t>
      </w:r>
      <w:r w:rsidR="00617CEB">
        <w:rPr>
          <w:sz w:val="24"/>
        </w:rPr>
        <w:t>n by the employer</w:t>
      </w:r>
      <w:r w:rsidR="008348AF">
        <w:rPr>
          <w:sz w:val="24"/>
        </w:rPr>
        <w:t xml:space="preserve"> (</w:t>
      </w:r>
      <w:r w:rsidRPr="008348AF" w:rsidR="008348AF">
        <w:rPr>
          <w:sz w:val="24"/>
        </w:rPr>
        <w:t>with specific dates whe</w:t>
      </w:r>
      <w:r w:rsidR="00617CEB">
        <w:rPr>
          <w:sz w:val="24"/>
        </w:rPr>
        <w:t>n</w:t>
      </w:r>
      <w:r w:rsidRPr="008348AF" w:rsidR="008348AF">
        <w:rPr>
          <w:sz w:val="24"/>
        </w:rPr>
        <w:t xml:space="preserve"> appropriate</w:t>
      </w:r>
      <w:r w:rsidR="008348AF">
        <w:rPr>
          <w:sz w:val="24"/>
        </w:rPr>
        <w:t>)</w:t>
      </w:r>
      <w:r w:rsidRPr="008348AF" w:rsidR="008348AF">
        <w:rPr>
          <w:sz w:val="24"/>
        </w:rPr>
        <w:t xml:space="preserve"> to come into compliance with the standard</w:t>
      </w:r>
      <w:r w:rsidR="005B6669">
        <w:rPr>
          <w:sz w:val="24"/>
        </w:rPr>
        <w:t xml:space="preserve">; </w:t>
      </w:r>
      <w:r w:rsidR="00617CEB">
        <w:rPr>
          <w:sz w:val="24"/>
        </w:rPr>
        <w:t xml:space="preserve">and </w:t>
      </w:r>
      <w:r w:rsidR="005B6669">
        <w:rPr>
          <w:sz w:val="24"/>
        </w:rPr>
        <w:t xml:space="preserve">(3) determine that the employer </w:t>
      </w:r>
      <w:r w:rsidRPr="00996293">
        <w:rPr>
          <w:sz w:val="24"/>
        </w:rPr>
        <w:t xml:space="preserve">properly notified </w:t>
      </w:r>
      <w:r w:rsidR="005B6669">
        <w:rPr>
          <w:sz w:val="24"/>
        </w:rPr>
        <w:t xml:space="preserve">affected </w:t>
      </w:r>
      <w:r w:rsidR="00144AAB">
        <w:rPr>
          <w:sz w:val="24"/>
        </w:rPr>
        <w:t>workers</w:t>
      </w:r>
      <w:r w:rsidR="005B6669">
        <w:rPr>
          <w:sz w:val="24"/>
        </w:rPr>
        <w:t xml:space="preserve"> o</w:t>
      </w:r>
      <w:r w:rsidRPr="00996293" w:rsidR="005B6669">
        <w:rPr>
          <w:sz w:val="24"/>
        </w:rPr>
        <w:t xml:space="preserve">f </w:t>
      </w:r>
      <w:r w:rsidRPr="00996293">
        <w:rPr>
          <w:sz w:val="24"/>
        </w:rPr>
        <w:t xml:space="preserve">the variance application and their right </w:t>
      </w:r>
      <w:r w:rsidR="005B6669">
        <w:rPr>
          <w:sz w:val="24"/>
        </w:rPr>
        <w:t>to a hearing</w:t>
      </w:r>
      <w:r w:rsidRPr="00996293">
        <w:rPr>
          <w:sz w:val="24"/>
        </w:rPr>
        <w:t xml:space="preserve">.  </w:t>
      </w:r>
      <w:r w:rsidR="005B6669">
        <w:rPr>
          <w:sz w:val="24"/>
        </w:rPr>
        <w:t xml:space="preserve">The application also contains </w:t>
      </w:r>
      <w:r w:rsidRPr="00996293">
        <w:rPr>
          <w:sz w:val="24"/>
        </w:rPr>
        <w:t xml:space="preserve">the administrative </w:t>
      </w:r>
      <w:r w:rsidR="005B6669">
        <w:rPr>
          <w:sz w:val="24"/>
        </w:rPr>
        <w:t xml:space="preserve">information </w:t>
      </w:r>
      <w:r w:rsidRPr="00996293">
        <w:rPr>
          <w:sz w:val="24"/>
        </w:rPr>
        <w:t>require</w:t>
      </w:r>
      <w:r w:rsidR="005B6669">
        <w:rPr>
          <w:sz w:val="24"/>
        </w:rPr>
        <w:t xml:space="preserve">d by </w:t>
      </w:r>
      <w:r w:rsidRPr="00996293">
        <w:rPr>
          <w:sz w:val="24"/>
        </w:rPr>
        <w:t>1905.1</w:t>
      </w:r>
      <w:r w:rsidR="00037A13">
        <w:rPr>
          <w:sz w:val="24"/>
        </w:rPr>
        <w:t>0</w:t>
      </w:r>
      <w:r w:rsidRPr="00996293">
        <w:rPr>
          <w:sz w:val="24"/>
        </w:rPr>
        <w:t>(b).</w:t>
      </w:r>
    </w:p>
    <w:p w:rsidR="009D10F8" w:rsidP="00996293" w14:paraId="482ABB79" w14:textId="77777777">
      <w:pPr>
        <w:rPr>
          <w:sz w:val="24"/>
        </w:rPr>
      </w:pPr>
    </w:p>
    <w:p w:rsidR="0047483F" w:rsidP="0047483F" w14:paraId="2A66FB22" w14:textId="7B49FA7D">
      <w:pPr>
        <w:rPr>
          <w:sz w:val="24"/>
        </w:rPr>
      </w:pPr>
      <w:r w:rsidRPr="00746D0C">
        <w:rPr>
          <w:b/>
          <w:i/>
          <w:sz w:val="24"/>
          <w:u w:val="single"/>
        </w:rPr>
        <w:t>Experimental variance</w:t>
      </w:r>
      <w:r w:rsidRPr="003D1FCC" w:rsidR="00E67410">
        <w:rPr>
          <w:sz w:val="24"/>
        </w:rPr>
        <w:t xml:space="preserve">.  </w:t>
      </w:r>
      <w:r w:rsidRPr="00996293" w:rsidR="005678A5">
        <w:rPr>
          <w:sz w:val="24"/>
        </w:rPr>
        <w:t>Th</w:t>
      </w:r>
      <w:r w:rsidR="00E550BB">
        <w:rPr>
          <w:sz w:val="24"/>
        </w:rPr>
        <w:t>e</w:t>
      </w:r>
      <w:r w:rsidRPr="00996293" w:rsidR="005678A5">
        <w:rPr>
          <w:sz w:val="24"/>
        </w:rPr>
        <w:t xml:space="preserve"> application allows </w:t>
      </w:r>
      <w:r w:rsidR="00E550BB">
        <w:rPr>
          <w:sz w:val="24"/>
        </w:rPr>
        <w:t xml:space="preserve">OSHA </w:t>
      </w:r>
      <w:r w:rsidRPr="00996293" w:rsidR="005678A5">
        <w:rPr>
          <w:sz w:val="24"/>
        </w:rPr>
        <w:t>to</w:t>
      </w:r>
      <w:r w:rsidR="00B7292B">
        <w:rPr>
          <w:sz w:val="24"/>
        </w:rPr>
        <w:t xml:space="preserve"> </w:t>
      </w:r>
      <w:r w:rsidR="00E550BB">
        <w:rPr>
          <w:sz w:val="24"/>
        </w:rPr>
        <w:t xml:space="preserve">(1) review and determine the efficacy of the employer’s </w:t>
      </w:r>
      <w:r w:rsidRPr="00C5323A" w:rsidR="00E550BB">
        <w:rPr>
          <w:sz w:val="24"/>
        </w:rPr>
        <w:t xml:space="preserve">explanation of how the experiment </w:t>
      </w:r>
      <w:r w:rsidR="00E550BB">
        <w:rPr>
          <w:sz w:val="24"/>
        </w:rPr>
        <w:t xml:space="preserve">will </w:t>
      </w:r>
      <w:r w:rsidRPr="00C5323A" w:rsidR="00E550BB">
        <w:rPr>
          <w:sz w:val="24"/>
        </w:rPr>
        <w:t xml:space="preserve">demonstrate or validate new and improved techniques to safeguard the health </w:t>
      </w:r>
      <w:r w:rsidR="00E550BB">
        <w:rPr>
          <w:sz w:val="24"/>
        </w:rPr>
        <w:t xml:space="preserve">or safety of </w:t>
      </w:r>
      <w:r w:rsidR="00B317E8">
        <w:rPr>
          <w:sz w:val="24"/>
        </w:rPr>
        <w:t>workers</w:t>
      </w:r>
      <w:r w:rsidR="00617CEB">
        <w:rPr>
          <w:sz w:val="24"/>
        </w:rPr>
        <w:t xml:space="preserve">, </w:t>
      </w:r>
      <w:r w:rsidR="008348AF">
        <w:rPr>
          <w:sz w:val="24"/>
        </w:rPr>
        <w:t>including a detailed description</w:t>
      </w:r>
      <w:r w:rsidRPr="0055686F" w:rsidR="008348AF">
        <w:rPr>
          <w:sz w:val="24"/>
        </w:rPr>
        <w:t xml:space="preserve"> of the steps taken </w:t>
      </w:r>
      <w:r w:rsidR="008348AF">
        <w:rPr>
          <w:sz w:val="24"/>
        </w:rPr>
        <w:t>and</w:t>
      </w:r>
      <w:r w:rsidR="00B317E8">
        <w:rPr>
          <w:sz w:val="24"/>
        </w:rPr>
        <w:t>/or</w:t>
      </w:r>
      <w:r w:rsidR="00617CEB">
        <w:rPr>
          <w:sz w:val="24"/>
        </w:rPr>
        <w:t xml:space="preserve"> </w:t>
      </w:r>
      <w:r w:rsidR="008348AF">
        <w:rPr>
          <w:sz w:val="24"/>
        </w:rPr>
        <w:t>to be</w:t>
      </w:r>
      <w:r w:rsidRPr="0055686F" w:rsidR="008348AF">
        <w:rPr>
          <w:sz w:val="24"/>
        </w:rPr>
        <w:t xml:space="preserve"> take</w:t>
      </w:r>
      <w:r w:rsidR="008348AF">
        <w:rPr>
          <w:sz w:val="24"/>
        </w:rPr>
        <w:t>n</w:t>
      </w:r>
      <w:r w:rsidRPr="0055686F" w:rsidR="008348AF">
        <w:rPr>
          <w:sz w:val="24"/>
        </w:rPr>
        <w:t xml:space="preserve"> to protect </w:t>
      </w:r>
      <w:r w:rsidR="00B018F6">
        <w:rPr>
          <w:sz w:val="24"/>
        </w:rPr>
        <w:t>workers</w:t>
      </w:r>
      <w:r w:rsidRPr="0055686F" w:rsidR="008348AF">
        <w:rPr>
          <w:sz w:val="24"/>
        </w:rPr>
        <w:t xml:space="preserve"> against the hazard</w:t>
      </w:r>
      <w:r w:rsidR="00715B91">
        <w:rPr>
          <w:sz w:val="24"/>
        </w:rPr>
        <w:t>(s)</w:t>
      </w:r>
      <w:r w:rsidRPr="0055686F" w:rsidR="008348AF">
        <w:rPr>
          <w:sz w:val="24"/>
        </w:rPr>
        <w:t xml:space="preserve"> covered by the standard</w:t>
      </w:r>
      <w:r w:rsidR="008348AF">
        <w:rPr>
          <w:sz w:val="24"/>
        </w:rPr>
        <w:t xml:space="preserve"> from which the experimental variance is sought</w:t>
      </w:r>
      <w:r w:rsidR="00E550BB">
        <w:rPr>
          <w:sz w:val="24"/>
        </w:rPr>
        <w:t xml:space="preserve">; (2) </w:t>
      </w:r>
      <w:r w:rsidRPr="00996293" w:rsidR="005678A5">
        <w:rPr>
          <w:sz w:val="24"/>
        </w:rPr>
        <w:t xml:space="preserve">evaluate the </w:t>
      </w:r>
      <w:r w:rsidR="00E550BB">
        <w:rPr>
          <w:sz w:val="24"/>
        </w:rPr>
        <w:t>employer</w:t>
      </w:r>
      <w:r w:rsidRPr="00996293" w:rsidR="005678A5">
        <w:rPr>
          <w:sz w:val="24"/>
        </w:rPr>
        <w:t xml:space="preserve">'s claim that the </w:t>
      </w:r>
      <w:r w:rsidR="005678A5">
        <w:rPr>
          <w:sz w:val="24"/>
        </w:rPr>
        <w:t xml:space="preserve">experimental </w:t>
      </w:r>
      <w:r w:rsidR="00E550BB">
        <w:rPr>
          <w:sz w:val="24"/>
        </w:rPr>
        <w:t xml:space="preserve">conditions would provide affected </w:t>
      </w:r>
      <w:r w:rsidR="00B018F6">
        <w:rPr>
          <w:sz w:val="24"/>
        </w:rPr>
        <w:t>workers</w:t>
      </w:r>
      <w:r w:rsidR="00E550BB">
        <w:rPr>
          <w:sz w:val="24"/>
        </w:rPr>
        <w:t xml:space="preserve"> with </w:t>
      </w:r>
      <w:r w:rsidRPr="00C5323A" w:rsidR="000B2E05">
        <w:rPr>
          <w:sz w:val="24"/>
        </w:rPr>
        <w:t xml:space="preserve">health </w:t>
      </w:r>
      <w:r w:rsidR="00E550BB">
        <w:rPr>
          <w:sz w:val="24"/>
        </w:rPr>
        <w:t>and</w:t>
      </w:r>
      <w:r w:rsidR="004305BD">
        <w:rPr>
          <w:sz w:val="24"/>
        </w:rPr>
        <w:t xml:space="preserve"> safety </w:t>
      </w:r>
      <w:r w:rsidR="00E550BB">
        <w:rPr>
          <w:sz w:val="24"/>
        </w:rPr>
        <w:t xml:space="preserve">protection that is at least as effective as the requirements specified </w:t>
      </w:r>
      <w:r w:rsidRPr="00996293" w:rsidR="005678A5">
        <w:rPr>
          <w:sz w:val="24"/>
        </w:rPr>
        <w:t xml:space="preserve">by the standard from which </w:t>
      </w:r>
      <w:r w:rsidR="00E550BB">
        <w:rPr>
          <w:sz w:val="24"/>
        </w:rPr>
        <w:t>the employer is requesting the</w:t>
      </w:r>
      <w:r w:rsidRPr="00996293" w:rsidR="005678A5">
        <w:rPr>
          <w:sz w:val="24"/>
        </w:rPr>
        <w:t xml:space="preserve"> </w:t>
      </w:r>
      <w:r w:rsidR="00715B91">
        <w:rPr>
          <w:sz w:val="24"/>
        </w:rPr>
        <w:t xml:space="preserve">experimental </w:t>
      </w:r>
      <w:r w:rsidRPr="00996293" w:rsidR="005678A5">
        <w:rPr>
          <w:sz w:val="24"/>
        </w:rPr>
        <w:t>variance</w:t>
      </w:r>
      <w:r w:rsidR="00E550BB">
        <w:rPr>
          <w:sz w:val="24"/>
        </w:rPr>
        <w:t>;</w:t>
      </w:r>
      <w:r w:rsidRPr="00E550BB" w:rsidR="00E550BB">
        <w:rPr>
          <w:sz w:val="24"/>
        </w:rPr>
        <w:t xml:space="preserve"> </w:t>
      </w:r>
      <w:r w:rsidR="00E550BB">
        <w:rPr>
          <w:sz w:val="24"/>
        </w:rPr>
        <w:t>and (</w:t>
      </w:r>
      <w:r w:rsidR="008348AF">
        <w:rPr>
          <w:sz w:val="24"/>
        </w:rPr>
        <w:t>3</w:t>
      </w:r>
      <w:r w:rsidR="00E550BB">
        <w:rPr>
          <w:sz w:val="24"/>
        </w:rPr>
        <w:t xml:space="preserve">) determine </w:t>
      </w:r>
      <w:r w:rsidRPr="00996293" w:rsidR="005678A5">
        <w:rPr>
          <w:sz w:val="24"/>
        </w:rPr>
        <w:t xml:space="preserve">that </w:t>
      </w:r>
      <w:r w:rsidR="00E550BB">
        <w:rPr>
          <w:sz w:val="24"/>
        </w:rPr>
        <w:t xml:space="preserve">the </w:t>
      </w:r>
      <w:r w:rsidRPr="00996293" w:rsidR="005678A5">
        <w:rPr>
          <w:sz w:val="24"/>
        </w:rPr>
        <w:t>employe</w:t>
      </w:r>
      <w:r w:rsidR="00E550BB">
        <w:rPr>
          <w:sz w:val="24"/>
        </w:rPr>
        <w:t>r</w:t>
      </w:r>
      <w:r w:rsidRPr="00996293" w:rsidR="005678A5">
        <w:rPr>
          <w:sz w:val="24"/>
        </w:rPr>
        <w:t xml:space="preserve"> properly notified </w:t>
      </w:r>
      <w:r w:rsidR="00E550BB">
        <w:rPr>
          <w:sz w:val="24"/>
        </w:rPr>
        <w:t xml:space="preserve">affected </w:t>
      </w:r>
      <w:r w:rsidR="00B018F6">
        <w:rPr>
          <w:sz w:val="24"/>
        </w:rPr>
        <w:t>workers</w:t>
      </w:r>
      <w:r w:rsidR="00E550BB">
        <w:rPr>
          <w:sz w:val="24"/>
        </w:rPr>
        <w:t xml:space="preserve"> </w:t>
      </w:r>
      <w:r w:rsidRPr="00996293" w:rsidR="005678A5">
        <w:rPr>
          <w:sz w:val="24"/>
        </w:rPr>
        <w:t>of the variance application and their right</w:t>
      </w:r>
      <w:r w:rsidR="00E550BB">
        <w:rPr>
          <w:sz w:val="24"/>
        </w:rPr>
        <w:t xml:space="preserve"> to a hearing</w:t>
      </w:r>
      <w:r w:rsidR="00D359D7">
        <w:rPr>
          <w:sz w:val="24"/>
        </w:rPr>
        <w:t>.</w:t>
      </w:r>
      <w:r w:rsidR="005678A5">
        <w:rPr>
          <w:color w:val="008000"/>
          <w:sz w:val="24"/>
        </w:rPr>
        <w:t xml:space="preserve">  </w:t>
      </w:r>
      <w:r>
        <w:rPr>
          <w:sz w:val="24"/>
        </w:rPr>
        <w:t xml:space="preserve">The application also contains </w:t>
      </w:r>
      <w:r w:rsidRPr="00996293">
        <w:rPr>
          <w:sz w:val="24"/>
        </w:rPr>
        <w:t xml:space="preserve">the administrative </w:t>
      </w:r>
      <w:r>
        <w:rPr>
          <w:sz w:val="24"/>
        </w:rPr>
        <w:t xml:space="preserve">information specified by OSHA in Item 1 of this </w:t>
      </w:r>
      <w:r w:rsidR="00B018F6">
        <w:rPr>
          <w:sz w:val="24"/>
        </w:rPr>
        <w:t xml:space="preserve">Information </w:t>
      </w:r>
      <w:r w:rsidR="00B018F6">
        <w:rPr>
          <w:sz w:val="24"/>
        </w:rPr>
        <w:t>Collection Request (</w:t>
      </w:r>
      <w:r>
        <w:rPr>
          <w:sz w:val="24"/>
        </w:rPr>
        <w:t>ICR</w:t>
      </w:r>
      <w:r w:rsidR="00B018F6">
        <w:rPr>
          <w:sz w:val="24"/>
        </w:rPr>
        <w:t>)</w:t>
      </w:r>
      <w:r>
        <w:rPr>
          <w:sz w:val="24"/>
        </w:rPr>
        <w:t>.</w:t>
      </w:r>
    </w:p>
    <w:p w:rsidR="0047483F" w:rsidP="0047483F" w14:paraId="4BBD0996" w14:textId="77777777">
      <w:pPr>
        <w:rPr>
          <w:sz w:val="24"/>
        </w:rPr>
      </w:pPr>
    </w:p>
    <w:p w:rsidR="0047483F" w:rsidP="0047483F" w14:paraId="2E25AF36" w14:textId="058D4CEF">
      <w:pPr>
        <w:rPr>
          <w:sz w:val="24"/>
        </w:rPr>
      </w:pPr>
      <w:r w:rsidRPr="00746D0C">
        <w:rPr>
          <w:b/>
          <w:i/>
          <w:sz w:val="24"/>
          <w:u w:val="single"/>
        </w:rPr>
        <w:t>Permanent variance</w:t>
      </w:r>
      <w:r w:rsidRPr="003D1FCC">
        <w:rPr>
          <w:sz w:val="24"/>
        </w:rPr>
        <w:t xml:space="preserve">.  </w:t>
      </w:r>
      <w:r w:rsidRPr="00996293">
        <w:rPr>
          <w:sz w:val="24"/>
        </w:rPr>
        <w:t>Th</w:t>
      </w:r>
      <w:r>
        <w:rPr>
          <w:sz w:val="24"/>
        </w:rPr>
        <w:t>e</w:t>
      </w:r>
      <w:r w:rsidRPr="00996293">
        <w:rPr>
          <w:sz w:val="24"/>
        </w:rPr>
        <w:t xml:space="preserve"> application allows </w:t>
      </w:r>
      <w:r>
        <w:rPr>
          <w:sz w:val="24"/>
        </w:rPr>
        <w:t>OSHA</w:t>
      </w:r>
      <w:r w:rsidRPr="00996293">
        <w:rPr>
          <w:sz w:val="24"/>
        </w:rPr>
        <w:t xml:space="preserve"> to</w:t>
      </w:r>
      <w:r w:rsidR="00B7292B">
        <w:rPr>
          <w:sz w:val="24"/>
        </w:rPr>
        <w:t xml:space="preserve"> </w:t>
      </w:r>
      <w:r>
        <w:rPr>
          <w:sz w:val="24"/>
        </w:rPr>
        <w:t xml:space="preserve">(1) </w:t>
      </w:r>
      <w:r w:rsidRPr="00996293">
        <w:rPr>
          <w:sz w:val="24"/>
        </w:rPr>
        <w:t xml:space="preserve">evaluate the </w:t>
      </w:r>
      <w:r>
        <w:rPr>
          <w:sz w:val="24"/>
        </w:rPr>
        <w:t>employer</w:t>
      </w:r>
      <w:r w:rsidRPr="00996293">
        <w:rPr>
          <w:sz w:val="24"/>
        </w:rPr>
        <w:t xml:space="preserve">'s claim that the </w:t>
      </w:r>
      <w:r>
        <w:rPr>
          <w:sz w:val="24"/>
        </w:rPr>
        <w:t xml:space="preserve">alternative means of compliance would provide affected </w:t>
      </w:r>
      <w:r w:rsidR="00B018F6">
        <w:rPr>
          <w:sz w:val="24"/>
        </w:rPr>
        <w:t>workers</w:t>
      </w:r>
      <w:r>
        <w:rPr>
          <w:sz w:val="24"/>
        </w:rPr>
        <w:t xml:space="preserve"> with health and safety protection that is at least </w:t>
      </w:r>
      <w:r w:rsidRPr="00996293">
        <w:rPr>
          <w:sz w:val="24"/>
        </w:rPr>
        <w:t xml:space="preserve">equivalent to the </w:t>
      </w:r>
      <w:r>
        <w:rPr>
          <w:sz w:val="24"/>
        </w:rPr>
        <w:t xml:space="preserve">means of compliance specified </w:t>
      </w:r>
      <w:r w:rsidRPr="00996293">
        <w:rPr>
          <w:sz w:val="24"/>
        </w:rPr>
        <w:t xml:space="preserve">by the standard from which </w:t>
      </w:r>
      <w:r>
        <w:rPr>
          <w:sz w:val="24"/>
        </w:rPr>
        <w:t>the employer is requesting the</w:t>
      </w:r>
      <w:r w:rsidRPr="00996293">
        <w:rPr>
          <w:sz w:val="24"/>
        </w:rPr>
        <w:t xml:space="preserve"> variance</w:t>
      </w:r>
      <w:r>
        <w:rPr>
          <w:sz w:val="24"/>
        </w:rPr>
        <w:t xml:space="preserve">; (2) assess the technical feasibility of the alternative means of compliance; and (3) determine </w:t>
      </w:r>
      <w:r w:rsidRPr="00996293">
        <w:rPr>
          <w:sz w:val="24"/>
        </w:rPr>
        <w:t xml:space="preserve">that </w:t>
      </w:r>
      <w:r>
        <w:rPr>
          <w:sz w:val="24"/>
        </w:rPr>
        <w:t xml:space="preserve">the employer </w:t>
      </w:r>
      <w:r w:rsidRPr="00996293">
        <w:rPr>
          <w:sz w:val="24"/>
        </w:rPr>
        <w:t xml:space="preserve">properly notified </w:t>
      </w:r>
      <w:r>
        <w:rPr>
          <w:sz w:val="24"/>
        </w:rPr>
        <w:t xml:space="preserve">affected </w:t>
      </w:r>
      <w:r w:rsidR="00B018F6">
        <w:rPr>
          <w:sz w:val="24"/>
        </w:rPr>
        <w:t>workers</w:t>
      </w:r>
      <w:r>
        <w:rPr>
          <w:sz w:val="24"/>
        </w:rPr>
        <w:t xml:space="preserve"> </w:t>
      </w:r>
      <w:r w:rsidRPr="00996293">
        <w:rPr>
          <w:sz w:val="24"/>
        </w:rPr>
        <w:t>of the variance application and their right</w:t>
      </w:r>
      <w:r>
        <w:rPr>
          <w:sz w:val="24"/>
        </w:rPr>
        <w:t xml:space="preserve"> to a hearing.  The application also contains the administrative information required by </w:t>
      </w:r>
      <w:r w:rsidRPr="00996293">
        <w:rPr>
          <w:sz w:val="24"/>
        </w:rPr>
        <w:t>1905.11(b)</w:t>
      </w:r>
      <w:r>
        <w:rPr>
          <w:sz w:val="24"/>
        </w:rPr>
        <w:t>.</w:t>
      </w:r>
    </w:p>
    <w:p w:rsidR="00746D0C" w:rsidP="0047483F" w14:paraId="76BF7DC9" w14:textId="77777777">
      <w:pPr>
        <w:rPr>
          <w:sz w:val="24"/>
        </w:rPr>
      </w:pPr>
    </w:p>
    <w:p w:rsidR="0047483F" w:rsidRPr="005D1B2A" w:rsidP="0047483F" w14:paraId="2B4979B0" w14:textId="0E636FBE">
      <w:pPr>
        <w:rPr>
          <w:sz w:val="24"/>
        </w:rPr>
      </w:pPr>
      <w:r w:rsidRPr="00746D0C">
        <w:rPr>
          <w:b/>
          <w:i/>
          <w:sz w:val="24"/>
          <w:u w:val="single"/>
        </w:rPr>
        <w:t>National</w:t>
      </w:r>
      <w:r w:rsidRPr="00746D0C" w:rsidR="003D1FCC">
        <w:rPr>
          <w:b/>
          <w:i/>
          <w:sz w:val="24"/>
          <w:u w:val="single"/>
        </w:rPr>
        <w:t>-</w:t>
      </w:r>
      <w:r w:rsidRPr="00746D0C">
        <w:rPr>
          <w:b/>
          <w:i/>
          <w:sz w:val="24"/>
          <w:u w:val="single"/>
        </w:rPr>
        <w:t>defense variance</w:t>
      </w:r>
      <w:r>
        <w:rPr>
          <w:sz w:val="24"/>
          <w:u w:val="single"/>
        </w:rPr>
        <w:t>.</w:t>
      </w:r>
      <w:r w:rsidRPr="00B370A4">
        <w:rPr>
          <w:sz w:val="24"/>
        </w:rPr>
        <w:t xml:space="preserve">  </w:t>
      </w:r>
      <w:r w:rsidRPr="00996293">
        <w:rPr>
          <w:sz w:val="24"/>
        </w:rPr>
        <w:t>Th</w:t>
      </w:r>
      <w:r>
        <w:rPr>
          <w:sz w:val="24"/>
        </w:rPr>
        <w:t>e</w:t>
      </w:r>
      <w:r w:rsidRPr="00996293">
        <w:rPr>
          <w:sz w:val="24"/>
        </w:rPr>
        <w:t xml:space="preserve"> application allows </w:t>
      </w:r>
      <w:r>
        <w:rPr>
          <w:sz w:val="24"/>
        </w:rPr>
        <w:t xml:space="preserve">OSHA </w:t>
      </w:r>
      <w:r w:rsidRPr="00996293">
        <w:rPr>
          <w:sz w:val="24"/>
        </w:rPr>
        <w:t>to</w:t>
      </w:r>
      <w:r w:rsidR="00B7292B">
        <w:rPr>
          <w:sz w:val="24"/>
        </w:rPr>
        <w:t xml:space="preserve"> </w:t>
      </w:r>
      <w:r>
        <w:rPr>
          <w:sz w:val="24"/>
        </w:rPr>
        <w:t xml:space="preserve">(1) </w:t>
      </w:r>
      <w:r w:rsidR="00B317E8">
        <w:rPr>
          <w:sz w:val="24"/>
        </w:rPr>
        <w:t>evaluate the validity and appropriateness of the specification of the provision of the OSH Act to or</w:t>
      </w:r>
      <w:r w:rsidRPr="005D1B2A" w:rsidR="005D1B2A">
        <w:rPr>
          <w:sz w:val="24"/>
        </w:rPr>
        <w:t xml:space="preserve"> from which the applicant seeks a limitation, var</w:t>
      </w:r>
      <w:r w:rsidR="005D1B2A">
        <w:rPr>
          <w:sz w:val="24"/>
        </w:rPr>
        <w:t>iation, tolerance, or exemption</w:t>
      </w:r>
      <w:r>
        <w:rPr>
          <w:sz w:val="24"/>
        </w:rPr>
        <w:t xml:space="preserve">; (2) </w:t>
      </w:r>
      <w:r w:rsidR="005D1B2A">
        <w:rPr>
          <w:sz w:val="24"/>
        </w:rPr>
        <w:t>evaluate the</w:t>
      </w:r>
      <w:r w:rsidRPr="005D1B2A" w:rsidR="005D1B2A">
        <w:rPr>
          <w:sz w:val="24"/>
        </w:rPr>
        <w:t xml:space="preserve"> </w:t>
      </w:r>
      <w:r w:rsidR="005D1B2A">
        <w:rPr>
          <w:sz w:val="24"/>
        </w:rPr>
        <w:t xml:space="preserve">validity and appropriateness of </w:t>
      </w:r>
      <w:r w:rsidRPr="005D1B2A" w:rsidR="005D1B2A">
        <w:rPr>
          <w:sz w:val="24"/>
        </w:rPr>
        <w:t>showing that the limitation, variation, tolerance, or exemption sought is necessary and proper to avoid serious imp</w:t>
      </w:r>
      <w:r w:rsidR="005D1B2A">
        <w:rPr>
          <w:sz w:val="24"/>
        </w:rPr>
        <w:t>airment of the national defense</w:t>
      </w:r>
      <w:r w:rsidR="00B7292B">
        <w:rPr>
          <w:sz w:val="24"/>
        </w:rPr>
        <w:t>;</w:t>
      </w:r>
      <w:r w:rsidR="005D1B2A">
        <w:rPr>
          <w:sz w:val="24"/>
        </w:rPr>
        <w:t xml:space="preserve"> </w:t>
      </w:r>
      <w:r>
        <w:rPr>
          <w:sz w:val="24"/>
        </w:rPr>
        <w:t xml:space="preserve">(3) determine that the employer </w:t>
      </w:r>
      <w:r w:rsidRPr="00996293">
        <w:rPr>
          <w:sz w:val="24"/>
        </w:rPr>
        <w:t xml:space="preserve">properly notified </w:t>
      </w:r>
      <w:r>
        <w:rPr>
          <w:sz w:val="24"/>
        </w:rPr>
        <w:t xml:space="preserve">affected </w:t>
      </w:r>
      <w:r w:rsidR="00B018F6">
        <w:rPr>
          <w:sz w:val="24"/>
        </w:rPr>
        <w:t>workers</w:t>
      </w:r>
      <w:r>
        <w:rPr>
          <w:sz w:val="24"/>
        </w:rPr>
        <w:t xml:space="preserve"> o</w:t>
      </w:r>
      <w:r w:rsidRPr="00996293">
        <w:rPr>
          <w:sz w:val="24"/>
        </w:rPr>
        <w:t xml:space="preserve">f the variance application and their right </w:t>
      </w:r>
      <w:r>
        <w:rPr>
          <w:sz w:val="24"/>
        </w:rPr>
        <w:t>to a hearing</w:t>
      </w:r>
      <w:r w:rsidRPr="00996293">
        <w:rPr>
          <w:sz w:val="24"/>
        </w:rPr>
        <w:t xml:space="preserve">.  </w:t>
      </w:r>
      <w:r>
        <w:rPr>
          <w:sz w:val="24"/>
        </w:rPr>
        <w:t xml:space="preserve">The application also contains </w:t>
      </w:r>
      <w:r w:rsidRPr="00996293">
        <w:rPr>
          <w:sz w:val="24"/>
        </w:rPr>
        <w:t xml:space="preserve">the administrative </w:t>
      </w:r>
      <w:r>
        <w:rPr>
          <w:sz w:val="24"/>
        </w:rPr>
        <w:t xml:space="preserve">information </w:t>
      </w:r>
      <w:r w:rsidRPr="00996293">
        <w:rPr>
          <w:sz w:val="24"/>
        </w:rPr>
        <w:t>require</w:t>
      </w:r>
      <w:r>
        <w:rPr>
          <w:sz w:val="24"/>
        </w:rPr>
        <w:t xml:space="preserve">d by </w:t>
      </w:r>
      <w:r w:rsidRPr="00996293">
        <w:rPr>
          <w:sz w:val="24"/>
        </w:rPr>
        <w:t>1905.1</w:t>
      </w:r>
      <w:r>
        <w:rPr>
          <w:sz w:val="24"/>
        </w:rPr>
        <w:t>2</w:t>
      </w:r>
      <w:r w:rsidRPr="00996293">
        <w:rPr>
          <w:sz w:val="24"/>
        </w:rPr>
        <w:t>(b).</w:t>
      </w:r>
    </w:p>
    <w:p w:rsidR="0047483F" w:rsidP="0047483F" w14:paraId="3CCE1D8B" w14:textId="77777777">
      <w:pPr>
        <w:rPr>
          <w:sz w:val="24"/>
        </w:rPr>
      </w:pPr>
    </w:p>
    <w:p w:rsidR="0052708B" w:rsidRPr="001E1E41" w:rsidP="0052708B" w14:paraId="4A5037B6" w14:textId="77777777">
      <w:pPr>
        <w:widowControl/>
        <w:rPr>
          <w:b/>
          <w:sz w:val="24"/>
        </w:rPr>
      </w:pPr>
      <w:r w:rsidRPr="001E1E41">
        <w:rPr>
          <w:b/>
          <w:bCs/>
          <w:sz w:val="24"/>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w:t>
      </w:r>
      <w:r w:rsidRPr="001E1E41" w:rsidR="0076368D">
        <w:rPr>
          <w:b/>
          <w:bCs/>
          <w:sz w:val="24"/>
        </w:rPr>
        <w:t>,</w:t>
      </w:r>
      <w:r w:rsidRPr="001E1E41">
        <w:rPr>
          <w:b/>
          <w:bCs/>
          <w:sz w:val="24"/>
        </w:rPr>
        <w:t xml:space="preserve"> describe any consideration of using information technology to reduce burden</w:t>
      </w:r>
      <w:r w:rsidRPr="001E1E41" w:rsidR="00756F6A">
        <w:rPr>
          <w:b/>
          <w:bCs/>
          <w:sz w:val="24"/>
        </w:rPr>
        <w:t>s</w:t>
      </w:r>
      <w:r w:rsidRPr="001E1E41">
        <w:rPr>
          <w:b/>
          <w:bCs/>
          <w:sz w:val="24"/>
        </w:rPr>
        <w:t>.</w:t>
      </w:r>
    </w:p>
    <w:p w:rsidR="0052708B" w:rsidP="0052708B" w14:paraId="02760F45" w14:textId="77777777">
      <w:pPr>
        <w:widowControl/>
        <w:rPr>
          <w:b/>
          <w:szCs w:val="20"/>
        </w:rPr>
      </w:pPr>
    </w:p>
    <w:p w:rsidR="000A5CCF" w:rsidRPr="000A5CCF" w:rsidP="000A5CCF" w14:paraId="06348EDB" w14:textId="77777777">
      <w:pPr>
        <w:pStyle w:val="block1"/>
        <w:spacing w:before="0" w:beforeAutospacing="0" w:after="0" w:afterAutospacing="0"/>
        <w:rPr>
          <w:color w:val="000000"/>
        </w:rPr>
      </w:pPr>
      <w:r>
        <w:t>A</w:t>
      </w:r>
      <w:r w:rsidR="005B6A66">
        <w:t xml:space="preserve">s </w:t>
      </w:r>
      <w:r>
        <w:t xml:space="preserve">noted </w:t>
      </w:r>
      <w:r w:rsidR="005B6A66">
        <w:t>in 29 CFR 1905.7(a)</w:t>
      </w:r>
      <w:r>
        <w:t xml:space="preserve">, </w:t>
      </w:r>
      <w:r w:rsidRPr="00FC0B8E" w:rsidR="00FC0B8E">
        <w:t xml:space="preserve">no specific form </w:t>
      </w:r>
      <w:r w:rsidR="00B317E8">
        <w:t xml:space="preserve">was required or made </w:t>
      </w:r>
      <w:r>
        <w:t xml:space="preserve">available </w:t>
      </w:r>
      <w:r w:rsidRPr="00FC0B8E" w:rsidR="00FC0B8E">
        <w:t xml:space="preserve">for </w:t>
      </w:r>
      <w:r w:rsidR="002B3399">
        <w:t xml:space="preserve">preparing </w:t>
      </w:r>
      <w:r w:rsidRPr="00FC0B8E" w:rsidR="00FC0B8E">
        <w:t>a variance application</w:t>
      </w:r>
      <w:r>
        <w:t xml:space="preserve">. </w:t>
      </w:r>
      <w:r w:rsidR="0046573F">
        <w:t xml:space="preserve"> </w:t>
      </w:r>
      <w:r w:rsidR="00596A2D">
        <w:t xml:space="preserve">However, </w:t>
      </w:r>
      <w:r>
        <w:t>under</w:t>
      </w:r>
      <w:r w:rsidR="00344C89">
        <w:t xml:space="preserve"> </w:t>
      </w:r>
      <w:r w:rsidR="00596A2D">
        <w:t>1905.7(a)</w:t>
      </w:r>
      <w:r>
        <w:t xml:space="preserve">, employers </w:t>
      </w:r>
      <w:r w:rsidR="00B317E8">
        <w:t xml:space="preserve">choosing voluntarily to complete a variance application were required to </w:t>
      </w:r>
      <w:r w:rsidR="00FC0B8E">
        <w:t>submit a</w:t>
      </w:r>
      <w:r w:rsidRPr="00FC0B8E" w:rsidR="00FC0B8E">
        <w:t xml:space="preserve"> typewritten original and six copies</w:t>
      </w:r>
      <w:r w:rsidRPr="00FA7945" w:rsidR="00FC0B8E">
        <w:rPr>
          <w:b/>
        </w:rPr>
        <w:t xml:space="preserve"> </w:t>
      </w:r>
      <w:r w:rsidRPr="00FC0B8E" w:rsidR="00FC0B8E">
        <w:t>of the application</w:t>
      </w:r>
      <w:r>
        <w:t>,</w:t>
      </w:r>
      <w:r>
        <w:rPr>
          <w:rStyle w:val="FootnoteReference"/>
          <w:vertAlign w:val="superscript"/>
        </w:rPr>
        <w:footnoteReference w:id="6"/>
      </w:r>
      <w:r>
        <w:t xml:space="preserve"> </w:t>
      </w:r>
      <w:r w:rsidR="0074138E">
        <w:t xml:space="preserve">which </w:t>
      </w:r>
      <w:r>
        <w:t>provides the information required for the specific type of variance requested</w:t>
      </w:r>
      <w:r w:rsidR="004305BD">
        <w:t>.</w:t>
      </w:r>
      <w:r w:rsidR="0074138E">
        <w:t xml:space="preserve"> </w:t>
      </w:r>
      <w:r>
        <w:t xml:space="preserve"> Employers </w:t>
      </w:r>
      <w:r w:rsidR="00545377">
        <w:t xml:space="preserve">also </w:t>
      </w:r>
      <w:r w:rsidR="00B317E8">
        <w:t xml:space="preserve">had the option to </w:t>
      </w:r>
      <w:r>
        <w:t xml:space="preserve">submit supporting </w:t>
      </w:r>
      <w:r w:rsidRPr="00FC0B8E">
        <w:t>d</w:t>
      </w:r>
      <w:r>
        <w:t>ocuments (e.g., protocols for safe-work practices, engineering schematics, procedures for using personal</w:t>
      </w:r>
      <w:r w:rsidR="00B018F6">
        <w:t xml:space="preserve"> </w:t>
      </w:r>
      <w:r>
        <w:t xml:space="preserve">protective equipment).  Under </w:t>
      </w:r>
      <w:r w:rsidR="00B317E8">
        <w:t xml:space="preserve">the provisions of </w:t>
      </w:r>
      <w:r w:rsidR="00531D98">
        <w:t>29 CFR 1905.7(</w:t>
      </w:r>
      <w:r>
        <w:t>b</w:t>
      </w:r>
      <w:r w:rsidR="00531D98">
        <w:t>)</w:t>
      </w:r>
      <w:r>
        <w:t xml:space="preserve">, requires that “[e]ach </w:t>
      </w:r>
      <w:r w:rsidRPr="000A5CCF">
        <w:rPr>
          <w:color w:val="000000"/>
        </w:rPr>
        <w:t xml:space="preserve">application </w:t>
      </w:r>
      <w:r w:rsidR="00192401">
        <w:rPr>
          <w:color w:val="000000"/>
        </w:rPr>
        <w:t>. . . shall</w:t>
      </w:r>
      <w:r w:rsidRPr="000A5CCF">
        <w:rPr>
          <w:color w:val="000000"/>
        </w:rPr>
        <w:t xml:space="preserve"> be subscribed by the </w:t>
      </w:r>
      <w:r w:rsidR="00192401">
        <w:rPr>
          <w:color w:val="000000"/>
        </w:rPr>
        <w:t>[employer</w:t>
      </w:r>
      <w:r w:rsidR="00B317E8">
        <w:rPr>
          <w:color w:val="000000"/>
        </w:rPr>
        <w:t>]</w:t>
      </w:r>
      <w:r w:rsidRPr="000A5CCF">
        <w:rPr>
          <w:color w:val="000000"/>
        </w:rPr>
        <w:t xml:space="preserve"> filing the same or by </w:t>
      </w:r>
      <w:r w:rsidR="00192401">
        <w:rPr>
          <w:color w:val="000000"/>
        </w:rPr>
        <w:t>[the employer’s]</w:t>
      </w:r>
      <w:r w:rsidRPr="000A5CCF">
        <w:rPr>
          <w:color w:val="000000"/>
        </w:rPr>
        <w:t xml:space="preserve"> attorney or other authorized representative.</w:t>
      </w:r>
      <w:r w:rsidR="00192401">
        <w:rPr>
          <w:color w:val="000000"/>
        </w:rPr>
        <w:t>”</w:t>
      </w:r>
    </w:p>
    <w:p w:rsidR="002B3399" w:rsidP="00996293" w14:paraId="2959114C" w14:textId="77777777">
      <w:pPr>
        <w:rPr>
          <w:sz w:val="24"/>
        </w:rPr>
      </w:pPr>
    </w:p>
    <w:p w:rsidR="00C21C19" w:rsidP="00996293" w14:paraId="58F961BF" w14:textId="724CADDE">
      <w:pPr>
        <w:rPr>
          <w:sz w:val="24"/>
        </w:rPr>
      </w:pPr>
      <w:r>
        <w:rPr>
          <w:sz w:val="24"/>
        </w:rPr>
        <w:t xml:space="preserve">In this ICR, OSHA </w:t>
      </w:r>
      <w:r w:rsidR="009E15F1">
        <w:rPr>
          <w:sz w:val="24"/>
        </w:rPr>
        <w:t>is requesting</w:t>
      </w:r>
      <w:r w:rsidR="00B317E8">
        <w:rPr>
          <w:sz w:val="24"/>
        </w:rPr>
        <w:t xml:space="preserve"> that OMB extend its</w:t>
      </w:r>
      <w:r w:rsidR="009E15F1">
        <w:rPr>
          <w:sz w:val="24"/>
        </w:rPr>
        <w:t xml:space="preserve"> </w:t>
      </w:r>
      <w:r>
        <w:rPr>
          <w:sz w:val="24"/>
        </w:rPr>
        <w:t xml:space="preserve">approval </w:t>
      </w:r>
      <w:r w:rsidR="00B317E8">
        <w:rPr>
          <w:sz w:val="24"/>
        </w:rPr>
        <w:t xml:space="preserve">of the optional standardized variance application forms covering the four types of variances.  As noted earlier, OSHA made these forms </w:t>
      </w:r>
      <w:r w:rsidR="00C0193F">
        <w:rPr>
          <w:sz w:val="24"/>
        </w:rPr>
        <w:t>available to the public on its website</w:t>
      </w:r>
      <w:r w:rsidR="009E15F1">
        <w:rPr>
          <w:sz w:val="24"/>
        </w:rPr>
        <w:t xml:space="preserve">.  </w:t>
      </w:r>
      <w:r w:rsidR="0018577D">
        <w:rPr>
          <w:sz w:val="24"/>
        </w:rPr>
        <w:t xml:space="preserve">Each </w:t>
      </w:r>
      <w:r>
        <w:rPr>
          <w:sz w:val="24"/>
        </w:rPr>
        <w:t xml:space="preserve">form </w:t>
      </w:r>
      <w:r w:rsidR="0018577D">
        <w:rPr>
          <w:sz w:val="24"/>
        </w:rPr>
        <w:t>list</w:t>
      </w:r>
      <w:r w:rsidR="00C0193F">
        <w:rPr>
          <w:sz w:val="24"/>
        </w:rPr>
        <w:t>s</w:t>
      </w:r>
      <w:r w:rsidR="0018577D">
        <w:rPr>
          <w:sz w:val="24"/>
        </w:rPr>
        <w:t xml:space="preserve"> the information required for the specific variance covered by that form (see the information requirements for each type of variance under Item 2 of this </w:t>
      </w:r>
      <w:r w:rsidR="00C0193F">
        <w:rPr>
          <w:sz w:val="24"/>
        </w:rPr>
        <w:t>supporting statement</w:t>
      </w:r>
      <w:r w:rsidR="0018577D">
        <w:rPr>
          <w:sz w:val="24"/>
        </w:rPr>
        <w:t>)</w:t>
      </w:r>
      <w:r w:rsidR="007C0373">
        <w:rPr>
          <w:sz w:val="24"/>
        </w:rPr>
        <w:t xml:space="preserve">, along with </w:t>
      </w:r>
      <w:r w:rsidR="00C0193F">
        <w:rPr>
          <w:sz w:val="24"/>
        </w:rPr>
        <w:t xml:space="preserve">instructions for completing the form and </w:t>
      </w:r>
      <w:r w:rsidR="007C0373">
        <w:rPr>
          <w:sz w:val="24"/>
        </w:rPr>
        <w:t>explanatory material</w:t>
      </w:r>
      <w:r w:rsidR="0018577D">
        <w:rPr>
          <w:sz w:val="24"/>
        </w:rPr>
        <w:t xml:space="preserve">.  </w:t>
      </w:r>
      <w:r w:rsidR="00FC0B8E">
        <w:rPr>
          <w:sz w:val="24"/>
        </w:rPr>
        <w:t>E</w:t>
      </w:r>
      <w:r w:rsidRPr="00996293" w:rsidR="00996293">
        <w:rPr>
          <w:sz w:val="24"/>
        </w:rPr>
        <w:t>mploye</w:t>
      </w:r>
      <w:r w:rsidR="009E15F1">
        <w:rPr>
          <w:sz w:val="24"/>
        </w:rPr>
        <w:t xml:space="preserve">rs </w:t>
      </w:r>
      <w:r w:rsidR="005C1FF9">
        <w:rPr>
          <w:sz w:val="24"/>
        </w:rPr>
        <w:t>apply</w:t>
      </w:r>
      <w:r w:rsidR="007C0373">
        <w:rPr>
          <w:sz w:val="24"/>
        </w:rPr>
        <w:t>ing</w:t>
      </w:r>
      <w:r w:rsidR="005C1FF9">
        <w:rPr>
          <w:sz w:val="24"/>
        </w:rPr>
        <w:t xml:space="preserve"> for </w:t>
      </w:r>
      <w:r w:rsidR="0078566B">
        <w:rPr>
          <w:sz w:val="24"/>
        </w:rPr>
        <w:t xml:space="preserve">a variance </w:t>
      </w:r>
      <w:r w:rsidR="00C0193F">
        <w:rPr>
          <w:sz w:val="24"/>
        </w:rPr>
        <w:t xml:space="preserve">can complete and submit the appropriate application </w:t>
      </w:r>
      <w:r w:rsidR="00C0193F">
        <w:rPr>
          <w:sz w:val="24"/>
        </w:rPr>
        <w:t xml:space="preserve">form online or </w:t>
      </w:r>
      <w:r w:rsidR="009E15F1">
        <w:rPr>
          <w:sz w:val="24"/>
        </w:rPr>
        <w:t>download</w:t>
      </w:r>
      <w:r w:rsidR="0078566B">
        <w:rPr>
          <w:sz w:val="24"/>
        </w:rPr>
        <w:t xml:space="preserve"> and complete</w:t>
      </w:r>
      <w:r w:rsidR="009E15F1">
        <w:rPr>
          <w:sz w:val="24"/>
        </w:rPr>
        <w:t xml:space="preserve"> </w:t>
      </w:r>
      <w:r w:rsidR="0078566B">
        <w:rPr>
          <w:sz w:val="24"/>
        </w:rPr>
        <w:t xml:space="preserve">the </w:t>
      </w:r>
      <w:r w:rsidR="007C0373">
        <w:rPr>
          <w:sz w:val="24"/>
        </w:rPr>
        <w:t>appropriate</w:t>
      </w:r>
      <w:r w:rsidR="0078566B">
        <w:rPr>
          <w:sz w:val="24"/>
        </w:rPr>
        <w:t xml:space="preserve"> </w:t>
      </w:r>
      <w:r w:rsidR="00DA4CE3">
        <w:rPr>
          <w:sz w:val="24"/>
        </w:rPr>
        <w:t>form and</w:t>
      </w:r>
      <w:r w:rsidR="009E15F1">
        <w:rPr>
          <w:sz w:val="24"/>
        </w:rPr>
        <w:t xml:space="preserve"> mail </w:t>
      </w:r>
      <w:r w:rsidR="007C0373">
        <w:rPr>
          <w:sz w:val="24"/>
        </w:rPr>
        <w:t>it</w:t>
      </w:r>
      <w:r w:rsidR="009E15F1">
        <w:rPr>
          <w:sz w:val="24"/>
        </w:rPr>
        <w:t xml:space="preserve"> </w:t>
      </w:r>
      <w:r w:rsidR="0078566B">
        <w:rPr>
          <w:sz w:val="24"/>
        </w:rPr>
        <w:t>to</w:t>
      </w:r>
      <w:r w:rsidR="007C0373">
        <w:rPr>
          <w:sz w:val="24"/>
        </w:rPr>
        <w:t xml:space="preserve"> OSHA</w:t>
      </w:r>
      <w:r w:rsidR="0078566B">
        <w:rPr>
          <w:sz w:val="24"/>
        </w:rPr>
        <w:t xml:space="preserve">.  </w:t>
      </w:r>
      <w:r w:rsidR="007C0373">
        <w:rPr>
          <w:sz w:val="24"/>
        </w:rPr>
        <w:t xml:space="preserve">These forms </w:t>
      </w:r>
      <w:r w:rsidR="00C0193F">
        <w:rPr>
          <w:sz w:val="24"/>
        </w:rPr>
        <w:t xml:space="preserve">serve to standardize, simplify and </w:t>
      </w:r>
      <w:r w:rsidR="007C0373">
        <w:rPr>
          <w:sz w:val="24"/>
        </w:rPr>
        <w:t xml:space="preserve">expedite the application process for employers, </w:t>
      </w:r>
      <w:r w:rsidR="00DA4CE3">
        <w:rPr>
          <w:sz w:val="24"/>
        </w:rPr>
        <w:t>and</w:t>
      </w:r>
      <w:r w:rsidR="00C0193F">
        <w:rPr>
          <w:sz w:val="24"/>
        </w:rPr>
        <w:t xml:space="preserve"> to </w:t>
      </w:r>
      <w:r w:rsidR="007C0373">
        <w:rPr>
          <w:sz w:val="24"/>
        </w:rPr>
        <w:t xml:space="preserve">ensure that the information </w:t>
      </w:r>
      <w:r w:rsidR="00C0193F">
        <w:rPr>
          <w:sz w:val="24"/>
        </w:rPr>
        <w:t xml:space="preserve">provided </w:t>
      </w:r>
      <w:r w:rsidR="007C0373">
        <w:rPr>
          <w:sz w:val="24"/>
        </w:rPr>
        <w:t>on the application is complete and accurate</w:t>
      </w:r>
      <w:r>
        <w:rPr>
          <w:sz w:val="24"/>
        </w:rPr>
        <w:t>.</w:t>
      </w:r>
    </w:p>
    <w:p w:rsidR="00C21C19" w:rsidP="00996293" w14:paraId="7227C279" w14:textId="77777777">
      <w:pPr>
        <w:rPr>
          <w:sz w:val="24"/>
        </w:rPr>
      </w:pPr>
    </w:p>
    <w:p w:rsidR="0034475F" w:rsidRPr="001E1E41" w:rsidP="0052708B" w14:paraId="7A5C9BA2" w14:textId="77777777">
      <w:pPr>
        <w:widowControl/>
        <w:rPr>
          <w:b/>
          <w:bCs/>
          <w:sz w:val="24"/>
        </w:rPr>
      </w:pPr>
      <w:r w:rsidRPr="001E1E41">
        <w:rPr>
          <w:b/>
          <w:bCs/>
          <w:sz w:val="24"/>
        </w:rPr>
        <w:t>4.  Describe efforts to identify duplication.  Show specifically why any similar information already available cannot be used or modified for use for the purp</w:t>
      </w:r>
      <w:r w:rsidRPr="001E1E41" w:rsidR="00B933CD">
        <w:rPr>
          <w:b/>
          <w:bCs/>
          <w:sz w:val="24"/>
        </w:rPr>
        <w:t xml:space="preserve">oses described in Item </w:t>
      </w:r>
      <w:r w:rsidRPr="001E1E41" w:rsidR="0076368D">
        <w:rPr>
          <w:b/>
          <w:bCs/>
          <w:sz w:val="24"/>
        </w:rPr>
        <w:t>A.</w:t>
      </w:r>
      <w:r w:rsidRPr="001E1E41" w:rsidR="00B933CD">
        <w:rPr>
          <w:b/>
          <w:bCs/>
          <w:sz w:val="24"/>
        </w:rPr>
        <w:t>2 above.</w:t>
      </w:r>
    </w:p>
    <w:p w:rsidR="0034475F" w:rsidP="0052708B" w14:paraId="4DCB8379" w14:textId="77777777">
      <w:pPr>
        <w:widowControl/>
        <w:rPr>
          <w:b/>
          <w:bCs/>
          <w:szCs w:val="20"/>
        </w:rPr>
      </w:pPr>
    </w:p>
    <w:p w:rsidR="0052708B" w:rsidRPr="0034475F" w:rsidP="0034475F" w14:paraId="137F88E9" w14:textId="4F059E8E">
      <w:pPr>
        <w:rPr>
          <w:sz w:val="24"/>
        </w:rPr>
      </w:pPr>
      <w:r w:rsidRPr="0034475F">
        <w:rPr>
          <w:sz w:val="24"/>
        </w:rPr>
        <w:t xml:space="preserve">The paperwork requirements of the </w:t>
      </w:r>
      <w:r w:rsidR="00101696">
        <w:rPr>
          <w:sz w:val="24"/>
        </w:rPr>
        <w:t>variance r</w:t>
      </w:r>
      <w:r w:rsidRPr="0034475F">
        <w:rPr>
          <w:sz w:val="24"/>
        </w:rPr>
        <w:t>egulation</w:t>
      </w:r>
      <w:r w:rsidR="00101696">
        <w:rPr>
          <w:sz w:val="24"/>
        </w:rPr>
        <w:t>s</w:t>
      </w:r>
      <w:r w:rsidRPr="0034475F">
        <w:rPr>
          <w:sz w:val="24"/>
        </w:rPr>
        <w:t xml:space="preserve"> are specific to each employer involved, and no other source or agency duplicates these requirements or can make the required information available to OSHA (i.e., the required information is available only from employers</w:t>
      </w:r>
      <w:r w:rsidR="00C0193F">
        <w:rPr>
          <w:sz w:val="24"/>
        </w:rPr>
        <w:t xml:space="preserve"> choosing </w:t>
      </w:r>
      <w:r w:rsidR="00815DB4">
        <w:rPr>
          <w:sz w:val="24"/>
        </w:rPr>
        <w:t>to complete and submit a variance application voluntarily</w:t>
      </w:r>
      <w:r w:rsidRPr="0034475F">
        <w:rPr>
          <w:sz w:val="24"/>
        </w:rPr>
        <w:t>).</w:t>
      </w:r>
    </w:p>
    <w:p w:rsidR="0052708B" w:rsidP="0052708B" w14:paraId="1EB3FEDB" w14:textId="77777777">
      <w:pPr>
        <w:widowControl/>
        <w:rPr>
          <w:sz w:val="24"/>
        </w:rPr>
      </w:pPr>
    </w:p>
    <w:p w:rsidR="0052708B" w:rsidRPr="001E1E41" w:rsidP="0052708B" w14:paraId="7A44D17A" w14:textId="77777777">
      <w:pPr>
        <w:widowControl/>
        <w:rPr>
          <w:b/>
          <w:sz w:val="24"/>
        </w:rPr>
      </w:pPr>
      <w:r w:rsidRPr="001E1E41">
        <w:rPr>
          <w:b/>
          <w:bCs/>
          <w:sz w:val="24"/>
        </w:rPr>
        <w:t>5.  If the collection of information impacts small businesses or other small entities describe any methods used to minimize burden.</w:t>
      </w:r>
    </w:p>
    <w:p w:rsidR="0052708B" w:rsidP="0052708B" w14:paraId="3D251ED2" w14:textId="77777777">
      <w:pPr>
        <w:widowControl/>
        <w:rPr>
          <w:sz w:val="24"/>
        </w:rPr>
      </w:pPr>
    </w:p>
    <w:p w:rsidR="0052708B" w:rsidP="0052708B" w14:paraId="541C2E89" w14:textId="63F24A5E">
      <w:pPr>
        <w:widowControl/>
        <w:rPr>
          <w:sz w:val="24"/>
        </w:rPr>
      </w:pPr>
      <w:r>
        <w:rPr>
          <w:sz w:val="24"/>
        </w:rPr>
        <w:t xml:space="preserve">The </w:t>
      </w:r>
      <w:r w:rsidR="001E6AD9">
        <w:rPr>
          <w:sz w:val="24"/>
        </w:rPr>
        <w:t>variance regulations' information collection requirements do not significantly impact many</w:t>
      </w:r>
      <w:r>
        <w:rPr>
          <w:sz w:val="24"/>
        </w:rPr>
        <w:t xml:space="preserve"> small entities.</w:t>
      </w:r>
    </w:p>
    <w:p w:rsidR="0052708B" w:rsidP="0052708B" w14:paraId="58322C36" w14:textId="77777777">
      <w:pPr>
        <w:widowControl/>
        <w:rPr>
          <w:sz w:val="24"/>
        </w:rPr>
      </w:pPr>
    </w:p>
    <w:p w:rsidR="0052708B" w:rsidRPr="001E1E41" w:rsidP="0052708B" w14:paraId="17D709C8" w14:textId="77777777">
      <w:pPr>
        <w:widowControl/>
        <w:rPr>
          <w:b/>
          <w:sz w:val="24"/>
        </w:rPr>
      </w:pPr>
      <w:r w:rsidRPr="001E1E41">
        <w:rPr>
          <w:b/>
          <w:sz w:val="24"/>
        </w:rPr>
        <w:t xml:space="preserve"> </w:t>
      </w:r>
      <w:r w:rsidRPr="001E1E41">
        <w:rPr>
          <w:b/>
          <w:bCs/>
          <w:sz w:val="24"/>
        </w:rPr>
        <w:t>6.  Describe the consequence to Federal program or policy activities if the collection is not conducted or is conducted less frequently, as well as any technical or legal obstacles to reducing burden.</w:t>
      </w:r>
    </w:p>
    <w:p w:rsidR="0052708B" w:rsidRPr="0076671C" w:rsidP="0052708B" w14:paraId="2F9F024B" w14:textId="77777777">
      <w:pPr>
        <w:widowControl/>
        <w:rPr>
          <w:sz w:val="24"/>
        </w:rPr>
      </w:pPr>
    </w:p>
    <w:p w:rsidR="000349E8" w:rsidRPr="000349E8" w:rsidP="000349E8" w14:paraId="0227B969" w14:textId="77777777">
      <w:pPr>
        <w:rPr>
          <w:sz w:val="24"/>
        </w:rPr>
      </w:pPr>
      <w:r>
        <w:rPr>
          <w:sz w:val="24"/>
        </w:rPr>
        <w:t>T</w:t>
      </w:r>
      <w:r w:rsidRPr="00573C3E" w:rsidR="00406D3E">
        <w:rPr>
          <w:sz w:val="24"/>
        </w:rPr>
        <w:t>he variance application process is voluntary</w:t>
      </w:r>
      <w:r>
        <w:rPr>
          <w:sz w:val="24"/>
        </w:rPr>
        <w:t xml:space="preserve"> on the part of employers</w:t>
      </w:r>
      <w:r w:rsidR="00406D3E">
        <w:rPr>
          <w:sz w:val="24"/>
        </w:rPr>
        <w:t>.</w:t>
      </w:r>
      <w:r w:rsidRPr="000349E8" w:rsidR="00406D3E">
        <w:rPr>
          <w:sz w:val="24"/>
        </w:rPr>
        <w:t xml:space="preserve"> </w:t>
      </w:r>
      <w:r>
        <w:rPr>
          <w:sz w:val="24"/>
        </w:rPr>
        <w:t xml:space="preserve"> W</w:t>
      </w:r>
      <w:r w:rsidRPr="000349E8">
        <w:rPr>
          <w:sz w:val="24"/>
        </w:rPr>
        <w:t>ithout</w:t>
      </w:r>
      <w:r>
        <w:rPr>
          <w:sz w:val="24"/>
        </w:rPr>
        <w:t xml:space="preserve"> the information provided by a variance application, </w:t>
      </w:r>
      <w:r w:rsidRPr="000349E8">
        <w:rPr>
          <w:sz w:val="24"/>
        </w:rPr>
        <w:t>OSHA</w:t>
      </w:r>
      <w:r>
        <w:rPr>
          <w:sz w:val="24"/>
        </w:rPr>
        <w:t xml:space="preserve"> could not determine the efficacy of, and safety and health protection afforded by, an employer’s alternative means of compliance</w:t>
      </w:r>
      <w:r w:rsidRPr="000349E8">
        <w:rPr>
          <w:sz w:val="24"/>
        </w:rPr>
        <w:t>.</w:t>
      </w:r>
    </w:p>
    <w:p w:rsidR="0052708B" w:rsidP="0052708B" w14:paraId="4900B388" w14:textId="77777777">
      <w:pPr>
        <w:widowControl/>
        <w:rPr>
          <w:sz w:val="24"/>
        </w:rPr>
      </w:pPr>
    </w:p>
    <w:p w:rsidR="0052708B" w:rsidRPr="001E1E41" w:rsidP="0052708B" w14:paraId="3AF43FB3" w14:textId="77777777">
      <w:pPr>
        <w:widowControl/>
        <w:rPr>
          <w:b/>
          <w:bCs/>
          <w:sz w:val="24"/>
        </w:rPr>
      </w:pPr>
      <w:r w:rsidRPr="001E1E41">
        <w:rPr>
          <w:b/>
          <w:bCs/>
          <w:sz w:val="24"/>
        </w:rPr>
        <w:t>7.  Explain any special circumstances that would cause an information collection to be conducted in a manner:</w:t>
      </w:r>
    </w:p>
    <w:p w:rsidR="0076368D" w:rsidRPr="001E1E41" w:rsidP="0052708B" w14:paraId="473C97F5" w14:textId="77777777">
      <w:pPr>
        <w:widowControl/>
        <w:rPr>
          <w:b/>
          <w:bCs/>
          <w:sz w:val="24"/>
        </w:rPr>
      </w:pPr>
    </w:p>
    <w:p w:rsidR="0052708B" w:rsidRPr="001E1E41" w:rsidP="0052708B" w14:paraId="7A9E7B5A" w14:textId="238E22C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sidRPr="001E1E41">
        <w:rPr>
          <w:b/>
          <w:bCs/>
          <w:sz w:val="24"/>
        </w:rPr>
        <w:t xml:space="preserve">• </w:t>
      </w:r>
      <w:r w:rsidRPr="001E1E41" w:rsidR="0076368D">
        <w:rPr>
          <w:b/>
          <w:bCs/>
          <w:sz w:val="24"/>
        </w:rPr>
        <w:t>r</w:t>
      </w:r>
      <w:r w:rsidRPr="001E1E41">
        <w:rPr>
          <w:b/>
          <w:bCs/>
          <w:sz w:val="24"/>
        </w:rPr>
        <w:t xml:space="preserve">equiring respondents to report information to the </w:t>
      </w:r>
      <w:r w:rsidR="005F2314">
        <w:rPr>
          <w:b/>
          <w:bCs/>
          <w:sz w:val="24"/>
        </w:rPr>
        <w:t xml:space="preserve">agency </w:t>
      </w:r>
      <w:r w:rsidRPr="001E1E41">
        <w:rPr>
          <w:b/>
          <w:bCs/>
          <w:sz w:val="24"/>
        </w:rPr>
        <w:t>more often than quarterly;</w:t>
      </w:r>
    </w:p>
    <w:p w:rsidR="0076368D" w:rsidRPr="001E1E41" w:rsidP="0052708B" w14:paraId="2CEF145F"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p>
    <w:p w:rsidR="0052708B" w:rsidRPr="001E1E41" w:rsidP="00FD763D" w14:paraId="6AED50E8"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Bold" w:hAnsi="Times New Roman Bold"/>
          <w:b/>
          <w:bCs/>
          <w:sz w:val="24"/>
        </w:rPr>
      </w:pPr>
      <w:r w:rsidRPr="001E1E41">
        <w:rPr>
          <w:rFonts w:ascii="Times New Roman Bold" w:hAnsi="Times New Roman Bold"/>
          <w:b/>
          <w:bCs/>
          <w:sz w:val="24"/>
        </w:rPr>
        <w:t xml:space="preserve">• </w:t>
      </w:r>
      <w:r w:rsidRPr="001E1E41" w:rsidR="0076368D">
        <w:rPr>
          <w:rFonts w:ascii="Times New Roman Bold" w:hAnsi="Times New Roman Bold"/>
          <w:b/>
          <w:bCs/>
          <w:sz w:val="24"/>
        </w:rPr>
        <w:t>r</w:t>
      </w:r>
      <w:r w:rsidRPr="001E1E41">
        <w:rPr>
          <w:rFonts w:ascii="Times New Roman Bold" w:hAnsi="Times New Roman Bold"/>
          <w:b/>
          <w:bCs/>
          <w:sz w:val="24"/>
        </w:rPr>
        <w:t xml:space="preserve">equiring respondents to prepare a written response to a collection of information in </w:t>
      </w:r>
      <w:r w:rsidRPr="001E1E41" w:rsidR="006332AE">
        <w:rPr>
          <w:rFonts w:ascii="Times New Roman Bold" w:hAnsi="Times New Roman Bold"/>
          <w:b/>
          <w:bCs/>
          <w:sz w:val="24"/>
        </w:rPr>
        <w:t>less</w:t>
      </w:r>
      <w:r w:rsidRPr="001E1E41">
        <w:rPr>
          <w:rFonts w:ascii="Times New Roman Bold" w:hAnsi="Times New Roman Bold"/>
          <w:b/>
          <w:bCs/>
          <w:sz w:val="24"/>
        </w:rPr>
        <w:t xml:space="preserve"> than 30 days after receipt of it;</w:t>
      </w:r>
    </w:p>
    <w:p w:rsidR="0076368D" w:rsidRPr="001E1E41" w:rsidP="00FD763D" w14:paraId="2D45D0AA"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Bold" w:hAnsi="Times New Roman Bold"/>
          <w:b/>
          <w:bCs/>
          <w:sz w:val="24"/>
        </w:rPr>
      </w:pPr>
    </w:p>
    <w:p w:rsidR="0052708B" w:rsidRPr="001E1E41" w:rsidP="00FD763D" w14:paraId="6A62D150"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Bold" w:hAnsi="Times New Roman Bold"/>
          <w:b/>
          <w:bCs/>
          <w:sz w:val="24"/>
        </w:rPr>
      </w:pPr>
      <w:r w:rsidRPr="001E1E41">
        <w:rPr>
          <w:rFonts w:ascii="Times New Roman Bold" w:hAnsi="Times New Roman Bold"/>
          <w:b/>
          <w:bCs/>
          <w:sz w:val="24"/>
        </w:rPr>
        <w:t xml:space="preserve">• </w:t>
      </w:r>
      <w:r w:rsidRPr="001E1E41" w:rsidR="0076368D">
        <w:rPr>
          <w:rFonts w:ascii="Times New Roman Bold" w:hAnsi="Times New Roman Bold"/>
          <w:b/>
          <w:bCs/>
          <w:sz w:val="24"/>
        </w:rPr>
        <w:t>r</w:t>
      </w:r>
      <w:r w:rsidRPr="001E1E41">
        <w:rPr>
          <w:rFonts w:ascii="Times New Roman Bold" w:hAnsi="Times New Roman Bold"/>
          <w:b/>
          <w:bCs/>
          <w:sz w:val="24"/>
        </w:rPr>
        <w:t>equiring respondents to submit more than an original and two copies of any document;</w:t>
      </w:r>
    </w:p>
    <w:p w:rsidR="0076368D" w:rsidRPr="001E1E41" w:rsidP="00FD763D" w14:paraId="6C04D5CF"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Bold" w:hAnsi="Times New Roman Bold"/>
          <w:b/>
          <w:bCs/>
          <w:sz w:val="24"/>
        </w:rPr>
      </w:pPr>
    </w:p>
    <w:p w:rsidR="0052708B" w:rsidRPr="001E1E41" w:rsidP="0052708B" w14:paraId="108B47AF"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Bold" w:hAnsi="Times New Roman Bold"/>
          <w:b/>
          <w:bCs/>
          <w:sz w:val="24"/>
        </w:rPr>
      </w:pPr>
      <w:r w:rsidRPr="001E1E41">
        <w:rPr>
          <w:rFonts w:ascii="Times New Roman Bold" w:hAnsi="Times New Roman Bold"/>
          <w:b/>
          <w:bCs/>
          <w:sz w:val="24"/>
        </w:rPr>
        <w:t xml:space="preserve">• </w:t>
      </w:r>
      <w:r w:rsidRPr="001E1E41" w:rsidR="0076368D">
        <w:rPr>
          <w:rFonts w:ascii="Times New Roman Bold" w:hAnsi="Times New Roman Bold"/>
          <w:b/>
          <w:bCs/>
          <w:sz w:val="24"/>
        </w:rPr>
        <w:t>r</w:t>
      </w:r>
      <w:r w:rsidRPr="001E1E41">
        <w:rPr>
          <w:rFonts w:ascii="Times New Roman Bold" w:hAnsi="Times New Roman Bold"/>
          <w:b/>
          <w:bCs/>
          <w:sz w:val="24"/>
        </w:rPr>
        <w:t>equiring respondents to retain records, other than health, medical, government contract, grant-in-aid, or tax records</w:t>
      </w:r>
      <w:r w:rsidRPr="001E1E41" w:rsidR="00FD763D">
        <w:rPr>
          <w:rFonts w:ascii="Times New Roman Bold" w:hAnsi="Times New Roman Bold"/>
          <w:b/>
          <w:bCs/>
          <w:sz w:val="24"/>
        </w:rPr>
        <w:t>,</w:t>
      </w:r>
      <w:r w:rsidRPr="001E1E41">
        <w:rPr>
          <w:rFonts w:ascii="Times New Roman Bold" w:hAnsi="Times New Roman Bold"/>
          <w:b/>
          <w:bCs/>
          <w:sz w:val="24"/>
        </w:rPr>
        <w:t xml:space="preserve"> for more than three years;</w:t>
      </w:r>
    </w:p>
    <w:p w:rsidR="0076368D" w:rsidRPr="001E1E41" w:rsidP="0052708B" w14:paraId="4A49C430"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Bold" w:hAnsi="Times New Roman Bold"/>
          <w:b/>
          <w:bCs/>
          <w:sz w:val="24"/>
        </w:rPr>
      </w:pPr>
    </w:p>
    <w:p w:rsidR="0052708B" w:rsidRPr="001E1E41" w:rsidP="0052708B" w14:paraId="0AF84773"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Bold" w:hAnsi="Times New Roman Bold"/>
          <w:b/>
          <w:bCs/>
          <w:sz w:val="24"/>
        </w:rPr>
      </w:pPr>
      <w:r w:rsidRPr="001E1E41">
        <w:rPr>
          <w:rFonts w:ascii="Times New Roman Bold" w:hAnsi="Times New Roman Bold"/>
          <w:b/>
          <w:bCs/>
          <w:sz w:val="24"/>
        </w:rPr>
        <w:t xml:space="preserve">• </w:t>
      </w:r>
      <w:r w:rsidRPr="001E1E41" w:rsidR="0076368D">
        <w:rPr>
          <w:rFonts w:ascii="Times New Roman Bold" w:hAnsi="Times New Roman Bold"/>
          <w:b/>
          <w:bCs/>
          <w:sz w:val="24"/>
        </w:rPr>
        <w:t>i</w:t>
      </w:r>
      <w:r w:rsidRPr="001E1E41">
        <w:rPr>
          <w:rFonts w:ascii="Times New Roman Bold" w:hAnsi="Times New Roman Bold"/>
          <w:b/>
          <w:bCs/>
          <w:sz w:val="24"/>
        </w:rPr>
        <w:t>n connection with a statistical survey, that is not designed to produce valid and reliable results that can be generalized to the universe of study;</w:t>
      </w:r>
    </w:p>
    <w:p w:rsidR="0076368D" w:rsidRPr="001E1E41" w:rsidP="0052708B" w14:paraId="71D9AA5E"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Bold" w:hAnsi="Times New Roman Bold"/>
          <w:b/>
          <w:bCs/>
          <w:sz w:val="24"/>
        </w:rPr>
      </w:pPr>
    </w:p>
    <w:p w:rsidR="0052708B" w:rsidRPr="001E1E41" w:rsidP="0052708B" w14:paraId="4669BCB4"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Bold" w:hAnsi="Times New Roman Bold"/>
          <w:b/>
          <w:bCs/>
          <w:sz w:val="24"/>
        </w:rPr>
      </w:pPr>
      <w:r w:rsidRPr="001E1E41">
        <w:rPr>
          <w:rFonts w:ascii="Times New Roman Bold" w:hAnsi="Times New Roman Bold"/>
          <w:b/>
          <w:bCs/>
          <w:sz w:val="24"/>
        </w:rPr>
        <w:t xml:space="preserve">• </w:t>
      </w:r>
      <w:r w:rsidRPr="001E1E41" w:rsidR="0076368D">
        <w:rPr>
          <w:rFonts w:ascii="Times New Roman Bold" w:hAnsi="Times New Roman Bold"/>
          <w:b/>
          <w:bCs/>
          <w:sz w:val="24"/>
        </w:rPr>
        <w:t>r</w:t>
      </w:r>
      <w:r w:rsidRPr="001E1E41">
        <w:rPr>
          <w:rFonts w:ascii="Times New Roman Bold" w:hAnsi="Times New Roman Bold"/>
          <w:b/>
          <w:bCs/>
          <w:sz w:val="24"/>
        </w:rPr>
        <w:t>equiring the use of a statistical data classification that has not been reviewed and approved by OMB;</w:t>
      </w:r>
    </w:p>
    <w:p w:rsidR="0076368D" w:rsidRPr="001E1E41" w:rsidP="0052708B" w14:paraId="6179163D"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Bold" w:hAnsi="Times New Roman Bold"/>
          <w:b/>
          <w:bCs/>
          <w:sz w:val="24"/>
        </w:rPr>
      </w:pPr>
    </w:p>
    <w:p w:rsidR="0052708B" w:rsidRPr="001E1E41" w:rsidP="0052708B" w14:paraId="7D56FB9F"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Bold" w:hAnsi="Times New Roman Bold"/>
          <w:b/>
          <w:bCs/>
          <w:sz w:val="24"/>
        </w:rPr>
      </w:pPr>
      <w:r w:rsidRPr="001E1E41">
        <w:rPr>
          <w:rFonts w:ascii="Times New Roman Bold" w:hAnsi="Times New Roman Bold"/>
          <w:b/>
          <w:bCs/>
          <w:sz w:val="24"/>
        </w:rPr>
        <w:t xml:space="preserve">• </w:t>
      </w:r>
      <w:r w:rsidRPr="001E1E41" w:rsidR="0076368D">
        <w:rPr>
          <w:rFonts w:ascii="Times New Roman Bold" w:hAnsi="Times New Roman Bold"/>
          <w:b/>
          <w:bCs/>
          <w:sz w:val="24"/>
        </w:rPr>
        <w:t>t</w:t>
      </w:r>
      <w:r w:rsidRPr="001E1E41">
        <w:rPr>
          <w:rFonts w:ascii="Times New Roman Bold" w:hAnsi="Times New Roman Bold"/>
          <w:b/>
          <w:bCs/>
          <w:sz w:val="24"/>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76368D" w:rsidRPr="001E1E41" w:rsidP="0052708B" w14:paraId="0CFFFE52"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Bold" w:hAnsi="Times New Roman Bold"/>
          <w:b/>
          <w:bCs/>
          <w:sz w:val="24"/>
        </w:rPr>
      </w:pPr>
    </w:p>
    <w:p w:rsidR="0052708B" w:rsidRPr="001E1E41" w:rsidP="0052708B" w14:paraId="53CC577F"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Bold" w:hAnsi="Times New Roman Bold"/>
          <w:b/>
          <w:bCs/>
          <w:sz w:val="24"/>
        </w:rPr>
      </w:pPr>
      <w:r w:rsidRPr="001E1E41">
        <w:rPr>
          <w:rFonts w:ascii="Times New Roman Bold" w:hAnsi="Times New Roman Bold"/>
          <w:b/>
          <w:bCs/>
          <w:sz w:val="24"/>
        </w:rPr>
        <w:t xml:space="preserve">• </w:t>
      </w:r>
      <w:r w:rsidRPr="001E1E41" w:rsidR="0076368D">
        <w:rPr>
          <w:rFonts w:ascii="Times New Roman Bold" w:hAnsi="Times New Roman Bold"/>
          <w:b/>
          <w:bCs/>
          <w:sz w:val="24"/>
        </w:rPr>
        <w:t>r</w:t>
      </w:r>
      <w:r w:rsidRPr="001E1E41">
        <w:rPr>
          <w:rFonts w:ascii="Times New Roman Bold" w:hAnsi="Times New Roman Bold"/>
          <w:b/>
          <w:bCs/>
          <w:sz w:val="24"/>
        </w:rPr>
        <w:t>equiring respondents to submit proprietary trade secret</w:t>
      </w:r>
      <w:r w:rsidRPr="001E1E41" w:rsidR="009D48F4">
        <w:rPr>
          <w:rFonts w:ascii="Times New Roman Bold" w:hAnsi="Times New Roman Bold"/>
          <w:b/>
          <w:bCs/>
          <w:sz w:val="24"/>
        </w:rPr>
        <w:t>s</w:t>
      </w:r>
      <w:r w:rsidRPr="001E1E41">
        <w:rPr>
          <w:rFonts w:ascii="Times New Roman Bold" w:hAnsi="Times New Roman Bold"/>
          <w:b/>
          <w:bCs/>
          <w:sz w:val="24"/>
        </w:rPr>
        <w:t xml:space="preserve">, or other confidential information unless the </w:t>
      </w:r>
      <w:r w:rsidRPr="001E1E41" w:rsidR="009D48F4">
        <w:rPr>
          <w:rFonts w:ascii="Times New Roman Bold" w:hAnsi="Times New Roman Bold"/>
          <w:b/>
          <w:bCs/>
          <w:sz w:val="24"/>
        </w:rPr>
        <w:t>a</w:t>
      </w:r>
      <w:r w:rsidRPr="001E1E41">
        <w:rPr>
          <w:rFonts w:ascii="Times New Roman Bold" w:hAnsi="Times New Roman Bold"/>
          <w:b/>
          <w:bCs/>
          <w:sz w:val="24"/>
        </w:rPr>
        <w:t>gency can demonstrate that it has instituted procedures to protect the information's confidentiality to the extent permitted by law.</w:t>
      </w:r>
    </w:p>
    <w:p w:rsidR="009D48F4" w:rsidRPr="001E1E41" w:rsidP="0052708B" w14:paraId="61457675"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Bold" w:hAnsi="Times New Roman Bold"/>
          <w:b/>
          <w:bCs/>
          <w:sz w:val="24"/>
        </w:rPr>
      </w:pPr>
    </w:p>
    <w:p w:rsidR="00573C3E" w:rsidRPr="00573C3E" w:rsidP="0039729F" w14:paraId="40DE3FBE" w14:textId="77777777">
      <w:pPr>
        <w:pStyle w:val="CommentText"/>
        <w:rPr>
          <w:sz w:val="24"/>
          <w:szCs w:val="24"/>
        </w:rPr>
      </w:pPr>
      <w:r>
        <w:rPr>
          <w:bCs/>
          <w:sz w:val="24"/>
        </w:rPr>
        <w:t>Only conditions 3 and 8</w:t>
      </w:r>
      <w:r w:rsidR="00C0193F">
        <w:rPr>
          <w:bCs/>
          <w:sz w:val="24"/>
        </w:rPr>
        <w:t xml:space="preserve"> (from the question 7 bullets above)</w:t>
      </w:r>
      <w:r>
        <w:rPr>
          <w:bCs/>
          <w:sz w:val="24"/>
        </w:rPr>
        <w:t xml:space="preserve"> </w:t>
      </w:r>
      <w:r w:rsidRPr="009D48F4" w:rsidR="009D48F4">
        <w:rPr>
          <w:bCs/>
          <w:sz w:val="24"/>
        </w:rPr>
        <w:t>apply to the submission of variance applications</w:t>
      </w:r>
      <w:r w:rsidR="009D48F4">
        <w:rPr>
          <w:bCs/>
          <w:sz w:val="24"/>
        </w:rPr>
        <w:t xml:space="preserve">.  Regarding condition 3, </w:t>
      </w:r>
      <w:r w:rsidR="009D48F4">
        <w:rPr>
          <w:sz w:val="24"/>
        </w:rPr>
        <w:t>1905.7(a) requires employers</w:t>
      </w:r>
      <w:r w:rsidR="00C0193F">
        <w:rPr>
          <w:sz w:val="24"/>
        </w:rPr>
        <w:t xml:space="preserve"> that choose to file a variance </w:t>
      </w:r>
      <w:r w:rsidR="00B018F6">
        <w:rPr>
          <w:sz w:val="24"/>
        </w:rPr>
        <w:t>application</w:t>
      </w:r>
      <w:r w:rsidR="009D48F4">
        <w:rPr>
          <w:sz w:val="24"/>
        </w:rPr>
        <w:t xml:space="preserve"> to submit a</w:t>
      </w:r>
      <w:r w:rsidRPr="00FC0B8E" w:rsidR="009D48F4">
        <w:rPr>
          <w:sz w:val="24"/>
        </w:rPr>
        <w:t xml:space="preserve"> typewritten original and six copies</w:t>
      </w:r>
      <w:r w:rsidRPr="00FA7945" w:rsidR="009D48F4">
        <w:rPr>
          <w:b/>
          <w:sz w:val="24"/>
        </w:rPr>
        <w:t xml:space="preserve"> </w:t>
      </w:r>
      <w:r w:rsidRPr="00FC0B8E" w:rsidR="009D48F4">
        <w:rPr>
          <w:sz w:val="24"/>
        </w:rPr>
        <w:t xml:space="preserve">of </w:t>
      </w:r>
      <w:r w:rsidR="00C0193F">
        <w:rPr>
          <w:sz w:val="24"/>
        </w:rPr>
        <w:t>the</w:t>
      </w:r>
      <w:r w:rsidR="009D48F4">
        <w:rPr>
          <w:sz w:val="24"/>
        </w:rPr>
        <w:t xml:space="preserve"> </w:t>
      </w:r>
      <w:r w:rsidRPr="00FC0B8E" w:rsidR="009D48F4">
        <w:rPr>
          <w:sz w:val="24"/>
        </w:rPr>
        <w:t>application</w:t>
      </w:r>
      <w:r w:rsidR="00C0193F">
        <w:rPr>
          <w:sz w:val="24"/>
        </w:rPr>
        <w:t xml:space="preserve"> document.  However</w:t>
      </w:r>
      <w:r w:rsidR="009D48F4">
        <w:rPr>
          <w:sz w:val="24"/>
        </w:rPr>
        <w:t>, as a matter of practice</w:t>
      </w:r>
      <w:r w:rsidR="00C0193F">
        <w:rPr>
          <w:sz w:val="24"/>
        </w:rPr>
        <w:t xml:space="preserve"> and significant reduction of the paperwork burdens</w:t>
      </w:r>
      <w:r w:rsidR="009D48F4">
        <w:rPr>
          <w:sz w:val="24"/>
        </w:rPr>
        <w:t xml:space="preserve">, OSHA </w:t>
      </w:r>
      <w:r w:rsidR="00C0193F">
        <w:rPr>
          <w:sz w:val="24"/>
        </w:rPr>
        <w:t xml:space="preserve">accepts variance applications </w:t>
      </w:r>
      <w:r w:rsidR="00B018F6">
        <w:rPr>
          <w:sz w:val="24"/>
        </w:rPr>
        <w:t>completed</w:t>
      </w:r>
      <w:r w:rsidR="00C0193F">
        <w:rPr>
          <w:sz w:val="24"/>
        </w:rPr>
        <w:t xml:space="preserve"> and submitted online (from OSHA’s “How to Apply for a Variance” website (</w:t>
      </w:r>
      <w:hyperlink r:id="rId10" w:history="1">
        <w:r w:rsidRPr="00871B8D" w:rsidR="00C0193F">
          <w:rPr>
            <w:rStyle w:val="Hyperlink"/>
            <w:sz w:val="24"/>
          </w:rPr>
          <w:t>http://www.osha.gov/dts/otpcal/variances/indes.html)</w:t>
        </w:r>
      </w:hyperlink>
      <w:r w:rsidR="00C0193F">
        <w:rPr>
          <w:sz w:val="24"/>
        </w:rPr>
        <w:t>) or single copies of original applications, written in any format</w:t>
      </w:r>
      <w:r w:rsidR="009D48F4">
        <w:rPr>
          <w:sz w:val="24"/>
        </w:rPr>
        <w:t>.</w:t>
      </w:r>
      <w:r>
        <w:rPr>
          <w:sz w:val="24"/>
        </w:rPr>
        <w:t xml:space="preserve">  Regarding condition </w:t>
      </w:r>
      <w:r w:rsidR="00C0193F">
        <w:rPr>
          <w:sz w:val="24"/>
        </w:rPr>
        <w:t>8</w:t>
      </w:r>
      <w:r>
        <w:rPr>
          <w:sz w:val="24"/>
        </w:rPr>
        <w:t xml:space="preserve">, </w:t>
      </w:r>
      <w:r w:rsidRPr="009D48F4">
        <w:rPr>
          <w:sz w:val="24"/>
          <w:szCs w:val="24"/>
        </w:rPr>
        <w:t xml:space="preserve">the variance application process </w:t>
      </w:r>
      <w:r>
        <w:rPr>
          <w:sz w:val="24"/>
          <w:szCs w:val="24"/>
        </w:rPr>
        <w:t xml:space="preserve">does not </w:t>
      </w:r>
      <w:r w:rsidRPr="00573C3E">
        <w:rPr>
          <w:sz w:val="24"/>
          <w:szCs w:val="24"/>
        </w:rPr>
        <w:t>require</w:t>
      </w:r>
      <w:r>
        <w:rPr>
          <w:sz w:val="24"/>
          <w:szCs w:val="24"/>
        </w:rPr>
        <w:t xml:space="preserve"> employers</w:t>
      </w:r>
      <w:r w:rsidRPr="00573C3E">
        <w:rPr>
          <w:sz w:val="24"/>
          <w:szCs w:val="24"/>
        </w:rPr>
        <w:t xml:space="preserve"> to submit proprietary, trade secret, or confidential information.  However, </w:t>
      </w:r>
      <w:r>
        <w:rPr>
          <w:sz w:val="24"/>
          <w:szCs w:val="24"/>
        </w:rPr>
        <w:t xml:space="preserve">an employer must provide sufficient information about the alternative means of compliance for OSHA to determine its </w:t>
      </w:r>
      <w:r>
        <w:rPr>
          <w:sz w:val="24"/>
        </w:rPr>
        <w:t xml:space="preserve">efficacy, as well as the safety and health protection it affords </w:t>
      </w:r>
      <w:r w:rsidR="009C427D">
        <w:rPr>
          <w:sz w:val="24"/>
        </w:rPr>
        <w:t>workers</w:t>
      </w:r>
      <w:r>
        <w:rPr>
          <w:sz w:val="24"/>
        </w:rPr>
        <w:t xml:space="preserve">.  If this information is proprietary, a trade secret, or confidential, </w:t>
      </w:r>
      <w:r>
        <w:rPr>
          <w:sz w:val="24"/>
          <w:szCs w:val="24"/>
        </w:rPr>
        <w:t>OSHA has r</w:t>
      </w:r>
      <w:r w:rsidR="00ED6148">
        <w:rPr>
          <w:sz w:val="24"/>
          <w:szCs w:val="24"/>
        </w:rPr>
        <w:t xml:space="preserve">egulations </w:t>
      </w:r>
      <w:r w:rsidR="007E2CA8">
        <w:rPr>
          <w:sz w:val="24"/>
          <w:szCs w:val="24"/>
        </w:rPr>
        <w:t xml:space="preserve">that will protect this information </w:t>
      </w:r>
      <w:r w:rsidR="00ED6148">
        <w:rPr>
          <w:sz w:val="24"/>
          <w:szCs w:val="24"/>
        </w:rPr>
        <w:t>(</w:t>
      </w:r>
      <w:r w:rsidR="007E2CA8">
        <w:rPr>
          <w:sz w:val="24"/>
          <w:szCs w:val="24"/>
        </w:rPr>
        <w:t xml:space="preserve">i.e., </w:t>
      </w:r>
      <w:r w:rsidR="00ED6148">
        <w:rPr>
          <w:sz w:val="24"/>
        </w:rPr>
        <w:t>29 CFR 1903.9</w:t>
      </w:r>
      <w:r w:rsidR="007E2CA8">
        <w:rPr>
          <w:sz w:val="24"/>
        </w:rPr>
        <w:t xml:space="preserve"> (</w:t>
      </w:r>
      <w:r w:rsidR="00ED6148">
        <w:rPr>
          <w:sz w:val="24"/>
        </w:rPr>
        <w:t>“Trade secrets”</w:t>
      </w:r>
      <w:r w:rsidR="007E2CA8">
        <w:rPr>
          <w:sz w:val="24"/>
        </w:rPr>
        <w:t>)</w:t>
      </w:r>
      <w:r w:rsidR="00ED6148">
        <w:rPr>
          <w:sz w:val="24"/>
        </w:rPr>
        <w:t xml:space="preserve"> and 29 CFR part 70</w:t>
      </w:r>
      <w:r w:rsidR="007E2CA8">
        <w:rPr>
          <w:sz w:val="24"/>
        </w:rPr>
        <w:t xml:space="preserve"> (</w:t>
      </w:r>
      <w:r w:rsidR="00ED6148">
        <w:rPr>
          <w:sz w:val="24"/>
        </w:rPr>
        <w:t>“Production or disclosure of information or materials”)</w:t>
      </w:r>
      <w:r w:rsidR="007E2CA8">
        <w:rPr>
          <w:sz w:val="24"/>
        </w:rPr>
        <w:t>)</w:t>
      </w:r>
      <w:r w:rsidR="00ED6148">
        <w:rPr>
          <w:sz w:val="24"/>
          <w:szCs w:val="24"/>
        </w:rPr>
        <w:t>.</w:t>
      </w:r>
    </w:p>
    <w:p w:rsidR="0052708B" w:rsidP="0052708B" w14:paraId="294042A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52708B" w:rsidRPr="001E1E41" w:rsidP="0052708B" w14:paraId="214ABAD8" w14:textId="324485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sidRPr="001E1E41">
        <w:rPr>
          <w:b/>
          <w:bCs/>
          <w:sz w:val="24"/>
        </w:rPr>
        <w:t>8.  If applicable, prov</w:t>
      </w:r>
      <w:r w:rsidRPr="001E1E41" w:rsidR="0022314F">
        <w:rPr>
          <w:b/>
          <w:bCs/>
          <w:sz w:val="24"/>
        </w:rPr>
        <w:t>ide a copy and identify the date</w:t>
      </w:r>
      <w:r w:rsidRPr="001E1E41">
        <w:rPr>
          <w:b/>
          <w:bCs/>
          <w:sz w:val="24"/>
        </w:rPr>
        <w:t xml:space="preserve"> and page number </w:t>
      </w:r>
      <w:r w:rsidRPr="001E1E41" w:rsidR="00964E22">
        <w:rPr>
          <w:b/>
          <w:bCs/>
          <w:sz w:val="24"/>
        </w:rPr>
        <w:t xml:space="preserve">of </w:t>
      </w:r>
      <w:r w:rsidR="00964E22">
        <w:rPr>
          <w:b/>
          <w:bCs/>
          <w:sz w:val="24"/>
        </w:rPr>
        <w:t>the</w:t>
      </w:r>
      <w:r w:rsidR="001E3F71">
        <w:rPr>
          <w:b/>
          <w:bCs/>
          <w:sz w:val="24"/>
        </w:rPr>
        <w:t xml:space="preserve"> </w:t>
      </w:r>
      <w:r w:rsidRPr="001E1E41">
        <w:rPr>
          <w:b/>
          <w:bCs/>
          <w:sz w:val="24"/>
        </w:rPr>
        <w:t xml:space="preserve">publication in the Federal Register of the </w:t>
      </w:r>
      <w:r w:rsidRPr="001E1E41" w:rsidR="00F569D2">
        <w:rPr>
          <w:b/>
          <w:bCs/>
          <w:sz w:val="24"/>
        </w:rPr>
        <w:t>a</w:t>
      </w:r>
      <w:r w:rsidRPr="001E1E41">
        <w:rPr>
          <w:b/>
          <w:bCs/>
          <w:sz w:val="24"/>
        </w:rPr>
        <w:t xml:space="preserve">gency's notice, required by 5 CFR 1320.8(d), soliciting comments on the information collection prior to submission to OMB.  Summarize public comments received in response to that notice and describe actions taken by the </w:t>
      </w:r>
      <w:r w:rsidRPr="001E1E41" w:rsidR="00F569D2">
        <w:rPr>
          <w:b/>
          <w:bCs/>
          <w:sz w:val="24"/>
        </w:rPr>
        <w:t>a</w:t>
      </w:r>
      <w:r w:rsidRPr="001E1E41">
        <w:rPr>
          <w:b/>
          <w:bCs/>
          <w:sz w:val="24"/>
        </w:rPr>
        <w:t>gency in response to these comments.  Specifically address comments received on cost and hour burden.</w:t>
      </w:r>
    </w:p>
    <w:p w:rsidR="0052708B" w:rsidRPr="001E1E41" w:rsidP="0052708B" w14:paraId="4AEEBBB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p>
    <w:p w:rsidR="0052708B" w:rsidRPr="001E1E41" w:rsidP="0052708B" w14:paraId="43A3839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sidRPr="001E1E41">
        <w:rPr>
          <w:b/>
          <w:bCs/>
          <w:sz w:val="24"/>
        </w:rPr>
        <w:t xml:space="preserve">Describe efforts to consult with persons outside the </w:t>
      </w:r>
      <w:r w:rsidRPr="001E1E41" w:rsidR="00F569D2">
        <w:rPr>
          <w:b/>
          <w:bCs/>
          <w:sz w:val="24"/>
        </w:rPr>
        <w:t>a</w:t>
      </w:r>
      <w:r w:rsidRPr="001E1E41">
        <w:rPr>
          <w:b/>
          <w:bCs/>
          <w:sz w:val="24"/>
        </w:rPr>
        <w:t>gency to obtain their views on the availability of data, frequency of collection, the clarity of instructions and recordkeeping, disclosure, or reporting format (if any), and on the data elements to be recorded, disclosed, or reported.</w:t>
      </w:r>
    </w:p>
    <w:p w:rsidR="0052708B" w:rsidRPr="001E1E41" w:rsidP="0052708B" w14:paraId="72FC0F3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p>
    <w:p w:rsidR="000F1D58" w:rsidRPr="001E1E41" w:rsidP="0052708B" w14:paraId="4AE0CF9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1E1E41">
        <w:rPr>
          <w:b/>
          <w:bCs/>
          <w:sz w:val="24"/>
        </w:rPr>
        <w:t xml:space="preserve">Consultation with representatives of those from whom information is to be obtained or those who must compile records should occur at least once every 3 years - even if the collection of information activity is the same as in prior periods.  There may be </w:t>
      </w:r>
      <w:r w:rsidRPr="001E1E41">
        <w:rPr>
          <w:b/>
          <w:bCs/>
          <w:sz w:val="24"/>
        </w:rPr>
        <w:t>circumstances that may preclude consultation in a specific situation.  These circumstances should be explained.</w:t>
      </w:r>
    </w:p>
    <w:p w:rsidR="000F1D58" w:rsidP="0052708B" w14:paraId="2D89355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7E416F" w:rsidRPr="00483E45" w:rsidP="007E416F" w14:paraId="03CF2D43" w14:textId="6DB3FDB9">
      <w:pPr>
        <w:rPr>
          <w:rFonts w:eastAsia="Batang"/>
          <w:sz w:val="24"/>
        </w:rPr>
      </w:pPr>
      <w:r w:rsidRPr="00483E45">
        <w:rPr>
          <w:rFonts w:eastAsia="Batang"/>
          <w:sz w:val="24"/>
        </w:rPr>
        <w:t xml:space="preserve">Pursuant to the Paperwork Reduction Act of 1995 (44 U.S.C. 3506(c)(2)(A)), OSHA published a notice in the </w:t>
      </w:r>
      <w:r w:rsidRPr="00483E45">
        <w:rPr>
          <w:rFonts w:eastAsia="Batang"/>
          <w:i/>
          <w:sz w:val="24"/>
        </w:rPr>
        <w:t>Federal</w:t>
      </w:r>
      <w:r w:rsidRPr="00483E45">
        <w:rPr>
          <w:rFonts w:eastAsia="Batang"/>
          <w:sz w:val="24"/>
        </w:rPr>
        <w:t xml:space="preserve"> </w:t>
      </w:r>
      <w:r w:rsidRPr="00483E45">
        <w:rPr>
          <w:rFonts w:eastAsia="Batang"/>
          <w:i/>
          <w:sz w:val="24"/>
        </w:rPr>
        <w:t>Register</w:t>
      </w:r>
      <w:r w:rsidRPr="00483E45">
        <w:rPr>
          <w:rFonts w:eastAsia="Batang"/>
          <w:sz w:val="24"/>
        </w:rPr>
        <w:t xml:space="preserve"> on</w:t>
      </w:r>
      <w:r w:rsidR="00B372FB">
        <w:rPr>
          <w:sz w:val="24"/>
        </w:rPr>
        <w:t xml:space="preserve"> September 16, 2024 </w:t>
      </w:r>
      <w:r w:rsidRPr="00FB468F" w:rsidR="00FB468F">
        <w:rPr>
          <w:sz w:val="24"/>
        </w:rPr>
        <w:t xml:space="preserve"> </w:t>
      </w:r>
      <w:r w:rsidRPr="00666FAA" w:rsidR="00FB468F">
        <w:rPr>
          <w:sz w:val="24"/>
        </w:rPr>
        <w:t>(</w:t>
      </w:r>
      <w:r w:rsidR="00B372FB">
        <w:rPr>
          <w:sz w:val="24"/>
        </w:rPr>
        <w:t xml:space="preserve"> 89</w:t>
      </w:r>
      <w:r w:rsidRPr="00666FAA" w:rsidR="00FB468F">
        <w:rPr>
          <w:sz w:val="24"/>
        </w:rPr>
        <w:t xml:space="preserve"> FR</w:t>
      </w:r>
      <w:r w:rsidR="00B372FB">
        <w:rPr>
          <w:sz w:val="24"/>
        </w:rPr>
        <w:t xml:space="preserve"> 75587</w:t>
      </w:r>
      <w:r w:rsidRPr="005F2314" w:rsidR="00FB468F">
        <w:rPr>
          <w:sz w:val="24"/>
        </w:rPr>
        <w:t>)</w:t>
      </w:r>
      <w:r w:rsidR="00FB468F">
        <w:rPr>
          <w:sz w:val="24"/>
        </w:rPr>
        <w:t xml:space="preserve"> </w:t>
      </w:r>
      <w:r w:rsidRPr="00483E45">
        <w:rPr>
          <w:rFonts w:eastAsia="Batang"/>
          <w:sz w:val="24"/>
        </w:rPr>
        <w:t>soliciting comments</w:t>
      </w:r>
      <w:r w:rsidR="002E620D">
        <w:rPr>
          <w:rFonts w:eastAsia="Batang"/>
          <w:sz w:val="24"/>
        </w:rPr>
        <w:t xml:space="preserve"> on its proposal to extend </w:t>
      </w:r>
      <w:r w:rsidRPr="00483E45">
        <w:rPr>
          <w:rFonts w:eastAsia="Batang"/>
          <w:sz w:val="24"/>
        </w:rPr>
        <w:t xml:space="preserve"> from the public and other interested parties on the information collection requirements contained in the </w:t>
      </w:r>
      <w:r w:rsidRPr="00483E45">
        <w:rPr>
          <w:sz w:val="24"/>
        </w:rPr>
        <w:t>Standards on Variances and Other Relief Under Section 6(b)(6)(A), (29 CFR 1905.10); Variances and Other Relief Under Section 6(d), (29 CFR 1905.11); and Limitations, Variations, Tolerances or Exemptions Under Section 16, (29 CFR 1905.12)</w:t>
      </w:r>
      <w:r w:rsidR="00FB468F">
        <w:rPr>
          <w:sz w:val="24"/>
        </w:rPr>
        <w:t xml:space="preserve"> under </w:t>
      </w:r>
      <w:r w:rsidRPr="00483E45" w:rsidR="00FB468F">
        <w:rPr>
          <w:sz w:val="24"/>
        </w:rPr>
        <w:t>Docket No. OSHA-</w:t>
      </w:r>
      <w:r w:rsidR="00FB468F">
        <w:rPr>
          <w:sz w:val="24"/>
        </w:rPr>
        <w:t>2009-0024</w:t>
      </w:r>
      <w:r w:rsidRPr="00483E45">
        <w:rPr>
          <w:sz w:val="24"/>
        </w:rPr>
        <w:t>.</w:t>
      </w:r>
      <w:r w:rsidRPr="00483E45">
        <w:rPr>
          <w:rFonts w:eastAsia="Batang"/>
          <w:sz w:val="24"/>
        </w:rPr>
        <w:t xml:space="preserve">  Th</w:t>
      </w:r>
      <w:r w:rsidR="00A31380">
        <w:rPr>
          <w:rFonts w:eastAsia="Batang"/>
          <w:sz w:val="24"/>
        </w:rPr>
        <w:t>is</w:t>
      </w:r>
      <w:r w:rsidRPr="00483E45">
        <w:rPr>
          <w:rFonts w:eastAsia="Batang"/>
          <w:sz w:val="24"/>
        </w:rPr>
        <w:t xml:space="preserve"> </w:t>
      </w:r>
      <w:r w:rsidRPr="00483E45" w:rsidR="00A31380">
        <w:rPr>
          <w:rFonts w:eastAsia="Batang"/>
          <w:sz w:val="24"/>
        </w:rPr>
        <w:t xml:space="preserve">notice </w:t>
      </w:r>
      <w:r w:rsidR="00A31380">
        <w:rPr>
          <w:rFonts w:eastAsia="Batang"/>
          <w:sz w:val="24"/>
        </w:rPr>
        <w:t>was</w:t>
      </w:r>
      <w:r w:rsidR="00272534">
        <w:rPr>
          <w:rFonts w:eastAsia="Batang"/>
          <w:sz w:val="24"/>
        </w:rPr>
        <w:t xml:space="preserve"> </w:t>
      </w:r>
      <w:r w:rsidRPr="00483E45">
        <w:rPr>
          <w:rFonts w:eastAsia="Batang"/>
          <w:sz w:val="24"/>
        </w:rPr>
        <w:t xml:space="preserve">part of a preclearance consultation program that provides interested parties with an opportunity to comment on OSHA’s request for an extension by the Office of Management and Budget (OMB) of a previous approval of the information collection requirements found in the above standard. </w:t>
      </w:r>
      <w:r w:rsidRPr="00483E45" w:rsidR="00A31380">
        <w:rPr>
          <w:rFonts w:eastAsia="Batang"/>
          <w:sz w:val="24"/>
        </w:rPr>
        <w:t>The</w:t>
      </w:r>
      <w:r w:rsidR="00A31380">
        <w:rPr>
          <w:rFonts w:eastAsia="Batang"/>
          <w:sz w:val="24"/>
        </w:rPr>
        <w:t xml:space="preserve"> agency</w:t>
      </w:r>
      <w:r w:rsidR="00272534">
        <w:rPr>
          <w:rFonts w:eastAsia="Batang"/>
          <w:sz w:val="24"/>
        </w:rPr>
        <w:t xml:space="preserve"> did </w:t>
      </w:r>
      <w:r w:rsidR="002E620D">
        <w:rPr>
          <w:rFonts w:eastAsia="Batang"/>
          <w:sz w:val="24"/>
        </w:rPr>
        <w:t xml:space="preserve">not </w:t>
      </w:r>
      <w:r w:rsidR="00A31380">
        <w:rPr>
          <w:rFonts w:eastAsia="Batang"/>
          <w:sz w:val="24"/>
        </w:rPr>
        <w:t xml:space="preserve">receive any public </w:t>
      </w:r>
      <w:r w:rsidR="00272534">
        <w:rPr>
          <w:rFonts w:eastAsia="Batang"/>
          <w:sz w:val="24"/>
        </w:rPr>
        <w:t xml:space="preserve">comments in </w:t>
      </w:r>
      <w:r w:rsidR="00A50F91">
        <w:rPr>
          <w:rFonts w:eastAsia="Batang"/>
          <w:sz w:val="24"/>
        </w:rPr>
        <w:t>response to this notice</w:t>
      </w:r>
      <w:r w:rsidRPr="00483E45">
        <w:rPr>
          <w:rFonts w:eastAsia="Batang"/>
          <w:sz w:val="24"/>
        </w:rPr>
        <w:t>.</w:t>
      </w:r>
    </w:p>
    <w:p w:rsidR="007E416F" w:rsidRPr="00483E45" w:rsidP="00AE5E3A" w14:paraId="54D0BF15" w14:textId="77777777">
      <w:pPr>
        <w:widowControl/>
        <w:rPr>
          <w:sz w:val="24"/>
        </w:rPr>
      </w:pPr>
    </w:p>
    <w:p w:rsidR="0052708B" w:rsidRPr="001E1E41" w:rsidP="0052708B" w14:paraId="673F74E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1E1E41">
        <w:rPr>
          <w:b/>
          <w:bCs/>
          <w:sz w:val="24"/>
        </w:rPr>
        <w:t>9.  Explain any decision to provide any payment or gif</w:t>
      </w:r>
      <w:r w:rsidRPr="001E1E41" w:rsidR="00573C3E">
        <w:rPr>
          <w:b/>
          <w:bCs/>
          <w:sz w:val="24"/>
        </w:rPr>
        <w:t xml:space="preserve">t to respondents, other than </w:t>
      </w:r>
      <w:r w:rsidRPr="001E1E41" w:rsidR="000C6F2D">
        <w:rPr>
          <w:b/>
          <w:bCs/>
          <w:sz w:val="24"/>
        </w:rPr>
        <w:t>remuneration</w:t>
      </w:r>
      <w:r w:rsidRPr="001E1E41">
        <w:rPr>
          <w:b/>
          <w:bCs/>
          <w:sz w:val="24"/>
        </w:rPr>
        <w:t xml:space="preserve"> of contractors or grantees</w:t>
      </w:r>
      <w:r w:rsidRPr="0076671C">
        <w:rPr>
          <w:bCs/>
          <w:sz w:val="24"/>
        </w:rPr>
        <w:t>.</w:t>
      </w:r>
    </w:p>
    <w:p w:rsidR="0052708B" w:rsidP="0052708B" w14:paraId="0874877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52708B" w:rsidP="0052708B" w14:paraId="797D3631" w14:textId="1B991D0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The </w:t>
      </w:r>
      <w:r w:rsidR="005F2314">
        <w:rPr>
          <w:sz w:val="24"/>
        </w:rPr>
        <w:t xml:space="preserve">agency </w:t>
      </w:r>
      <w:r>
        <w:rPr>
          <w:sz w:val="24"/>
        </w:rPr>
        <w:t xml:space="preserve">will </w:t>
      </w:r>
      <w:r>
        <w:rPr>
          <w:sz w:val="24"/>
          <w:u w:val="single"/>
        </w:rPr>
        <w:t>not</w:t>
      </w:r>
      <w:r>
        <w:rPr>
          <w:sz w:val="24"/>
        </w:rPr>
        <w:t xml:space="preserve"> provide payments or gifts to the respondents.</w:t>
      </w:r>
    </w:p>
    <w:p w:rsidR="0052708B" w:rsidP="0052708B" w14:paraId="5394F9D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52708B" w:rsidRPr="001E1E41" w:rsidP="0052708B" w14:paraId="1540EF9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1E1E41">
        <w:rPr>
          <w:b/>
          <w:sz w:val="24"/>
        </w:rPr>
        <w:t>1</w:t>
      </w:r>
      <w:r w:rsidRPr="001E1E41">
        <w:rPr>
          <w:b/>
          <w:bCs/>
          <w:sz w:val="24"/>
        </w:rPr>
        <w:t xml:space="preserve">0.  Describe any assurance of confidentiality provided to respondents and the basis for the assurance in statute, regulation, or </w:t>
      </w:r>
      <w:r w:rsidRPr="001E1E41" w:rsidR="005A5B96">
        <w:rPr>
          <w:b/>
          <w:bCs/>
          <w:sz w:val="24"/>
        </w:rPr>
        <w:t>a</w:t>
      </w:r>
      <w:r w:rsidRPr="001E1E41">
        <w:rPr>
          <w:b/>
          <w:bCs/>
          <w:sz w:val="24"/>
        </w:rPr>
        <w:t>gency policy.</w:t>
      </w:r>
    </w:p>
    <w:p w:rsidR="0052708B" w:rsidP="0052708B" w14:paraId="773448D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52708B" w:rsidP="0052708B" w14:paraId="2BDA9FB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OSHA provides no assurance of confidentiality regarding the information included in paperwork required by the variance regulations.  As noted above in Item 7, if employers provide </w:t>
      </w:r>
      <w:r w:rsidR="00E23F95">
        <w:rPr>
          <w:sz w:val="24"/>
        </w:rPr>
        <w:t>proprietary, trade-secret,</w:t>
      </w:r>
      <w:r w:rsidR="001E39A3">
        <w:rPr>
          <w:sz w:val="24"/>
        </w:rPr>
        <w:t xml:space="preserve"> </w:t>
      </w:r>
      <w:r w:rsidR="00E23F95">
        <w:rPr>
          <w:sz w:val="24"/>
        </w:rPr>
        <w:t xml:space="preserve">or </w:t>
      </w:r>
      <w:r>
        <w:rPr>
          <w:sz w:val="24"/>
        </w:rPr>
        <w:t>confidential information in describing the alternative means of compliance, OSHA has regulations that will protect this information (i.e., 29 CFR 1903.9 (“Trade secrets”) and 29 CFR part 70 (“Production or disclosure of information or materials”)</w:t>
      </w:r>
      <w:r w:rsidR="0006276C">
        <w:rPr>
          <w:sz w:val="24"/>
        </w:rPr>
        <w:t>)</w:t>
      </w:r>
      <w:r>
        <w:rPr>
          <w:sz w:val="24"/>
        </w:rPr>
        <w:t>.</w:t>
      </w:r>
    </w:p>
    <w:p w:rsidR="0052708B" w:rsidP="0052708B" w14:paraId="7D2F14C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52708B" w:rsidRPr="001E1E41" w:rsidP="0052708B" w14:paraId="123E52C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1E1E41">
        <w:rPr>
          <w:b/>
          <w:bCs/>
          <w:sz w:val="24"/>
        </w:rPr>
        <w:t xml:space="preserve">11.  Provide additional justification for any questions of a sensitive nature, such as sexual behavior and attitudes, religious beliefs, and other matters that are commonly considered private.  This justification should include the reasons why the </w:t>
      </w:r>
      <w:r w:rsidRPr="001E1E41" w:rsidR="00020CAA">
        <w:rPr>
          <w:b/>
          <w:bCs/>
          <w:sz w:val="24"/>
        </w:rPr>
        <w:t>a</w:t>
      </w:r>
      <w:r w:rsidRPr="001E1E41">
        <w:rPr>
          <w:b/>
          <w:bCs/>
          <w:sz w:val="24"/>
        </w:rPr>
        <w:t>gency considers the questions necessary, the specific uses to be made of the information, the explanation to be given to persons f</w:t>
      </w:r>
      <w:r w:rsidRPr="001E1E41" w:rsidR="001E39A3">
        <w:rPr>
          <w:b/>
          <w:bCs/>
          <w:sz w:val="24"/>
        </w:rPr>
        <w:t>r</w:t>
      </w:r>
      <w:r w:rsidRPr="001E1E41">
        <w:rPr>
          <w:b/>
          <w:bCs/>
          <w:sz w:val="24"/>
        </w:rPr>
        <w:t>om whom the information is requested, and any steps to be taken to obtain their consent.</w:t>
      </w:r>
    </w:p>
    <w:p w:rsidR="0052708B" w:rsidRPr="0076671C" w:rsidP="0052708B" w14:paraId="7BFA15E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52708B" w:rsidP="0052708B" w14:paraId="4427EE1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None of the provisions in the </w:t>
      </w:r>
      <w:r w:rsidR="00020CAA">
        <w:rPr>
          <w:sz w:val="24"/>
        </w:rPr>
        <w:t>variance r</w:t>
      </w:r>
      <w:r>
        <w:rPr>
          <w:sz w:val="24"/>
        </w:rPr>
        <w:t>egulation</w:t>
      </w:r>
      <w:r w:rsidR="00020CAA">
        <w:rPr>
          <w:sz w:val="24"/>
        </w:rPr>
        <w:t>s</w:t>
      </w:r>
      <w:r>
        <w:rPr>
          <w:sz w:val="24"/>
        </w:rPr>
        <w:t xml:space="preserve"> requires employers to include sensitive information in </w:t>
      </w:r>
      <w:r w:rsidR="00020CAA">
        <w:rPr>
          <w:sz w:val="24"/>
        </w:rPr>
        <w:t xml:space="preserve">variance </w:t>
      </w:r>
      <w:r>
        <w:rPr>
          <w:sz w:val="24"/>
        </w:rPr>
        <w:t xml:space="preserve">applications </w:t>
      </w:r>
      <w:r w:rsidR="00020CAA">
        <w:rPr>
          <w:sz w:val="24"/>
        </w:rPr>
        <w:t>or related documents</w:t>
      </w:r>
      <w:r>
        <w:rPr>
          <w:sz w:val="24"/>
        </w:rPr>
        <w:t>.</w:t>
      </w:r>
    </w:p>
    <w:p w:rsidR="0052708B" w:rsidRPr="0076671C" w:rsidP="0052708B" w14:paraId="4AE54C1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52708B" w:rsidRPr="001E1E41" w:rsidP="0052708B" w14:paraId="59A595A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sidRPr="001E1E41">
        <w:rPr>
          <w:b/>
          <w:bCs/>
          <w:sz w:val="24"/>
        </w:rPr>
        <w:t>12.  Provide estimates of the hour burden of the collection of information.  The statement should:</w:t>
      </w:r>
    </w:p>
    <w:p w:rsidR="0076368D" w:rsidRPr="001E1E41" w:rsidP="0052708B" w14:paraId="406B0C7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p>
    <w:p w:rsidR="0052708B" w:rsidRPr="001E1E41" w:rsidP="00020CAA" w14:paraId="65C9570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sidRPr="001E1E41">
        <w:rPr>
          <w:rFonts w:ascii="Albertus Extra Bold" w:hAnsi="Albertus Extra Bold"/>
          <w:b/>
          <w:bCs/>
          <w:sz w:val="24"/>
        </w:rPr>
        <w:t xml:space="preserve">• </w:t>
      </w:r>
      <w:r w:rsidRPr="001E1E41">
        <w:rPr>
          <w:b/>
          <w:bCs/>
          <w:sz w:val="24"/>
        </w:rPr>
        <w:t>Indicate the number of respondents, frequency of response, annual hour burden, and an</w:t>
      </w:r>
      <w:r w:rsidR="006805BD">
        <w:rPr>
          <w:b/>
          <w:bCs/>
          <w:sz w:val="24"/>
        </w:rPr>
        <w:t xml:space="preserve"> </w:t>
      </w:r>
      <w:r w:rsidRPr="001E1E41">
        <w:rPr>
          <w:b/>
          <w:bCs/>
          <w:sz w:val="24"/>
        </w:rPr>
        <w:t>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76368D" w:rsidRPr="001E1E41" w:rsidP="00020CAA" w14:paraId="781C19FA"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lbertus Extra Bold" w:hAnsi="Albertus Extra Bold"/>
          <w:b/>
          <w:bCs/>
          <w:sz w:val="24"/>
        </w:rPr>
      </w:pPr>
    </w:p>
    <w:p w:rsidR="0052708B" w:rsidRPr="001E1E41" w:rsidP="00020CAA" w14:paraId="691D90BE"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sidRPr="001E1E41">
        <w:rPr>
          <w:rFonts w:ascii="Albertus Extra Bold" w:hAnsi="Albertus Extra Bold"/>
          <w:b/>
          <w:bCs/>
          <w:sz w:val="24"/>
        </w:rPr>
        <w:t xml:space="preserve">• </w:t>
      </w:r>
      <w:r w:rsidRPr="001E1E41">
        <w:rPr>
          <w:b/>
          <w:bCs/>
          <w:sz w:val="24"/>
        </w:rPr>
        <w:t>If this request for approval covers more than one form, provide separate hour burden estimate for estimates for each form</w:t>
      </w:r>
      <w:r w:rsidRPr="001E1E41" w:rsidR="00756F6A">
        <w:rPr>
          <w:b/>
          <w:bCs/>
          <w:sz w:val="24"/>
        </w:rPr>
        <w:t>.</w:t>
      </w:r>
    </w:p>
    <w:p w:rsidR="0076368D" w:rsidRPr="001E1E41" w:rsidP="00020CAA" w14:paraId="2E46ABDB"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lbertus Extra Bold" w:hAnsi="Albertus Extra Bold"/>
          <w:b/>
          <w:bCs/>
          <w:sz w:val="24"/>
        </w:rPr>
      </w:pPr>
    </w:p>
    <w:p w:rsidR="0076368D" w:rsidRPr="001E1E41" w:rsidP="00020CAA" w14:paraId="683BBA70" w14:textId="1201A96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sidRPr="001E1E41">
        <w:rPr>
          <w:rFonts w:ascii="Albertus Extra Bold" w:hAnsi="Albertus Extra Bold"/>
          <w:b/>
          <w:bCs/>
          <w:sz w:val="24"/>
        </w:rPr>
        <w:t xml:space="preserve">• </w:t>
      </w:r>
      <w:r w:rsidRPr="001E1E41">
        <w:rPr>
          <w:b/>
          <w:bCs/>
          <w:sz w:val="24"/>
        </w:rPr>
        <w:t>Provide estimates of annualized cost to respondents for the hour burdens for collection of information, identifying and using appropriate wage rate categories.  The cost of contracting out or paying outside parties for information collection activities should not be included here.  Instead, this cost should be included in Item</w:t>
      </w:r>
      <w:r w:rsidR="00C97B2D">
        <w:rPr>
          <w:b/>
          <w:bCs/>
          <w:sz w:val="24"/>
        </w:rPr>
        <w:t xml:space="preserve"> </w:t>
      </w:r>
      <w:r w:rsidR="006834F0">
        <w:rPr>
          <w:b/>
          <w:bCs/>
          <w:sz w:val="24"/>
        </w:rPr>
        <w:t>13</w:t>
      </w:r>
      <w:r w:rsidRPr="001E1E41" w:rsidR="00756F6A">
        <w:rPr>
          <w:b/>
          <w:bCs/>
          <w:sz w:val="24"/>
        </w:rPr>
        <w:t>.</w:t>
      </w:r>
    </w:p>
    <w:p w:rsidR="0076368D" w:rsidP="00020CAA" w14:paraId="566C3846"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0"/>
        </w:rPr>
      </w:pPr>
    </w:p>
    <w:p w:rsidR="001240F0" w:rsidRPr="001E1E41" w:rsidP="00DA3161" w14:paraId="10B7AA4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1E1E41">
        <w:rPr>
          <w:b/>
          <w:sz w:val="24"/>
        </w:rPr>
        <w:t>Respondent Burden Hour and Cost Burden Determinations</w:t>
      </w:r>
    </w:p>
    <w:p w:rsidR="001240F0" w:rsidP="00DA3161" w14:paraId="710B246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C0193F" w:rsidP="00DA3161" w14:paraId="53806460" w14:textId="2E4032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746D0C">
        <w:rPr>
          <w:sz w:val="24"/>
        </w:rPr>
        <w:t xml:space="preserve">Based on </w:t>
      </w:r>
      <w:r w:rsidRPr="00746D0C" w:rsidR="00FC076C">
        <w:rPr>
          <w:sz w:val="24"/>
        </w:rPr>
        <w:t xml:space="preserve">its </w:t>
      </w:r>
      <w:r w:rsidRPr="00746D0C">
        <w:rPr>
          <w:sz w:val="24"/>
        </w:rPr>
        <w:t xml:space="preserve">experience, OSHA estimates that </w:t>
      </w:r>
      <w:r w:rsidRPr="00746D0C" w:rsidR="00FC076C">
        <w:rPr>
          <w:sz w:val="24"/>
        </w:rPr>
        <w:t xml:space="preserve">it </w:t>
      </w:r>
      <w:r w:rsidRPr="00746D0C" w:rsidR="00AA3AA9">
        <w:rPr>
          <w:sz w:val="24"/>
        </w:rPr>
        <w:t xml:space="preserve">receives approximately 12 variance applications </w:t>
      </w:r>
      <w:r w:rsidR="00386AF7">
        <w:rPr>
          <w:sz w:val="24"/>
        </w:rPr>
        <w:t>yearly</w:t>
      </w:r>
      <w:r w:rsidRPr="00746D0C" w:rsidR="00691ED2">
        <w:rPr>
          <w:sz w:val="24"/>
        </w:rPr>
        <w:t xml:space="preserve">; over </w:t>
      </w:r>
      <w:r w:rsidRPr="00746D0C" w:rsidR="00487C9A">
        <w:rPr>
          <w:sz w:val="24"/>
        </w:rPr>
        <w:t>83</w:t>
      </w:r>
      <w:r w:rsidRPr="00746D0C" w:rsidR="00691ED2">
        <w:rPr>
          <w:sz w:val="24"/>
        </w:rPr>
        <w:t xml:space="preserve">% of variance applications </w:t>
      </w:r>
      <w:r w:rsidRPr="00746D0C" w:rsidR="004C2408">
        <w:rPr>
          <w:sz w:val="24"/>
        </w:rPr>
        <w:t xml:space="preserve">are </w:t>
      </w:r>
      <w:r w:rsidRPr="00746D0C" w:rsidR="00691ED2">
        <w:rPr>
          <w:sz w:val="24"/>
        </w:rPr>
        <w:t>for permanent variances</w:t>
      </w:r>
      <w:r w:rsidRPr="00746D0C">
        <w:rPr>
          <w:sz w:val="24"/>
        </w:rPr>
        <w:t xml:space="preserve">.  Table </w:t>
      </w:r>
      <w:r w:rsidR="00FE735D">
        <w:rPr>
          <w:sz w:val="24"/>
        </w:rPr>
        <w:t>2</w:t>
      </w:r>
      <w:r w:rsidRPr="00746D0C">
        <w:rPr>
          <w:sz w:val="24"/>
        </w:rPr>
        <w:t xml:space="preserve"> below </w:t>
      </w:r>
      <w:r w:rsidR="003578EF">
        <w:rPr>
          <w:sz w:val="24"/>
        </w:rPr>
        <w:t>summarizes</w:t>
      </w:r>
      <w:r w:rsidRPr="00746D0C">
        <w:rPr>
          <w:sz w:val="24"/>
        </w:rPr>
        <w:t xml:space="preserve"> the </w:t>
      </w:r>
      <w:r w:rsidRPr="00746D0C" w:rsidR="00EC26F2">
        <w:rPr>
          <w:sz w:val="24"/>
        </w:rPr>
        <w:t xml:space="preserve">annual </w:t>
      </w:r>
      <w:r w:rsidRPr="00746D0C">
        <w:rPr>
          <w:sz w:val="24"/>
        </w:rPr>
        <w:t>burden</w:t>
      </w:r>
      <w:r w:rsidRPr="00746D0C" w:rsidR="00EC26F2">
        <w:rPr>
          <w:sz w:val="24"/>
        </w:rPr>
        <w:t xml:space="preserve"> </w:t>
      </w:r>
      <w:r w:rsidRPr="00746D0C">
        <w:rPr>
          <w:sz w:val="24"/>
        </w:rPr>
        <w:t>hour</w:t>
      </w:r>
      <w:r w:rsidRPr="00746D0C" w:rsidR="00EC26F2">
        <w:rPr>
          <w:sz w:val="24"/>
        </w:rPr>
        <w:t>s</w:t>
      </w:r>
      <w:r w:rsidRPr="00746D0C">
        <w:rPr>
          <w:sz w:val="24"/>
        </w:rPr>
        <w:t xml:space="preserve"> and cost required for </w:t>
      </w:r>
      <w:r w:rsidRPr="00746D0C" w:rsidR="00FC076C">
        <w:rPr>
          <w:sz w:val="24"/>
        </w:rPr>
        <w:t xml:space="preserve">employers </w:t>
      </w:r>
      <w:r w:rsidRPr="00746D0C" w:rsidR="00EC26F2">
        <w:rPr>
          <w:sz w:val="24"/>
        </w:rPr>
        <w:t xml:space="preserve">to perform each of the tasks necessary </w:t>
      </w:r>
      <w:r w:rsidRPr="00746D0C">
        <w:rPr>
          <w:sz w:val="24"/>
        </w:rPr>
        <w:t>to complete t</w:t>
      </w:r>
      <w:r w:rsidRPr="00746D0C" w:rsidR="005F6B07">
        <w:rPr>
          <w:sz w:val="24"/>
        </w:rPr>
        <w:t>he</w:t>
      </w:r>
      <w:r w:rsidRPr="00746D0C">
        <w:rPr>
          <w:sz w:val="24"/>
        </w:rPr>
        <w:t xml:space="preserve"> paperwork requirements</w:t>
      </w:r>
      <w:r w:rsidRPr="00746D0C" w:rsidR="005F6B07">
        <w:rPr>
          <w:sz w:val="24"/>
        </w:rPr>
        <w:t xml:space="preserve"> associated with variance application</w:t>
      </w:r>
      <w:r w:rsidRPr="00746D0C" w:rsidR="00EC26F2">
        <w:rPr>
          <w:sz w:val="24"/>
        </w:rPr>
        <w:t>s</w:t>
      </w:r>
      <w:r w:rsidRPr="00746D0C" w:rsidR="00661292">
        <w:rPr>
          <w:sz w:val="24"/>
        </w:rPr>
        <w:t>.</w:t>
      </w:r>
    </w:p>
    <w:p w:rsidR="00DA3161" w:rsidP="00DA3161" w14:paraId="7F97928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DA3161" w:rsidRPr="00671AEF" w:rsidP="00DA3161" w14:paraId="74DC8B0C" w14:textId="7D7484C7">
      <w:pPr>
        <w:rPr>
          <w:sz w:val="24"/>
        </w:rPr>
      </w:pPr>
      <w:r w:rsidRPr="00671AEF">
        <w:rPr>
          <w:sz w:val="24"/>
        </w:rPr>
        <w:t xml:space="preserve">The </w:t>
      </w:r>
      <w:r w:rsidR="005F2314">
        <w:rPr>
          <w:sz w:val="24"/>
        </w:rPr>
        <w:t xml:space="preserve">agency </w:t>
      </w:r>
      <w:r w:rsidRPr="00671AEF">
        <w:rPr>
          <w:sz w:val="24"/>
        </w:rPr>
        <w:t>determined the wage rate from mean hourly wage earnings to represent the cost of employee time.  For the relevant standard occupational classification category, OSHA used the wage rates reported in the Bureau of Labor Statistics, U.S. Department of Labor</w:t>
      </w:r>
      <w:r w:rsidR="00C237E8">
        <w:rPr>
          <w:sz w:val="24"/>
        </w:rPr>
        <w:t>,</w:t>
      </w:r>
      <w:r w:rsidRPr="00671AEF">
        <w:rPr>
          <w:sz w:val="24"/>
        </w:rPr>
        <w:t> </w:t>
      </w:r>
      <w:r w:rsidRPr="00671AEF">
        <w:rPr>
          <w:i/>
          <w:iCs/>
          <w:sz w:val="24"/>
        </w:rPr>
        <w:t xml:space="preserve">Occupational Employment </w:t>
      </w:r>
      <w:r w:rsidR="00387B63">
        <w:rPr>
          <w:i/>
          <w:iCs/>
          <w:sz w:val="24"/>
        </w:rPr>
        <w:t xml:space="preserve">and Wage </w:t>
      </w:r>
      <w:r w:rsidRPr="00671AEF">
        <w:rPr>
          <w:i/>
          <w:iCs/>
          <w:sz w:val="24"/>
        </w:rPr>
        <w:t>Statistics (OE</w:t>
      </w:r>
      <w:r w:rsidR="00387B63">
        <w:rPr>
          <w:i/>
          <w:iCs/>
          <w:sz w:val="24"/>
        </w:rPr>
        <w:t>W</w:t>
      </w:r>
      <w:r w:rsidRPr="00671AEF">
        <w:rPr>
          <w:i/>
          <w:iCs/>
          <w:sz w:val="24"/>
        </w:rPr>
        <w:t xml:space="preserve">S), May </w:t>
      </w:r>
      <w:r w:rsidRPr="00671AEF" w:rsidR="00FF3024">
        <w:rPr>
          <w:i/>
          <w:iCs/>
          <w:sz w:val="24"/>
        </w:rPr>
        <w:t>20</w:t>
      </w:r>
      <w:r w:rsidR="00FF3024">
        <w:rPr>
          <w:i/>
          <w:iCs/>
          <w:sz w:val="24"/>
        </w:rPr>
        <w:t>23</w:t>
      </w:r>
      <w:r w:rsidRPr="00671AEF" w:rsidR="00FF3024">
        <w:rPr>
          <w:sz w:val="24"/>
        </w:rPr>
        <w:t xml:space="preserve"> </w:t>
      </w:r>
      <w:r w:rsidRPr="00671AEF">
        <w:rPr>
          <w:sz w:val="24"/>
        </w:rPr>
        <w:t>[</w:t>
      </w:r>
      <w:r w:rsidR="0094015F">
        <w:rPr>
          <w:sz w:val="24"/>
        </w:rPr>
        <w:t>date accessed: July 31, 2024</w:t>
      </w:r>
      <w:r w:rsidRPr="00671AEF">
        <w:rPr>
          <w:sz w:val="24"/>
        </w:rPr>
        <w:t>].  (OE</w:t>
      </w:r>
      <w:r w:rsidR="00387B63">
        <w:rPr>
          <w:sz w:val="24"/>
        </w:rPr>
        <w:t>W</w:t>
      </w:r>
      <w:r w:rsidRPr="00671AEF">
        <w:rPr>
          <w:sz w:val="24"/>
        </w:rPr>
        <w:t xml:space="preserve">S data is available at </w:t>
      </w:r>
      <w:hyperlink r:id="rId11" w:history="1">
        <w:r w:rsidRPr="00671AEF">
          <w:rPr>
            <w:color w:val="0000FF"/>
            <w:sz w:val="24"/>
            <w:u w:val="single"/>
          </w:rPr>
          <w:t>https://www.bls.gov/oes/tables.htm</w:t>
        </w:r>
      </w:hyperlink>
      <w:r w:rsidRPr="00671AEF">
        <w:rPr>
          <w:sz w:val="24"/>
        </w:rPr>
        <w:t>.  To access a wage rate, select the year, “Occupation Profiles,” and the Standard Occupational Classification (SOC) code.)</w:t>
      </w:r>
    </w:p>
    <w:p w:rsidR="00FF3024" w:rsidRPr="00671AEF" w:rsidP="00DA3161" w14:paraId="37DD71EA" w14:textId="77777777">
      <w:pPr>
        <w:rPr>
          <w:sz w:val="24"/>
        </w:rPr>
      </w:pPr>
    </w:p>
    <w:p w:rsidR="00666FAA" w:rsidP="00DA3161" w14:paraId="1D3B5B08" w14:textId="3EC47678">
      <w:pPr>
        <w:rPr>
          <w:sz w:val="24"/>
        </w:rPr>
      </w:pPr>
      <w:r w:rsidRPr="00671AEF">
        <w:rPr>
          <w:sz w:val="24"/>
        </w:rPr>
        <w:t xml:space="preserve">To account for fringe benefits, the </w:t>
      </w:r>
      <w:r w:rsidR="005F2314">
        <w:rPr>
          <w:sz w:val="24"/>
        </w:rPr>
        <w:t xml:space="preserve">agency </w:t>
      </w:r>
      <w:r w:rsidRPr="00671AEF">
        <w:rPr>
          <w:sz w:val="24"/>
        </w:rPr>
        <w:t xml:space="preserve">used the Bureau of Labor Statistics’ (BLS) </w:t>
      </w:r>
      <w:r w:rsidRPr="00671AEF">
        <w:rPr>
          <w:i/>
          <w:iCs/>
          <w:sz w:val="24"/>
        </w:rPr>
        <w:t xml:space="preserve">Occupational Employment </w:t>
      </w:r>
      <w:r w:rsidR="00387B63">
        <w:rPr>
          <w:i/>
          <w:iCs/>
          <w:sz w:val="24"/>
        </w:rPr>
        <w:t xml:space="preserve">and Wage </w:t>
      </w:r>
      <w:r w:rsidRPr="00671AEF">
        <w:rPr>
          <w:i/>
          <w:iCs/>
          <w:sz w:val="24"/>
        </w:rPr>
        <w:t>Statistics (OE</w:t>
      </w:r>
      <w:r w:rsidR="00387B63">
        <w:rPr>
          <w:i/>
          <w:iCs/>
          <w:sz w:val="24"/>
        </w:rPr>
        <w:t>W</w:t>
      </w:r>
      <w:r w:rsidRPr="00671AEF">
        <w:rPr>
          <w:i/>
          <w:iCs/>
          <w:sz w:val="24"/>
        </w:rPr>
        <w:t>S) (20</w:t>
      </w:r>
      <w:r w:rsidR="00387B63">
        <w:rPr>
          <w:i/>
          <w:iCs/>
          <w:sz w:val="24"/>
        </w:rPr>
        <w:t>2</w:t>
      </w:r>
      <w:r w:rsidR="00FF3024">
        <w:rPr>
          <w:i/>
          <w:iCs/>
          <w:sz w:val="24"/>
        </w:rPr>
        <w:t>3</w:t>
      </w:r>
      <w:r w:rsidRPr="00671AEF">
        <w:rPr>
          <w:i/>
          <w:iCs/>
          <w:sz w:val="24"/>
        </w:rPr>
        <w:t>). </w:t>
      </w:r>
      <w:r w:rsidR="00C237E8">
        <w:rPr>
          <w:sz w:val="24"/>
        </w:rPr>
        <w:t>The f</w:t>
      </w:r>
      <w:r w:rsidRPr="00671AEF">
        <w:rPr>
          <w:sz w:val="24"/>
        </w:rPr>
        <w:t xml:space="preserve">ringe markup is from the following BLS </w:t>
      </w:r>
      <w:r w:rsidR="00C237E8">
        <w:rPr>
          <w:sz w:val="24"/>
        </w:rPr>
        <w:t xml:space="preserve">news </w:t>
      </w:r>
      <w:r w:rsidRPr="00671AEF">
        <w:rPr>
          <w:sz w:val="24"/>
        </w:rPr>
        <w:t xml:space="preserve">release: </w:t>
      </w:r>
      <w:r w:rsidRPr="00671AEF">
        <w:rPr>
          <w:i/>
          <w:iCs/>
          <w:sz w:val="24"/>
        </w:rPr>
        <w:t>Employer Costs for Employee Compensation</w:t>
      </w:r>
      <w:r w:rsidRPr="00671AEF">
        <w:rPr>
          <w:sz w:val="24"/>
        </w:rPr>
        <w:t xml:space="preserve">; released 10:00 AM (EDT), </w:t>
      </w:r>
      <w:r w:rsidR="00FF3024">
        <w:rPr>
          <w:sz w:val="24"/>
        </w:rPr>
        <w:t xml:space="preserve">June 18, 2024 </w:t>
      </w:r>
      <w:r w:rsidRPr="00671AEF">
        <w:rPr>
          <w:sz w:val="24"/>
        </w:rPr>
        <w:t>(</w:t>
      </w:r>
      <w:hyperlink r:id="rId12" w:history="1">
        <w:r w:rsidRPr="00231394">
          <w:rPr>
            <w:rStyle w:val="Hyperlink"/>
            <w:sz w:val="24"/>
          </w:rPr>
          <w:t>https://www.bls.gov/news.release/pdf/ecec.pdf</w:t>
        </w:r>
      </w:hyperlink>
      <w:r w:rsidRPr="00671AEF">
        <w:rPr>
          <w:i/>
          <w:iCs/>
          <w:sz w:val="24"/>
        </w:rPr>
        <w:t xml:space="preserve">). </w:t>
      </w:r>
      <w:r w:rsidRPr="00671AEF">
        <w:rPr>
          <w:sz w:val="24"/>
        </w:rPr>
        <w:t xml:space="preserve">BLS reported that for </w:t>
      </w:r>
      <w:r w:rsidRPr="001B61DD">
        <w:rPr>
          <w:sz w:val="24"/>
        </w:rPr>
        <w:t>civilian workers,</w:t>
      </w:r>
      <w:r w:rsidRPr="00671AEF">
        <w:rPr>
          <w:sz w:val="24"/>
        </w:rPr>
        <w:t xml:space="preserve"> fringe benefits accounted for </w:t>
      </w:r>
      <w:r w:rsidR="00FF3024">
        <w:rPr>
          <w:sz w:val="24"/>
        </w:rPr>
        <w:t xml:space="preserve">31.7 </w:t>
      </w:r>
      <w:r w:rsidRPr="00671AEF">
        <w:rPr>
          <w:sz w:val="24"/>
        </w:rPr>
        <w:t>percent of total compensation and wages accounted for the remaining</w:t>
      </w:r>
      <w:r w:rsidR="00FF3024">
        <w:rPr>
          <w:sz w:val="24"/>
        </w:rPr>
        <w:t xml:space="preserve"> 68.</w:t>
      </w:r>
      <w:r w:rsidR="00324E35">
        <w:rPr>
          <w:sz w:val="24"/>
        </w:rPr>
        <w:t>3</w:t>
      </w:r>
      <w:r w:rsidR="00FF3024">
        <w:rPr>
          <w:sz w:val="24"/>
        </w:rPr>
        <w:t xml:space="preserve"> </w:t>
      </w:r>
      <w:r w:rsidRPr="00671AEF">
        <w:rPr>
          <w:sz w:val="24"/>
        </w:rPr>
        <w:t xml:space="preserve">percent.  To calculate the loaded hourly wage for each occupation, the </w:t>
      </w:r>
      <w:r w:rsidR="005F2314">
        <w:rPr>
          <w:sz w:val="24"/>
        </w:rPr>
        <w:t xml:space="preserve">agency </w:t>
      </w:r>
      <w:r w:rsidRPr="00671AEF">
        <w:rPr>
          <w:sz w:val="24"/>
        </w:rPr>
        <w:t>divided the mean hourly wage rate by 1 minus the fringe benefits.</w:t>
      </w:r>
    </w:p>
    <w:p w:rsidR="00446688" w:rsidP="00DA3161" w14:paraId="42C91CC9" w14:textId="77777777">
      <w:pPr>
        <w:rPr>
          <w:sz w:val="24"/>
        </w:rPr>
      </w:pPr>
    </w:p>
    <w:p w:rsidR="00446688" w:rsidP="00DA3161" w14:paraId="265292EF" w14:textId="77777777">
      <w:pPr>
        <w:rPr>
          <w:sz w:val="24"/>
        </w:rPr>
      </w:pPr>
    </w:p>
    <w:p w:rsidR="00446688" w:rsidP="00DA3161" w14:paraId="2E082271" w14:textId="77777777">
      <w:pPr>
        <w:rPr>
          <w:sz w:val="24"/>
        </w:rPr>
      </w:pPr>
    </w:p>
    <w:p w:rsidR="00446688" w:rsidP="00DA3161" w14:paraId="62E8851D" w14:textId="77777777">
      <w:pPr>
        <w:rPr>
          <w:sz w:val="24"/>
        </w:rPr>
      </w:pPr>
    </w:p>
    <w:p w:rsidR="00446688" w:rsidP="00DA3161" w14:paraId="0C42A325" w14:textId="77777777">
      <w:pPr>
        <w:rPr>
          <w:sz w:val="24"/>
        </w:rPr>
      </w:pPr>
    </w:p>
    <w:p w:rsidR="00DA3161" w:rsidP="00DA3161" w14:paraId="67344BDB" w14:textId="0E21D19D">
      <w:pPr>
        <w:rPr>
          <w:sz w:val="24"/>
        </w:rPr>
      </w:pPr>
    </w:p>
    <w:p w:rsidR="00DA3161" w:rsidRPr="009354A3" w:rsidP="00DA3161" w14:paraId="626D18C1" w14:textId="4663F4F5">
      <w:pPr>
        <w:jc w:val="center"/>
        <w:rPr>
          <w:b/>
          <w:bCs/>
          <w:sz w:val="24"/>
        </w:rPr>
      </w:pPr>
    </w:p>
    <w:tbl>
      <w:tblPr>
        <w:tblW w:w="10701" w:type="dxa"/>
        <w:tblInd w:w="-1090" w:type="dxa"/>
        <w:tblCellMar>
          <w:left w:w="0" w:type="dxa"/>
          <w:right w:w="0" w:type="dxa"/>
        </w:tblCellMar>
        <w:tblLook w:val="04A0"/>
      </w:tblPr>
      <w:tblGrid>
        <w:gridCol w:w="3142"/>
        <w:gridCol w:w="1984"/>
        <w:gridCol w:w="1829"/>
        <w:gridCol w:w="1878"/>
        <w:gridCol w:w="1868"/>
      </w:tblGrid>
      <w:tr w14:paraId="66F8EB71" w14:textId="77777777" w:rsidTr="00446688">
        <w:tblPrEx>
          <w:tblW w:w="10701" w:type="dxa"/>
          <w:tblInd w:w="-1090" w:type="dxa"/>
          <w:tblCellMar>
            <w:left w:w="0" w:type="dxa"/>
            <w:right w:w="0" w:type="dxa"/>
          </w:tblCellMar>
          <w:tblLook w:val="04A0"/>
        </w:tblPrEx>
        <w:trPr>
          <w:trHeight w:val="301"/>
        </w:trPr>
        <w:tc>
          <w:tcPr>
            <w:tcW w:w="10701" w:type="dxa"/>
            <w:gridSpan w:val="5"/>
            <w:tcBorders>
              <w:top w:val="single" w:sz="8" w:space="0" w:color="auto"/>
              <w:left w:val="single" w:sz="8" w:space="0" w:color="auto"/>
              <w:bottom w:val="single" w:sz="8" w:space="0" w:color="auto"/>
              <w:right w:val="single" w:sz="8" w:space="0" w:color="auto"/>
            </w:tcBorders>
            <w:shd w:val="clear" w:color="auto" w:fill="C5E0B3" w:themeFill="accent6" w:themeFillTint="66"/>
            <w:tcMar>
              <w:top w:w="0" w:type="dxa"/>
              <w:left w:w="108" w:type="dxa"/>
              <w:bottom w:w="0" w:type="dxa"/>
              <w:right w:w="108" w:type="dxa"/>
            </w:tcMar>
            <w:hideMark/>
          </w:tcPr>
          <w:p w:rsidR="00DA3161" w:rsidRPr="00666FAA" w:rsidP="00781F3C" w14:paraId="0E5B7DE1" w14:textId="2211EB92">
            <w:pPr>
              <w:jc w:val="center"/>
              <w:rPr>
                <w:rFonts w:ascii="Calibri" w:hAnsi="Calibri"/>
                <w:sz w:val="24"/>
                <w:highlight w:val="green"/>
              </w:rPr>
            </w:pPr>
            <w:r w:rsidRPr="00EC3B53">
              <w:rPr>
                <w:b/>
                <w:bCs/>
                <w:sz w:val="22"/>
                <w:szCs w:val="22"/>
              </w:rPr>
              <w:t>Table 1 - WAGE HOUR ESTIMATES</w:t>
            </w:r>
          </w:p>
        </w:tc>
      </w:tr>
      <w:tr w14:paraId="5C9A2B3F" w14:textId="77777777" w:rsidTr="00446688">
        <w:tblPrEx>
          <w:tblW w:w="10701" w:type="dxa"/>
          <w:tblInd w:w="-1090" w:type="dxa"/>
          <w:tblCellMar>
            <w:left w:w="0" w:type="dxa"/>
            <w:right w:w="0" w:type="dxa"/>
          </w:tblCellMar>
          <w:tblLook w:val="04A0"/>
        </w:tblPrEx>
        <w:trPr>
          <w:trHeight w:val="1461"/>
        </w:trPr>
        <w:tc>
          <w:tcPr>
            <w:tcW w:w="3142" w:type="dxa"/>
            <w:tcBorders>
              <w:top w:val="nil"/>
              <w:left w:val="single" w:sz="8" w:space="0" w:color="auto"/>
              <w:bottom w:val="single" w:sz="8" w:space="0" w:color="auto"/>
              <w:right w:val="single" w:sz="8" w:space="0" w:color="auto"/>
            </w:tcBorders>
            <w:shd w:val="clear" w:color="auto" w:fill="E2EFD9" w:themeFill="accent6" w:themeFillTint="33"/>
            <w:tcMar>
              <w:top w:w="0" w:type="dxa"/>
              <w:left w:w="108" w:type="dxa"/>
              <w:bottom w:w="0" w:type="dxa"/>
              <w:right w:w="108" w:type="dxa"/>
            </w:tcMar>
            <w:vAlign w:val="center"/>
            <w:hideMark/>
          </w:tcPr>
          <w:p w:rsidR="00DA3161" w:rsidRPr="00FD42E3" w:rsidP="006246F4" w14:paraId="766D2B8F" w14:textId="77777777">
            <w:pPr>
              <w:jc w:val="center"/>
              <w:rPr>
                <w:rFonts w:ascii="Calibri" w:hAnsi="Calibri"/>
                <w:b/>
                <w:bCs/>
                <w:sz w:val="24"/>
              </w:rPr>
            </w:pPr>
            <w:r w:rsidRPr="00FD42E3">
              <w:rPr>
                <w:b/>
                <w:bCs/>
                <w:sz w:val="24"/>
              </w:rPr>
              <w:t>Occupational Title</w:t>
            </w:r>
          </w:p>
        </w:tc>
        <w:tc>
          <w:tcPr>
            <w:tcW w:w="1984" w:type="dxa"/>
            <w:tcBorders>
              <w:top w:val="nil"/>
              <w:left w:val="nil"/>
              <w:bottom w:val="single" w:sz="8" w:space="0" w:color="auto"/>
              <w:right w:val="single" w:sz="8" w:space="0" w:color="auto"/>
            </w:tcBorders>
            <w:shd w:val="clear" w:color="auto" w:fill="E2EFD9" w:themeFill="accent6" w:themeFillTint="33"/>
            <w:tcMar>
              <w:top w:w="0" w:type="dxa"/>
              <w:left w:w="108" w:type="dxa"/>
              <w:bottom w:w="0" w:type="dxa"/>
              <w:right w:w="108" w:type="dxa"/>
            </w:tcMar>
            <w:vAlign w:val="center"/>
            <w:hideMark/>
          </w:tcPr>
          <w:p w:rsidR="00DA3161" w:rsidRPr="00FD42E3" w:rsidP="006246F4" w14:paraId="552D0129" w14:textId="45CF2492">
            <w:pPr>
              <w:jc w:val="center"/>
              <w:rPr>
                <w:rFonts w:ascii="Calibri" w:hAnsi="Calibri"/>
                <w:b/>
                <w:bCs/>
                <w:sz w:val="24"/>
              </w:rPr>
            </w:pPr>
            <w:r>
              <w:rPr>
                <w:b/>
                <w:bCs/>
                <w:sz w:val="24"/>
              </w:rPr>
              <w:t>SOC</w:t>
            </w:r>
            <w:r w:rsidR="00743D6D">
              <w:rPr>
                <w:b/>
                <w:bCs/>
                <w:sz w:val="24"/>
              </w:rPr>
              <w:t xml:space="preserve"> code</w:t>
            </w:r>
          </w:p>
        </w:tc>
        <w:tc>
          <w:tcPr>
            <w:tcW w:w="1829" w:type="dxa"/>
            <w:tcBorders>
              <w:top w:val="nil"/>
              <w:left w:val="nil"/>
              <w:bottom w:val="single" w:sz="8" w:space="0" w:color="auto"/>
              <w:right w:val="single" w:sz="8" w:space="0" w:color="auto"/>
            </w:tcBorders>
            <w:shd w:val="clear" w:color="auto" w:fill="E2EFD9" w:themeFill="accent6" w:themeFillTint="33"/>
            <w:tcMar>
              <w:top w:w="0" w:type="dxa"/>
              <w:left w:w="108" w:type="dxa"/>
              <w:bottom w:w="0" w:type="dxa"/>
              <w:right w:w="108" w:type="dxa"/>
            </w:tcMar>
            <w:vAlign w:val="center"/>
            <w:hideMark/>
          </w:tcPr>
          <w:p w:rsidR="00DA3161" w:rsidRPr="00FD42E3" w:rsidP="006246F4" w14:paraId="3A92779C" w14:textId="592AF66C">
            <w:pPr>
              <w:jc w:val="center"/>
              <w:rPr>
                <w:rFonts w:ascii="Calibri" w:hAnsi="Calibri"/>
                <w:b/>
                <w:bCs/>
                <w:sz w:val="24"/>
              </w:rPr>
            </w:pPr>
            <w:r w:rsidRPr="00FD42E3">
              <w:rPr>
                <w:b/>
                <w:bCs/>
                <w:sz w:val="24"/>
              </w:rPr>
              <w:t>Mean Hour</w:t>
            </w:r>
            <w:r w:rsidRPr="00FD42E3" w:rsidR="00852522">
              <w:rPr>
                <w:b/>
                <w:bCs/>
                <w:sz w:val="24"/>
              </w:rPr>
              <w:t>ly</w:t>
            </w:r>
            <w:r w:rsidRPr="00FD42E3">
              <w:rPr>
                <w:b/>
                <w:bCs/>
                <w:sz w:val="24"/>
              </w:rPr>
              <w:t xml:space="preserve"> Wage Rate</w:t>
            </w:r>
          </w:p>
          <w:p w:rsidR="00DA3161" w:rsidRPr="00FD42E3" w:rsidP="006246F4" w14:paraId="20035CDD" w14:textId="77777777">
            <w:pPr>
              <w:jc w:val="center"/>
              <w:rPr>
                <w:rFonts w:ascii="Calibri" w:hAnsi="Calibri"/>
                <w:b/>
                <w:bCs/>
                <w:sz w:val="24"/>
              </w:rPr>
            </w:pPr>
            <w:r w:rsidRPr="00FD42E3">
              <w:rPr>
                <w:b/>
                <w:bCs/>
                <w:sz w:val="24"/>
              </w:rPr>
              <w:t>(A)</w:t>
            </w:r>
          </w:p>
        </w:tc>
        <w:tc>
          <w:tcPr>
            <w:tcW w:w="1878" w:type="dxa"/>
            <w:tcBorders>
              <w:top w:val="nil"/>
              <w:left w:val="nil"/>
              <w:bottom w:val="single" w:sz="8" w:space="0" w:color="auto"/>
              <w:right w:val="single" w:sz="8" w:space="0" w:color="auto"/>
            </w:tcBorders>
            <w:shd w:val="clear" w:color="auto" w:fill="E2EFD9" w:themeFill="accent6" w:themeFillTint="33"/>
            <w:tcMar>
              <w:top w:w="0" w:type="dxa"/>
              <w:left w:w="108" w:type="dxa"/>
              <w:bottom w:w="0" w:type="dxa"/>
              <w:right w:w="108" w:type="dxa"/>
            </w:tcMar>
            <w:vAlign w:val="center"/>
            <w:hideMark/>
          </w:tcPr>
          <w:p w:rsidR="006246F4" w:rsidP="006246F4" w14:paraId="49533008" w14:textId="77777777">
            <w:pPr>
              <w:jc w:val="center"/>
              <w:rPr>
                <w:b/>
                <w:bCs/>
                <w:sz w:val="24"/>
              </w:rPr>
            </w:pPr>
            <w:r w:rsidRPr="00FD42E3">
              <w:rPr>
                <w:b/>
                <w:bCs/>
                <w:sz w:val="24"/>
              </w:rPr>
              <w:t xml:space="preserve">Fringe Benefits </w:t>
            </w:r>
          </w:p>
          <w:p w:rsidR="00DA3161" w:rsidRPr="00FD42E3" w:rsidP="006246F4" w14:paraId="3C0E3ECF" w14:textId="22B65E7A">
            <w:pPr>
              <w:jc w:val="center"/>
              <w:rPr>
                <w:rFonts w:ascii="Calibri" w:hAnsi="Calibri"/>
                <w:b/>
                <w:bCs/>
                <w:sz w:val="24"/>
              </w:rPr>
            </w:pPr>
            <w:r w:rsidRPr="00FD42E3">
              <w:rPr>
                <w:b/>
                <w:bCs/>
                <w:sz w:val="24"/>
              </w:rPr>
              <w:t>(B)</w:t>
            </w:r>
          </w:p>
        </w:tc>
        <w:tc>
          <w:tcPr>
            <w:tcW w:w="1868" w:type="dxa"/>
            <w:tcBorders>
              <w:top w:val="nil"/>
              <w:left w:val="nil"/>
              <w:bottom w:val="single" w:sz="8" w:space="0" w:color="auto"/>
              <w:right w:val="single" w:sz="8" w:space="0" w:color="auto"/>
            </w:tcBorders>
            <w:shd w:val="clear" w:color="auto" w:fill="E2EFD9" w:themeFill="accent6" w:themeFillTint="33"/>
            <w:tcMar>
              <w:top w:w="0" w:type="dxa"/>
              <w:left w:w="108" w:type="dxa"/>
              <w:bottom w:w="0" w:type="dxa"/>
              <w:right w:w="108" w:type="dxa"/>
            </w:tcMar>
            <w:vAlign w:val="center"/>
            <w:hideMark/>
          </w:tcPr>
          <w:p w:rsidR="00DA3161" w:rsidRPr="00FD42E3" w:rsidP="006246F4" w14:paraId="098C71B4" w14:textId="6D6C40E4">
            <w:pPr>
              <w:jc w:val="center"/>
              <w:rPr>
                <w:rFonts w:ascii="Calibri" w:hAnsi="Calibri"/>
                <w:b/>
                <w:bCs/>
                <w:sz w:val="24"/>
              </w:rPr>
            </w:pPr>
            <w:r w:rsidRPr="00FD42E3">
              <w:rPr>
                <w:b/>
                <w:bCs/>
                <w:sz w:val="24"/>
              </w:rPr>
              <w:t>Loaded Hourly Wage Rate</w:t>
            </w:r>
          </w:p>
          <w:p w:rsidR="00DA3161" w:rsidRPr="00FD42E3" w:rsidP="006246F4" w14:paraId="6BF2CC72" w14:textId="77777777">
            <w:pPr>
              <w:jc w:val="center"/>
              <w:rPr>
                <w:rFonts w:ascii="Calibri" w:hAnsi="Calibri"/>
                <w:b/>
                <w:bCs/>
                <w:sz w:val="24"/>
              </w:rPr>
            </w:pPr>
            <w:r w:rsidRPr="00FD42E3">
              <w:rPr>
                <w:b/>
                <w:bCs/>
                <w:sz w:val="24"/>
              </w:rPr>
              <w:t>(C) = (A)/((1-(B))</w:t>
            </w:r>
          </w:p>
        </w:tc>
      </w:tr>
      <w:tr w14:paraId="6130F95C" w14:textId="77777777" w:rsidTr="00446688">
        <w:tblPrEx>
          <w:tblW w:w="10701" w:type="dxa"/>
          <w:tblInd w:w="-1090" w:type="dxa"/>
          <w:tblCellMar>
            <w:left w:w="0" w:type="dxa"/>
            <w:right w:w="0" w:type="dxa"/>
          </w:tblCellMar>
          <w:tblLook w:val="04A0"/>
        </w:tblPrEx>
        <w:trPr>
          <w:trHeight w:val="745"/>
        </w:trPr>
        <w:tc>
          <w:tcPr>
            <w:tcW w:w="31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161" w:rsidRPr="009354A3" w:rsidP="00781F3C" w14:paraId="2179F737" w14:textId="77777777">
            <w:pPr>
              <w:rPr>
                <w:rFonts w:ascii="Calibri" w:hAnsi="Calibri"/>
                <w:sz w:val="24"/>
              </w:rPr>
            </w:pPr>
            <w:r w:rsidRPr="00DA3161">
              <w:rPr>
                <w:sz w:val="24"/>
              </w:rPr>
              <w:t>Human Resources Assistant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A3161" w:rsidRPr="00E12F77" w:rsidP="000200C4" w14:paraId="5F0DBEF6" w14:textId="77777777">
            <w:pPr>
              <w:jc w:val="center"/>
              <w:rPr>
                <w:sz w:val="24"/>
              </w:rPr>
            </w:pPr>
            <w:r w:rsidRPr="00DA3161">
              <w:rPr>
                <w:sz w:val="24"/>
              </w:rPr>
              <w:t>43-4161</w:t>
            </w:r>
          </w:p>
        </w:tc>
        <w:tc>
          <w:tcPr>
            <w:tcW w:w="1829" w:type="dxa"/>
            <w:tcBorders>
              <w:top w:val="nil"/>
              <w:left w:val="nil"/>
              <w:bottom w:val="single" w:sz="8" w:space="0" w:color="auto"/>
              <w:right w:val="single" w:sz="8" w:space="0" w:color="auto"/>
            </w:tcBorders>
            <w:tcMar>
              <w:top w:w="0" w:type="dxa"/>
              <w:left w:w="108" w:type="dxa"/>
              <w:bottom w:w="0" w:type="dxa"/>
              <w:right w:w="108" w:type="dxa"/>
            </w:tcMar>
            <w:hideMark/>
          </w:tcPr>
          <w:p w:rsidR="00D6326A" w:rsidRPr="00E12F77" w:rsidP="00EC3B53" w14:paraId="2D63D63C" w14:textId="19A682FB">
            <w:pPr>
              <w:jc w:val="center"/>
              <w:rPr>
                <w:sz w:val="24"/>
              </w:rPr>
            </w:pPr>
            <w:r>
              <w:rPr>
                <w:sz w:val="24"/>
              </w:rPr>
              <w:t>$23.46</w:t>
            </w:r>
          </w:p>
        </w:tc>
        <w:tc>
          <w:tcPr>
            <w:tcW w:w="1878" w:type="dxa"/>
            <w:tcBorders>
              <w:top w:val="nil"/>
              <w:left w:val="nil"/>
              <w:bottom w:val="single" w:sz="8" w:space="0" w:color="auto"/>
              <w:right w:val="single" w:sz="8" w:space="0" w:color="auto"/>
            </w:tcBorders>
            <w:tcMar>
              <w:top w:w="0" w:type="dxa"/>
              <w:left w:w="108" w:type="dxa"/>
              <w:bottom w:w="0" w:type="dxa"/>
              <w:right w:w="108" w:type="dxa"/>
            </w:tcMar>
          </w:tcPr>
          <w:p w:rsidR="00D6326A" w:rsidRPr="00666FAA" w:rsidP="000200C4" w14:paraId="6A1E80BB" w14:textId="38DD03C2">
            <w:pPr>
              <w:jc w:val="center"/>
              <w:rPr>
                <w:sz w:val="24"/>
              </w:rPr>
            </w:pPr>
            <w:r w:rsidRPr="00666FAA">
              <w:rPr>
                <w:sz w:val="24"/>
              </w:rPr>
              <w:t>0.31</w:t>
            </w:r>
            <w:r w:rsidR="0068160B">
              <w:rPr>
                <w:sz w:val="24"/>
              </w:rPr>
              <w:t>2</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rsidR="00D6326A" w:rsidRPr="00E12F77" w:rsidP="00EC3B53" w14:paraId="2F3D63F8" w14:textId="3A400126">
            <w:pPr>
              <w:jc w:val="center"/>
              <w:rPr>
                <w:sz w:val="24"/>
              </w:rPr>
            </w:pPr>
            <w:r>
              <w:rPr>
                <w:sz w:val="24"/>
              </w:rPr>
              <w:t>$34.</w:t>
            </w:r>
            <w:r w:rsidR="009E1972">
              <w:rPr>
                <w:sz w:val="24"/>
              </w:rPr>
              <w:t>10</w:t>
            </w:r>
          </w:p>
        </w:tc>
      </w:tr>
    </w:tbl>
    <w:p w:rsidR="00DA3161" w:rsidRPr="009354A3" w:rsidP="00DA3161" w14:paraId="2EDB1737" w14:textId="77777777">
      <w:pPr>
        <w:rPr>
          <w:rFonts w:ascii="ZWAdobeF" w:hAnsi="ZWAdobeF" w:cs="ZWAdobeF"/>
          <w:sz w:val="2"/>
          <w:szCs w:val="2"/>
          <w:vertAlign w:val="superscript"/>
        </w:rPr>
      </w:pPr>
      <w:r w:rsidRPr="009354A3">
        <w:rPr>
          <w:rFonts w:ascii="ZWAdobeF" w:hAnsi="ZWAdobeF" w:cs="ZWAdobeF"/>
          <w:sz w:val="2"/>
          <w:szCs w:val="2"/>
          <w:vertAlign w:val="superscript"/>
        </w:rPr>
        <w:t xml:space="preserve"> </w:t>
      </w:r>
    </w:p>
    <w:p w:rsidR="00DA3161" w:rsidP="00DA3161" w14:paraId="261655D3" w14:textId="77777777">
      <w:pPr>
        <w:rPr>
          <w:sz w:val="24"/>
          <w:u w:val="single"/>
        </w:rPr>
      </w:pPr>
    </w:p>
    <w:p w:rsidR="00BA16CA" w:rsidP="00D65176" w14:paraId="40FC418C" w14:textId="0132CAF5">
      <w:pPr>
        <w:rPr>
          <w:sz w:val="24"/>
        </w:rPr>
      </w:pPr>
      <w:r w:rsidRPr="00FC10C2">
        <w:rPr>
          <w:sz w:val="24"/>
        </w:rPr>
        <w:t xml:space="preserve">Based on its experience, OSHA estimates that it receives approximately 12 </w:t>
      </w:r>
      <w:r>
        <w:rPr>
          <w:sz w:val="24"/>
        </w:rPr>
        <w:t>Variance</w:t>
      </w:r>
      <w:r w:rsidRPr="00FC10C2">
        <w:rPr>
          <w:sz w:val="24"/>
        </w:rPr>
        <w:t xml:space="preserve"> applications </w:t>
      </w:r>
      <w:r w:rsidR="005D1651">
        <w:rPr>
          <w:sz w:val="24"/>
        </w:rPr>
        <w:t>yearly</w:t>
      </w:r>
      <w:r w:rsidRPr="00FC10C2">
        <w:rPr>
          <w:sz w:val="24"/>
        </w:rPr>
        <w:t xml:space="preserve">; over 83% of </w:t>
      </w:r>
      <w:r>
        <w:rPr>
          <w:sz w:val="24"/>
        </w:rPr>
        <w:t>Variance</w:t>
      </w:r>
      <w:r w:rsidRPr="00FC10C2">
        <w:rPr>
          <w:sz w:val="24"/>
        </w:rPr>
        <w:t xml:space="preserve"> applications are for </w:t>
      </w:r>
      <w:r>
        <w:rPr>
          <w:sz w:val="24"/>
        </w:rPr>
        <w:t>Permanent</w:t>
      </w:r>
      <w:r w:rsidRPr="00FC10C2">
        <w:rPr>
          <w:sz w:val="24"/>
        </w:rPr>
        <w:t xml:space="preserve"> </w:t>
      </w:r>
      <w:r>
        <w:rPr>
          <w:sz w:val="24"/>
        </w:rPr>
        <w:t>Variance</w:t>
      </w:r>
      <w:r w:rsidRPr="00FC10C2">
        <w:rPr>
          <w:sz w:val="24"/>
        </w:rPr>
        <w:t xml:space="preserve">s.  </w:t>
      </w:r>
    </w:p>
    <w:p w:rsidR="00BA16CA" w:rsidP="00D65176" w14:paraId="597BEC85" w14:textId="77777777">
      <w:pPr>
        <w:rPr>
          <w:sz w:val="24"/>
        </w:rPr>
      </w:pPr>
    </w:p>
    <w:p w:rsidR="00D65176" w:rsidP="00D65176" w14:paraId="0C38116F" w14:textId="5D482147">
      <w:pPr>
        <w:rPr>
          <w:sz w:val="24"/>
        </w:rPr>
      </w:pPr>
      <w:r w:rsidRPr="00FC10C2">
        <w:rPr>
          <w:sz w:val="24"/>
        </w:rPr>
        <w:t xml:space="preserve">Table 2 below </w:t>
      </w:r>
      <w:r w:rsidR="005D1651">
        <w:rPr>
          <w:sz w:val="24"/>
        </w:rPr>
        <w:t>summarizes</w:t>
      </w:r>
      <w:r w:rsidRPr="00FC10C2">
        <w:rPr>
          <w:sz w:val="24"/>
        </w:rPr>
        <w:t xml:space="preserve"> the annual burden hours and cost required for employers to perform each of the tasks necessary to complete the paperwork requirements associated with </w:t>
      </w:r>
      <w:r>
        <w:rPr>
          <w:sz w:val="24"/>
        </w:rPr>
        <w:t>Variance</w:t>
      </w:r>
      <w:r w:rsidRPr="00FC10C2">
        <w:rPr>
          <w:sz w:val="24"/>
        </w:rPr>
        <w:t xml:space="preserve"> applications.</w:t>
      </w:r>
    </w:p>
    <w:p w:rsidR="00D41717" w:rsidP="00D41717" w14:paraId="40475B74" w14:textId="77777777">
      <w:pPr>
        <w:widowControl/>
        <w:tabs>
          <w:tab w:val="left" w:pos="0"/>
          <w:tab w:val="center" w:pos="4680"/>
          <w:tab w:val="left" w:pos="5040"/>
          <w:tab w:val="left" w:pos="5760"/>
          <w:tab w:val="left" w:pos="6480"/>
          <w:tab w:val="left" w:pos="7200"/>
          <w:tab w:val="left" w:pos="7920"/>
          <w:tab w:val="left" w:pos="8640"/>
          <w:tab w:val="left" w:pos="9360"/>
        </w:tabs>
        <w:rPr>
          <w:sz w:val="24"/>
        </w:rPr>
      </w:pPr>
    </w:p>
    <w:p w:rsidR="00C417A1" w:rsidP="00666FAA" w14:paraId="1D0A4B3C" w14:textId="12632E1D">
      <w:pPr>
        <w:widowControl/>
        <w:tabs>
          <w:tab w:val="left" w:pos="0"/>
          <w:tab w:val="center" w:pos="4680"/>
          <w:tab w:val="left" w:pos="5040"/>
          <w:tab w:val="left" w:pos="5760"/>
          <w:tab w:val="left" w:pos="6480"/>
          <w:tab w:val="left" w:pos="7200"/>
          <w:tab w:val="left" w:pos="7920"/>
          <w:tab w:val="left" w:pos="8640"/>
          <w:tab w:val="left" w:pos="9360"/>
        </w:tabs>
        <w:rPr>
          <w:sz w:val="24"/>
        </w:rPr>
      </w:pPr>
    </w:p>
    <w:p w:rsidR="00A67D58" w:rsidP="00666FAA" w14:paraId="4FBF0625" w14:textId="77777777">
      <w:pPr>
        <w:widowControl/>
        <w:tabs>
          <w:tab w:val="left" w:pos="0"/>
          <w:tab w:val="center" w:pos="4680"/>
          <w:tab w:val="left" w:pos="5040"/>
          <w:tab w:val="left" w:pos="5760"/>
          <w:tab w:val="left" w:pos="6480"/>
          <w:tab w:val="left" w:pos="7200"/>
          <w:tab w:val="left" w:pos="7920"/>
          <w:tab w:val="left" w:pos="8640"/>
          <w:tab w:val="left" w:pos="9360"/>
        </w:tabs>
        <w:rPr>
          <w:sz w:val="24"/>
        </w:rPr>
      </w:pPr>
    </w:p>
    <w:p w:rsidR="00A67D58" w:rsidP="00666FAA" w14:paraId="55A62AD0" w14:textId="77777777">
      <w:pPr>
        <w:widowControl/>
        <w:tabs>
          <w:tab w:val="left" w:pos="0"/>
          <w:tab w:val="center" w:pos="4680"/>
          <w:tab w:val="left" w:pos="5040"/>
          <w:tab w:val="left" w:pos="5760"/>
          <w:tab w:val="left" w:pos="6480"/>
          <w:tab w:val="left" w:pos="7200"/>
          <w:tab w:val="left" w:pos="7920"/>
          <w:tab w:val="left" w:pos="8640"/>
          <w:tab w:val="left" w:pos="9360"/>
        </w:tabs>
        <w:rPr>
          <w:sz w:val="24"/>
        </w:rPr>
        <w:sectPr w:rsidSect="00691ED2">
          <w:headerReference w:type="even" r:id="rId13"/>
          <w:headerReference w:type="default" r:id="rId14"/>
          <w:footerReference w:type="even" r:id="rId15"/>
          <w:footerReference w:type="default" r:id="rId16"/>
          <w:pgSz w:w="12240" w:h="15840" w:code="1"/>
          <w:pgMar w:top="1440" w:right="1800" w:bottom="1440" w:left="1800" w:header="0" w:footer="0" w:gutter="0"/>
          <w:cols w:space="720"/>
          <w:docGrid w:linePitch="360"/>
        </w:sectPr>
      </w:pPr>
    </w:p>
    <w:p w:rsidR="00A67D58" w:rsidP="00666FAA" w14:paraId="2CE79199" w14:textId="77777777">
      <w:pPr>
        <w:widowControl/>
        <w:tabs>
          <w:tab w:val="left" w:pos="0"/>
          <w:tab w:val="center" w:pos="4680"/>
          <w:tab w:val="left" w:pos="5040"/>
          <w:tab w:val="left" w:pos="5760"/>
          <w:tab w:val="left" w:pos="6480"/>
          <w:tab w:val="left" w:pos="7200"/>
          <w:tab w:val="left" w:pos="7920"/>
          <w:tab w:val="left" w:pos="8640"/>
          <w:tab w:val="left" w:pos="9360"/>
        </w:tabs>
        <w:rPr>
          <w:sz w:val="24"/>
        </w:rPr>
      </w:pPr>
    </w:p>
    <w:tbl>
      <w:tblPr>
        <w:tblW w:w="12600" w:type="dxa"/>
        <w:tblInd w:w="-98" w:type="dxa"/>
        <w:tblLayout w:type="fixed"/>
        <w:tblCellMar>
          <w:left w:w="88" w:type="dxa"/>
          <w:right w:w="88" w:type="dxa"/>
        </w:tblCellMar>
        <w:tblLook w:val="0000"/>
      </w:tblPr>
      <w:tblGrid>
        <w:gridCol w:w="3846"/>
        <w:gridCol w:w="1200"/>
        <w:gridCol w:w="1344"/>
        <w:gridCol w:w="1080"/>
        <w:gridCol w:w="1080"/>
        <w:gridCol w:w="906"/>
        <w:gridCol w:w="1344"/>
        <w:gridCol w:w="1800"/>
      </w:tblGrid>
      <w:tr w14:paraId="44AC367B" w14:textId="77777777" w:rsidTr="0053408A">
        <w:tblPrEx>
          <w:tblW w:w="12600" w:type="dxa"/>
          <w:tblInd w:w="-98" w:type="dxa"/>
          <w:tblLayout w:type="fixed"/>
          <w:tblCellMar>
            <w:left w:w="88" w:type="dxa"/>
            <w:right w:w="88" w:type="dxa"/>
          </w:tblCellMar>
          <w:tblLook w:val="0000"/>
        </w:tblPrEx>
        <w:trPr>
          <w:trHeight w:val="360"/>
        </w:trPr>
        <w:tc>
          <w:tcPr>
            <w:tcW w:w="12600" w:type="dxa"/>
            <w:gridSpan w:val="8"/>
            <w:tcBorders>
              <w:top w:val="single" w:sz="6" w:space="0" w:color="000000"/>
              <w:left w:val="single" w:sz="6" w:space="0" w:color="000000"/>
              <w:bottom w:val="single" w:sz="6" w:space="0" w:color="000000"/>
              <w:right w:val="single" w:sz="6" w:space="0" w:color="000000"/>
            </w:tcBorders>
            <w:shd w:val="clear" w:color="auto" w:fill="DEEBF6" w:themeFill="accent1" w:themeFillTint="33"/>
          </w:tcPr>
          <w:p w:rsidR="00847DB5" w:rsidRPr="00666FAA" w:rsidP="00666FAA" w14:paraId="35F64B1C" w14:textId="75DAC8DC">
            <w:pPr>
              <w:rPr>
                <w:sz w:val="22"/>
                <w:szCs w:val="22"/>
              </w:rPr>
            </w:pPr>
            <w:r w:rsidRPr="00666FAA">
              <w:rPr>
                <w:b/>
                <w:bCs/>
                <w:sz w:val="22"/>
                <w:szCs w:val="22"/>
              </w:rPr>
              <w:t>Table 2 - Summary of Annual Estimated Burden Hours and Cost for Employers</w:t>
            </w:r>
            <w:r w:rsidRPr="00666FAA">
              <w:rPr>
                <w:b/>
                <w:sz w:val="22"/>
                <w:szCs w:val="22"/>
              </w:rPr>
              <w:t xml:space="preserve"> t</w:t>
            </w:r>
            <w:r w:rsidRPr="00666FAA">
              <w:rPr>
                <w:b/>
                <w:bCs/>
                <w:sz w:val="22"/>
                <w:szCs w:val="22"/>
              </w:rPr>
              <w:t>o Complete the Required Paperwork</w:t>
            </w:r>
          </w:p>
        </w:tc>
      </w:tr>
      <w:tr w14:paraId="39FB730C" w14:textId="77777777" w:rsidTr="0053408A">
        <w:tblPrEx>
          <w:tblW w:w="12600" w:type="dxa"/>
          <w:tblInd w:w="-98" w:type="dxa"/>
          <w:tblLayout w:type="fixed"/>
          <w:tblCellMar>
            <w:left w:w="88" w:type="dxa"/>
            <w:right w:w="88" w:type="dxa"/>
          </w:tblCellMar>
          <w:tblLook w:val="0000"/>
        </w:tblPrEx>
        <w:trPr>
          <w:trHeight w:val="360"/>
        </w:trPr>
        <w:tc>
          <w:tcPr>
            <w:tcW w:w="3846"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Pr>
          <w:p w:rsidR="00A67D58" w:rsidRPr="0053408A" w:rsidP="00B37275" w14:paraId="2EF4F658" w14:textId="77777777">
            <w:pPr>
              <w:spacing w:after="16"/>
              <w:jc w:val="center"/>
              <w:rPr>
                <w:b/>
                <w:bCs/>
              </w:rPr>
            </w:pPr>
            <w:bookmarkStart w:id="5" w:name="OLE_LINK1"/>
            <w:bookmarkStart w:id="6" w:name="OLE_LINK2"/>
            <w:bookmarkStart w:id="7" w:name="OLE_LINK3"/>
          </w:p>
          <w:p w:rsidR="00A67D58" w:rsidRPr="0053408A" w:rsidP="009C427D" w14:paraId="069B54A1" w14:textId="77777777">
            <w:pPr>
              <w:spacing w:after="16"/>
              <w:jc w:val="center"/>
              <w:rPr>
                <w:b/>
                <w:bCs/>
              </w:rPr>
            </w:pPr>
            <w:r w:rsidRPr="0053408A">
              <w:rPr>
                <w:b/>
                <w:bCs/>
              </w:rPr>
              <w:t>Information Collection Task</w:t>
            </w:r>
          </w:p>
        </w:tc>
        <w:tc>
          <w:tcPr>
            <w:tcW w:w="1200"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tcPr>
          <w:p w:rsidR="00A67D58" w:rsidRPr="0053408A" w:rsidP="0053408A" w14:paraId="100A62FB" w14:textId="77777777">
            <w:pPr>
              <w:jc w:val="center"/>
              <w:rPr>
                <w:b/>
                <w:bCs/>
              </w:rPr>
            </w:pPr>
            <w:r w:rsidRPr="0053408A">
              <w:rPr>
                <w:b/>
                <w:bCs/>
              </w:rPr>
              <w:t>No. of Employers</w:t>
            </w:r>
            <w:r w:rsidRPr="0053408A">
              <w:rPr>
                <w:b/>
                <w:bCs/>
                <w:vertAlign w:val="superscript"/>
              </w:rPr>
              <w:t>1</w:t>
            </w:r>
          </w:p>
        </w:tc>
        <w:tc>
          <w:tcPr>
            <w:tcW w:w="1344"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tcPr>
          <w:p w:rsidR="00A67D58" w:rsidRPr="0053408A" w:rsidP="0053408A" w14:paraId="7983FD63" w14:textId="7A7E5C5B">
            <w:pPr>
              <w:jc w:val="center"/>
              <w:rPr>
                <w:b/>
                <w:bCs/>
              </w:rPr>
            </w:pPr>
            <w:r w:rsidRPr="0053408A">
              <w:rPr>
                <w:b/>
                <w:bCs/>
              </w:rPr>
              <w:t xml:space="preserve"> Responses per Respondents</w:t>
            </w:r>
          </w:p>
        </w:tc>
        <w:tc>
          <w:tcPr>
            <w:tcW w:w="1080"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tcPr>
          <w:p w:rsidR="00A67D58" w:rsidRPr="00A67D58" w:rsidP="0053408A" w14:paraId="668EBE29" w14:textId="3DA49E2C">
            <w:pPr>
              <w:jc w:val="center"/>
              <w:rPr>
                <w:b/>
                <w:bCs/>
              </w:rPr>
            </w:pPr>
            <w:r>
              <w:rPr>
                <w:b/>
                <w:bCs/>
              </w:rPr>
              <w:t>Total Number of Responses</w:t>
            </w:r>
          </w:p>
        </w:tc>
        <w:tc>
          <w:tcPr>
            <w:tcW w:w="1080"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tcPr>
          <w:p w:rsidR="00A67D58" w:rsidRPr="0053408A" w:rsidP="0053408A" w14:paraId="579CC6BC" w14:textId="6EFEEF5F">
            <w:pPr>
              <w:jc w:val="center"/>
              <w:rPr>
                <w:b/>
                <w:bCs/>
              </w:rPr>
            </w:pPr>
            <w:r>
              <w:rPr>
                <w:b/>
                <w:bCs/>
              </w:rPr>
              <w:t>Time</w:t>
            </w:r>
            <w:r w:rsidRPr="0053408A">
              <w:rPr>
                <w:b/>
                <w:bCs/>
              </w:rPr>
              <w:t xml:space="preserve"> per Employer</w:t>
            </w:r>
            <w:r w:rsidRPr="0053408A">
              <w:rPr>
                <w:b/>
                <w:bCs/>
                <w:vertAlign w:val="superscript"/>
              </w:rPr>
              <w:t>2</w:t>
            </w:r>
          </w:p>
        </w:tc>
        <w:tc>
          <w:tcPr>
            <w:tcW w:w="906"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tcPr>
          <w:p w:rsidR="00A67D58" w:rsidRPr="0053408A" w:rsidP="0053408A" w14:paraId="52E62B97" w14:textId="77777777">
            <w:pPr>
              <w:jc w:val="center"/>
              <w:rPr>
                <w:b/>
                <w:bCs/>
              </w:rPr>
            </w:pPr>
            <w:r w:rsidRPr="0053408A">
              <w:rPr>
                <w:b/>
                <w:bCs/>
              </w:rPr>
              <w:t>Burden Hours</w:t>
            </w:r>
          </w:p>
        </w:tc>
        <w:tc>
          <w:tcPr>
            <w:tcW w:w="1344"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tcPr>
          <w:p w:rsidR="00A67D58" w:rsidRPr="0053408A" w:rsidP="0053408A" w14:paraId="632333EB" w14:textId="389E4882">
            <w:pPr>
              <w:jc w:val="center"/>
              <w:rPr>
                <w:b/>
                <w:bCs/>
              </w:rPr>
            </w:pPr>
            <w:r w:rsidRPr="0053408A">
              <w:rPr>
                <w:b/>
                <w:bCs/>
              </w:rPr>
              <w:t xml:space="preserve">Loaded </w:t>
            </w:r>
            <w:r w:rsidR="00B03850">
              <w:rPr>
                <w:b/>
                <w:bCs/>
              </w:rPr>
              <w:t xml:space="preserve">Hourly </w:t>
            </w:r>
            <w:r w:rsidRPr="0053408A">
              <w:rPr>
                <w:b/>
                <w:bCs/>
              </w:rPr>
              <w:t xml:space="preserve">Wage </w:t>
            </w:r>
          </w:p>
        </w:tc>
        <w:tc>
          <w:tcPr>
            <w:tcW w:w="1800"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tcPr>
          <w:p w:rsidR="00A67D58" w:rsidRPr="0053408A" w:rsidP="0053408A" w14:paraId="006EE95E" w14:textId="23D269BD">
            <w:pPr>
              <w:jc w:val="center"/>
              <w:rPr>
                <w:b/>
                <w:bCs/>
              </w:rPr>
            </w:pPr>
            <w:r w:rsidRPr="0053408A">
              <w:rPr>
                <w:b/>
                <w:bCs/>
              </w:rPr>
              <w:t>Cost Burden</w:t>
            </w:r>
            <w:r w:rsidRPr="0053408A">
              <w:rPr>
                <w:b/>
                <w:bCs/>
                <w:vertAlign w:val="superscript"/>
              </w:rPr>
              <w:t>3</w:t>
            </w:r>
          </w:p>
        </w:tc>
      </w:tr>
      <w:tr w14:paraId="3A528D81" w14:textId="77777777" w:rsidTr="00301447">
        <w:tblPrEx>
          <w:tblW w:w="12600" w:type="dxa"/>
          <w:tblInd w:w="-98" w:type="dxa"/>
          <w:tblLayout w:type="fixed"/>
          <w:tblCellMar>
            <w:left w:w="88" w:type="dxa"/>
            <w:right w:w="88" w:type="dxa"/>
          </w:tblCellMar>
          <w:tblLook w:val="0000"/>
        </w:tblPrEx>
        <w:trPr>
          <w:cantSplit/>
        </w:trPr>
        <w:tc>
          <w:tcPr>
            <w:tcW w:w="3846" w:type="dxa"/>
            <w:tcBorders>
              <w:top w:val="single" w:sz="6" w:space="0" w:color="000000"/>
              <w:left w:val="single" w:sz="6" w:space="0" w:color="000000"/>
              <w:bottom w:val="single" w:sz="6" w:space="0" w:color="000000"/>
              <w:right w:val="single" w:sz="6" w:space="0" w:color="000000"/>
            </w:tcBorders>
            <w:shd w:val="clear" w:color="auto" w:fill="DEEBF6" w:themeFill="accent1" w:themeFillTint="33"/>
          </w:tcPr>
          <w:p w:rsidR="00C32526" w:rsidP="00304A72" w14:paraId="3EE2F3AA" w14:textId="77777777">
            <w:pPr>
              <w:spacing w:after="16"/>
            </w:pPr>
          </w:p>
        </w:tc>
        <w:tc>
          <w:tcPr>
            <w:tcW w:w="1200" w:type="dxa"/>
            <w:tcBorders>
              <w:top w:val="single" w:sz="6" w:space="0" w:color="000000"/>
              <w:left w:val="single" w:sz="6" w:space="0" w:color="000000"/>
              <w:bottom w:val="single" w:sz="6" w:space="0" w:color="000000"/>
              <w:right w:val="single" w:sz="6" w:space="0" w:color="000000"/>
            </w:tcBorders>
            <w:shd w:val="clear" w:color="auto" w:fill="DEEBF6" w:themeFill="accent1" w:themeFillTint="33"/>
            <w:vAlign w:val="center"/>
          </w:tcPr>
          <w:p w:rsidR="00C32526" w:rsidRPr="00BD049F" w:rsidP="00A67D58" w14:paraId="23AA8F23" w14:textId="1664285A">
            <w:pPr>
              <w:jc w:val="center"/>
              <w:rPr>
                <w:i/>
                <w:iCs/>
              </w:rPr>
            </w:pPr>
            <w:r w:rsidRPr="00BD049F">
              <w:rPr>
                <w:i/>
                <w:iCs/>
              </w:rPr>
              <w:t>A</w:t>
            </w:r>
          </w:p>
        </w:tc>
        <w:tc>
          <w:tcPr>
            <w:tcW w:w="1344" w:type="dxa"/>
            <w:tcBorders>
              <w:top w:val="single" w:sz="6" w:space="0" w:color="000000"/>
              <w:left w:val="single" w:sz="6" w:space="0" w:color="000000"/>
              <w:bottom w:val="single" w:sz="6" w:space="0" w:color="000000"/>
              <w:right w:val="single" w:sz="6" w:space="0" w:color="000000"/>
            </w:tcBorders>
            <w:shd w:val="clear" w:color="auto" w:fill="DEEBF6" w:themeFill="accent1" w:themeFillTint="33"/>
            <w:vAlign w:val="center"/>
          </w:tcPr>
          <w:p w:rsidR="00C32526" w:rsidRPr="00BD049F" w:rsidP="00847DB5" w14:paraId="6141E50A" w14:textId="4E806C92">
            <w:pPr>
              <w:jc w:val="center"/>
              <w:rPr>
                <w:i/>
                <w:iCs/>
              </w:rPr>
            </w:pPr>
            <w:r w:rsidRPr="00BD049F">
              <w:rPr>
                <w:i/>
                <w:iCs/>
              </w:rPr>
              <w:t xml:space="preserve">B </w:t>
            </w:r>
          </w:p>
        </w:tc>
        <w:tc>
          <w:tcPr>
            <w:tcW w:w="1080" w:type="dxa"/>
            <w:tcBorders>
              <w:top w:val="single" w:sz="6" w:space="0" w:color="000000"/>
              <w:left w:val="single" w:sz="6" w:space="0" w:color="000000"/>
              <w:bottom w:val="single" w:sz="6" w:space="0" w:color="000000"/>
              <w:right w:val="single" w:sz="6" w:space="0" w:color="000000"/>
            </w:tcBorders>
            <w:shd w:val="clear" w:color="auto" w:fill="DEEBF6" w:themeFill="accent1" w:themeFillTint="33"/>
            <w:vAlign w:val="center"/>
          </w:tcPr>
          <w:p w:rsidR="00C32526" w:rsidRPr="00BD049F" w:rsidP="00A67D58" w14:paraId="37FC9ABB" w14:textId="18A403B8">
            <w:pPr>
              <w:jc w:val="center"/>
              <w:rPr>
                <w:i/>
                <w:iCs/>
              </w:rPr>
            </w:pPr>
            <w:r w:rsidRPr="00BD049F">
              <w:rPr>
                <w:i/>
                <w:iCs/>
              </w:rPr>
              <w:t>C = AxB</w:t>
            </w:r>
          </w:p>
        </w:tc>
        <w:tc>
          <w:tcPr>
            <w:tcW w:w="1080" w:type="dxa"/>
            <w:tcBorders>
              <w:top w:val="single" w:sz="6" w:space="0" w:color="000000"/>
              <w:left w:val="single" w:sz="6" w:space="0" w:color="000000"/>
              <w:bottom w:val="single" w:sz="6" w:space="0" w:color="000000"/>
              <w:right w:val="single" w:sz="6" w:space="0" w:color="000000"/>
            </w:tcBorders>
            <w:shd w:val="clear" w:color="auto" w:fill="DEEBF6" w:themeFill="accent1" w:themeFillTint="33"/>
            <w:vAlign w:val="center"/>
          </w:tcPr>
          <w:p w:rsidR="00C32526" w:rsidRPr="00BD049F" w:rsidP="00A67D58" w14:paraId="70C8D990" w14:textId="7277561B">
            <w:pPr>
              <w:jc w:val="center"/>
              <w:rPr>
                <w:i/>
                <w:iCs/>
              </w:rPr>
            </w:pPr>
            <w:r w:rsidRPr="00BD049F">
              <w:rPr>
                <w:i/>
                <w:iCs/>
              </w:rPr>
              <w:t>D</w:t>
            </w:r>
          </w:p>
        </w:tc>
        <w:tc>
          <w:tcPr>
            <w:tcW w:w="906" w:type="dxa"/>
            <w:tcBorders>
              <w:top w:val="single" w:sz="6" w:space="0" w:color="000000"/>
              <w:left w:val="single" w:sz="6" w:space="0" w:color="000000"/>
              <w:bottom w:val="single" w:sz="6" w:space="0" w:color="000000"/>
              <w:right w:val="single" w:sz="6" w:space="0" w:color="000000"/>
            </w:tcBorders>
            <w:shd w:val="clear" w:color="auto" w:fill="DEEBF6" w:themeFill="accent1" w:themeFillTint="33"/>
            <w:vAlign w:val="center"/>
          </w:tcPr>
          <w:p w:rsidR="00C32526" w:rsidRPr="00BD049F" w:rsidP="00A67D58" w14:paraId="644F5D26" w14:textId="78A748C1">
            <w:pPr>
              <w:jc w:val="center"/>
              <w:rPr>
                <w:i/>
                <w:iCs/>
              </w:rPr>
            </w:pPr>
            <w:r w:rsidRPr="00BD049F">
              <w:rPr>
                <w:i/>
                <w:iCs/>
              </w:rPr>
              <w:t>E = CxD</w:t>
            </w:r>
          </w:p>
        </w:tc>
        <w:tc>
          <w:tcPr>
            <w:tcW w:w="1344" w:type="dxa"/>
            <w:tcBorders>
              <w:top w:val="single" w:sz="6" w:space="0" w:color="000000"/>
              <w:left w:val="single" w:sz="6" w:space="0" w:color="000000"/>
              <w:bottom w:val="single" w:sz="6" w:space="0" w:color="000000"/>
              <w:right w:val="single" w:sz="6" w:space="0" w:color="000000"/>
            </w:tcBorders>
            <w:shd w:val="clear" w:color="auto" w:fill="DEEBF6" w:themeFill="accent1" w:themeFillTint="33"/>
            <w:vAlign w:val="center"/>
          </w:tcPr>
          <w:p w:rsidR="00C32526" w:rsidRPr="00BD049F" w:rsidP="00A67D58" w14:paraId="53B5741D" w14:textId="113CDD67">
            <w:pPr>
              <w:jc w:val="center"/>
              <w:rPr>
                <w:i/>
                <w:iCs/>
              </w:rPr>
            </w:pPr>
            <w:r w:rsidRPr="00BD049F">
              <w:rPr>
                <w:i/>
                <w:iCs/>
              </w:rPr>
              <w:t>F</w:t>
            </w:r>
          </w:p>
        </w:tc>
        <w:tc>
          <w:tcPr>
            <w:tcW w:w="1800" w:type="dxa"/>
            <w:tcBorders>
              <w:top w:val="single" w:sz="6" w:space="0" w:color="000000"/>
              <w:left w:val="single" w:sz="6" w:space="0" w:color="000000"/>
              <w:bottom w:val="single" w:sz="6" w:space="0" w:color="000000"/>
              <w:right w:val="single" w:sz="6" w:space="0" w:color="000000"/>
            </w:tcBorders>
            <w:shd w:val="clear" w:color="auto" w:fill="DEEBF6" w:themeFill="accent1" w:themeFillTint="33"/>
            <w:vAlign w:val="center"/>
          </w:tcPr>
          <w:p w:rsidR="00C32526" w:rsidRPr="00BD049F" w:rsidP="00A67D58" w14:paraId="7334594B" w14:textId="4A8769AB">
            <w:pPr>
              <w:jc w:val="center"/>
              <w:rPr>
                <w:i/>
                <w:iCs/>
              </w:rPr>
            </w:pPr>
            <w:r w:rsidRPr="00BD049F">
              <w:rPr>
                <w:i/>
                <w:iCs/>
              </w:rPr>
              <w:t>G = ExF</w:t>
            </w:r>
          </w:p>
        </w:tc>
      </w:tr>
      <w:tr w14:paraId="18DAF62E" w14:textId="77777777" w:rsidTr="0053408A">
        <w:tblPrEx>
          <w:tblW w:w="12600" w:type="dxa"/>
          <w:tblInd w:w="-98" w:type="dxa"/>
          <w:tblLayout w:type="fixed"/>
          <w:tblCellMar>
            <w:left w:w="88" w:type="dxa"/>
            <w:right w:w="88" w:type="dxa"/>
          </w:tblCellMar>
          <w:tblLook w:val="0000"/>
        </w:tblPrEx>
        <w:trPr>
          <w:cantSplit/>
        </w:trPr>
        <w:tc>
          <w:tcPr>
            <w:tcW w:w="3846" w:type="dxa"/>
            <w:tcBorders>
              <w:top w:val="single" w:sz="6" w:space="0" w:color="000000"/>
              <w:left w:val="single" w:sz="6" w:space="0" w:color="000000"/>
              <w:bottom w:val="single" w:sz="6" w:space="0" w:color="000000"/>
              <w:right w:val="single" w:sz="6" w:space="0" w:color="000000"/>
            </w:tcBorders>
          </w:tcPr>
          <w:p w:rsidR="00A67D58" w:rsidP="00304A72" w14:paraId="7E795A2A" w14:textId="77777777">
            <w:pPr>
              <w:spacing w:after="16"/>
            </w:pPr>
            <w:r>
              <w:t>Locate and assemble information required to complete the variance application, including devising an alternative means of compliance, gathering or developing supporting documentation (e.g., safety policies, safe-work procedures, work-area exposure monitoring data, training materials)</w:t>
            </w:r>
          </w:p>
        </w:tc>
        <w:tc>
          <w:tcPr>
            <w:tcW w:w="1200" w:type="dxa"/>
            <w:tcBorders>
              <w:top w:val="single" w:sz="6" w:space="0" w:color="000000"/>
              <w:left w:val="single" w:sz="6" w:space="0" w:color="000000"/>
              <w:bottom w:val="single" w:sz="6" w:space="0" w:color="000000"/>
              <w:right w:val="single" w:sz="6" w:space="0" w:color="000000"/>
            </w:tcBorders>
            <w:vAlign w:val="center"/>
          </w:tcPr>
          <w:p w:rsidR="00A67D58" w:rsidP="00A67D58" w14:paraId="1084FB84" w14:textId="77777777">
            <w:pPr>
              <w:jc w:val="center"/>
            </w:pPr>
            <w:r>
              <w:t>12</w:t>
            </w:r>
          </w:p>
        </w:tc>
        <w:tc>
          <w:tcPr>
            <w:tcW w:w="1344" w:type="dxa"/>
            <w:tcBorders>
              <w:top w:val="single" w:sz="6" w:space="0" w:color="000000"/>
              <w:left w:val="single" w:sz="6" w:space="0" w:color="000000"/>
              <w:bottom w:val="single" w:sz="6" w:space="0" w:color="000000"/>
              <w:right w:val="single" w:sz="6" w:space="0" w:color="000000"/>
            </w:tcBorders>
            <w:vAlign w:val="center"/>
          </w:tcPr>
          <w:p w:rsidR="00A67D58" w:rsidP="00847DB5" w14:paraId="3B0F4F0D" w14:textId="77777777">
            <w:pPr>
              <w:jc w:val="center"/>
            </w:pPr>
            <w:r>
              <w:t>1</w:t>
            </w:r>
          </w:p>
        </w:tc>
        <w:tc>
          <w:tcPr>
            <w:tcW w:w="1080" w:type="dxa"/>
            <w:tcBorders>
              <w:top w:val="single" w:sz="6" w:space="0" w:color="000000"/>
              <w:left w:val="single" w:sz="6" w:space="0" w:color="000000"/>
              <w:bottom w:val="single" w:sz="6" w:space="0" w:color="000000"/>
              <w:right w:val="single" w:sz="6" w:space="0" w:color="000000"/>
            </w:tcBorders>
            <w:vAlign w:val="center"/>
          </w:tcPr>
          <w:p w:rsidR="00A67D58" w:rsidP="00A67D58" w14:paraId="72BF710B" w14:textId="471CDEC0">
            <w:pPr>
              <w:jc w:val="center"/>
            </w:pPr>
            <w:r>
              <w:t>12</w:t>
            </w:r>
          </w:p>
        </w:tc>
        <w:tc>
          <w:tcPr>
            <w:tcW w:w="1080" w:type="dxa"/>
            <w:tcBorders>
              <w:top w:val="single" w:sz="6" w:space="0" w:color="000000"/>
              <w:left w:val="single" w:sz="6" w:space="0" w:color="000000"/>
              <w:bottom w:val="single" w:sz="6" w:space="0" w:color="000000"/>
              <w:right w:val="single" w:sz="6" w:space="0" w:color="000000"/>
            </w:tcBorders>
            <w:vAlign w:val="center"/>
          </w:tcPr>
          <w:p w:rsidR="00A67D58" w:rsidP="00A67D58" w14:paraId="555867BC" w14:textId="0D222A5A">
            <w:pPr>
              <w:jc w:val="center"/>
            </w:pPr>
            <w:r>
              <w:t>16</w:t>
            </w:r>
          </w:p>
        </w:tc>
        <w:tc>
          <w:tcPr>
            <w:tcW w:w="906" w:type="dxa"/>
            <w:tcBorders>
              <w:top w:val="single" w:sz="6" w:space="0" w:color="000000"/>
              <w:left w:val="single" w:sz="6" w:space="0" w:color="000000"/>
              <w:bottom w:val="single" w:sz="6" w:space="0" w:color="000000"/>
              <w:right w:val="single" w:sz="6" w:space="0" w:color="000000"/>
            </w:tcBorders>
            <w:vAlign w:val="center"/>
          </w:tcPr>
          <w:p w:rsidR="00A67D58" w:rsidP="00A67D58" w14:paraId="3B90721C" w14:textId="1BF4DD5B">
            <w:pPr>
              <w:jc w:val="center"/>
            </w:pPr>
            <w:r>
              <w:t>192</w:t>
            </w:r>
          </w:p>
        </w:tc>
        <w:tc>
          <w:tcPr>
            <w:tcW w:w="1344" w:type="dxa"/>
            <w:tcBorders>
              <w:top w:val="single" w:sz="6" w:space="0" w:color="000000"/>
              <w:left w:val="single" w:sz="6" w:space="0" w:color="000000"/>
              <w:bottom w:val="single" w:sz="6" w:space="0" w:color="000000"/>
              <w:right w:val="single" w:sz="6" w:space="0" w:color="000000"/>
            </w:tcBorders>
            <w:vAlign w:val="center"/>
          </w:tcPr>
          <w:p w:rsidR="00A67D58" w:rsidP="00A67D58" w14:paraId="325DB090" w14:textId="6BB897BB">
            <w:pPr>
              <w:jc w:val="center"/>
            </w:pPr>
            <w:r>
              <w:t>$34.</w:t>
            </w:r>
            <w:r w:rsidR="00E5158E">
              <w:t>10</w:t>
            </w:r>
          </w:p>
        </w:tc>
        <w:tc>
          <w:tcPr>
            <w:tcW w:w="1800" w:type="dxa"/>
            <w:tcBorders>
              <w:top w:val="single" w:sz="6" w:space="0" w:color="000000"/>
              <w:left w:val="single" w:sz="6" w:space="0" w:color="000000"/>
              <w:bottom w:val="single" w:sz="6" w:space="0" w:color="000000"/>
              <w:right w:val="single" w:sz="6" w:space="0" w:color="000000"/>
            </w:tcBorders>
            <w:vAlign w:val="center"/>
          </w:tcPr>
          <w:p w:rsidR="000030C4" w:rsidP="00A67D58" w14:paraId="4F4B5A7B" w14:textId="23A1DF7D">
            <w:pPr>
              <w:jc w:val="center"/>
            </w:pPr>
            <w:r>
              <w:t>$6</w:t>
            </w:r>
            <w:r w:rsidR="00847DB5">
              <w:t>,5</w:t>
            </w:r>
            <w:r w:rsidR="00544FFC">
              <w:t>47</w:t>
            </w:r>
          </w:p>
        </w:tc>
      </w:tr>
      <w:tr w14:paraId="6080DF23" w14:textId="77777777" w:rsidTr="0053408A">
        <w:tblPrEx>
          <w:tblW w:w="12600" w:type="dxa"/>
          <w:tblInd w:w="-98" w:type="dxa"/>
          <w:tblLayout w:type="fixed"/>
          <w:tblCellMar>
            <w:left w:w="88" w:type="dxa"/>
            <w:right w:w="88" w:type="dxa"/>
          </w:tblCellMar>
          <w:tblLook w:val="0000"/>
        </w:tblPrEx>
        <w:trPr>
          <w:cantSplit/>
        </w:trPr>
        <w:tc>
          <w:tcPr>
            <w:tcW w:w="3846" w:type="dxa"/>
            <w:tcBorders>
              <w:top w:val="single" w:sz="6" w:space="0" w:color="000000"/>
              <w:left w:val="single" w:sz="6" w:space="0" w:color="000000"/>
              <w:bottom w:val="single" w:sz="6" w:space="0" w:color="000000"/>
              <w:right w:val="single" w:sz="6" w:space="0" w:color="000000"/>
            </w:tcBorders>
          </w:tcPr>
          <w:p w:rsidR="00A67D58" w:rsidP="00304A72" w14:paraId="2322FFDB" w14:textId="77777777">
            <w:pPr>
              <w:spacing w:line="16" w:lineRule="exact"/>
            </w:pPr>
          </w:p>
          <w:p w:rsidR="00A67D58" w:rsidP="00304A72" w14:paraId="10BE306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pPr>
          </w:p>
          <w:p w:rsidR="00A67D58" w:rsidP="00C0193F" w14:paraId="6B54A47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
            </w:pPr>
            <w:r>
              <w:t>Inform affected workers of decision to seek a variance</w:t>
            </w:r>
          </w:p>
        </w:tc>
        <w:tc>
          <w:tcPr>
            <w:tcW w:w="1200" w:type="dxa"/>
            <w:tcBorders>
              <w:top w:val="single" w:sz="6" w:space="0" w:color="000000"/>
              <w:left w:val="single" w:sz="6" w:space="0" w:color="000000"/>
              <w:bottom w:val="single" w:sz="6" w:space="0" w:color="000000"/>
              <w:right w:val="single" w:sz="6" w:space="0" w:color="000000"/>
            </w:tcBorders>
            <w:vAlign w:val="center"/>
          </w:tcPr>
          <w:p w:rsidR="00A67D58" w:rsidP="00A67D58" w14:paraId="2935F4B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
              <w:jc w:val="center"/>
            </w:pPr>
            <w:r>
              <w:t>12</w:t>
            </w:r>
          </w:p>
        </w:tc>
        <w:tc>
          <w:tcPr>
            <w:tcW w:w="1344" w:type="dxa"/>
            <w:tcBorders>
              <w:top w:val="single" w:sz="6" w:space="0" w:color="000000"/>
              <w:left w:val="single" w:sz="6" w:space="0" w:color="000000"/>
              <w:bottom w:val="single" w:sz="6" w:space="0" w:color="000000"/>
              <w:right w:val="single" w:sz="6" w:space="0" w:color="000000"/>
            </w:tcBorders>
            <w:vAlign w:val="center"/>
          </w:tcPr>
          <w:p w:rsidR="00A67D58" w:rsidP="00847DB5" w14:paraId="11AFB63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
              <w:jc w:val="center"/>
            </w:pPr>
            <w:r>
              <w:t>1</w:t>
            </w:r>
          </w:p>
        </w:tc>
        <w:tc>
          <w:tcPr>
            <w:tcW w:w="1080" w:type="dxa"/>
            <w:tcBorders>
              <w:top w:val="single" w:sz="6" w:space="0" w:color="000000"/>
              <w:left w:val="single" w:sz="6" w:space="0" w:color="000000"/>
              <w:bottom w:val="single" w:sz="6" w:space="0" w:color="000000"/>
              <w:right w:val="single" w:sz="6" w:space="0" w:color="000000"/>
            </w:tcBorders>
            <w:vAlign w:val="center"/>
          </w:tcPr>
          <w:p w:rsidR="00A67D58" w:rsidP="00A67D58" w14:paraId="5A237922" w14:textId="4ADB73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
              <w:jc w:val="center"/>
            </w:pPr>
            <w:r>
              <w:t>12</w:t>
            </w:r>
          </w:p>
        </w:tc>
        <w:tc>
          <w:tcPr>
            <w:tcW w:w="1080" w:type="dxa"/>
            <w:tcBorders>
              <w:top w:val="single" w:sz="6" w:space="0" w:color="000000"/>
              <w:left w:val="single" w:sz="6" w:space="0" w:color="000000"/>
              <w:bottom w:val="single" w:sz="6" w:space="0" w:color="000000"/>
              <w:right w:val="single" w:sz="6" w:space="0" w:color="000000"/>
            </w:tcBorders>
            <w:vAlign w:val="center"/>
          </w:tcPr>
          <w:p w:rsidR="00A67D58" w:rsidP="00A67D58" w14:paraId="1CEF50C0" w14:textId="3560B5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
              <w:jc w:val="center"/>
            </w:pPr>
            <w:r>
              <w:t>4</w:t>
            </w:r>
          </w:p>
        </w:tc>
        <w:tc>
          <w:tcPr>
            <w:tcW w:w="906" w:type="dxa"/>
            <w:tcBorders>
              <w:top w:val="single" w:sz="6" w:space="0" w:color="000000"/>
              <w:left w:val="single" w:sz="6" w:space="0" w:color="000000"/>
              <w:bottom w:val="single" w:sz="6" w:space="0" w:color="000000"/>
              <w:right w:val="single" w:sz="6" w:space="0" w:color="000000"/>
            </w:tcBorders>
            <w:vAlign w:val="center"/>
          </w:tcPr>
          <w:p w:rsidR="00A67D58" w:rsidP="00A67D58" w14:paraId="23F9A2A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
              <w:jc w:val="center"/>
            </w:pPr>
            <w:r>
              <w:t>48</w:t>
            </w:r>
          </w:p>
        </w:tc>
        <w:tc>
          <w:tcPr>
            <w:tcW w:w="1344" w:type="dxa"/>
            <w:tcBorders>
              <w:top w:val="single" w:sz="6" w:space="0" w:color="000000"/>
              <w:left w:val="single" w:sz="6" w:space="0" w:color="000000"/>
              <w:bottom w:val="single" w:sz="6" w:space="0" w:color="000000"/>
              <w:right w:val="single" w:sz="6" w:space="0" w:color="000000"/>
            </w:tcBorders>
            <w:vAlign w:val="center"/>
          </w:tcPr>
          <w:p w:rsidR="00A67D58" w:rsidP="00A67D58" w14:paraId="5A955659" w14:textId="140790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
              <w:jc w:val="center"/>
            </w:pPr>
            <w:r w:rsidRPr="00EB39BA">
              <w:t>$</w:t>
            </w:r>
            <w:r>
              <w:t>34.</w:t>
            </w:r>
            <w:r w:rsidR="00E5158E">
              <w:t>10</w:t>
            </w:r>
          </w:p>
        </w:tc>
        <w:tc>
          <w:tcPr>
            <w:tcW w:w="1800" w:type="dxa"/>
            <w:tcBorders>
              <w:top w:val="single" w:sz="6" w:space="0" w:color="000000"/>
              <w:left w:val="single" w:sz="6" w:space="0" w:color="000000"/>
              <w:bottom w:val="single" w:sz="6" w:space="0" w:color="000000"/>
              <w:right w:val="single" w:sz="6" w:space="0" w:color="000000"/>
            </w:tcBorders>
            <w:vAlign w:val="center"/>
          </w:tcPr>
          <w:p w:rsidR="00A67D58" w:rsidP="00A67D58" w14:paraId="2E1E6E79" w14:textId="59CA7E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
              <w:jc w:val="center"/>
            </w:pPr>
            <w:r>
              <w:t>$1,6</w:t>
            </w:r>
            <w:r w:rsidR="004704E4">
              <w:t>37</w:t>
            </w:r>
          </w:p>
        </w:tc>
      </w:tr>
      <w:tr w14:paraId="164E4923" w14:textId="77777777" w:rsidTr="0053408A">
        <w:tblPrEx>
          <w:tblW w:w="12600" w:type="dxa"/>
          <w:tblInd w:w="-98" w:type="dxa"/>
          <w:tblLayout w:type="fixed"/>
          <w:tblCellMar>
            <w:left w:w="88" w:type="dxa"/>
            <w:right w:w="88" w:type="dxa"/>
          </w:tblCellMar>
          <w:tblLook w:val="0000"/>
        </w:tblPrEx>
        <w:trPr>
          <w:cantSplit/>
        </w:trPr>
        <w:tc>
          <w:tcPr>
            <w:tcW w:w="3846" w:type="dxa"/>
            <w:tcBorders>
              <w:top w:val="single" w:sz="6" w:space="0" w:color="000000"/>
              <w:left w:val="single" w:sz="6" w:space="0" w:color="000000"/>
              <w:bottom w:val="single" w:sz="6" w:space="0" w:color="000000"/>
              <w:right w:val="single" w:sz="6" w:space="0" w:color="000000"/>
            </w:tcBorders>
          </w:tcPr>
          <w:p w:rsidR="00A67D58" w:rsidP="00304A72" w14:paraId="4AFD30FC" w14:textId="77777777">
            <w:pPr>
              <w:spacing w:after="16"/>
            </w:pPr>
            <w:r>
              <w:t>Complete the variance application (either online or hard copy)</w:t>
            </w:r>
          </w:p>
        </w:tc>
        <w:tc>
          <w:tcPr>
            <w:tcW w:w="1200" w:type="dxa"/>
            <w:tcBorders>
              <w:top w:val="single" w:sz="6" w:space="0" w:color="000000"/>
              <w:left w:val="single" w:sz="6" w:space="0" w:color="000000"/>
              <w:bottom w:val="single" w:sz="6" w:space="0" w:color="000000"/>
              <w:right w:val="single" w:sz="6" w:space="0" w:color="000000"/>
            </w:tcBorders>
            <w:vAlign w:val="center"/>
          </w:tcPr>
          <w:p w:rsidR="00A67D58" w:rsidP="00A67D58" w14:paraId="6E4D0345" w14:textId="77777777">
            <w:pPr>
              <w:spacing w:after="16"/>
              <w:jc w:val="center"/>
            </w:pPr>
            <w:r>
              <w:t>12</w:t>
            </w:r>
          </w:p>
        </w:tc>
        <w:tc>
          <w:tcPr>
            <w:tcW w:w="1344" w:type="dxa"/>
            <w:tcBorders>
              <w:top w:val="single" w:sz="6" w:space="0" w:color="000000"/>
              <w:left w:val="single" w:sz="6" w:space="0" w:color="000000"/>
              <w:bottom w:val="single" w:sz="6" w:space="0" w:color="000000"/>
              <w:right w:val="single" w:sz="6" w:space="0" w:color="000000"/>
            </w:tcBorders>
            <w:vAlign w:val="center"/>
          </w:tcPr>
          <w:p w:rsidR="00A67D58" w:rsidP="00847DB5" w14:paraId="17F14F71" w14:textId="77777777">
            <w:pPr>
              <w:spacing w:after="16"/>
              <w:jc w:val="center"/>
            </w:pPr>
            <w:r>
              <w:t>1</w:t>
            </w:r>
          </w:p>
        </w:tc>
        <w:tc>
          <w:tcPr>
            <w:tcW w:w="1080" w:type="dxa"/>
            <w:tcBorders>
              <w:top w:val="single" w:sz="6" w:space="0" w:color="000000"/>
              <w:left w:val="single" w:sz="6" w:space="0" w:color="000000"/>
              <w:bottom w:val="single" w:sz="6" w:space="0" w:color="000000"/>
              <w:right w:val="single" w:sz="6" w:space="0" w:color="000000"/>
            </w:tcBorders>
            <w:vAlign w:val="center"/>
          </w:tcPr>
          <w:p w:rsidR="00A67D58" w:rsidP="00A67D58" w14:paraId="5BEA03F9" w14:textId="5CF3D6B1">
            <w:pPr>
              <w:spacing w:after="16"/>
              <w:jc w:val="center"/>
            </w:pPr>
            <w:r>
              <w:t>12</w:t>
            </w:r>
          </w:p>
        </w:tc>
        <w:tc>
          <w:tcPr>
            <w:tcW w:w="1080" w:type="dxa"/>
            <w:tcBorders>
              <w:top w:val="single" w:sz="6" w:space="0" w:color="000000"/>
              <w:left w:val="single" w:sz="6" w:space="0" w:color="000000"/>
              <w:bottom w:val="single" w:sz="6" w:space="0" w:color="000000"/>
              <w:right w:val="single" w:sz="6" w:space="0" w:color="000000"/>
            </w:tcBorders>
            <w:vAlign w:val="center"/>
          </w:tcPr>
          <w:p w:rsidR="00A67D58" w:rsidRPr="00C46A46" w:rsidP="00A67D58" w14:paraId="1F816B09" w14:textId="1DEB034B">
            <w:pPr>
              <w:spacing w:after="16"/>
              <w:jc w:val="center"/>
            </w:pPr>
            <w:r>
              <w:t>8</w:t>
            </w:r>
          </w:p>
        </w:tc>
        <w:tc>
          <w:tcPr>
            <w:tcW w:w="906" w:type="dxa"/>
            <w:tcBorders>
              <w:top w:val="single" w:sz="6" w:space="0" w:color="000000"/>
              <w:left w:val="single" w:sz="6" w:space="0" w:color="000000"/>
              <w:bottom w:val="single" w:sz="6" w:space="0" w:color="000000"/>
              <w:right w:val="single" w:sz="6" w:space="0" w:color="000000"/>
            </w:tcBorders>
            <w:vAlign w:val="center"/>
          </w:tcPr>
          <w:p w:rsidR="00A67D58" w:rsidP="00A67D58" w14:paraId="42F3E899" w14:textId="77777777">
            <w:pPr>
              <w:spacing w:after="16"/>
              <w:jc w:val="center"/>
            </w:pPr>
            <w:r>
              <w:t>96</w:t>
            </w:r>
          </w:p>
        </w:tc>
        <w:tc>
          <w:tcPr>
            <w:tcW w:w="1344" w:type="dxa"/>
            <w:tcBorders>
              <w:top w:val="single" w:sz="6" w:space="0" w:color="000000"/>
              <w:left w:val="single" w:sz="6" w:space="0" w:color="000000"/>
              <w:bottom w:val="single" w:sz="6" w:space="0" w:color="000000"/>
              <w:right w:val="single" w:sz="6" w:space="0" w:color="000000"/>
            </w:tcBorders>
          </w:tcPr>
          <w:p w:rsidR="00A67D58" w:rsidP="007D2E82" w14:paraId="222F157E" w14:textId="77777777">
            <w:pPr>
              <w:spacing w:after="16"/>
              <w:jc w:val="center"/>
            </w:pPr>
          </w:p>
          <w:p w:rsidR="00A67D58" w:rsidP="007D2E82" w14:paraId="0358496F" w14:textId="486BFF5C">
            <w:pPr>
              <w:spacing w:after="16"/>
              <w:jc w:val="center"/>
            </w:pPr>
            <w:r w:rsidRPr="00EB39BA">
              <w:t>$</w:t>
            </w:r>
            <w:r>
              <w:t>34.</w:t>
            </w:r>
            <w:r w:rsidR="00E5158E">
              <w:t>10</w:t>
            </w:r>
          </w:p>
        </w:tc>
        <w:tc>
          <w:tcPr>
            <w:tcW w:w="1800" w:type="dxa"/>
            <w:tcBorders>
              <w:top w:val="single" w:sz="6" w:space="0" w:color="000000"/>
              <w:left w:val="single" w:sz="6" w:space="0" w:color="000000"/>
              <w:bottom w:val="single" w:sz="6" w:space="0" w:color="000000"/>
              <w:right w:val="single" w:sz="4" w:space="0" w:color="auto"/>
            </w:tcBorders>
            <w:vAlign w:val="center"/>
          </w:tcPr>
          <w:p w:rsidR="00A67D58" w:rsidP="00A67D58" w14:paraId="6D05E5D0" w14:textId="3F130063">
            <w:pPr>
              <w:spacing w:after="16"/>
              <w:jc w:val="center"/>
            </w:pPr>
            <w:r>
              <w:t>$3,</w:t>
            </w:r>
            <w:r w:rsidR="009E4679">
              <w:t>2</w:t>
            </w:r>
            <w:r w:rsidR="000F5544">
              <w:t>74</w:t>
            </w:r>
          </w:p>
        </w:tc>
      </w:tr>
      <w:tr w14:paraId="1B1846F3" w14:textId="77777777" w:rsidTr="00BD049F">
        <w:tblPrEx>
          <w:tblW w:w="12600" w:type="dxa"/>
          <w:tblInd w:w="-98" w:type="dxa"/>
          <w:tblLayout w:type="fixed"/>
          <w:tblCellMar>
            <w:left w:w="88" w:type="dxa"/>
            <w:right w:w="88" w:type="dxa"/>
          </w:tblCellMar>
          <w:tblLook w:val="0000"/>
        </w:tblPrEx>
        <w:trPr>
          <w:cantSplit/>
          <w:trHeight w:val="426"/>
        </w:trPr>
        <w:tc>
          <w:tcPr>
            <w:tcW w:w="3846" w:type="dxa"/>
            <w:tcBorders>
              <w:top w:val="single" w:sz="6" w:space="0" w:color="000000"/>
              <w:left w:val="single" w:sz="6" w:space="0" w:color="000000"/>
              <w:bottom w:val="single" w:sz="6" w:space="0" w:color="000000"/>
              <w:right w:val="single" w:sz="6" w:space="0" w:color="000000"/>
            </w:tcBorders>
          </w:tcPr>
          <w:p w:rsidR="00A67D58" w:rsidP="00304A72" w14:paraId="54587ED5" w14:textId="77777777">
            <w:pPr>
              <w:spacing w:after="16"/>
            </w:pPr>
            <w:r>
              <w:t>Assemble the application documents, including copying or scanning, collating, and electronically submitting or mailing</w:t>
            </w:r>
          </w:p>
        </w:tc>
        <w:tc>
          <w:tcPr>
            <w:tcW w:w="1200" w:type="dxa"/>
            <w:tcBorders>
              <w:top w:val="single" w:sz="6" w:space="0" w:color="000000"/>
              <w:left w:val="single" w:sz="6" w:space="0" w:color="000000"/>
              <w:bottom w:val="single" w:sz="6" w:space="0" w:color="000000"/>
              <w:right w:val="single" w:sz="6" w:space="0" w:color="000000"/>
            </w:tcBorders>
            <w:vAlign w:val="center"/>
          </w:tcPr>
          <w:p w:rsidR="00A67D58" w:rsidP="00A67D58" w14:paraId="62069748" w14:textId="77777777">
            <w:pPr>
              <w:spacing w:after="16"/>
              <w:jc w:val="center"/>
            </w:pPr>
            <w:r>
              <w:t>12</w:t>
            </w:r>
          </w:p>
        </w:tc>
        <w:tc>
          <w:tcPr>
            <w:tcW w:w="1344" w:type="dxa"/>
            <w:tcBorders>
              <w:top w:val="single" w:sz="6" w:space="0" w:color="000000"/>
              <w:left w:val="single" w:sz="6" w:space="0" w:color="000000"/>
              <w:bottom w:val="single" w:sz="6" w:space="0" w:color="000000"/>
              <w:right w:val="single" w:sz="6" w:space="0" w:color="000000"/>
            </w:tcBorders>
            <w:vAlign w:val="center"/>
          </w:tcPr>
          <w:p w:rsidR="00A67D58" w:rsidP="00847DB5" w14:paraId="4F382457" w14:textId="77777777">
            <w:pPr>
              <w:spacing w:after="16"/>
              <w:jc w:val="center"/>
            </w:pPr>
            <w:r>
              <w:t>1</w:t>
            </w:r>
          </w:p>
        </w:tc>
        <w:tc>
          <w:tcPr>
            <w:tcW w:w="1080" w:type="dxa"/>
            <w:tcBorders>
              <w:top w:val="single" w:sz="6" w:space="0" w:color="000000"/>
              <w:left w:val="single" w:sz="6" w:space="0" w:color="000000"/>
              <w:bottom w:val="single" w:sz="6" w:space="0" w:color="000000"/>
              <w:right w:val="single" w:sz="6" w:space="0" w:color="000000"/>
            </w:tcBorders>
            <w:vAlign w:val="center"/>
          </w:tcPr>
          <w:p w:rsidR="00A67D58" w:rsidP="00A67D58" w14:paraId="1E8E8399" w14:textId="706C1CC3">
            <w:pPr>
              <w:spacing w:after="16"/>
              <w:jc w:val="center"/>
            </w:pPr>
            <w:r>
              <w:t>12</w:t>
            </w:r>
          </w:p>
        </w:tc>
        <w:tc>
          <w:tcPr>
            <w:tcW w:w="1080" w:type="dxa"/>
            <w:tcBorders>
              <w:top w:val="single" w:sz="6" w:space="0" w:color="000000"/>
              <w:left w:val="single" w:sz="6" w:space="0" w:color="000000"/>
              <w:bottom w:val="single" w:sz="6" w:space="0" w:color="000000"/>
              <w:right w:val="single" w:sz="6" w:space="0" w:color="000000"/>
            </w:tcBorders>
            <w:vAlign w:val="center"/>
          </w:tcPr>
          <w:p w:rsidR="00A67D58" w:rsidP="00A67D58" w14:paraId="37D6F1E7" w14:textId="3BA75C59">
            <w:pPr>
              <w:spacing w:after="16"/>
              <w:jc w:val="center"/>
            </w:pPr>
            <w:r>
              <w:t>2</w:t>
            </w:r>
          </w:p>
        </w:tc>
        <w:tc>
          <w:tcPr>
            <w:tcW w:w="906" w:type="dxa"/>
            <w:tcBorders>
              <w:top w:val="single" w:sz="6" w:space="0" w:color="000000"/>
              <w:left w:val="single" w:sz="6" w:space="0" w:color="000000"/>
              <w:bottom w:val="single" w:sz="6" w:space="0" w:color="000000"/>
              <w:right w:val="single" w:sz="6" w:space="0" w:color="000000"/>
            </w:tcBorders>
            <w:vAlign w:val="center"/>
          </w:tcPr>
          <w:p w:rsidR="00A67D58" w:rsidP="00A67D58" w14:paraId="4C0AEBA8" w14:textId="77777777">
            <w:pPr>
              <w:spacing w:after="16"/>
              <w:jc w:val="center"/>
            </w:pPr>
            <w:r>
              <w:t>24</w:t>
            </w:r>
          </w:p>
        </w:tc>
        <w:tc>
          <w:tcPr>
            <w:tcW w:w="1344" w:type="dxa"/>
            <w:tcBorders>
              <w:top w:val="single" w:sz="6" w:space="0" w:color="000000"/>
              <w:left w:val="single" w:sz="6" w:space="0" w:color="000000"/>
              <w:bottom w:val="single" w:sz="6" w:space="0" w:color="000000"/>
              <w:right w:val="single" w:sz="6" w:space="0" w:color="000000"/>
            </w:tcBorders>
            <w:vAlign w:val="center"/>
          </w:tcPr>
          <w:p w:rsidR="00A67D58" w:rsidP="00A67D58" w14:paraId="2124EF77" w14:textId="57029F78">
            <w:pPr>
              <w:spacing w:after="16"/>
              <w:jc w:val="center"/>
            </w:pPr>
            <w:r w:rsidRPr="00EB39BA">
              <w:t>$</w:t>
            </w:r>
            <w:r>
              <w:t>34.</w:t>
            </w:r>
            <w:r w:rsidR="00E5158E">
              <w:t>10</w:t>
            </w:r>
          </w:p>
        </w:tc>
        <w:tc>
          <w:tcPr>
            <w:tcW w:w="1800" w:type="dxa"/>
            <w:tcBorders>
              <w:top w:val="single" w:sz="6" w:space="0" w:color="000000"/>
              <w:left w:val="single" w:sz="6" w:space="0" w:color="000000"/>
              <w:bottom w:val="single" w:sz="6" w:space="0" w:color="000000"/>
              <w:right w:val="single" w:sz="4" w:space="0" w:color="auto"/>
            </w:tcBorders>
            <w:vAlign w:val="center"/>
          </w:tcPr>
          <w:p w:rsidR="00A67D58" w:rsidP="00A67D58" w14:paraId="21036A78" w14:textId="1AAC9FB4">
            <w:pPr>
              <w:spacing w:after="16"/>
              <w:jc w:val="center"/>
            </w:pPr>
            <w:r>
              <w:t>$</w:t>
            </w:r>
            <w:r w:rsidR="005E45A4">
              <w:t>818</w:t>
            </w:r>
          </w:p>
        </w:tc>
      </w:tr>
      <w:tr w14:paraId="2BADD78D" w14:textId="77777777" w:rsidTr="006514AF">
        <w:tblPrEx>
          <w:tblW w:w="12600" w:type="dxa"/>
          <w:tblInd w:w="-98" w:type="dxa"/>
          <w:tblLayout w:type="fixed"/>
          <w:tblCellMar>
            <w:left w:w="88" w:type="dxa"/>
            <w:right w:w="88" w:type="dxa"/>
          </w:tblCellMar>
          <w:tblLook w:val="0000"/>
        </w:tblPrEx>
        <w:trPr>
          <w:cantSplit/>
          <w:trHeight w:val="426"/>
        </w:trPr>
        <w:tc>
          <w:tcPr>
            <w:tcW w:w="3846" w:type="dxa"/>
            <w:tcBorders>
              <w:top w:val="single" w:sz="6" w:space="0" w:color="000000"/>
              <w:left w:val="single" w:sz="6" w:space="0" w:color="000000"/>
              <w:bottom w:val="single" w:sz="6" w:space="0" w:color="000000"/>
              <w:right w:val="single" w:sz="6" w:space="0" w:color="000000"/>
            </w:tcBorders>
          </w:tcPr>
          <w:p w:rsidR="00C32526" w:rsidP="00C32526" w14:paraId="213F4ED4" w14:textId="53EEFEFD">
            <w:pPr>
              <w:spacing w:after="16"/>
            </w:pPr>
            <w:r>
              <w:t>Host an OSHA site visit</w:t>
            </w:r>
          </w:p>
        </w:tc>
        <w:tc>
          <w:tcPr>
            <w:tcW w:w="1200" w:type="dxa"/>
            <w:tcBorders>
              <w:top w:val="single" w:sz="6" w:space="0" w:color="000000"/>
              <w:left w:val="single" w:sz="6" w:space="0" w:color="000000"/>
              <w:bottom w:val="single" w:sz="6" w:space="0" w:color="000000"/>
              <w:right w:val="single" w:sz="6" w:space="0" w:color="000000"/>
            </w:tcBorders>
            <w:vAlign w:val="center"/>
          </w:tcPr>
          <w:p w:rsidR="00C32526" w:rsidP="00C32526" w14:paraId="5BDC0AD4" w14:textId="77777777">
            <w:pPr>
              <w:spacing w:line="16" w:lineRule="exact"/>
              <w:jc w:val="center"/>
            </w:pPr>
          </w:p>
          <w:p w:rsidR="00C32526" w:rsidP="00C32526" w14:paraId="23983BC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jc w:val="center"/>
            </w:pPr>
          </w:p>
          <w:p w:rsidR="00C32526" w:rsidP="00C32526" w14:paraId="14BFE995" w14:textId="22396C07">
            <w:pPr>
              <w:spacing w:after="16"/>
              <w:jc w:val="center"/>
            </w:pPr>
            <w:r>
              <w:t>0.25</w:t>
            </w:r>
            <w:r w:rsidRPr="00D227A5">
              <w:rPr>
                <w:vertAlign w:val="superscript"/>
              </w:rPr>
              <w:t>4</w:t>
            </w:r>
          </w:p>
        </w:tc>
        <w:tc>
          <w:tcPr>
            <w:tcW w:w="1344" w:type="dxa"/>
            <w:tcBorders>
              <w:top w:val="single" w:sz="6" w:space="0" w:color="000000"/>
              <w:left w:val="single" w:sz="6" w:space="0" w:color="000000"/>
              <w:bottom w:val="single" w:sz="6" w:space="0" w:color="000000"/>
              <w:right w:val="single" w:sz="6" w:space="0" w:color="000000"/>
            </w:tcBorders>
            <w:vAlign w:val="center"/>
          </w:tcPr>
          <w:p w:rsidR="00C32526" w:rsidP="00C32526" w14:paraId="2170AAB2" w14:textId="20F3CB16">
            <w:pPr>
              <w:spacing w:after="16"/>
              <w:jc w:val="center"/>
            </w:pPr>
            <w:r>
              <w:t>12</w:t>
            </w:r>
          </w:p>
        </w:tc>
        <w:tc>
          <w:tcPr>
            <w:tcW w:w="1080" w:type="dxa"/>
            <w:tcBorders>
              <w:top w:val="single" w:sz="6" w:space="0" w:color="000000"/>
              <w:left w:val="single" w:sz="6" w:space="0" w:color="000000"/>
              <w:bottom w:val="single" w:sz="6" w:space="0" w:color="000000"/>
              <w:right w:val="single" w:sz="6" w:space="0" w:color="000000"/>
            </w:tcBorders>
            <w:vAlign w:val="center"/>
          </w:tcPr>
          <w:p w:rsidR="00C32526" w:rsidP="00C32526" w14:paraId="7A513B46" w14:textId="2050E1D7">
            <w:pPr>
              <w:spacing w:after="16"/>
              <w:jc w:val="center"/>
            </w:pPr>
            <w:r>
              <w:t>3</w:t>
            </w:r>
          </w:p>
        </w:tc>
        <w:tc>
          <w:tcPr>
            <w:tcW w:w="1080" w:type="dxa"/>
            <w:tcBorders>
              <w:top w:val="single" w:sz="6" w:space="0" w:color="000000"/>
              <w:left w:val="single" w:sz="6" w:space="0" w:color="000000"/>
              <w:bottom w:val="single" w:sz="6" w:space="0" w:color="000000"/>
              <w:right w:val="single" w:sz="6" w:space="0" w:color="000000"/>
            </w:tcBorders>
            <w:vAlign w:val="center"/>
          </w:tcPr>
          <w:p w:rsidR="00C32526" w:rsidP="00C32526" w14:paraId="195BF55D" w14:textId="41570354">
            <w:pPr>
              <w:spacing w:after="16"/>
              <w:jc w:val="center"/>
            </w:pPr>
            <w:r>
              <w:t>2</w:t>
            </w:r>
          </w:p>
        </w:tc>
        <w:tc>
          <w:tcPr>
            <w:tcW w:w="906" w:type="dxa"/>
            <w:tcBorders>
              <w:top w:val="single" w:sz="6" w:space="0" w:color="000000"/>
              <w:left w:val="single" w:sz="6" w:space="0" w:color="000000"/>
              <w:bottom w:val="single" w:sz="6" w:space="0" w:color="000000"/>
              <w:right w:val="single" w:sz="6" w:space="0" w:color="000000"/>
            </w:tcBorders>
            <w:vAlign w:val="center"/>
          </w:tcPr>
          <w:p w:rsidR="00C32526" w:rsidP="00C32526" w14:paraId="77E0B57E" w14:textId="167B2449">
            <w:pPr>
              <w:spacing w:after="16"/>
              <w:jc w:val="center"/>
            </w:pPr>
            <w:r>
              <w:t>6</w:t>
            </w:r>
          </w:p>
        </w:tc>
        <w:tc>
          <w:tcPr>
            <w:tcW w:w="1344" w:type="dxa"/>
            <w:tcBorders>
              <w:top w:val="single" w:sz="6" w:space="0" w:color="000000"/>
              <w:left w:val="single" w:sz="6" w:space="0" w:color="000000"/>
              <w:bottom w:val="single" w:sz="6" w:space="0" w:color="000000"/>
              <w:right w:val="single" w:sz="6" w:space="0" w:color="000000"/>
            </w:tcBorders>
            <w:vAlign w:val="center"/>
          </w:tcPr>
          <w:p w:rsidR="00C32526" w:rsidRPr="00EB39BA" w:rsidP="00C32526" w14:paraId="029F9245" w14:textId="52643728">
            <w:pPr>
              <w:spacing w:after="16"/>
              <w:jc w:val="center"/>
            </w:pPr>
            <w:r>
              <w:t>$34.10</w:t>
            </w:r>
          </w:p>
        </w:tc>
        <w:tc>
          <w:tcPr>
            <w:tcW w:w="1800" w:type="dxa"/>
            <w:tcBorders>
              <w:top w:val="single" w:sz="6" w:space="0" w:color="000000"/>
              <w:left w:val="single" w:sz="6" w:space="0" w:color="000000"/>
              <w:bottom w:val="single" w:sz="6" w:space="0" w:color="000000"/>
              <w:right w:val="single" w:sz="4" w:space="0" w:color="auto"/>
            </w:tcBorders>
            <w:vAlign w:val="center"/>
          </w:tcPr>
          <w:p w:rsidR="00C32526" w:rsidP="00C32526" w14:paraId="3EBB1F55" w14:textId="39A35F5A">
            <w:pPr>
              <w:spacing w:after="16"/>
              <w:jc w:val="center"/>
            </w:pPr>
            <w:r>
              <w:t>$205</w:t>
            </w:r>
          </w:p>
        </w:tc>
      </w:tr>
      <w:tr w14:paraId="3E803BCA" w14:textId="77777777" w:rsidTr="006514AF">
        <w:tblPrEx>
          <w:tblW w:w="12600" w:type="dxa"/>
          <w:tblInd w:w="-98" w:type="dxa"/>
          <w:tblLayout w:type="fixed"/>
          <w:tblCellMar>
            <w:left w:w="88" w:type="dxa"/>
            <w:right w:w="88" w:type="dxa"/>
          </w:tblCellMar>
          <w:tblLook w:val="0000"/>
        </w:tblPrEx>
        <w:trPr>
          <w:cantSplit/>
          <w:trHeight w:val="426"/>
        </w:trPr>
        <w:tc>
          <w:tcPr>
            <w:tcW w:w="3846" w:type="dxa"/>
            <w:tcBorders>
              <w:top w:val="single" w:sz="6" w:space="0" w:color="000000"/>
              <w:left w:val="single" w:sz="6" w:space="0" w:color="000000"/>
              <w:bottom w:val="single" w:sz="6" w:space="0" w:color="000000"/>
              <w:right w:val="single" w:sz="6" w:space="0" w:color="000000"/>
            </w:tcBorders>
          </w:tcPr>
          <w:p w:rsidR="00C32526" w:rsidRPr="00847DB5" w:rsidP="00C32526" w14:paraId="0BF72E29" w14:textId="77777777">
            <w:pPr>
              <w:spacing w:line="16" w:lineRule="exact"/>
              <w:rPr>
                <w:b/>
                <w:bCs/>
              </w:rPr>
            </w:pPr>
          </w:p>
          <w:p w:rsidR="00C32526" w:rsidRPr="00847DB5" w:rsidP="00C32526" w14:paraId="24B2848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b/>
                <w:bCs/>
              </w:rPr>
            </w:pPr>
          </w:p>
          <w:p w:rsidR="00C32526" w:rsidP="00C32526" w14:paraId="06A2C9C6" w14:textId="6F94151F">
            <w:pPr>
              <w:spacing w:after="16"/>
            </w:pPr>
            <w:r w:rsidRPr="00847DB5">
              <w:rPr>
                <w:b/>
                <w:bCs/>
              </w:rPr>
              <w:t>Totals</w:t>
            </w:r>
          </w:p>
        </w:tc>
        <w:tc>
          <w:tcPr>
            <w:tcW w:w="1200" w:type="dxa"/>
            <w:tcBorders>
              <w:top w:val="single" w:sz="6" w:space="0" w:color="000000"/>
              <w:left w:val="single" w:sz="6" w:space="0" w:color="000000"/>
              <w:bottom w:val="single" w:sz="6" w:space="0" w:color="000000"/>
              <w:right w:val="single" w:sz="6" w:space="0" w:color="000000"/>
            </w:tcBorders>
            <w:vAlign w:val="center"/>
          </w:tcPr>
          <w:p w:rsidR="00C32526" w:rsidRPr="00BD049F" w:rsidP="00C32526" w14:paraId="2E23703F" w14:textId="77777777">
            <w:pPr>
              <w:spacing w:line="16" w:lineRule="exact"/>
              <w:jc w:val="center"/>
              <w:rPr>
                <w:b/>
                <w:bCs/>
              </w:rPr>
            </w:pPr>
          </w:p>
        </w:tc>
        <w:tc>
          <w:tcPr>
            <w:tcW w:w="1344" w:type="dxa"/>
            <w:tcBorders>
              <w:top w:val="single" w:sz="6" w:space="0" w:color="000000"/>
              <w:left w:val="single" w:sz="6" w:space="0" w:color="000000"/>
              <w:bottom w:val="single" w:sz="6" w:space="0" w:color="000000"/>
              <w:right w:val="single" w:sz="6" w:space="0" w:color="000000"/>
            </w:tcBorders>
            <w:vAlign w:val="center"/>
          </w:tcPr>
          <w:p w:rsidR="00C32526" w:rsidRPr="00BD049F" w:rsidP="00C32526" w14:paraId="2095E706" w14:textId="77777777">
            <w:pPr>
              <w:spacing w:after="16"/>
              <w:jc w:val="center"/>
              <w:rPr>
                <w:b/>
                <w:bCs/>
              </w:rPr>
            </w:pPr>
          </w:p>
        </w:tc>
        <w:tc>
          <w:tcPr>
            <w:tcW w:w="1080" w:type="dxa"/>
            <w:tcBorders>
              <w:top w:val="single" w:sz="6" w:space="0" w:color="000000"/>
              <w:left w:val="single" w:sz="6" w:space="0" w:color="000000"/>
              <w:bottom w:val="single" w:sz="6" w:space="0" w:color="000000"/>
              <w:right w:val="single" w:sz="6" w:space="0" w:color="000000"/>
            </w:tcBorders>
            <w:vAlign w:val="center"/>
          </w:tcPr>
          <w:p w:rsidR="00C32526" w:rsidRPr="00BD049F" w:rsidP="00C32526" w14:paraId="31CC8542" w14:textId="411E52CD">
            <w:pPr>
              <w:spacing w:after="16"/>
              <w:jc w:val="center"/>
              <w:rPr>
                <w:b/>
                <w:bCs/>
              </w:rPr>
            </w:pPr>
            <w:r w:rsidRPr="00BD049F">
              <w:rPr>
                <w:b/>
                <w:bCs/>
              </w:rPr>
              <w:t>51</w:t>
            </w:r>
          </w:p>
        </w:tc>
        <w:tc>
          <w:tcPr>
            <w:tcW w:w="1080" w:type="dxa"/>
            <w:tcBorders>
              <w:top w:val="single" w:sz="6" w:space="0" w:color="000000"/>
              <w:left w:val="single" w:sz="6" w:space="0" w:color="000000"/>
              <w:bottom w:val="single" w:sz="6" w:space="0" w:color="000000"/>
              <w:right w:val="single" w:sz="6" w:space="0" w:color="000000"/>
            </w:tcBorders>
            <w:vAlign w:val="center"/>
          </w:tcPr>
          <w:p w:rsidR="00C32526" w:rsidRPr="00BD049F" w:rsidP="00C32526" w14:paraId="0E20F1AC" w14:textId="77777777">
            <w:pPr>
              <w:spacing w:after="16"/>
              <w:jc w:val="center"/>
              <w:rPr>
                <w:b/>
                <w:bCs/>
              </w:rPr>
            </w:pPr>
          </w:p>
        </w:tc>
        <w:tc>
          <w:tcPr>
            <w:tcW w:w="906" w:type="dxa"/>
            <w:tcBorders>
              <w:top w:val="single" w:sz="6" w:space="0" w:color="000000"/>
              <w:left w:val="single" w:sz="6" w:space="0" w:color="000000"/>
              <w:bottom w:val="single" w:sz="6" w:space="0" w:color="000000"/>
              <w:right w:val="single" w:sz="6" w:space="0" w:color="000000"/>
            </w:tcBorders>
            <w:vAlign w:val="center"/>
          </w:tcPr>
          <w:p w:rsidR="00C32526" w:rsidRPr="00BD049F" w:rsidP="00C32526" w14:paraId="20E40BE8" w14:textId="57C943F5">
            <w:pPr>
              <w:spacing w:after="16"/>
              <w:jc w:val="center"/>
              <w:rPr>
                <w:b/>
                <w:bCs/>
              </w:rPr>
            </w:pPr>
            <w:r w:rsidRPr="00BD049F">
              <w:rPr>
                <w:b/>
                <w:bCs/>
              </w:rPr>
              <w:t>366</w:t>
            </w:r>
          </w:p>
        </w:tc>
        <w:tc>
          <w:tcPr>
            <w:tcW w:w="1344" w:type="dxa"/>
            <w:tcBorders>
              <w:top w:val="single" w:sz="6" w:space="0" w:color="000000"/>
              <w:left w:val="single" w:sz="6" w:space="0" w:color="000000"/>
              <w:bottom w:val="single" w:sz="6" w:space="0" w:color="000000"/>
              <w:right w:val="single" w:sz="6" w:space="0" w:color="000000"/>
            </w:tcBorders>
            <w:vAlign w:val="center"/>
          </w:tcPr>
          <w:p w:rsidR="00C32526" w:rsidRPr="00BD049F" w:rsidP="00C32526" w14:paraId="67A99480" w14:textId="77777777">
            <w:pPr>
              <w:spacing w:after="16"/>
              <w:jc w:val="center"/>
              <w:rPr>
                <w:b/>
                <w:bCs/>
              </w:rPr>
            </w:pPr>
          </w:p>
        </w:tc>
        <w:tc>
          <w:tcPr>
            <w:tcW w:w="1800" w:type="dxa"/>
            <w:tcBorders>
              <w:top w:val="single" w:sz="6" w:space="0" w:color="000000"/>
              <w:left w:val="single" w:sz="6" w:space="0" w:color="000000"/>
              <w:bottom w:val="single" w:sz="6" w:space="0" w:color="000000"/>
              <w:right w:val="single" w:sz="4" w:space="0" w:color="auto"/>
            </w:tcBorders>
            <w:vAlign w:val="center"/>
          </w:tcPr>
          <w:p w:rsidR="00C32526" w:rsidRPr="00BD049F" w:rsidP="00C32526" w14:paraId="6FB2EECE" w14:textId="2C8B8F36">
            <w:pPr>
              <w:spacing w:after="16"/>
              <w:jc w:val="center"/>
              <w:rPr>
                <w:b/>
                <w:bCs/>
              </w:rPr>
            </w:pPr>
            <w:r w:rsidRPr="00BD049F">
              <w:rPr>
                <w:b/>
                <w:bCs/>
              </w:rPr>
              <w:t>$12,481</w:t>
            </w:r>
          </w:p>
        </w:tc>
      </w:tr>
    </w:tbl>
    <w:bookmarkEnd w:id="5"/>
    <w:bookmarkEnd w:id="6"/>
    <w:bookmarkEnd w:id="7"/>
    <w:p w:rsidR="004C2408" w:rsidP="00B713D7" w14:paraId="200326C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Cs w:val="20"/>
        </w:rPr>
      </w:pPr>
      <w:r w:rsidRPr="00C1451B">
        <w:rPr>
          <w:szCs w:val="20"/>
          <w:vertAlign w:val="superscript"/>
        </w:rPr>
        <w:t>1</w:t>
      </w:r>
      <w:r w:rsidRPr="00C1451B">
        <w:rPr>
          <w:szCs w:val="20"/>
        </w:rPr>
        <w:t>These figures assume one variance application per employer.</w:t>
      </w:r>
    </w:p>
    <w:p w:rsidR="00CD2035" w:rsidP="00B713D7" w14:paraId="33F2CB66" w14:textId="5EF34E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Cs w:val="20"/>
        </w:rPr>
      </w:pPr>
      <w:r w:rsidRPr="00C1451B">
        <w:rPr>
          <w:szCs w:val="20"/>
          <w:vertAlign w:val="superscript"/>
        </w:rPr>
        <w:t>2</w:t>
      </w:r>
      <w:r w:rsidRPr="00C1451B">
        <w:rPr>
          <w:szCs w:val="20"/>
        </w:rPr>
        <w:t>OSHA assumes that burden hours are similar for each of the four types of variances.</w:t>
      </w:r>
    </w:p>
    <w:p w:rsidR="00B33938" w:rsidP="00B713D7" w14:paraId="0471E99E" w14:textId="4E7D10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Cs w:val="20"/>
        </w:rPr>
      </w:pPr>
      <w:r w:rsidRPr="00C1451B">
        <w:rPr>
          <w:szCs w:val="20"/>
          <w:vertAlign w:val="superscript"/>
        </w:rPr>
        <w:t>3</w:t>
      </w:r>
      <w:r w:rsidRPr="00C1451B" w:rsidR="00C65126">
        <w:rPr>
          <w:szCs w:val="20"/>
        </w:rPr>
        <w:t xml:space="preserve">Based on an average hourly rate of </w:t>
      </w:r>
      <w:r w:rsidR="00852522">
        <w:rPr>
          <w:szCs w:val="20"/>
        </w:rPr>
        <w:t>$</w:t>
      </w:r>
      <w:r w:rsidR="006246F4">
        <w:rPr>
          <w:szCs w:val="20"/>
        </w:rPr>
        <w:t>34.35</w:t>
      </w:r>
      <w:r w:rsidR="00852522">
        <w:rPr>
          <w:szCs w:val="20"/>
        </w:rPr>
        <w:t xml:space="preserve"> </w:t>
      </w:r>
      <w:r w:rsidRPr="00C1451B" w:rsidR="00C65126">
        <w:rPr>
          <w:szCs w:val="20"/>
        </w:rPr>
        <w:t>(wage</w:t>
      </w:r>
      <w:r w:rsidRPr="00C1451B" w:rsidR="00691ED2">
        <w:rPr>
          <w:szCs w:val="20"/>
        </w:rPr>
        <w:t>s</w:t>
      </w:r>
      <w:r w:rsidRPr="00C1451B" w:rsidR="00C65126">
        <w:rPr>
          <w:szCs w:val="20"/>
        </w:rPr>
        <w:t xml:space="preserve"> and benefits) for a </w:t>
      </w:r>
      <w:r w:rsidR="007435BC">
        <w:rPr>
          <w:szCs w:val="20"/>
        </w:rPr>
        <w:t>Human Resources Assistant</w:t>
      </w:r>
      <w:r w:rsidRPr="00C1451B" w:rsidR="00C65126">
        <w:rPr>
          <w:szCs w:val="20"/>
        </w:rPr>
        <w:t>.</w:t>
      </w:r>
    </w:p>
    <w:p w:rsidR="009C1DDC" w:rsidP="00B713D7" w14:paraId="211BF28B" w14:textId="7B0D49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color w:val="000000"/>
          <w:szCs w:val="20"/>
        </w:rPr>
      </w:pPr>
      <w:r w:rsidRPr="00C1451B">
        <w:rPr>
          <w:color w:val="000000"/>
          <w:szCs w:val="20"/>
          <w:vertAlign w:val="superscript"/>
        </w:rPr>
        <w:t>4</w:t>
      </w:r>
      <w:r w:rsidRPr="00C1451B">
        <w:rPr>
          <w:color w:val="000000"/>
          <w:szCs w:val="20"/>
        </w:rPr>
        <w:t xml:space="preserve">OSHA conducts about one site visit every </w:t>
      </w:r>
      <w:r w:rsidR="005D1651">
        <w:rPr>
          <w:color w:val="000000"/>
          <w:szCs w:val="20"/>
        </w:rPr>
        <w:t>four</w:t>
      </w:r>
      <w:r w:rsidRPr="00C1451B" w:rsidR="005D1651">
        <w:rPr>
          <w:color w:val="000000"/>
          <w:szCs w:val="20"/>
        </w:rPr>
        <w:t xml:space="preserve"> </w:t>
      </w:r>
      <w:r w:rsidRPr="00C1451B">
        <w:rPr>
          <w:color w:val="000000"/>
          <w:szCs w:val="20"/>
        </w:rPr>
        <w:t>years.</w:t>
      </w:r>
    </w:p>
    <w:p w:rsidR="00436E68" w:rsidP="00B713D7" w14:paraId="27F8836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color w:val="000000"/>
          <w:szCs w:val="20"/>
        </w:rPr>
      </w:pPr>
    </w:p>
    <w:p w:rsidR="00436E68" w:rsidP="00B713D7" w14:paraId="27EE763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color w:val="000000"/>
          <w:szCs w:val="20"/>
        </w:rPr>
      </w:pPr>
    </w:p>
    <w:p w:rsidR="00436E68" w:rsidP="00B713D7" w14:paraId="31E64A1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Cs w:val="20"/>
        </w:rPr>
      </w:pPr>
    </w:p>
    <w:p w:rsidR="006F25EE" w:rsidP="00E80E59" w14:paraId="71C2AE8F" w14:textId="5C7EF8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p>
    <w:p w:rsidR="006F25EE" w:rsidP="00E80E59" w14:paraId="6D9E878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p>
    <w:p w:rsidR="006F25EE" w:rsidP="00E80E59" w14:paraId="0FDB2B3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p>
    <w:p w:rsidR="006F25EE" w:rsidP="00E80E59" w14:paraId="5B9D0E8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p>
    <w:p w:rsidR="006F25EE" w:rsidP="00E80E59" w14:paraId="3A90588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p>
    <w:p w:rsidR="006F25EE" w:rsidP="00E80E59" w14:paraId="23F3CDE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p>
    <w:p w:rsidR="006F25EE" w:rsidP="00E80E59" w14:paraId="5144F5A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p>
    <w:p w:rsidR="00502BBA" w:rsidP="00E80E59" w14:paraId="0E0C26E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sectPr w:rsidSect="001D146F">
          <w:pgSz w:w="15840" w:h="12240" w:orient="landscape" w:code="1"/>
          <w:pgMar w:top="1800" w:right="1440" w:bottom="1800" w:left="1440" w:header="0" w:footer="0" w:gutter="0"/>
          <w:cols w:space="720"/>
          <w:docGrid w:linePitch="360"/>
        </w:sectPr>
      </w:pPr>
    </w:p>
    <w:p w:rsidR="006F25EE" w:rsidP="00E80E59" w14:paraId="3BEE84E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p>
    <w:p w:rsidR="006F25EE" w:rsidP="00E80E59" w14:paraId="1103951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p>
    <w:p w:rsidR="0052708B" w:rsidRPr="001E1E41" w:rsidP="00E80E59" w14:paraId="2454D1F6" w14:textId="486CCD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sidRPr="001E1E41">
        <w:rPr>
          <w:b/>
          <w:bCs/>
          <w:sz w:val="24"/>
        </w:rPr>
        <w:t xml:space="preserve">13.  Provide an estimate of the total annual cost burden to respondents or </w:t>
      </w:r>
      <w:r w:rsidRPr="001E1E41" w:rsidR="0015448C">
        <w:rPr>
          <w:b/>
          <w:bCs/>
          <w:sz w:val="24"/>
        </w:rPr>
        <w:t>recordkeepers</w:t>
      </w:r>
      <w:r w:rsidRPr="001E1E41">
        <w:rPr>
          <w:b/>
          <w:bCs/>
          <w:sz w:val="24"/>
        </w:rPr>
        <w:t xml:space="preserve"> resulting from the collection of information.  (Do not include the cost of any hour burden shown in </w:t>
      </w:r>
      <w:r w:rsidRPr="001E1E41" w:rsidR="004C2408">
        <w:rPr>
          <w:b/>
          <w:bCs/>
          <w:sz w:val="24"/>
        </w:rPr>
        <w:t>I</w:t>
      </w:r>
      <w:r w:rsidRPr="001E1E41">
        <w:rPr>
          <w:b/>
          <w:bCs/>
          <w:sz w:val="24"/>
        </w:rPr>
        <w:t>tem</w:t>
      </w:r>
      <w:r w:rsidRPr="001E1E41" w:rsidR="004C2408">
        <w:rPr>
          <w:b/>
          <w:bCs/>
          <w:sz w:val="24"/>
        </w:rPr>
        <w:t>s</w:t>
      </w:r>
      <w:r w:rsidRPr="001E1E41">
        <w:rPr>
          <w:b/>
          <w:bCs/>
          <w:sz w:val="24"/>
        </w:rPr>
        <w:t xml:space="preserve"> 12 and 14.)</w:t>
      </w:r>
    </w:p>
    <w:p w:rsidR="0052708B" w:rsidRPr="001E1E41" w:rsidP="0052708B" w14:paraId="650784A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p>
    <w:p w:rsidR="0052708B" w:rsidRPr="001E1E41" w:rsidP="004C2408" w14:paraId="6C792D5F" w14:textId="5A74C56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sidRPr="001E1E41">
        <w:rPr>
          <w:rFonts w:ascii="Albertus Extra Bold" w:hAnsi="Albertus Extra Bold"/>
          <w:b/>
          <w:bCs/>
          <w:sz w:val="24"/>
        </w:rPr>
        <w:t xml:space="preserve">• </w:t>
      </w:r>
      <w:r w:rsidRPr="001E1E41">
        <w:rPr>
          <w:b/>
          <w:bCs/>
          <w:sz w:val="24"/>
        </w:rPr>
        <w:t xml:space="preserve">The cost estimate should be split into two components: (a) </w:t>
      </w:r>
      <w:r w:rsidRPr="001E1E41" w:rsidR="004C2408">
        <w:rPr>
          <w:b/>
          <w:bCs/>
          <w:sz w:val="24"/>
        </w:rPr>
        <w:t>a</w:t>
      </w:r>
      <w:r w:rsidRPr="001E1E41">
        <w:rPr>
          <w:b/>
          <w:bCs/>
          <w:sz w:val="24"/>
        </w:rPr>
        <w:t xml:space="preserve"> total capital and start</w:t>
      </w:r>
      <w:r w:rsidRPr="001E1E41">
        <w:rPr>
          <w:b/>
          <w:bCs/>
          <w:sz w:val="24"/>
        </w:rPr>
        <w:noBreakHyphen/>
        <w: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w:t>
      </w:r>
      <w:r w:rsidRPr="001E1E41">
        <w:rPr>
          <w:b/>
          <w:bCs/>
          <w:sz w:val="24"/>
        </w:rPr>
        <w:noBreakHyphen/>
        <w:t>up costs include, among other items, preparations for collecting information such as purchasing computers and software; monitoring, sampling, drilling and testing equipment; and record storage facilities.</w:t>
      </w:r>
    </w:p>
    <w:p w:rsidR="0052708B" w:rsidRPr="001E1E41" w:rsidP="004C2408" w14:paraId="7FCE778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p>
    <w:p w:rsidR="0052708B" w:rsidRPr="001E1E41" w:rsidP="004C2408" w14:paraId="2ECBF34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sidRPr="001E1E41">
        <w:rPr>
          <w:b/>
          <w:bCs/>
          <w:sz w:val="24"/>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w:t>
      </w:r>
      <w:r w:rsidRPr="001E1E41">
        <w:rPr>
          <w:b/>
          <w:bCs/>
          <w:sz w:val="24"/>
        </w:rPr>
        <w:noBreakHyphen/>
        <w:t>day pre</w:t>
      </w:r>
      <w:r w:rsidRPr="001E1E41">
        <w:rPr>
          <w:b/>
          <w:bCs/>
          <w:sz w:val="24"/>
        </w:rPr>
        <w:noBreakHyphen/>
        <w:t>OMB submission public comment process and use existing economic or regulatory impact analysis associated with the rulemaking containing the information collection, as appropriate.</w:t>
      </w:r>
    </w:p>
    <w:p w:rsidR="00F4032F" w:rsidRPr="001E1E41" w:rsidP="004C2408" w14:paraId="614082B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p>
    <w:p w:rsidR="0052708B" w:rsidRPr="001E1E41" w:rsidP="004C2408" w14:paraId="02E2BE56" w14:textId="5C2A96B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1E1E41">
        <w:rPr>
          <w:rFonts w:ascii="Albertus Extra Bold" w:hAnsi="Albertus Extra Bold"/>
          <w:b/>
          <w:bCs/>
          <w:sz w:val="24"/>
        </w:rPr>
        <w:t xml:space="preserve">• </w:t>
      </w:r>
      <w:r w:rsidRPr="001E1E41">
        <w:rPr>
          <w:b/>
          <w:bCs/>
          <w:sz w:val="24"/>
        </w:rPr>
        <w:t xml:space="preserve">Generally, estimates should not include purchases of equipment or services, or portions thereof, made: (1) </w:t>
      </w:r>
      <w:r w:rsidRPr="001E1E41" w:rsidR="00F71240">
        <w:rPr>
          <w:b/>
          <w:bCs/>
          <w:sz w:val="24"/>
        </w:rPr>
        <w:t>p</w:t>
      </w:r>
      <w:r w:rsidRPr="001E1E41">
        <w:rPr>
          <w:b/>
          <w:bCs/>
          <w:sz w:val="24"/>
        </w:rPr>
        <w:t>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CD2035" w:rsidP="0052708B" w14:paraId="4FAC8A4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CD2035" w:rsidP="0052708B" w14:paraId="2941F05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The cost determination made under </w:t>
      </w:r>
      <w:r w:rsidR="002B54D1">
        <w:rPr>
          <w:sz w:val="24"/>
        </w:rPr>
        <w:t xml:space="preserve">Item </w:t>
      </w:r>
      <w:r>
        <w:rPr>
          <w:sz w:val="24"/>
        </w:rPr>
        <w:t>12 accounts for the total annual cost burden to respondents or recordkeepers resulting from th</w:t>
      </w:r>
      <w:r w:rsidR="001240F0">
        <w:rPr>
          <w:sz w:val="24"/>
        </w:rPr>
        <w:t>is</w:t>
      </w:r>
      <w:r>
        <w:rPr>
          <w:sz w:val="24"/>
        </w:rPr>
        <w:t xml:space="preserve"> collection of information requirement.</w:t>
      </w:r>
    </w:p>
    <w:p w:rsidR="0052708B" w:rsidP="0052708B" w14:paraId="61ADC73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52708B" w:rsidRPr="001E1E41" w:rsidP="00AD10F3" w14:paraId="62C1719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sidRPr="001E1E41">
        <w:rPr>
          <w:b/>
          <w:bCs/>
          <w:sz w:val="24"/>
        </w:rPr>
        <w:t>14.  Provide estimates of the annualized cost</w:t>
      </w:r>
      <w:r w:rsidRPr="001E1E41" w:rsidR="00F71240">
        <w:rPr>
          <w:b/>
          <w:bCs/>
          <w:sz w:val="24"/>
        </w:rPr>
        <w:t>s</w:t>
      </w:r>
      <w:r w:rsidRPr="001E1E41">
        <w:rPr>
          <w:b/>
          <w:bCs/>
          <w:sz w:val="24"/>
        </w:rPr>
        <w:t xml:space="preserve"> to the Federal Government.  Also</w:t>
      </w:r>
      <w:r w:rsidRPr="001E1E41" w:rsidR="00F71240">
        <w:rPr>
          <w:b/>
          <w:bCs/>
          <w:sz w:val="24"/>
        </w:rPr>
        <w:t>,</w:t>
      </w:r>
      <w:r w:rsidRPr="001E1E41">
        <w:rPr>
          <w:b/>
          <w:bCs/>
          <w:sz w:val="24"/>
        </w:rPr>
        <w:t xml:space="preserve"> provide a description of the</w:t>
      </w:r>
      <w:r w:rsidRPr="001E1E41" w:rsidR="003A4DB0">
        <w:rPr>
          <w:b/>
          <w:bCs/>
          <w:sz w:val="24"/>
        </w:rPr>
        <w:t xml:space="preserve"> </w:t>
      </w:r>
      <w:r w:rsidRPr="001E1E41">
        <w:rPr>
          <w:b/>
          <w:bCs/>
          <w:sz w:val="24"/>
        </w:rPr>
        <w:t>method used to estimate cost, which should include quantification of hours, operational expenses (such as equipment, overhead, printing</w:t>
      </w:r>
      <w:r w:rsidRPr="001E1E41" w:rsidR="00F71240">
        <w:rPr>
          <w:b/>
          <w:bCs/>
          <w:sz w:val="24"/>
        </w:rPr>
        <w:t>,</w:t>
      </w:r>
      <w:r w:rsidRPr="001E1E41">
        <w:rPr>
          <w:b/>
          <w:bCs/>
          <w:sz w:val="24"/>
        </w:rPr>
        <w:t xml:space="preserve"> and support staff), and any other expense that would not have been incurred without this collection of information.  Agencies also may aggregate cost estimates from Items 12, 13, and 14 in</w:t>
      </w:r>
      <w:r w:rsidRPr="001E1E41" w:rsidR="00F71240">
        <w:rPr>
          <w:b/>
          <w:bCs/>
          <w:sz w:val="24"/>
        </w:rPr>
        <w:t xml:space="preserve"> a</w:t>
      </w:r>
      <w:r w:rsidRPr="001E1E41">
        <w:rPr>
          <w:b/>
          <w:bCs/>
          <w:sz w:val="24"/>
        </w:rPr>
        <w:t xml:space="preserve"> single table.</w:t>
      </w:r>
    </w:p>
    <w:p w:rsidR="00AD10F3" w:rsidP="00AD10F3" w14:paraId="3230509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FF6600"/>
          <w:szCs w:val="20"/>
        </w:rPr>
      </w:pPr>
    </w:p>
    <w:p w:rsidR="00116F83" w:rsidP="004333ED" w14:paraId="02900E9E" w14:textId="3D094A83">
      <w:pPr>
        <w:pStyle w:val="BodyText"/>
        <w:rPr>
          <w:color w:val="auto"/>
        </w:rPr>
      </w:pPr>
      <w:r w:rsidRPr="00D63433">
        <w:rPr>
          <w:color w:val="auto"/>
        </w:rPr>
        <w:t xml:space="preserve">The total </w:t>
      </w:r>
      <w:r w:rsidRPr="00D63433" w:rsidR="00E23F95">
        <w:rPr>
          <w:color w:val="auto"/>
        </w:rPr>
        <w:t xml:space="preserve">annual </w:t>
      </w:r>
      <w:r w:rsidRPr="00D63433">
        <w:rPr>
          <w:color w:val="auto"/>
        </w:rPr>
        <w:t>cost to the Federal government associated with processing variance applications submitted by employers is</w:t>
      </w:r>
      <w:r w:rsidR="001B7706">
        <w:rPr>
          <w:color w:val="auto"/>
        </w:rPr>
        <w:t xml:space="preserve"> </w:t>
      </w:r>
      <w:r w:rsidR="001055E0">
        <w:rPr>
          <w:color w:val="auto"/>
        </w:rPr>
        <w:t>$</w:t>
      </w:r>
      <w:r w:rsidR="00F25C34">
        <w:rPr>
          <w:color w:val="auto"/>
        </w:rPr>
        <w:t>95,924</w:t>
      </w:r>
      <w:r w:rsidR="001055E0">
        <w:rPr>
          <w:color w:val="auto"/>
        </w:rPr>
        <w:t xml:space="preserve">. </w:t>
      </w:r>
      <w:r w:rsidRPr="00D63433">
        <w:rPr>
          <w:color w:val="auto"/>
        </w:rPr>
        <w:t xml:space="preserve">In determining </w:t>
      </w:r>
      <w:r w:rsidRPr="00D63433" w:rsidR="004333ED">
        <w:rPr>
          <w:color w:val="auto"/>
        </w:rPr>
        <w:t xml:space="preserve">this </w:t>
      </w:r>
      <w:r w:rsidRPr="00D63433">
        <w:rPr>
          <w:color w:val="auto"/>
        </w:rPr>
        <w:t>cost, OSHA assume</w:t>
      </w:r>
      <w:r w:rsidRPr="00D63433" w:rsidR="0046573F">
        <w:rPr>
          <w:color w:val="auto"/>
        </w:rPr>
        <w:t>s</w:t>
      </w:r>
      <w:r w:rsidRPr="00D63433">
        <w:rPr>
          <w:color w:val="auto"/>
        </w:rPr>
        <w:t xml:space="preserve"> that the typical staff member processing a variance application is an industrial </w:t>
      </w:r>
      <w:r w:rsidRPr="00D63433" w:rsidR="00446688">
        <w:rPr>
          <w:color w:val="auto"/>
        </w:rPr>
        <w:t xml:space="preserve">hygienist </w:t>
      </w:r>
      <w:r w:rsidRPr="00D63433" w:rsidR="00446688">
        <w:rPr>
          <w:color w:val="auto"/>
        </w:rPr>
        <w:t>at</w:t>
      </w:r>
      <w:r w:rsidRPr="00D63433">
        <w:rPr>
          <w:color w:val="auto"/>
        </w:rPr>
        <w:t xml:space="preserve"> the 13/</w:t>
      </w:r>
      <w:r w:rsidRPr="00D63433" w:rsidR="008B3B83">
        <w:rPr>
          <w:color w:val="auto"/>
        </w:rPr>
        <w:t>5</w:t>
      </w:r>
      <w:r w:rsidRPr="00D63433">
        <w:rPr>
          <w:color w:val="auto"/>
        </w:rPr>
        <w:t xml:space="preserve"> pay grade and step level, with an hourly wage rate of</w:t>
      </w:r>
      <w:r w:rsidR="001B7706">
        <w:rPr>
          <w:color w:val="auto"/>
        </w:rPr>
        <w:t xml:space="preserve"> $56.16</w:t>
      </w:r>
      <w:r>
        <w:rPr>
          <w:rStyle w:val="FootnoteReference"/>
          <w:color w:val="auto"/>
          <w:sz w:val="20"/>
          <w:szCs w:val="20"/>
          <w:vertAlign w:val="superscript"/>
        </w:rPr>
        <w:footnoteReference w:id="7"/>
      </w:r>
      <w:r w:rsidRPr="00D63433">
        <w:rPr>
          <w:color w:val="auto"/>
        </w:rPr>
        <w:t xml:space="preserve">.  Other occupational expenses, such as equipment, overhead, and support-staff expenses, would occur without </w:t>
      </w:r>
      <w:r w:rsidR="008C3CC1">
        <w:rPr>
          <w:color w:val="auto"/>
        </w:rPr>
        <w:t xml:space="preserve">these collection-of-information requirements; therefore, the agency considers these expenses </w:t>
      </w:r>
      <w:r w:rsidRPr="00D63433">
        <w:rPr>
          <w:color w:val="auto"/>
        </w:rPr>
        <w:t xml:space="preserve">normal operating expenses and does not include them in estimating cost.  Table </w:t>
      </w:r>
      <w:r w:rsidR="00E53F99">
        <w:rPr>
          <w:color w:val="auto"/>
        </w:rPr>
        <w:t>3</w:t>
      </w:r>
      <w:r w:rsidRPr="00D63433">
        <w:rPr>
          <w:color w:val="auto"/>
        </w:rPr>
        <w:t xml:space="preserve"> below</w:t>
      </w:r>
      <w:r w:rsidRPr="00D63433" w:rsidR="004333ED">
        <w:rPr>
          <w:color w:val="auto"/>
        </w:rPr>
        <w:t xml:space="preserve"> </w:t>
      </w:r>
      <w:r w:rsidR="008C3CC1">
        <w:rPr>
          <w:color w:val="auto"/>
        </w:rPr>
        <w:t>of the estimated annual hours and costs for the federal</w:t>
      </w:r>
      <w:r w:rsidRPr="00D63433" w:rsidR="004333ED">
        <w:rPr>
          <w:color w:val="auto"/>
        </w:rPr>
        <w:t xml:space="preserve"> government </w:t>
      </w:r>
      <w:r w:rsidRPr="00D63433" w:rsidR="00925E47">
        <w:rPr>
          <w:color w:val="auto"/>
        </w:rPr>
        <w:t xml:space="preserve">to perform each of the tasks </w:t>
      </w:r>
      <w:r w:rsidRPr="00D63433" w:rsidR="00B960FC">
        <w:rPr>
          <w:color w:val="auto"/>
        </w:rPr>
        <w:t>associated with</w:t>
      </w:r>
      <w:r w:rsidRPr="00D63433" w:rsidR="004333ED">
        <w:rPr>
          <w:color w:val="auto"/>
        </w:rPr>
        <w:t xml:space="preserve"> the paperwork requirements specified by the </w:t>
      </w:r>
      <w:r w:rsidRPr="00D63433" w:rsidR="00F71240">
        <w:rPr>
          <w:color w:val="auto"/>
        </w:rPr>
        <w:t>variance</w:t>
      </w:r>
      <w:r w:rsidRPr="00D63433" w:rsidR="004333ED">
        <w:rPr>
          <w:color w:val="auto"/>
        </w:rPr>
        <w:t xml:space="preserve"> regulations</w:t>
      </w:r>
      <w:r w:rsidRPr="00D63433" w:rsidR="00D639C9">
        <w:rPr>
          <w:color w:val="auto"/>
        </w:rPr>
        <w:t>.</w:t>
      </w:r>
    </w:p>
    <w:p w:rsidR="001F4872" w:rsidP="004333ED" w14:paraId="2019124D" w14:textId="77777777">
      <w:pPr>
        <w:pStyle w:val="BodyText"/>
        <w:rPr>
          <w:color w:val="auto"/>
        </w:rPr>
      </w:pPr>
    </w:p>
    <w:p w:rsidR="00120F6C" w:rsidP="004333ED" w14:paraId="37F876BD" w14:textId="77777777">
      <w:pPr>
        <w:pStyle w:val="BodyText"/>
        <w:rPr>
          <w:color w:val="auto"/>
        </w:rPr>
      </w:pPr>
    </w:p>
    <w:p w:rsidR="006F25EE" w:rsidP="004333ED" w14:paraId="5C0658EE" w14:textId="77777777">
      <w:pPr>
        <w:pStyle w:val="BodyText"/>
        <w:rPr>
          <w:color w:val="auto"/>
        </w:rPr>
      </w:pPr>
    </w:p>
    <w:p w:rsidR="006F25EE" w:rsidP="004333ED" w14:paraId="4799A3C4" w14:textId="77777777">
      <w:pPr>
        <w:pStyle w:val="BodyText"/>
        <w:rPr>
          <w:color w:val="auto"/>
        </w:rPr>
      </w:pPr>
    </w:p>
    <w:p w:rsidR="006F25EE" w:rsidP="004333ED" w14:paraId="7E7A372F" w14:textId="77777777">
      <w:pPr>
        <w:pStyle w:val="BodyText"/>
        <w:rPr>
          <w:color w:val="auto"/>
        </w:rPr>
      </w:pPr>
    </w:p>
    <w:p w:rsidR="006F25EE" w:rsidP="004333ED" w14:paraId="7BE52B4C" w14:textId="77777777">
      <w:pPr>
        <w:pStyle w:val="BodyText"/>
        <w:rPr>
          <w:color w:val="auto"/>
        </w:rPr>
      </w:pPr>
    </w:p>
    <w:p w:rsidR="006F25EE" w:rsidP="004333ED" w14:paraId="1C3170DD" w14:textId="77777777">
      <w:pPr>
        <w:pStyle w:val="BodyText"/>
        <w:rPr>
          <w:color w:val="auto"/>
        </w:rPr>
      </w:pPr>
    </w:p>
    <w:p w:rsidR="006F25EE" w:rsidP="004333ED" w14:paraId="7D49E57F" w14:textId="77777777">
      <w:pPr>
        <w:pStyle w:val="BodyText"/>
        <w:rPr>
          <w:color w:val="auto"/>
        </w:rPr>
      </w:pPr>
    </w:p>
    <w:p w:rsidR="006F25EE" w:rsidP="004333ED" w14:paraId="7D7E81BC" w14:textId="77777777">
      <w:pPr>
        <w:pStyle w:val="BodyText"/>
        <w:rPr>
          <w:color w:val="auto"/>
        </w:rPr>
      </w:pPr>
    </w:p>
    <w:p w:rsidR="006F25EE" w:rsidP="004333ED" w14:paraId="3F3F0713" w14:textId="77777777">
      <w:pPr>
        <w:pStyle w:val="BodyText"/>
        <w:rPr>
          <w:color w:val="auto"/>
        </w:rPr>
      </w:pPr>
    </w:p>
    <w:p w:rsidR="006F25EE" w:rsidP="004333ED" w14:paraId="302F59D5" w14:textId="77777777">
      <w:pPr>
        <w:pStyle w:val="BodyText"/>
        <w:rPr>
          <w:color w:val="auto"/>
        </w:rPr>
      </w:pPr>
    </w:p>
    <w:p w:rsidR="00502BBA" w:rsidP="004333ED" w14:paraId="033CB766" w14:textId="77777777">
      <w:pPr>
        <w:pStyle w:val="BodyText"/>
        <w:rPr>
          <w:color w:val="auto"/>
        </w:rPr>
        <w:sectPr w:rsidSect="00502BBA">
          <w:pgSz w:w="12240" w:h="15840" w:code="1"/>
          <w:pgMar w:top="1440" w:right="1800" w:bottom="1440" w:left="1800" w:header="0" w:footer="0" w:gutter="0"/>
          <w:cols w:space="720"/>
          <w:docGrid w:linePitch="360"/>
        </w:sectPr>
      </w:pPr>
    </w:p>
    <w:p w:rsidR="006F25EE" w:rsidP="004333ED" w14:paraId="4DA4489B" w14:textId="77777777">
      <w:pPr>
        <w:pStyle w:val="BodyText"/>
        <w:rPr>
          <w:color w:val="auto"/>
        </w:rPr>
      </w:pPr>
    </w:p>
    <w:p w:rsidR="006F25EE" w:rsidP="004333ED" w14:paraId="49A08B99" w14:textId="77777777">
      <w:pPr>
        <w:pStyle w:val="BodyText"/>
        <w:rPr>
          <w:color w:val="auto"/>
        </w:rPr>
      </w:pPr>
    </w:p>
    <w:p w:rsidR="006F25EE" w:rsidP="004333ED" w14:paraId="4FF97E6D" w14:textId="77777777">
      <w:pPr>
        <w:pStyle w:val="BodyText"/>
        <w:rPr>
          <w:color w:val="auto"/>
        </w:rPr>
      </w:pPr>
    </w:p>
    <w:p w:rsidR="006F25EE" w:rsidP="004333ED" w14:paraId="47E96361" w14:textId="77777777">
      <w:pPr>
        <w:pStyle w:val="BodyText"/>
        <w:rPr>
          <w:color w:val="auto"/>
        </w:rPr>
      </w:pPr>
    </w:p>
    <w:p w:rsidR="00120F6C" w:rsidP="004333ED" w14:paraId="0125DE4C" w14:textId="77777777">
      <w:pPr>
        <w:pStyle w:val="BodyText"/>
        <w:rPr>
          <w:color w:val="auto"/>
        </w:rPr>
      </w:pPr>
    </w:p>
    <w:tbl>
      <w:tblPr>
        <w:tblW w:w="13770" w:type="dxa"/>
        <w:tblInd w:w="-413" w:type="dxa"/>
        <w:tblCellMar>
          <w:left w:w="80" w:type="dxa"/>
          <w:right w:w="80" w:type="dxa"/>
        </w:tblCellMar>
        <w:tblLook w:val="0000"/>
      </w:tblPr>
      <w:tblGrid>
        <w:gridCol w:w="4387"/>
        <w:gridCol w:w="1373"/>
        <w:gridCol w:w="1890"/>
        <w:gridCol w:w="1350"/>
        <w:gridCol w:w="4770"/>
      </w:tblGrid>
      <w:tr w14:paraId="3FEA401D" w14:textId="77777777" w:rsidTr="006F25EE">
        <w:tblPrEx>
          <w:tblW w:w="13770" w:type="dxa"/>
          <w:tblInd w:w="-413" w:type="dxa"/>
          <w:tblCellMar>
            <w:left w:w="80" w:type="dxa"/>
            <w:right w:w="80" w:type="dxa"/>
          </w:tblCellMar>
          <w:tblLook w:val="0000"/>
        </w:tblPrEx>
        <w:trPr>
          <w:trHeight w:val="360"/>
          <w:tblHeader/>
        </w:trPr>
        <w:tc>
          <w:tcPr>
            <w:tcW w:w="13770" w:type="dxa"/>
            <w:gridSpan w:val="5"/>
            <w:tcBorders>
              <w:top w:val="single" w:sz="6" w:space="0" w:color="000000"/>
              <w:left w:val="single" w:sz="6" w:space="0" w:color="000000"/>
              <w:bottom w:val="single" w:sz="6" w:space="0" w:color="000000"/>
              <w:right w:val="single" w:sz="6" w:space="0" w:color="000000"/>
            </w:tcBorders>
            <w:shd w:val="clear" w:color="auto" w:fill="FEF2CC" w:themeFill="accent4" w:themeFillTint="33"/>
          </w:tcPr>
          <w:p w:rsidR="000B6D44" w:rsidRPr="001B61DD" w:rsidP="001B61DD" w14:paraId="6E14DEFD" w14:textId="12B26F13">
            <w:pPr>
              <w:widowControl/>
              <w:tabs>
                <w:tab w:val="left" w:pos="0"/>
                <w:tab w:val="center" w:pos="4680"/>
                <w:tab w:val="left" w:pos="5040"/>
                <w:tab w:val="left" w:pos="5760"/>
                <w:tab w:val="left" w:pos="6480"/>
                <w:tab w:val="left" w:pos="7200"/>
                <w:tab w:val="left" w:pos="7920"/>
                <w:tab w:val="left" w:pos="8640"/>
                <w:tab w:val="left" w:pos="9360"/>
              </w:tabs>
              <w:rPr>
                <w:b/>
                <w:sz w:val="22"/>
                <w:szCs w:val="22"/>
              </w:rPr>
            </w:pPr>
            <w:r w:rsidRPr="001B61DD">
              <w:rPr>
                <w:b/>
                <w:sz w:val="24"/>
              </w:rPr>
              <w:tab/>
            </w:r>
            <w:r w:rsidRPr="00EC3B53">
              <w:rPr>
                <w:b/>
                <w:sz w:val="22"/>
                <w:szCs w:val="22"/>
              </w:rPr>
              <w:t xml:space="preserve">Table 3 </w:t>
            </w:r>
            <w:r>
              <w:rPr>
                <w:b/>
                <w:sz w:val="24"/>
              </w:rPr>
              <w:t xml:space="preserve">- </w:t>
            </w:r>
            <w:r w:rsidRPr="001B61DD">
              <w:rPr>
                <w:b/>
                <w:sz w:val="22"/>
                <w:szCs w:val="22"/>
              </w:rPr>
              <w:t>Summary of Annual Federal Government Estimated Hours and Cost</w:t>
            </w:r>
            <w:r>
              <w:rPr>
                <w:b/>
                <w:sz w:val="22"/>
                <w:szCs w:val="22"/>
              </w:rPr>
              <w:t xml:space="preserve"> </w:t>
            </w:r>
            <w:r w:rsidRPr="001B61DD" w:rsidR="001B61DD">
              <w:rPr>
                <w:b/>
                <w:sz w:val="22"/>
                <w:szCs w:val="22"/>
              </w:rPr>
              <w:t>to</w:t>
            </w:r>
            <w:r w:rsidRPr="001B61DD">
              <w:rPr>
                <w:b/>
                <w:sz w:val="22"/>
                <w:szCs w:val="22"/>
              </w:rPr>
              <w:t xml:space="preserve"> the Federal Government to Process the Required Paperwork</w:t>
            </w:r>
          </w:p>
          <w:p w:rsidR="000B6D44" w:rsidP="00C1373E" w14:paraId="3B2CC765" w14:textId="77777777">
            <w:pPr>
              <w:spacing w:line="16" w:lineRule="exact"/>
              <w:jc w:val="center"/>
            </w:pPr>
          </w:p>
        </w:tc>
      </w:tr>
      <w:tr w14:paraId="115AFA27" w14:textId="77777777" w:rsidTr="006F25EE">
        <w:tblPrEx>
          <w:tblW w:w="13770" w:type="dxa"/>
          <w:tblInd w:w="-413" w:type="dxa"/>
          <w:tblCellMar>
            <w:left w:w="80" w:type="dxa"/>
            <w:right w:w="80" w:type="dxa"/>
          </w:tblCellMar>
          <w:tblLook w:val="0000"/>
        </w:tblPrEx>
        <w:trPr>
          <w:trHeight w:val="51"/>
          <w:tblHeader/>
        </w:trPr>
        <w:tc>
          <w:tcPr>
            <w:tcW w:w="4387" w:type="dxa"/>
            <w:tcBorders>
              <w:top w:val="single" w:sz="6" w:space="0" w:color="000000"/>
              <w:left w:val="single" w:sz="6" w:space="0" w:color="000000"/>
              <w:bottom w:val="single" w:sz="6" w:space="0" w:color="000000"/>
              <w:right w:val="single" w:sz="6" w:space="0" w:color="000000"/>
            </w:tcBorders>
            <w:shd w:val="clear" w:color="auto" w:fill="FFE599" w:themeFill="accent4" w:themeFillTint="66"/>
            <w:vAlign w:val="center"/>
          </w:tcPr>
          <w:p w:rsidR="007F0E3B" w:rsidRPr="00B63FEE" w:rsidP="00693726" w14:paraId="6B1429A1" w14:textId="77777777">
            <w:pPr>
              <w:spacing w:line="16" w:lineRule="exact"/>
              <w:jc w:val="center"/>
              <w:rPr>
                <w:b/>
                <w:bCs/>
              </w:rPr>
            </w:pPr>
          </w:p>
          <w:p w:rsidR="0083391D" w:rsidRPr="00B63FEE" w:rsidP="00693726" w14:paraId="7F8DE970" w14:textId="77777777">
            <w:pPr>
              <w:spacing w:line="16" w:lineRule="exact"/>
              <w:jc w:val="center"/>
              <w:rPr>
                <w:b/>
                <w:bCs/>
              </w:rPr>
            </w:pPr>
          </w:p>
          <w:p w:rsidR="0083391D" w:rsidRPr="00B63FEE" w:rsidP="00693726" w14:paraId="024179E2" w14:textId="77777777">
            <w:pPr>
              <w:spacing w:line="16" w:lineRule="exact"/>
              <w:jc w:val="center"/>
              <w:rPr>
                <w:b/>
                <w:bCs/>
              </w:rPr>
            </w:pPr>
          </w:p>
          <w:p w:rsidR="007F0E3B" w:rsidRPr="00B63FEE" w:rsidP="00693726" w14:paraId="435D8CE1" w14:textId="77777777">
            <w:pPr>
              <w:tabs>
                <w:tab w:val="left" w:pos="0"/>
                <w:tab w:val="center" w:pos="1548"/>
                <w:tab w:val="left" w:pos="2160"/>
                <w:tab w:val="left" w:pos="2880"/>
                <w:tab w:val="left" w:pos="3600"/>
                <w:tab w:val="left" w:pos="4320"/>
                <w:tab w:val="left" w:pos="5040"/>
                <w:tab w:val="left" w:pos="5760"/>
                <w:tab w:val="left" w:pos="6480"/>
                <w:tab w:val="left" w:pos="7200"/>
                <w:tab w:val="left" w:pos="7920"/>
                <w:tab w:val="left" w:pos="8640"/>
                <w:tab w:val="left" w:pos="9360"/>
              </w:tabs>
              <w:spacing w:after="16"/>
              <w:jc w:val="center"/>
              <w:rPr>
                <w:b/>
                <w:bCs/>
              </w:rPr>
            </w:pPr>
            <w:r w:rsidRPr="00B63FEE">
              <w:rPr>
                <w:b/>
                <w:bCs/>
              </w:rPr>
              <w:t>I</w:t>
            </w:r>
            <w:r w:rsidRPr="00B63FEE" w:rsidR="00385C5F">
              <w:rPr>
                <w:b/>
                <w:bCs/>
              </w:rPr>
              <w:t>nformation-Collection Task</w:t>
            </w:r>
          </w:p>
        </w:tc>
        <w:tc>
          <w:tcPr>
            <w:tcW w:w="1373" w:type="dxa"/>
            <w:tcBorders>
              <w:top w:val="single" w:sz="6" w:space="0" w:color="000000"/>
              <w:left w:val="single" w:sz="6" w:space="0" w:color="000000"/>
              <w:bottom w:val="single" w:sz="6" w:space="0" w:color="000000"/>
              <w:right w:val="single" w:sz="6" w:space="0" w:color="000000"/>
            </w:tcBorders>
            <w:shd w:val="clear" w:color="auto" w:fill="FFE599" w:themeFill="accent4" w:themeFillTint="66"/>
            <w:vAlign w:val="center"/>
          </w:tcPr>
          <w:p w:rsidR="007F0E3B" w:rsidRPr="00B63FEE" w:rsidP="003C65F4" w14:paraId="76F26D46" w14:textId="77777777">
            <w:pPr>
              <w:spacing w:line="16" w:lineRule="exact"/>
              <w:jc w:val="center"/>
              <w:rPr>
                <w:b/>
                <w:bCs/>
              </w:rPr>
            </w:pPr>
          </w:p>
          <w:p w:rsidR="007F0E3B" w:rsidRPr="00B63FEE" w:rsidP="003C65F4" w14:paraId="4D5718F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rPr>
            </w:pPr>
            <w:r w:rsidRPr="00B63FEE">
              <w:rPr>
                <w:b/>
                <w:bCs/>
              </w:rPr>
              <w:t>Number</w:t>
            </w:r>
          </w:p>
          <w:p w:rsidR="007F0E3B" w:rsidRPr="00B63FEE" w:rsidP="003C65F4" w14:paraId="216532A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
              <w:jc w:val="center"/>
              <w:rPr>
                <w:b/>
                <w:bCs/>
              </w:rPr>
            </w:pPr>
            <w:r w:rsidRPr="00B63FEE">
              <w:rPr>
                <w:b/>
                <w:bCs/>
              </w:rPr>
              <w:t xml:space="preserve">of </w:t>
            </w:r>
            <w:r w:rsidRPr="00B63FEE" w:rsidR="00385C5F">
              <w:rPr>
                <w:b/>
                <w:bCs/>
              </w:rPr>
              <w:t>Variances</w:t>
            </w:r>
          </w:p>
        </w:tc>
        <w:tc>
          <w:tcPr>
            <w:tcW w:w="1890" w:type="dxa"/>
            <w:tcBorders>
              <w:top w:val="single" w:sz="6" w:space="0" w:color="000000"/>
              <w:left w:val="single" w:sz="6" w:space="0" w:color="000000"/>
              <w:bottom w:val="single" w:sz="6" w:space="0" w:color="000000"/>
              <w:right w:val="single" w:sz="6" w:space="0" w:color="000000"/>
            </w:tcBorders>
            <w:shd w:val="clear" w:color="auto" w:fill="FFE599" w:themeFill="accent4" w:themeFillTint="66"/>
            <w:vAlign w:val="center"/>
          </w:tcPr>
          <w:p w:rsidR="007F0E3B" w:rsidRPr="00B63FEE" w:rsidP="003C65F4" w14:paraId="42557E6C" w14:textId="77777777">
            <w:pPr>
              <w:spacing w:line="16" w:lineRule="exact"/>
              <w:jc w:val="center"/>
              <w:rPr>
                <w:b/>
                <w:bCs/>
              </w:rPr>
            </w:pPr>
          </w:p>
          <w:p w:rsidR="007F0E3B" w:rsidRPr="00B63FEE" w:rsidP="003C65F4" w14:paraId="64DFC6D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rPr>
            </w:pPr>
            <w:r w:rsidRPr="00B63FEE">
              <w:rPr>
                <w:b/>
                <w:bCs/>
              </w:rPr>
              <w:t>Hours</w:t>
            </w:r>
          </w:p>
          <w:p w:rsidR="007F0E3B" w:rsidRPr="00B63FEE" w:rsidP="003C65F4" w14:paraId="77DBABC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
              <w:jc w:val="center"/>
              <w:rPr>
                <w:b/>
                <w:bCs/>
              </w:rPr>
            </w:pPr>
            <w:r w:rsidRPr="00B63FEE">
              <w:rPr>
                <w:b/>
                <w:bCs/>
              </w:rPr>
              <w:t xml:space="preserve">per </w:t>
            </w:r>
            <w:r w:rsidRPr="00B63FEE" w:rsidR="00385C5F">
              <w:rPr>
                <w:b/>
                <w:bCs/>
              </w:rPr>
              <w:t>Task</w:t>
            </w:r>
          </w:p>
        </w:tc>
        <w:tc>
          <w:tcPr>
            <w:tcW w:w="1350" w:type="dxa"/>
            <w:tcBorders>
              <w:top w:val="single" w:sz="6" w:space="0" w:color="000000"/>
              <w:left w:val="single" w:sz="6" w:space="0" w:color="000000"/>
              <w:bottom w:val="single" w:sz="6" w:space="0" w:color="000000"/>
              <w:right w:val="single" w:sz="6" w:space="0" w:color="000000"/>
            </w:tcBorders>
            <w:shd w:val="clear" w:color="auto" w:fill="FFE599" w:themeFill="accent4" w:themeFillTint="66"/>
            <w:vAlign w:val="center"/>
          </w:tcPr>
          <w:p w:rsidR="007F0E3B" w:rsidRPr="00B63FEE" w:rsidP="0069492F" w14:paraId="415AA9D2" w14:textId="77777777">
            <w:pPr>
              <w:spacing w:line="16" w:lineRule="exact"/>
              <w:jc w:val="center"/>
              <w:rPr>
                <w:b/>
                <w:bCs/>
              </w:rPr>
            </w:pPr>
          </w:p>
          <w:p w:rsidR="007F0E3B" w:rsidRPr="00B63FEE" w:rsidP="0069492F" w14:paraId="4E31A8B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jc w:val="center"/>
              <w:rPr>
                <w:b/>
                <w:bCs/>
              </w:rPr>
            </w:pPr>
          </w:p>
          <w:p w:rsidR="007F0E3B" w:rsidRPr="00B63FEE" w:rsidP="0069492F" w14:paraId="00E047C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
              <w:jc w:val="center"/>
              <w:rPr>
                <w:b/>
                <w:bCs/>
              </w:rPr>
            </w:pPr>
            <w:r w:rsidRPr="00B63FEE">
              <w:rPr>
                <w:b/>
                <w:bCs/>
              </w:rPr>
              <w:t>Total Hours</w:t>
            </w:r>
          </w:p>
        </w:tc>
        <w:tc>
          <w:tcPr>
            <w:tcW w:w="4770" w:type="dxa"/>
            <w:tcBorders>
              <w:top w:val="single" w:sz="6" w:space="0" w:color="000000"/>
              <w:left w:val="single" w:sz="6" w:space="0" w:color="000000"/>
              <w:bottom w:val="single" w:sz="6" w:space="0" w:color="000000"/>
              <w:right w:val="single" w:sz="6" w:space="0" w:color="000000"/>
            </w:tcBorders>
            <w:shd w:val="clear" w:color="auto" w:fill="FFE599" w:themeFill="accent4" w:themeFillTint="66"/>
            <w:vAlign w:val="center"/>
          </w:tcPr>
          <w:p w:rsidR="007F0E3B" w:rsidRPr="00B63FEE" w:rsidP="0069492F" w14:paraId="372E7050" w14:textId="77777777">
            <w:pPr>
              <w:spacing w:line="16" w:lineRule="exact"/>
              <w:jc w:val="center"/>
              <w:rPr>
                <w:b/>
                <w:bCs/>
              </w:rPr>
            </w:pPr>
          </w:p>
          <w:p w:rsidR="007F0E3B" w:rsidRPr="00B63FEE" w:rsidP="0069492F" w14:paraId="0B9790C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jc w:val="center"/>
              <w:rPr>
                <w:b/>
                <w:bCs/>
              </w:rPr>
            </w:pPr>
          </w:p>
          <w:p w:rsidR="007F0E3B" w:rsidRPr="00B63FEE" w:rsidP="0069492F" w14:paraId="55C5690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
              <w:jc w:val="center"/>
              <w:rPr>
                <w:b/>
                <w:bCs/>
              </w:rPr>
            </w:pPr>
            <w:r w:rsidRPr="00B63FEE">
              <w:rPr>
                <w:b/>
                <w:bCs/>
              </w:rPr>
              <w:t>Total</w:t>
            </w:r>
            <w:r w:rsidRPr="00B63FEE" w:rsidR="00385C5F">
              <w:rPr>
                <w:b/>
                <w:bCs/>
              </w:rPr>
              <w:t xml:space="preserve"> </w:t>
            </w:r>
            <w:r w:rsidRPr="00B63FEE">
              <w:rPr>
                <w:b/>
                <w:bCs/>
              </w:rPr>
              <w:t>Cost</w:t>
            </w:r>
            <w:r w:rsidRPr="00B63FEE" w:rsidR="00C552C9">
              <w:rPr>
                <w:b/>
                <w:bCs/>
                <w:vertAlign w:val="superscript"/>
              </w:rPr>
              <w:t>1</w:t>
            </w:r>
          </w:p>
        </w:tc>
      </w:tr>
      <w:tr w14:paraId="3B02812E" w14:textId="77777777" w:rsidTr="006F25EE">
        <w:tblPrEx>
          <w:tblW w:w="13770" w:type="dxa"/>
          <w:tblInd w:w="-413" w:type="dxa"/>
          <w:tblCellMar>
            <w:left w:w="80" w:type="dxa"/>
            <w:right w:w="80" w:type="dxa"/>
          </w:tblCellMar>
          <w:tblLook w:val="0000"/>
        </w:tblPrEx>
        <w:trPr>
          <w:cantSplit/>
        </w:trPr>
        <w:tc>
          <w:tcPr>
            <w:tcW w:w="4387" w:type="dxa"/>
            <w:tcBorders>
              <w:top w:val="single" w:sz="6" w:space="0" w:color="000000"/>
              <w:left w:val="single" w:sz="6" w:space="0" w:color="000000"/>
              <w:bottom w:val="single" w:sz="6" w:space="0" w:color="000000"/>
              <w:right w:val="single" w:sz="6" w:space="0" w:color="000000"/>
            </w:tcBorders>
          </w:tcPr>
          <w:p w:rsidR="007F0E3B" w:rsidP="00304A72" w14:paraId="6A3B5E04" w14:textId="77777777">
            <w:pPr>
              <w:spacing w:line="16" w:lineRule="exact"/>
            </w:pPr>
          </w:p>
          <w:p w:rsidR="007F0E3B" w:rsidP="00304A72" w14:paraId="0292B3F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pPr>
          </w:p>
          <w:p w:rsidR="007F0E3B" w:rsidP="00304A72" w14:paraId="510EF5E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
            </w:pPr>
            <w:r>
              <w:t>Recei</w:t>
            </w:r>
            <w:r w:rsidR="00D227A5">
              <w:t>ve</w:t>
            </w:r>
            <w:r>
              <w:t xml:space="preserve"> and </w:t>
            </w:r>
            <w:r w:rsidR="00EC26F2">
              <w:t>initial</w:t>
            </w:r>
            <w:r w:rsidR="00D227A5">
              <w:t>ly</w:t>
            </w:r>
            <w:r w:rsidR="00EC26F2">
              <w:t xml:space="preserve"> </w:t>
            </w:r>
            <w:r>
              <w:t>process</w:t>
            </w:r>
            <w:r w:rsidR="00D227A5">
              <w:t xml:space="preserve"> </w:t>
            </w:r>
            <w:r>
              <w:t>variance application</w:t>
            </w:r>
            <w:r w:rsidR="00A71293">
              <w:rPr>
                <w:vertAlign w:val="superscript"/>
              </w:rPr>
              <w:t xml:space="preserve"> </w:t>
            </w:r>
          </w:p>
        </w:tc>
        <w:tc>
          <w:tcPr>
            <w:tcW w:w="1373" w:type="dxa"/>
            <w:tcBorders>
              <w:top w:val="single" w:sz="6" w:space="0" w:color="000000"/>
              <w:left w:val="single" w:sz="6" w:space="0" w:color="000000"/>
              <w:bottom w:val="single" w:sz="6" w:space="0" w:color="000000"/>
              <w:right w:val="single" w:sz="6" w:space="0" w:color="000000"/>
            </w:tcBorders>
            <w:vAlign w:val="center"/>
          </w:tcPr>
          <w:p w:rsidR="007F0E3B" w:rsidP="00ED2BCF" w14:paraId="45FB88D7" w14:textId="77777777">
            <w:pPr>
              <w:spacing w:line="16" w:lineRule="exact"/>
              <w:jc w:val="center"/>
            </w:pPr>
          </w:p>
          <w:p w:rsidR="007F0E3B" w:rsidP="00ED2BCF" w14:paraId="5DBD714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jc w:val="center"/>
            </w:pPr>
          </w:p>
          <w:p w:rsidR="007F0E3B" w:rsidP="00ED2BCF" w14:paraId="47AE999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
              <w:jc w:val="center"/>
            </w:pPr>
            <w:r>
              <w:t>1</w:t>
            </w:r>
            <w:r w:rsidR="00A71293">
              <w:t>2</w:t>
            </w:r>
          </w:p>
        </w:tc>
        <w:tc>
          <w:tcPr>
            <w:tcW w:w="1890" w:type="dxa"/>
            <w:tcBorders>
              <w:top w:val="single" w:sz="6" w:space="0" w:color="000000"/>
              <w:left w:val="single" w:sz="6" w:space="0" w:color="000000"/>
              <w:bottom w:val="single" w:sz="6" w:space="0" w:color="000000"/>
              <w:right w:val="single" w:sz="6" w:space="0" w:color="000000"/>
            </w:tcBorders>
            <w:vAlign w:val="center"/>
          </w:tcPr>
          <w:p w:rsidR="007F0E3B" w:rsidP="00ED2BCF" w14:paraId="1046FA91" w14:textId="77777777">
            <w:pPr>
              <w:spacing w:line="16" w:lineRule="exact"/>
              <w:jc w:val="center"/>
            </w:pPr>
          </w:p>
          <w:p w:rsidR="007F0E3B" w:rsidP="00ED2BCF" w14:paraId="0E0755C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jc w:val="center"/>
            </w:pPr>
          </w:p>
          <w:p w:rsidR="007F0E3B" w:rsidP="00ED2BCF" w14:paraId="4A73A47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
              <w:jc w:val="center"/>
            </w:pPr>
            <w:r>
              <w:t>4</w:t>
            </w:r>
          </w:p>
        </w:tc>
        <w:tc>
          <w:tcPr>
            <w:tcW w:w="1350" w:type="dxa"/>
            <w:tcBorders>
              <w:top w:val="single" w:sz="6" w:space="0" w:color="000000"/>
              <w:left w:val="single" w:sz="6" w:space="0" w:color="000000"/>
              <w:bottom w:val="single" w:sz="6" w:space="0" w:color="000000"/>
              <w:right w:val="single" w:sz="6" w:space="0" w:color="000000"/>
            </w:tcBorders>
            <w:vAlign w:val="center"/>
          </w:tcPr>
          <w:p w:rsidR="007F0E3B" w:rsidP="00ED2BCF" w14:paraId="517940E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
              <w:jc w:val="center"/>
            </w:pPr>
            <w:r>
              <w:t>48</w:t>
            </w:r>
          </w:p>
        </w:tc>
        <w:tc>
          <w:tcPr>
            <w:tcW w:w="4770" w:type="dxa"/>
            <w:tcBorders>
              <w:top w:val="single" w:sz="6" w:space="0" w:color="000000"/>
              <w:left w:val="single" w:sz="6" w:space="0" w:color="000000"/>
              <w:bottom w:val="single" w:sz="6" w:space="0" w:color="000000"/>
              <w:right w:val="single" w:sz="6" w:space="0" w:color="000000"/>
            </w:tcBorders>
            <w:vAlign w:val="center"/>
          </w:tcPr>
          <w:p w:rsidR="007F0E3B" w:rsidP="008B3B83" w14:paraId="33BB7EF6" w14:textId="10D050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
              <w:jc w:val="center"/>
            </w:pPr>
            <w:r>
              <w:t>$</w:t>
            </w:r>
            <w:r w:rsidR="00431BEE">
              <w:t>2,</w:t>
            </w:r>
            <w:r w:rsidR="001B61DD">
              <w:t>69</w:t>
            </w:r>
            <w:r w:rsidR="00847DB5">
              <w:t>6</w:t>
            </w:r>
          </w:p>
        </w:tc>
      </w:tr>
      <w:tr w14:paraId="38A11A9C" w14:textId="77777777" w:rsidTr="006F25EE">
        <w:tblPrEx>
          <w:tblW w:w="13770" w:type="dxa"/>
          <w:tblInd w:w="-413" w:type="dxa"/>
          <w:tblCellMar>
            <w:left w:w="80" w:type="dxa"/>
            <w:right w:w="80" w:type="dxa"/>
          </w:tblCellMar>
          <w:tblLook w:val="0000"/>
        </w:tblPrEx>
        <w:trPr>
          <w:cantSplit/>
        </w:trPr>
        <w:tc>
          <w:tcPr>
            <w:tcW w:w="4387" w:type="dxa"/>
            <w:tcBorders>
              <w:top w:val="single" w:sz="6" w:space="0" w:color="000000"/>
              <w:left w:val="single" w:sz="6" w:space="0" w:color="000000"/>
              <w:bottom w:val="single" w:sz="6" w:space="0" w:color="000000"/>
              <w:right w:val="single" w:sz="6" w:space="0" w:color="000000"/>
            </w:tcBorders>
            <w:vAlign w:val="center"/>
          </w:tcPr>
          <w:p w:rsidR="007F0E3B" w:rsidRPr="00D04317" w:rsidP="00304A72" w14:paraId="6A228512" w14:textId="77777777">
            <w:r>
              <w:rPr>
                <w:noProof/>
              </w:rPr>
              <w:t xml:space="preserve">Establish </w:t>
            </w:r>
            <w:r w:rsidRPr="00D04317">
              <w:rPr>
                <w:noProof/>
              </w:rPr>
              <w:t>and maintain</w:t>
            </w:r>
            <w:r>
              <w:rPr>
                <w:noProof/>
              </w:rPr>
              <w:t xml:space="preserve"> a</w:t>
            </w:r>
            <w:r w:rsidRPr="00D04317">
              <w:rPr>
                <w:noProof/>
              </w:rPr>
              <w:t xml:space="preserve"> variance</w:t>
            </w:r>
            <w:r>
              <w:rPr>
                <w:noProof/>
              </w:rPr>
              <w:t>-</w:t>
            </w:r>
            <w:r w:rsidRPr="00D04317">
              <w:rPr>
                <w:noProof/>
              </w:rPr>
              <w:t>application case file</w:t>
            </w:r>
          </w:p>
        </w:tc>
        <w:tc>
          <w:tcPr>
            <w:tcW w:w="1373" w:type="dxa"/>
            <w:tcBorders>
              <w:top w:val="single" w:sz="6" w:space="0" w:color="000000"/>
              <w:left w:val="single" w:sz="6" w:space="0" w:color="000000"/>
              <w:bottom w:val="single" w:sz="6" w:space="0" w:color="000000"/>
              <w:right w:val="single" w:sz="6" w:space="0" w:color="000000"/>
            </w:tcBorders>
            <w:vAlign w:val="center"/>
          </w:tcPr>
          <w:p w:rsidR="007F0E3B" w:rsidP="00ED2BCF" w14:paraId="4957E8B1" w14:textId="77777777">
            <w:pPr>
              <w:jc w:val="center"/>
            </w:pPr>
            <w:r>
              <w:t>12</w:t>
            </w:r>
          </w:p>
        </w:tc>
        <w:tc>
          <w:tcPr>
            <w:tcW w:w="1890" w:type="dxa"/>
            <w:tcBorders>
              <w:top w:val="single" w:sz="6" w:space="0" w:color="000000"/>
              <w:left w:val="single" w:sz="6" w:space="0" w:color="000000"/>
              <w:bottom w:val="single" w:sz="6" w:space="0" w:color="000000"/>
              <w:right w:val="single" w:sz="6" w:space="0" w:color="000000"/>
            </w:tcBorders>
            <w:vAlign w:val="center"/>
          </w:tcPr>
          <w:p w:rsidR="007F0E3B" w:rsidP="00ED2BCF" w14:paraId="4C86B062" w14:textId="77777777">
            <w:pPr>
              <w:jc w:val="center"/>
            </w:pPr>
            <w:r>
              <w:t>4</w:t>
            </w:r>
          </w:p>
        </w:tc>
        <w:tc>
          <w:tcPr>
            <w:tcW w:w="1350" w:type="dxa"/>
            <w:tcBorders>
              <w:top w:val="single" w:sz="6" w:space="0" w:color="000000"/>
              <w:left w:val="single" w:sz="6" w:space="0" w:color="000000"/>
              <w:bottom w:val="single" w:sz="6" w:space="0" w:color="000000"/>
              <w:right w:val="single" w:sz="6" w:space="0" w:color="000000"/>
            </w:tcBorders>
            <w:vAlign w:val="center"/>
          </w:tcPr>
          <w:p w:rsidR="007F0E3B" w:rsidP="00ED2BCF" w14:paraId="6629708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
              <w:jc w:val="center"/>
            </w:pPr>
            <w:r>
              <w:t>48</w:t>
            </w:r>
          </w:p>
        </w:tc>
        <w:tc>
          <w:tcPr>
            <w:tcW w:w="4770" w:type="dxa"/>
            <w:tcBorders>
              <w:top w:val="single" w:sz="6" w:space="0" w:color="000000"/>
              <w:left w:val="single" w:sz="6" w:space="0" w:color="000000"/>
              <w:bottom w:val="single" w:sz="6" w:space="0" w:color="000000"/>
              <w:right w:val="single" w:sz="6" w:space="0" w:color="000000"/>
            </w:tcBorders>
            <w:vAlign w:val="center"/>
          </w:tcPr>
          <w:p w:rsidR="007F0E3B" w:rsidP="008B3B83" w14:paraId="5ECEA51C" w14:textId="427B3E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
              <w:jc w:val="center"/>
            </w:pPr>
            <w:r>
              <w:t>$</w:t>
            </w:r>
            <w:r w:rsidR="00431BEE">
              <w:t>2,</w:t>
            </w:r>
            <w:r w:rsidR="001B61DD">
              <w:t>69</w:t>
            </w:r>
            <w:r w:rsidR="00847DB5">
              <w:t>6</w:t>
            </w:r>
          </w:p>
        </w:tc>
      </w:tr>
      <w:tr w14:paraId="51C45D99" w14:textId="77777777" w:rsidTr="006F25EE">
        <w:tblPrEx>
          <w:tblW w:w="13770" w:type="dxa"/>
          <w:tblInd w:w="-413" w:type="dxa"/>
          <w:tblCellMar>
            <w:left w:w="80" w:type="dxa"/>
            <w:right w:w="80" w:type="dxa"/>
          </w:tblCellMar>
          <w:tblLook w:val="0000"/>
        </w:tblPrEx>
        <w:trPr>
          <w:cantSplit/>
        </w:trPr>
        <w:tc>
          <w:tcPr>
            <w:tcW w:w="4387" w:type="dxa"/>
            <w:tcBorders>
              <w:top w:val="single" w:sz="6" w:space="0" w:color="000000"/>
              <w:left w:val="single" w:sz="6" w:space="0" w:color="000000"/>
              <w:bottom w:val="single" w:sz="6" w:space="0" w:color="000000"/>
              <w:right w:val="single" w:sz="6" w:space="0" w:color="000000"/>
            </w:tcBorders>
          </w:tcPr>
          <w:p w:rsidR="007F0E3B" w:rsidP="00304A72" w14:paraId="17869AA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
            </w:pPr>
            <w:r>
              <w:t xml:space="preserve">Conduct initial administrative review of variance </w:t>
            </w:r>
            <w:r w:rsidRPr="00D04317" w:rsidR="00A328A3">
              <w:rPr>
                <w:noProof/>
              </w:rPr>
              <w:t>application</w:t>
            </w:r>
          </w:p>
        </w:tc>
        <w:tc>
          <w:tcPr>
            <w:tcW w:w="1373" w:type="dxa"/>
            <w:tcBorders>
              <w:top w:val="single" w:sz="6" w:space="0" w:color="000000"/>
              <w:left w:val="single" w:sz="6" w:space="0" w:color="000000"/>
              <w:bottom w:val="single" w:sz="6" w:space="0" w:color="000000"/>
              <w:right w:val="single" w:sz="6" w:space="0" w:color="000000"/>
            </w:tcBorders>
            <w:vAlign w:val="center"/>
          </w:tcPr>
          <w:p w:rsidR="007F0E3B" w:rsidP="00A328A3" w14:paraId="21E8CE0B" w14:textId="77777777">
            <w:pPr>
              <w:spacing w:line="16" w:lineRule="exact"/>
              <w:jc w:val="center"/>
            </w:pPr>
          </w:p>
          <w:p w:rsidR="007F0E3B" w:rsidP="00A328A3" w14:paraId="7B3544C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
              <w:jc w:val="center"/>
            </w:pPr>
            <w:r>
              <w:t>12</w:t>
            </w:r>
          </w:p>
        </w:tc>
        <w:tc>
          <w:tcPr>
            <w:tcW w:w="1890" w:type="dxa"/>
            <w:tcBorders>
              <w:top w:val="single" w:sz="6" w:space="0" w:color="000000"/>
              <w:left w:val="single" w:sz="6" w:space="0" w:color="000000"/>
              <w:bottom w:val="single" w:sz="6" w:space="0" w:color="000000"/>
              <w:right w:val="single" w:sz="6" w:space="0" w:color="000000"/>
            </w:tcBorders>
            <w:vAlign w:val="center"/>
          </w:tcPr>
          <w:p w:rsidR="007F0E3B" w:rsidP="00A328A3" w14:paraId="459B61E6" w14:textId="77777777">
            <w:pPr>
              <w:spacing w:line="16" w:lineRule="exact"/>
              <w:jc w:val="center"/>
            </w:pPr>
          </w:p>
          <w:p w:rsidR="007F0E3B" w:rsidP="00A328A3" w14:paraId="7507A0F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
              <w:jc w:val="center"/>
            </w:pPr>
            <w:r>
              <w:t>5</w:t>
            </w:r>
          </w:p>
        </w:tc>
        <w:tc>
          <w:tcPr>
            <w:tcW w:w="1350" w:type="dxa"/>
            <w:tcBorders>
              <w:top w:val="single" w:sz="6" w:space="0" w:color="000000"/>
              <w:left w:val="single" w:sz="6" w:space="0" w:color="000000"/>
              <w:bottom w:val="single" w:sz="6" w:space="0" w:color="000000"/>
              <w:right w:val="single" w:sz="6" w:space="0" w:color="000000"/>
            </w:tcBorders>
            <w:vAlign w:val="center"/>
          </w:tcPr>
          <w:p w:rsidR="007F0E3B" w:rsidP="00A328A3" w14:paraId="40B76A4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
              <w:jc w:val="center"/>
            </w:pPr>
            <w:r>
              <w:t>60</w:t>
            </w:r>
          </w:p>
        </w:tc>
        <w:tc>
          <w:tcPr>
            <w:tcW w:w="4770" w:type="dxa"/>
            <w:tcBorders>
              <w:top w:val="single" w:sz="6" w:space="0" w:color="000000"/>
              <w:left w:val="single" w:sz="6" w:space="0" w:color="000000"/>
              <w:bottom w:val="single" w:sz="6" w:space="0" w:color="000000"/>
              <w:right w:val="single" w:sz="6" w:space="0" w:color="000000"/>
            </w:tcBorders>
            <w:vAlign w:val="center"/>
          </w:tcPr>
          <w:p w:rsidR="007F0E3B" w:rsidP="008B3B83" w14:paraId="57758035" w14:textId="1990C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
              <w:jc w:val="center"/>
            </w:pPr>
            <w:r>
              <w:t>$</w:t>
            </w:r>
            <w:r w:rsidR="00431BEE">
              <w:t>3</w:t>
            </w:r>
            <w:r w:rsidR="001B61DD">
              <w:t>,3</w:t>
            </w:r>
            <w:r w:rsidR="00847DB5">
              <w:t>70</w:t>
            </w:r>
            <w:r w:rsidR="002156C9">
              <w:t xml:space="preserve"> </w:t>
            </w:r>
          </w:p>
        </w:tc>
      </w:tr>
      <w:tr w14:paraId="0985038F" w14:textId="77777777" w:rsidTr="006F25EE">
        <w:tblPrEx>
          <w:tblW w:w="13770" w:type="dxa"/>
          <w:tblInd w:w="-413" w:type="dxa"/>
          <w:tblCellMar>
            <w:left w:w="80" w:type="dxa"/>
            <w:right w:w="80" w:type="dxa"/>
          </w:tblCellMar>
          <w:tblLook w:val="0000"/>
        </w:tblPrEx>
        <w:trPr>
          <w:cantSplit/>
        </w:trPr>
        <w:tc>
          <w:tcPr>
            <w:tcW w:w="4387" w:type="dxa"/>
            <w:tcBorders>
              <w:top w:val="single" w:sz="6" w:space="0" w:color="000000"/>
              <w:left w:val="single" w:sz="6" w:space="0" w:color="000000"/>
              <w:bottom w:val="single" w:sz="6" w:space="0" w:color="000000"/>
              <w:right w:val="single" w:sz="6" w:space="0" w:color="000000"/>
            </w:tcBorders>
          </w:tcPr>
          <w:p w:rsidR="007F0E3B" w:rsidP="00304A72" w14:paraId="7547A972" w14:textId="77777777">
            <w:pPr>
              <w:spacing w:after="16"/>
            </w:pPr>
            <w:r>
              <w:t>Draft and send letter to employer acknowledging receipt of application</w:t>
            </w:r>
          </w:p>
        </w:tc>
        <w:tc>
          <w:tcPr>
            <w:tcW w:w="1373" w:type="dxa"/>
            <w:tcBorders>
              <w:top w:val="single" w:sz="6" w:space="0" w:color="000000"/>
              <w:left w:val="single" w:sz="6" w:space="0" w:color="000000"/>
              <w:bottom w:val="single" w:sz="6" w:space="0" w:color="000000"/>
              <w:right w:val="single" w:sz="6" w:space="0" w:color="000000"/>
            </w:tcBorders>
            <w:vAlign w:val="center"/>
          </w:tcPr>
          <w:p w:rsidR="007F0E3B" w:rsidP="00ED2BCF" w14:paraId="593C65B6" w14:textId="77777777">
            <w:pPr>
              <w:spacing w:after="16"/>
              <w:jc w:val="center"/>
            </w:pPr>
            <w:r>
              <w:t>12</w:t>
            </w:r>
          </w:p>
        </w:tc>
        <w:tc>
          <w:tcPr>
            <w:tcW w:w="1890" w:type="dxa"/>
            <w:tcBorders>
              <w:top w:val="single" w:sz="6" w:space="0" w:color="000000"/>
              <w:left w:val="single" w:sz="6" w:space="0" w:color="000000"/>
              <w:bottom w:val="single" w:sz="6" w:space="0" w:color="000000"/>
              <w:right w:val="single" w:sz="6" w:space="0" w:color="000000"/>
            </w:tcBorders>
            <w:vAlign w:val="center"/>
          </w:tcPr>
          <w:p w:rsidR="007F0E3B" w:rsidP="00ED2BCF" w14:paraId="7D16D526" w14:textId="77777777">
            <w:pPr>
              <w:spacing w:after="16"/>
              <w:jc w:val="center"/>
            </w:pPr>
            <w:r>
              <w:t>3</w:t>
            </w:r>
          </w:p>
        </w:tc>
        <w:tc>
          <w:tcPr>
            <w:tcW w:w="1350" w:type="dxa"/>
            <w:tcBorders>
              <w:top w:val="single" w:sz="6" w:space="0" w:color="000000"/>
              <w:left w:val="single" w:sz="6" w:space="0" w:color="000000"/>
              <w:bottom w:val="single" w:sz="6" w:space="0" w:color="000000"/>
              <w:right w:val="single" w:sz="6" w:space="0" w:color="000000"/>
            </w:tcBorders>
            <w:vAlign w:val="center"/>
          </w:tcPr>
          <w:p w:rsidR="007F0E3B" w:rsidP="00ED2BCF" w14:paraId="6FFC116E" w14:textId="77777777">
            <w:pPr>
              <w:spacing w:after="16"/>
              <w:jc w:val="center"/>
            </w:pPr>
            <w:r>
              <w:t>36</w:t>
            </w:r>
          </w:p>
        </w:tc>
        <w:tc>
          <w:tcPr>
            <w:tcW w:w="4770" w:type="dxa"/>
            <w:tcBorders>
              <w:top w:val="single" w:sz="6" w:space="0" w:color="000000"/>
              <w:left w:val="single" w:sz="6" w:space="0" w:color="000000"/>
              <w:bottom w:val="single" w:sz="6" w:space="0" w:color="000000"/>
              <w:right w:val="single" w:sz="6" w:space="0" w:color="000000"/>
            </w:tcBorders>
            <w:vAlign w:val="center"/>
          </w:tcPr>
          <w:p w:rsidR="007F0E3B" w:rsidP="008B3B83" w14:paraId="3435A844" w14:textId="44A8E204">
            <w:pPr>
              <w:spacing w:after="16"/>
              <w:jc w:val="center"/>
            </w:pPr>
            <w:r>
              <w:t>$</w:t>
            </w:r>
            <w:r w:rsidR="001B61DD">
              <w:t>2,02</w:t>
            </w:r>
            <w:r w:rsidR="00847DB5">
              <w:t>2</w:t>
            </w:r>
          </w:p>
        </w:tc>
      </w:tr>
      <w:tr w14:paraId="76E3A8ED" w14:textId="77777777" w:rsidTr="006F25EE">
        <w:tblPrEx>
          <w:tblW w:w="13770" w:type="dxa"/>
          <w:tblInd w:w="-413" w:type="dxa"/>
          <w:tblCellMar>
            <w:left w:w="80" w:type="dxa"/>
            <w:right w:w="80" w:type="dxa"/>
          </w:tblCellMar>
          <w:tblLook w:val="0000"/>
        </w:tblPrEx>
        <w:trPr>
          <w:cantSplit/>
        </w:trPr>
        <w:tc>
          <w:tcPr>
            <w:tcW w:w="4387" w:type="dxa"/>
            <w:tcBorders>
              <w:top w:val="single" w:sz="6" w:space="0" w:color="000000"/>
              <w:left w:val="single" w:sz="6" w:space="0" w:color="000000"/>
              <w:bottom w:val="single" w:sz="6" w:space="0" w:color="000000"/>
              <w:right w:val="single" w:sz="6" w:space="0" w:color="000000"/>
            </w:tcBorders>
          </w:tcPr>
          <w:p w:rsidR="007F0E3B" w:rsidP="00304A72" w14:paraId="4EE64A08" w14:textId="77777777">
            <w:pPr>
              <w:spacing w:after="16"/>
              <w:rPr>
                <w:noProof/>
              </w:rPr>
            </w:pPr>
            <w:r>
              <w:t>Contact</w:t>
            </w:r>
            <w:r w:rsidR="00D227A5">
              <w:t xml:space="preserve"> employer</w:t>
            </w:r>
            <w:r>
              <w:t xml:space="preserve"> to obtain missing information or to correct minor errors in application</w:t>
            </w:r>
          </w:p>
        </w:tc>
        <w:tc>
          <w:tcPr>
            <w:tcW w:w="1373" w:type="dxa"/>
            <w:tcBorders>
              <w:top w:val="single" w:sz="6" w:space="0" w:color="000000"/>
              <w:left w:val="single" w:sz="6" w:space="0" w:color="000000"/>
              <w:bottom w:val="single" w:sz="6" w:space="0" w:color="000000"/>
              <w:right w:val="single" w:sz="6" w:space="0" w:color="000000"/>
            </w:tcBorders>
            <w:vAlign w:val="center"/>
          </w:tcPr>
          <w:p w:rsidR="007F0E3B" w:rsidP="00ED2BCF" w14:paraId="73B300E0" w14:textId="77777777">
            <w:pPr>
              <w:jc w:val="center"/>
            </w:pPr>
            <w:r>
              <w:t>12</w:t>
            </w:r>
          </w:p>
        </w:tc>
        <w:tc>
          <w:tcPr>
            <w:tcW w:w="1890" w:type="dxa"/>
            <w:tcBorders>
              <w:top w:val="single" w:sz="6" w:space="0" w:color="000000"/>
              <w:left w:val="single" w:sz="6" w:space="0" w:color="000000"/>
              <w:bottom w:val="single" w:sz="6" w:space="0" w:color="000000"/>
              <w:right w:val="single" w:sz="6" w:space="0" w:color="000000"/>
            </w:tcBorders>
            <w:vAlign w:val="center"/>
          </w:tcPr>
          <w:p w:rsidR="007F0E3B" w:rsidP="00ED2BCF" w14:paraId="353587C3" w14:textId="77777777">
            <w:pPr>
              <w:jc w:val="center"/>
            </w:pPr>
            <w:r>
              <w:t>3</w:t>
            </w:r>
          </w:p>
        </w:tc>
        <w:tc>
          <w:tcPr>
            <w:tcW w:w="1350" w:type="dxa"/>
            <w:tcBorders>
              <w:top w:val="single" w:sz="6" w:space="0" w:color="000000"/>
              <w:left w:val="single" w:sz="6" w:space="0" w:color="000000"/>
              <w:bottom w:val="single" w:sz="6" w:space="0" w:color="000000"/>
              <w:right w:val="single" w:sz="6" w:space="0" w:color="000000"/>
            </w:tcBorders>
            <w:vAlign w:val="center"/>
          </w:tcPr>
          <w:p w:rsidR="007F0E3B" w:rsidP="00ED2BCF" w14:paraId="61A61D6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
              <w:jc w:val="center"/>
            </w:pPr>
            <w:r>
              <w:t>36</w:t>
            </w:r>
          </w:p>
        </w:tc>
        <w:tc>
          <w:tcPr>
            <w:tcW w:w="4770" w:type="dxa"/>
            <w:tcBorders>
              <w:top w:val="single" w:sz="6" w:space="0" w:color="000000"/>
              <w:left w:val="single" w:sz="6" w:space="0" w:color="000000"/>
              <w:bottom w:val="single" w:sz="6" w:space="0" w:color="000000"/>
              <w:right w:val="single" w:sz="6" w:space="0" w:color="000000"/>
            </w:tcBorders>
            <w:vAlign w:val="center"/>
          </w:tcPr>
          <w:p w:rsidR="007F0E3B" w:rsidP="008B3B83" w14:paraId="3CC1EE67" w14:textId="32509B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
              <w:jc w:val="center"/>
            </w:pPr>
            <w:r>
              <w:t>$</w:t>
            </w:r>
            <w:r w:rsidR="001B61DD">
              <w:t>2,02</w:t>
            </w:r>
            <w:r w:rsidR="00847DB5">
              <w:t>2</w:t>
            </w:r>
          </w:p>
        </w:tc>
      </w:tr>
      <w:tr w14:paraId="5F285B50" w14:textId="77777777" w:rsidTr="006F25EE">
        <w:tblPrEx>
          <w:tblW w:w="13770" w:type="dxa"/>
          <w:tblInd w:w="-413" w:type="dxa"/>
          <w:tblCellMar>
            <w:left w:w="80" w:type="dxa"/>
            <w:right w:w="80" w:type="dxa"/>
          </w:tblCellMar>
          <w:tblLook w:val="0000"/>
        </w:tblPrEx>
        <w:trPr>
          <w:cantSplit/>
        </w:trPr>
        <w:tc>
          <w:tcPr>
            <w:tcW w:w="4387" w:type="dxa"/>
            <w:tcBorders>
              <w:top w:val="single" w:sz="6" w:space="0" w:color="000000"/>
              <w:left w:val="single" w:sz="6" w:space="0" w:color="000000"/>
              <w:bottom w:val="single" w:sz="6" w:space="0" w:color="000000"/>
              <w:right w:val="single" w:sz="6" w:space="0" w:color="000000"/>
            </w:tcBorders>
          </w:tcPr>
          <w:p w:rsidR="00E021C0" w:rsidP="00304A72" w14:paraId="16D47F31" w14:textId="77777777">
            <w:pPr>
              <w:spacing w:after="16"/>
              <w:rPr>
                <w:noProof/>
              </w:rPr>
            </w:pPr>
            <w:r>
              <w:rPr>
                <w:noProof/>
              </w:rPr>
              <w:t>Conduct technical review of application</w:t>
            </w:r>
          </w:p>
        </w:tc>
        <w:tc>
          <w:tcPr>
            <w:tcW w:w="1373" w:type="dxa"/>
            <w:tcBorders>
              <w:top w:val="single" w:sz="6" w:space="0" w:color="000000"/>
              <w:left w:val="single" w:sz="6" w:space="0" w:color="000000"/>
              <w:bottom w:val="single" w:sz="6" w:space="0" w:color="000000"/>
              <w:right w:val="single" w:sz="6" w:space="0" w:color="000000"/>
            </w:tcBorders>
            <w:vAlign w:val="center"/>
          </w:tcPr>
          <w:p w:rsidR="00E021C0" w:rsidP="00ED2BCF" w14:paraId="71202E46" w14:textId="77777777">
            <w:pPr>
              <w:spacing w:after="16"/>
              <w:jc w:val="center"/>
            </w:pPr>
            <w:r>
              <w:t>12</w:t>
            </w:r>
          </w:p>
        </w:tc>
        <w:tc>
          <w:tcPr>
            <w:tcW w:w="1890" w:type="dxa"/>
            <w:tcBorders>
              <w:top w:val="single" w:sz="6" w:space="0" w:color="000000"/>
              <w:left w:val="single" w:sz="6" w:space="0" w:color="000000"/>
              <w:bottom w:val="single" w:sz="6" w:space="0" w:color="000000"/>
              <w:right w:val="single" w:sz="6" w:space="0" w:color="000000"/>
            </w:tcBorders>
            <w:vAlign w:val="center"/>
          </w:tcPr>
          <w:p w:rsidR="00E021C0" w:rsidP="00ED2BCF" w14:paraId="7A9C2B76" w14:textId="77777777">
            <w:pPr>
              <w:spacing w:after="16"/>
              <w:jc w:val="center"/>
            </w:pPr>
            <w:r>
              <w:t>80</w:t>
            </w:r>
          </w:p>
        </w:tc>
        <w:tc>
          <w:tcPr>
            <w:tcW w:w="1350" w:type="dxa"/>
            <w:tcBorders>
              <w:top w:val="single" w:sz="6" w:space="0" w:color="000000"/>
              <w:left w:val="single" w:sz="6" w:space="0" w:color="000000"/>
              <w:bottom w:val="single" w:sz="6" w:space="0" w:color="000000"/>
              <w:right w:val="single" w:sz="6" w:space="0" w:color="000000"/>
            </w:tcBorders>
            <w:vAlign w:val="center"/>
          </w:tcPr>
          <w:p w:rsidR="00E021C0" w:rsidP="00ED2BCF" w14:paraId="543C4DC5" w14:textId="77777777">
            <w:pPr>
              <w:spacing w:after="16"/>
              <w:jc w:val="center"/>
            </w:pPr>
            <w:r>
              <w:t>960</w:t>
            </w:r>
          </w:p>
        </w:tc>
        <w:tc>
          <w:tcPr>
            <w:tcW w:w="4770" w:type="dxa"/>
            <w:tcBorders>
              <w:top w:val="single" w:sz="6" w:space="0" w:color="000000"/>
              <w:left w:val="single" w:sz="6" w:space="0" w:color="000000"/>
              <w:bottom w:val="single" w:sz="6" w:space="0" w:color="000000"/>
              <w:right w:val="single" w:sz="6" w:space="0" w:color="000000"/>
            </w:tcBorders>
            <w:vAlign w:val="center"/>
          </w:tcPr>
          <w:p w:rsidR="00E021C0" w:rsidP="008B3B83" w14:paraId="28805ACE" w14:textId="615D377E">
            <w:pPr>
              <w:spacing w:after="16"/>
              <w:jc w:val="center"/>
            </w:pPr>
            <w:r>
              <w:t>$</w:t>
            </w:r>
            <w:r w:rsidR="001B61DD">
              <w:t>53,91</w:t>
            </w:r>
            <w:r w:rsidR="00847DB5">
              <w:t>4</w:t>
            </w:r>
          </w:p>
        </w:tc>
      </w:tr>
      <w:tr w14:paraId="05B5237B" w14:textId="77777777" w:rsidTr="006F25EE">
        <w:tblPrEx>
          <w:tblW w:w="13770" w:type="dxa"/>
          <w:tblInd w:w="-413" w:type="dxa"/>
          <w:tblCellMar>
            <w:left w:w="80" w:type="dxa"/>
            <w:right w:w="80" w:type="dxa"/>
          </w:tblCellMar>
          <w:tblLook w:val="0000"/>
        </w:tblPrEx>
        <w:trPr>
          <w:cantSplit/>
        </w:trPr>
        <w:tc>
          <w:tcPr>
            <w:tcW w:w="4387" w:type="dxa"/>
            <w:tcBorders>
              <w:top w:val="single" w:sz="6" w:space="0" w:color="000000"/>
              <w:left w:val="single" w:sz="6" w:space="0" w:color="000000"/>
              <w:bottom w:val="single" w:sz="6" w:space="0" w:color="000000"/>
              <w:right w:val="single" w:sz="6" w:space="0" w:color="000000"/>
            </w:tcBorders>
          </w:tcPr>
          <w:p w:rsidR="007F0E3B" w:rsidP="00304A72" w14:paraId="2A43FB08" w14:textId="77777777">
            <w:pPr>
              <w:spacing w:after="16"/>
            </w:pPr>
            <w:r>
              <w:rPr>
                <w:noProof/>
              </w:rPr>
              <w:t>Draft and send a denial letter</w:t>
            </w:r>
          </w:p>
        </w:tc>
        <w:tc>
          <w:tcPr>
            <w:tcW w:w="1373" w:type="dxa"/>
            <w:tcBorders>
              <w:top w:val="single" w:sz="6" w:space="0" w:color="000000"/>
              <w:left w:val="single" w:sz="6" w:space="0" w:color="000000"/>
              <w:bottom w:val="single" w:sz="6" w:space="0" w:color="000000"/>
              <w:right w:val="single" w:sz="6" w:space="0" w:color="000000"/>
            </w:tcBorders>
            <w:vAlign w:val="center"/>
          </w:tcPr>
          <w:p w:rsidR="007F0E3B" w:rsidP="00ED2BCF" w14:paraId="0D023C20" w14:textId="77777777">
            <w:pPr>
              <w:spacing w:after="16"/>
              <w:jc w:val="center"/>
            </w:pPr>
            <w:r>
              <w:t>1</w:t>
            </w:r>
            <w:r w:rsidR="00D90C23">
              <w:t>1</w:t>
            </w:r>
          </w:p>
        </w:tc>
        <w:tc>
          <w:tcPr>
            <w:tcW w:w="1890" w:type="dxa"/>
            <w:tcBorders>
              <w:top w:val="single" w:sz="6" w:space="0" w:color="000000"/>
              <w:left w:val="single" w:sz="6" w:space="0" w:color="000000"/>
              <w:bottom w:val="single" w:sz="6" w:space="0" w:color="000000"/>
              <w:right w:val="single" w:sz="6" w:space="0" w:color="000000"/>
            </w:tcBorders>
            <w:vAlign w:val="center"/>
          </w:tcPr>
          <w:p w:rsidR="007F0E3B" w:rsidP="00ED2BCF" w14:paraId="29C93F6A" w14:textId="77777777">
            <w:pPr>
              <w:spacing w:after="16"/>
              <w:jc w:val="center"/>
            </w:pPr>
            <w:r>
              <w:t>10</w:t>
            </w:r>
          </w:p>
        </w:tc>
        <w:tc>
          <w:tcPr>
            <w:tcW w:w="1350" w:type="dxa"/>
            <w:tcBorders>
              <w:top w:val="single" w:sz="6" w:space="0" w:color="000000"/>
              <w:left w:val="single" w:sz="6" w:space="0" w:color="000000"/>
              <w:bottom w:val="single" w:sz="6" w:space="0" w:color="000000"/>
              <w:right w:val="single" w:sz="6" w:space="0" w:color="000000"/>
            </w:tcBorders>
            <w:vAlign w:val="center"/>
          </w:tcPr>
          <w:p w:rsidR="007F0E3B" w:rsidP="00ED2BCF" w14:paraId="28928A4B" w14:textId="77777777">
            <w:pPr>
              <w:spacing w:after="16"/>
              <w:jc w:val="center"/>
            </w:pPr>
            <w:r>
              <w:t>1</w:t>
            </w:r>
            <w:r w:rsidR="00EE40CF">
              <w:t>1</w:t>
            </w:r>
            <w:r w:rsidR="009B6A12">
              <w:t>0</w:t>
            </w:r>
          </w:p>
        </w:tc>
        <w:tc>
          <w:tcPr>
            <w:tcW w:w="4770" w:type="dxa"/>
            <w:tcBorders>
              <w:top w:val="single" w:sz="6" w:space="0" w:color="000000"/>
              <w:left w:val="single" w:sz="6" w:space="0" w:color="000000"/>
              <w:bottom w:val="single" w:sz="6" w:space="0" w:color="000000"/>
              <w:right w:val="single" w:sz="6" w:space="0" w:color="000000"/>
            </w:tcBorders>
            <w:vAlign w:val="center"/>
          </w:tcPr>
          <w:p w:rsidR="007F0E3B" w:rsidP="008B3B83" w14:paraId="18D02F59" w14:textId="592BA998">
            <w:pPr>
              <w:spacing w:after="16"/>
              <w:jc w:val="center"/>
            </w:pPr>
            <w:r>
              <w:t>$</w:t>
            </w:r>
            <w:r w:rsidR="001B61DD">
              <w:t>6,17</w:t>
            </w:r>
            <w:r w:rsidR="00847DB5">
              <w:t>8</w:t>
            </w:r>
          </w:p>
        </w:tc>
      </w:tr>
      <w:tr w14:paraId="5CA289B1" w14:textId="77777777" w:rsidTr="006F25EE">
        <w:tblPrEx>
          <w:tblW w:w="13770" w:type="dxa"/>
          <w:tblInd w:w="-413" w:type="dxa"/>
          <w:tblCellMar>
            <w:left w:w="80" w:type="dxa"/>
            <w:right w:w="80" w:type="dxa"/>
          </w:tblCellMar>
          <w:tblLook w:val="0000"/>
        </w:tblPrEx>
        <w:trPr>
          <w:cantSplit/>
        </w:trPr>
        <w:tc>
          <w:tcPr>
            <w:tcW w:w="4387" w:type="dxa"/>
            <w:tcBorders>
              <w:top w:val="single" w:sz="6" w:space="0" w:color="000000"/>
              <w:left w:val="single" w:sz="6" w:space="0" w:color="000000"/>
              <w:bottom w:val="single" w:sz="6" w:space="0" w:color="000000"/>
              <w:right w:val="single" w:sz="6" w:space="0" w:color="000000"/>
            </w:tcBorders>
          </w:tcPr>
          <w:p w:rsidR="007F0E3B" w:rsidP="00B17527" w14:paraId="111ED75D" w14:textId="77777777">
            <w:pPr>
              <w:spacing w:line="16" w:lineRule="exact"/>
            </w:pPr>
          </w:p>
          <w:p w:rsidR="007F0E3B" w:rsidP="0063366B" w14:paraId="6738CEA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
            </w:pPr>
            <w:r>
              <w:t xml:space="preserve">Plan and conduct OSHA </w:t>
            </w:r>
            <w:r w:rsidR="00C552C9">
              <w:t>s</w:t>
            </w:r>
            <w:r>
              <w:t xml:space="preserve">ite </w:t>
            </w:r>
            <w:r w:rsidR="00C552C9">
              <w:t>v</w:t>
            </w:r>
            <w:r w:rsidR="00B960FC">
              <w:t>isi</w:t>
            </w:r>
            <w:r w:rsidR="0063366B">
              <w:t>t</w:t>
            </w:r>
          </w:p>
        </w:tc>
        <w:tc>
          <w:tcPr>
            <w:tcW w:w="1373" w:type="dxa"/>
            <w:tcBorders>
              <w:top w:val="single" w:sz="6" w:space="0" w:color="000000"/>
              <w:left w:val="single" w:sz="6" w:space="0" w:color="000000"/>
              <w:bottom w:val="single" w:sz="6" w:space="0" w:color="000000"/>
              <w:right w:val="single" w:sz="6" w:space="0" w:color="000000"/>
            </w:tcBorders>
            <w:vAlign w:val="center"/>
          </w:tcPr>
          <w:p w:rsidR="007F0E3B" w:rsidP="00E23F95" w14:paraId="095D65B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
              <w:jc w:val="center"/>
            </w:pPr>
            <w:r>
              <w:t>.25</w:t>
            </w:r>
          </w:p>
        </w:tc>
        <w:tc>
          <w:tcPr>
            <w:tcW w:w="1890" w:type="dxa"/>
            <w:tcBorders>
              <w:top w:val="single" w:sz="6" w:space="0" w:color="000000"/>
              <w:left w:val="single" w:sz="6" w:space="0" w:color="000000"/>
              <w:bottom w:val="single" w:sz="6" w:space="0" w:color="000000"/>
              <w:right w:val="single" w:sz="6" w:space="0" w:color="000000"/>
            </w:tcBorders>
            <w:vAlign w:val="center"/>
          </w:tcPr>
          <w:p w:rsidR="007F0E3B" w:rsidP="00ED2BCF" w14:paraId="5F12FC8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
              <w:jc w:val="center"/>
            </w:pPr>
            <w:r>
              <w:t>40</w:t>
            </w:r>
          </w:p>
        </w:tc>
        <w:tc>
          <w:tcPr>
            <w:tcW w:w="1350" w:type="dxa"/>
            <w:tcBorders>
              <w:top w:val="single" w:sz="6" w:space="0" w:color="000000"/>
              <w:left w:val="single" w:sz="6" w:space="0" w:color="000000"/>
              <w:bottom w:val="single" w:sz="6" w:space="0" w:color="000000"/>
              <w:right w:val="single" w:sz="6" w:space="0" w:color="000000"/>
            </w:tcBorders>
            <w:vAlign w:val="center"/>
          </w:tcPr>
          <w:p w:rsidR="007F0E3B" w:rsidP="00ED2BCF" w14:paraId="766EE75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
              <w:jc w:val="center"/>
            </w:pPr>
            <w:r>
              <w:t>1</w:t>
            </w:r>
            <w:r w:rsidR="00286846">
              <w:t>0</w:t>
            </w:r>
          </w:p>
        </w:tc>
        <w:tc>
          <w:tcPr>
            <w:tcW w:w="4770" w:type="dxa"/>
            <w:tcBorders>
              <w:top w:val="single" w:sz="6" w:space="0" w:color="000000"/>
              <w:left w:val="single" w:sz="6" w:space="0" w:color="000000"/>
              <w:bottom w:val="single" w:sz="6" w:space="0" w:color="000000"/>
              <w:right w:val="single" w:sz="6" w:space="0" w:color="000000"/>
            </w:tcBorders>
            <w:vAlign w:val="center"/>
          </w:tcPr>
          <w:p w:rsidR="007F0E3B" w:rsidP="008B3B83" w14:paraId="17ACD636" w14:textId="4FD7BD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
              <w:jc w:val="center"/>
            </w:pPr>
            <w:r>
              <w:t>$</w:t>
            </w:r>
            <w:r w:rsidR="00431BEE">
              <w:t>5</w:t>
            </w:r>
            <w:r w:rsidR="001B61DD">
              <w:t>6</w:t>
            </w:r>
            <w:r w:rsidR="00847DB5">
              <w:t>2</w:t>
            </w:r>
          </w:p>
        </w:tc>
      </w:tr>
      <w:tr w14:paraId="7933ECD2" w14:textId="77777777" w:rsidTr="006F25EE">
        <w:tblPrEx>
          <w:tblW w:w="13770" w:type="dxa"/>
          <w:tblInd w:w="-413" w:type="dxa"/>
          <w:tblCellMar>
            <w:left w:w="80" w:type="dxa"/>
            <w:right w:w="80" w:type="dxa"/>
          </w:tblCellMar>
          <w:tblLook w:val="0000"/>
        </w:tblPrEx>
        <w:trPr>
          <w:cantSplit/>
        </w:trPr>
        <w:tc>
          <w:tcPr>
            <w:tcW w:w="4387" w:type="dxa"/>
            <w:tcBorders>
              <w:top w:val="single" w:sz="6" w:space="0" w:color="000000"/>
              <w:left w:val="single" w:sz="6" w:space="0" w:color="000000"/>
              <w:bottom w:val="single" w:sz="6" w:space="0" w:color="000000"/>
              <w:right w:val="single" w:sz="6" w:space="0" w:color="000000"/>
            </w:tcBorders>
          </w:tcPr>
          <w:p w:rsidR="007F0E3B" w:rsidP="00304A72" w14:paraId="62892E5B" w14:textId="77777777">
            <w:r>
              <w:rPr>
                <w:noProof/>
              </w:rPr>
              <w:t>Draft application and interim order for publication</w:t>
            </w:r>
          </w:p>
        </w:tc>
        <w:tc>
          <w:tcPr>
            <w:tcW w:w="1373" w:type="dxa"/>
            <w:tcBorders>
              <w:top w:val="single" w:sz="6" w:space="0" w:color="000000"/>
              <w:left w:val="single" w:sz="6" w:space="0" w:color="000000"/>
              <w:bottom w:val="single" w:sz="6" w:space="0" w:color="000000"/>
              <w:right w:val="single" w:sz="6" w:space="0" w:color="000000"/>
            </w:tcBorders>
            <w:vAlign w:val="center"/>
          </w:tcPr>
          <w:p w:rsidR="007F0E3B" w:rsidP="00ED2BCF" w14:paraId="43C437D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
              <w:jc w:val="center"/>
            </w:pPr>
            <w:r>
              <w:t>1</w:t>
            </w:r>
          </w:p>
        </w:tc>
        <w:tc>
          <w:tcPr>
            <w:tcW w:w="1890" w:type="dxa"/>
            <w:tcBorders>
              <w:top w:val="single" w:sz="6" w:space="0" w:color="000000"/>
              <w:left w:val="single" w:sz="6" w:space="0" w:color="000000"/>
              <w:bottom w:val="single" w:sz="6" w:space="0" w:color="000000"/>
              <w:right w:val="single" w:sz="6" w:space="0" w:color="000000"/>
            </w:tcBorders>
            <w:vAlign w:val="center"/>
          </w:tcPr>
          <w:p w:rsidR="007F0E3B" w:rsidP="00ED2BCF" w14:paraId="599F2AB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
              <w:jc w:val="center"/>
            </w:pPr>
            <w:r>
              <w:t>200</w:t>
            </w:r>
          </w:p>
        </w:tc>
        <w:tc>
          <w:tcPr>
            <w:tcW w:w="1350" w:type="dxa"/>
            <w:tcBorders>
              <w:top w:val="single" w:sz="6" w:space="0" w:color="000000"/>
              <w:left w:val="single" w:sz="6" w:space="0" w:color="000000"/>
              <w:bottom w:val="single" w:sz="6" w:space="0" w:color="000000"/>
              <w:right w:val="single" w:sz="6" w:space="0" w:color="000000"/>
            </w:tcBorders>
            <w:vAlign w:val="center"/>
          </w:tcPr>
          <w:p w:rsidR="007F0E3B" w:rsidP="00ED2BCF" w14:paraId="4A359E3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
              <w:jc w:val="center"/>
            </w:pPr>
            <w:r>
              <w:t>200</w:t>
            </w:r>
          </w:p>
        </w:tc>
        <w:tc>
          <w:tcPr>
            <w:tcW w:w="4770" w:type="dxa"/>
            <w:tcBorders>
              <w:top w:val="single" w:sz="6" w:space="0" w:color="000000"/>
              <w:left w:val="single" w:sz="6" w:space="0" w:color="000000"/>
              <w:bottom w:val="single" w:sz="6" w:space="0" w:color="000000"/>
              <w:right w:val="single" w:sz="6" w:space="0" w:color="000000"/>
            </w:tcBorders>
            <w:vAlign w:val="center"/>
          </w:tcPr>
          <w:p w:rsidR="007F0E3B" w:rsidP="008B3B83" w14:paraId="0604977B" w14:textId="56044B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
              <w:jc w:val="center"/>
            </w:pPr>
            <w:r>
              <w:t>$</w:t>
            </w:r>
            <w:r w:rsidR="00431BEE">
              <w:t>1</w:t>
            </w:r>
            <w:r w:rsidR="001B61DD">
              <w:t>1,232</w:t>
            </w:r>
          </w:p>
        </w:tc>
      </w:tr>
      <w:tr w14:paraId="22396F94" w14:textId="77777777" w:rsidTr="006F25EE">
        <w:tblPrEx>
          <w:tblW w:w="13770" w:type="dxa"/>
          <w:tblInd w:w="-413" w:type="dxa"/>
          <w:tblCellMar>
            <w:left w:w="80" w:type="dxa"/>
            <w:right w:w="80" w:type="dxa"/>
          </w:tblCellMar>
          <w:tblLook w:val="0000"/>
        </w:tblPrEx>
        <w:trPr>
          <w:cantSplit/>
        </w:trPr>
        <w:tc>
          <w:tcPr>
            <w:tcW w:w="4387" w:type="dxa"/>
            <w:tcBorders>
              <w:top w:val="single" w:sz="6" w:space="0" w:color="000000"/>
              <w:left w:val="single" w:sz="6" w:space="0" w:color="000000"/>
              <w:bottom w:val="single" w:sz="6" w:space="0" w:color="000000"/>
              <w:right w:val="single" w:sz="6" w:space="0" w:color="000000"/>
            </w:tcBorders>
          </w:tcPr>
          <w:p w:rsidR="007F0E3B" w:rsidRPr="006916A8" w:rsidP="00304A72" w14:paraId="58113BC2" w14:textId="77777777">
            <w:pPr>
              <w:rPr>
                <w:noProof/>
              </w:rPr>
            </w:pPr>
            <w:r>
              <w:rPr>
                <w:noProof/>
              </w:rPr>
              <w:t>Review comments and draft variance grant for p</w:t>
            </w:r>
            <w:r w:rsidRPr="006916A8">
              <w:rPr>
                <w:noProof/>
              </w:rPr>
              <w:t>ublication</w:t>
            </w:r>
          </w:p>
        </w:tc>
        <w:tc>
          <w:tcPr>
            <w:tcW w:w="1373" w:type="dxa"/>
            <w:tcBorders>
              <w:top w:val="single" w:sz="6" w:space="0" w:color="000000"/>
              <w:left w:val="single" w:sz="6" w:space="0" w:color="000000"/>
              <w:bottom w:val="single" w:sz="6" w:space="0" w:color="000000"/>
              <w:right w:val="single" w:sz="6" w:space="0" w:color="000000"/>
            </w:tcBorders>
            <w:vAlign w:val="center"/>
          </w:tcPr>
          <w:p w:rsidR="007F0E3B" w:rsidP="00ED2BCF" w14:paraId="282E6AE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
              <w:jc w:val="center"/>
            </w:pPr>
            <w:r>
              <w:t>1</w:t>
            </w:r>
          </w:p>
        </w:tc>
        <w:tc>
          <w:tcPr>
            <w:tcW w:w="1890" w:type="dxa"/>
            <w:tcBorders>
              <w:top w:val="single" w:sz="6" w:space="0" w:color="000000"/>
              <w:left w:val="single" w:sz="6" w:space="0" w:color="000000"/>
              <w:bottom w:val="single" w:sz="6" w:space="0" w:color="000000"/>
              <w:right w:val="single" w:sz="6" w:space="0" w:color="000000"/>
            </w:tcBorders>
            <w:vAlign w:val="center"/>
          </w:tcPr>
          <w:p w:rsidR="007F0E3B" w:rsidP="00ED2BCF" w14:paraId="17C7E93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
              <w:jc w:val="center"/>
            </w:pPr>
            <w:r>
              <w:t>200</w:t>
            </w:r>
          </w:p>
        </w:tc>
        <w:tc>
          <w:tcPr>
            <w:tcW w:w="1350" w:type="dxa"/>
            <w:tcBorders>
              <w:top w:val="single" w:sz="6" w:space="0" w:color="000000"/>
              <w:left w:val="single" w:sz="6" w:space="0" w:color="000000"/>
              <w:bottom w:val="single" w:sz="6" w:space="0" w:color="000000"/>
              <w:right w:val="single" w:sz="6" w:space="0" w:color="000000"/>
            </w:tcBorders>
            <w:vAlign w:val="center"/>
          </w:tcPr>
          <w:p w:rsidR="007F0E3B" w:rsidP="00ED2BCF" w14:paraId="6B4A15B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
              <w:jc w:val="center"/>
            </w:pPr>
            <w:r>
              <w:t>20</w:t>
            </w:r>
            <w:r w:rsidR="00286846">
              <w:t>0</w:t>
            </w:r>
          </w:p>
        </w:tc>
        <w:tc>
          <w:tcPr>
            <w:tcW w:w="4770" w:type="dxa"/>
            <w:tcBorders>
              <w:top w:val="single" w:sz="6" w:space="0" w:color="000000"/>
              <w:left w:val="single" w:sz="6" w:space="0" w:color="000000"/>
              <w:bottom w:val="single" w:sz="6" w:space="0" w:color="000000"/>
              <w:right w:val="single" w:sz="6" w:space="0" w:color="000000"/>
            </w:tcBorders>
            <w:vAlign w:val="center"/>
          </w:tcPr>
          <w:p w:rsidR="007F0E3B" w:rsidP="008B3B83" w14:paraId="1430765C" w14:textId="169BEA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
              <w:jc w:val="center"/>
            </w:pPr>
            <w:r>
              <w:t>$</w:t>
            </w:r>
            <w:r w:rsidR="00431BEE">
              <w:t>1</w:t>
            </w:r>
            <w:r w:rsidR="001B61DD">
              <w:t>1,232</w:t>
            </w:r>
          </w:p>
        </w:tc>
      </w:tr>
      <w:tr w14:paraId="10ECBF47" w14:textId="77777777" w:rsidTr="006F25EE">
        <w:tblPrEx>
          <w:tblW w:w="13770" w:type="dxa"/>
          <w:tblInd w:w="-413" w:type="dxa"/>
          <w:tblCellMar>
            <w:left w:w="80" w:type="dxa"/>
            <w:right w:w="80" w:type="dxa"/>
          </w:tblCellMar>
          <w:tblLook w:val="0000"/>
        </w:tblPrEx>
        <w:trPr>
          <w:cantSplit/>
          <w:trHeight w:val="360"/>
        </w:trPr>
        <w:tc>
          <w:tcPr>
            <w:tcW w:w="4387" w:type="dxa"/>
            <w:tcBorders>
              <w:top w:val="single" w:sz="6" w:space="0" w:color="000000"/>
              <w:left w:val="single" w:sz="6" w:space="0" w:color="000000"/>
              <w:bottom w:val="single" w:sz="6" w:space="0" w:color="000000"/>
              <w:right w:val="single" w:sz="6" w:space="0" w:color="000000"/>
            </w:tcBorders>
          </w:tcPr>
          <w:p w:rsidR="007F0E3B" w:rsidRPr="00385C5F" w:rsidP="00304A72" w14:paraId="107A5789" w14:textId="77777777">
            <w:pPr>
              <w:spacing w:line="16" w:lineRule="exact"/>
            </w:pPr>
          </w:p>
          <w:p w:rsidR="007F0E3B" w:rsidRPr="00385C5F" w:rsidP="00304A72" w14:paraId="407CE34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pPr>
          </w:p>
          <w:p w:rsidR="007F0E3B" w:rsidRPr="00385C5F" w:rsidP="00304A72" w14:paraId="12282A0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
            </w:pPr>
            <w:r w:rsidRPr="00385C5F">
              <w:rPr>
                <w:bCs/>
              </w:rPr>
              <w:t>Totals</w:t>
            </w:r>
          </w:p>
        </w:tc>
        <w:tc>
          <w:tcPr>
            <w:tcW w:w="1373" w:type="dxa"/>
            <w:tcBorders>
              <w:top w:val="single" w:sz="6" w:space="0" w:color="000000"/>
              <w:left w:val="single" w:sz="6" w:space="0" w:color="000000"/>
              <w:bottom w:val="single" w:sz="6" w:space="0" w:color="000000"/>
              <w:right w:val="single" w:sz="6" w:space="0" w:color="000000"/>
            </w:tcBorders>
            <w:vAlign w:val="center"/>
          </w:tcPr>
          <w:p w:rsidR="007F0E3B" w:rsidRPr="00385C5F" w:rsidP="00385C5F" w14:paraId="29E2405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
              <w:jc w:val="center"/>
            </w:pPr>
            <w:r>
              <w:t>-</w:t>
            </w:r>
          </w:p>
        </w:tc>
        <w:tc>
          <w:tcPr>
            <w:tcW w:w="1890" w:type="dxa"/>
            <w:tcBorders>
              <w:top w:val="single" w:sz="6" w:space="0" w:color="000000"/>
              <w:left w:val="single" w:sz="6" w:space="0" w:color="000000"/>
              <w:bottom w:val="single" w:sz="6" w:space="0" w:color="000000"/>
              <w:right w:val="single" w:sz="6" w:space="0" w:color="000000"/>
            </w:tcBorders>
            <w:vAlign w:val="center"/>
          </w:tcPr>
          <w:p w:rsidR="007F0E3B" w:rsidRPr="00385C5F" w:rsidP="00ED2BCF" w14:paraId="67CA261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
              <w:jc w:val="center"/>
            </w:pPr>
            <w:r>
              <w:t>-</w:t>
            </w:r>
          </w:p>
        </w:tc>
        <w:tc>
          <w:tcPr>
            <w:tcW w:w="1350" w:type="dxa"/>
            <w:tcBorders>
              <w:top w:val="single" w:sz="6" w:space="0" w:color="000000"/>
              <w:left w:val="single" w:sz="6" w:space="0" w:color="000000"/>
              <w:bottom w:val="single" w:sz="6" w:space="0" w:color="000000"/>
              <w:right w:val="single" w:sz="6" w:space="0" w:color="000000"/>
            </w:tcBorders>
            <w:vAlign w:val="center"/>
          </w:tcPr>
          <w:p w:rsidR="007F0E3B" w:rsidRPr="00385C5F" w:rsidP="00ED2BCF" w14:paraId="5124F35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
              <w:jc w:val="center"/>
            </w:pPr>
            <w:r>
              <w:t>1</w:t>
            </w:r>
            <w:r w:rsidRPr="00385C5F" w:rsidR="00C83151">
              <w:t>,</w:t>
            </w:r>
            <w:r>
              <w:t>708</w:t>
            </w:r>
          </w:p>
        </w:tc>
        <w:tc>
          <w:tcPr>
            <w:tcW w:w="4770" w:type="dxa"/>
            <w:tcBorders>
              <w:top w:val="single" w:sz="6" w:space="0" w:color="000000"/>
              <w:left w:val="single" w:sz="6" w:space="0" w:color="000000"/>
              <w:bottom w:val="single" w:sz="6" w:space="0" w:color="000000"/>
              <w:right w:val="single" w:sz="6" w:space="0" w:color="000000"/>
            </w:tcBorders>
            <w:vAlign w:val="center"/>
          </w:tcPr>
          <w:p w:rsidR="007F0E3B" w:rsidRPr="00385C5F" w:rsidP="00D63433" w14:paraId="11980B0D" w14:textId="798A01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
              <w:jc w:val="center"/>
            </w:pPr>
            <w:r w:rsidRPr="00385C5F">
              <w:t>$</w:t>
            </w:r>
            <w:r w:rsidR="001B61DD">
              <w:t>95,</w:t>
            </w:r>
            <w:r w:rsidR="008A2FE8">
              <w:t>924</w:t>
            </w:r>
          </w:p>
        </w:tc>
      </w:tr>
    </w:tbl>
    <w:p w:rsidR="00C1373E" w:rsidP="00B713D7" w14:paraId="6572BA31" w14:textId="346A3065">
      <w:pPr>
        <w:ind w:left="360"/>
        <w:rPr>
          <w:szCs w:val="20"/>
        </w:rPr>
      </w:pPr>
      <w:r>
        <w:rPr>
          <w:szCs w:val="20"/>
          <w:vertAlign w:val="superscript"/>
        </w:rPr>
        <w:t>1</w:t>
      </w:r>
      <w:r>
        <w:rPr>
          <w:szCs w:val="20"/>
        </w:rPr>
        <w:t>Ba</w:t>
      </w:r>
      <w:r w:rsidR="00364D00">
        <w:rPr>
          <w:szCs w:val="20"/>
        </w:rPr>
        <w:t>sed on an average staff cost of</w:t>
      </w:r>
      <w:r w:rsidR="006C78A2">
        <w:rPr>
          <w:szCs w:val="20"/>
        </w:rPr>
        <w:t xml:space="preserve"> </w:t>
      </w:r>
      <w:r w:rsidRPr="00C552C9">
        <w:rPr>
          <w:szCs w:val="20"/>
        </w:rPr>
        <w:t>$</w:t>
      </w:r>
      <w:r w:rsidR="001B7706">
        <w:rPr>
          <w:szCs w:val="20"/>
        </w:rPr>
        <w:t>56.16</w:t>
      </w:r>
      <w:r w:rsidRPr="006C78A2">
        <w:rPr>
          <w:b/>
          <w:szCs w:val="20"/>
        </w:rPr>
        <w:t xml:space="preserve"> </w:t>
      </w:r>
      <w:r>
        <w:rPr>
          <w:szCs w:val="20"/>
        </w:rPr>
        <w:t>per hour</w:t>
      </w:r>
      <w:r w:rsidR="00FE2627">
        <w:rPr>
          <w:szCs w:val="20"/>
        </w:rPr>
        <w:t>. Cost entries rounded</w:t>
      </w:r>
    </w:p>
    <w:p w:rsidR="00A56E85" w:rsidRPr="001E1E41" w:rsidP="006C78A2" w14:paraId="7D5DDADD" w14:textId="77777777">
      <w:pPr>
        <w:rPr>
          <w:sz w:val="24"/>
        </w:rPr>
      </w:pPr>
    </w:p>
    <w:p w:rsidR="00502BBA" w:rsidP="0052708B" w14:paraId="4B546AD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sectPr w:rsidSect="00502BBA">
          <w:pgSz w:w="15840" w:h="12240" w:orient="landscape" w:code="1"/>
          <w:pgMar w:top="1800" w:right="1440" w:bottom="1800" w:left="1440" w:header="0" w:footer="0" w:gutter="0"/>
          <w:cols w:space="720"/>
          <w:docGrid w:linePitch="360"/>
        </w:sectPr>
      </w:pPr>
    </w:p>
    <w:p w:rsidR="0052708B" w:rsidRPr="001E1E41" w:rsidP="0052708B" w14:paraId="14A2542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sidRPr="001E1E41">
        <w:rPr>
          <w:b/>
          <w:bCs/>
          <w:sz w:val="24"/>
        </w:rPr>
        <w:t>15.  Explain the reasons for any program changes or adjustments.</w:t>
      </w:r>
    </w:p>
    <w:p w:rsidR="0052708B" w:rsidP="0052708B" w14:paraId="328376B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52708B" w:rsidP="0052708B" w14:paraId="786F4CA8" w14:textId="5B6219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There are no adjustments or program changes associated with this ICR.  </w:t>
      </w:r>
      <w:r w:rsidR="00E220F8">
        <w:rPr>
          <w:sz w:val="24"/>
        </w:rPr>
        <w:t xml:space="preserve">The </w:t>
      </w:r>
      <w:r w:rsidR="005F2314">
        <w:rPr>
          <w:sz w:val="24"/>
        </w:rPr>
        <w:t xml:space="preserve">agency </w:t>
      </w:r>
      <w:r w:rsidR="00636819">
        <w:rPr>
          <w:sz w:val="24"/>
        </w:rPr>
        <w:t xml:space="preserve">is requesting </w:t>
      </w:r>
      <w:r w:rsidR="00BE7861">
        <w:rPr>
          <w:sz w:val="24"/>
        </w:rPr>
        <w:t>to</w:t>
      </w:r>
      <w:r w:rsidR="00636819">
        <w:rPr>
          <w:sz w:val="24"/>
        </w:rPr>
        <w:t xml:space="preserve"> </w:t>
      </w:r>
      <w:r w:rsidR="00E220F8">
        <w:rPr>
          <w:sz w:val="24"/>
        </w:rPr>
        <w:t xml:space="preserve">retain </w:t>
      </w:r>
      <w:r w:rsidR="002C5E36">
        <w:rPr>
          <w:sz w:val="24"/>
        </w:rPr>
        <w:t>the</w:t>
      </w:r>
      <w:r w:rsidR="00E220F8">
        <w:rPr>
          <w:sz w:val="24"/>
        </w:rPr>
        <w:t xml:space="preserve"> previous </w:t>
      </w:r>
      <w:r w:rsidR="007021B7">
        <w:rPr>
          <w:sz w:val="24"/>
        </w:rPr>
        <w:t xml:space="preserve">burden </w:t>
      </w:r>
      <w:r w:rsidR="00E220F8">
        <w:rPr>
          <w:sz w:val="24"/>
        </w:rPr>
        <w:t>estimate of 366 hours.</w:t>
      </w:r>
      <w:r w:rsidR="002156C9">
        <w:rPr>
          <w:sz w:val="24"/>
        </w:rPr>
        <w:t xml:space="preserve">  </w:t>
      </w:r>
    </w:p>
    <w:p w:rsidR="00D63433" w:rsidP="0052708B" w14:paraId="60DCCFF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52708B" w:rsidRPr="001E1E41" w:rsidP="0052708B" w14:paraId="122388E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1E1E41">
        <w:rPr>
          <w:b/>
          <w:bCs/>
          <w:sz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the report, publication dates, and other actions.</w:t>
      </w:r>
    </w:p>
    <w:p w:rsidR="0052708B" w:rsidP="0052708B" w14:paraId="7847F30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52708B" w:rsidP="0052708B" w14:paraId="7B42A5E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OSHA will not publish the information collected under the </w:t>
      </w:r>
      <w:r w:rsidR="00663F44">
        <w:rPr>
          <w:sz w:val="24"/>
        </w:rPr>
        <w:t>variance r</w:t>
      </w:r>
      <w:r>
        <w:rPr>
          <w:sz w:val="24"/>
        </w:rPr>
        <w:t>egulation</w:t>
      </w:r>
      <w:r w:rsidR="00663F44">
        <w:rPr>
          <w:sz w:val="24"/>
        </w:rPr>
        <w:t>s</w:t>
      </w:r>
      <w:r>
        <w:rPr>
          <w:sz w:val="24"/>
        </w:rPr>
        <w:t>.</w:t>
      </w:r>
    </w:p>
    <w:p w:rsidR="0052708B" w:rsidP="0052708B" w14:paraId="46E3C42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52708B" w:rsidRPr="001E1E41" w:rsidP="0052708B" w14:paraId="2AE98E7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1E1E41">
        <w:rPr>
          <w:b/>
          <w:bCs/>
          <w:sz w:val="24"/>
        </w:rPr>
        <w:t>17.  If seeking approval to not display the expiration date for OMB approval of the information collection, explain the reasons that display would be inappropriate.</w:t>
      </w:r>
    </w:p>
    <w:p w:rsidR="0052708B" w:rsidP="0052708B" w14:paraId="5D0A89A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0"/>
        </w:rPr>
      </w:pPr>
    </w:p>
    <w:p w:rsidR="0052708B" w:rsidRPr="001E1E41" w:rsidP="0052708B" w14:paraId="785078A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76671C">
        <w:rPr>
          <w:sz w:val="24"/>
        </w:rPr>
        <w:t xml:space="preserve">OSHA </w:t>
      </w:r>
      <w:r w:rsidRPr="001E1E41" w:rsidR="000B6243">
        <w:rPr>
          <w:sz w:val="24"/>
        </w:rPr>
        <w:t xml:space="preserve">lists current valid control numbers in §§1910.8, 1915.8, 1917.4, 1918.4, and 1926.5 </w:t>
      </w:r>
      <w:r w:rsidR="000B6243">
        <w:rPr>
          <w:sz w:val="24"/>
        </w:rPr>
        <w:t>and publishes the expiration date in the Federal Register notice announcing</w:t>
      </w:r>
      <w:r w:rsidR="001240F0">
        <w:rPr>
          <w:sz w:val="24"/>
        </w:rPr>
        <w:t xml:space="preserve"> OMB approval of the Information collection requirement (see 5 CFR 1320.3(f)(3).  OSHA believes that this is the most appropriate and accurate mechanism to inform interested parties of these expiration dates. </w:t>
      </w:r>
    </w:p>
    <w:p w:rsidR="0052708B" w:rsidP="0052708B" w14:paraId="4231917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52708B" w:rsidRPr="001E1E41" w:rsidP="0052708B" w14:paraId="02A619D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1E1E41">
        <w:rPr>
          <w:b/>
          <w:bCs/>
          <w:sz w:val="24"/>
        </w:rPr>
        <w:t>18.  Explain each exception to the certification statement.</w:t>
      </w:r>
    </w:p>
    <w:p w:rsidR="0052708B" w:rsidP="0052708B" w14:paraId="3939E28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756F6A" w:rsidP="0054025F" w14:paraId="7CB479A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OSHA is not s</w:t>
      </w:r>
      <w:r w:rsidRPr="006F06C2">
        <w:rPr>
          <w:sz w:val="24"/>
        </w:rPr>
        <w:t>eeking an exception to the certification statement</w:t>
      </w:r>
      <w:r w:rsidR="0054025F">
        <w:rPr>
          <w:sz w:val="24"/>
        </w:rPr>
        <w:t>.</w:t>
      </w:r>
    </w:p>
    <w:p w:rsidR="00756F6A" w:rsidP="0054025F" w14:paraId="32AC3BB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5702B" w:rsidRPr="00B370A4" w:rsidP="0054025F" w14:paraId="147B7D9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B370A4">
        <w:rPr>
          <w:b/>
          <w:sz w:val="24"/>
        </w:rPr>
        <w:t>B. COLLECTION OF INFORMATION EMPLOYING STATISITICAL METHODS.</w:t>
      </w:r>
    </w:p>
    <w:p w:rsidR="0045702B" w:rsidP="0054025F" w14:paraId="608D3CA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9E036D" w:rsidP="00C1451B" w14:paraId="255DB59B" w14:textId="43AB71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This Supporting Statement does not contain any collection of information requirements that employ statistical methods.</w:t>
      </w:r>
    </w:p>
    <w:p w:rsidR="00BF706C" w:rsidP="00C1451B" w14:paraId="6B5738C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9F55FD" w:rsidRPr="009F55FD" w:rsidP="00600BFB" w14:paraId="3AE901DF" w14:textId="6E1F4471">
      <w:pPr>
        <w:widowControl/>
        <w:autoSpaceDE/>
        <w:autoSpaceDN/>
        <w:adjustRightInd/>
        <w:ind w:firstLine="240"/>
        <w:rPr>
          <w:color w:val="000000"/>
          <w:sz w:val="24"/>
        </w:rPr>
      </w:pPr>
    </w:p>
    <w:p w:rsidR="00BF706C" w:rsidRPr="00BF706C" w:rsidP="00BF706C" w14:paraId="552E07DC" w14:textId="77777777">
      <w:pPr>
        <w:widowControl/>
        <w:autoSpaceDE/>
        <w:autoSpaceDN/>
        <w:adjustRightInd/>
        <w:spacing w:line="480" w:lineRule="auto"/>
        <w:rPr>
          <w:rFonts w:eastAsia="Aptos"/>
          <w:kern w:val="2"/>
          <w:sz w:val="24"/>
          <w14:ligatures w14:val="standardContextual"/>
        </w:rPr>
      </w:pPr>
    </w:p>
    <w:p w:rsidR="00BF706C" w:rsidRPr="009F55FD" w:rsidP="00C1451B" w14:paraId="771E04FD" w14:textId="4F3A9B4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sectPr w:rsidSect="00502BBA">
      <w:pgSz w:w="12240" w:h="15840" w:code="1"/>
      <w:pgMar w:top="1440" w:right="1800" w:bottom="1440" w:left="180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ZWAdobeF">
    <w:altName w:val="Calibri"/>
    <w:charset w:val="00"/>
    <w:family w:val="auto"/>
    <w:pitch w:val="variable"/>
    <w:sig w:usb0="20002A87" w:usb1="00000000" w:usb2="00000000"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461D6" w:rsidP="006D2222" w14:paraId="6193E5E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461D6" w14:paraId="01E80F3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461D6" w14:paraId="690CB7BB" w14:textId="2BD7E7C2">
    <w:pPr>
      <w:pStyle w:val="Footer"/>
      <w:jc w:val="center"/>
    </w:pPr>
    <w:r>
      <w:fldChar w:fldCharType="begin"/>
    </w:r>
    <w:r>
      <w:instrText xml:space="preserve"> PAGE   \* MERGEFORMAT </w:instrText>
    </w:r>
    <w:r>
      <w:fldChar w:fldCharType="separate"/>
    </w:r>
    <w:r w:rsidR="000F1A38">
      <w:rPr>
        <w:noProof/>
      </w:rPr>
      <w:t>5</w:t>
    </w:r>
    <w:r>
      <w:rPr>
        <w:noProof/>
      </w:rPr>
      <w:fldChar w:fldCharType="end"/>
    </w:r>
  </w:p>
  <w:p w:rsidR="002461D6" w14:paraId="27F1739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F236A" w14:paraId="409D9F4D" w14:textId="77777777">
      <w:r>
        <w:separator/>
      </w:r>
    </w:p>
  </w:footnote>
  <w:footnote w:type="continuationSeparator" w:id="1">
    <w:p w:rsidR="00DF236A" w14:paraId="4B8E7A5D" w14:textId="77777777">
      <w:r>
        <w:continuationSeparator/>
      </w:r>
    </w:p>
  </w:footnote>
  <w:footnote w:id="2">
    <w:p w:rsidR="002461D6" w:rsidP="000D66BB" w14:paraId="09AC6496" w14:textId="77777777">
      <w:pPr>
        <w:pStyle w:val="FootnoteText"/>
        <w:ind w:firstLine="720"/>
        <w:rPr>
          <w:sz w:val="20"/>
          <w:szCs w:val="20"/>
        </w:rPr>
      </w:pPr>
      <w:r w:rsidRPr="005A7AC2">
        <w:rPr>
          <w:rStyle w:val="FootnoteReference"/>
          <w:sz w:val="20"/>
          <w:szCs w:val="20"/>
          <w:vertAlign w:val="superscript"/>
        </w:rPr>
        <w:footnoteRef/>
      </w:r>
      <w:r>
        <w:rPr>
          <w:sz w:val="20"/>
          <w:szCs w:val="20"/>
        </w:rPr>
        <w:t>The purpose of this Supporting Statement is to analyze and describe the burden hours and costs associated with provisions of the variance regulations that contain paperwork requirements; it does not provide information, advice, or guidance on how to comply with, or enforce, these regulations.</w:t>
      </w:r>
    </w:p>
  </w:footnote>
  <w:footnote w:id="3">
    <w:p w:rsidR="002461D6" w:rsidRPr="00B47801" w:rsidP="000D66BB" w14:paraId="359B8B7C" w14:textId="77777777">
      <w:pPr>
        <w:pStyle w:val="FootnoteText"/>
        <w:ind w:firstLine="720"/>
        <w:rPr>
          <w:sz w:val="20"/>
          <w:szCs w:val="20"/>
        </w:rPr>
      </w:pPr>
      <w:r w:rsidRPr="00E65D4F">
        <w:rPr>
          <w:rStyle w:val="FootnoteReference"/>
          <w:sz w:val="20"/>
          <w:szCs w:val="20"/>
          <w:vertAlign w:val="superscript"/>
        </w:rPr>
        <w:footnoteRef/>
      </w:r>
      <w:r w:rsidRPr="00B47801">
        <w:rPr>
          <w:sz w:val="20"/>
          <w:szCs w:val="20"/>
        </w:rPr>
        <w:t>See Appendix A</w:t>
      </w:r>
      <w:r>
        <w:rPr>
          <w:sz w:val="20"/>
          <w:szCs w:val="20"/>
        </w:rPr>
        <w:t>.</w:t>
      </w:r>
    </w:p>
  </w:footnote>
  <w:footnote w:id="4">
    <w:p w:rsidR="002461D6" w:rsidRPr="00CC60CD" w:rsidP="000D66BB" w14:paraId="2B42E858" w14:textId="77777777">
      <w:pPr>
        <w:pStyle w:val="FootnoteText"/>
        <w:ind w:firstLine="720"/>
        <w:rPr>
          <w:sz w:val="20"/>
          <w:szCs w:val="20"/>
        </w:rPr>
      </w:pPr>
      <w:r w:rsidRPr="00E65D4F">
        <w:rPr>
          <w:rStyle w:val="FootnoteReference"/>
          <w:sz w:val="20"/>
          <w:szCs w:val="20"/>
          <w:vertAlign w:val="superscript"/>
        </w:rPr>
        <w:footnoteRef/>
      </w:r>
      <w:r w:rsidRPr="00CC60CD">
        <w:rPr>
          <w:sz w:val="20"/>
          <w:szCs w:val="20"/>
        </w:rPr>
        <w:t>See Appendix B.</w:t>
      </w:r>
    </w:p>
  </w:footnote>
  <w:footnote w:id="5">
    <w:p w:rsidR="002461D6" w:rsidRPr="0076774F" w:rsidP="008C2FC5" w14:paraId="40D838B5" w14:textId="77777777">
      <w:pPr>
        <w:pStyle w:val="FootnoteText"/>
        <w:ind w:firstLine="720"/>
        <w:rPr>
          <w:sz w:val="20"/>
          <w:szCs w:val="20"/>
        </w:rPr>
      </w:pPr>
      <w:r w:rsidRPr="000D0BDF">
        <w:rPr>
          <w:rStyle w:val="FootnoteReference"/>
          <w:sz w:val="20"/>
          <w:szCs w:val="20"/>
          <w:vertAlign w:val="superscript"/>
        </w:rPr>
        <w:footnoteRef/>
      </w:r>
      <w:r w:rsidRPr="0076774F">
        <w:rPr>
          <w:sz w:val="20"/>
          <w:szCs w:val="20"/>
        </w:rPr>
        <w:t>See also Appendix B</w:t>
      </w:r>
      <w:r>
        <w:rPr>
          <w:sz w:val="20"/>
          <w:szCs w:val="20"/>
        </w:rPr>
        <w:t xml:space="preserve"> of this Supporting Statement</w:t>
      </w:r>
      <w:r w:rsidRPr="0076774F">
        <w:rPr>
          <w:sz w:val="20"/>
          <w:szCs w:val="20"/>
        </w:rPr>
        <w:t>.</w:t>
      </w:r>
    </w:p>
  </w:footnote>
  <w:footnote w:id="6">
    <w:p w:rsidR="002461D6" w:rsidP="00192401" w14:paraId="42044F32" w14:textId="77777777">
      <w:pPr>
        <w:ind w:firstLine="720"/>
      </w:pPr>
      <w:r w:rsidRPr="00192401">
        <w:rPr>
          <w:rStyle w:val="FootnoteReference"/>
          <w:vertAlign w:val="superscript"/>
        </w:rPr>
        <w:footnoteRef/>
      </w:r>
      <w:r>
        <w:t>As a matter of practice, OSHA accepts original applications, written in any format, without additional copies.</w:t>
      </w:r>
    </w:p>
  </w:footnote>
  <w:footnote w:id="7">
    <w:p w:rsidR="002461D6" w:rsidRPr="0094015F" w:rsidP="00D43529" w14:paraId="3A5F0A08" w14:textId="38695842">
      <w:pPr>
        <w:pStyle w:val="FootnoteText"/>
        <w:ind w:firstLine="720"/>
        <w:rPr>
          <w:sz w:val="20"/>
          <w:szCs w:val="20"/>
        </w:rPr>
      </w:pPr>
      <w:r w:rsidRPr="00D43529">
        <w:rPr>
          <w:rStyle w:val="FootnoteReference"/>
          <w:sz w:val="20"/>
          <w:szCs w:val="20"/>
          <w:vertAlign w:val="superscript"/>
        </w:rPr>
        <w:footnoteRef/>
      </w:r>
      <w:r w:rsidR="00C34D6E">
        <w:rPr>
          <w:sz w:val="20"/>
          <w:szCs w:val="20"/>
          <w:vertAlign w:val="superscript"/>
        </w:rPr>
        <w:t xml:space="preserve"> </w:t>
      </w:r>
      <w:r w:rsidRPr="001B7706" w:rsidR="001B7706">
        <w:t xml:space="preserve"> </w:t>
      </w:r>
      <w:r w:rsidRPr="0094015F" w:rsidR="0094015F">
        <w:rPr>
          <w:sz w:val="20"/>
          <w:szCs w:val="20"/>
        </w:rPr>
        <w:t>For the rest of the United States</w:t>
      </w:r>
      <w:r w:rsidR="0094015F">
        <w:t xml:space="preserve"> </w:t>
      </w:r>
      <w:hyperlink r:id="rId1" w:history="1">
        <w:r w:rsidRPr="0094015F" w:rsidR="0094015F">
          <w:rPr>
            <w:rStyle w:val="Hyperlink"/>
            <w:sz w:val="20"/>
            <w:szCs w:val="20"/>
          </w:rPr>
          <w:t>https://www.opm.gov/policy-data-oversight/pay-leave/salaries-wages/2024/general-schedule</w:t>
        </w:r>
      </w:hyperlink>
      <w:r w:rsidRPr="0094015F" w:rsidR="00C34D6E">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461D6" w:rsidP="00B47780" w14:paraId="46B134B8" w14:textId="4732E23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F6D9E">
      <w:rPr>
        <w:rStyle w:val="PageNumber"/>
        <w:noProof/>
      </w:rPr>
      <w:t>15</w:t>
    </w:r>
    <w:r>
      <w:rPr>
        <w:rStyle w:val="PageNumber"/>
      </w:rPr>
      <w:fldChar w:fldCharType="end"/>
    </w:r>
  </w:p>
  <w:p w:rsidR="002461D6" w14:paraId="1740623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461D6" w14:paraId="7CD2E3B0" w14:textId="77777777">
    <w:pPr>
      <w:pStyle w:val="Header"/>
    </w:pPr>
  </w:p>
  <w:p w:rsidR="00E1512D" w14:paraId="59E45B49" w14:textId="77777777">
    <w:pPr>
      <w:pStyle w:val="Header"/>
    </w:pPr>
  </w:p>
  <w:p w:rsidR="001F4872" w:rsidRPr="005865B6" w:rsidP="003A6D51" w14:paraId="2BDCABC5" w14:textId="77777777">
    <w:pPr>
      <w:pStyle w:val="Header"/>
      <w:rPr>
        <w:sz w:val="22"/>
        <w:szCs w:val="28"/>
      </w:rPr>
    </w:pPr>
  </w:p>
  <w:p w:rsidR="00A4155D" w:rsidRPr="005865B6" w:rsidP="003A6D51" w14:paraId="25FB95EE" w14:textId="16253130">
    <w:pPr>
      <w:pStyle w:val="Header"/>
      <w:rPr>
        <w:b/>
        <w:bCs/>
        <w:sz w:val="24"/>
      </w:rPr>
    </w:pPr>
    <w:r w:rsidRPr="005865B6">
      <w:rPr>
        <w:b/>
        <w:bCs/>
        <w:sz w:val="24"/>
      </w:rPr>
      <w:t xml:space="preserve">VARIANCE REGULATIONS </w:t>
    </w:r>
  </w:p>
  <w:p w:rsidR="00A4155D" w:rsidRPr="005865B6" w:rsidP="003A6D51" w14:paraId="6472AAD9" w14:textId="77777777">
    <w:pPr>
      <w:pStyle w:val="Header"/>
      <w:rPr>
        <w:b/>
        <w:bCs/>
        <w:sz w:val="24"/>
      </w:rPr>
    </w:pPr>
    <w:r w:rsidRPr="005865B6">
      <w:rPr>
        <w:b/>
        <w:bCs/>
        <w:sz w:val="24"/>
      </w:rPr>
      <w:t xml:space="preserve">OMB Control Number: 1218-0265 </w:t>
    </w:r>
  </w:p>
  <w:p w:rsidR="000F1A38" w:rsidRPr="005865B6" w:rsidP="003A6D51" w14:paraId="6521B97F" w14:textId="78C1E14D">
    <w:pPr>
      <w:pStyle w:val="Header"/>
      <w:rPr>
        <w:b/>
        <w:bCs/>
        <w:sz w:val="24"/>
      </w:rPr>
    </w:pPr>
    <w:r w:rsidRPr="005865B6">
      <w:rPr>
        <w:b/>
        <w:bCs/>
        <w:sz w:val="24"/>
      </w:rPr>
      <w:t>Expiration Date</w:t>
    </w:r>
    <w:r w:rsidRPr="005865B6" w:rsidR="008B2A47">
      <w:rPr>
        <w:b/>
        <w:bCs/>
        <w:sz w:val="24"/>
      </w:rPr>
      <w:t xml:space="preserve">: </w:t>
    </w:r>
    <w:r w:rsidR="00183FFB">
      <w:rPr>
        <w:b/>
        <w:bCs/>
        <w:sz w:val="24"/>
      </w:rPr>
      <w:t>March</w:t>
    </w:r>
    <w:r w:rsidR="00980ED3">
      <w:rPr>
        <w:b/>
        <w:bCs/>
        <w:sz w:val="24"/>
      </w:rPr>
      <w:t xml:space="preserve"> 31, 2025</w:t>
    </w:r>
  </w:p>
  <w:p w:rsidR="001F4872" w:rsidRPr="00A4155D" w:rsidP="003A6D51" w14:paraId="74024530" w14:textId="77777777">
    <w:pPr>
      <w:pStyle w:val="Header"/>
      <w:rPr>
        <w:b/>
        <w:bCs/>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numPicBullet w:numPicBulletId="1">
    <w:pict>
      <v:shape id="_x0000_i1026" type="#_x0000_t75" style="width:3in;height:3in" o:bullet="t"/>
    </w:pict>
  </w:numPicBullet>
  <w:numPicBullet w:numPicBulletId="2">
    <w:pict>
      <v:shape id="_x0000_i1027" type="#_x0000_t75" style="width:3in;height:3in" o:bullet="t"/>
    </w:pict>
  </w:numPicBullet>
  <w:abstractNum w:abstractNumId="0">
    <w:nsid w:val="045F7063"/>
    <w:multiLevelType w:val="hybridMultilevel"/>
    <w:tmpl w:val="D0168B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9A35720"/>
    <w:multiLevelType w:val="hybridMultilevel"/>
    <w:tmpl w:val="58A62D9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A5056D2"/>
    <w:multiLevelType w:val="hybridMultilevel"/>
    <w:tmpl w:val="F394F4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EDD689E"/>
    <w:multiLevelType w:val="hybridMultilevel"/>
    <w:tmpl w:val="E0BE8B9A"/>
    <w:lvl w:ilvl="0">
      <w:start w:val="1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97972B6"/>
    <w:multiLevelType w:val="hybridMultilevel"/>
    <w:tmpl w:val="0C102C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A427A45"/>
    <w:multiLevelType w:val="hybridMultilevel"/>
    <w:tmpl w:val="FE7C973A"/>
    <w:lvl w:ilvl="0">
      <w:start w:val="1"/>
      <w:numFmt w:val="decimal"/>
      <w:lvlText w:val="%1."/>
      <w:lvlJc w:val="left"/>
      <w:pPr>
        <w:tabs>
          <w:tab w:val="num" w:pos="780"/>
        </w:tabs>
        <w:ind w:left="780" w:hanging="360"/>
      </w:pPr>
    </w:lvl>
    <w:lvl w:ilvl="1" w:tentative="1">
      <w:start w:val="1"/>
      <w:numFmt w:val="lowerLetter"/>
      <w:lvlText w:val="%2."/>
      <w:lvlJc w:val="left"/>
      <w:pPr>
        <w:tabs>
          <w:tab w:val="num" w:pos="1500"/>
        </w:tabs>
        <w:ind w:left="1500" w:hanging="360"/>
      </w:p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6">
    <w:nsid w:val="3DBA365F"/>
    <w:multiLevelType w:val="hybridMultilevel"/>
    <w:tmpl w:val="37F2A3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F8F0769"/>
    <w:multiLevelType w:val="hybridMultilevel"/>
    <w:tmpl w:val="CE66A7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2E808F2"/>
    <w:multiLevelType w:val="hybridMultilevel"/>
    <w:tmpl w:val="D2CC6AF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4CB0304C"/>
    <w:multiLevelType w:val="hybridMultilevel"/>
    <w:tmpl w:val="4134D8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840464A"/>
    <w:multiLevelType w:val="hybridMultilevel"/>
    <w:tmpl w:val="AF5CF9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03B56F5"/>
    <w:multiLevelType w:val="hybridMultilevel"/>
    <w:tmpl w:val="608AEA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3F000B9"/>
    <w:multiLevelType w:val="multilevel"/>
    <w:tmpl w:val="B4EAE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9611290">
    <w:abstractNumId w:val="3"/>
  </w:num>
  <w:num w:numId="2" w16cid:durableId="1649481450">
    <w:abstractNumId w:val="8"/>
  </w:num>
  <w:num w:numId="3" w16cid:durableId="1970932793">
    <w:abstractNumId w:val="5"/>
  </w:num>
  <w:num w:numId="4" w16cid:durableId="1666784619">
    <w:abstractNumId w:val="1"/>
  </w:num>
  <w:num w:numId="5" w16cid:durableId="1257179263">
    <w:abstractNumId w:val="11"/>
  </w:num>
  <w:num w:numId="6" w16cid:durableId="1737391511">
    <w:abstractNumId w:val="9"/>
  </w:num>
  <w:num w:numId="7" w16cid:durableId="195050724">
    <w:abstractNumId w:val="2"/>
  </w:num>
  <w:num w:numId="8" w16cid:durableId="354775954">
    <w:abstractNumId w:val="0"/>
  </w:num>
  <w:num w:numId="9" w16cid:durableId="794178517">
    <w:abstractNumId w:val="4"/>
  </w:num>
  <w:num w:numId="10" w16cid:durableId="398597367">
    <w:abstractNumId w:val="10"/>
  </w:num>
  <w:num w:numId="11" w16cid:durableId="539705893">
    <w:abstractNumId w:val="6"/>
  </w:num>
  <w:num w:numId="12" w16cid:durableId="140467364">
    <w:abstractNumId w:val="7"/>
  </w:num>
  <w:num w:numId="13" w16cid:durableId="6309848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08B"/>
    <w:rsid w:val="00002BE8"/>
    <w:rsid w:val="000030C4"/>
    <w:rsid w:val="00003BC4"/>
    <w:rsid w:val="000062CB"/>
    <w:rsid w:val="0001223B"/>
    <w:rsid w:val="000122E5"/>
    <w:rsid w:val="000147F6"/>
    <w:rsid w:val="000172E9"/>
    <w:rsid w:val="000200C4"/>
    <w:rsid w:val="00020CAA"/>
    <w:rsid w:val="00023664"/>
    <w:rsid w:val="00025EA3"/>
    <w:rsid w:val="00027F7A"/>
    <w:rsid w:val="00031387"/>
    <w:rsid w:val="000349E8"/>
    <w:rsid w:val="00037A13"/>
    <w:rsid w:val="00040206"/>
    <w:rsid w:val="00043804"/>
    <w:rsid w:val="0004517F"/>
    <w:rsid w:val="00045463"/>
    <w:rsid w:val="000470D9"/>
    <w:rsid w:val="000478E8"/>
    <w:rsid w:val="000516F6"/>
    <w:rsid w:val="00051C05"/>
    <w:rsid w:val="0006276C"/>
    <w:rsid w:val="00064F3E"/>
    <w:rsid w:val="00067429"/>
    <w:rsid w:val="00074CE9"/>
    <w:rsid w:val="00075C5D"/>
    <w:rsid w:val="00077D53"/>
    <w:rsid w:val="00080E1B"/>
    <w:rsid w:val="000834EE"/>
    <w:rsid w:val="00085EE6"/>
    <w:rsid w:val="00091DEB"/>
    <w:rsid w:val="00092A27"/>
    <w:rsid w:val="00095F9E"/>
    <w:rsid w:val="000A1CC3"/>
    <w:rsid w:val="000A2CBC"/>
    <w:rsid w:val="000A3093"/>
    <w:rsid w:val="000A5CCF"/>
    <w:rsid w:val="000B004D"/>
    <w:rsid w:val="000B10F6"/>
    <w:rsid w:val="000B2E05"/>
    <w:rsid w:val="000B404C"/>
    <w:rsid w:val="000B6243"/>
    <w:rsid w:val="000B62D6"/>
    <w:rsid w:val="000B6D44"/>
    <w:rsid w:val="000B6D50"/>
    <w:rsid w:val="000B7819"/>
    <w:rsid w:val="000C46DD"/>
    <w:rsid w:val="000C6F2D"/>
    <w:rsid w:val="000D08AC"/>
    <w:rsid w:val="000D0BDF"/>
    <w:rsid w:val="000D39A6"/>
    <w:rsid w:val="000D66BB"/>
    <w:rsid w:val="000E15A7"/>
    <w:rsid w:val="000E1F00"/>
    <w:rsid w:val="000E2567"/>
    <w:rsid w:val="000E5C00"/>
    <w:rsid w:val="000F0FEF"/>
    <w:rsid w:val="000F1A38"/>
    <w:rsid w:val="000F1BE4"/>
    <w:rsid w:val="000F1D58"/>
    <w:rsid w:val="000F4067"/>
    <w:rsid w:val="000F5544"/>
    <w:rsid w:val="00101696"/>
    <w:rsid w:val="0010419A"/>
    <w:rsid w:val="001055E0"/>
    <w:rsid w:val="00111A6C"/>
    <w:rsid w:val="00111E2B"/>
    <w:rsid w:val="001140A2"/>
    <w:rsid w:val="00114732"/>
    <w:rsid w:val="0011555E"/>
    <w:rsid w:val="00116F83"/>
    <w:rsid w:val="00120C7C"/>
    <w:rsid w:val="00120F6C"/>
    <w:rsid w:val="0012128D"/>
    <w:rsid w:val="00121CC0"/>
    <w:rsid w:val="001240F0"/>
    <w:rsid w:val="001244D3"/>
    <w:rsid w:val="00126A8D"/>
    <w:rsid w:val="00127647"/>
    <w:rsid w:val="00127FDB"/>
    <w:rsid w:val="00130095"/>
    <w:rsid w:val="00132327"/>
    <w:rsid w:val="00140B25"/>
    <w:rsid w:val="00142A0C"/>
    <w:rsid w:val="00143824"/>
    <w:rsid w:val="001442E8"/>
    <w:rsid w:val="00144AAB"/>
    <w:rsid w:val="00145F17"/>
    <w:rsid w:val="00152899"/>
    <w:rsid w:val="0015448C"/>
    <w:rsid w:val="00154965"/>
    <w:rsid w:val="0015611E"/>
    <w:rsid w:val="0015695B"/>
    <w:rsid w:val="0015762C"/>
    <w:rsid w:val="0016117B"/>
    <w:rsid w:val="00162BEC"/>
    <w:rsid w:val="00162EBC"/>
    <w:rsid w:val="00165DDA"/>
    <w:rsid w:val="00166C4F"/>
    <w:rsid w:val="00170730"/>
    <w:rsid w:val="00172FD4"/>
    <w:rsid w:val="001776D4"/>
    <w:rsid w:val="00183845"/>
    <w:rsid w:val="00183BC1"/>
    <w:rsid w:val="00183FFB"/>
    <w:rsid w:val="00184766"/>
    <w:rsid w:val="00184D7B"/>
    <w:rsid w:val="0018577D"/>
    <w:rsid w:val="00187110"/>
    <w:rsid w:val="001911AB"/>
    <w:rsid w:val="00192401"/>
    <w:rsid w:val="001A30CE"/>
    <w:rsid w:val="001A4E20"/>
    <w:rsid w:val="001A60B2"/>
    <w:rsid w:val="001A7248"/>
    <w:rsid w:val="001B04C9"/>
    <w:rsid w:val="001B076F"/>
    <w:rsid w:val="001B2989"/>
    <w:rsid w:val="001B4283"/>
    <w:rsid w:val="001B61DD"/>
    <w:rsid w:val="001B65F2"/>
    <w:rsid w:val="001B736D"/>
    <w:rsid w:val="001B7706"/>
    <w:rsid w:val="001C315D"/>
    <w:rsid w:val="001D146F"/>
    <w:rsid w:val="001D524C"/>
    <w:rsid w:val="001D5E8D"/>
    <w:rsid w:val="001D5FB8"/>
    <w:rsid w:val="001D6106"/>
    <w:rsid w:val="001E0E4F"/>
    <w:rsid w:val="001E1E41"/>
    <w:rsid w:val="001E1EEA"/>
    <w:rsid w:val="001E39A3"/>
    <w:rsid w:val="001E3F71"/>
    <w:rsid w:val="001E5463"/>
    <w:rsid w:val="001E6AD9"/>
    <w:rsid w:val="001F2ACD"/>
    <w:rsid w:val="001F3026"/>
    <w:rsid w:val="001F4872"/>
    <w:rsid w:val="001F4FB8"/>
    <w:rsid w:val="001F70C2"/>
    <w:rsid w:val="00201879"/>
    <w:rsid w:val="00211E3E"/>
    <w:rsid w:val="00214B99"/>
    <w:rsid w:val="00214CD3"/>
    <w:rsid w:val="002156C9"/>
    <w:rsid w:val="002173F5"/>
    <w:rsid w:val="0022314F"/>
    <w:rsid w:val="00223894"/>
    <w:rsid w:val="00231394"/>
    <w:rsid w:val="00233200"/>
    <w:rsid w:val="00244F97"/>
    <w:rsid w:val="00244FF3"/>
    <w:rsid w:val="002461D6"/>
    <w:rsid w:val="0025072C"/>
    <w:rsid w:val="00251965"/>
    <w:rsid w:val="002528DE"/>
    <w:rsid w:val="00254258"/>
    <w:rsid w:val="00254B99"/>
    <w:rsid w:val="00257466"/>
    <w:rsid w:val="00263778"/>
    <w:rsid w:val="00265E24"/>
    <w:rsid w:val="00270554"/>
    <w:rsid w:val="002724A3"/>
    <w:rsid w:val="00272534"/>
    <w:rsid w:val="002753CD"/>
    <w:rsid w:val="00280920"/>
    <w:rsid w:val="002839A0"/>
    <w:rsid w:val="00286846"/>
    <w:rsid w:val="00291DA2"/>
    <w:rsid w:val="00292846"/>
    <w:rsid w:val="002944B0"/>
    <w:rsid w:val="002A32D0"/>
    <w:rsid w:val="002A36BB"/>
    <w:rsid w:val="002A43CF"/>
    <w:rsid w:val="002A72CC"/>
    <w:rsid w:val="002A75C7"/>
    <w:rsid w:val="002A772E"/>
    <w:rsid w:val="002A79A8"/>
    <w:rsid w:val="002B3399"/>
    <w:rsid w:val="002B54D1"/>
    <w:rsid w:val="002B5ED3"/>
    <w:rsid w:val="002B63B2"/>
    <w:rsid w:val="002C4861"/>
    <w:rsid w:val="002C5E36"/>
    <w:rsid w:val="002D670D"/>
    <w:rsid w:val="002E1C14"/>
    <w:rsid w:val="002E372C"/>
    <w:rsid w:val="002E3733"/>
    <w:rsid w:val="002E458E"/>
    <w:rsid w:val="002E620D"/>
    <w:rsid w:val="002E7831"/>
    <w:rsid w:val="002F26A2"/>
    <w:rsid w:val="002F3F3A"/>
    <w:rsid w:val="002F41E0"/>
    <w:rsid w:val="002F4B4F"/>
    <w:rsid w:val="00301447"/>
    <w:rsid w:val="003044F2"/>
    <w:rsid w:val="00304A72"/>
    <w:rsid w:val="00310F17"/>
    <w:rsid w:val="00312F44"/>
    <w:rsid w:val="00321401"/>
    <w:rsid w:val="0032445F"/>
    <w:rsid w:val="00324E35"/>
    <w:rsid w:val="003319E9"/>
    <w:rsid w:val="00331F1D"/>
    <w:rsid w:val="00334EBC"/>
    <w:rsid w:val="00336CBA"/>
    <w:rsid w:val="0034475F"/>
    <w:rsid w:val="00344C89"/>
    <w:rsid w:val="00346D1D"/>
    <w:rsid w:val="00354AA5"/>
    <w:rsid w:val="003578EF"/>
    <w:rsid w:val="00357E2C"/>
    <w:rsid w:val="00357F74"/>
    <w:rsid w:val="00360200"/>
    <w:rsid w:val="00362921"/>
    <w:rsid w:val="003646DB"/>
    <w:rsid w:val="00364D00"/>
    <w:rsid w:val="00364D47"/>
    <w:rsid w:val="00365EC4"/>
    <w:rsid w:val="003661FA"/>
    <w:rsid w:val="0037117C"/>
    <w:rsid w:val="00373791"/>
    <w:rsid w:val="0038121D"/>
    <w:rsid w:val="003812D0"/>
    <w:rsid w:val="00383559"/>
    <w:rsid w:val="00385C5F"/>
    <w:rsid w:val="00386797"/>
    <w:rsid w:val="00386AF7"/>
    <w:rsid w:val="00387B63"/>
    <w:rsid w:val="003913A9"/>
    <w:rsid w:val="003938D7"/>
    <w:rsid w:val="00393C61"/>
    <w:rsid w:val="00393D1E"/>
    <w:rsid w:val="0039729F"/>
    <w:rsid w:val="003A1556"/>
    <w:rsid w:val="003A1626"/>
    <w:rsid w:val="003A4BC0"/>
    <w:rsid w:val="003A4DB0"/>
    <w:rsid w:val="003A5A42"/>
    <w:rsid w:val="003A634D"/>
    <w:rsid w:val="003A6D51"/>
    <w:rsid w:val="003A71EF"/>
    <w:rsid w:val="003B01FD"/>
    <w:rsid w:val="003B0A26"/>
    <w:rsid w:val="003B2487"/>
    <w:rsid w:val="003C0DA2"/>
    <w:rsid w:val="003C60F5"/>
    <w:rsid w:val="003C65F4"/>
    <w:rsid w:val="003D1FCC"/>
    <w:rsid w:val="003D40D4"/>
    <w:rsid w:val="003E143F"/>
    <w:rsid w:val="003E3CAC"/>
    <w:rsid w:val="003E4610"/>
    <w:rsid w:val="003E4628"/>
    <w:rsid w:val="003E61BD"/>
    <w:rsid w:val="003F14A1"/>
    <w:rsid w:val="003F3BEA"/>
    <w:rsid w:val="003F49BA"/>
    <w:rsid w:val="003F6359"/>
    <w:rsid w:val="003F6C33"/>
    <w:rsid w:val="003F7258"/>
    <w:rsid w:val="003F77CF"/>
    <w:rsid w:val="004025D6"/>
    <w:rsid w:val="00402BF2"/>
    <w:rsid w:val="0040500C"/>
    <w:rsid w:val="00406D3E"/>
    <w:rsid w:val="00407C34"/>
    <w:rsid w:val="00411DB2"/>
    <w:rsid w:val="0041235F"/>
    <w:rsid w:val="004128F6"/>
    <w:rsid w:val="00413DF8"/>
    <w:rsid w:val="00415E29"/>
    <w:rsid w:val="00415E9F"/>
    <w:rsid w:val="004172B3"/>
    <w:rsid w:val="00426343"/>
    <w:rsid w:val="00426D69"/>
    <w:rsid w:val="004277DB"/>
    <w:rsid w:val="004305BD"/>
    <w:rsid w:val="0043102A"/>
    <w:rsid w:val="00431340"/>
    <w:rsid w:val="00431BEE"/>
    <w:rsid w:val="004333ED"/>
    <w:rsid w:val="0043430C"/>
    <w:rsid w:val="00436E68"/>
    <w:rsid w:val="00440B78"/>
    <w:rsid w:val="004428AD"/>
    <w:rsid w:val="00442F2B"/>
    <w:rsid w:val="00444BC2"/>
    <w:rsid w:val="00446688"/>
    <w:rsid w:val="00450812"/>
    <w:rsid w:val="00455587"/>
    <w:rsid w:val="0045702B"/>
    <w:rsid w:val="0046254C"/>
    <w:rsid w:val="004636BD"/>
    <w:rsid w:val="0046573F"/>
    <w:rsid w:val="004704E4"/>
    <w:rsid w:val="0047483A"/>
    <w:rsid w:val="0047483F"/>
    <w:rsid w:val="00474C92"/>
    <w:rsid w:val="00483D23"/>
    <w:rsid w:val="00483E45"/>
    <w:rsid w:val="00485733"/>
    <w:rsid w:val="00487C9A"/>
    <w:rsid w:val="00487CAC"/>
    <w:rsid w:val="004956A5"/>
    <w:rsid w:val="004A12AE"/>
    <w:rsid w:val="004A41C5"/>
    <w:rsid w:val="004A49DD"/>
    <w:rsid w:val="004A5BB1"/>
    <w:rsid w:val="004A5E1A"/>
    <w:rsid w:val="004C05C7"/>
    <w:rsid w:val="004C2408"/>
    <w:rsid w:val="004C3D3B"/>
    <w:rsid w:val="004C793E"/>
    <w:rsid w:val="004D1429"/>
    <w:rsid w:val="004D7630"/>
    <w:rsid w:val="004E1909"/>
    <w:rsid w:val="004E4524"/>
    <w:rsid w:val="004E48A4"/>
    <w:rsid w:val="004F13EB"/>
    <w:rsid w:val="004F685C"/>
    <w:rsid w:val="004F6D9E"/>
    <w:rsid w:val="004F7747"/>
    <w:rsid w:val="004F7F3F"/>
    <w:rsid w:val="00502BBA"/>
    <w:rsid w:val="00503A0E"/>
    <w:rsid w:val="00505AFD"/>
    <w:rsid w:val="00506280"/>
    <w:rsid w:val="00510CA1"/>
    <w:rsid w:val="00520490"/>
    <w:rsid w:val="00522A95"/>
    <w:rsid w:val="0052388E"/>
    <w:rsid w:val="0052400F"/>
    <w:rsid w:val="00526220"/>
    <w:rsid w:val="0052708B"/>
    <w:rsid w:val="00531D98"/>
    <w:rsid w:val="00532816"/>
    <w:rsid w:val="0053353F"/>
    <w:rsid w:val="0053408A"/>
    <w:rsid w:val="0054025F"/>
    <w:rsid w:val="00540D2B"/>
    <w:rsid w:val="00542A95"/>
    <w:rsid w:val="005430EA"/>
    <w:rsid w:val="005437A7"/>
    <w:rsid w:val="00544FFC"/>
    <w:rsid w:val="00545377"/>
    <w:rsid w:val="00546006"/>
    <w:rsid w:val="0055686F"/>
    <w:rsid w:val="00560010"/>
    <w:rsid w:val="005678A5"/>
    <w:rsid w:val="00573C3E"/>
    <w:rsid w:val="0057483E"/>
    <w:rsid w:val="005777EF"/>
    <w:rsid w:val="00580EF8"/>
    <w:rsid w:val="00583505"/>
    <w:rsid w:val="0058420B"/>
    <w:rsid w:val="00584807"/>
    <w:rsid w:val="00584E6D"/>
    <w:rsid w:val="00585ECF"/>
    <w:rsid w:val="005865B6"/>
    <w:rsid w:val="00590736"/>
    <w:rsid w:val="0059692C"/>
    <w:rsid w:val="00596A2D"/>
    <w:rsid w:val="005978DE"/>
    <w:rsid w:val="005A5B96"/>
    <w:rsid w:val="005A7AC2"/>
    <w:rsid w:val="005A7BD6"/>
    <w:rsid w:val="005B4EAD"/>
    <w:rsid w:val="005B6669"/>
    <w:rsid w:val="005B6A66"/>
    <w:rsid w:val="005C1FF9"/>
    <w:rsid w:val="005C2665"/>
    <w:rsid w:val="005C2795"/>
    <w:rsid w:val="005C2CB1"/>
    <w:rsid w:val="005C4B0B"/>
    <w:rsid w:val="005C5D69"/>
    <w:rsid w:val="005D1651"/>
    <w:rsid w:val="005D198D"/>
    <w:rsid w:val="005D1B2A"/>
    <w:rsid w:val="005D45C3"/>
    <w:rsid w:val="005D5DBF"/>
    <w:rsid w:val="005E32D5"/>
    <w:rsid w:val="005E3675"/>
    <w:rsid w:val="005E45A4"/>
    <w:rsid w:val="005E77DE"/>
    <w:rsid w:val="005F02BF"/>
    <w:rsid w:val="005F04A7"/>
    <w:rsid w:val="005F2314"/>
    <w:rsid w:val="005F3A01"/>
    <w:rsid w:val="005F419C"/>
    <w:rsid w:val="005F41C8"/>
    <w:rsid w:val="005F4743"/>
    <w:rsid w:val="005F5F78"/>
    <w:rsid w:val="005F6B07"/>
    <w:rsid w:val="00600BFB"/>
    <w:rsid w:val="00610911"/>
    <w:rsid w:val="00614995"/>
    <w:rsid w:val="00614F03"/>
    <w:rsid w:val="006159E2"/>
    <w:rsid w:val="00617CEB"/>
    <w:rsid w:val="006220BC"/>
    <w:rsid w:val="006246F4"/>
    <w:rsid w:val="00632B18"/>
    <w:rsid w:val="006332AE"/>
    <w:rsid w:val="0063366B"/>
    <w:rsid w:val="00636819"/>
    <w:rsid w:val="0064010A"/>
    <w:rsid w:val="006401B1"/>
    <w:rsid w:val="00641A64"/>
    <w:rsid w:val="0064514E"/>
    <w:rsid w:val="00647A94"/>
    <w:rsid w:val="0065043B"/>
    <w:rsid w:val="00651496"/>
    <w:rsid w:val="006514AF"/>
    <w:rsid w:val="00653942"/>
    <w:rsid w:val="00655D28"/>
    <w:rsid w:val="00661292"/>
    <w:rsid w:val="00663F44"/>
    <w:rsid w:val="00664657"/>
    <w:rsid w:val="00666025"/>
    <w:rsid w:val="00666FAA"/>
    <w:rsid w:val="0066759F"/>
    <w:rsid w:val="006715F5"/>
    <w:rsid w:val="00671AEF"/>
    <w:rsid w:val="0067205D"/>
    <w:rsid w:val="00674312"/>
    <w:rsid w:val="006760EA"/>
    <w:rsid w:val="006805BD"/>
    <w:rsid w:val="0068160B"/>
    <w:rsid w:val="006834F0"/>
    <w:rsid w:val="006835AC"/>
    <w:rsid w:val="00684BD0"/>
    <w:rsid w:val="00686BF3"/>
    <w:rsid w:val="00687170"/>
    <w:rsid w:val="006916A8"/>
    <w:rsid w:val="00691ED2"/>
    <w:rsid w:val="006920F8"/>
    <w:rsid w:val="006925A5"/>
    <w:rsid w:val="00693726"/>
    <w:rsid w:val="0069492F"/>
    <w:rsid w:val="006A02F3"/>
    <w:rsid w:val="006A0B84"/>
    <w:rsid w:val="006A23BB"/>
    <w:rsid w:val="006A57CC"/>
    <w:rsid w:val="006A623D"/>
    <w:rsid w:val="006B0B82"/>
    <w:rsid w:val="006C1D30"/>
    <w:rsid w:val="006C4F26"/>
    <w:rsid w:val="006C57D2"/>
    <w:rsid w:val="006C6C69"/>
    <w:rsid w:val="006C78A2"/>
    <w:rsid w:val="006D2222"/>
    <w:rsid w:val="006D4B24"/>
    <w:rsid w:val="006D5064"/>
    <w:rsid w:val="006D6DA7"/>
    <w:rsid w:val="006D7CB6"/>
    <w:rsid w:val="006E026E"/>
    <w:rsid w:val="006F06C2"/>
    <w:rsid w:val="006F25EE"/>
    <w:rsid w:val="006F7B10"/>
    <w:rsid w:val="007021B7"/>
    <w:rsid w:val="0070233F"/>
    <w:rsid w:val="0071554C"/>
    <w:rsid w:val="00715B91"/>
    <w:rsid w:val="00722608"/>
    <w:rsid w:val="007233CC"/>
    <w:rsid w:val="007260AB"/>
    <w:rsid w:val="007308E7"/>
    <w:rsid w:val="00731490"/>
    <w:rsid w:val="007356A4"/>
    <w:rsid w:val="0074138E"/>
    <w:rsid w:val="007435BC"/>
    <w:rsid w:val="00743D6D"/>
    <w:rsid w:val="00746D0C"/>
    <w:rsid w:val="00747C6C"/>
    <w:rsid w:val="00750E49"/>
    <w:rsid w:val="00752159"/>
    <w:rsid w:val="00752382"/>
    <w:rsid w:val="007567C1"/>
    <w:rsid w:val="00756F6A"/>
    <w:rsid w:val="0076368D"/>
    <w:rsid w:val="0076671C"/>
    <w:rsid w:val="00766754"/>
    <w:rsid w:val="007671B5"/>
    <w:rsid w:val="0076774F"/>
    <w:rsid w:val="00771EAD"/>
    <w:rsid w:val="0077569C"/>
    <w:rsid w:val="007779D5"/>
    <w:rsid w:val="0078043F"/>
    <w:rsid w:val="00781F3C"/>
    <w:rsid w:val="0078566B"/>
    <w:rsid w:val="00785C49"/>
    <w:rsid w:val="00785C9D"/>
    <w:rsid w:val="00786D87"/>
    <w:rsid w:val="0078723C"/>
    <w:rsid w:val="00790908"/>
    <w:rsid w:val="00794A01"/>
    <w:rsid w:val="0079710B"/>
    <w:rsid w:val="007A117F"/>
    <w:rsid w:val="007A3663"/>
    <w:rsid w:val="007B0133"/>
    <w:rsid w:val="007C0373"/>
    <w:rsid w:val="007C0CD6"/>
    <w:rsid w:val="007C7680"/>
    <w:rsid w:val="007C7772"/>
    <w:rsid w:val="007D0FCE"/>
    <w:rsid w:val="007D26D2"/>
    <w:rsid w:val="007D2E82"/>
    <w:rsid w:val="007D56E0"/>
    <w:rsid w:val="007D5BB4"/>
    <w:rsid w:val="007D6781"/>
    <w:rsid w:val="007E1904"/>
    <w:rsid w:val="007E2CA8"/>
    <w:rsid w:val="007E416F"/>
    <w:rsid w:val="007E4243"/>
    <w:rsid w:val="007F0E3B"/>
    <w:rsid w:val="007F26F6"/>
    <w:rsid w:val="007F4EFF"/>
    <w:rsid w:val="007F68C2"/>
    <w:rsid w:val="007F6B31"/>
    <w:rsid w:val="007F748C"/>
    <w:rsid w:val="008037AC"/>
    <w:rsid w:val="00803AB4"/>
    <w:rsid w:val="0080640B"/>
    <w:rsid w:val="00811D58"/>
    <w:rsid w:val="00815DB4"/>
    <w:rsid w:val="008163C8"/>
    <w:rsid w:val="008274E8"/>
    <w:rsid w:val="00830D17"/>
    <w:rsid w:val="0083391D"/>
    <w:rsid w:val="0083484C"/>
    <w:rsid w:val="008348AF"/>
    <w:rsid w:val="0083767B"/>
    <w:rsid w:val="00841F60"/>
    <w:rsid w:val="00844458"/>
    <w:rsid w:val="00846CF4"/>
    <w:rsid w:val="008471E3"/>
    <w:rsid w:val="00847979"/>
    <w:rsid w:val="00847DB5"/>
    <w:rsid w:val="00852522"/>
    <w:rsid w:val="00852652"/>
    <w:rsid w:val="00852D72"/>
    <w:rsid w:val="00853420"/>
    <w:rsid w:val="00856CC1"/>
    <w:rsid w:val="00862244"/>
    <w:rsid w:val="00871094"/>
    <w:rsid w:val="00871B8D"/>
    <w:rsid w:val="00871E54"/>
    <w:rsid w:val="0087581E"/>
    <w:rsid w:val="00875C27"/>
    <w:rsid w:val="00875CCC"/>
    <w:rsid w:val="00875F89"/>
    <w:rsid w:val="008777F3"/>
    <w:rsid w:val="008813D3"/>
    <w:rsid w:val="0088529F"/>
    <w:rsid w:val="008855B7"/>
    <w:rsid w:val="0088736A"/>
    <w:rsid w:val="00887A8F"/>
    <w:rsid w:val="008961DB"/>
    <w:rsid w:val="008A2FE8"/>
    <w:rsid w:val="008B2A47"/>
    <w:rsid w:val="008B37DB"/>
    <w:rsid w:val="008B3B83"/>
    <w:rsid w:val="008B5FAB"/>
    <w:rsid w:val="008C0180"/>
    <w:rsid w:val="008C2BC4"/>
    <w:rsid w:val="008C2FC5"/>
    <w:rsid w:val="008C3CC1"/>
    <w:rsid w:val="008D35CF"/>
    <w:rsid w:val="008D3E7E"/>
    <w:rsid w:val="008D7FF1"/>
    <w:rsid w:val="008E0D33"/>
    <w:rsid w:val="008E23AD"/>
    <w:rsid w:val="008E5B2F"/>
    <w:rsid w:val="008E6ACD"/>
    <w:rsid w:val="008E723E"/>
    <w:rsid w:val="008F16F0"/>
    <w:rsid w:val="00903966"/>
    <w:rsid w:val="009042A3"/>
    <w:rsid w:val="00915F21"/>
    <w:rsid w:val="0091664E"/>
    <w:rsid w:val="00921724"/>
    <w:rsid w:val="00921982"/>
    <w:rsid w:val="00923BF8"/>
    <w:rsid w:val="00925E47"/>
    <w:rsid w:val="00933F4F"/>
    <w:rsid w:val="009354A3"/>
    <w:rsid w:val="0094015F"/>
    <w:rsid w:val="009421D0"/>
    <w:rsid w:val="009429B5"/>
    <w:rsid w:val="00943C0E"/>
    <w:rsid w:val="00951D43"/>
    <w:rsid w:val="00954DF4"/>
    <w:rsid w:val="00955936"/>
    <w:rsid w:val="0095615B"/>
    <w:rsid w:val="0095772F"/>
    <w:rsid w:val="009639C0"/>
    <w:rsid w:val="00964E22"/>
    <w:rsid w:val="009659EB"/>
    <w:rsid w:val="00972569"/>
    <w:rsid w:val="009757D2"/>
    <w:rsid w:val="00980C3E"/>
    <w:rsid w:val="00980ED3"/>
    <w:rsid w:val="009826E2"/>
    <w:rsid w:val="00983236"/>
    <w:rsid w:val="009852FE"/>
    <w:rsid w:val="00986AAE"/>
    <w:rsid w:val="00987D5C"/>
    <w:rsid w:val="0099241A"/>
    <w:rsid w:val="00992B43"/>
    <w:rsid w:val="00993FC1"/>
    <w:rsid w:val="00996293"/>
    <w:rsid w:val="009A1B53"/>
    <w:rsid w:val="009A1E2B"/>
    <w:rsid w:val="009A50B2"/>
    <w:rsid w:val="009B1A2F"/>
    <w:rsid w:val="009B4D7D"/>
    <w:rsid w:val="009B6A12"/>
    <w:rsid w:val="009B7A7C"/>
    <w:rsid w:val="009C0312"/>
    <w:rsid w:val="009C1DDC"/>
    <w:rsid w:val="009C427D"/>
    <w:rsid w:val="009C48DD"/>
    <w:rsid w:val="009C4C1D"/>
    <w:rsid w:val="009D10F8"/>
    <w:rsid w:val="009D48F4"/>
    <w:rsid w:val="009D5210"/>
    <w:rsid w:val="009D6C36"/>
    <w:rsid w:val="009E036D"/>
    <w:rsid w:val="009E15F1"/>
    <w:rsid w:val="009E1972"/>
    <w:rsid w:val="009E1B70"/>
    <w:rsid w:val="009E4679"/>
    <w:rsid w:val="009E636A"/>
    <w:rsid w:val="009E66EE"/>
    <w:rsid w:val="009F0FD6"/>
    <w:rsid w:val="009F2EDE"/>
    <w:rsid w:val="009F55FD"/>
    <w:rsid w:val="009F71F0"/>
    <w:rsid w:val="009F7B64"/>
    <w:rsid w:val="00A000DB"/>
    <w:rsid w:val="00A01CEA"/>
    <w:rsid w:val="00A0283E"/>
    <w:rsid w:val="00A0663E"/>
    <w:rsid w:val="00A1136B"/>
    <w:rsid w:val="00A146A2"/>
    <w:rsid w:val="00A1512A"/>
    <w:rsid w:val="00A15313"/>
    <w:rsid w:val="00A156D2"/>
    <w:rsid w:val="00A203A1"/>
    <w:rsid w:val="00A2374C"/>
    <w:rsid w:val="00A24E0A"/>
    <w:rsid w:val="00A24F96"/>
    <w:rsid w:val="00A30054"/>
    <w:rsid w:val="00A31380"/>
    <w:rsid w:val="00A328A3"/>
    <w:rsid w:val="00A34213"/>
    <w:rsid w:val="00A35D1A"/>
    <w:rsid w:val="00A36BC2"/>
    <w:rsid w:val="00A376E3"/>
    <w:rsid w:val="00A4155D"/>
    <w:rsid w:val="00A45DD7"/>
    <w:rsid w:val="00A46ADB"/>
    <w:rsid w:val="00A500C6"/>
    <w:rsid w:val="00A50F91"/>
    <w:rsid w:val="00A524C3"/>
    <w:rsid w:val="00A55119"/>
    <w:rsid w:val="00A56E85"/>
    <w:rsid w:val="00A56F87"/>
    <w:rsid w:val="00A5708C"/>
    <w:rsid w:val="00A62390"/>
    <w:rsid w:val="00A67607"/>
    <w:rsid w:val="00A67D58"/>
    <w:rsid w:val="00A71293"/>
    <w:rsid w:val="00A7241C"/>
    <w:rsid w:val="00A72B20"/>
    <w:rsid w:val="00A74DDD"/>
    <w:rsid w:val="00A80061"/>
    <w:rsid w:val="00A915DC"/>
    <w:rsid w:val="00A9443B"/>
    <w:rsid w:val="00A976FA"/>
    <w:rsid w:val="00AA3AA9"/>
    <w:rsid w:val="00AA6D22"/>
    <w:rsid w:val="00AB05B9"/>
    <w:rsid w:val="00AB463C"/>
    <w:rsid w:val="00AB5ECB"/>
    <w:rsid w:val="00AB60A2"/>
    <w:rsid w:val="00AC009B"/>
    <w:rsid w:val="00AC2A63"/>
    <w:rsid w:val="00AC626B"/>
    <w:rsid w:val="00AC6A84"/>
    <w:rsid w:val="00AD10F3"/>
    <w:rsid w:val="00AD2338"/>
    <w:rsid w:val="00AD4861"/>
    <w:rsid w:val="00AD49CF"/>
    <w:rsid w:val="00AD7E6E"/>
    <w:rsid w:val="00AE0CE1"/>
    <w:rsid w:val="00AE0E97"/>
    <w:rsid w:val="00AE2AA6"/>
    <w:rsid w:val="00AE5E3A"/>
    <w:rsid w:val="00AE6C32"/>
    <w:rsid w:val="00AE7620"/>
    <w:rsid w:val="00AE7867"/>
    <w:rsid w:val="00AE7BD0"/>
    <w:rsid w:val="00AF004E"/>
    <w:rsid w:val="00AF1603"/>
    <w:rsid w:val="00AF1D12"/>
    <w:rsid w:val="00AF5B3D"/>
    <w:rsid w:val="00AF7382"/>
    <w:rsid w:val="00B00981"/>
    <w:rsid w:val="00B018F6"/>
    <w:rsid w:val="00B03850"/>
    <w:rsid w:val="00B114FA"/>
    <w:rsid w:val="00B13773"/>
    <w:rsid w:val="00B168A2"/>
    <w:rsid w:val="00B1725B"/>
    <w:rsid w:val="00B17527"/>
    <w:rsid w:val="00B26396"/>
    <w:rsid w:val="00B30A94"/>
    <w:rsid w:val="00B317E8"/>
    <w:rsid w:val="00B3273D"/>
    <w:rsid w:val="00B33938"/>
    <w:rsid w:val="00B33B91"/>
    <w:rsid w:val="00B33D30"/>
    <w:rsid w:val="00B3478C"/>
    <w:rsid w:val="00B370A4"/>
    <w:rsid w:val="00B37275"/>
    <w:rsid w:val="00B372FB"/>
    <w:rsid w:val="00B41811"/>
    <w:rsid w:val="00B42672"/>
    <w:rsid w:val="00B4279E"/>
    <w:rsid w:val="00B42EAF"/>
    <w:rsid w:val="00B430DE"/>
    <w:rsid w:val="00B4590C"/>
    <w:rsid w:val="00B46E01"/>
    <w:rsid w:val="00B47780"/>
    <w:rsid w:val="00B47801"/>
    <w:rsid w:val="00B574E9"/>
    <w:rsid w:val="00B63FEE"/>
    <w:rsid w:val="00B66E8A"/>
    <w:rsid w:val="00B67535"/>
    <w:rsid w:val="00B713D7"/>
    <w:rsid w:val="00B718B4"/>
    <w:rsid w:val="00B7292B"/>
    <w:rsid w:val="00B74C56"/>
    <w:rsid w:val="00B772B0"/>
    <w:rsid w:val="00B77B46"/>
    <w:rsid w:val="00B77BF9"/>
    <w:rsid w:val="00B812E8"/>
    <w:rsid w:val="00B841C3"/>
    <w:rsid w:val="00B84E48"/>
    <w:rsid w:val="00B911C0"/>
    <w:rsid w:val="00B91816"/>
    <w:rsid w:val="00B92DF1"/>
    <w:rsid w:val="00B933CD"/>
    <w:rsid w:val="00B960FC"/>
    <w:rsid w:val="00B9625B"/>
    <w:rsid w:val="00B96BFF"/>
    <w:rsid w:val="00BA0409"/>
    <w:rsid w:val="00BA0997"/>
    <w:rsid w:val="00BA16CA"/>
    <w:rsid w:val="00BA34E8"/>
    <w:rsid w:val="00BA5CF1"/>
    <w:rsid w:val="00BA677F"/>
    <w:rsid w:val="00BC0233"/>
    <w:rsid w:val="00BC137E"/>
    <w:rsid w:val="00BC2A36"/>
    <w:rsid w:val="00BC4A51"/>
    <w:rsid w:val="00BC5851"/>
    <w:rsid w:val="00BC669B"/>
    <w:rsid w:val="00BC77F0"/>
    <w:rsid w:val="00BD049F"/>
    <w:rsid w:val="00BD2A06"/>
    <w:rsid w:val="00BD6699"/>
    <w:rsid w:val="00BD743E"/>
    <w:rsid w:val="00BE12AC"/>
    <w:rsid w:val="00BE2E0E"/>
    <w:rsid w:val="00BE3058"/>
    <w:rsid w:val="00BE56A1"/>
    <w:rsid w:val="00BE70CF"/>
    <w:rsid w:val="00BE7861"/>
    <w:rsid w:val="00BF0F90"/>
    <w:rsid w:val="00BF12B0"/>
    <w:rsid w:val="00BF12CD"/>
    <w:rsid w:val="00BF6C58"/>
    <w:rsid w:val="00BF6CC5"/>
    <w:rsid w:val="00BF706C"/>
    <w:rsid w:val="00BF76A8"/>
    <w:rsid w:val="00C00921"/>
    <w:rsid w:val="00C0193F"/>
    <w:rsid w:val="00C03829"/>
    <w:rsid w:val="00C0469E"/>
    <w:rsid w:val="00C05F06"/>
    <w:rsid w:val="00C10D06"/>
    <w:rsid w:val="00C10E5E"/>
    <w:rsid w:val="00C11CDA"/>
    <w:rsid w:val="00C11DFD"/>
    <w:rsid w:val="00C11E9B"/>
    <w:rsid w:val="00C12234"/>
    <w:rsid w:val="00C1373E"/>
    <w:rsid w:val="00C1451B"/>
    <w:rsid w:val="00C15BA2"/>
    <w:rsid w:val="00C15FFE"/>
    <w:rsid w:val="00C21C19"/>
    <w:rsid w:val="00C237E8"/>
    <w:rsid w:val="00C26367"/>
    <w:rsid w:val="00C31AEE"/>
    <w:rsid w:val="00C32526"/>
    <w:rsid w:val="00C34D6E"/>
    <w:rsid w:val="00C35DAB"/>
    <w:rsid w:val="00C417A1"/>
    <w:rsid w:val="00C43EF7"/>
    <w:rsid w:val="00C448DA"/>
    <w:rsid w:val="00C455ED"/>
    <w:rsid w:val="00C46A46"/>
    <w:rsid w:val="00C47758"/>
    <w:rsid w:val="00C5094D"/>
    <w:rsid w:val="00C51BAF"/>
    <w:rsid w:val="00C51E87"/>
    <w:rsid w:val="00C5323A"/>
    <w:rsid w:val="00C552C9"/>
    <w:rsid w:val="00C57384"/>
    <w:rsid w:val="00C57593"/>
    <w:rsid w:val="00C612C6"/>
    <w:rsid w:val="00C626A2"/>
    <w:rsid w:val="00C62E8F"/>
    <w:rsid w:val="00C65126"/>
    <w:rsid w:val="00C71D7A"/>
    <w:rsid w:val="00C741E4"/>
    <w:rsid w:val="00C75807"/>
    <w:rsid w:val="00C83151"/>
    <w:rsid w:val="00C83384"/>
    <w:rsid w:val="00C93857"/>
    <w:rsid w:val="00C93D56"/>
    <w:rsid w:val="00C94C08"/>
    <w:rsid w:val="00C96E3E"/>
    <w:rsid w:val="00C97B2D"/>
    <w:rsid w:val="00C97D54"/>
    <w:rsid w:val="00CA5261"/>
    <w:rsid w:val="00CA7BDA"/>
    <w:rsid w:val="00CC01E0"/>
    <w:rsid w:val="00CC60CD"/>
    <w:rsid w:val="00CC70D7"/>
    <w:rsid w:val="00CD0D51"/>
    <w:rsid w:val="00CD2035"/>
    <w:rsid w:val="00CD40DE"/>
    <w:rsid w:val="00CD58D2"/>
    <w:rsid w:val="00CE38EE"/>
    <w:rsid w:val="00CE6E56"/>
    <w:rsid w:val="00CF0E20"/>
    <w:rsid w:val="00CF7F83"/>
    <w:rsid w:val="00D0008D"/>
    <w:rsid w:val="00D02FB2"/>
    <w:rsid w:val="00D032C7"/>
    <w:rsid w:val="00D04317"/>
    <w:rsid w:val="00D07AC5"/>
    <w:rsid w:val="00D1024C"/>
    <w:rsid w:val="00D1216F"/>
    <w:rsid w:val="00D12568"/>
    <w:rsid w:val="00D160BC"/>
    <w:rsid w:val="00D170F7"/>
    <w:rsid w:val="00D204FC"/>
    <w:rsid w:val="00D220D6"/>
    <w:rsid w:val="00D227A5"/>
    <w:rsid w:val="00D23837"/>
    <w:rsid w:val="00D3135E"/>
    <w:rsid w:val="00D32747"/>
    <w:rsid w:val="00D329E3"/>
    <w:rsid w:val="00D33B04"/>
    <w:rsid w:val="00D359D7"/>
    <w:rsid w:val="00D41717"/>
    <w:rsid w:val="00D43529"/>
    <w:rsid w:val="00D447B3"/>
    <w:rsid w:val="00D536B3"/>
    <w:rsid w:val="00D564C2"/>
    <w:rsid w:val="00D567A7"/>
    <w:rsid w:val="00D571BE"/>
    <w:rsid w:val="00D61A2F"/>
    <w:rsid w:val="00D6326A"/>
    <w:rsid w:val="00D63433"/>
    <w:rsid w:val="00D639C9"/>
    <w:rsid w:val="00D646D7"/>
    <w:rsid w:val="00D65176"/>
    <w:rsid w:val="00D653C5"/>
    <w:rsid w:val="00D66990"/>
    <w:rsid w:val="00D70AF0"/>
    <w:rsid w:val="00D70D91"/>
    <w:rsid w:val="00D82F46"/>
    <w:rsid w:val="00D83ADB"/>
    <w:rsid w:val="00D87100"/>
    <w:rsid w:val="00D900FE"/>
    <w:rsid w:val="00D90C23"/>
    <w:rsid w:val="00D95A92"/>
    <w:rsid w:val="00DA086A"/>
    <w:rsid w:val="00DA2CC0"/>
    <w:rsid w:val="00DA3161"/>
    <w:rsid w:val="00DA3DF5"/>
    <w:rsid w:val="00DA4CE3"/>
    <w:rsid w:val="00DA4FB0"/>
    <w:rsid w:val="00DA5F3F"/>
    <w:rsid w:val="00DB1575"/>
    <w:rsid w:val="00DB3201"/>
    <w:rsid w:val="00DB684C"/>
    <w:rsid w:val="00DC020F"/>
    <w:rsid w:val="00DC02B6"/>
    <w:rsid w:val="00DC4781"/>
    <w:rsid w:val="00DC4A3E"/>
    <w:rsid w:val="00DD10C1"/>
    <w:rsid w:val="00DD7376"/>
    <w:rsid w:val="00DE5CC9"/>
    <w:rsid w:val="00DF14A0"/>
    <w:rsid w:val="00DF1FB7"/>
    <w:rsid w:val="00DF236A"/>
    <w:rsid w:val="00DF3BB8"/>
    <w:rsid w:val="00E01D34"/>
    <w:rsid w:val="00E021C0"/>
    <w:rsid w:val="00E051D7"/>
    <w:rsid w:val="00E0549B"/>
    <w:rsid w:val="00E10195"/>
    <w:rsid w:val="00E1232C"/>
    <w:rsid w:val="00E12F77"/>
    <w:rsid w:val="00E13A0C"/>
    <w:rsid w:val="00E13E1D"/>
    <w:rsid w:val="00E1512D"/>
    <w:rsid w:val="00E21FEB"/>
    <w:rsid w:val="00E220F8"/>
    <w:rsid w:val="00E23F95"/>
    <w:rsid w:val="00E2423D"/>
    <w:rsid w:val="00E322A2"/>
    <w:rsid w:val="00E36F3E"/>
    <w:rsid w:val="00E378B7"/>
    <w:rsid w:val="00E37D4A"/>
    <w:rsid w:val="00E42D42"/>
    <w:rsid w:val="00E43125"/>
    <w:rsid w:val="00E438B6"/>
    <w:rsid w:val="00E43D81"/>
    <w:rsid w:val="00E44453"/>
    <w:rsid w:val="00E50082"/>
    <w:rsid w:val="00E5158E"/>
    <w:rsid w:val="00E52782"/>
    <w:rsid w:val="00E53F09"/>
    <w:rsid w:val="00E53F99"/>
    <w:rsid w:val="00E550BB"/>
    <w:rsid w:val="00E65BB4"/>
    <w:rsid w:val="00E65D4F"/>
    <w:rsid w:val="00E67410"/>
    <w:rsid w:val="00E708E6"/>
    <w:rsid w:val="00E710E3"/>
    <w:rsid w:val="00E80E59"/>
    <w:rsid w:val="00E8167B"/>
    <w:rsid w:val="00E84F3E"/>
    <w:rsid w:val="00E878A4"/>
    <w:rsid w:val="00E97181"/>
    <w:rsid w:val="00EA3476"/>
    <w:rsid w:val="00EA4D0C"/>
    <w:rsid w:val="00EA50E7"/>
    <w:rsid w:val="00EA755D"/>
    <w:rsid w:val="00EB1370"/>
    <w:rsid w:val="00EB1BA3"/>
    <w:rsid w:val="00EB247C"/>
    <w:rsid w:val="00EB39BA"/>
    <w:rsid w:val="00EB47F7"/>
    <w:rsid w:val="00EB62EA"/>
    <w:rsid w:val="00EB7D00"/>
    <w:rsid w:val="00EC26D0"/>
    <w:rsid w:val="00EC26F2"/>
    <w:rsid w:val="00EC3654"/>
    <w:rsid w:val="00EC3B53"/>
    <w:rsid w:val="00ED2BCF"/>
    <w:rsid w:val="00ED362A"/>
    <w:rsid w:val="00ED5BE8"/>
    <w:rsid w:val="00ED5DE5"/>
    <w:rsid w:val="00ED6148"/>
    <w:rsid w:val="00ED7005"/>
    <w:rsid w:val="00EE40CF"/>
    <w:rsid w:val="00EE5CFB"/>
    <w:rsid w:val="00EF2E24"/>
    <w:rsid w:val="00EF504C"/>
    <w:rsid w:val="00EF6015"/>
    <w:rsid w:val="00F004F8"/>
    <w:rsid w:val="00F0172A"/>
    <w:rsid w:val="00F01C61"/>
    <w:rsid w:val="00F02092"/>
    <w:rsid w:val="00F03A80"/>
    <w:rsid w:val="00F03F2E"/>
    <w:rsid w:val="00F05462"/>
    <w:rsid w:val="00F0618F"/>
    <w:rsid w:val="00F10135"/>
    <w:rsid w:val="00F11D18"/>
    <w:rsid w:val="00F1596A"/>
    <w:rsid w:val="00F225DA"/>
    <w:rsid w:val="00F2324C"/>
    <w:rsid w:val="00F25C34"/>
    <w:rsid w:val="00F263E2"/>
    <w:rsid w:val="00F2791A"/>
    <w:rsid w:val="00F356C8"/>
    <w:rsid w:val="00F3694F"/>
    <w:rsid w:val="00F4032F"/>
    <w:rsid w:val="00F409C1"/>
    <w:rsid w:val="00F45ADE"/>
    <w:rsid w:val="00F54E4D"/>
    <w:rsid w:val="00F569D2"/>
    <w:rsid w:val="00F64D98"/>
    <w:rsid w:val="00F67037"/>
    <w:rsid w:val="00F675DC"/>
    <w:rsid w:val="00F709F1"/>
    <w:rsid w:val="00F71055"/>
    <w:rsid w:val="00F71240"/>
    <w:rsid w:val="00F743DB"/>
    <w:rsid w:val="00F76882"/>
    <w:rsid w:val="00F76BE1"/>
    <w:rsid w:val="00F77A6D"/>
    <w:rsid w:val="00F816B7"/>
    <w:rsid w:val="00F826A0"/>
    <w:rsid w:val="00F85719"/>
    <w:rsid w:val="00F93F92"/>
    <w:rsid w:val="00F94563"/>
    <w:rsid w:val="00FA18E5"/>
    <w:rsid w:val="00FA1ADF"/>
    <w:rsid w:val="00FA1E6C"/>
    <w:rsid w:val="00FA3617"/>
    <w:rsid w:val="00FA3961"/>
    <w:rsid w:val="00FA3EB6"/>
    <w:rsid w:val="00FA5F31"/>
    <w:rsid w:val="00FA7945"/>
    <w:rsid w:val="00FB468F"/>
    <w:rsid w:val="00FB5BFD"/>
    <w:rsid w:val="00FC076C"/>
    <w:rsid w:val="00FC0B8E"/>
    <w:rsid w:val="00FC10C2"/>
    <w:rsid w:val="00FC261A"/>
    <w:rsid w:val="00FC269B"/>
    <w:rsid w:val="00FC3C37"/>
    <w:rsid w:val="00FC5AE8"/>
    <w:rsid w:val="00FC5EE1"/>
    <w:rsid w:val="00FC677F"/>
    <w:rsid w:val="00FC6BD7"/>
    <w:rsid w:val="00FC6F8A"/>
    <w:rsid w:val="00FD2131"/>
    <w:rsid w:val="00FD2A26"/>
    <w:rsid w:val="00FD2FE2"/>
    <w:rsid w:val="00FD42E3"/>
    <w:rsid w:val="00FD4A08"/>
    <w:rsid w:val="00FD4BB3"/>
    <w:rsid w:val="00FD6A39"/>
    <w:rsid w:val="00FD763D"/>
    <w:rsid w:val="00FE032B"/>
    <w:rsid w:val="00FE0B02"/>
    <w:rsid w:val="00FE2627"/>
    <w:rsid w:val="00FE3D1A"/>
    <w:rsid w:val="00FE4A4F"/>
    <w:rsid w:val="00FE735D"/>
    <w:rsid w:val="00FF20EB"/>
    <w:rsid w:val="00FF302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1ED5B04"/>
  <w15:chartTrackingRefBased/>
  <w15:docId w15:val="{BFCDB451-7B0F-4881-8796-6EB92572C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2708B"/>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2708B"/>
  </w:style>
  <w:style w:type="paragraph" w:styleId="Header">
    <w:name w:val="header"/>
    <w:basedOn w:val="Normal"/>
    <w:rsid w:val="0052708B"/>
    <w:pPr>
      <w:tabs>
        <w:tab w:val="center" w:pos="4320"/>
        <w:tab w:val="right" w:pos="8640"/>
      </w:tabs>
    </w:pPr>
  </w:style>
  <w:style w:type="paragraph" w:styleId="FootnoteText">
    <w:name w:val="footnote text"/>
    <w:basedOn w:val="Normal"/>
    <w:semiHidden/>
    <w:rsid w:val="0052708B"/>
    <w:rPr>
      <w:sz w:val="24"/>
    </w:rPr>
  </w:style>
  <w:style w:type="character" w:styleId="PageNumber">
    <w:name w:val="page number"/>
    <w:basedOn w:val="DefaultParagraphFont"/>
    <w:rsid w:val="0052708B"/>
  </w:style>
  <w:style w:type="character" w:styleId="CommentReference">
    <w:name w:val="annotation reference"/>
    <w:semiHidden/>
    <w:rsid w:val="0052708B"/>
    <w:rPr>
      <w:sz w:val="16"/>
      <w:szCs w:val="16"/>
    </w:rPr>
  </w:style>
  <w:style w:type="paragraph" w:styleId="CommentText">
    <w:name w:val="annotation text"/>
    <w:basedOn w:val="Normal"/>
    <w:semiHidden/>
    <w:rsid w:val="0052708B"/>
    <w:rPr>
      <w:szCs w:val="20"/>
    </w:rPr>
  </w:style>
  <w:style w:type="paragraph" w:styleId="CommentSubject">
    <w:name w:val="annotation subject"/>
    <w:basedOn w:val="CommentText"/>
    <w:next w:val="CommentText"/>
    <w:semiHidden/>
    <w:rsid w:val="0052708B"/>
    <w:rPr>
      <w:b/>
      <w:bCs/>
    </w:rPr>
  </w:style>
  <w:style w:type="paragraph" w:styleId="BalloonText">
    <w:name w:val="Balloon Text"/>
    <w:basedOn w:val="Normal"/>
    <w:semiHidden/>
    <w:rsid w:val="0052708B"/>
    <w:rPr>
      <w:rFonts w:ascii="Tahoma" w:hAnsi="Tahoma" w:cs="Tahoma"/>
      <w:sz w:val="16"/>
      <w:szCs w:val="16"/>
    </w:rPr>
  </w:style>
  <w:style w:type="paragraph" w:customStyle="1" w:styleId="block1">
    <w:name w:val="block1"/>
    <w:basedOn w:val="Normal"/>
    <w:rsid w:val="0004517F"/>
    <w:pPr>
      <w:widowControl/>
      <w:autoSpaceDE/>
      <w:autoSpaceDN/>
      <w:adjustRightInd/>
      <w:spacing w:before="100" w:beforeAutospacing="1" w:after="100" w:afterAutospacing="1"/>
    </w:pPr>
    <w:rPr>
      <w:sz w:val="24"/>
    </w:rPr>
  </w:style>
  <w:style w:type="paragraph" w:styleId="Footer">
    <w:name w:val="footer"/>
    <w:basedOn w:val="Normal"/>
    <w:link w:val="FooterChar"/>
    <w:uiPriority w:val="99"/>
    <w:rsid w:val="00E97181"/>
    <w:pPr>
      <w:tabs>
        <w:tab w:val="center" w:pos="4320"/>
        <w:tab w:val="right" w:pos="8640"/>
      </w:tabs>
    </w:pPr>
  </w:style>
  <w:style w:type="paragraph" w:styleId="NormalWeb">
    <w:name w:val="Normal (Web)"/>
    <w:basedOn w:val="Normal"/>
    <w:rsid w:val="00D70D91"/>
    <w:pPr>
      <w:widowControl/>
      <w:autoSpaceDE/>
      <w:autoSpaceDN/>
      <w:adjustRightInd/>
      <w:spacing w:before="100" w:beforeAutospacing="1" w:after="100" w:afterAutospacing="1"/>
    </w:pPr>
    <w:rPr>
      <w:sz w:val="24"/>
    </w:rPr>
  </w:style>
  <w:style w:type="character" w:customStyle="1" w:styleId="FooterChar">
    <w:name w:val="Footer Char"/>
    <w:link w:val="Footer"/>
    <w:uiPriority w:val="99"/>
    <w:rsid w:val="001B04C9"/>
    <w:rPr>
      <w:szCs w:val="24"/>
      <w:lang w:val="en-US" w:eastAsia="en-US" w:bidi="ar-SA"/>
    </w:rPr>
  </w:style>
  <w:style w:type="paragraph" w:styleId="HTMLPreformatted">
    <w:name w:val="HTML Preformatted"/>
    <w:basedOn w:val="Normal"/>
    <w:rsid w:val="00BA5C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character" w:styleId="Hyperlink">
    <w:name w:val="Hyperlink"/>
    <w:rsid w:val="00BA5CF1"/>
    <w:rPr>
      <w:color w:val="0000FF"/>
      <w:u w:val="single"/>
    </w:rPr>
  </w:style>
  <w:style w:type="paragraph" w:styleId="PlainText">
    <w:name w:val="Plain Text"/>
    <w:basedOn w:val="Normal"/>
    <w:rsid w:val="00002BE8"/>
    <w:pPr>
      <w:widowControl/>
      <w:autoSpaceDE/>
      <w:autoSpaceDN/>
      <w:adjustRightInd/>
    </w:pPr>
    <w:rPr>
      <w:rFonts w:ascii="Courier New" w:hAnsi="Courier New" w:cs="Courier New"/>
      <w:szCs w:val="20"/>
    </w:rPr>
  </w:style>
  <w:style w:type="paragraph" w:styleId="BodyText">
    <w:name w:val="Body Text"/>
    <w:basedOn w:val="Normal"/>
    <w:rsid w:val="00BF76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color w:val="99CC00"/>
      <w:sz w:val="24"/>
    </w:rPr>
  </w:style>
  <w:style w:type="paragraph" w:styleId="BodyTextIndent">
    <w:name w:val="Body Text Indent"/>
    <w:basedOn w:val="Normal"/>
    <w:rsid w:val="0076368D"/>
    <w:pPr>
      <w:spacing w:after="120"/>
      <w:ind w:left="360"/>
    </w:pPr>
  </w:style>
  <w:style w:type="paragraph" w:styleId="ListParagraph">
    <w:name w:val="List Paragraph"/>
    <w:basedOn w:val="Normal"/>
    <w:uiPriority w:val="34"/>
    <w:qFormat/>
    <w:rsid w:val="00FA1ADF"/>
    <w:pPr>
      <w:ind w:left="720"/>
    </w:pPr>
  </w:style>
  <w:style w:type="character" w:styleId="FollowedHyperlink">
    <w:name w:val="FollowedHyperlink"/>
    <w:rsid w:val="00387B63"/>
    <w:rPr>
      <w:color w:val="954F72"/>
      <w:u w:val="single"/>
    </w:rPr>
  </w:style>
  <w:style w:type="paragraph" w:customStyle="1" w:styleId="Default">
    <w:name w:val="Default"/>
    <w:rsid w:val="002461D6"/>
    <w:pPr>
      <w:autoSpaceDE w:val="0"/>
      <w:autoSpaceDN w:val="0"/>
      <w:adjustRightInd w:val="0"/>
    </w:pPr>
    <w:rPr>
      <w:rFonts w:ascii="Verdana" w:hAnsi="Verdana" w:cs="Verdana"/>
      <w:color w:val="000000"/>
      <w:sz w:val="24"/>
      <w:szCs w:val="24"/>
    </w:rPr>
  </w:style>
  <w:style w:type="paragraph" w:styleId="Revision">
    <w:name w:val="Revision"/>
    <w:hidden/>
    <w:uiPriority w:val="99"/>
    <w:semiHidden/>
    <w:rsid w:val="003A6D51"/>
    <w:rPr>
      <w:szCs w:val="24"/>
    </w:rPr>
  </w:style>
  <w:style w:type="character" w:styleId="UnresolvedMention">
    <w:name w:val="Unresolved Mention"/>
    <w:basedOn w:val="DefaultParagraphFont"/>
    <w:uiPriority w:val="99"/>
    <w:semiHidden/>
    <w:unhideWhenUsed/>
    <w:rsid w:val="00C34D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osha.gov/dts/otpcal/variances/indes.html)" TargetMode="External" /><Relationship Id="rId11" Type="http://schemas.openxmlformats.org/officeDocument/2006/relationships/hyperlink" Target="https://www.bls.gov/oes/tables.htm" TargetMode="External" /><Relationship Id="rId12" Type="http://schemas.openxmlformats.org/officeDocument/2006/relationships/hyperlink" Target="https://www.bls.gov/news.release/pdf/ecec.pdf" TargetMode="Externa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www.osha.gov/dts/otpca/variances/index.html"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opm.gov/policy-data-oversight/pay-leave/salaries-wages/2024/general-schedul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3dedaff-eb47-4bf3-b3c8-279fcd8f3680" xsi:nil="true"/>
    <lcf76f155ced4ddcb4097134ff3c332f xmlns="82412fa9-9002-478a-bf1c-b2bfb6f199a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776F1631EB9148A1FC399841FA8523" ma:contentTypeVersion="14" ma:contentTypeDescription="Create a new document." ma:contentTypeScope="" ma:versionID="4b7ddb60d187a80d5b4605a832342773">
  <xsd:schema xmlns:xsd="http://www.w3.org/2001/XMLSchema" xmlns:xs="http://www.w3.org/2001/XMLSchema" xmlns:p="http://schemas.microsoft.com/office/2006/metadata/properties" xmlns:ns2="82412fa9-9002-478a-bf1c-b2bfb6f199a0" xmlns:ns3="03dedaff-eb47-4bf3-b3c8-279fcd8f3680" targetNamespace="http://schemas.microsoft.com/office/2006/metadata/properties" ma:root="true" ma:fieldsID="fb480dff2d464653bceda027bf8d905b" ns2:_="" ns3:_="">
    <xsd:import namespace="82412fa9-9002-478a-bf1c-b2bfb6f199a0"/>
    <xsd:import namespace="03dedaff-eb47-4bf3-b3c8-279fcd8f36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12fa9-9002-478a-bf1c-b2bfb6f199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dedaff-eb47-4bf3-b3c8-279fcd8f36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e96640c-b52e-4cbd-bbd2-093461486b15}" ma:internalName="TaxCatchAll" ma:showField="CatchAllData" ma:web="03dedaff-eb47-4bf3-b3c8-279fcd8f36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2A01A-8F27-4B42-9CC2-CFD1151307AF}">
  <ds:schemaRefs>
    <ds:schemaRef ds:uri="http://schemas.microsoft.com/sharepoint/v3/contenttype/forms"/>
  </ds:schemaRefs>
</ds:datastoreItem>
</file>

<file path=customXml/itemProps2.xml><?xml version="1.0" encoding="utf-8"?>
<ds:datastoreItem xmlns:ds="http://schemas.openxmlformats.org/officeDocument/2006/customXml" ds:itemID="{4564FCA4-2250-43E8-96AF-1B424999BFF3}">
  <ds:schemaRefs>
    <ds:schemaRef ds:uri="http://schemas.microsoft.com/office/2006/metadata/properties"/>
    <ds:schemaRef ds:uri="http://schemas.microsoft.com/office/infopath/2007/PartnerControls"/>
    <ds:schemaRef ds:uri="03dedaff-eb47-4bf3-b3c8-279fcd8f3680"/>
    <ds:schemaRef ds:uri="82412fa9-9002-478a-bf1c-b2bfb6f199a0"/>
  </ds:schemaRefs>
</ds:datastoreItem>
</file>

<file path=customXml/itemProps3.xml><?xml version="1.0" encoding="utf-8"?>
<ds:datastoreItem xmlns:ds="http://schemas.openxmlformats.org/officeDocument/2006/customXml" ds:itemID="{0C0F5BBE-21FA-4455-A8FA-5882EBBD5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412fa9-9002-478a-bf1c-b2bfb6f199a0"/>
    <ds:schemaRef ds:uri="03dedaff-eb47-4bf3-b3c8-279fcd8f3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04BF35-5B20-4742-B7C1-32D53A143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20</Pages>
  <Words>6250</Words>
  <Characters>35625</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SUPPORTING STATEMENT FOR THE</vt:lpstr>
    </vt:vector>
  </TitlesOfParts>
  <Company>OSHA</Company>
  <LinksUpToDate>false</LinksUpToDate>
  <CharactersWithSpaces>41792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THE</dc:title>
  <dc:creator>KFrodyma</dc:creator>
  <cp:lastModifiedBy>Cannon, Belinda - OSHA</cp:lastModifiedBy>
  <cp:revision>4</cp:revision>
  <cp:lastPrinted>2014-07-23T17:11:00Z</cp:lastPrinted>
  <dcterms:created xsi:type="dcterms:W3CDTF">2025-01-10T23:16:00Z</dcterms:created>
  <dcterms:modified xsi:type="dcterms:W3CDTF">2025-01-10T23:28:00Z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0x010100D6776F1631EB9148A1FC399841FA8523</vt:lpwstr>
  </property>
  <property fmtid="{D5CDD505-2E9C-101B-9397-08002B2CF9AE}" pid="3" name="GrammarlyDocumentId">
    <vt:lpwstr>4d77a15ad72c67e8b985354fec4f1120c91abc4bbc5bc4de53b7c1582b215619</vt:lpwstr>
  </property>
  <property fmtid="{D5CDD505-2E9C-101B-9397-08002B2CF9AE}" pid="4" name="MediaServiceImageTags">
    <vt:lpwstr/>
  </property>
</Properties>
</file>