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369D" w:rsidRPr="009000F0" w:rsidP="00423875" w14:paraId="0FCBCF1B" w14:textId="77777777">
      <w:pPr>
        <w:pStyle w:val="Default"/>
        <w:jc w:val="center"/>
        <w:rPr>
          <w:rFonts w:ascii="Times New Roman" w:hAnsi="Times New Roman" w:cs="Times New Roman"/>
          <w:b/>
          <w:bCs/>
          <w:color w:val="auto"/>
        </w:rPr>
      </w:pPr>
      <w:r w:rsidRPr="009000F0">
        <w:rPr>
          <w:rFonts w:ascii="Times New Roman" w:hAnsi="Times New Roman" w:cs="Times New Roman"/>
          <w:b/>
          <w:bCs/>
          <w:color w:val="auto"/>
        </w:rPr>
        <w:t>Supporting Statement</w:t>
      </w:r>
      <w:r w:rsidRPr="009000F0" w:rsidR="007B5AC1">
        <w:rPr>
          <w:rFonts w:ascii="Times New Roman" w:hAnsi="Times New Roman" w:cs="Times New Roman"/>
          <w:b/>
          <w:bCs/>
          <w:color w:val="auto"/>
        </w:rPr>
        <w:t xml:space="preserve"> </w:t>
      </w:r>
      <w:r w:rsidRPr="009000F0">
        <w:rPr>
          <w:rFonts w:ascii="Times New Roman" w:hAnsi="Times New Roman" w:cs="Times New Roman"/>
          <w:b/>
          <w:bCs/>
          <w:color w:val="auto"/>
        </w:rPr>
        <w:t xml:space="preserve">for </w:t>
      </w:r>
    </w:p>
    <w:p w:rsidR="008D369D" w:rsidRPr="009000F0" w:rsidP="00423875" w14:paraId="18D504B8" w14:textId="77777777">
      <w:pPr>
        <w:pStyle w:val="Default"/>
        <w:jc w:val="center"/>
        <w:rPr>
          <w:rFonts w:ascii="Times New Roman" w:hAnsi="Times New Roman" w:cs="Times New Roman"/>
          <w:b/>
          <w:bCs/>
          <w:color w:val="auto"/>
        </w:rPr>
      </w:pPr>
      <w:r w:rsidRPr="009000F0">
        <w:rPr>
          <w:rFonts w:ascii="Times New Roman" w:hAnsi="Times New Roman" w:cs="Times New Roman"/>
          <w:b/>
          <w:bCs/>
          <w:color w:val="auto"/>
        </w:rPr>
        <w:t xml:space="preserve">Records of </w:t>
      </w:r>
      <w:r w:rsidRPr="009000F0">
        <w:rPr>
          <w:rFonts w:ascii="Times New Roman" w:hAnsi="Times New Roman" w:cs="Times New Roman"/>
          <w:b/>
          <w:bCs/>
          <w:color w:val="auto"/>
        </w:rPr>
        <w:t>Preshift</w:t>
      </w:r>
      <w:r w:rsidRPr="009000F0">
        <w:rPr>
          <w:rFonts w:ascii="Times New Roman" w:hAnsi="Times New Roman" w:cs="Times New Roman"/>
          <w:b/>
          <w:bCs/>
          <w:color w:val="auto"/>
        </w:rPr>
        <w:t xml:space="preserve"> and </w:t>
      </w:r>
      <w:r w:rsidRPr="009000F0">
        <w:rPr>
          <w:rFonts w:ascii="Times New Roman" w:hAnsi="Times New Roman" w:cs="Times New Roman"/>
          <w:b/>
          <w:bCs/>
          <w:color w:val="auto"/>
        </w:rPr>
        <w:t>Onshift</w:t>
      </w:r>
      <w:r w:rsidRPr="009000F0">
        <w:rPr>
          <w:rFonts w:ascii="Times New Roman" w:hAnsi="Times New Roman" w:cs="Times New Roman"/>
          <w:b/>
          <w:bCs/>
          <w:color w:val="auto"/>
        </w:rPr>
        <w:t xml:space="preserve"> Inspections of Slope and Shaft Areas at Coal Mines </w:t>
      </w:r>
    </w:p>
    <w:p w:rsidR="00030F18" w:rsidRPr="009000F0" w:rsidP="00423875" w14:paraId="3F22CC61" w14:textId="77777777">
      <w:pPr>
        <w:pStyle w:val="Default"/>
        <w:jc w:val="center"/>
        <w:rPr>
          <w:rFonts w:ascii="Times New Roman" w:hAnsi="Times New Roman" w:cs="Times New Roman"/>
          <w:b/>
          <w:bCs/>
          <w:color w:val="auto"/>
        </w:rPr>
      </w:pPr>
      <w:r w:rsidRPr="009000F0">
        <w:rPr>
          <w:rFonts w:ascii="Times New Roman" w:hAnsi="Times New Roman" w:cs="Times New Roman"/>
          <w:b/>
          <w:bCs/>
          <w:color w:val="auto"/>
        </w:rPr>
        <w:t>Paperwork Reduction Act</w:t>
      </w:r>
      <w:r w:rsidRPr="009000F0" w:rsidR="00E549BE">
        <w:rPr>
          <w:rFonts w:ascii="Times New Roman" w:hAnsi="Times New Roman" w:cs="Times New Roman"/>
          <w:b/>
          <w:bCs/>
          <w:color w:val="auto"/>
        </w:rPr>
        <w:t xml:space="preserve"> Submission</w:t>
      </w:r>
    </w:p>
    <w:p w:rsidR="006B2F84" w:rsidRPr="009000F0" w:rsidP="006B2F84" w14:paraId="35076E4B" w14:textId="77777777">
      <w:pPr>
        <w:pStyle w:val="Default"/>
        <w:jc w:val="center"/>
        <w:rPr>
          <w:rFonts w:ascii="Times New Roman" w:hAnsi="Times New Roman" w:cs="Times New Roman"/>
          <w:color w:val="auto"/>
        </w:rPr>
      </w:pPr>
    </w:p>
    <w:p w:rsidR="007B5AC1" w:rsidRPr="009000F0" w:rsidP="007B5AC1" w14:paraId="791F10E7"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This </w:t>
      </w:r>
      <w:r w:rsidRPr="009000F0" w:rsidR="00AD6EA0">
        <w:rPr>
          <w:rFonts w:ascii="Times New Roman" w:hAnsi="Times New Roman" w:cs="Times New Roman"/>
          <w:color w:val="auto"/>
        </w:rPr>
        <w:t>i</w:t>
      </w:r>
      <w:r w:rsidRPr="009000F0">
        <w:rPr>
          <w:rFonts w:ascii="Times New Roman" w:hAnsi="Times New Roman" w:cs="Times New Roman"/>
          <w:color w:val="auto"/>
        </w:rPr>
        <w:t xml:space="preserve">nformation </w:t>
      </w:r>
      <w:r w:rsidRPr="009000F0" w:rsidR="00AD6EA0">
        <w:rPr>
          <w:rFonts w:ascii="Times New Roman" w:hAnsi="Times New Roman" w:cs="Times New Roman"/>
          <w:color w:val="auto"/>
        </w:rPr>
        <w:t>c</w:t>
      </w:r>
      <w:r w:rsidRPr="009000F0">
        <w:rPr>
          <w:rFonts w:ascii="Times New Roman" w:hAnsi="Times New Roman" w:cs="Times New Roman"/>
          <w:color w:val="auto"/>
        </w:rPr>
        <w:t xml:space="preserve">ollection </w:t>
      </w:r>
      <w:r w:rsidRPr="009000F0" w:rsidR="00AD6EA0">
        <w:rPr>
          <w:rFonts w:ascii="Times New Roman" w:hAnsi="Times New Roman" w:cs="Times New Roman"/>
          <w:color w:val="auto"/>
        </w:rPr>
        <w:t>r</w:t>
      </w:r>
      <w:r w:rsidRPr="009000F0">
        <w:rPr>
          <w:rFonts w:ascii="Times New Roman" w:hAnsi="Times New Roman" w:cs="Times New Roman"/>
          <w:color w:val="auto"/>
        </w:rPr>
        <w:t>equest (ICR) seeks to extend, without change, a currently approved information collection.</w:t>
      </w:r>
    </w:p>
    <w:p w:rsidR="007B5AC1" w:rsidRPr="009000F0" w:rsidP="001720AE" w14:paraId="37D87012" w14:textId="77777777">
      <w:pPr>
        <w:pStyle w:val="Default"/>
        <w:rPr>
          <w:rFonts w:ascii="Times New Roman" w:hAnsi="Times New Roman" w:cs="Times New Roman"/>
          <w:b/>
          <w:color w:val="auto"/>
        </w:rPr>
      </w:pPr>
    </w:p>
    <w:p w:rsidR="007B5AC1" w:rsidRPr="009000F0" w:rsidP="001720AE" w14:paraId="055029A6" w14:textId="77777777">
      <w:pPr>
        <w:pStyle w:val="Default"/>
        <w:rPr>
          <w:rFonts w:ascii="Times New Roman" w:hAnsi="Times New Roman" w:cs="Times New Roman"/>
          <w:bCs/>
          <w:color w:val="auto"/>
          <w:u w:val="single"/>
        </w:rPr>
      </w:pPr>
      <w:r w:rsidRPr="009000F0">
        <w:rPr>
          <w:rFonts w:ascii="Times New Roman" w:hAnsi="Times New Roman" w:cs="Times New Roman"/>
          <w:b/>
          <w:color w:val="auto"/>
          <w:u w:val="single"/>
        </w:rPr>
        <w:t>OMB Control Number</w:t>
      </w:r>
      <w:r w:rsidRPr="009000F0">
        <w:rPr>
          <w:rFonts w:ascii="Times New Roman" w:hAnsi="Times New Roman" w:cs="Times New Roman"/>
          <w:b/>
          <w:color w:val="auto"/>
        </w:rPr>
        <w:t xml:space="preserve">: </w:t>
      </w:r>
      <w:r w:rsidRPr="009000F0">
        <w:rPr>
          <w:rFonts w:ascii="Times New Roman" w:hAnsi="Times New Roman" w:cs="Times New Roman"/>
          <w:bCs/>
          <w:color w:val="auto"/>
        </w:rPr>
        <w:t>1219-0082</w:t>
      </w:r>
    </w:p>
    <w:p w:rsidR="007B5AC1" w:rsidRPr="009000F0" w:rsidP="001720AE" w14:paraId="6F5A873D" w14:textId="77777777">
      <w:pPr>
        <w:pStyle w:val="Default"/>
        <w:rPr>
          <w:rFonts w:ascii="Times New Roman" w:hAnsi="Times New Roman" w:cs="Times New Roman"/>
          <w:b/>
          <w:color w:val="auto"/>
        </w:rPr>
      </w:pPr>
    </w:p>
    <w:p w:rsidR="00423875" w:rsidRPr="009000F0" w:rsidP="001720AE" w14:paraId="7F03295D" w14:textId="77777777">
      <w:pPr>
        <w:pStyle w:val="Default"/>
        <w:rPr>
          <w:rFonts w:ascii="Times New Roman" w:hAnsi="Times New Roman" w:cs="Times New Roman"/>
          <w:color w:val="auto"/>
        </w:rPr>
      </w:pPr>
      <w:r w:rsidRPr="009000F0">
        <w:rPr>
          <w:rFonts w:ascii="Times New Roman" w:hAnsi="Times New Roman" w:cs="Times New Roman"/>
          <w:b/>
          <w:color w:val="auto"/>
          <w:u w:val="single"/>
        </w:rPr>
        <w:t xml:space="preserve">Information Collection </w:t>
      </w:r>
      <w:r w:rsidRPr="009000F0" w:rsidR="007B5AC1">
        <w:rPr>
          <w:rFonts w:ascii="Times New Roman" w:hAnsi="Times New Roman" w:cs="Times New Roman"/>
          <w:b/>
          <w:color w:val="auto"/>
          <w:u w:val="single"/>
        </w:rPr>
        <w:t xml:space="preserve">Request </w:t>
      </w:r>
      <w:r w:rsidRPr="009000F0">
        <w:rPr>
          <w:rFonts w:ascii="Times New Roman" w:hAnsi="Times New Roman" w:cs="Times New Roman"/>
          <w:b/>
          <w:color w:val="auto"/>
          <w:u w:val="single"/>
        </w:rPr>
        <w:t>Title</w:t>
      </w:r>
      <w:r w:rsidRPr="009000F0">
        <w:rPr>
          <w:rFonts w:ascii="Times New Roman" w:hAnsi="Times New Roman" w:cs="Times New Roman"/>
          <w:color w:val="auto"/>
        </w:rPr>
        <w:t xml:space="preserve">: </w:t>
      </w:r>
      <w:bookmarkStart w:id="0" w:name="_Hlk177979968"/>
      <w:r w:rsidRPr="009000F0" w:rsidR="00356917">
        <w:rPr>
          <w:rFonts w:ascii="Times New Roman" w:hAnsi="Times New Roman" w:cs="Times New Roman"/>
          <w:color w:val="auto"/>
        </w:rPr>
        <w:t xml:space="preserve">Records of </w:t>
      </w:r>
      <w:bookmarkEnd w:id="0"/>
      <w:r w:rsidRPr="009000F0" w:rsidR="00356917">
        <w:rPr>
          <w:rFonts w:ascii="Times New Roman" w:hAnsi="Times New Roman" w:cs="Times New Roman"/>
          <w:color w:val="auto"/>
        </w:rPr>
        <w:t>Preshift</w:t>
      </w:r>
      <w:r w:rsidRPr="009000F0" w:rsidR="00356917">
        <w:rPr>
          <w:rFonts w:ascii="Times New Roman" w:hAnsi="Times New Roman" w:cs="Times New Roman"/>
          <w:color w:val="auto"/>
        </w:rPr>
        <w:t xml:space="preserve"> and </w:t>
      </w:r>
      <w:r w:rsidRPr="009000F0" w:rsidR="00356917">
        <w:rPr>
          <w:rFonts w:ascii="Times New Roman" w:hAnsi="Times New Roman" w:cs="Times New Roman"/>
          <w:color w:val="auto"/>
        </w:rPr>
        <w:t>Onshift</w:t>
      </w:r>
      <w:r w:rsidRPr="009000F0" w:rsidR="00356917">
        <w:rPr>
          <w:rFonts w:ascii="Times New Roman" w:hAnsi="Times New Roman" w:cs="Times New Roman"/>
          <w:color w:val="auto"/>
        </w:rPr>
        <w:t xml:space="preserve"> Inspections of Slope and Shaft Areas at Coal Mines</w:t>
      </w:r>
    </w:p>
    <w:p w:rsidR="00D65D66" w:rsidRPr="009000F0" w:rsidP="001720AE" w14:paraId="3756DEE1" w14:textId="77777777">
      <w:pPr>
        <w:pStyle w:val="Default"/>
        <w:rPr>
          <w:rFonts w:ascii="Times New Roman" w:hAnsi="Times New Roman" w:cs="Times New Roman"/>
          <w:color w:val="auto"/>
        </w:rPr>
      </w:pPr>
    </w:p>
    <w:p w:rsidR="00D65D66" w:rsidRPr="009000F0" w:rsidP="001720AE" w14:paraId="1AB12E97" w14:textId="77777777">
      <w:pPr>
        <w:pStyle w:val="Default"/>
        <w:rPr>
          <w:rFonts w:ascii="Times New Roman" w:hAnsi="Times New Roman" w:cs="Times New Roman"/>
          <w:color w:val="auto"/>
        </w:rPr>
      </w:pPr>
      <w:bookmarkStart w:id="1" w:name="_Hlk154046896"/>
      <w:r w:rsidRPr="009000F0">
        <w:rPr>
          <w:rFonts w:ascii="Times New Roman" w:hAnsi="Times New Roman" w:cs="Times New Roman"/>
          <w:b/>
          <w:bCs/>
          <w:color w:val="auto"/>
          <w:u w:val="single"/>
        </w:rPr>
        <w:t xml:space="preserve">Type of </w:t>
      </w:r>
      <w:r w:rsidR="0027300D">
        <w:rPr>
          <w:rFonts w:ascii="Times New Roman" w:hAnsi="Times New Roman" w:cs="Times New Roman"/>
          <w:b/>
          <w:bCs/>
          <w:color w:val="auto"/>
          <w:u w:val="single"/>
        </w:rPr>
        <w:t xml:space="preserve">OMB </w:t>
      </w:r>
      <w:r w:rsidRPr="009000F0">
        <w:rPr>
          <w:rFonts w:ascii="Times New Roman" w:hAnsi="Times New Roman" w:cs="Times New Roman"/>
          <w:b/>
          <w:bCs/>
          <w:color w:val="auto"/>
          <w:u w:val="single"/>
        </w:rPr>
        <w:t>Review</w:t>
      </w:r>
      <w:r w:rsidRPr="009000F0">
        <w:rPr>
          <w:rFonts w:ascii="Times New Roman" w:hAnsi="Times New Roman" w:cs="Times New Roman"/>
          <w:b/>
          <w:bCs/>
          <w:color w:val="auto"/>
        </w:rPr>
        <w:t>:</w:t>
      </w:r>
      <w:r w:rsidRPr="009000F0">
        <w:rPr>
          <w:rFonts w:ascii="Times New Roman" w:hAnsi="Times New Roman" w:cs="Times New Roman"/>
          <w:color w:val="auto"/>
        </w:rPr>
        <w:t xml:space="preserve"> Extension</w:t>
      </w:r>
    </w:p>
    <w:bookmarkEnd w:id="1"/>
    <w:p w:rsidR="00F40E8F" w:rsidRPr="009000F0" w:rsidP="006B2F84" w14:paraId="1A5509F6" w14:textId="77777777">
      <w:pPr>
        <w:pStyle w:val="Default"/>
        <w:jc w:val="center"/>
        <w:rPr>
          <w:rFonts w:ascii="Times New Roman" w:hAnsi="Times New Roman" w:cs="Times New Roman"/>
          <w:color w:val="auto"/>
        </w:rPr>
      </w:pPr>
    </w:p>
    <w:p w:rsidR="007B5AC1" w:rsidP="00423875" w14:paraId="4B6BD132" w14:textId="77777777">
      <w:pPr>
        <w:pStyle w:val="Default"/>
        <w:rPr>
          <w:rFonts w:ascii="Times New Roman" w:hAnsi="Times New Roman" w:cs="Times New Roman"/>
          <w:b/>
          <w:color w:val="auto"/>
          <w:u w:val="single"/>
        </w:rPr>
      </w:pPr>
      <w:r w:rsidRPr="009000F0">
        <w:rPr>
          <w:rFonts w:ascii="Times New Roman" w:hAnsi="Times New Roman" w:cs="Times New Roman"/>
          <w:b/>
          <w:color w:val="auto"/>
          <w:u w:val="single"/>
        </w:rPr>
        <w:t>Authority:</w:t>
      </w:r>
    </w:p>
    <w:p w:rsidR="009000F0" w:rsidP="00423875" w14:paraId="0245592A" w14:textId="77777777">
      <w:pPr>
        <w:pStyle w:val="Default"/>
        <w:rPr>
          <w:rFonts w:ascii="Times New Roman" w:hAnsi="Times New Roman" w:cs="Times New Roman"/>
          <w:bCs/>
          <w:color w:val="auto"/>
        </w:rPr>
      </w:pPr>
      <w:r w:rsidRPr="00BB52BB">
        <w:rPr>
          <w:rFonts w:ascii="Times New Roman" w:hAnsi="Times New Roman" w:cs="Times New Roman"/>
          <w:bCs/>
          <w:color w:val="auto"/>
        </w:rPr>
        <w:t>Part 77 – Mandatory Safety Standards, Surface Coal Mines and Surface Work Areas of Underground Coal Mines</w:t>
      </w:r>
    </w:p>
    <w:p w:rsidR="00BB52BB" w:rsidRPr="00BB52BB" w:rsidP="00423875" w14:paraId="397A463F" w14:textId="77777777">
      <w:pPr>
        <w:pStyle w:val="Default"/>
        <w:rPr>
          <w:rFonts w:ascii="Times New Roman" w:hAnsi="Times New Roman" w:cs="Times New Roman"/>
          <w:bCs/>
          <w:color w:val="auto"/>
        </w:rPr>
      </w:pPr>
      <w:r w:rsidRPr="00BB52BB">
        <w:rPr>
          <w:rFonts w:ascii="Times New Roman" w:hAnsi="Times New Roman" w:cs="Times New Roman"/>
          <w:bCs/>
          <w:color w:val="auto"/>
        </w:rPr>
        <w:t>Subpart T</w:t>
      </w:r>
      <w:r>
        <w:rPr>
          <w:rFonts w:ascii="Times New Roman" w:hAnsi="Times New Roman" w:cs="Times New Roman"/>
          <w:bCs/>
          <w:color w:val="auto"/>
        </w:rPr>
        <w:t xml:space="preserve"> </w:t>
      </w:r>
      <w:r w:rsidRPr="00BB52BB">
        <w:rPr>
          <w:rFonts w:ascii="Times New Roman" w:hAnsi="Times New Roman" w:cs="Times New Roman"/>
          <w:bCs/>
          <w:color w:val="auto"/>
        </w:rPr>
        <w:t>Slope and Shaft Sinking</w:t>
      </w:r>
    </w:p>
    <w:p w:rsidR="00030F18" w:rsidRPr="009000F0" w:rsidP="009000F0" w14:paraId="22E5BC40"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30 CFR </w:t>
      </w:r>
      <w:r w:rsidRPr="009000F0">
        <w:rPr>
          <w:rFonts w:ascii="Times New Roman" w:hAnsi="Times New Roman" w:cs="Times New Roman"/>
          <w:color w:val="auto"/>
        </w:rPr>
        <w:t xml:space="preserve">77.1901 </w:t>
      </w:r>
      <w:r w:rsidR="008D369D">
        <w:rPr>
          <w:rFonts w:ascii="Times New Roman" w:hAnsi="Times New Roman" w:cs="Times New Roman"/>
          <w:color w:val="auto"/>
        </w:rPr>
        <w:t xml:space="preserve">– </w:t>
      </w:r>
      <w:r w:rsidRPr="009000F0" w:rsidR="00C00C11">
        <w:rPr>
          <w:rFonts w:ascii="Times New Roman" w:hAnsi="Times New Roman" w:cs="Times New Roman"/>
          <w:color w:val="auto"/>
        </w:rPr>
        <w:t>P</w:t>
      </w:r>
      <w:r w:rsidRPr="009000F0" w:rsidR="00423875">
        <w:rPr>
          <w:rFonts w:ascii="Times New Roman" w:hAnsi="Times New Roman" w:cs="Times New Roman"/>
          <w:color w:val="auto"/>
        </w:rPr>
        <w:t>reshift</w:t>
      </w:r>
      <w:r w:rsidRPr="009000F0" w:rsidR="00423875">
        <w:rPr>
          <w:rFonts w:ascii="Times New Roman" w:hAnsi="Times New Roman" w:cs="Times New Roman"/>
          <w:color w:val="auto"/>
        </w:rPr>
        <w:t xml:space="preserve"> and </w:t>
      </w:r>
      <w:r w:rsidRPr="009000F0" w:rsidR="00423875">
        <w:rPr>
          <w:rFonts w:ascii="Times New Roman" w:hAnsi="Times New Roman" w:cs="Times New Roman"/>
          <w:color w:val="auto"/>
        </w:rPr>
        <w:t>onshift</w:t>
      </w:r>
      <w:r w:rsidRPr="009000F0" w:rsidR="00423875">
        <w:rPr>
          <w:rFonts w:ascii="Times New Roman" w:hAnsi="Times New Roman" w:cs="Times New Roman"/>
          <w:color w:val="auto"/>
        </w:rPr>
        <w:t xml:space="preserve"> i</w:t>
      </w:r>
      <w:r w:rsidRPr="009000F0">
        <w:rPr>
          <w:rFonts w:ascii="Times New Roman" w:hAnsi="Times New Roman" w:cs="Times New Roman"/>
          <w:color w:val="auto"/>
        </w:rPr>
        <w:t>nspections</w:t>
      </w:r>
      <w:r w:rsidRPr="009000F0" w:rsidR="00423875">
        <w:rPr>
          <w:rFonts w:ascii="Times New Roman" w:hAnsi="Times New Roman" w:cs="Times New Roman"/>
          <w:color w:val="auto"/>
        </w:rPr>
        <w:t>; reports.</w:t>
      </w:r>
    </w:p>
    <w:p w:rsidR="001C4935" w:rsidRPr="009000F0" w:rsidP="00423875" w14:paraId="6273BA2A" w14:textId="77777777">
      <w:pPr>
        <w:pStyle w:val="Default"/>
        <w:rPr>
          <w:rFonts w:ascii="Times New Roman" w:hAnsi="Times New Roman" w:cs="Times New Roman"/>
          <w:color w:val="auto"/>
        </w:rPr>
      </w:pPr>
    </w:p>
    <w:p w:rsidR="007B5AC1" w:rsidRPr="009000F0" w:rsidP="007B5AC1" w14:paraId="0CB9D213" w14:textId="77777777">
      <w:pPr>
        <w:pStyle w:val="Default"/>
        <w:rPr>
          <w:rFonts w:ascii="Times New Roman" w:hAnsi="Times New Roman" w:cs="Times New Roman"/>
          <w:b/>
          <w:i/>
          <w:caps/>
          <w:color w:val="auto"/>
        </w:rPr>
      </w:pPr>
      <w:r w:rsidRPr="009000F0">
        <w:rPr>
          <w:rFonts w:ascii="Times New Roman" w:hAnsi="Times New Roman" w:cs="Times New Roman"/>
          <w:b/>
          <w:color w:val="auto"/>
          <w:u w:val="single"/>
        </w:rPr>
        <w:t>Collection Instrument(s)</w:t>
      </w:r>
      <w:r w:rsidRPr="009000F0">
        <w:rPr>
          <w:rFonts w:ascii="Times New Roman" w:hAnsi="Times New Roman" w:cs="Times New Roman"/>
          <w:b/>
          <w:color w:val="auto"/>
        </w:rPr>
        <w:t>:</w:t>
      </w:r>
      <w:r w:rsidRPr="009000F0">
        <w:rPr>
          <w:rFonts w:ascii="Times New Roman" w:hAnsi="Times New Roman" w:cs="Times New Roman"/>
          <w:color w:val="auto"/>
        </w:rPr>
        <w:t xml:space="preserve"> None </w:t>
      </w:r>
    </w:p>
    <w:p w:rsidR="00DD5441" w:rsidRPr="009000F0" w14:paraId="4FBCDD32" w14:textId="77777777">
      <w:pPr>
        <w:pStyle w:val="Default"/>
        <w:rPr>
          <w:rFonts w:ascii="Times New Roman" w:hAnsi="Times New Roman" w:cs="Times New Roman"/>
          <w:color w:val="auto"/>
        </w:rPr>
      </w:pPr>
    </w:p>
    <w:p w:rsidR="00F40E8F" w:rsidRPr="009000F0" w:rsidP="00F40E8F" w14:paraId="1B7EAD25" w14:textId="77777777">
      <w:pPr>
        <w:pStyle w:val="Default"/>
        <w:rPr>
          <w:rFonts w:ascii="Times New Roman" w:hAnsi="Times New Roman" w:cs="Times New Roman"/>
          <w:b/>
          <w:bCs/>
          <w:color w:val="auto"/>
        </w:rPr>
      </w:pPr>
      <w:r w:rsidRPr="009000F0">
        <w:rPr>
          <w:rFonts w:ascii="Times New Roman" w:hAnsi="Times New Roman" w:cs="Times New Roman"/>
          <w:b/>
          <w:bCs/>
          <w:color w:val="auto"/>
        </w:rPr>
        <w:t>General Instructions</w:t>
      </w:r>
    </w:p>
    <w:p w:rsidR="00F40E8F" w:rsidRPr="009000F0" w:rsidP="00F40E8F" w14:paraId="65C52015" w14:textId="77777777">
      <w:pPr>
        <w:pStyle w:val="Default"/>
        <w:rPr>
          <w:rFonts w:ascii="Times New Roman" w:hAnsi="Times New Roman" w:cs="Times New Roman"/>
          <w:b/>
          <w:bCs/>
          <w:color w:val="auto"/>
        </w:rPr>
      </w:pPr>
    </w:p>
    <w:p w:rsidR="00F40E8F" w:rsidRPr="009000F0" w:rsidP="00F40E8F" w14:paraId="566CB5F2" w14:textId="77777777">
      <w:pPr>
        <w:pStyle w:val="Default"/>
        <w:rPr>
          <w:rFonts w:ascii="Times New Roman" w:hAnsi="Times New Roman" w:cs="Times New Roman"/>
          <w:b/>
          <w:bCs/>
          <w:color w:val="auto"/>
        </w:rPr>
      </w:pPr>
      <w:r w:rsidRPr="009000F0">
        <w:rPr>
          <w:rFonts w:ascii="Times New Roman" w:hAnsi="Times New Roman" w:cs="Times New Roman"/>
          <w:b/>
          <w:bCs/>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9000F0">
        <w:rPr>
          <w:rFonts w:ascii="Times New Roman" w:hAnsi="Times New Roman" w:cs="Times New Roman"/>
          <w:b/>
          <w:bCs/>
          <w:color w:val="auto"/>
        </w:rPr>
        <w:t>below, and</w:t>
      </w:r>
      <w:r w:rsidRPr="009000F0">
        <w:rPr>
          <w:rFonts w:ascii="Times New Roman" w:hAnsi="Times New Roman" w:cs="Times New Roman"/>
          <w:b/>
          <w:bCs/>
          <w:color w:val="auto"/>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F40E8F" w:rsidRPr="009000F0" w:rsidP="00F40E8F" w14:paraId="238CE978" w14:textId="77777777">
      <w:pPr>
        <w:pStyle w:val="Default"/>
        <w:rPr>
          <w:rFonts w:ascii="Times New Roman" w:hAnsi="Times New Roman" w:cs="Times New Roman"/>
          <w:b/>
          <w:bCs/>
          <w:color w:val="auto"/>
        </w:rPr>
      </w:pPr>
    </w:p>
    <w:p w:rsidR="00F40E8F" w:rsidRPr="009000F0" w:rsidP="00F40E8F" w14:paraId="6FE5714A" w14:textId="77777777">
      <w:pPr>
        <w:pStyle w:val="Default"/>
        <w:rPr>
          <w:rFonts w:ascii="Times New Roman" w:hAnsi="Times New Roman" w:cs="Times New Roman"/>
          <w:b/>
          <w:bCs/>
          <w:color w:val="auto"/>
        </w:rPr>
      </w:pPr>
      <w:r w:rsidRPr="009000F0">
        <w:rPr>
          <w:rFonts w:ascii="Times New Roman" w:hAnsi="Times New Roman" w:cs="Times New Roman"/>
          <w:b/>
          <w:bCs/>
          <w:color w:val="auto"/>
        </w:rPr>
        <w:t>Specific Instructions</w:t>
      </w:r>
    </w:p>
    <w:p w:rsidR="00F40E8F" w:rsidRPr="009000F0" w:rsidP="00F40E8F" w14:paraId="503815C6" w14:textId="77777777">
      <w:pPr>
        <w:pStyle w:val="Default"/>
        <w:rPr>
          <w:rFonts w:ascii="Times New Roman" w:hAnsi="Times New Roman" w:cs="Times New Roman"/>
          <w:b/>
          <w:bCs/>
          <w:color w:val="auto"/>
        </w:rPr>
      </w:pPr>
    </w:p>
    <w:p w:rsidR="00030F18" w:rsidRPr="00226886" w:rsidP="00F40E8F" w14:paraId="12A82A5E" w14:textId="77777777">
      <w:pPr>
        <w:pStyle w:val="Default"/>
        <w:rPr>
          <w:rFonts w:ascii="Times New Roman" w:hAnsi="Times New Roman" w:cs="Times New Roman"/>
          <w:color w:val="auto"/>
        </w:rPr>
      </w:pPr>
      <w:r w:rsidRPr="00226886">
        <w:rPr>
          <w:rFonts w:ascii="Times New Roman" w:hAnsi="Times New Roman" w:cs="Times New Roman"/>
          <w:b/>
          <w:bCs/>
          <w:color w:val="auto"/>
        </w:rPr>
        <w:t>A</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Justification</w:t>
      </w:r>
      <w:r w:rsidRPr="00226886">
        <w:rPr>
          <w:rFonts w:ascii="Times New Roman" w:hAnsi="Times New Roman" w:cs="Times New Roman"/>
          <w:color w:val="auto"/>
        </w:rPr>
        <w:t xml:space="preserve"> </w:t>
      </w:r>
    </w:p>
    <w:p w:rsidR="00030F18" w:rsidRPr="00226886" w14:paraId="586E1F08"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CB6AAC" w:rsidRPr="00226886" w:rsidP="00CB6AAC" w14:paraId="13A9494E" w14:textId="77777777">
      <w:pPr>
        <w:rPr>
          <w:b/>
        </w:rPr>
      </w:pPr>
      <w:r w:rsidRPr="00226886">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30F18" w:rsidRPr="00226886" w14:paraId="606DEF2E"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193608" w14:paraId="747D9A3D" w14:textId="77777777">
      <w:pPr>
        <w:pStyle w:val="Default"/>
        <w:rPr>
          <w:rFonts w:ascii="Times New Roman" w:hAnsi="Times New Roman" w:cs="Times New Roman"/>
          <w:color w:val="auto"/>
        </w:rPr>
      </w:pPr>
      <w:r w:rsidRPr="00226886">
        <w:rPr>
          <w:rFonts w:ascii="Times New Roman" w:hAnsi="Times New Roman" w:cs="Times New Roman"/>
          <w:color w:val="auto"/>
        </w:rPr>
        <w:t>Section 103(h) of the Federal Mine Safety and Health Act of 1977 (Mine Act)</w:t>
      </w:r>
      <w:r w:rsidRPr="00226886" w:rsidR="007B5AC1">
        <w:rPr>
          <w:rFonts w:ascii="Times New Roman" w:hAnsi="Times New Roman" w:cs="Times New Roman"/>
          <w:color w:val="auto"/>
        </w:rPr>
        <w:t xml:space="preserve"> as amended</w:t>
      </w:r>
      <w:r w:rsidRPr="00226886">
        <w:rPr>
          <w:rFonts w:ascii="Times New Roman" w:hAnsi="Times New Roman" w:cs="Times New Roman"/>
          <w:color w:val="auto"/>
        </w:rPr>
        <w:t xml:space="preserve">, 30 U.S.C. 813(h), authorizes the Mine Safety and Health Administration (MSHA) to collect </w:t>
      </w:r>
      <w:r w:rsidRPr="00226886">
        <w:rPr>
          <w:rFonts w:ascii="Times New Roman" w:hAnsi="Times New Roman" w:cs="Times New Roman"/>
          <w:color w:val="auto"/>
        </w:rPr>
        <w:t xml:space="preserve">information necessary to carry out its duty in protecting the safety and health of miners. Further, </w:t>
      </w:r>
      <w:r w:rsidRPr="00226886" w:rsidR="00DD5441">
        <w:rPr>
          <w:rFonts w:ascii="Times New Roman" w:hAnsi="Times New Roman" w:cs="Times New Roman"/>
          <w:color w:val="auto"/>
        </w:rPr>
        <w:t>s</w:t>
      </w:r>
      <w:r w:rsidRPr="00226886">
        <w:rPr>
          <w:rFonts w:ascii="Times New Roman" w:hAnsi="Times New Roman" w:cs="Times New Roman"/>
          <w:color w:val="auto"/>
        </w:rPr>
        <w:t>ection 101(a) of the Mine Act, 30 U.S.C. 811</w:t>
      </w:r>
      <w:r w:rsidRPr="00226886" w:rsidR="007B5AC1">
        <w:rPr>
          <w:rFonts w:ascii="Times New Roman" w:hAnsi="Times New Roman" w:cs="Times New Roman"/>
          <w:color w:val="auto"/>
        </w:rPr>
        <w:t>(a)</w:t>
      </w:r>
      <w:r w:rsidRPr="00226886" w:rsidR="00DD5441">
        <w:rPr>
          <w:rFonts w:ascii="Times New Roman" w:hAnsi="Times New Roman" w:cs="Times New Roman"/>
          <w:color w:val="auto"/>
        </w:rPr>
        <w:t>,</w:t>
      </w:r>
      <w:r w:rsidRPr="00226886">
        <w:rPr>
          <w:rFonts w:ascii="Times New Roman" w:hAnsi="Times New Roman" w:cs="Times New Roman"/>
          <w:color w:val="auto"/>
        </w:rPr>
        <w:t xml:space="preserve"> authorizes the Secretary </w:t>
      </w:r>
      <w:r w:rsidRPr="00226886" w:rsidR="00DD5441">
        <w:rPr>
          <w:rFonts w:ascii="Times New Roman" w:hAnsi="Times New Roman" w:cs="Times New Roman"/>
          <w:color w:val="auto"/>
        </w:rPr>
        <w:t xml:space="preserve">of Labor </w:t>
      </w:r>
      <w:r w:rsidRPr="00226886" w:rsidR="00D65D66">
        <w:rPr>
          <w:rFonts w:ascii="Times New Roman" w:hAnsi="Times New Roman" w:cs="Times New Roman"/>
          <w:color w:val="auto"/>
        </w:rPr>
        <w:t xml:space="preserve">(Secretary) </w:t>
      </w:r>
      <w:r w:rsidRPr="00226886">
        <w:rPr>
          <w:rFonts w:ascii="Times New Roman" w:hAnsi="Times New Roman" w:cs="Times New Roman"/>
          <w:color w:val="auto"/>
        </w:rPr>
        <w:t>to develop, promulgate, and revise as may be appropriate, improved mandatory health or safety standards for the protection of life and prevention of injuries in coal</w:t>
      </w:r>
      <w:r w:rsidRPr="00226886" w:rsidR="00E549BE">
        <w:rPr>
          <w:rFonts w:ascii="Times New Roman" w:hAnsi="Times New Roman" w:cs="Times New Roman"/>
          <w:color w:val="auto"/>
        </w:rPr>
        <w:t>,</w:t>
      </w:r>
      <w:r w:rsidRPr="00226886">
        <w:rPr>
          <w:rFonts w:ascii="Times New Roman" w:hAnsi="Times New Roman" w:cs="Times New Roman"/>
          <w:color w:val="auto"/>
        </w:rPr>
        <w:t xml:space="preserve"> metal and nonmetal mines</w:t>
      </w:r>
      <w:r w:rsidR="008D369D">
        <w:rPr>
          <w:rFonts w:ascii="Times New Roman" w:hAnsi="Times New Roman" w:cs="Times New Roman"/>
          <w:color w:val="auto"/>
        </w:rPr>
        <w:t xml:space="preserve">. </w:t>
      </w:r>
    </w:p>
    <w:p w:rsidR="00193608" w14:paraId="119310E5" w14:textId="77777777">
      <w:pPr>
        <w:pStyle w:val="Default"/>
        <w:rPr>
          <w:rFonts w:ascii="Times New Roman" w:hAnsi="Times New Roman" w:cs="Times New Roman"/>
          <w:color w:val="auto"/>
        </w:rPr>
      </w:pPr>
    </w:p>
    <w:p w:rsidR="009000F0" w14:paraId="51FBE90C"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In order to fulfill the statutory mandates to promote miners’ health and safety, MSHA requires the collection of information </w:t>
      </w:r>
      <w:r w:rsidR="00193608">
        <w:rPr>
          <w:rFonts w:ascii="Times New Roman" w:hAnsi="Times New Roman" w:cs="Times New Roman"/>
          <w:color w:val="auto"/>
        </w:rPr>
        <w:t>under the information collection request entitled</w:t>
      </w:r>
      <w:r w:rsidRPr="009000F0">
        <w:rPr>
          <w:rFonts w:ascii="Times New Roman" w:hAnsi="Times New Roman" w:cs="Times New Roman"/>
          <w:color w:val="auto"/>
        </w:rPr>
        <w:t xml:space="preserve"> </w:t>
      </w:r>
      <w:r w:rsidRPr="009000F0" w:rsidR="00CB4278">
        <w:rPr>
          <w:rFonts w:ascii="Times New Roman" w:hAnsi="Times New Roman" w:cs="Times New Roman"/>
          <w:color w:val="auto"/>
        </w:rPr>
        <w:t xml:space="preserve">Records of </w:t>
      </w:r>
      <w:r w:rsidRPr="00AF7B0B" w:rsidR="00AF7B0B">
        <w:rPr>
          <w:rFonts w:ascii="Times New Roman" w:hAnsi="Times New Roman" w:cs="Times New Roman"/>
          <w:color w:val="auto"/>
        </w:rPr>
        <w:t>Preshift</w:t>
      </w:r>
      <w:r w:rsidRPr="00AF7B0B" w:rsidR="00AF7B0B">
        <w:rPr>
          <w:rFonts w:ascii="Times New Roman" w:hAnsi="Times New Roman" w:cs="Times New Roman"/>
          <w:color w:val="auto"/>
        </w:rPr>
        <w:t xml:space="preserve"> and </w:t>
      </w:r>
      <w:r w:rsidRPr="00AF7B0B" w:rsidR="00AF7B0B">
        <w:rPr>
          <w:rFonts w:ascii="Times New Roman" w:hAnsi="Times New Roman" w:cs="Times New Roman"/>
          <w:color w:val="auto"/>
        </w:rPr>
        <w:t>Onshift</w:t>
      </w:r>
      <w:r w:rsidRPr="00AF7B0B" w:rsidR="00AF7B0B">
        <w:rPr>
          <w:rFonts w:ascii="Times New Roman" w:hAnsi="Times New Roman" w:cs="Times New Roman"/>
          <w:color w:val="auto"/>
        </w:rPr>
        <w:t xml:space="preserve"> Inspections of Slope and Shaft Areas at Coal Mines</w:t>
      </w:r>
      <w:r w:rsidRPr="009000F0">
        <w:rPr>
          <w:rFonts w:ascii="Times New Roman" w:hAnsi="Times New Roman" w:cs="Times New Roman"/>
          <w:color w:val="auto"/>
        </w:rPr>
        <w:t xml:space="preserve">. The information collection is intended to </w:t>
      </w:r>
      <w:r w:rsidRPr="00193608" w:rsidR="00193608">
        <w:rPr>
          <w:rFonts w:ascii="Times New Roman" w:hAnsi="Times New Roman" w:cs="Times New Roman"/>
          <w:color w:val="auto"/>
        </w:rPr>
        <w:t>assist slope and shaft supervisors and employees, State mine inspectors, and Federal mine inspectors in making decisions that will ultimately affect the safety and health of slope and shaft sinking employees based on the records that show the examinations and tests that were conducted</w:t>
      </w:r>
      <w:r w:rsidRPr="009000F0">
        <w:rPr>
          <w:rFonts w:ascii="Times New Roman" w:hAnsi="Times New Roman" w:cs="Times New Roman"/>
          <w:color w:val="auto"/>
        </w:rPr>
        <w:t xml:space="preserve">.  </w:t>
      </w:r>
    </w:p>
    <w:p w:rsidR="009000F0" w14:paraId="4828529E" w14:textId="77777777">
      <w:pPr>
        <w:pStyle w:val="Default"/>
        <w:rPr>
          <w:rFonts w:ascii="Times New Roman" w:hAnsi="Times New Roman" w:cs="Times New Roman"/>
          <w:color w:val="auto"/>
        </w:rPr>
      </w:pPr>
    </w:p>
    <w:p w:rsidR="008D369D" w14:paraId="4DF64865" w14:textId="77777777">
      <w:pPr>
        <w:pStyle w:val="Default"/>
        <w:rPr>
          <w:rFonts w:ascii="Times New Roman" w:hAnsi="Times New Roman" w:cs="Times New Roman"/>
          <w:color w:val="auto"/>
        </w:rPr>
      </w:pPr>
      <w:bookmarkStart w:id="2" w:name="_Hlk177979990"/>
      <w:r w:rsidRPr="003A289D">
        <w:rPr>
          <w:rFonts w:ascii="Times New Roman" w:hAnsi="Times New Roman" w:cs="Times New Roman"/>
          <w:color w:val="auto"/>
        </w:rPr>
        <w:t xml:space="preserve">The working environment is typically a confined area in close proximity to moving equipment. </w:t>
      </w:r>
      <w:r w:rsidRPr="00226886" w:rsidR="00030F18">
        <w:rPr>
          <w:rFonts w:ascii="Times New Roman" w:hAnsi="Times New Roman" w:cs="Times New Roman"/>
          <w:color w:val="auto"/>
        </w:rPr>
        <w:t>The sinking of slopes and shafts is a particularly hazardous operation where conditions change drastically in short periods of time</w:t>
      </w:r>
      <w:r>
        <w:rPr>
          <w:rFonts w:ascii="Times New Roman" w:hAnsi="Times New Roman" w:cs="Times New Roman"/>
          <w:color w:val="auto"/>
        </w:rPr>
        <w:t xml:space="preserve">. </w:t>
      </w:r>
      <w:r w:rsidRPr="00226886" w:rsidR="00030F18">
        <w:rPr>
          <w:rFonts w:ascii="Times New Roman" w:hAnsi="Times New Roman" w:cs="Times New Roman"/>
          <w:color w:val="auto"/>
        </w:rPr>
        <w:t xml:space="preserve">Explosive </w:t>
      </w:r>
      <w:r w:rsidRPr="004848F6" w:rsidR="00030F18">
        <w:rPr>
          <w:rFonts w:ascii="Times New Roman" w:hAnsi="Times New Roman" w:cs="Times New Roman"/>
          <w:color w:val="auto"/>
        </w:rPr>
        <w:t>methane</w:t>
      </w:r>
      <w:r w:rsidRPr="009000F0" w:rsidR="004848F6">
        <w:rPr>
          <w:rFonts w:ascii="Times New Roman" w:hAnsi="Times New Roman" w:cs="Times New Roman"/>
        </w:rPr>
        <w:t xml:space="preserve"> and</w:t>
      </w:r>
      <w:r w:rsidR="00AF7B0B">
        <w:rPr>
          <w:rFonts w:ascii="Times New Roman" w:hAnsi="Times New Roman" w:cs="Times New Roman"/>
        </w:rPr>
        <w:t xml:space="preserve"> </w:t>
      </w:r>
      <w:r w:rsidRPr="004848F6" w:rsidR="00030F18">
        <w:rPr>
          <w:rFonts w:ascii="Times New Roman" w:hAnsi="Times New Roman" w:cs="Times New Roman"/>
          <w:color w:val="auto"/>
        </w:rPr>
        <w:t>other harmful gases can be expected to infiltrate the work environment at any time</w:t>
      </w:r>
      <w:r w:rsidRPr="004848F6">
        <w:rPr>
          <w:rFonts w:ascii="Times New Roman" w:hAnsi="Times New Roman" w:cs="Times New Roman"/>
          <w:color w:val="auto"/>
        </w:rPr>
        <w:t xml:space="preserve">. </w:t>
      </w:r>
      <w:r>
        <w:rPr>
          <w:rFonts w:ascii="Times New Roman" w:hAnsi="Times New Roman" w:cs="Times New Roman"/>
          <w:color w:val="auto"/>
        </w:rPr>
        <w:t>Preshift</w:t>
      </w:r>
      <w:r>
        <w:rPr>
          <w:rFonts w:ascii="Times New Roman" w:hAnsi="Times New Roman" w:cs="Times New Roman"/>
          <w:color w:val="auto"/>
        </w:rPr>
        <w:t xml:space="preserve"> and </w:t>
      </w:r>
      <w:r>
        <w:rPr>
          <w:rFonts w:ascii="Times New Roman" w:hAnsi="Times New Roman" w:cs="Times New Roman"/>
          <w:color w:val="auto"/>
        </w:rPr>
        <w:t>onshift</w:t>
      </w:r>
      <w:r>
        <w:rPr>
          <w:rFonts w:ascii="Times New Roman" w:hAnsi="Times New Roman" w:cs="Times New Roman"/>
          <w:color w:val="auto"/>
        </w:rPr>
        <w:t xml:space="preserve"> inspections</w:t>
      </w:r>
      <w:r w:rsidR="00CB4278">
        <w:rPr>
          <w:rFonts w:ascii="Times New Roman" w:hAnsi="Times New Roman" w:cs="Times New Roman"/>
          <w:color w:val="auto"/>
        </w:rPr>
        <w:t xml:space="preserve">, as well as inspections </w:t>
      </w:r>
      <w:r w:rsidRPr="009000F0" w:rsidR="00CB4278">
        <w:rPr>
          <w:rFonts w:ascii="Times New Roman" w:hAnsi="Times New Roman" w:cs="Times New Roman"/>
          <w:color w:val="auto"/>
        </w:rPr>
        <w:t>before and after blasting</w:t>
      </w:r>
      <w:r w:rsidR="00CB4278">
        <w:rPr>
          <w:rFonts w:ascii="Times New Roman" w:hAnsi="Times New Roman" w:cs="Times New Roman"/>
          <w:color w:val="auto"/>
        </w:rPr>
        <w:t>,</w:t>
      </w:r>
      <w:r>
        <w:rPr>
          <w:rFonts w:ascii="Times New Roman" w:hAnsi="Times New Roman" w:cs="Times New Roman"/>
          <w:color w:val="auto"/>
        </w:rPr>
        <w:t xml:space="preserve"> are fundamental to ensuring that no changes have occurred, and that the working environment is in a condition that is optimal for miner health and safety.</w:t>
      </w:r>
    </w:p>
    <w:bookmarkEnd w:id="2"/>
    <w:p w:rsidR="00BB52BB" w14:paraId="7C443217" w14:textId="77777777">
      <w:pPr>
        <w:pStyle w:val="Default"/>
        <w:rPr>
          <w:rFonts w:ascii="Times New Roman" w:hAnsi="Times New Roman" w:cs="Times New Roman"/>
          <w:color w:val="auto"/>
        </w:rPr>
      </w:pPr>
    </w:p>
    <w:p w:rsidR="00F9454E" w:rsidP="00F9454E" w14:paraId="5F428FAB" w14:textId="77777777">
      <w:pPr>
        <w:pStyle w:val="Default"/>
        <w:ind w:firstLine="720"/>
        <w:rPr>
          <w:rFonts w:ascii="Times New Roman" w:hAnsi="Times New Roman" w:cs="Times New Roman"/>
          <w:color w:val="auto"/>
        </w:rPr>
      </w:pPr>
      <w:r w:rsidRPr="00210C7E">
        <w:rPr>
          <w:rFonts w:ascii="Times New Roman" w:hAnsi="Times New Roman"/>
          <w:b/>
        </w:rPr>
        <w:t xml:space="preserve">1. </w:t>
      </w:r>
      <w:r w:rsidRPr="00210C7E">
        <w:rPr>
          <w:rFonts w:ascii="Times New Roman" w:hAnsi="Times New Roman"/>
          <w:b/>
        </w:rPr>
        <w:t>Preshift</w:t>
      </w:r>
      <w:r w:rsidRPr="00210C7E">
        <w:rPr>
          <w:rFonts w:ascii="Times New Roman" w:hAnsi="Times New Roman"/>
          <w:b/>
        </w:rPr>
        <w:t xml:space="preserve"> and </w:t>
      </w:r>
      <w:r w:rsidRPr="00210C7E">
        <w:rPr>
          <w:rFonts w:ascii="Times New Roman" w:hAnsi="Times New Roman"/>
          <w:b/>
        </w:rPr>
        <w:t>onshift</w:t>
      </w:r>
      <w:r w:rsidRPr="00210C7E">
        <w:rPr>
          <w:rFonts w:ascii="Times New Roman" w:hAnsi="Times New Roman"/>
          <w:b/>
        </w:rPr>
        <w:t xml:space="preserve"> inspections</w:t>
      </w:r>
    </w:p>
    <w:p w:rsidR="00F9454E" w14:paraId="178E81F1" w14:textId="77777777">
      <w:pPr>
        <w:pStyle w:val="Default"/>
        <w:rPr>
          <w:rFonts w:ascii="Times New Roman" w:hAnsi="Times New Roman" w:cs="Times New Roman"/>
          <w:color w:val="auto"/>
        </w:rPr>
      </w:pPr>
    </w:p>
    <w:p w:rsidR="00030F18" w:rsidRPr="00226886" w14:paraId="511BC6D4" w14:textId="77777777">
      <w:pPr>
        <w:pStyle w:val="Default"/>
        <w:rPr>
          <w:rFonts w:ascii="Times New Roman" w:hAnsi="Times New Roman" w:cs="Times New Roman"/>
          <w:color w:val="auto"/>
        </w:rPr>
      </w:pPr>
      <w:bookmarkStart w:id="3" w:name="_Hlk177980255"/>
      <w:r>
        <w:rPr>
          <w:rFonts w:ascii="Times New Roman" w:hAnsi="Times New Roman" w:cs="Times New Roman"/>
          <w:color w:val="auto"/>
        </w:rPr>
        <w:t>Preshift</w:t>
      </w:r>
      <w:r>
        <w:rPr>
          <w:rFonts w:ascii="Times New Roman" w:hAnsi="Times New Roman" w:cs="Times New Roman"/>
          <w:color w:val="auto"/>
        </w:rPr>
        <w:t xml:space="preserve"> inspections need to be completed close to the beginning of shifts to ensure that there is little time for conditions to change, and during shift</w:t>
      </w:r>
      <w:r w:rsidR="00AD00BA">
        <w:rPr>
          <w:rFonts w:ascii="Times New Roman" w:hAnsi="Times New Roman" w:cs="Times New Roman"/>
          <w:color w:val="auto"/>
        </w:rPr>
        <w:t>s</w:t>
      </w:r>
      <w:r>
        <w:rPr>
          <w:rFonts w:ascii="Times New Roman" w:hAnsi="Times New Roman" w:cs="Times New Roman"/>
          <w:color w:val="auto"/>
        </w:rPr>
        <w:t xml:space="preserve"> to ensure that conditions are stable. </w:t>
      </w:r>
      <w:r w:rsidRPr="00226886" w:rsidR="00E549BE">
        <w:rPr>
          <w:rFonts w:ascii="Times New Roman" w:hAnsi="Times New Roman" w:cs="Times New Roman"/>
          <w:color w:val="auto"/>
        </w:rPr>
        <w:t>Under</w:t>
      </w:r>
      <w:r w:rsidRPr="00226886">
        <w:rPr>
          <w:rFonts w:ascii="Times New Roman" w:hAnsi="Times New Roman" w:cs="Times New Roman"/>
          <w:color w:val="auto"/>
        </w:rPr>
        <w:t xml:space="preserve"> 30 CFR 77.1901</w:t>
      </w:r>
      <w:r w:rsidRPr="00226886" w:rsidR="00E549BE">
        <w:rPr>
          <w:rFonts w:ascii="Times New Roman" w:hAnsi="Times New Roman" w:cs="Times New Roman"/>
          <w:color w:val="auto"/>
        </w:rPr>
        <w:t>,</w:t>
      </w:r>
      <w:r w:rsidRPr="00226886">
        <w:rPr>
          <w:rFonts w:ascii="Times New Roman" w:hAnsi="Times New Roman" w:cs="Times New Roman"/>
          <w:color w:val="auto"/>
        </w:rPr>
        <w:t xml:space="preserve"> slope and shaft areas </w:t>
      </w:r>
      <w:r w:rsidR="00AF7B0B">
        <w:rPr>
          <w:rFonts w:ascii="Times New Roman" w:hAnsi="Times New Roman" w:cs="Times New Roman"/>
          <w:color w:val="auto"/>
        </w:rPr>
        <w:t xml:space="preserve">must be examined by a certified person </w:t>
      </w:r>
      <w:r w:rsidRPr="00226886">
        <w:rPr>
          <w:rFonts w:ascii="Times New Roman" w:hAnsi="Times New Roman" w:cs="Times New Roman"/>
          <w:color w:val="auto"/>
        </w:rPr>
        <w:t xml:space="preserve">for hazardous conditions, including tests for methane and oxygen deficiency, within 90 minutes before each shift, </w:t>
      </w:r>
      <w:r w:rsidR="00AF7B0B">
        <w:rPr>
          <w:rFonts w:ascii="Times New Roman" w:hAnsi="Times New Roman" w:cs="Times New Roman"/>
          <w:color w:val="auto"/>
        </w:rPr>
        <w:t xml:space="preserve">at least </w:t>
      </w:r>
      <w:r w:rsidRPr="00226886">
        <w:rPr>
          <w:rFonts w:ascii="Times New Roman" w:hAnsi="Times New Roman" w:cs="Times New Roman"/>
          <w:color w:val="auto"/>
        </w:rPr>
        <w:t>once during each shift</w:t>
      </w:r>
      <w:r w:rsidRPr="00226886" w:rsidR="006955A1">
        <w:rPr>
          <w:rFonts w:ascii="Times New Roman" w:hAnsi="Times New Roman" w:cs="Times New Roman"/>
          <w:color w:val="auto"/>
        </w:rPr>
        <w:t xml:space="preserve"> when </w:t>
      </w:r>
      <w:r w:rsidRPr="00226886" w:rsidR="0027314B">
        <w:rPr>
          <w:rFonts w:ascii="Times New Roman" w:hAnsi="Times New Roman" w:cs="Times New Roman"/>
          <w:color w:val="auto"/>
        </w:rPr>
        <w:t>employees</w:t>
      </w:r>
      <w:r w:rsidRPr="00226886" w:rsidR="006955A1">
        <w:rPr>
          <w:rFonts w:ascii="Times New Roman" w:hAnsi="Times New Roman" w:cs="Times New Roman"/>
          <w:color w:val="auto"/>
        </w:rPr>
        <w:t xml:space="preserve"> are inside any slope or shaft during development</w:t>
      </w:r>
      <w:r w:rsidRPr="00226886">
        <w:rPr>
          <w:rFonts w:ascii="Times New Roman" w:hAnsi="Times New Roman" w:cs="Times New Roman"/>
          <w:color w:val="auto"/>
        </w:rPr>
        <w:t>, and before and after blasting</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The surface area surrounding each slope and shaft is also required to be inspected </w:t>
      </w:r>
      <w:r w:rsidR="00AF7B0B">
        <w:rPr>
          <w:rFonts w:ascii="Times New Roman" w:hAnsi="Times New Roman" w:cs="Times New Roman"/>
          <w:color w:val="auto"/>
        </w:rPr>
        <w:t xml:space="preserve">by a certified person </w:t>
      </w:r>
      <w:r w:rsidRPr="00226886">
        <w:rPr>
          <w:rFonts w:ascii="Times New Roman" w:hAnsi="Times New Roman" w:cs="Times New Roman"/>
          <w:color w:val="auto"/>
        </w:rPr>
        <w:t xml:space="preserve">for </w:t>
      </w:r>
      <w:r w:rsidRPr="00DB04C0">
        <w:rPr>
          <w:rFonts w:ascii="Times New Roman" w:hAnsi="Times New Roman" w:cs="Times New Roman"/>
          <w:color w:val="auto"/>
        </w:rPr>
        <w:t>hazards</w:t>
      </w:r>
      <w:r w:rsidRPr="00DB04C0" w:rsidR="00DB04C0">
        <w:rPr>
          <w:rFonts w:ascii="Times New Roman" w:hAnsi="Times New Roman" w:cs="Times New Roman"/>
          <w:color w:val="auto"/>
        </w:rPr>
        <w:t xml:space="preserve"> and </w:t>
      </w:r>
      <w:r w:rsidRPr="009000F0" w:rsidR="00DB04C0">
        <w:rPr>
          <w:rFonts w:ascii="Times New Roman" w:hAnsi="Times New Roman" w:cs="Times New Roman"/>
        </w:rPr>
        <w:t xml:space="preserve">all hazards in the vicinity must be corrected before </w:t>
      </w:r>
      <w:r w:rsidR="008C6065">
        <w:rPr>
          <w:rFonts w:ascii="Times New Roman" w:hAnsi="Times New Roman" w:cs="Times New Roman"/>
        </w:rPr>
        <w:t>miners</w:t>
      </w:r>
      <w:r w:rsidRPr="009000F0" w:rsidR="00DB04C0">
        <w:rPr>
          <w:rFonts w:ascii="Times New Roman" w:hAnsi="Times New Roman" w:cs="Times New Roman"/>
        </w:rPr>
        <w:t xml:space="preserve"> are permitted to enter the excavation.</w:t>
      </w:r>
    </w:p>
    <w:p w:rsidR="00030F18" w:rsidRPr="009000F0" w14:paraId="31A78969"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9000F0" w14:paraId="034F452F" w14:textId="77777777">
      <w:pPr>
        <w:pStyle w:val="Default"/>
        <w:rPr>
          <w:rFonts w:ascii="Times New Roman" w:hAnsi="Times New Roman" w:cs="Times New Roman"/>
          <w:color w:val="auto"/>
        </w:rPr>
      </w:pPr>
      <w:r>
        <w:rPr>
          <w:rFonts w:ascii="Times New Roman" w:hAnsi="Times New Roman" w:cs="Times New Roman"/>
          <w:color w:val="auto"/>
        </w:rPr>
        <w:t xml:space="preserve">It is also important to keep records of these conditions and any corrective actions upon the discovery of hazardous conditions. </w:t>
      </w:r>
      <w:r w:rsidRPr="00E37600" w:rsidR="008D369D">
        <w:rPr>
          <w:rFonts w:ascii="Times New Roman" w:hAnsi="Times New Roman" w:cs="Times New Roman"/>
          <w:color w:val="auto"/>
        </w:rPr>
        <w:t>Under 30 CFR 77.1901</w:t>
      </w:r>
      <w:r w:rsidR="008D369D">
        <w:rPr>
          <w:rFonts w:ascii="Times New Roman" w:hAnsi="Times New Roman" w:cs="Times New Roman"/>
          <w:color w:val="auto"/>
        </w:rPr>
        <w:t>(f), operators must keep</w:t>
      </w:r>
      <w:r w:rsidRPr="009000F0">
        <w:rPr>
          <w:rFonts w:ascii="Times New Roman" w:hAnsi="Times New Roman" w:cs="Times New Roman"/>
          <w:color w:val="auto"/>
        </w:rPr>
        <w:t xml:space="preserve"> record</w:t>
      </w:r>
      <w:r w:rsidR="008C6065">
        <w:rPr>
          <w:rFonts w:ascii="Times New Roman" w:hAnsi="Times New Roman" w:cs="Times New Roman"/>
          <w:color w:val="auto"/>
        </w:rPr>
        <w:t>s</w:t>
      </w:r>
      <w:r w:rsidRPr="009000F0">
        <w:rPr>
          <w:rFonts w:ascii="Times New Roman" w:hAnsi="Times New Roman" w:cs="Times New Roman"/>
          <w:color w:val="auto"/>
        </w:rPr>
        <w:t xml:space="preserve"> of </w:t>
      </w:r>
      <w:r w:rsidRPr="00226886">
        <w:rPr>
          <w:rFonts w:ascii="Times New Roman" w:hAnsi="Times New Roman" w:cs="Times New Roman"/>
          <w:color w:val="auto"/>
        </w:rPr>
        <w:t>the results of the inspections</w:t>
      </w:r>
      <w:r w:rsidR="008D369D">
        <w:rPr>
          <w:rFonts w:ascii="Times New Roman" w:hAnsi="Times New Roman" w:cs="Times New Roman"/>
          <w:color w:val="auto"/>
        </w:rPr>
        <w:t xml:space="preserve">. </w:t>
      </w:r>
      <w:r w:rsidRPr="00226886">
        <w:rPr>
          <w:rFonts w:ascii="Times New Roman" w:hAnsi="Times New Roman" w:cs="Times New Roman"/>
          <w:color w:val="auto"/>
        </w:rPr>
        <w:t>The record includes a description of any hazardous condition found and the corrective action taken to abate it</w:t>
      </w:r>
      <w:r w:rsidR="008D369D">
        <w:rPr>
          <w:rFonts w:ascii="Times New Roman" w:hAnsi="Times New Roman" w:cs="Times New Roman"/>
          <w:color w:val="auto"/>
        </w:rPr>
        <w:t xml:space="preserve">. </w:t>
      </w:r>
      <w:r w:rsidRPr="00226886">
        <w:rPr>
          <w:rFonts w:ascii="Times New Roman" w:hAnsi="Times New Roman" w:cs="Times New Roman"/>
          <w:color w:val="auto"/>
        </w:rPr>
        <w:t>The record is necessary to ensure that the inspections and tests are conducted in a timely fashion and that corrective action is taken when hazardous conditions are identified, thereby ensuring a safe working environment for the slope and shaft sinking employees</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The record is maintained at the mine site for the duration of the operation. </w:t>
      </w:r>
    </w:p>
    <w:bookmarkEnd w:id="3"/>
    <w:p w:rsidR="003C0C00" w:rsidRPr="009000F0" w14:paraId="131DCCDB"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9000F0" w14:paraId="7948AA8D" w14:textId="77777777">
      <w:pPr>
        <w:pStyle w:val="Default"/>
        <w:rPr>
          <w:rFonts w:ascii="Times New Roman" w:hAnsi="Times New Roman" w:cs="Times New Roman"/>
          <w:b/>
          <w:color w:val="auto"/>
        </w:rPr>
      </w:pPr>
      <w:r w:rsidRPr="009000F0">
        <w:rPr>
          <w:rFonts w:ascii="Times New Roman" w:hAnsi="Times New Roman" w:cs="Times New Roman"/>
          <w:b/>
        </w:rPr>
        <w:t>2. Indicate how, by whom, and for what purpose the information is to be used. Except for a new collection, indicate the actual use the agency has made of the information received from the current collection.</w:t>
      </w:r>
      <w:r w:rsidRPr="009000F0">
        <w:rPr>
          <w:rFonts w:ascii="Times New Roman" w:hAnsi="Times New Roman" w:cs="Times New Roman"/>
          <w:b/>
          <w:color w:val="auto"/>
        </w:rPr>
        <w:t xml:space="preserve"> </w:t>
      </w:r>
    </w:p>
    <w:p w:rsidR="00CB6AAC" w:rsidRPr="009000F0" w14:paraId="73C3CE84" w14:textId="77777777">
      <w:pPr>
        <w:pStyle w:val="Default"/>
        <w:rPr>
          <w:rFonts w:ascii="Times New Roman" w:hAnsi="Times New Roman" w:cs="Times New Roman"/>
          <w:b/>
          <w:color w:val="auto"/>
        </w:rPr>
      </w:pPr>
    </w:p>
    <w:p w:rsidR="00030F18" w:rsidRPr="00226886" w14:paraId="39D6A25A" w14:textId="77777777">
      <w:pPr>
        <w:pStyle w:val="Default"/>
        <w:rPr>
          <w:rFonts w:ascii="Times New Roman" w:hAnsi="Times New Roman" w:cs="Times New Roman"/>
          <w:color w:val="auto"/>
        </w:rPr>
      </w:pPr>
      <w:r w:rsidRPr="00226886">
        <w:rPr>
          <w:rFonts w:ascii="Times New Roman" w:hAnsi="Times New Roman" w:cs="Times New Roman"/>
          <w:color w:val="auto"/>
        </w:rPr>
        <w:t>The records are used by slope and shaft supervisors and employees, State mine inspectors, and Federal mine inspectors</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The records show that the examinations and tests were conducted and </w:t>
      </w:r>
      <w:r w:rsidRPr="00226886">
        <w:rPr>
          <w:rFonts w:ascii="Times New Roman" w:hAnsi="Times New Roman" w:cs="Times New Roman"/>
          <w:color w:val="auto"/>
        </w:rPr>
        <w:t xml:space="preserve">give insight into the hazardous conditions that have been encountered and </w:t>
      </w:r>
      <w:r w:rsidRPr="00226886" w:rsidR="00BE3921">
        <w:rPr>
          <w:rFonts w:ascii="Times New Roman" w:hAnsi="Times New Roman" w:cs="Times New Roman"/>
          <w:color w:val="auto"/>
        </w:rPr>
        <w:t xml:space="preserve">hazardous conditions </w:t>
      </w:r>
      <w:r w:rsidRPr="00226886">
        <w:rPr>
          <w:rFonts w:ascii="Times New Roman" w:hAnsi="Times New Roman" w:cs="Times New Roman"/>
          <w:color w:val="auto"/>
        </w:rPr>
        <w:t>that may be encountered</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The records of inspections greatly assist those who use them in making decisions that will ultimately affect the safety and health of slope and shaft sinking employees. </w:t>
      </w:r>
    </w:p>
    <w:p w:rsidR="00030F18" w:rsidRPr="009000F0" w14:paraId="7A1F2F08"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CB6AAC" w:rsidRPr="009000F0" w:rsidP="00CB6AAC" w14:paraId="195C4C08" w14:textId="77777777">
      <w:pPr>
        <w:rPr>
          <w:b/>
        </w:rPr>
      </w:pPr>
      <w:r w:rsidRPr="009000F0">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0F18" w:rsidRPr="009000F0" w14:paraId="04DD87C8"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D33FF9" w:rsidRPr="009000F0" w:rsidP="00D33FF9" w14:paraId="41AEB1F6"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No improved information technology has been identified that would reduce the </w:t>
      </w:r>
      <w:r w:rsidR="008D369D">
        <w:rPr>
          <w:rFonts w:ascii="Times New Roman" w:hAnsi="Times New Roman" w:cs="Times New Roman"/>
          <w:color w:val="auto"/>
        </w:rPr>
        <w:t xml:space="preserve">existing </w:t>
      </w:r>
      <w:r w:rsidRPr="009000F0">
        <w:rPr>
          <w:rFonts w:ascii="Times New Roman" w:hAnsi="Times New Roman" w:cs="Times New Roman"/>
          <w:color w:val="auto"/>
        </w:rPr>
        <w:t>burden</w:t>
      </w:r>
      <w:r w:rsidRPr="009000F0" w:rsidR="0027314B">
        <w:rPr>
          <w:rFonts w:ascii="Times New Roman" w:hAnsi="Times New Roman" w:cs="Times New Roman"/>
          <w:color w:val="auto"/>
        </w:rPr>
        <w:t>.</w:t>
      </w:r>
      <w:r w:rsidRPr="009000F0">
        <w:rPr>
          <w:rFonts w:ascii="Times New Roman" w:hAnsi="Times New Roman" w:cs="Times New Roman"/>
          <w:color w:val="auto"/>
        </w:rPr>
        <w:t xml:space="preserve"> </w:t>
      </w:r>
      <w:r w:rsidRPr="009000F0" w:rsidR="0027314B">
        <w:rPr>
          <w:rFonts w:ascii="Times New Roman" w:hAnsi="Times New Roman" w:cs="Times New Roman"/>
          <w:color w:val="auto"/>
        </w:rPr>
        <w:t>H</w:t>
      </w:r>
      <w:r w:rsidRPr="009000F0">
        <w:rPr>
          <w:rFonts w:ascii="Times New Roman" w:hAnsi="Times New Roman" w:cs="Times New Roman"/>
          <w:color w:val="auto"/>
        </w:rPr>
        <w:t>owever</w:t>
      </w:r>
      <w:r w:rsidRPr="009000F0" w:rsidR="00C8214C">
        <w:rPr>
          <w:rFonts w:ascii="Times New Roman" w:hAnsi="Times New Roman" w:cs="Times New Roman"/>
          <w:color w:val="auto"/>
        </w:rPr>
        <w:t>,</w:t>
      </w:r>
      <w:r w:rsidRPr="009000F0">
        <w:rPr>
          <w:rFonts w:ascii="Times New Roman" w:hAnsi="Times New Roman" w:cs="Times New Roman"/>
          <w:color w:val="auto"/>
        </w:rPr>
        <w:t xml:space="preserve"> in order to comply with the Government Paperwork Elimination Act, mine operators may record the results of </w:t>
      </w:r>
      <w:r w:rsidRPr="009000F0">
        <w:rPr>
          <w:rFonts w:ascii="Times New Roman" w:hAnsi="Times New Roman" w:cs="Times New Roman"/>
          <w:color w:val="auto"/>
        </w:rPr>
        <w:t>preshift</w:t>
      </w:r>
      <w:r w:rsidRPr="009000F0">
        <w:rPr>
          <w:rFonts w:ascii="Times New Roman" w:hAnsi="Times New Roman" w:cs="Times New Roman"/>
          <w:color w:val="auto"/>
        </w:rPr>
        <w:t xml:space="preserve"> and </w:t>
      </w:r>
      <w:r w:rsidRPr="009000F0">
        <w:rPr>
          <w:rFonts w:ascii="Times New Roman" w:hAnsi="Times New Roman" w:cs="Times New Roman"/>
          <w:color w:val="auto"/>
        </w:rPr>
        <w:t>onshift</w:t>
      </w:r>
      <w:r w:rsidRPr="009000F0">
        <w:rPr>
          <w:rFonts w:ascii="Times New Roman" w:hAnsi="Times New Roman" w:cs="Times New Roman"/>
          <w:color w:val="auto"/>
        </w:rPr>
        <w:t xml:space="preserve"> inspections of slope and shaft areas in whatever method they choose, which may include utilizing computer technology</w:t>
      </w:r>
      <w:r w:rsidR="00961DFD">
        <w:rPr>
          <w:rFonts w:ascii="Times New Roman" w:hAnsi="Times New Roman" w:cs="Times New Roman"/>
          <w:color w:val="auto"/>
        </w:rPr>
        <w:t xml:space="preserve"> to store the records electronically</w:t>
      </w:r>
      <w:r w:rsidRPr="009000F0">
        <w:rPr>
          <w:rFonts w:ascii="Times New Roman" w:hAnsi="Times New Roman" w:cs="Times New Roman"/>
          <w:color w:val="auto"/>
        </w:rPr>
        <w:t xml:space="preserve">. </w:t>
      </w:r>
    </w:p>
    <w:p w:rsidR="001A1927" w:rsidRPr="009000F0" w:rsidP="001A1927" w14:paraId="65EE0DF2" w14:textId="77777777">
      <w:pPr>
        <w:autoSpaceDE w:val="0"/>
        <w:autoSpaceDN w:val="0"/>
      </w:pPr>
    </w:p>
    <w:p w:rsidR="00CB6AAC" w:rsidRPr="009000F0" w:rsidP="00CB6AAC" w14:paraId="7899E61C" w14:textId="77777777">
      <w:pPr>
        <w:pStyle w:val="Default"/>
        <w:rPr>
          <w:rFonts w:ascii="Times New Roman" w:hAnsi="Times New Roman" w:cs="Times New Roman"/>
          <w:b/>
          <w:bCs/>
        </w:rPr>
      </w:pPr>
      <w:r w:rsidRPr="009000F0">
        <w:rPr>
          <w:rFonts w:ascii="Times New Roman" w:hAnsi="Times New Roman" w:cs="Times New Roman"/>
          <w:b/>
          <w:bCs/>
        </w:rPr>
        <w:t>4. Describe efforts to identify duplication. Show specifically why any similar information already available cannot be used or modified for use for the purposes described in Item 2 above.</w:t>
      </w:r>
    </w:p>
    <w:p w:rsidR="00030F18" w:rsidRPr="009000F0" w14:paraId="431DC146"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226886" w14:paraId="678C7311" w14:textId="77777777">
      <w:pPr>
        <w:pStyle w:val="Default"/>
        <w:rPr>
          <w:rFonts w:ascii="Times New Roman" w:hAnsi="Times New Roman" w:cs="Times New Roman"/>
          <w:color w:val="auto"/>
        </w:rPr>
      </w:pPr>
      <w:r w:rsidRPr="00226886">
        <w:rPr>
          <w:rFonts w:ascii="Times New Roman" w:hAnsi="Times New Roman" w:cs="Times New Roman"/>
          <w:color w:val="auto"/>
        </w:rPr>
        <w:t>Generally, this information exists only as a result of the Federal requirement</w:t>
      </w:r>
      <w:r w:rsidR="008D369D">
        <w:rPr>
          <w:rFonts w:ascii="Times New Roman" w:hAnsi="Times New Roman" w:cs="Times New Roman"/>
          <w:color w:val="auto"/>
        </w:rPr>
        <w:t xml:space="preserve">. </w:t>
      </w:r>
      <w:r w:rsidRPr="00226886">
        <w:rPr>
          <w:rFonts w:ascii="Times New Roman" w:hAnsi="Times New Roman" w:cs="Times New Roman"/>
          <w:color w:val="auto"/>
        </w:rPr>
        <w:t>Some St</w:t>
      </w:r>
      <w:r w:rsidRPr="00226886" w:rsidR="00C8214C">
        <w:rPr>
          <w:rFonts w:ascii="Times New Roman" w:hAnsi="Times New Roman" w:cs="Times New Roman"/>
          <w:color w:val="auto"/>
        </w:rPr>
        <w:t>ates have a similar requirement;</w:t>
      </w:r>
      <w:r w:rsidRPr="00226886">
        <w:rPr>
          <w:rFonts w:ascii="Times New Roman" w:hAnsi="Times New Roman" w:cs="Times New Roman"/>
          <w:color w:val="auto"/>
        </w:rPr>
        <w:t xml:space="preserve"> however</w:t>
      </w:r>
      <w:r w:rsidRPr="00226886" w:rsidR="00C8214C">
        <w:rPr>
          <w:rFonts w:ascii="Times New Roman" w:hAnsi="Times New Roman" w:cs="Times New Roman"/>
          <w:color w:val="auto"/>
        </w:rPr>
        <w:t>,</w:t>
      </w:r>
      <w:r w:rsidRPr="00226886">
        <w:rPr>
          <w:rFonts w:ascii="Times New Roman" w:hAnsi="Times New Roman" w:cs="Times New Roman"/>
          <w:color w:val="auto"/>
        </w:rPr>
        <w:t xml:space="preserve"> many do not</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A </w:t>
      </w:r>
      <w:r w:rsidRPr="00226886" w:rsidR="006F20B5">
        <w:rPr>
          <w:rFonts w:ascii="Times New Roman" w:hAnsi="Times New Roman" w:cs="Times New Roman"/>
          <w:color w:val="auto"/>
        </w:rPr>
        <w:t>nationwide requirement</w:t>
      </w:r>
      <w:r w:rsidR="00961DFD">
        <w:rPr>
          <w:rFonts w:ascii="Times New Roman" w:hAnsi="Times New Roman" w:cs="Times New Roman"/>
          <w:color w:val="auto"/>
        </w:rPr>
        <w:t xml:space="preserve"> by the Federal government</w:t>
      </w:r>
      <w:r w:rsidRPr="00226886">
        <w:rPr>
          <w:rFonts w:ascii="Times New Roman" w:hAnsi="Times New Roman" w:cs="Times New Roman"/>
          <w:color w:val="auto"/>
        </w:rPr>
        <w:t>, therefore, remains a necessity</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Where States do require </w:t>
      </w:r>
      <w:r w:rsidRPr="00226886" w:rsidR="006F20B5">
        <w:rPr>
          <w:rFonts w:ascii="Times New Roman" w:hAnsi="Times New Roman" w:cs="Times New Roman"/>
          <w:color w:val="auto"/>
        </w:rPr>
        <w:t xml:space="preserve">the same </w:t>
      </w:r>
      <w:r w:rsidRPr="00226886">
        <w:rPr>
          <w:rFonts w:ascii="Times New Roman" w:hAnsi="Times New Roman" w:cs="Times New Roman"/>
          <w:color w:val="auto"/>
        </w:rPr>
        <w:t xml:space="preserve">records, </w:t>
      </w:r>
      <w:r w:rsidRPr="00226886" w:rsidR="00C44089">
        <w:rPr>
          <w:rFonts w:ascii="Times New Roman" w:hAnsi="Times New Roman" w:cs="Times New Roman"/>
          <w:color w:val="auto"/>
        </w:rPr>
        <w:t xml:space="preserve">those </w:t>
      </w:r>
      <w:r w:rsidRPr="00226886" w:rsidR="006E29C5">
        <w:rPr>
          <w:rFonts w:ascii="Times New Roman" w:hAnsi="Times New Roman" w:cs="Times New Roman"/>
          <w:color w:val="auto"/>
        </w:rPr>
        <w:t xml:space="preserve">records </w:t>
      </w:r>
      <w:r w:rsidRPr="00226886" w:rsidR="00C44089">
        <w:rPr>
          <w:rFonts w:ascii="Times New Roman" w:hAnsi="Times New Roman" w:cs="Times New Roman"/>
          <w:color w:val="auto"/>
        </w:rPr>
        <w:t>would</w:t>
      </w:r>
      <w:r w:rsidRPr="00226886">
        <w:rPr>
          <w:rFonts w:ascii="Times New Roman" w:hAnsi="Times New Roman" w:cs="Times New Roman"/>
          <w:color w:val="auto"/>
        </w:rPr>
        <w:t xml:space="preserve"> satisfy MSHA requirements</w:t>
      </w:r>
      <w:r w:rsidR="008D369D">
        <w:rPr>
          <w:rFonts w:ascii="Times New Roman" w:hAnsi="Times New Roman" w:cs="Times New Roman"/>
          <w:color w:val="auto"/>
        </w:rPr>
        <w:t xml:space="preserve">. </w:t>
      </w:r>
    </w:p>
    <w:p w:rsidR="00030F18" w:rsidRPr="009000F0" w14:paraId="12274ED0"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CB6AAC" w:rsidRPr="009000F0" w:rsidP="00CB6AAC" w14:paraId="090729CD" w14:textId="77777777">
      <w:pPr>
        <w:rPr>
          <w:b/>
        </w:rPr>
      </w:pPr>
      <w:r w:rsidRPr="009000F0">
        <w:rPr>
          <w:b/>
        </w:rPr>
        <w:t>5. If the collection of information impacts small bus</w:t>
      </w:r>
      <w:r w:rsidRPr="009000F0" w:rsidR="003E4419">
        <w:rPr>
          <w:b/>
        </w:rPr>
        <w:t xml:space="preserve">inesses or other small entities, </w:t>
      </w:r>
      <w:r w:rsidRPr="009000F0">
        <w:rPr>
          <w:b/>
        </w:rPr>
        <w:t>describe any methods used to minimize burden.</w:t>
      </w:r>
    </w:p>
    <w:p w:rsidR="00030F18" w:rsidRPr="009000F0" w14:paraId="72DB65B3"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6F20B5" w:rsidRPr="009000F0" w14:paraId="65D98820"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[See Rep. No. 181, 95th Cong., 1st Sess. 28 (1977)]. Section 103(e) of the Mine Act 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operations and do not have a significant impact on a substantial number of small business or their small entities. </w:t>
      </w:r>
    </w:p>
    <w:p w:rsidR="00FA776E" w:rsidRPr="009000F0" w14:paraId="65481674" w14:textId="77777777">
      <w:pPr>
        <w:pStyle w:val="Default"/>
        <w:rPr>
          <w:rFonts w:ascii="Times New Roman" w:hAnsi="Times New Roman" w:cs="Times New Roman"/>
          <w:color w:val="auto"/>
        </w:rPr>
      </w:pPr>
    </w:p>
    <w:p w:rsidR="00CB6AAC" w:rsidRPr="009000F0" w:rsidP="00CB6AAC" w14:paraId="19925063" w14:textId="77777777">
      <w:pPr>
        <w:rPr>
          <w:b/>
        </w:rPr>
      </w:pPr>
      <w:r w:rsidRPr="009000F0">
        <w:rPr>
          <w:b/>
        </w:rPr>
        <w:t>6. Describe the consequence to Federal program or policy activities if the collection is not conducted or is conducted less frequently, as well as any technical or legal obstacles to reducing burden.</w:t>
      </w:r>
    </w:p>
    <w:p w:rsidR="00030F18" w:rsidRPr="009000F0" w14:paraId="1D229D30"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3576EB" w:rsidP="00D463FB" w14:paraId="53F50F41" w14:textId="77777777">
      <w:pPr>
        <w:pStyle w:val="Default"/>
      </w:pPr>
      <w:r w:rsidRPr="00226886">
        <w:rPr>
          <w:rFonts w:ascii="Times New Roman" w:hAnsi="Times New Roman" w:cs="Times New Roman"/>
          <w:color w:val="auto"/>
        </w:rPr>
        <w:t xml:space="preserve">A reduction in the frequency of </w:t>
      </w:r>
      <w:r w:rsidRPr="00226886" w:rsidR="006E29C5">
        <w:rPr>
          <w:rFonts w:ascii="Times New Roman" w:hAnsi="Times New Roman" w:cs="Times New Roman"/>
          <w:color w:val="auto"/>
        </w:rPr>
        <w:t xml:space="preserve">inspections </w:t>
      </w:r>
      <w:r w:rsidRPr="00226886">
        <w:rPr>
          <w:rFonts w:ascii="Times New Roman" w:hAnsi="Times New Roman" w:cs="Times New Roman"/>
          <w:color w:val="auto"/>
        </w:rPr>
        <w:t>and tests could allow unsafe conditions to develop, jeopardizing the safety of the slope and shaft sinking employees</w:t>
      </w:r>
      <w:r w:rsidR="008D369D">
        <w:rPr>
          <w:rFonts w:ascii="Times New Roman" w:hAnsi="Times New Roman" w:cs="Times New Roman"/>
          <w:color w:val="auto"/>
        </w:rPr>
        <w:t xml:space="preserve">. </w:t>
      </w:r>
      <w:r w:rsidRPr="00226886">
        <w:rPr>
          <w:rFonts w:ascii="Times New Roman" w:hAnsi="Times New Roman" w:cs="Times New Roman"/>
          <w:color w:val="auto"/>
        </w:rPr>
        <w:t xml:space="preserve">Section 101(a)(9) of the Mine </w:t>
      </w:r>
      <w:r w:rsidRPr="00226886">
        <w:rPr>
          <w:rFonts w:ascii="Times New Roman" w:hAnsi="Times New Roman" w:cs="Times New Roman"/>
          <w:color w:val="auto"/>
        </w:rPr>
        <w:t>Act</w:t>
      </w:r>
      <w:r w:rsidR="00961DFD">
        <w:rPr>
          <w:rFonts w:ascii="Times New Roman" w:hAnsi="Times New Roman" w:cs="Times New Roman"/>
          <w:color w:val="auto"/>
        </w:rPr>
        <w:t xml:space="preserve">, 30 </w:t>
      </w:r>
      <w:r w:rsidRPr="00226886" w:rsidR="00961DFD">
        <w:rPr>
          <w:rFonts w:ascii="Times New Roman" w:hAnsi="Times New Roman" w:cs="Times New Roman"/>
          <w:color w:val="auto"/>
        </w:rPr>
        <w:t xml:space="preserve">U.S.C. </w:t>
      </w:r>
      <w:r w:rsidR="00961DFD">
        <w:rPr>
          <w:rFonts w:ascii="Times New Roman" w:hAnsi="Times New Roman" w:cs="Times New Roman"/>
          <w:color w:val="auto"/>
        </w:rPr>
        <w:t>811(a)(9),</w:t>
      </w:r>
      <w:r w:rsidRPr="00226886">
        <w:rPr>
          <w:rFonts w:ascii="Times New Roman" w:hAnsi="Times New Roman" w:cs="Times New Roman"/>
          <w:color w:val="auto"/>
        </w:rPr>
        <w:t xml:space="preserve"> prohibits any regulatory action that would reduce the protection afforded miners by an existing standard. </w:t>
      </w:r>
    </w:p>
    <w:p w:rsidR="003576EB" w:rsidP="00CB6AAC" w14:paraId="7B572220" w14:textId="77777777">
      <w:pPr>
        <w:rPr>
          <w:b/>
        </w:rPr>
      </w:pPr>
    </w:p>
    <w:p w:rsidR="00CB6AAC" w:rsidRPr="009000F0" w:rsidP="00CB6AAC" w14:paraId="58C52CF2" w14:textId="77777777">
      <w:pPr>
        <w:rPr>
          <w:b/>
        </w:rPr>
      </w:pPr>
      <w:r w:rsidRPr="009000F0">
        <w:rPr>
          <w:b/>
        </w:rPr>
        <w:t>7. Explain any special circumstances that would cause an information collection to be conducted in a manner:</w:t>
      </w:r>
    </w:p>
    <w:p w:rsidR="00A72E45" w:rsidRPr="009000F0" w:rsidP="00CB6AAC" w14:paraId="1F5A1B8E" w14:textId="77777777">
      <w:pPr>
        <w:rPr>
          <w:b/>
        </w:rPr>
      </w:pPr>
    </w:p>
    <w:p w:rsidR="00CB6AAC" w:rsidRPr="009000F0" w:rsidP="00A72E45" w14:paraId="5EDFCFAE" w14:textId="77777777">
      <w:pPr>
        <w:pStyle w:val="ListParagraph"/>
        <w:numPr>
          <w:ilvl w:val="0"/>
          <w:numId w:val="3"/>
        </w:numPr>
        <w:rPr>
          <w:b/>
        </w:rPr>
      </w:pPr>
      <w:r w:rsidRPr="009000F0">
        <w:rPr>
          <w:b/>
        </w:rPr>
        <w:t>R</w:t>
      </w:r>
      <w:r w:rsidRPr="009000F0">
        <w:rPr>
          <w:b/>
        </w:rPr>
        <w:t>equiring respondents to report information to the agency more often than quarterly;</w:t>
      </w:r>
    </w:p>
    <w:p w:rsidR="00A72E45" w:rsidRPr="009000F0" w:rsidP="00A72E45" w14:paraId="4B2F2FC9" w14:textId="77777777">
      <w:pPr>
        <w:pStyle w:val="ListParagraph"/>
        <w:rPr>
          <w:b/>
        </w:rPr>
      </w:pPr>
    </w:p>
    <w:p w:rsidR="00CB6AAC" w:rsidRPr="009000F0" w:rsidP="00A72E45" w14:paraId="6C49093C" w14:textId="77777777">
      <w:pPr>
        <w:pStyle w:val="ListParagraph"/>
        <w:numPr>
          <w:ilvl w:val="0"/>
          <w:numId w:val="3"/>
        </w:numPr>
        <w:rPr>
          <w:b/>
        </w:rPr>
      </w:pPr>
      <w:r w:rsidRPr="009000F0">
        <w:rPr>
          <w:b/>
        </w:rPr>
        <w:t>R</w:t>
      </w:r>
      <w:r w:rsidRPr="009000F0">
        <w:rPr>
          <w:b/>
        </w:rPr>
        <w:t>equiring respondents to prepare a written response to a collection of information in fewer than 30 days after receipt of it;</w:t>
      </w:r>
    </w:p>
    <w:p w:rsidR="00A72E45" w:rsidRPr="009000F0" w:rsidP="00A72E45" w14:paraId="48F42D1F" w14:textId="77777777">
      <w:pPr>
        <w:pStyle w:val="ListParagraph"/>
        <w:rPr>
          <w:b/>
        </w:rPr>
      </w:pPr>
    </w:p>
    <w:p w:rsidR="00CB6AAC" w:rsidP="00A72E45" w14:paraId="5A73CE82" w14:textId="77777777">
      <w:pPr>
        <w:pStyle w:val="ListParagraph"/>
        <w:numPr>
          <w:ilvl w:val="0"/>
          <w:numId w:val="3"/>
        </w:numPr>
        <w:rPr>
          <w:b/>
        </w:rPr>
      </w:pPr>
      <w:r w:rsidRPr="009000F0">
        <w:rPr>
          <w:b/>
        </w:rPr>
        <w:t>R</w:t>
      </w:r>
      <w:r w:rsidRPr="009000F0">
        <w:rPr>
          <w:b/>
        </w:rPr>
        <w:t>equiring respondents to submit more than an original and two copies of any document;</w:t>
      </w:r>
    </w:p>
    <w:p w:rsidR="00F07BBD" w:rsidRPr="00F07BBD" w:rsidP="00F07BBD" w14:paraId="27C63FAC" w14:textId="77777777">
      <w:pPr>
        <w:pStyle w:val="ListParagraph"/>
        <w:rPr>
          <w:b/>
        </w:rPr>
      </w:pPr>
    </w:p>
    <w:p w:rsidR="00CB6AAC" w:rsidRPr="009000F0" w:rsidP="00A72E45" w14:paraId="7B857948" w14:textId="77777777">
      <w:pPr>
        <w:pStyle w:val="ListParagraph"/>
        <w:numPr>
          <w:ilvl w:val="0"/>
          <w:numId w:val="3"/>
        </w:numPr>
        <w:rPr>
          <w:b/>
        </w:rPr>
      </w:pPr>
      <w:r w:rsidRPr="009000F0">
        <w:rPr>
          <w:b/>
        </w:rPr>
        <w:t>R</w:t>
      </w:r>
      <w:r w:rsidRPr="009000F0">
        <w:rPr>
          <w:b/>
        </w:rPr>
        <w:t>equiring respondents to retain records, other than health, medical, government contract, grant-in-aid, or tax records, for more than three years;</w:t>
      </w:r>
    </w:p>
    <w:p w:rsidR="00A72E45" w:rsidRPr="009000F0" w:rsidP="00A72E45" w14:paraId="4A8AAA27" w14:textId="77777777">
      <w:pPr>
        <w:pStyle w:val="ListParagraph"/>
        <w:rPr>
          <w:b/>
        </w:rPr>
      </w:pPr>
    </w:p>
    <w:p w:rsidR="00CB6AAC" w:rsidRPr="009000F0" w:rsidP="00A72E45" w14:paraId="44AE82B1" w14:textId="77777777">
      <w:pPr>
        <w:pStyle w:val="ListParagraph"/>
        <w:numPr>
          <w:ilvl w:val="0"/>
          <w:numId w:val="3"/>
        </w:numPr>
        <w:rPr>
          <w:b/>
        </w:rPr>
      </w:pPr>
      <w:r w:rsidRPr="009000F0">
        <w:rPr>
          <w:b/>
        </w:rPr>
        <w:t>I</w:t>
      </w:r>
      <w:r w:rsidRPr="009000F0">
        <w:rPr>
          <w:b/>
        </w:rPr>
        <w:t>n connection with a statistical survey, that is not designed to produce valid and reliable results that can be generalized to the universe of study;</w:t>
      </w:r>
    </w:p>
    <w:p w:rsidR="00A72E45" w:rsidRPr="009000F0" w:rsidP="00A72E45" w14:paraId="75D8A90C" w14:textId="77777777">
      <w:pPr>
        <w:pStyle w:val="ListParagraph"/>
        <w:rPr>
          <w:b/>
        </w:rPr>
      </w:pPr>
    </w:p>
    <w:p w:rsidR="00CB6AAC" w:rsidRPr="009000F0" w:rsidP="00A72E45" w14:paraId="13DA2F04" w14:textId="77777777">
      <w:pPr>
        <w:pStyle w:val="ListParagraph"/>
        <w:numPr>
          <w:ilvl w:val="0"/>
          <w:numId w:val="3"/>
        </w:numPr>
        <w:rPr>
          <w:b/>
        </w:rPr>
      </w:pPr>
      <w:r w:rsidRPr="009000F0">
        <w:rPr>
          <w:b/>
        </w:rPr>
        <w:t>R</w:t>
      </w:r>
      <w:r w:rsidRPr="009000F0">
        <w:rPr>
          <w:b/>
        </w:rPr>
        <w:t xml:space="preserve">equiring the use of a statistical data classification that has not been reviewed and approved by OMB; </w:t>
      </w:r>
    </w:p>
    <w:p w:rsidR="00A72E45" w:rsidRPr="009000F0" w:rsidP="00A72E45" w14:paraId="344A7775" w14:textId="77777777">
      <w:pPr>
        <w:pStyle w:val="ListParagraph"/>
        <w:rPr>
          <w:b/>
        </w:rPr>
      </w:pPr>
    </w:p>
    <w:p w:rsidR="00CB6AAC" w:rsidRPr="009000F0" w:rsidP="00A72E45" w14:paraId="27D59687" w14:textId="77777777">
      <w:pPr>
        <w:pStyle w:val="ListParagraph"/>
        <w:numPr>
          <w:ilvl w:val="0"/>
          <w:numId w:val="3"/>
        </w:numPr>
        <w:rPr>
          <w:b/>
        </w:rPr>
      </w:pPr>
      <w:r w:rsidRPr="009000F0">
        <w:rPr>
          <w:b/>
        </w:rPr>
        <w:t>T</w:t>
      </w:r>
      <w:r w:rsidRPr="009000F0">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2E45" w:rsidRPr="009000F0" w:rsidP="00A72E45" w14:paraId="47FC7669" w14:textId="77777777">
      <w:pPr>
        <w:pStyle w:val="ListParagraph"/>
        <w:rPr>
          <w:b/>
        </w:rPr>
      </w:pPr>
    </w:p>
    <w:p w:rsidR="00CB6AAC" w:rsidRPr="009000F0" w:rsidP="00A72E45" w14:paraId="3B576AEB" w14:textId="77777777">
      <w:pPr>
        <w:pStyle w:val="ListParagraph"/>
        <w:numPr>
          <w:ilvl w:val="0"/>
          <w:numId w:val="3"/>
        </w:numPr>
        <w:rPr>
          <w:b/>
        </w:rPr>
      </w:pPr>
      <w:r w:rsidRPr="009000F0">
        <w:rPr>
          <w:b/>
        </w:rPr>
        <w:t>R</w:t>
      </w:r>
      <w:r w:rsidRPr="009000F0">
        <w:rPr>
          <w:b/>
        </w:rPr>
        <w:t>equiring respondents to submit proprietary trade secrets, or other confidential information unless the agency can demonstrate that it has instituted procedures to protect the information's confidentiality to the extent permitted by law.</w:t>
      </w:r>
    </w:p>
    <w:p w:rsidR="00030F18" w:rsidRPr="009000F0" w14:paraId="23AD8BDF" w14:textId="77777777">
      <w:pPr>
        <w:pStyle w:val="Default"/>
        <w:rPr>
          <w:rFonts w:ascii="Times New Roman" w:hAnsi="Times New Roman" w:cs="Times New Roman"/>
          <w:color w:val="auto"/>
        </w:rPr>
      </w:pPr>
    </w:p>
    <w:p w:rsidR="00030F18" w:rsidRPr="009000F0" w14:paraId="53DB9CF6" w14:textId="77777777">
      <w:pPr>
        <w:pStyle w:val="Default"/>
        <w:rPr>
          <w:rFonts w:ascii="Times New Roman" w:hAnsi="Times New Roman" w:cs="Times New Roman"/>
          <w:color w:val="auto"/>
        </w:rPr>
      </w:pPr>
      <w:r w:rsidRPr="009000F0">
        <w:rPr>
          <w:rFonts w:ascii="Times New Roman" w:hAnsi="Times New Roman" w:cs="Times New Roman"/>
          <w:color w:val="auto"/>
        </w:rPr>
        <w:t>The collection of this information is consistent with the guidelines in 5 CFR 1320.5</w:t>
      </w:r>
      <w:r w:rsidRPr="009000F0" w:rsidR="00F40E8F">
        <w:rPr>
          <w:rFonts w:ascii="Times New Roman" w:hAnsi="Times New Roman" w:cs="Times New Roman"/>
          <w:color w:val="auto"/>
        </w:rPr>
        <w:t>.</w:t>
      </w:r>
      <w:r w:rsidRPr="009000F0">
        <w:rPr>
          <w:rFonts w:ascii="Times New Roman" w:hAnsi="Times New Roman" w:cs="Times New Roman"/>
          <w:color w:val="auto"/>
        </w:rPr>
        <w:t xml:space="preserve"> </w:t>
      </w:r>
    </w:p>
    <w:p w:rsidR="00030F18" w:rsidRPr="009000F0" w14:paraId="2B2176FD"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CB6AAC" w:rsidRPr="009000F0" w:rsidP="00CB6AAC" w14:paraId="3DDE97C9" w14:textId="77777777">
      <w:pPr>
        <w:rPr>
          <w:b/>
        </w:rPr>
      </w:pPr>
      <w:r w:rsidRPr="009000F0">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6AAC" w:rsidRPr="009000F0" w:rsidP="00CB6AAC" w14:paraId="1F71C5A0" w14:textId="77777777">
      <w:pPr>
        <w:rPr>
          <w:b/>
        </w:rPr>
      </w:pPr>
    </w:p>
    <w:p w:rsidR="00CB6AAC" w:rsidRPr="009000F0" w:rsidP="00CB6AAC" w14:paraId="6AB7492A" w14:textId="77777777">
      <w:pPr>
        <w:rPr>
          <w:b/>
        </w:rPr>
      </w:pPr>
      <w:r w:rsidRPr="009000F0">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6AAC" w:rsidRPr="009000F0" w:rsidP="00CB6AAC" w14:paraId="147EB963" w14:textId="77777777">
      <w:pPr>
        <w:rPr>
          <w:b/>
        </w:rPr>
      </w:pPr>
    </w:p>
    <w:p w:rsidR="00CB6AAC" w:rsidRPr="00226886" w:rsidP="00CB6AAC" w14:paraId="5C9AB85F" w14:textId="77777777">
      <w:pPr>
        <w:rPr>
          <w:b/>
        </w:rPr>
      </w:pPr>
      <w:r w:rsidRPr="00226886">
        <w:rPr>
          <w:b/>
        </w:rPr>
        <w:t>Consultation with representatives of those from whom information is to be obtained or those who must compile records should occur at least once every 3 years - even if the collection of information activity is the same as in prior periods</w:t>
      </w:r>
      <w:r w:rsidR="008D369D">
        <w:rPr>
          <w:b/>
        </w:rPr>
        <w:t xml:space="preserve">. </w:t>
      </w:r>
      <w:r w:rsidRPr="00226886">
        <w:rPr>
          <w:b/>
        </w:rPr>
        <w:t>There may be circumstances that may preclude consultation in a specific situation</w:t>
      </w:r>
      <w:r w:rsidR="008D369D">
        <w:rPr>
          <w:b/>
        </w:rPr>
        <w:t xml:space="preserve">. </w:t>
      </w:r>
      <w:r w:rsidRPr="00226886">
        <w:rPr>
          <w:b/>
        </w:rPr>
        <w:t>These circumstances should be explained.</w:t>
      </w:r>
    </w:p>
    <w:p w:rsidR="00030F18" w:rsidRPr="009000F0" w14:paraId="369FF133" w14:textId="77777777">
      <w:pPr>
        <w:pStyle w:val="Default"/>
        <w:rPr>
          <w:rFonts w:ascii="Times New Roman" w:hAnsi="Times New Roman" w:cs="Times New Roman"/>
          <w:color w:val="auto"/>
        </w:rPr>
      </w:pPr>
    </w:p>
    <w:p w:rsidR="00FA776E" w:rsidRPr="009000F0" w:rsidP="00491439" w14:paraId="30F4FF74" w14:textId="6CDDCE8E">
      <w:pPr>
        <w:pStyle w:val="Default"/>
        <w:rPr>
          <w:rFonts w:ascii="Times New Roman" w:hAnsi="Times New Roman" w:cs="Times New Roman"/>
        </w:rPr>
      </w:pPr>
      <w:r w:rsidRPr="009000F0">
        <w:rPr>
          <w:rFonts w:ascii="Times New Roman" w:hAnsi="Times New Roman" w:cs="Times New Roman"/>
        </w:rPr>
        <w:t xml:space="preserve">In accordance with 5 CFR 1320.8(d), MSHA will publish the proposed information collection requirements in the </w:t>
      </w:r>
      <w:r w:rsidRPr="009000F0">
        <w:rPr>
          <w:rFonts w:ascii="Times New Roman" w:hAnsi="Times New Roman" w:cs="Times New Roman"/>
          <w:i/>
          <w:iCs/>
        </w:rPr>
        <w:t>Federal Register</w:t>
      </w:r>
      <w:r w:rsidRPr="009000F0">
        <w:rPr>
          <w:rFonts w:ascii="Times New Roman" w:hAnsi="Times New Roman" w:cs="Times New Roman"/>
        </w:rPr>
        <w:t xml:space="preserve">, notifying the public that the information collection requirements are being reviewed in accordance with the Paperwork Reduction </w:t>
      </w:r>
      <w:r w:rsidRPr="009000F0" w:rsidR="009F394C">
        <w:rPr>
          <w:rFonts w:ascii="Times New Roman" w:hAnsi="Times New Roman" w:cs="Times New Roman"/>
        </w:rPr>
        <w:t>Act of 1995 and</w:t>
      </w:r>
      <w:r w:rsidRPr="009000F0">
        <w:rPr>
          <w:rFonts w:ascii="Times New Roman" w:hAnsi="Times New Roman" w:cs="Times New Roman"/>
        </w:rPr>
        <w:t xml:space="preserve"> provid</w:t>
      </w:r>
      <w:r w:rsidR="001536CA">
        <w:rPr>
          <w:rFonts w:ascii="Times New Roman" w:hAnsi="Times New Roman" w:cs="Times New Roman"/>
        </w:rPr>
        <w:t>ed</w:t>
      </w:r>
      <w:r w:rsidRPr="009000F0">
        <w:rPr>
          <w:rFonts w:ascii="Times New Roman" w:hAnsi="Times New Roman" w:cs="Times New Roman"/>
        </w:rPr>
        <w:t xml:space="preserve"> 60 days for the public to submit comments. </w:t>
      </w:r>
      <w:r w:rsidRPr="00E16FF3" w:rsidR="00E16FF3">
        <w:rPr>
          <w:rFonts w:ascii="Times New Roman" w:hAnsi="Times New Roman" w:cs="Times New Roman"/>
        </w:rPr>
        <w:t xml:space="preserve">MSHA published a 60-day Federal Register notice on </w:t>
      </w:r>
      <w:r w:rsidR="00E16FF3">
        <w:rPr>
          <w:rFonts w:ascii="Times New Roman" w:hAnsi="Times New Roman" w:cs="Times New Roman"/>
        </w:rPr>
        <w:t>October 31, 2024</w:t>
      </w:r>
      <w:r w:rsidRPr="00E16FF3" w:rsidR="00E16FF3">
        <w:rPr>
          <w:rFonts w:ascii="Times New Roman" w:hAnsi="Times New Roman" w:cs="Times New Roman"/>
        </w:rPr>
        <w:t xml:space="preserve"> (8</w:t>
      </w:r>
      <w:r w:rsidR="00E16FF3">
        <w:rPr>
          <w:rFonts w:ascii="Times New Roman" w:hAnsi="Times New Roman" w:cs="Times New Roman"/>
        </w:rPr>
        <w:t>9</w:t>
      </w:r>
      <w:r w:rsidRPr="00E16FF3" w:rsidR="00E16FF3">
        <w:rPr>
          <w:rFonts w:ascii="Times New Roman" w:hAnsi="Times New Roman" w:cs="Times New Roman"/>
        </w:rPr>
        <w:t xml:space="preserve"> FR</w:t>
      </w:r>
      <w:r w:rsidR="00E16FF3">
        <w:rPr>
          <w:rFonts w:ascii="Times New Roman" w:hAnsi="Times New Roman" w:cs="Times New Roman"/>
        </w:rPr>
        <w:t xml:space="preserve"> </w:t>
      </w:r>
      <w:r w:rsidRPr="00E16FF3" w:rsidR="00E16FF3">
        <w:rPr>
          <w:rFonts w:ascii="Times New Roman" w:hAnsi="Times New Roman" w:cs="Times New Roman"/>
        </w:rPr>
        <w:t>86840).</w:t>
      </w:r>
      <w:r w:rsidR="00AA4A69">
        <w:rPr>
          <w:rFonts w:ascii="Times New Roman" w:hAnsi="Times New Roman" w:cs="Times New Roman"/>
        </w:rPr>
        <w:t xml:space="preserve"> No comments received.</w:t>
      </w:r>
    </w:p>
    <w:p w:rsidR="00B609BD" w:rsidRPr="009000F0" w14:paraId="41F8DB62" w14:textId="77777777">
      <w:pPr>
        <w:pStyle w:val="Default"/>
        <w:rPr>
          <w:rFonts w:ascii="Times New Roman" w:hAnsi="Times New Roman" w:cs="Times New Roman"/>
        </w:rPr>
      </w:pPr>
    </w:p>
    <w:p w:rsidR="00030F18" w:rsidRPr="00226886" w14:paraId="03051B11" w14:textId="77777777">
      <w:pPr>
        <w:pStyle w:val="Default"/>
        <w:rPr>
          <w:rFonts w:ascii="Times New Roman" w:hAnsi="Times New Roman" w:cs="Times New Roman"/>
          <w:color w:val="auto"/>
        </w:rPr>
      </w:pPr>
      <w:r w:rsidRPr="00226886">
        <w:rPr>
          <w:rFonts w:ascii="Times New Roman" w:hAnsi="Times New Roman" w:cs="Times New Roman"/>
          <w:b/>
          <w:bCs/>
          <w:color w:val="auto"/>
        </w:rPr>
        <w:t>9</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 xml:space="preserve">Explain any decision to provide any payment or gift to respondents, other than remuneration of contractors or grantees. </w:t>
      </w:r>
    </w:p>
    <w:p w:rsidR="00030F18" w:rsidRPr="00226886" w14:paraId="75EC1431"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030F18" w:rsidRPr="00226886" w14:paraId="7CCFA4C5"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MSHA does not provide payments or gifts to respondents. </w:t>
      </w:r>
    </w:p>
    <w:p w:rsidR="00030F18" w:rsidRPr="00226886" w14:paraId="44F10BFB"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030F18" w:rsidRPr="00226886" w14:paraId="6E65841B" w14:textId="77777777">
      <w:pPr>
        <w:pStyle w:val="Default"/>
        <w:rPr>
          <w:rFonts w:ascii="Times New Roman" w:hAnsi="Times New Roman" w:cs="Times New Roman"/>
          <w:color w:val="auto"/>
        </w:rPr>
      </w:pPr>
      <w:r w:rsidRPr="00226886">
        <w:rPr>
          <w:rFonts w:ascii="Times New Roman" w:hAnsi="Times New Roman" w:cs="Times New Roman"/>
          <w:b/>
          <w:bCs/>
          <w:color w:val="auto"/>
        </w:rPr>
        <w:t>10</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 xml:space="preserve">Describe any assurance of confidentiality provided to respondents and the basis for the assurance in statute, regulation, or agency policy. </w:t>
      </w:r>
    </w:p>
    <w:p w:rsidR="00030F18" w:rsidRPr="009000F0" w14:paraId="4789FD8A"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9000F0" w14:paraId="13D0692F" w14:textId="77777777">
      <w:pPr>
        <w:pStyle w:val="Default"/>
        <w:rPr>
          <w:rFonts w:ascii="Times New Roman" w:hAnsi="Times New Roman" w:cs="Times New Roman"/>
          <w:color w:val="auto"/>
        </w:rPr>
      </w:pPr>
      <w:r>
        <w:rPr>
          <w:rFonts w:ascii="Times New Roman" w:hAnsi="Times New Roman" w:cs="Times New Roman"/>
          <w:color w:val="auto"/>
        </w:rPr>
        <w:t>There is n</w:t>
      </w:r>
      <w:r w:rsidRPr="009000F0" w:rsidR="00F350BD">
        <w:rPr>
          <w:rFonts w:ascii="Times New Roman" w:hAnsi="Times New Roman" w:cs="Times New Roman"/>
          <w:color w:val="auto"/>
        </w:rPr>
        <w:t xml:space="preserve">o assurance </w:t>
      </w:r>
      <w:r w:rsidRPr="009000F0" w:rsidR="00C44089">
        <w:rPr>
          <w:rFonts w:ascii="Times New Roman" w:hAnsi="Times New Roman" w:cs="Times New Roman"/>
          <w:color w:val="auto"/>
        </w:rPr>
        <w:t>of confidentiality</w:t>
      </w:r>
      <w:r w:rsidRPr="009000F0" w:rsidR="00F350BD">
        <w:rPr>
          <w:rFonts w:ascii="Times New Roman" w:hAnsi="Times New Roman" w:cs="Times New Roman"/>
          <w:color w:val="auto"/>
        </w:rPr>
        <w:t xml:space="preserve"> provided</w:t>
      </w:r>
      <w:r>
        <w:rPr>
          <w:rFonts w:ascii="Times New Roman" w:hAnsi="Times New Roman" w:cs="Times New Roman"/>
          <w:color w:val="auto"/>
        </w:rPr>
        <w:t xml:space="preserve"> to respondents</w:t>
      </w:r>
      <w:r w:rsidRPr="009000F0">
        <w:rPr>
          <w:rFonts w:ascii="Times New Roman" w:hAnsi="Times New Roman" w:cs="Times New Roman"/>
          <w:color w:val="auto"/>
        </w:rPr>
        <w:t xml:space="preserve">. </w:t>
      </w:r>
    </w:p>
    <w:p w:rsidR="00030F18" w:rsidRPr="009000F0" w14:paraId="3D5FDF94"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CB6AAC" w:rsidRPr="009000F0" w:rsidP="00CB6AAC" w14:paraId="221110C0" w14:textId="77777777">
      <w:pPr>
        <w:rPr>
          <w:b/>
        </w:rPr>
      </w:pPr>
      <w:r w:rsidRPr="009000F0">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0F18" w:rsidRPr="009000F0" w14:paraId="03BC6361" w14:textId="77777777">
      <w:pPr>
        <w:pStyle w:val="Default"/>
        <w:rPr>
          <w:rFonts w:ascii="Times New Roman" w:hAnsi="Times New Roman" w:cs="Times New Roman"/>
          <w:color w:val="auto"/>
        </w:rPr>
      </w:pPr>
      <w:r w:rsidRPr="009000F0">
        <w:rPr>
          <w:rFonts w:ascii="Times New Roman" w:hAnsi="Times New Roman" w:cs="Times New Roman"/>
          <w:b/>
          <w:bCs/>
          <w:color w:val="auto"/>
        </w:rPr>
        <w:t xml:space="preserve"> </w:t>
      </w:r>
      <w:r w:rsidRPr="009000F0">
        <w:rPr>
          <w:rFonts w:ascii="Times New Roman" w:hAnsi="Times New Roman" w:cs="Times New Roman"/>
          <w:color w:val="auto"/>
        </w:rPr>
        <w:t xml:space="preserve"> </w:t>
      </w:r>
    </w:p>
    <w:p w:rsidR="00030F18" w:rsidRPr="009000F0" w14:paraId="6D3D3A9B"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There are no questions of a sensitive nature. </w:t>
      </w:r>
    </w:p>
    <w:p w:rsidR="00030F18" w:rsidRPr="009000F0" w14:paraId="60FE3941"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CB6AAC" w:rsidRPr="009000F0" w:rsidP="00CB6AAC" w14:paraId="13E750A7" w14:textId="77777777">
      <w:pPr>
        <w:rPr>
          <w:b/>
        </w:rPr>
      </w:pPr>
      <w:r w:rsidRPr="009000F0">
        <w:rPr>
          <w:b/>
        </w:rPr>
        <w:t xml:space="preserve">12. Provide estimates of the hour burden of the collection of information. The statement should: </w:t>
      </w:r>
    </w:p>
    <w:p w:rsidR="00A72E45" w:rsidRPr="009000F0" w:rsidP="00CB6AAC" w14:paraId="2C0DC892" w14:textId="77777777">
      <w:pPr>
        <w:rPr>
          <w:b/>
        </w:rPr>
      </w:pPr>
    </w:p>
    <w:p w:rsidR="00CB6AAC" w:rsidRPr="009000F0" w:rsidP="00A72E45" w14:paraId="27D461D5" w14:textId="77777777">
      <w:pPr>
        <w:pStyle w:val="ListParagraph"/>
        <w:numPr>
          <w:ilvl w:val="0"/>
          <w:numId w:val="4"/>
        </w:numPr>
        <w:rPr>
          <w:b/>
        </w:rPr>
      </w:pPr>
      <w:r w:rsidRPr="009000F0">
        <w:rPr>
          <w:b/>
        </w:rPr>
        <w:t>I</w:t>
      </w:r>
      <w:r w:rsidRPr="009000F0">
        <w:rPr>
          <w:b/>
        </w:rPr>
        <w:t>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008D369D">
        <w:rPr>
          <w:b/>
        </w:rPr>
        <w:t xml:space="preserve">. </w:t>
      </w:r>
      <w:r w:rsidRPr="009000F0">
        <w:rPr>
          <w:b/>
        </w:rPr>
        <w:t>Generally, estimates should not include burden hours for customary and usual business practices.</w:t>
      </w:r>
    </w:p>
    <w:p w:rsidR="00A72E45" w:rsidRPr="009000F0" w:rsidP="00A72E45" w14:paraId="19B9E539" w14:textId="77777777">
      <w:pPr>
        <w:pStyle w:val="ListParagraph"/>
        <w:rPr>
          <w:b/>
        </w:rPr>
      </w:pPr>
    </w:p>
    <w:p w:rsidR="00CB6AAC" w:rsidRPr="009000F0" w:rsidP="00A72E45" w14:paraId="0B9B8211" w14:textId="77777777">
      <w:pPr>
        <w:pStyle w:val="ListParagraph"/>
        <w:numPr>
          <w:ilvl w:val="0"/>
          <w:numId w:val="4"/>
        </w:numPr>
        <w:rPr>
          <w:b/>
        </w:rPr>
      </w:pPr>
      <w:r w:rsidRPr="009000F0">
        <w:rPr>
          <w:b/>
        </w:rPr>
        <w:t>I</w:t>
      </w:r>
      <w:r w:rsidRPr="009000F0">
        <w:rPr>
          <w:b/>
        </w:rPr>
        <w:t xml:space="preserve">f this request for approval covers more than one form, provide separate hour burden estimates for each form and aggregate the hour </w:t>
      </w:r>
      <w:r w:rsidRPr="009000F0" w:rsidR="006555D6">
        <w:rPr>
          <w:b/>
        </w:rPr>
        <w:t>burdens</w:t>
      </w:r>
      <w:r w:rsidRPr="009000F0">
        <w:rPr>
          <w:b/>
        </w:rPr>
        <w:t>.</w:t>
      </w:r>
    </w:p>
    <w:p w:rsidR="00A72E45" w:rsidRPr="009000F0" w:rsidP="00A72E45" w14:paraId="67D98F27" w14:textId="77777777">
      <w:pPr>
        <w:pStyle w:val="ListParagraph"/>
        <w:rPr>
          <w:b/>
        </w:rPr>
      </w:pPr>
    </w:p>
    <w:p w:rsidR="00CB6AAC" w:rsidRPr="009000F0" w:rsidP="00A72E45" w14:paraId="2055C83A" w14:textId="77777777">
      <w:pPr>
        <w:pStyle w:val="ListParagraph"/>
        <w:numPr>
          <w:ilvl w:val="0"/>
          <w:numId w:val="4"/>
        </w:numPr>
      </w:pPr>
      <w:r w:rsidRPr="009000F0">
        <w:rPr>
          <w:b/>
        </w:rPr>
        <w:t>P</w:t>
      </w:r>
      <w:r w:rsidRPr="009000F0">
        <w:rPr>
          <w:b/>
        </w:rPr>
        <w:t>rovide estimates of annualized cost to respondents for the hour burdens for collections of information, identifying and using appropriate wage rate categories</w:t>
      </w:r>
      <w:r w:rsidR="008D369D">
        <w:rPr>
          <w:b/>
        </w:rPr>
        <w:t xml:space="preserve">. </w:t>
      </w:r>
      <w:r w:rsidRPr="009000F0">
        <w:rPr>
          <w:b/>
        </w:rPr>
        <w:t xml:space="preserve">The cost of contracting out or paying outside parties for information collection activities should not be included here. Instead, this cost should be included </w:t>
      </w:r>
      <w:r w:rsidRPr="009000F0" w:rsidR="006555D6">
        <w:rPr>
          <w:b/>
        </w:rPr>
        <w:t>under</w:t>
      </w:r>
      <w:r w:rsidRPr="009000F0">
        <w:rPr>
          <w:b/>
        </w:rPr>
        <w:t xml:space="preserve"> Item 13</w:t>
      </w:r>
      <w:r w:rsidRPr="009000F0">
        <w:t>.</w:t>
      </w:r>
    </w:p>
    <w:p w:rsidR="00D81A6B" w14:paraId="15EF129E" w14:textId="77777777">
      <w:pPr>
        <w:pStyle w:val="Default"/>
        <w:rPr>
          <w:rFonts w:ascii="Times New Roman" w:hAnsi="Times New Roman" w:cs="Times New Roman"/>
          <w:color w:val="auto"/>
        </w:rPr>
      </w:pPr>
    </w:p>
    <w:p w:rsidR="00030F18" w14:paraId="0FA9FE0F" w14:textId="77777777">
      <w:pPr>
        <w:pStyle w:val="Default"/>
        <w:rPr>
          <w:rFonts w:ascii="Times New Roman" w:hAnsi="Times New Roman" w:cs="Times New Roman"/>
          <w:color w:val="auto"/>
        </w:rPr>
      </w:pPr>
      <w:r w:rsidRPr="001536CA">
        <w:rPr>
          <w:rFonts w:ascii="Times New Roman" w:hAnsi="Times New Roman" w:cs="Times New Roman"/>
          <w:color w:val="auto"/>
        </w:rPr>
        <w:t>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w:t>
      </w:r>
    </w:p>
    <w:p w:rsidR="001536CA" w:rsidRPr="009000F0" w14:paraId="078443F1" w14:textId="77777777">
      <w:pPr>
        <w:pStyle w:val="Default"/>
        <w:rPr>
          <w:rFonts w:ascii="Times New Roman" w:hAnsi="Times New Roman" w:cs="Times New Roman"/>
          <w:color w:val="auto"/>
        </w:rPr>
      </w:pPr>
    </w:p>
    <w:p w:rsidR="00FA776E" w:rsidRPr="009000F0" w14:paraId="782F3AC1" w14:textId="77777777">
      <w:pPr>
        <w:pStyle w:val="Default"/>
        <w:rPr>
          <w:rFonts w:ascii="Times New Roman" w:hAnsi="Times New Roman" w:cs="Times New Roman"/>
          <w:b/>
          <w:bCs/>
          <w:color w:val="auto"/>
        </w:rPr>
      </w:pPr>
      <w:r>
        <w:rPr>
          <w:rFonts w:ascii="Times New Roman" w:hAnsi="Times New Roman" w:cs="Times New Roman"/>
          <w:b/>
          <w:bCs/>
          <w:color w:val="auto"/>
        </w:rPr>
        <w:t xml:space="preserve">PRA </w:t>
      </w:r>
      <w:r w:rsidRPr="009000F0" w:rsidR="008D369D">
        <w:rPr>
          <w:rFonts w:ascii="Times New Roman" w:hAnsi="Times New Roman" w:cs="Times New Roman"/>
          <w:b/>
          <w:bCs/>
          <w:color w:val="auto"/>
        </w:rPr>
        <w:t>Respondents</w:t>
      </w:r>
    </w:p>
    <w:p w:rsidR="00DF243A" w14:paraId="46EE05E2" w14:textId="77777777">
      <w:pPr>
        <w:pStyle w:val="Default"/>
        <w:rPr>
          <w:rFonts w:ascii="Times New Roman" w:hAnsi="Times New Roman" w:cs="Times New Roman"/>
          <w:color w:val="auto"/>
        </w:rPr>
      </w:pPr>
    </w:p>
    <w:p w:rsidR="008D369D" w:rsidRPr="009000F0" w14:paraId="34648E09" w14:textId="77777777">
      <w:pPr>
        <w:pStyle w:val="Default"/>
        <w:rPr>
          <w:rFonts w:ascii="Times New Roman" w:hAnsi="Times New Roman" w:cs="Times New Roman"/>
          <w:color w:val="auto"/>
        </w:rPr>
      </w:pPr>
      <w:r w:rsidRPr="008D369D">
        <w:rPr>
          <w:rFonts w:ascii="Times New Roman" w:hAnsi="Times New Roman" w:cs="Times New Roman"/>
          <w:color w:val="auto"/>
        </w:rPr>
        <w:t>MSHA's</w:t>
      </w:r>
      <w:r>
        <w:rPr>
          <w:rFonts w:ascii="Times New Roman" w:hAnsi="Times New Roman" w:cs="Times New Roman"/>
          <w:color w:val="auto"/>
        </w:rPr>
        <w:t xml:space="preserve"> </w:t>
      </w:r>
      <w:r w:rsidRPr="008D369D">
        <w:rPr>
          <w:rFonts w:ascii="Times New Roman" w:hAnsi="Times New Roman" w:cs="Times New Roman"/>
          <w:color w:val="auto"/>
        </w:rPr>
        <w:t xml:space="preserve">Enforcement Division’s records show that there are about </w:t>
      </w:r>
      <w:bookmarkStart w:id="4" w:name="_Hlk177974036"/>
      <w:r w:rsidRPr="008D369D">
        <w:rPr>
          <w:rFonts w:ascii="Times New Roman" w:hAnsi="Times New Roman" w:cs="Times New Roman"/>
          <w:color w:val="auto"/>
        </w:rPr>
        <w:t xml:space="preserve">15 slope and shaft sinking operations </w:t>
      </w:r>
      <w:bookmarkEnd w:id="4"/>
      <w:r w:rsidRPr="008D369D">
        <w:rPr>
          <w:rFonts w:ascii="Times New Roman" w:hAnsi="Times New Roman" w:cs="Times New Roman"/>
          <w:color w:val="auto"/>
        </w:rPr>
        <w:t>ongoing on coal mine properties at any given time during the year</w:t>
      </w:r>
      <w:r w:rsidR="00961DFD">
        <w:rPr>
          <w:rFonts w:ascii="Times New Roman" w:hAnsi="Times New Roman" w:cs="Times New Roman"/>
          <w:color w:val="auto"/>
        </w:rPr>
        <w:t xml:space="preserve"> of 2023</w:t>
      </w:r>
      <w:r w:rsidRPr="008D369D">
        <w:rPr>
          <w:rFonts w:ascii="Times New Roman" w:hAnsi="Times New Roman" w:cs="Times New Roman"/>
          <w:color w:val="auto"/>
        </w:rPr>
        <w:t>.</w:t>
      </w:r>
    </w:p>
    <w:p w:rsidR="00030F18" w:rsidRPr="009000F0" w14:paraId="10A9CE6F" w14:textId="77777777">
      <w:pPr>
        <w:pStyle w:val="Default"/>
        <w:rPr>
          <w:rFonts w:ascii="Times New Roman" w:hAnsi="Times New Roman" w:cs="Times New Roman"/>
          <w:color w:val="auto"/>
        </w:rPr>
      </w:pPr>
    </w:p>
    <w:p w:rsidR="00926D8F" w:rsidRPr="009000F0" w14:paraId="5D611FA9" w14:textId="77777777">
      <w:pPr>
        <w:pStyle w:val="Default"/>
        <w:rPr>
          <w:rFonts w:ascii="Times New Roman" w:hAnsi="Times New Roman" w:cs="Times New Roman"/>
          <w:b/>
          <w:bCs/>
          <w:color w:val="auto"/>
        </w:rPr>
      </w:pPr>
      <w:r w:rsidRPr="009000F0">
        <w:rPr>
          <w:rFonts w:ascii="Times New Roman" w:hAnsi="Times New Roman" w:cs="Times New Roman"/>
          <w:b/>
          <w:bCs/>
          <w:color w:val="auto"/>
        </w:rPr>
        <w:t>Wage Rate Determination</w:t>
      </w:r>
      <w:r>
        <w:rPr>
          <w:rStyle w:val="FootnoteReference"/>
          <w:rFonts w:ascii="Times New Roman" w:hAnsi="Times New Roman" w:cs="Times New Roman"/>
          <w:b/>
          <w:bCs/>
          <w:color w:val="auto"/>
          <w:vertAlign w:val="superscript"/>
        </w:rPr>
        <w:footnoteReference w:id="2"/>
      </w:r>
    </w:p>
    <w:p w:rsidR="00926D8F" w:rsidRPr="009000F0" w14:paraId="72087E18" w14:textId="77777777">
      <w:pPr>
        <w:pStyle w:val="Default"/>
        <w:rPr>
          <w:rFonts w:ascii="Times New Roman" w:hAnsi="Times New Roman" w:cs="Times New Roman"/>
          <w:color w:val="auto"/>
        </w:rPr>
      </w:pPr>
    </w:p>
    <w:p w:rsidR="00A97541" w:rsidP="00926D8F" w14:paraId="4ADA478B" w14:textId="77777777">
      <w:pPr>
        <w:pStyle w:val="Default"/>
        <w:rPr>
          <w:rFonts w:ascii="Times New Roman" w:hAnsi="Times New Roman" w:cs="Times New Roman"/>
        </w:rPr>
      </w:pPr>
      <w:r w:rsidRPr="009000F0">
        <w:rPr>
          <w:rFonts w:ascii="Times New Roman" w:hAnsi="Times New Roman" w:cs="Times New Roman"/>
        </w:rPr>
        <w:t xml:space="preserve">MSHA used data from the May </w:t>
      </w:r>
      <w:r w:rsidRPr="009000F0" w:rsidR="002E4608">
        <w:rPr>
          <w:rFonts w:ascii="Times New Roman" w:hAnsi="Times New Roman" w:cs="Times New Roman"/>
        </w:rPr>
        <w:t>202</w:t>
      </w:r>
      <w:r w:rsidRPr="009000F0" w:rsidR="00926D8F">
        <w:rPr>
          <w:rFonts w:ascii="Times New Roman" w:hAnsi="Times New Roman" w:cs="Times New Roman"/>
        </w:rPr>
        <w:t>3</w:t>
      </w:r>
      <w:r w:rsidRPr="009000F0">
        <w:rPr>
          <w:rFonts w:ascii="Times New Roman" w:hAnsi="Times New Roman" w:cs="Times New Roman"/>
        </w:rPr>
        <w:t xml:space="preserve"> </w:t>
      </w:r>
      <w:r w:rsidRPr="009000F0" w:rsidR="00897162">
        <w:rPr>
          <w:rFonts w:ascii="Times New Roman" w:hAnsi="Times New Roman" w:cs="Times New Roman"/>
        </w:rPr>
        <w:t xml:space="preserve">Occupational Employment and Wage Statistics </w:t>
      </w:r>
      <w:r w:rsidRPr="009000F0">
        <w:rPr>
          <w:rFonts w:ascii="Times New Roman" w:hAnsi="Times New Roman" w:cs="Times New Roman"/>
        </w:rPr>
        <w:t>(OE</w:t>
      </w:r>
      <w:r w:rsidRPr="009000F0" w:rsidR="00897162">
        <w:rPr>
          <w:rFonts w:ascii="Times New Roman" w:hAnsi="Times New Roman" w:cs="Times New Roman"/>
        </w:rPr>
        <w:t>W</w:t>
      </w:r>
      <w:r w:rsidRPr="009000F0">
        <w:rPr>
          <w:rFonts w:ascii="Times New Roman" w:hAnsi="Times New Roman" w:cs="Times New Roman"/>
        </w:rPr>
        <w:t>S) published by the Bureau of Labor Statistics (BLS) for hourly wage rates</w:t>
      </w:r>
      <w:r>
        <w:rPr>
          <w:rFonts w:ascii="Times New Roman" w:hAnsi="Times New Roman" w:cs="Times New Roman"/>
          <w:vertAlign w:val="superscript"/>
        </w:rPr>
        <w:footnoteReference w:id="3"/>
      </w:r>
      <w:r w:rsidRPr="009000F0">
        <w:rPr>
          <w:rFonts w:ascii="Times New Roman" w:hAnsi="Times New Roman" w:cs="Times New Roman"/>
        </w:rPr>
        <w:t xml:space="preserve"> and adjusted the rates </w:t>
      </w:r>
    </w:p>
    <w:p w:rsidR="00B92A85" w:rsidRPr="009000F0" w:rsidP="00926D8F" w14:paraId="32F77DD5" w14:textId="77777777">
      <w:pPr>
        <w:pStyle w:val="Default"/>
        <w:rPr>
          <w:rFonts w:ascii="Times New Roman" w:hAnsi="Times New Roman" w:cs="Times New Roman"/>
        </w:rPr>
      </w:pPr>
      <w:r>
        <w:rPr>
          <w:rFonts w:ascii="Times New Roman" w:hAnsi="Times New Roman" w:cs="Times New Roman"/>
        </w:rPr>
        <w:t>f</w:t>
      </w:r>
      <w:r w:rsidRPr="009000F0" w:rsidR="00A76D79">
        <w:rPr>
          <w:rFonts w:ascii="Times New Roman" w:hAnsi="Times New Roman" w:cs="Times New Roman"/>
        </w:rPr>
        <w:t>or benefits</w:t>
      </w:r>
      <w:r w:rsidR="00DC06CE">
        <w:rPr>
          <w:rFonts w:ascii="Times New Roman" w:hAnsi="Times New Roman" w:cs="Times New Roman"/>
        </w:rPr>
        <w:t>,</w:t>
      </w:r>
      <w:r>
        <w:rPr>
          <w:rFonts w:ascii="Times New Roman" w:hAnsi="Times New Roman" w:cs="Times New Roman"/>
          <w:vertAlign w:val="superscript"/>
        </w:rPr>
        <w:footnoteReference w:id="4"/>
      </w:r>
      <w:r w:rsidR="00DC06CE">
        <w:rPr>
          <w:rFonts w:ascii="Times New Roman" w:hAnsi="Times New Roman" w:cs="Times New Roman"/>
        </w:rPr>
        <w:t xml:space="preserve"> </w:t>
      </w:r>
      <w:r w:rsidRPr="009000F0" w:rsidR="00A76D79">
        <w:rPr>
          <w:rFonts w:ascii="Times New Roman" w:hAnsi="Times New Roman" w:cs="Times New Roman"/>
        </w:rPr>
        <w:t>wage inflation</w:t>
      </w:r>
      <w:r w:rsidR="00DC06CE">
        <w:rPr>
          <w:rFonts w:ascii="Times New Roman" w:hAnsi="Times New Roman" w:cs="Times New Roman"/>
        </w:rPr>
        <w:t>,</w:t>
      </w:r>
      <w:r>
        <w:rPr>
          <w:rFonts w:ascii="Times New Roman" w:hAnsi="Times New Roman" w:cs="Times New Roman"/>
          <w:vertAlign w:val="superscript"/>
        </w:rPr>
        <w:footnoteReference w:id="5"/>
      </w:r>
      <w:r w:rsidR="00120355">
        <w:rPr>
          <w:rFonts w:ascii="Times New Roman" w:hAnsi="Times New Roman" w:cs="Times New Roman"/>
        </w:rPr>
        <w:t xml:space="preserve"> and</w:t>
      </w:r>
      <w:r w:rsidRPr="009000F0" w:rsidR="00474EF8">
        <w:rPr>
          <w:rFonts w:ascii="Times New Roman" w:hAnsi="Times New Roman" w:cs="Times New Roman"/>
        </w:rPr>
        <w:t xml:space="preserve"> </w:t>
      </w:r>
      <w:r w:rsidRPr="00DC06CE" w:rsidR="00DC06CE">
        <w:rPr>
          <w:rFonts w:ascii="Times New Roman" w:hAnsi="Times New Roman" w:cs="Times New Roman"/>
          <w:color w:val="auto"/>
        </w:rPr>
        <w:t>overhead costs.</w:t>
      </w:r>
      <w:r>
        <w:rPr>
          <w:rFonts w:ascii="Times New Roman" w:hAnsi="Times New Roman" w:cs="Times New Roman"/>
          <w:color w:val="auto"/>
          <w:vertAlign w:val="superscript"/>
        </w:rPr>
        <w:footnoteReference w:id="6"/>
      </w:r>
      <w:r w:rsidRPr="00DC06CE" w:rsidR="00DC06CE">
        <w:rPr>
          <w:rFonts w:ascii="Times New Roman" w:hAnsi="Times New Roman" w:cs="Times New Roman"/>
          <w:color w:val="auto"/>
        </w:rPr>
        <w:t xml:space="preserve"> </w:t>
      </w:r>
      <w:r w:rsidRPr="009000F0" w:rsidR="00926D8F">
        <w:rPr>
          <w:rFonts w:ascii="Times New Roman" w:hAnsi="Times New Roman" w:cs="Times New Roman"/>
        </w:rPr>
        <w:t xml:space="preserve">The occupations listed below in Table 12-1 </w:t>
      </w:r>
      <w:r w:rsidRPr="009000F0" w:rsidR="00926D8F">
        <w:rPr>
          <w:rFonts w:ascii="Times New Roman" w:hAnsi="Times New Roman" w:cs="Times New Roman"/>
        </w:rPr>
        <w:t>are those that were determined to be relevant for the cost calculations.</w:t>
      </w:r>
    </w:p>
    <w:p w:rsidR="00A820C4" w:rsidRPr="008D369D" w:rsidP="00926D8F" w14:paraId="5BA32227" w14:textId="77777777">
      <w:pPr>
        <w:pStyle w:val="Default"/>
        <w:rPr>
          <w:rFonts w:ascii="Times New Roman" w:hAnsi="Times New Roman" w:cs="Times New Roman"/>
          <w:sz w:val="20"/>
          <w:szCs w:val="20"/>
        </w:rPr>
      </w:pPr>
    </w:p>
    <w:p w:rsidR="00A820C4" w:rsidRPr="00F56785" w:rsidP="009000F0" w14:paraId="1C6220D7" w14:textId="77777777">
      <w:pPr>
        <w:pStyle w:val="Caption"/>
        <w:spacing w:after="0"/>
        <w:rPr>
          <w:rStyle w:val="Emphasis"/>
          <w:color w:val="000000"/>
          <w:sz w:val="24"/>
          <w:szCs w:val="24"/>
        </w:rPr>
      </w:pPr>
      <w:r w:rsidRPr="00F56785">
        <w:rPr>
          <w:rStyle w:val="Emphasis"/>
          <w:color w:val="000000"/>
          <w:sz w:val="24"/>
          <w:szCs w:val="24"/>
        </w:rPr>
        <w:t>Table 12-1 Hourly Wage Rates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900"/>
        <w:gridCol w:w="1170"/>
        <w:gridCol w:w="1170"/>
        <w:gridCol w:w="1170"/>
        <w:gridCol w:w="1530"/>
        <w:gridCol w:w="1800"/>
      </w:tblGrid>
      <w:tr w14:paraId="29CFD063" w14:textId="77777777" w:rsidTr="00F56785">
        <w:tblPrEx>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7"/>
        </w:trPr>
        <w:tc>
          <w:tcPr>
            <w:tcW w:w="1345" w:type="dxa"/>
            <w:shd w:val="clear" w:color="auto" w:fill="9CC2E5"/>
            <w:vAlign w:val="center"/>
          </w:tcPr>
          <w:p w:rsidR="00A820C4" w:rsidRPr="00F56785" w:rsidP="00A4294A" w14:paraId="7B929671" w14:textId="77777777">
            <w:pPr>
              <w:rPr>
                <w:b/>
                <w:bCs/>
                <w:sz w:val="20"/>
              </w:rPr>
            </w:pPr>
            <w:r w:rsidRPr="00F56785">
              <w:rPr>
                <w:b/>
                <w:bCs/>
                <w:sz w:val="20"/>
              </w:rPr>
              <w:t>Occupation</w:t>
            </w:r>
          </w:p>
        </w:tc>
        <w:tc>
          <w:tcPr>
            <w:tcW w:w="900" w:type="dxa"/>
            <w:shd w:val="clear" w:color="auto" w:fill="9CC2E5"/>
            <w:vAlign w:val="center"/>
          </w:tcPr>
          <w:p w:rsidR="00A820C4" w:rsidRPr="00F56785" w:rsidP="00F56785" w14:paraId="41A2720C" w14:textId="77777777">
            <w:pPr>
              <w:jc w:val="center"/>
              <w:rPr>
                <w:b/>
                <w:bCs/>
                <w:sz w:val="20"/>
              </w:rPr>
            </w:pPr>
            <w:r w:rsidRPr="00F56785">
              <w:rPr>
                <w:b/>
                <w:bCs/>
                <w:sz w:val="20"/>
              </w:rPr>
              <w:t>NAICS Code</w:t>
            </w:r>
          </w:p>
        </w:tc>
        <w:tc>
          <w:tcPr>
            <w:tcW w:w="1170" w:type="dxa"/>
            <w:shd w:val="clear" w:color="auto" w:fill="9CC2E5"/>
            <w:vAlign w:val="center"/>
          </w:tcPr>
          <w:p w:rsidR="00A820C4" w:rsidRPr="00F56785" w:rsidP="00F56785" w14:paraId="0FFE2016" w14:textId="77777777">
            <w:pPr>
              <w:jc w:val="center"/>
              <w:rPr>
                <w:b/>
                <w:bCs/>
                <w:sz w:val="20"/>
              </w:rPr>
            </w:pPr>
            <w:r w:rsidRPr="00F56785">
              <w:rPr>
                <w:b/>
                <w:bCs/>
                <w:iCs/>
                <w:sz w:val="20"/>
              </w:rPr>
              <w:t>Average</w:t>
            </w:r>
            <w:r w:rsidRPr="00F56785">
              <w:rPr>
                <w:b/>
                <w:bCs/>
                <w:sz w:val="20"/>
              </w:rPr>
              <w:t xml:space="preserve"> Wage Rate</w:t>
            </w:r>
          </w:p>
        </w:tc>
        <w:tc>
          <w:tcPr>
            <w:tcW w:w="1170" w:type="dxa"/>
            <w:shd w:val="clear" w:color="auto" w:fill="9CC2E5"/>
            <w:vAlign w:val="center"/>
          </w:tcPr>
          <w:p w:rsidR="00A820C4" w:rsidRPr="00F56785" w:rsidP="00F56785" w14:paraId="2321AAC9" w14:textId="77777777">
            <w:pPr>
              <w:jc w:val="center"/>
              <w:rPr>
                <w:b/>
                <w:bCs/>
                <w:sz w:val="20"/>
              </w:rPr>
            </w:pPr>
            <w:r w:rsidRPr="00F56785">
              <w:rPr>
                <w:b/>
                <w:bCs/>
                <w:sz w:val="20"/>
              </w:rPr>
              <w:t>Benefit Multiplier</w:t>
            </w:r>
          </w:p>
        </w:tc>
        <w:tc>
          <w:tcPr>
            <w:tcW w:w="1170" w:type="dxa"/>
            <w:shd w:val="clear" w:color="auto" w:fill="9CC2E5"/>
            <w:vAlign w:val="center"/>
          </w:tcPr>
          <w:p w:rsidR="00A820C4" w:rsidRPr="00F56785" w:rsidP="00F56785" w14:paraId="5DA19CBC" w14:textId="77777777">
            <w:pPr>
              <w:jc w:val="center"/>
              <w:rPr>
                <w:b/>
                <w:bCs/>
                <w:sz w:val="20"/>
              </w:rPr>
            </w:pPr>
            <w:r w:rsidRPr="00F56785">
              <w:rPr>
                <w:b/>
                <w:bCs/>
                <w:sz w:val="20"/>
              </w:rPr>
              <w:t>Inflation Multiplier</w:t>
            </w:r>
          </w:p>
        </w:tc>
        <w:tc>
          <w:tcPr>
            <w:tcW w:w="1530" w:type="dxa"/>
            <w:shd w:val="clear" w:color="auto" w:fill="9CC2E5"/>
            <w:vAlign w:val="center"/>
          </w:tcPr>
          <w:p w:rsidR="00A820C4" w:rsidRPr="00F56785" w:rsidP="00F56785" w14:paraId="1C06CF96" w14:textId="77777777">
            <w:pPr>
              <w:jc w:val="center"/>
              <w:rPr>
                <w:b/>
                <w:bCs/>
                <w:iCs/>
                <w:sz w:val="20"/>
              </w:rPr>
            </w:pPr>
            <w:r w:rsidRPr="00F56785">
              <w:rPr>
                <w:b/>
                <w:bCs/>
                <w:iCs/>
                <w:sz w:val="20"/>
              </w:rPr>
              <w:t>Overhead Cost Multiplier</w:t>
            </w:r>
          </w:p>
        </w:tc>
        <w:tc>
          <w:tcPr>
            <w:tcW w:w="1800" w:type="dxa"/>
            <w:shd w:val="clear" w:color="auto" w:fill="9CC2E5"/>
            <w:vAlign w:val="center"/>
          </w:tcPr>
          <w:p w:rsidR="00A820C4" w:rsidRPr="00F56785" w:rsidP="00F56785" w14:paraId="4C566790" w14:textId="77777777">
            <w:pPr>
              <w:jc w:val="center"/>
              <w:rPr>
                <w:b/>
                <w:bCs/>
                <w:sz w:val="20"/>
              </w:rPr>
            </w:pPr>
            <w:r w:rsidRPr="00F56785">
              <w:rPr>
                <w:b/>
                <w:bCs/>
                <w:sz w:val="20"/>
              </w:rPr>
              <w:t>Loaded Hourly Wage Rate</w:t>
            </w:r>
          </w:p>
        </w:tc>
      </w:tr>
      <w:tr w14:paraId="34B60EFA" w14:textId="77777777" w:rsidTr="00F56785">
        <w:tblPrEx>
          <w:tblW w:w="9085" w:type="dxa"/>
          <w:tblLayout w:type="fixed"/>
          <w:tblLook w:val="04A0"/>
        </w:tblPrEx>
        <w:trPr>
          <w:trHeight w:val="305"/>
        </w:trPr>
        <w:tc>
          <w:tcPr>
            <w:tcW w:w="1345" w:type="dxa"/>
            <w:shd w:val="clear" w:color="auto" w:fill="9CC2E5"/>
            <w:vAlign w:val="center"/>
          </w:tcPr>
          <w:p w:rsidR="00A820C4" w:rsidRPr="00F56785" w:rsidP="00F56785" w14:paraId="247A2DF9" w14:textId="77777777">
            <w:pPr>
              <w:jc w:val="center"/>
              <w:rPr>
                <w:b/>
                <w:bCs/>
                <w:sz w:val="20"/>
              </w:rPr>
            </w:pPr>
          </w:p>
        </w:tc>
        <w:tc>
          <w:tcPr>
            <w:tcW w:w="900" w:type="dxa"/>
            <w:shd w:val="clear" w:color="auto" w:fill="9CC2E5"/>
            <w:vAlign w:val="center"/>
          </w:tcPr>
          <w:p w:rsidR="00A820C4" w:rsidRPr="00F56785" w:rsidP="00F56785" w14:paraId="7E427249" w14:textId="77777777">
            <w:pPr>
              <w:jc w:val="center"/>
              <w:rPr>
                <w:b/>
                <w:bCs/>
                <w:sz w:val="20"/>
              </w:rPr>
            </w:pPr>
          </w:p>
        </w:tc>
        <w:tc>
          <w:tcPr>
            <w:tcW w:w="1170" w:type="dxa"/>
            <w:shd w:val="clear" w:color="auto" w:fill="9CC2E5"/>
            <w:vAlign w:val="center"/>
          </w:tcPr>
          <w:p w:rsidR="00A820C4" w:rsidRPr="00F56785" w:rsidP="00F56785" w14:paraId="562749A3" w14:textId="77777777">
            <w:pPr>
              <w:jc w:val="center"/>
              <w:rPr>
                <w:b/>
                <w:bCs/>
                <w:iCs/>
                <w:sz w:val="20"/>
              </w:rPr>
            </w:pPr>
            <w:r w:rsidRPr="00F56785">
              <w:rPr>
                <w:b/>
                <w:bCs/>
                <w:sz w:val="20"/>
              </w:rPr>
              <w:t>A</w:t>
            </w:r>
          </w:p>
        </w:tc>
        <w:tc>
          <w:tcPr>
            <w:tcW w:w="1170" w:type="dxa"/>
            <w:shd w:val="clear" w:color="auto" w:fill="9CC2E5"/>
            <w:vAlign w:val="center"/>
          </w:tcPr>
          <w:p w:rsidR="00A820C4" w:rsidRPr="00F56785" w:rsidP="00F56785" w14:paraId="3C40DA71" w14:textId="77777777">
            <w:pPr>
              <w:jc w:val="center"/>
              <w:rPr>
                <w:b/>
                <w:bCs/>
                <w:sz w:val="20"/>
              </w:rPr>
            </w:pPr>
            <w:r w:rsidRPr="00F56785">
              <w:rPr>
                <w:b/>
                <w:bCs/>
                <w:sz w:val="20"/>
              </w:rPr>
              <w:t>B</w:t>
            </w:r>
          </w:p>
        </w:tc>
        <w:tc>
          <w:tcPr>
            <w:tcW w:w="1170" w:type="dxa"/>
            <w:shd w:val="clear" w:color="auto" w:fill="9CC2E5"/>
            <w:vAlign w:val="center"/>
          </w:tcPr>
          <w:p w:rsidR="00A820C4" w:rsidRPr="00F56785" w:rsidP="00F56785" w14:paraId="1F08EDEE" w14:textId="77777777">
            <w:pPr>
              <w:jc w:val="center"/>
              <w:rPr>
                <w:b/>
                <w:bCs/>
                <w:sz w:val="20"/>
              </w:rPr>
            </w:pPr>
            <w:r w:rsidRPr="00F56785">
              <w:rPr>
                <w:b/>
                <w:bCs/>
                <w:sz w:val="20"/>
              </w:rPr>
              <w:t>C</w:t>
            </w:r>
          </w:p>
        </w:tc>
        <w:tc>
          <w:tcPr>
            <w:tcW w:w="1530" w:type="dxa"/>
            <w:shd w:val="clear" w:color="auto" w:fill="9CC2E5"/>
            <w:vAlign w:val="center"/>
          </w:tcPr>
          <w:p w:rsidR="00A820C4" w:rsidRPr="00F56785" w:rsidP="00F56785" w14:paraId="349C84E0" w14:textId="77777777">
            <w:pPr>
              <w:jc w:val="center"/>
              <w:rPr>
                <w:b/>
                <w:bCs/>
                <w:iCs/>
                <w:sz w:val="20"/>
              </w:rPr>
            </w:pPr>
            <w:r w:rsidRPr="00F56785">
              <w:rPr>
                <w:b/>
                <w:bCs/>
                <w:iCs/>
                <w:sz w:val="20"/>
              </w:rPr>
              <w:t>D</w:t>
            </w:r>
          </w:p>
        </w:tc>
        <w:tc>
          <w:tcPr>
            <w:tcW w:w="1800" w:type="dxa"/>
            <w:shd w:val="clear" w:color="auto" w:fill="9CC2E5"/>
            <w:vAlign w:val="center"/>
          </w:tcPr>
          <w:p w:rsidR="00A820C4" w:rsidRPr="00F56785" w:rsidP="00F56785" w14:paraId="73A24ECD" w14:textId="77777777">
            <w:pPr>
              <w:jc w:val="center"/>
              <w:rPr>
                <w:b/>
                <w:bCs/>
                <w:sz w:val="20"/>
              </w:rPr>
            </w:pPr>
            <w:r w:rsidRPr="00F56785">
              <w:rPr>
                <w:b/>
                <w:bCs/>
                <w:sz w:val="20"/>
              </w:rPr>
              <w:t>A x B x C x D</w:t>
            </w:r>
          </w:p>
        </w:tc>
      </w:tr>
      <w:tr w14:paraId="58DD852D" w14:textId="77777777" w:rsidTr="00F56785">
        <w:tblPrEx>
          <w:tblW w:w="9085" w:type="dxa"/>
          <w:tblLayout w:type="fixed"/>
          <w:tblLook w:val="04A0"/>
        </w:tblPrEx>
        <w:trPr>
          <w:trHeight w:val="445"/>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843C48" w:rsidRPr="00F56785" w:rsidP="00843C48" w14:paraId="47695414" w14:textId="77777777">
            <w:pPr>
              <w:rPr>
                <w:sz w:val="20"/>
              </w:rPr>
            </w:pPr>
            <w:r w:rsidRPr="00F56785">
              <w:rPr>
                <w:color w:val="000000"/>
                <w:sz w:val="20"/>
              </w:rPr>
              <w:t>Mine Supervisor[a]</w:t>
            </w:r>
          </w:p>
        </w:tc>
        <w:tc>
          <w:tcPr>
            <w:tcW w:w="90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2ECB5324" w14:textId="77777777">
            <w:pPr>
              <w:jc w:val="center"/>
              <w:rPr>
                <w:sz w:val="20"/>
              </w:rPr>
            </w:pPr>
            <w:r w:rsidRPr="00F56785">
              <w:rPr>
                <w:color w:val="000000"/>
                <w:sz w:val="20"/>
              </w:rPr>
              <w:t>212100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494157AE" w14:textId="77777777">
            <w:pPr>
              <w:jc w:val="center"/>
              <w:rPr>
                <w:sz w:val="20"/>
              </w:rPr>
            </w:pPr>
            <w:r w:rsidRPr="00F56785">
              <w:rPr>
                <w:color w:val="000000"/>
                <w:sz w:val="20"/>
              </w:rPr>
              <w:t>$52.49</w:t>
            </w:r>
          </w:p>
        </w:tc>
        <w:tc>
          <w:tcPr>
            <w:tcW w:w="117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6ACD929D" w14:textId="77777777">
            <w:pPr>
              <w:jc w:val="center"/>
              <w:rPr>
                <w:sz w:val="20"/>
              </w:rPr>
            </w:pPr>
            <w:r w:rsidRPr="00F56785">
              <w:rPr>
                <w:color w:val="000000"/>
                <w:sz w:val="20"/>
              </w:rPr>
              <w:t>1.470</w:t>
            </w:r>
          </w:p>
        </w:tc>
        <w:tc>
          <w:tcPr>
            <w:tcW w:w="117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6B7E7A28" w14:textId="77777777">
            <w:pPr>
              <w:jc w:val="center"/>
              <w:rPr>
                <w:sz w:val="20"/>
              </w:rPr>
            </w:pPr>
            <w:r w:rsidRPr="00F56785">
              <w:rPr>
                <w:color w:val="000000"/>
                <w:sz w:val="20"/>
              </w:rPr>
              <w:t>1.018</w:t>
            </w:r>
          </w:p>
        </w:tc>
        <w:tc>
          <w:tcPr>
            <w:tcW w:w="153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6E214ABD" w14:textId="77777777">
            <w:pPr>
              <w:jc w:val="center"/>
              <w:rPr>
                <w:sz w:val="20"/>
                <w:szCs w:val="20"/>
              </w:rPr>
            </w:pPr>
            <w:r w:rsidRPr="00F56785">
              <w:rPr>
                <w:sz w:val="20"/>
                <w:szCs w:val="20"/>
              </w:rPr>
              <w:t>1.01</w:t>
            </w:r>
          </w:p>
        </w:tc>
        <w:tc>
          <w:tcPr>
            <w:tcW w:w="180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0E3D1865" w14:textId="77777777">
            <w:pPr>
              <w:jc w:val="center"/>
              <w:rPr>
                <w:iCs/>
                <w:sz w:val="20"/>
                <w:szCs w:val="20"/>
              </w:rPr>
            </w:pPr>
            <w:r w:rsidRPr="00F56785">
              <w:rPr>
                <w:sz w:val="20"/>
                <w:szCs w:val="20"/>
              </w:rPr>
              <w:t xml:space="preserve">$79.33 </w:t>
            </w:r>
          </w:p>
        </w:tc>
      </w:tr>
      <w:tr w14:paraId="77BF9D98" w14:textId="77777777" w:rsidTr="00F56785">
        <w:tblPrEx>
          <w:tblW w:w="9085" w:type="dxa"/>
          <w:tblLayout w:type="fixed"/>
          <w:tblLook w:val="04A0"/>
        </w:tblPrEx>
        <w:trPr>
          <w:trHeight w:val="445"/>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843C48" w:rsidRPr="00F56785" w:rsidP="00843C48" w14:paraId="454AE8D0" w14:textId="77777777">
            <w:pPr>
              <w:rPr>
                <w:color w:val="000000"/>
                <w:sz w:val="20"/>
              </w:rPr>
            </w:pPr>
            <w:r w:rsidRPr="00F56785">
              <w:rPr>
                <w:color w:val="000000"/>
                <w:sz w:val="20"/>
              </w:rPr>
              <w:t>Clerical Worker[b]</w:t>
            </w:r>
          </w:p>
        </w:tc>
        <w:tc>
          <w:tcPr>
            <w:tcW w:w="90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65D248C1" w14:textId="77777777">
            <w:pPr>
              <w:jc w:val="center"/>
              <w:rPr>
                <w:color w:val="000000"/>
                <w:sz w:val="20"/>
              </w:rPr>
            </w:pPr>
            <w:r w:rsidRPr="00F56785">
              <w:rPr>
                <w:color w:val="000000"/>
                <w:sz w:val="20"/>
              </w:rPr>
              <w:t>212100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4F3E021B" w14:textId="77777777">
            <w:pPr>
              <w:jc w:val="center"/>
              <w:rPr>
                <w:color w:val="000000"/>
                <w:sz w:val="20"/>
              </w:rPr>
            </w:pPr>
            <w:r w:rsidRPr="00F56785">
              <w:rPr>
                <w:color w:val="000000"/>
                <w:sz w:val="20"/>
              </w:rPr>
              <w:t>$22.81</w:t>
            </w:r>
          </w:p>
        </w:tc>
        <w:tc>
          <w:tcPr>
            <w:tcW w:w="117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18E3B887" w14:textId="77777777">
            <w:pPr>
              <w:jc w:val="center"/>
              <w:rPr>
                <w:color w:val="000000"/>
                <w:sz w:val="20"/>
              </w:rPr>
            </w:pPr>
            <w:r w:rsidRPr="00F56785">
              <w:rPr>
                <w:color w:val="000000"/>
                <w:sz w:val="20"/>
              </w:rPr>
              <w:t>1.470</w:t>
            </w:r>
          </w:p>
        </w:tc>
        <w:tc>
          <w:tcPr>
            <w:tcW w:w="117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732ACA0A" w14:textId="77777777">
            <w:pPr>
              <w:jc w:val="center"/>
              <w:rPr>
                <w:color w:val="000000"/>
                <w:sz w:val="20"/>
              </w:rPr>
            </w:pPr>
            <w:r w:rsidRPr="00F56785">
              <w:rPr>
                <w:color w:val="000000"/>
                <w:sz w:val="20"/>
              </w:rPr>
              <w:t>1.018</w:t>
            </w:r>
          </w:p>
        </w:tc>
        <w:tc>
          <w:tcPr>
            <w:tcW w:w="153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4B95C7E9" w14:textId="77777777">
            <w:pPr>
              <w:jc w:val="center"/>
              <w:rPr>
                <w:color w:val="000000"/>
                <w:sz w:val="20"/>
                <w:szCs w:val="20"/>
              </w:rPr>
            </w:pPr>
            <w:r w:rsidRPr="00F56785">
              <w:rPr>
                <w:sz w:val="20"/>
                <w:szCs w:val="20"/>
              </w:rPr>
              <w:t>1.01</w:t>
            </w:r>
          </w:p>
        </w:tc>
        <w:tc>
          <w:tcPr>
            <w:tcW w:w="1800" w:type="dxa"/>
            <w:tcBorders>
              <w:top w:val="single" w:sz="4" w:space="0" w:color="auto"/>
              <w:left w:val="nil"/>
              <w:bottom w:val="single" w:sz="4" w:space="0" w:color="auto"/>
              <w:right w:val="single" w:sz="4" w:space="0" w:color="auto"/>
            </w:tcBorders>
            <w:shd w:val="clear" w:color="auto" w:fill="auto"/>
            <w:vAlign w:val="center"/>
          </w:tcPr>
          <w:p w:rsidR="00843C48" w:rsidRPr="00F56785" w:rsidP="00F56785" w14:paraId="4C230D3C" w14:textId="77777777">
            <w:pPr>
              <w:jc w:val="center"/>
              <w:rPr>
                <w:color w:val="000000"/>
                <w:sz w:val="20"/>
                <w:szCs w:val="20"/>
              </w:rPr>
            </w:pPr>
            <w:r w:rsidRPr="00F56785">
              <w:rPr>
                <w:sz w:val="20"/>
                <w:szCs w:val="20"/>
              </w:rPr>
              <w:t xml:space="preserve">$34.48 </w:t>
            </w:r>
          </w:p>
        </w:tc>
      </w:tr>
    </w:tbl>
    <w:p w:rsidR="00926D8F" w:rsidRPr="008D369D" w:rsidP="00A4294A" w14:paraId="0D0DD884" w14:textId="77777777">
      <w:pPr>
        <w:pStyle w:val="Default"/>
        <w:rPr>
          <w:rFonts w:ascii="Times New Roman" w:hAnsi="Times New Roman" w:cs="Times New Roman"/>
          <w:sz w:val="18"/>
          <w:szCs w:val="18"/>
        </w:rPr>
      </w:pPr>
      <w:r w:rsidRPr="008D369D">
        <w:rPr>
          <w:rFonts w:ascii="Times New Roman" w:hAnsi="Times New Roman" w:cs="Times New Roman"/>
          <w:sz w:val="20"/>
          <w:szCs w:val="20"/>
        </w:rPr>
        <w:t xml:space="preserve">Notes: </w:t>
      </w:r>
      <w:r w:rsidRPr="008D369D">
        <w:rPr>
          <w:rFonts w:ascii="Times New Roman" w:hAnsi="Times New Roman" w:cs="Times New Roman"/>
          <w:sz w:val="18"/>
          <w:szCs w:val="18"/>
        </w:rPr>
        <w:t>MSHA used the latest 4-quarter moving average 2023Q1-2023Q4 to determine that 32.0 percent of total loaded wages are benefits for private industry workers in construction, extraction, farming, fishing, and forestry occupations. The benefit multiplier is 1.470= 1 + (0.320/(1-0.320)). The inflation multiplier was determined by using the employment price index from the most current quarter data is available, 2023Q4, divided by the base year and quarter of the OEWS employment and wage statistics, 2023Q2, for private industry workers in construction, extraction, farming, fishing, and forestry occupations, current dollar index. The inflation multiplier is 1.018 = 160.1/157.3. MSHA used the overhead multiplier of 1.</w:t>
      </w:r>
      <w:r w:rsidR="00164195">
        <w:rPr>
          <w:rFonts w:ascii="Times New Roman" w:hAnsi="Times New Roman" w:cs="Times New Roman"/>
          <w:sz w:val="18"/>
          <w:szCs w:val="18"/>
        </w:rPr>
        <w:t>01</w:t>
      </w:r>
      <w:r w:rsidRPr="008D369D">
        <w:rPr>
          <w:rFonts w:ascii="Times New Roman" w:hAnsi="Times New Roman" w:cs="Times New Roman"/>
          <w:sz w:val="18"/>
          <w:szCs w:val="18"/>
        </w:rPr>
        <w:t>.</w:t>
      </w:r>
    </w:p>
    <w:p w:rsidR="00926D8F" w:rsidRPr="002A037B" w:rsidP="00A4294A" w14:paraId="67380303" w14:textId="77777777">
      <w:pPr>
        <w:pStyle w:val="Default"/>
        <w:rPr>
          <w:rFonts w:ascii="Times New Roman" w:hAnsi="Times New Roman" w:cs="Times New Roman"/>
          <w:sz w:val="20"/>
          <w:szCs w:val="20"/>
        </w:rPr>
      </w:pPr>
      <w:r w:rsidRPr="002A037B">
        <w:rPr>
          <w:rFonts w:ascii="Times New Roman" w:hAnsi="Times New Roman" w:cs="Times New Roman"/>
          <w:sz w:val="20"/>
          <w:szCs w:val="20"/>
        </w:rPr>
        <w:t>[a] The Standard Occupation Codes (SOC) used for this occupation are (47-1011), (49-1011), (51-1011), and (53-1047).</w:t>
      </w:r>
    </w:p>
    <w:p w:rsidR="000E3D76" w:rsidRPr="002A037B" w:rsidP="00A4294A" w14:paraId="6AD879BB" w14:textId="77777777">
      <w:pPr>
        <w:pStyle w:val="Default"/>
        <w:rPr>
          <w:rFonts w:ascii="Times New Roman" w:hAnsi="Times New Roman" w:cs="Times New Roman"/>
          <w:sz w:val="20"/>
          <w:szCs w:val="20"/>
        </w:rPr>
      </w:pPr>
      <w:r w:rsidRPr="002A037B">
        <w:rPr>
          <w:rFonts w:ascii="Times New Roman" w:hAnsi="Times New Roman" w:cs="Times New Roman"/>
          <w:sz w:val="20"/>
          <w:szCs w:val="20"/>
        </w:rPr>
        <w:t>[b] The SOC</w:t>
      </w:r>
      <w:r w:rsidRPr="002A037B" w:rsidR="0027300D">
        <w:rPr>
          <w:rFonts w:ascii="Times New Roman" w:hAnsi="Times New Roman" w:cs="Times New Roman"/>
          <w:sz w:val="20"/>
          <w:szCs w:val="20"/>
        </w:rPr>
        <w:t>s</w:t>
      </w:r>
      <w:r w:rsidRPr="002A037B">
        <w:rPr>
          <w:rFonts w:ascii="Times New Roman" w:hAnsi="Times New Roman" w:cs="Times New Roman"/>
          <w:sz w:val="20"/>
          <w:szCs w:val="20"/>
        </w:rPr>
        <w:t xml:space="preserve"> used for this occupation</w:t>
      </w:r>
      <w:r w:rsidRPr="002A037B" w:rsidR="0027300D">
        <w:rPr>
          <w:rFonts w:ascii="Times New Roman" w:hAnsi="Times New Roman" w:cs="Times New Roman"/>
          <w:sz w:val="20"/>
          <w:szCs w:val="20"/>
        </w:rPr>
        <w:t xml:space="preserve"> are</w:t>
      </w:r>
      <w:r w:rsidRPr="002A037B">
        <w:rPr>
          <w:rFonts w:ascii="Times New Roman" w:hAnsi="Times New Roman" w:cs="Times New Roman"/>
          <w:sz w:val="20"/>
          <w:szCs w:val="20"/>
        </w:rPr>
        <w:t xml:space="preserve"> (43-3031), (43-3051), (43-3061), (43-5071)</w:t>
      </w:r>
      <w:r w:rsidRPr="002A037B" w:rsidR="0027300D">
        <w:rPr>
          <w:rFonts w:ascii="Times New Roman" w:hAnsi="Times New Roman" w:cs="Times New Roman"/>
          <w:sz w:val="20"/>
          <w:szCs w:val="20"/>
        </w:rPr>
        <w:t>,</w:t>
      </w:r>
      <w:r w:rsidRPr="002A037B">
        <w:rPr>
          <w:rFonts w:ascii="Times New Roman" w:hAnsi="Times New Roman" w:cs="Times New Roman"/>
          <w:sz w:val="20"/>
          <w:szCs w:val="20"/>
        </w:rPr>
        <w:t>and (43-9061).</w:t>
      </w:r>
    </w:p>
    <w:p w:rsidR="000E3D76" w:rsidRPr="008D369D" w:rsidP="00A4294A" w14:paraId="0DC2ED81" w14:textId="77777777">
      <w:pPr>
        <w:pStyle w:val="Default"/>
        <w:rPr>
          <w:rFonts w:ascii="Times New Roman" w:hAnsi="Times New Roman" w:cs="Times New Roman"/>
          <w:sz w:val="20"/>
        </w:rPr>
      </w:pPr>
    </w:p>
    <w:p w:rsidR="00993B69" w:rsidRPr="009000F0" w14:paraId="0A1E1701" w14:textId="77777777">
      <w:pPr>
        <w:pStyle w:val="Default"/>
        <w:rPr>
          <w:rFonts w:ascii="Times New Roman" w:hAnsi="Times New Roman" w:cs="Times New Roman"/>
          <w:b/>
          <w:bCs/>
        </w:rPr>
      </w:pPr>
      <w:r w:rsidRPr="009000F0">
        <w:rPr>
          <w:rFonts w:ascii="Times New Roman" w:hAnsi="Times New Roman" w:cs="Times New Roman"/>
          <w:b/>
          <w:bCs/>
        </w:rPr>
        <w:t>Hours Burden</w:t>
      </w:r>
    </w:p>
    <w:p w:rsidR="00993B69" w14:paraId="3F652A20" w14:textId="77777777">
      <w:pPr>
        <w:pStyle w:val="Default"/>
        <w:rPr>
          <w:rFonts w:ascii="Times New Roman" w:hAnsi="Times New Roman" w:cs="Times New Roman"/>
          <w:b/>
          <w:bCs/>
        </w:rPr>
      </w:pPr>
    </w:p>
    <w:p w:rsidR="009D40BC" w:rsidRPr="00D463FB" w:rsidP="00D463FB" w14:paraId="270DE046" w14:textId="77777777">
      <w:pPr>
        <w:pStyle w:val="Default"/>
        <w:ind w:firstLine="720"/>
        <w:rPr>
          <w:rFonts w:ascii="Times New Roman" w:hAnsi="Times New Roman" w:cs="Times New Roman"/>
          <w:color w:val="auto"/>
        </w:rPr>
      </w:pPr>
      <w:r>
        <w:rPr>
          <w:rFonts w:ascii="Times New Roman" w:hAnsi="Times New Roman"/>
          <w:b/>
        </w:rPr>
        <w:t>I</w:t>
      </w:r>
      <w:r w:rsidRPr="00210C7E">
        <w:rPr>
          <w:rFonts w:ascii="Times New Roman" w:hAnsi="Times New Roman"/>
          <w:b/>
        </w:rPr>
        <w:t xml:space="preserve">. </w:t>
      </w:r>
      <w:r w:rsidRPr="00210C7E">
        <w:rPr>
          <w:rFonts w:ascii="Times New Roman" w:hAnsi="Times New Roman"/>
          <w:b/>
        </w:rPr>
        <w:t>Preshift</w:t>
      </w:r>
      <w:r w:rsidRPr="00210C7E">
        <w:rPr>
          <w:rFonts w:ascii="Times New Roman" w:hAnsi="Times New Roman"/>
          <w:b/>
        </w:rPr>
        <w:t xml:space="preserve"> and </w:t>
      </w:r>
      <w:r w:rsidRPr="00210C7E">
        <w:rPr>
          <w:rFonts w:ascii="Times New Roman" w:hAnsi="Times New Roman"/>
          <w:b/>
        </w:rPr>
        <w:t>onshift</w:t>
      </w:r>
      <w:r w:rsidRPr="00210C7E">
        <w:rPr>
          <w:rFonts w:ascii="Times New Roman" w:hAnsi="Times New Roman"/>
          <w:b/>
        </w:rPr>
        <w:t xml:space="preserve"> inspections</w:t>
      </w:r>
    </w:p>
    <w:p w:rsidR="009D40BC" w:rsidRPr="009000F0" w14:paraId="5A619E51" w14:textId="77777777">
      <w:pPr>
        <w:pStyle w:val="Default"/>
        <w:rPr>
          <w:rFonts w:ascii="Times New Roman" w:hAnsi="Times New Roman" w:cs="Times New Roman"/>
          <w:b/>
          <w:bCs/>
        </w:rPr>
      </w:pPr>
    </w:p>
    <w:p w:rsidR="003C0C00" w:rsidP="00993B69" w14:paraId="6E036ECD" w14:textId="77777777">
      <w:pPr>
        <w:pStyle w:val="Default"/>
        <w:rPr>
          <w:rFonts w:ascii="Times New Roman" w:hAnsi="Times New Roman" w:cs="Times New Roman"/>
          <w:color w:val="auto"/>
        </w:rPr>
      </w:pPr>
      <w:r w:rsidRPr="009000F0">
        <w:rPr>
          <w:rFonts w:ascii="Times New Roman" w:hAnsi="Times New Roman" w:cs="Times New Roman"/>
          <w:color w:val="auto"/>
        </w:rPr>
        <w:t>The average coal mine works 220 days per year and 2 shifts per day</w:t>
      </w:r>
      <w:r w:rsidR="002A037B">
        <w:rPr>
          <w:rFonts w:ascii="Times New Roman" w:hAnsi="Times New Roman" w:cs="Times New Roman"/>
          <w:color w:val="auto"/>
        </w:rPr>
        <w:t>, that is, 440 shifts per year</w:t>
      </w:r>
      <w:r>
        <w:rPr>
          <w:rFonts w:ascii="Times New Roman" w:hAnsi="Times New Roman" w:cs="Times New Roman"/>
          <w:color w:val="auto"/>
        </w:rPr>
        <w:t xml:space="preserve"> for each of the </w:t>
      </w:r>
      <w:r w:rsidRPr="003C0C00">
        <w:rPr>
          <w:rFonts w:ascii="Times New Roman" w:hAnsi="Times New Roman" w:cs="Times New Roman"/>
          <w:color w:val="auto"/>
        </w:rPr>
        <w:t>15 slope and shaft sinking operations</w:t>
      </w:r>
      <w:r w:rsidR="008D369D">
        <w:rPr>
          <w:rFonts w:ascii="Times New Roman" w:hAnsi="Times New Roman" w:cs="Times New Roman"/>
          <w:color w:val="auto"/>
        </w:rPr>
        <w:t xml:space="preserve">. </w:t>
      </w:r>
      <w:r>
        <w:rPr>
          <w:rFonts w:ascii="Times New Roman" w:hAnsi="Times New Roman" w:cs="Times New Roman"/>
          <w:color w:val="auto"/>
        </w:rPr>
        <w:t xml:space="preserve">MSHA assumes </w:t>
      </w:r>
      <w:r w:rsidR="00E6678F">
        <w:rPr>
          <w:rFonts w:ascii="Times New Roman" w:hAnsi="Times New Roman" w:cs="Times New Roman"/>
          <w:color w:val="auto"/>
        </w:rPr>
        <w:t xml:space="preserve">that </w:t>
      </w:r>
      <w:r>
        <w:rPr>
          <w:rFonts w:ascii="Times New Roman" w:hAnsi="Times New Roman" w:cs="Times New Roman"/>
          <w:color w:val="auto"/>
        </w:rPr>
        <w:t xml:space="preserve">on average </w:t>
      </w:r>
    </w:p>
    <w:p w:rsidR="00993B69" w:rsidRPr="009000F0" w:rsidP="00993B69" w14:paraId="14BEA576" w14:textId="77777777">
      <w:pPr>
        <w:pStyle w:val="Default"/>
        <w:rPr>
          <w:rFonts w:ascii="Times New Roman" w:hAnsi="Times New Roman" w:cs="Times New Roman"/>
          <w:color w:val="auto"/>
        </w:rPr>
      </w:pPr>
      <w:r>
        <w:rPr>
          <w:rFonts w:ascii="Times New Roman" w:hAnsi="Times New Roman" w:cs="Times New Roman"/>
          <w:color w:val="auto"/>
        </w:rPr>
        <w:t xml:space="preserve">one record </w:t>
      </w:r>
      <w:r w:rsidR="00E6678F">
        <w:rPr>
          <w:rFonts w:ascii="Times New Roman" w:hAnsi="Times New Roman" w:cs="Times New Roman"/>
          <w:color w:val="auto"/>
        </w:rPr>
        <w:t>is generated</w:t>
      </w:r>
      <w:r>
        <w:rPr>
          <w:rFonts w:ascii="Times New Roman" w:hAnsi="Times New Roman" w:cs="Times New Roman"/>
          <w:color w:val="auto"/>
        </w:rPr>
        <w:t xml:space="preserve"> per shift</w:t>
      </w:r>
      <w:r w:rsidR="00E6678F">
        <w:rPr>
          <w:rFonts w:ascii="Times New Roman" w:hAnsi="Times New Roman" w:cs="Times New Roman"/>
          <w:color w:val="auto"/>
        </w:rPr>
        <w:t>. A</w:t>
      </w:r>
      <w:r>
        <w:rPr>
          <w:rFonts w:ascii="Times New Roman" w:hAnsi="Times New Roman" w:cs="Times New Roman"/>
          <w:color w:val="auto"/>
        </w:rPr>
        <w:t xml:space="preserve"> </w:t>
      </w:r>
      <w:r w:rsidR="00E6678F">
        <w:rPr>
          <w:rFonts w:ascii="Times New Roman" w:hAnsi="Times New Roman" w:cs="Times New Roman"/>
          <w:color w:val="auto"/>
        </w:rPr>
        <w:t xml:space="preserve">record includes </w:t>
      </w:r>
      <w:r w:rsidR="00E6678F">
        <w:rPr>
          <w:rFonts w:ascii="Times New Roman" w:hAnsi="Times New Roman" w:cs="Times New Roman"/>
          <w:color w:val="auto"/>
        </w:rPr>
        <w:t>preshift</w:t>
      </w:r>
      <w:r w:rsidR="00E6678F">
        <w:rPr>
          <w:rFonts w:ascii="Times New Roman" w:hAnsi="Times New Roman" w:cs="Times New Roman"/>
          <w:color w:val="auto"/>
        </w:rPr>
        <w:t xml:space="preserve"> and </w:t>
      </w:r>
      <w:r w:rsidR="00E6678F">
        <w:rPr>
          <w:rFonts w:ascii="Times New Roman" w:hAnsi="Times New Roman" w:cs="Times New Roman"/>
          <w:color w:val="auto"/>
        </w:rPr>
        <w:t>onshift</w:t>
      </w:r>
      <w:r w:rsidR="00E6678F">
        <w:rPr>
          <w:rFonts w:ascii="Times New Roman" w:hAnsi="Times New Roman" w:cs="Times New Roman"/>
          <w:color w:val="auto"/>
        </w:rPr>
        <w:t xml:space="preserve"> inspections</w:t>
      </w:r>
      <w:bookmarkStart w:id="5" w:name="_Hlk177980161"/>
      <w:r w:rsidR="00E6678F">
        <w:rPr>
          <w:rFonts w:ascii="Times New Roman" w:hAnsi="Times New Roman" w:cs="Times New Roman"/>
          <w:color w:val="auto"/>
        </w:rPr>
        <w:t xml:space="preserve">, as well as </w:t>
      </w:r>
      <w:r w:rsidR="00CB4278">
        <w:rPr>
          <w:rFonts w:ascii="Times New Roman" w:hAnsi="Times New Roman" w:cs="Times New Roman"/>
          <w:color w:val="auto"/>
        </w:rPr>
        <w:t xml:space="preserve">inspections </w:t>
      </w:r>
      <w:r w:rsidRPr="009000F0" w:rsidR="00E6678F">
        <w:rPr>
          <w:rFonts w:ascii="Times New Roman" w:hAnsi="Times New Roman" w:cs="Times New Roman"/>
          <w:color w:val="auto"/>
        </w:rPr>
        <w:t>before and after blasting</w:t>
      </w:r>
      <w:r w:rsidRPr="00E6678F" w:rsidR="00E6678F">
        <w:rPr>
          <w:rFonts w:ascii="Times New Roman" w:hAnsi="Times New Roman" w:cs="Times New Roman"/>
          <w:color w:val="auto"/>
        </w:rPr>
        <w:t xml:space="preserve"> </w:t>
      </w:r>
      <w:r w:rsidR="00E6678F">
        <w:rPr>
          <w:rFonts w:ascii="Times New Roman" w:hAnsi="Times New Roman" w:cs="Times New Roman"/>
          <w:color w:val="auto"/>
        </w:rPr>
        <w:t>if a blasting occurs</w:t>
      </w:r>
      <w:bookmarkEnd w:id="5"/>
      <w:r w:rsidR="00E6678F">
        <w:rPr>
          <w:rFonts w:ascii="Times New Roman" w:hAnsi="Times New Roman" w:cs="Times New Roman"/>
          <w:color w:val="auto"/>
        </w:rPr>
        <w:t xml:space="preserve">. </w:t>
      </w:r>
      <w:r w:rsidRPr="00226886" w:rsidR="00226886">
        <w:rPr>
          <w:rFonts w:ascii="Times New Roman" w:hAnsi="Times New Roman" w:cs="Times New Roman"/>
          <w:color w:val="auto"/>
        </w:rPr>
        <w:t>MSHA estimates that it takes a coal supervisor, earning $</w:t>
      </w:r>
      <w:r w:rsidR="0042745E">
        <w:rPr>
          <w:rFonts w:ascii="Times New Roman" w:hAnsi="Times New Roman" w:cs="Times New Roman"/>
          <w:color w:val="auto"/>
        </w:rPr>
        <w:t>79.33</w:t>
      </w:r>
      <w:r w:rsidRPr="00226886" w:rsidR="00226886">
        <w:rPr>
          <w:rFonts w:ascii="Times New Roman" w:hAnsi="Times New Roman" w:cs="Times New Roman"/>
          <w:color w:val="auto"/>
        </w:rPr>
        <w:t xml:space="preserve"> per hour, 1 hour to </w:t>
      </w:r>
      <w:r w:rsidR="0072679D">
        <w:rPr>
          <w:rFonts w:ascii="Times New Roman" w:hAnsi="Times New Roman" w:cs="Times New Roman"/>
          <w:color w:val="auto"/>
        </w:rPr>
        <w:t>record</w:t>
      </w:r>
      <w:r w:rsidRPr="00226886" w:rsidR="00226886">
        <w:rPr>
          <w:rFonts w:ascii="Times New Roman" w:hAnsi="Times New Roman" w:cs="Times New Roman"/>
          <w:color w:val="auto"/>
        </w:rPr>
        <w:t xml:space="preserve"> </w:t>
      </w:r>
      <w:r w:rsidR="0072679D">
        <w:rPr>
          <w:rFonts w:ascii="Times New Roman" w:hAnsi="Times New Roman" w:cs="Times New Roman"/>
          <w:color w:val="auto"/>
        </w:rPr>
        <w:t xml:space="preserve">the inspection results of one shift </w:t>
      </w:r>
      <w:r w:rsidRPr="00226886" w:rsidR="00226886">
        <w:rPr>
          <w:rFonts w:ascii="Times New Roman" w:hAnsi="Times New Roman" w:cs="Times New Roman"/>
          <w:color w:val="auto"/>
        </w:rPr>
        <w:t>and a clerical worker</w:t>
      </w:r>
      <w:r w:rsidR="00226886">
        <w:rPr>
          <w:rFonts w:ascii="Times New Roman" w:hAnsi="Times New Roman" w:cs="Times New Roman"/>
          <w:color w:val="auto"/>
        </w:rPr>
        <w:t>,</w:t>
      </w:r>
      <w:r w:rsidRPr="00226886" w:rsidR="00226886">
        <w:rPr>
          <w:rFonts w:ascii="Times New Roman" w:hAnsi="Times New Roman" w:cs="Times New Roman"/>
          <w:color w:val="auto"/>
        </w:rPr>
        <w:t xml:space="preserve"> earning $3</w:t>
      </w:r>
      <w:r w:rsidR="0042745E">
        <w:rPr>
          <w:rFonts w:ascii="Times New Roman" w:hAnsi="Times New Roman" w:cs="Times New Roman"/>
          <w:color w:val="auto"/>
        </w:rPr>
        <w:t>4.48</w:t>
      </w:r>
      <w:r w:rsidRPr="00226886" w:rsidR="00226886">
        <w:rPr>
          <w:rFonts w:ascii="Times New Roman" w:hAnsi="Times New Roman" w:cs="Times New Roman"/>
          <w:color w:val="auto"/>
        </w:rPr>
        <w:t xml:space="preserve"> per hour</w:t>
      </w:r>
      <w:r w:rsidR="00226886">
        <w:rPr>
          <w:rFonts w:ascii="Times New Roman" w:hAnsi="Times New Roman" w:cs="Times New Roman"/>
          <w:color w:val="auto"/>
        </w:rPr>
        <w:t>,</w:t>
      </w:r>
      <w:r w:rsidRPr="00226886" w:rsidR="00226886">
        <w:rPr>
          <w:rFonts w:ascii="Times New Roman" w:hAnsi="Times New Roman" w:cs="Times New Roman"/>
          <w:color w:val="auto"/>
        </w:rPr>
        <w:t xml:space="preserve"> 15 minutes to </w:t>
      </w:r>
      <w:r w:rsidR="0072679D">
        <w:rPr>
          <w:rFonts w:ascii="Times New Roman" w:hAnsi="Times New Roman" w:cs="Times New Roman"/>
          <w:color w:val="auto"/>
        </w:rPr>
        <w:t xml:space="preserve">file the </w:t>
      </w:r>
      <w:r w:rsidRPr="00226886" w:rsidR="00226886">
        <w:rPr>
          <w:rFonts w:ascii="Times New Roman" w:hAnsi="Times New Roman" w:cs="Times New Roman"/>
          <w:color w:val="auto"/>
        </w:rPr>
        <w:t>record.</w:t>
      </w:r>
    </w:p>
    <w:p w:rsidR="00993B69" w:rsidRPr="009000F0" w:rsidP="006617F0" w14:paraId="70DE646D" w14:textId="77777777">
      <w:pPr>
        <w:tabs>
          <w:tab w:val="left" w:pos="-720"/>
        </w:tabs>
        <w:suppressAutoHyphens/>
        <w:rPr>
          <w:sz w:val="16"/>
          <w:szCs w:val="16"/>
        </w:rPr>
      </w:pPr>
    </w:p>
    <w:p w:rsidR="009E5E0A" w:rsidRPr="00F56785" w:rsidP="009000F0" w14:paraId="1EBF8B28" w14:textId="77777777">
      <w:pPr>
        <w:pStyle w:val="Caption"/>
        <w:keepNext/>
        <w:spacing w:after="0"/>
        <w:rPr>
          <w:i w:val="0"/>
          <w:iCs w:val="0"/>
          <w:color w:val="000000"/>
          <w:sz w:val="24"/>
          <w:szCs w:val="24"/>
        </w:rPr>
      </w:pPr>
      <w:r w:rsidRPr="00F56785">
        <w:rPr>
          <w:i w:val="0"/>
          <w:iCs w:val="0"/>
          <w:color w:val="000000"/>
          <w:sz w:val="24"/>
          <w:szCs w:val="24"/>
        </w:rPr>
        <w:t>Table 12-2. Estimated Annual Respondent Hour and Cost Burden</w:t>
      </w:r>
      <w:r w:rsidRPr="00F56785" w:rsidR="002A037B">
        <w:rPr>
          <w:i w:val="0"/>
          <w:iCs w:val="0"/>
          <w:color w:val="000000"/>
          <w:sz w:val="24"/>
          <w:szCs w:val="24"/>
        </w:rPr>
        <w:t xml:space="preserve">, </w:t>
      </w:r>
      <w:r w:rsidRPr="00F56785" w:rsidR="002A037B">
        <w:rPr>
          <w:i w:val="0"/>
          <w:iCs w:val="0"/>
          <w:color w:val="000000"/>
          <w:sz w:val="24"/>
          <w:szCs w:val="24"/>
        </w:rPr>
        <w:t>Preshift</w:t>
      </w:r>
      <w:r w:rsidRPr="00F56785" w:rsidR="002A037B">
        <w:rPr>
          <w:i w:val="0"/>
          <w:iCs w:val="0"/>
          <w:color w:val="000000"/>
          <w:sz w:val="24"/>
          <w:szCs w:val="24"/>
        </w:rPr>
        <w:t xml:space="preserve"> and </w:t>
      </w:r>
      <w:r w:rsidRPr="00F56785" w:rsidR="002A037B">
        <w:rPr>
          <w:i w:val="0"/>
          <w:iCs w:val="0"/>
          <w:color w:val="000000"/>
          <w:sz w:val="24"/>
          <w:szCs w:val="24"/>
        </w:rPr>
        <w:t>Onshift</w:t>
      </w:r>
      <w:r w:rsidRPr="00F56785" w:rsidR="002A037B">
        <w:rPr>
          <w:i w:val="0"/>
          <w:iCs w:val="0"/>
          <w:color w:val="000000"/>
          <w:sz w:val="24"/>
          <w:szCs w:val="24"/>
        </w:rPr>
        <w:t xml:space="preserve"> Inspections of Slope and Shaft Areas (30 CFR 77.1901(f))</w:t>
      </w:r>
    </w:p>
    <w:tbl>
      <w:tblPr>
        <w:tblW w:w="9590" w:type="dxa"/>
        <w:tblLayout w:type="fixed"/>
        <w:tblLook w:val="0000"/>
      </w:tblPr>
      <w:tblGrid>
        <w:gridCol w:w="1807"/>
        <w:gridCol w:w="1313"/>
        <w:gridCol w:w="1236"/>
        <w:gridCol w:w="1101"/>
        <w:gridCol w:w="1022"/>
        <w:gridCol w:w="1030"/>
        <w:gridCol w:w="832"/>
        <w:gridCol w:w="1249"/>
      </w:tblGrid>
      <w:tr w14:paraId="45DB4BE1" w14:textId="77777777" w:rsidTr="00914384">
        <w:tblPrEx>
          <w:tblW w:w="9590" w:type="dxa"/>
          <w:tblLayout w:type="fixed"/>
          <w:tblLook w:val="0000"/>
        </w:tblPrEx>
        <w:trPr>
          <w:trHeight w:val="1620"/>
        </w:trPr>
        <w:tc>
          <w:tcPr>
            <w:tcW w:w="1807"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RPr="009000F0" w:rsidP="009000F0" w14:paraId="354A4431" w14:textId="77777777">
            <w:pPr>
              <w:rPr>
                <w:b/>
                <w:bCs/>
                <w:sz w:val="20"/>
                <w:szCs w:val="20"/>
              </w:rPr>
            </w:pPr>
            <w:r w:rsidRPr="009000F0">
              <w:rPr>
                <w:b/>
                <w:sz w:val="20"/>
                <w:szCs w:val="20"/>
              </w:rPr>
              <w:t>Activity</w:t>
            </w:r>
            <w:r w:rsidRPr="009000F0" w:rsidR="005F53C2">
              <w:rPr>
                <w:b/>
                <w:sz w:val="20"/>
                <w:szCs w:val="20"/>
              </w:rPr>
              <w:t xml:space="preserve"> (Occupation)</w:t>
            </w:r>
          </w:p>
        </w:tc>
        <w:tc>
          <w:tcPr>
            <w:tcW w:w="1313"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P="006617F0" w14:paraId="7D26CA4A" w14:textId="77777777">
            <w:pPr>
              <w:jc w:val="center"/>
              <w:rPr>
                <w:b/>
                <w:sz w:val="20"/>
                <w:szCs w:val="20"/>
              </w:rPr>
            </w:pPr>
            <w:r w:rsidRPr="009000F0">
              <w:rPr>
                <w:b/>
                <w:sz w:val="20"/>
                <w:szCs w:val="20"/>
              </w:rPr>
              <w:t>N</w:t>
            </w:r>
            <w:r w:rsidRPr="009000F0" w:rsidR="00A72E45">
              <w:rPr>
                <w:b/>
                <w:sz w:val="20"/>
                <w:szCs w:val="20"/>
              </w:rPr>
              <w:t>umber</w:t>
            </w:r>
            <w:r w:rsidRPr="009000F0">
              <w:rPr>
                <w:b/>
                <w:sz w:val="20"/>
                <w:szCs w:val="20"/>
              </w:rPr>
              <w:t xml:space="preserve"> of Respondents</w:t>
            </w:r>
          </w:p>
          <w:p w:rsidR="005B2704" w:rsidRPr="009000F0" w:rsidP="006617F0" w14:paraId="542B6574" w14:textId="77777777">
            <w:pPr>
              <w:jc w:val="center"/>
              <w:rPr>
                <w:b/>
                <w:bCs/>
                <w:sz w:val="20"/>
                <w:szCs w:val="20"/>
              </w:rPr>
            </w:pPr>
            <w:r>
              <w:rPr>
                <w:b/>
                <w:bCs/>
                <w:sz w:val="20"/>
                <w:szCs w:val="20"/>
              </w:rPr>
              <w:t>(Mines)</w:t>
            </w:r>
          </w:p>
        </w:tc>
        <w:tc>
          <w:tcPr>
            <w:tcW w:w="1236"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RPr="009000F0" w:rsidP="006617F0" w14:paraId="1FDFF4A0" w14:textId="77777777">
            <w:pPr>
              <w:widowControl w:val="0"/>
              <w:autoSpaceDE w:val="0"/>
              <w:autoSpaceDN w:val="0"/>
              <w:adjustRightInd w:val="0"/>
              <w:spacing w:line="276" w:lineRule="auto"/>
              <w:jc w:val="center"/>
              <w:rPr>
                <w:b/>
                <w:sz w:val="20"/>
                <w:szCs w:val="20"/>
              </w:rPr>
            </w:pPr>
            <w:r w:rsidRPr="009000F0">
              <w:rPr>
                <w:b/>
                <w:sz w:val="20"/>
                <w:szCs w:val="20"/>
              </w:rPr>
              <w:t>N</w:t>
            </w:r>
            <w:r w:rsidRPr="009000F0" w:rsidR="00A72E45">
              <w:rPr>
                <w:b/>
                <w:sz w:val="20"/>
                <w:szCs w:val="20"/>
              </w:rPr>
              <w:t>umber</w:t>
            </w:r>
            <w:r w:rsidRPr="009000F0">
              <w:rPr>
                <w:b/>
                <w:sz w:val="20"/>
                <w:szCs w:val="20"/>
              </w:rPr>
              <w:t xml:space="preserve"> of Responses</w:t>
            </w:r>
          </w:p>
          <w:p w:rsidR="006617F0" w:rsidRPr="009000F0" w:rsidP="006617F0" w14:paraId="6DB85DA9" w14:textId="77777777">
            <w:pPr>
              <w:jc w:val="center"/>
              <w:rPr>
                <w:b/>
                <w:bCs/>
                <w:sz w:val="20"/>
                <w:szCs w:val="20"/>
              </w:rPr>
            </w:pPr>
            <w:r w:rsidRPr="009000F0">
              <w:rPr>
                <w:b/>
                <w:sz w:val="20"/>
                <w:szCs w:val="20"/>
              </w:rPr>
              <w:t>per Respondent</w:t>
            </w:r>
          </w:p>
        </w:tc>
        <w:tc>
          <w:tcPr>
            <w:tcW w:w="1101"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P="006617F0" w14:paraId="54EE1DCB" w14:textId="77777777">
            <w:pPr>
              <w:jc w:val="center"/>
              <w:rPr>
                <w:b/>
                <w:sz w:val="20"/>
                <w:szCs w:val="20"/>
              </w:rPr>
            </w:pPr>
            <w:r w:rsidRPr="009000F0">
              <w:rPr>
                <w:b/>
                <w:sz w:val="20"/>
                <w:szCs w:val="20"/>
              </w:rPr>
              <w:t>Total Responses</w:t>
            </w:r>
          </w:p>
          <w:p w:rsidR="002A037B" w:rsidRPr="009000F0" w:rsidP="006617F0" w14:paraId="4DF9E942" w14:textId="77777777">
            <w:pPr>
              <w:jc w:val="center"/>
              <w:rPr>
                <w:b/>
                <w:bCs/>
                <w:sz w:val="20"/>
                <w:szCs w:val="20"/>
              </w:rPr>
            </w:pPr>
            <w:r>
              <w:rPr>
                <w:b/>
                <w:bCs/>
                <w:sz w:val="20"/>
                <w:szCs w:val="20"/>
              </w:rPr>
              <w:t>(Records)</w:t>
            </w:r>
          </w:p>
        </w:tc>
        <w:tc>
          <w:tcPr>
            <w:tcW w:w="1022"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RPr="009000F0" w:rsidP="006617F0" w14:paraId="07767421" w14:textId="77777777">
            <w:pPr>
              <w:jc w:val="center"/>
              <w:rPr>
                <w:b/>
                <w:bCs/>
                <w:sz w:val="20"/>
                <w:szCs w:val="20"/>
              </w:rPr>
            </w:pPr>
            <w:r w:rsidRPr="009000F0">
              <w:rPr>
                <w:b/>
                <w:sz w:val="20"/>
                <w:szCs w:val="20"/>
              </w:rPr>
              <w:t>Average Burden (Hours)</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RPr="009000F0" w:rsidP="006617F0" w14:paraId="6651BFB9" w14:textId="77777777">
            <w:pPr>
              <w:jc w:val="center"/>
              <w:rPr>
                <w:b/>
                <w:bCs/>
                <w:sz w:val="20"/>
                <w:szCs w:val="20"/>
              </w:rPr>
            </w:pPr>
            <w:r w:rsidRPr="009000F0">
              <w:rPr>
                <w:b/>
                <w:sz w:val="20"/>
                <w:szCs w:val="20"/>
              </w:rPr>
              <w:t>Total Burden (Hours)</w:t>
            </w:r>
          </w:p>
        </w:tc>
        <w:tc>
          <w:tcPr>
            <w:tcW w:w="832"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RPr="009000F0" w:rsidP="006617F0" w14:paraId="6934FCB6" w14:textId="77777777">
            <w:pPr>
              <w:widowControl w:val="0"/>
              <w:autoSpaceDE w:val="0"/>
              <w:autoSpaceDN w:val="0"/>
              <w:adjustRightInd w:val="0"/>
              <w:spacing w:line="276" w:lineRule="auto"/>
              <w:jc w:val="center"/>
              <w:rPr>
                <w:b/>
                <w:sz w:val="20"/>
                <w:szCs w:val="20"/>
              </w:rPr>
            </w:pPr>
            <w:r w:rsidRPr="009000F0">
              <w:rPr>
                <w:b/>
                <w:sz w:val="20"/>
                <w:szCs w:val="20"/>
              </w:rPr>
              <w:t>Hourly</w:t>
            </w:r>
          </w:p>
          <w:p w:rsidR="006617F0" w:rsidRPr="009000F0" w:rsidP="006617F0" w14:paraId="30CFD086" w14:textId="77777777">
            <w:pPr>
              <w:jc w:val="center"/>
              <w:rPr>
                <w:b/>
                <w:bCs/>
                <w:sz w:val="20"/>
                <w:szCs w:val="20"/>
              </w:rPr>
            </w:pPr>
            <w:r w:rsidRPr="009000F0">
              <w:rPr>
                <w:b/>
                <w:sz w:val="20"/>
                <w:szCs w:val="20"/>
              </w:rPr>
              <w:t>Wage Rate</w:t>
            </w: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6617F0" w:rsidRPr="009000F0" w:rsidP="006617F0" w14:paraId="2F7F6891" w14:textId="77777777">
            <w:pPr>
              <w:jc w:val="center"/>
              <w:rPr>
                <w:b/>
                <w:bCs/>
                <w:sz w:val="20"/>
                <w:szCs w:val="20"/>
              </w:rPr>
            </w:pPr>
            <w:r w:rsidRPr="009000F0">
              <w:rPr>
                <w:b/>
                <w:sz w:val="20"/>
                <w:szCs w:val="20"/>
              </w:rPr>
              <w:t>Total Burden Cost</w:t>
            </w:r>
          </w:p>
        </w:tc>
      </w:tr>
      <w:tr w14:paraId="0846599E" w14:textId="77777777" w:rsidTr="007229E3">
        <w:tblPrEx>
          <w:tblW w:w="9590" w:type="dxa"/>
          <w:tblLayout w:type="fixed"/>
          <w:tblLook w:val="0000"/>
        </w:tblPrEx>
        <w:trPr>
          <w:trHeight w:val="281"/>
        </w:trPr>
        <w:tc>
          <w:tcPr>
            <w:tcW w:w="1807" w:type="dxa"/>
            <w:tcBorders>
              <w:top w:val="nil"/>
              <w:left w:val="single" w:sz="4" w:space="0" w:color="auto"/>
              <w:bottom w:val="single" w:sz="8" w:space="0" w:color="auto"/>
              <w:right w:val="single" w:sz="8" w:space="0" w:color="auto"/>
            </w:tcBorders>
            <w:shd w:val="clear" w:color="auto" w:fill="auto"/>
            <w:vAlign w:val="bottom"/>
          </w:tcPr>
          <w:p w:rsidR="00843C48" w:rsidRPr="009000F0" w:rsidP="00843C48" w14:paraId="08FAE257" w14:textId="77777777">
            <w:pPr>
              <w:rPr>
                <w:sz w:val="20"/>
                <w:szCs w:val="20"/>
              </w:rPr>
            </w:pPr>
            <w:r w:rsidRPr="009000F0">
              <w:rPr>
                <w:sz w:val="20"/>
                <w:szCs w:val="20"/>
              </w:rPr>
              <w:t xml:space="preserve">Slope and shaft sinking </w:t>
            </w:r>
            <w:r>
              <w:rPr>
                <w:sz w:val="20"/>
                <w:szCs w:val="20"/>
              </w:rPr>
              <w:t>inspection</w:t>
            </w:r>
            <w:r w:rsidRPr="009000F0">
              <w:rPr>
                <w:sz w:val="20"/>
                <w:szCs w:val="20"/>
              </w:rPr>
              <w:t>s</w:t>
            </w:r>
            <w:r>
              <w:rPr>
                <w:sz w:val="20"/>
                <w:szCs w:val="20"/>
              </w:rPr>
              <w:t xml:space="preserve"> </w:t>
            </w:r>
          </w:p>
          <w:p w:rsidR="00843C48" w:rsidRPr="009000F0" w:rsidP="00843C48" w14:paraId="1BC9D0CA" w14:textId="77777777">
            <w:pPr>
              <w:rPr>
                <w:sz w:val="20"/>
                <w:szCs w:val="20"/>
              </w:rPr>
            </w:pPr>
            <w:r w:rsidRPr="009000F0">
              <w:rPr>
                <w:sz w:val="20"/>
                <w:szCs w:val="20"/>
              </w:rPr>
              <w:t>(</w:t>
            </w:r>
            <w:r w:rsidRPr="008D369D">
              <w:rPr>
                <w:color w:val="000000"/>
                <w:sz w:val="20"/>
              </w:rPr>
              <w:t>Mine Supervisor</w:t>
            </w:r>
            <w:r w:rsidRPr="009000F0">
              <w:rPr>
                <w:sz w:val="20"/>
                <w:szCs w:val="20"/>
              </w:rPr>
              <w:t>)</w:t>
            </w:r>
          </w:p>
        </w:tc>
        <w:tc>
          <w:tcPr>
            <w:tcW w:w="1313" w:type="dxa"/>
            <w:tcBorders>
              <w:top w:val="nil"/>
              <w:left w:val="nil"/>
              <w:bottom w:val="single" w:sz="8" w:space="0" w:color="auto"/>
              <w:right w:val="single" w:sz="8" w:space="0" w:color="auto"/>
            </w:tcBorders>
            <w:shd w:val="clear" w:color="auto" w:fill="auto"/>
            <w:vAlign w:val="center"/>
          </w:tcPr>
          <w:p w:rsidR="00843C48" w:rsidRPr="009000F0" w:rsidP="00843C48" w14:paraId="285B9D2A" w14:textId="77777777">
            <w:pPr>
              <w:jc w:val="right"/>
              <w:rPr>
                <w:sz w:val="20"/>
                <w:szCs w:val="20"/>
              </w:rPr>
            </w:pPr>
            <w:r w:rsidRPr="009000F0">
              <w:rPr>
                <w:sz w:val="20"/>
                <w:szCs w:val="20"/>
              </w:rPr>
              <w:t>15</w:t>
            </w:r>
          </w:p>
        </w:tc>
        <w:tc>
          <w:tcPr>
            <w:tcW w:w="1236" w:type="dxa"/>
            <w:tcBorders>
              <w:top w:val="nil"/>
              <w:left w:val="nil"/>
              <w:bottom w:val="single" w:sz="8" w:space="0" w:color="auto"/>
              <w:right w:val="single" w:sz="8" w:space="0" w:color="auto"/>
            </w:tcBorders>
            <w:shd w:val="clear" w:color="auto" w:fill="auto"/>
            <w:vAlign w:val="center"/>
          </w:tcPr>
          <w:p w:rsidR="00843C48" w:rsidRPr="009000F0" w:rsidP="00843C48" w14:paraId="5DA92E8B" w14:textId="77777777">
            <w:pPr>
              <w:jc w:val="right"/>
              <w:rPr>
                <w:sz w:val="20"/>
                <w:szCs w:val="20"/>
              </w:rPr>
            </w:pPr>
            <w:r w:rsidRPr="009000F0">
              <w:rPr>
                <w:sz w:val="20"/>
                <w:szCs w:val="20"/>
              </w:rPr>
              <w:t>440</w:t>
            </w:r>
          </w:p>
        </w:tc>
        <w:tc>
          <w:tcPr>
            <w:tcW w:w="1101" w:type="dxa"/>
            <w:tcBorders>
              <w:top w:val="nil"/>
              <w:left w:val="nil"/>
              <w:bottom w:val="single" w:sz="8" w:space="0" w:color="auto"/>
              <w:right w:val="single" w:sz="8" w:space="0" w:color="auto"/>
            </w:tcBorders>
            <w:shd w:val="clear" w:color="auto" w:fill="auto"/>
            <w:vAlign w:val="center"/>
          </w:tcPr>
          <w:p w:rsidR="00843C48" w:rsidRPr="009000F0" w:rsidP="00843C48" w14:paraId="3E6B85FA" w14:textId="77777777">
            <w:pPr>
              <w:jc w:val="right"/>
              <w:rPr>
                <w:sz w:val="20"/>
                <w:szCs w:val="20"/>
              </w:rPr>
            </w:pPr>
            <w:r w:rsidRPr="009000F0">
              <w:rPr>
                <w:sz w:val="20"/>
                <w:szCs w:val="20"/>
              </w:rPr>
              <w:t>6,600</w:t>
            </w:r>
          </w:p>
        </w:tc>
        <w:tc>
          <w:tcPr>
            <w:tcW w:w="1022" w:type="dxa"/>
            <w:tcBorders>
              <w:top w:val="nil"/>
              <w:left w:val="nil"/>
              <w:bottom w:val="single" w:sz="8" w:space="0" w:color="auto"/>
              <w:right w:val="single" w:sz="8" w:space="0" w:color="auto"/>
            </w:tcBorders>
            <w:shd w:val="clear" w:color="auto" w:fill="auto"/>
            <w:vAlign w:val="center"/>
          </w:tcPr>
          <w:p w:rsidR="00843C48" w:rsidRPr="009000F0" w:rsidP="00843C48" w14:paraId="3DFFAED9" w14:textId="77777777">
            <w:pPr>
              <w:jc w:val="right"/>
              <w:rPr>
                <w:sz w:val="20"/>
                <w:szCs w:val="20"/>
              </w:rPr>
            </w:pPr>
            <w:r w:rsidRPr="009000F0">
              <w:rPr>
                <w:sz w:val="20"/>
                <w:szCs w:val="20"/>
              </w:rPr>
              <w:t>1.00</w:t>
            </w:r>
          </w:p>
        </w:tc>
        <w:tc>
          <w:tcPr>
            <w:tcW w:w="1030" w:type="dxa"/>
            <w:tcBorders>
              <w:top w:val="nil"/>
              <w:left w:val="nil"/>
              <w:bottom w:val="single" w:sz="8" w:space="0" w:color="auto"/>
              <w:right w:val="single" w:sz="8" w:space="0" w:color="auto"/>
            </w:tcBorders>
            <w:shd w:val="clear" w:color="auto" w:fill="auto"/>
            <w:vAlign w:val="center"/>
          </w:tcPr>
          <w:p w:rsidR="00843C48" w:rsidRPr="009000F0" w:rsidP="00843C48" w14:paraId="14E38B4F" w14:textId="77777777">
            <w:pPr>
              <w:jc w:val="right"/>
              <w:rPr>
                <w:sz w:val="20"/>
                <w:szCs w:val="20"/>
              </w:rPr>
            </w:pPr>
            <w:r w:rsidRPr="009000F0">
              <w:rPr>
                <w:sz w:val="20"/>
                <w:szCs w:val="20"/>
              </w:rPr>
              <w:t>6,600.00</w:t>
            </w:r>
          </w:p>
        </w:tc>
        <w:tc>
          <w:tcPr>
            <w:tcW w:w="832" w:type="dxa"/>
            <w:tcBorders>
              <w:top w:val="nil"/>
              <w:left w:val="nil"/>
              <w:bottom w:val="single" w:sz="8" w:space="0" w:color="auto"/>
              <w:right w:val="single" w:sz="8" w:space="0" w:color="auto"/>
            </w:tcBorders>
            <w:shd w:val="clear" w:color="auto" w:fill="auto"/>
            <w:vAlign w:val="center"/>
          </w:tcPr>
          <w:p w:rsidR="00843C48" w:rsidRPr="00843C48" w:rsidP="00843C48" w14:paraId="78640C52" w14:textId="77777777">
            <w:pPr>
              <w:jc w:val="right"/>
              <w:rPr>
                <w:sz w:val="20"/>
                <w:szCs w:val="20"/>
              </w:rPr>
            </w:pPr>
            <w:r w:rsidRPr="00914384">
              <w:rPr>
                <w:sz w:val="20"/>
                <w:szCs w:val="20"/>
              </w:rPr>
              <w:t xml:space="preserve">$79.33 </w:t>
            </w:r>
          </w:p>
        </w:tc>
        <w:tc>
          <w:tcPr>
            <w:tcW w:w="1249" w:type="dxa"/>
            <w:tcBorders>
              <w:top w:val="nil"/>
              <w:left w:val="nil"/>
              <w:bottom w:val="single" w:sz="8" w:space="0" w:color="auto"/>
              <w:right w:val="single" w:sz="8" w:space="0" w:color="auto"/>
            </w:tcBorders>
            <w:shd w:val="clear" w:color="auto" w:fill="auto"/>
            <w:vAlign w:val="center"/>
          </w:tcPr>
          <w:p w:rsidR="00843C48" w:rsidRPr="00843C48" w:rsidP="00843C48" w14:paraId="31398F97" w14:textId="77777777">
            <w:pPr>
              <w:jc w:val="right"/>
              <w:rPr>
                <w:sz w:val="20"/>
                <w:szCs w:val="20"/>
              </w:rPr>
            </w:pPr>
            <w:r w:rsidRPr="00914384">
              <w:rPr>
                <w:sz w:val="20"/>
                <w:szCs w:val="20"/>
              </w:rPr>
              <w:t>$523,578.00</w:t>
            </w:r>
          </w:p>
        </w:tc>
      </w:tr>
      <w:tr w14:paraId="71951132" w14:textId="77777777" w:rsidTr="007229E3">
        <w:tblPrEx>
          <w:tblW w:w="9590" w:type="dxa"/>
          <w:tblLayout w:type="fixed"/>
          <w:tblLook w:val="0000"/>
        </w:tblPrEx>
        <w:trPr>
          <w:trHeight w:val="281"/>
        </w:trPr>
        <w:tc>
          <w:tcPr>
            <w:tcW w:w="1807" w:type="dxa"/>
            <w:tcBorders>
              <w:top w:val="nil"/>
              <w:left w:val="single" w:sz="4" w:space="0" w:color="auto"/>
              <w:bottom w:val="single" w:sz="8" w:space="0" w:color="auto"/>
              <w:right w:val="single" w:sz="8" w:space="0" w:color="auto"/>
            </w:tcBorders>
            <w:shd w:val="clear" w:color="auto" w:fill="auto"/>
            <w:vAlign w:val="bottom"/>
          </w:tcPr>
          <w:p w:rsidR="00843C48" w:rsidRPr="009000F0" w:rsidP="00843C48" w14:paraId="0DE8BA00" w14:textId="77777777">
            <w:pPr>
              <w:rPr>
                <w:sz w:val="20"/>
                <w:szCs w:val="20"/>
              </w:rPr>
            </w:pPr>
            <w:r w:rsidRPr="009000F0">
              <w:rPr>
                <w:sz w:val="20"/>
                <w:szCs w:val="20"/>
              </w:rPr>
              <w:t xml:space="preserve">Slope and shaft sinking </w:t>
            </w:r>
            <w:r>
              <w:rPr>
                <w:sz w:val="20"/>
                <w:szCs w:val="20"/>
              </w:rPr>
              <w:t>inspectio</w:t>
            </w:r>
            <w:r w:rsidRPr="009000F0">
              <w:rPr>
                <w:sz w:val="20"/>
                <w:szCs w:val="20"/>
              </w:rPr>
              <w:t>ns</w:t>
            </w:r>
          </w:p>
          <w:p w:rsidR="00843C48" w:rsidRPr="009000F0" w:rsidP="00843C48" w14:paraId="34343CEF" w14:textId="77777777">
            <w:pPr>
              <w:rPr>
                <w:sz w:val="20"/>
                <w:szCs w:val="20"/>
              </w:rPr>
            </w:pPr>
            <w:r w:rsidRPr="009000F0">
              <w:rPr>
                <w:sz w:val="20"/>
                <w:szCs w:val="20"/>
              </w:rPr>
              <w:t>(</w:t>
            </w:r>
            <w:r w:rsidRPr="008D369D">
              <w:rPr>
                <w:color w:val="000000"/>
                <w:sz w:val="20"/>
              </w:rPr>
              <w:t>Clerical Worker</w:t>
            </w:r>
            <w:r w:rsidRPr="009000F0">
              <w:rPr>
                <w:sz w:val="20"/>
                <w:szCs w:val="20"/>
              </w:rPr>
              <w:t>)</w:t>
            </w:r>
          </w:p>
        </w:tc>
        <w:tc>
          <w:tcPr>
            <w:tcW w:w="1313" w:type="dxa"/>
            <w:tcBorders>
              <w:top w:val="nil"/>
              <w:left w:val="nil"/>
              <w:bottom w:val="single" w:sz="8" w:space="0" w:color="auto"/>
              <w:right w:val="single" w:sz="8" w:space="0" w:color="auto"/>
            </w:tcBorders>
            <w:shd w:val="clear" w:color="auto" w:fill="auto"/>
            <w:vAlign w:val="center"/>
          </w:tcPr>
          <w:p w:rsidR="00843C48" w:rsidRPr="009000F0" w:rsidP="00843C48" w14:paraId="531279BC" w14:textId="77777777">
            <w:pPr>
              <w:jc w:val="right"/>
              <w:rPr>
                <w:sz w:val="20"/>
                <w:szCs w:val="20"/>
              </w:rPr>
            </w:pPr>
            <w:r w:rsidRPr="009000F0">
              <w:rPr>
                <w:sz w:val="20"/>
                <w:szCs w:val="20"/>
              </w:rPr>
              <w:t>15</w:t>
            </w:r>
          </w:p>
        </w:tc>
        <w:tc>
          <w:tcPr>
            <w:tcW w:w="1236" w:type="dxa"/>
            <w:tcBorders>
              <w:top w:val="nil"/>
              <w:left w:val="nil"/>
              <w:bottom w:val="single" w:sz="8" w:space="0" w:color="auto"/>
              <w:right w:val="single" w:sz="8" w:space="0" w:color="auto"/>
            </w:tcBorders>
            <w:shd w:val="clear" w:color="auto" w:fill="auto"/>
            <w:vAlign w:val="center"/>
          </w:tcPr>
          <w:p w:rsidR="00843C48" w:rsidRPr="009000F0" w:rsidP="00843C48" w14:paraId="06D50422" w14:textId="77777777">
            <w:pPr>
              <w:jc w:val="right"/>
              <w:rPr>
                <w:sz w:val="20"/>
                <w:szCs w:val="20"/>
              </w:rPr>
            </w:pPr>
            <w:r w:rsidRPr="009000F0">
              <w:rPr>
                <w:sz w:val="20"/>
                <w:szCs w:val="20"/>
              </w:rPr>
              <w:t>440</w:t>
            </w:r>
          </w:p>
        </w:tc>
        <w:tc>
          <w:tcPr>
            <w:tcW w:w="1101" w:type="dxa"/>
            <w:tcBorders>
              <w:top w:val="nil"/>
              <w:left w:val="nil"/>
              <w:bottom w:val="single" w:sz="8" w:space="0" w:color="auto"/>
              <w:right w:val="single" w:sz="8" w:space="0" w:color="auto"/>
            </w:tcBorders>
            <w:shd w:val="clear" w:color="auto" w:fill="auto"/>
            <w:vAlign w:val="center"/>
          </w:tcPr>
          <w:p w:rsidR="00843C48" w:rsidRPr="009000F0" w:rsidP="00843C48" w14:paraId="350C2FDE" w14:textId="77777777">
            <w:pPr>
              <w:jc w:val="right"/>
              <w:rPr>
                <w:sz w:val="20"/>
                <w:szCs w:val="20"/>
              </w:rPr>
            </w:pPr>
            <w:r w:rsidRPr="009000F0">
              <w:rPr>
                <w:sz w:val="20"/>
                <w:szCs w:val="20"/>
              </w:rPr>
              <w:t>6,600</w:t>
            </w:r>
          </w:p>
        </w:tc>
        <w:tc>
          <w:tcPr>
            <w:tcW w:w="1022" w:type="dxa"/>
            <w:tcBorders>
              <w:top w:val="nil"/>
              <w:left w:val="nil"/>
              <w:bottom w:val="single" w:sz="8" w:space="0" w:color="auto"/>
              <w:right w:val="single" w:sz="8" w:space="0" w:color="auto"/>
            </w:tcBorders>
            <w:shd w:val="clear" w:color="auto" w:fill="auto"/>
            <w:vAlign w:val="center"/>
          </w:tcPr>
          <w:p w:rsidR="00843C48" w:rsidRPr="009000F0" w:rsidP="00843C48" w14:paraId="2F95353C" w14:textId="77777777">
            <w:pPr>
              <w:jc w:val="right"/>
              <w:rPr>
                <w:sz w:val="20"/>
                <w:szCs w:val="20"/>
              </w:rPr>
            </w:pPr>
            <w:r w:rsidRPr="009000F0">
              <w:rPr>
                <w:sz w:val="20"/>
                <w:szCs w:val="20"/>
              </w:rPr>
              <w:t>0.25</w:t>
            </w:r>
          </w:p>
        </w:tc>
        <w:tc>
          <w:tcPr>
            <w:tcW w:w="1030" w:type="dxa"/>
            <w:tcBorders>
              <w:top w:val="nil"/>
              <w:left w:val="nil"/>
              <w:bottom w:val="single" w:sz="8" w:space="0" w:color="auto"/>
              <w:right w:val="single" w:sz="8" w:space="0" w:color="auto"/>
            </w:tcBorders>
            <w:shd w:val="clear" w:color="auto" w:fill="auto"/>
            <w:vAlign w:val="center"/>
          </w:tcPr>
          <w:p w:rsidR="00843C48" w:rsidRPr="009000F0" w:rsidP="00843C48" w14:paraId="0A28139F" w14:textId="77777777">
            <w:pPr>
              <w:jc w:val="right"/>
              <w:rPr>
                <w:sz w:val="20"/>
                <w:szCs w:val="20"/>
              </w:rPr>
            </w:pPr>
            <w:r w:rsidRPr="009000F0">
              <w:rPr>
                <w:sz w:val="20"/>
                <w:szCs w:val="20"/>
              </w:rPr>
              <w:t>1,650.00</w:t>
            </w:r>
          </w:p>
        </w:tc>
        <w:tc>
          <w:tcPr>
            <w:tcW w:w="832" w:type="dxa"/>
            <w:tcBorders>
              <w:top w:val="nil"/>
              <w:left w:val="nil"/>
              <w:bottom w:val="single" w:sz="8" w:space="0" w:color="auto"/>
              <w:right w:val="single" w:sz="8" w:space="0" w:color="auto"/>
            </w:tcBorders>
            <w:shd w:val="clear" w:color="auto" w:fill="auto"/>
            <w:vAlign w:val="center"/>
          </w:tcPr>
          <w:p w:rsidR="00843C48" w:rsidRPr="00843C48" w:rsidP="00843C48" w14:paraId="3E855F8D" w14:textId="77777777">
            <w:pPr>
              <w:jc w:val="right"/>
              <w:rPr>
                <w:sz w:val="20"/>
                <w:szCs w:val="20"/>
              </w:rPr>
            </w:pPr>
            <w:r w:rsidRPr="00914384">
              <w:rPr>
                <w:sz w:val="20"/>
                <w:szCs w:val="20"/>
              </w:rPr>
              <w:t xml:space="preserve">$34.48 </w:t>
            </w:r>
          </w:p>
        </w:tc>
        <w:tc>
          <w:tcPr>
            <w:tcW w:w="1249" w:type="dxa"/>
            <w:tcBorders>
              <w:top w:val="nil"/>
              <w:left w:val="nil"/>
              <w:bottom w:val="single" w:sz="8" w:space="0" w:color="auto"/>
              <w:right w:val="single" w:sz="8" w:space="0" w:color="auto"/>
            </w:tcBorders>
            <w:shd w:val="clear" w:color="auto" w:fill="auto"/>
            <w:vAlign w:val="center"/>
          </w:tcPr>
          <w:p w:rsidR="00843C48" w:rsidRPr="00843C48" w:rsidP="00843C48" w14:paraId="1DAF852F" w14:textId="77777777">
            <w:pPr>
              <w:jc w:val="right"/>
              <w:rPr>
                <w:sz w:val="20"/>
                <w:szCs w:val="20"/>
              </w:rPr>
            </w:pPr>
            <w:r w:rsidRPr="00914384">
              <w:rPr>
                <w:sz w:val="20"/>
                <w:szCs w:val="20"/>
              </w:rPr>
              <w:t>$56,892.00</w:t>
            </w:r>
          </w:p>
        </w:tc>
      </w:tr>
      <w:tr w14:paraId="725C6F6F" w14:textId="77777777" w:rsidTr="00F56785">
        <w:tblPrEx>
          <w:tblW w:w="9590" w:type="dxa"/>
          <w:tblLayout w:type="fixed"/>
          <w:tblLook w:val="0000"/>
        </w:tblPrEx>
        <w:trPr>
          <w:trHeight w:val="281"/>
        </w:trPr>
        <w:tc>
          <w:tcPr>
            <w:tcW w:w="1807" w:type="dxa"/>
            <w:tcBorders>
              <w:top w:val="nil"/>
              <w:left w:val="single" w:sz="4" w:space="0" w:color="auto"/>
              <w:bottom w:val="single" w:sz="4" w:space="0" w:color="auto"/>
              <w:right w:val="single" w:sz="8" w:space="0" w:color="auto"/>
            </w:tcBorders>
            <w:shd w:val="clear" w:color="auto" w:fill="auto"/>
            <w:vAlign w:val="bottom"/>
          </w:tcPr>
          <w:p w:rsidR="006617F0" w:rsidRPr="009000F0" w:rsidP="00EC4631" w14:paraId="7EC1A30C" w14:textId="77777777">
            <w:pPr>
              <w:rPr>
                <w:b/>
                <w:i/>
                <w:iCs/>
                <w:sz w:val="20"/>
                <w:szCs w:val="20"/>
              </w:rPr>
            </w:pPr>
            <w:r w:rsidRPr="009000F0">
              <w:rPr>
                <w:b/>
                <w:i/>
                <w:iCs/>
                <w:sz w:val="20"/>
                <w:szCs w:val="20"/>
              </w:rPr>
              <w:t>Total (Rounded)</w:t>
            </w:r>
          </w:p>
        </w:tc>
        <w:tc>
          <w:tcPr>
            <w:tcW w:w="1313" w:type="dxa"/>
            <w:tcBorders>
              <w:top w:val="nil"/>
              <w:left w:val="nil"/>
              <w:bottom w:val="single" w:sz="4" w:space="0" w:color="auto"/>
              <w:right w:val="single" w:sz="8" w:space="0" w:color="auto"/>
            </w:tcBorders>
            <w:shd w:val="clear" w:color="auto" w:fill="FFFFFF"/>
            <w:vAlign w:val="center"/>
          </w:tcPr>
          <w:p w:rsidR="006617F0" w:rsidRPr="009000F0" w:rsidP="005F53C2" w14:paraId="6598F52C" w14:textId="77777777">
            <w:pPr>
              <w:jc w:val="right"/>
              <w:rPr>
                <w:b/>
                <w:bCs/>
                <w:i/>
                <w:iCs/>
                <w:sz w:val="20"/>
                <w:szCs w:val="20"/>
              </w:rPr>
            </w:pPr>
            <w:r w:rsidRPr="009000F0">
              <w:rPr>
                <w:b/>
                <w:bCs/>
                <w:i/>
                <w:iCs/>
                <w:sz w:val="20"/>
                <w:szCs w:val="20"/>
              </w:rPr>
              <w:t>15</w:t>
            </w:r>
          </w:p>
        </w:tc>
        <w:tc>
          <w:tcPr>
            <w:tcW w:w="1236" w:type="dxa"/>
            <w:tcBorders>
              <w:top w:val="nil"/>
              <w:left w:val="nil"/>
              <w:bottom w:val="single" w:sz="4" w:space="0" w:color="auto"/>
              <w:right w:val="single" w:sz="8" w:space="0" w:color="auto"/>
            </w:tcBorders>
            <w:shd w:val="clear" w:color="auto" w:fill="000000"/>
            <w:vAlign w:val="center"/>
          </w:tcPr>
          <w:p w:rsidR="006617F0" w:rsidRPr="009000F0" w:rsidP="005F53C2" w14:paraId="380295E4" w14:textId="77777777">
            <w:pPr>
              <w:jc w:val="right"/>
              <w:rPr>
                <w:b/>
                <w:i/>
                <w:iCs/>
                <w:sz w:val="20"/>
                <w:szCs w:val="20"/>
              </w:rPr>
            </w:pPr>
          </w:p>
        </w:tc>
        <w:tc>
          <w:tcPr>
            <w:tcW w:w="1101" w:type="dxa"/>
            <w:tcBorders>
              <w:top w:val="nil"/>
              <w:left w:val="nil"/>
              <w:bottom w:val="single" w:sz="4" w:space="0" w:color="auto"/>
              <w:right w:val="single" w:sz="8" w:space="0" w:color="auto"/>
            </w:tcBorders>
            <w:shd w:val="clear" w:color="auto" w:fill="auto"/>
            <w:vAlign w:val="center"/>
          </w:tcPr>
          <w:p w:rsidR="006617F0" w:rsidRPr="009000F0" w:rsidP="005F53C2" w14:paraId="563D1DCC" w14:textId="77777777">
            <w:pPr>
              <w:jc w:val="right"/>
              <w:rPr>
                <w:b/>
                <w:i/>
                <w:iCs/>
                <w:sz w:val="20"/>
                <w:szCs w:val="20"/>
              </w:rPr>
            </w:pPr>
            <w:r w:rsidRPr="009000F0">
              <w:rPr>
                <w:b/>
                <w:i/>
                <w:iCs/>
                <w:sz w:val="20"/>
                <w:szCs w:val="20"/>
              </w:rPr>
              <w:t>6,600</w:t>
            </w:r>
          </w:p>
        </w:tc>
        <w:tc>
          <w:tcPr>
            <w:tcW w:w="1022" w:type="dxa"/>
            <w:tcBorders>
              <w:top w:val="nil"/>
              <w:left w:val="nil"/>
              <w:bottom w:val="single" w:sz="4" w:space="0" w:color="auto"/>
              <w:right w:val="single" w:sz="8" w:space="0" w:color="auto"/>
            </w:tcBorders>
            <w:shd w:val="clear" w:color="auto" w:fill="000000"/>
            <w:vAlign w:val="center"/>
          </w:tcPr>
          <w:p w:rsidR="006617F0" w:rsidRPr="009000F0" w:rsidP="005F53C2" w14:paraId="01AD1060" w14:textId="77777777">
            <w:pPr>
              <w:jc w:val="right"/>
              <w:rPr>
                <w:b/>
                <w:i/>
                <w:iCs/>
                <w:sz w:val="20"/>
                <w:szCs w:val="20"/>
              </w:rPr>
            </w:pPr>
          </w:p>
        </w:tc>
        <w:tc>
          <w:tcPr>
            <w:tcW w:w="1030" w:type="dxa"/>
            <w:tcBorders>
              <w:top w:val="nil"/>
              <w:left w:val="nil"/>
              <w:bottom w:val="single" w:sz="4" w:space="0" w:color="auto"/>
              <w:right w:val="single" w:sz="8" w:space="0" w:color="auto"/>
            </w:tcBorders>
            <w:shd w:val="clear" w:color="auto" w:fill="auto"/>
            <w:vAlign w:val="center"/>
          </w:tcPr>
          <w:p w:rsidR="006617F0" w:rsidRPr="009000F0" w:rsidP="005F53C2" w14:paraId="6759F09D" w14:textId="77777777">
            <w:pPr>
              <w:jc w:val="right"/>
              <w:rPr>
                <w:b/>
                <w:bCs/>
                <w:i/>
                <w:iCs/>
                <w:sz w:val="20"/>
                <w:szCs w:val="20"/>
              </w:rPr>
            </w:pPr>
            <w:r w:rsidRPr="009000F0">
              <w:rPr>
                <w:b/>
                <w:i/>
                <w:iCs/>
                <w:sz w:val="20"/>
                <w:szCs w:val="20"/>
              </w:rPr>
              <w:t>8,250</w:t>
            </w:r>
          </w:p>
        </w:tc>
        <w:tc>
          <w:tcPr>
            <w:tcW w:w="832" w:type="dxa"/>
            <w:tcBorders>
              <w:top w:val="nil"/>
              <w:left w:val="nil"/>
              <w:bottom w:val="single" w:sz="4" w:space="0" w:color="auto"/>
              <w:right w:val="single" w:sz="8" w:space="0" w:color="auto"/>
            </w:tcBorders>
            <w:shd w:val="clear" w:color="auto" w:fill="000000"/>
            <w:vAlign w:val="center"/>
          </w:tcPr>
          <w:p w:rsidR="006617F0" w:rsidRPr="009000F0" w:rsidP="005F53C2" w14:paraId="0070AAA8" w14:textId="77777777">
            <w:pPr>
              <w:jc w:val="right"/>
              <w:rPr>
                <w:b/>
                <w:i/>
                <w:iCs/>
                <w:sz w:val="20"/>
                <w:szCs w:val="20"/>
              </w:rPr>
            </w:pPr>
          </w:p>
        </w:tc>
        <w:tc>
          <w:tcPr>
            <w:tcW w:w="1249" w:type="dxa"/>
            <w:tcBorders>
              <w:top w:val="nil"/>
              <w:left w:val="nil"/>
              <w:bottom w:val="single" w:sz="4" w:space="0" w:color="auto"/>
              <w:right w:val="single" w:sz="8" w:space="0" w:color="auto"/>
            </w:tcBorders>
            <w:shd w:val="clear" w:color="auto" w:fill="auto"/>
            <w:vAlign w:val="center"/>
          </w:tcPr>
          <w:p w:rsidR="006617F0" w:rsidRPr="009000F0" w:rsidP="005F53C2" w14:paraId="7D4F9D8F" w14:textId="77777777">
            <w:pPr>
              <w:jc w:val="right"/>
              <w:rPr>
                <w:b/>
                <w:bCs/>
                <w:i/>
                <w:iCs/>
                <w:sz w:val="20"/>
                <w:szCs w:val="20"/>
              </w:rPr>
            </w:pPr>
            <w:r w:rsidRPr="009000F0">
              <w:rPr>
                <w:b/>
                <w:bCs/>
                <w:i/>
                <w:iCs/>
                <w:color w:val="000000"/>
                <w:sz w:val="20"/>
                <w:szCs w:val="20"/>
              </w:rPr>
              <w:t>$</w:t>
            </w:r>
            <w:r w:rsidR="00843C48">
              <w:rPr>
                <w:b/>
                <w:bCs/>
                <w:i/>
                <w:iCs/>
                <w:color w:val="000000"/>
                <w:sz w:val="20"/>
                <w:szCs w:val="20"/>
              </w:rPr>
              <w:t>580,470</w:t>
            </w:r>
          </w:p>
        </w:tc>
      </w:tr>
    </w:tbl>
    <w:p w:rsidR="005B2704" w:rsidRPr="009000F0" w:rsidP="007229E3" w14:paraId="5F2BDDB3" w14:textId="77777777">
      <w:pPr>
        <w:autoSpaceDE w:val="0"/>
        <w:autoSpaceDN w:val="0"/>
        <w:adjustRightInd w:val="0"/>
      </w:pPr>
      <w:r w:rsidRPr="009000F0">
        <w:rPr>
          <w:sz w:val="20"/>
          <w:szCs w:val="20"/>
        </w:rPr>
        <w:t xml:space="preserve">Note: The sum of the number of respondents and responses might not add up to the total reported numbers in the table due to </w:t>
      </w:r>
      <w:r w:rsidRPr="009000F0" w:rsidR="005F53C2">
        <w:rPr>
          <w:sz w:val="20"/>
          <w:szCs w:val="20"/>
        </w:rPr>
        <w:t>people from multiple occupations carrying out the same activity.</w:t>
      </w:r>
    </w:p>
    <w:p w:rsidR="00030F18" w:rsidRPr="009000F0" w14:paraId="30E4F6EB"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586925" w:rsidRPr="009000F0" w:rsidP="00586925" w14:paraId="5AE15582" w14:textId="77777777">
      <w:pPr>
        <w:rPr>
          <w:b/>
        </w:rPr>
      </w:pPr>
      <w:r w:rsidRPr="009000F0">
        <w:rPr>
          <w:b/>
        </w:rPr>
        <w:t xml:space="preserve">13. Provide an estimate for the total annual cost burden to respondents or recordkeepers resulting from the collection of information. (Do not include the cost of any hour burden </w:t>
      </w:r>
      <w:r w:rsidRPr="009000F0" w:rsidR="006555D6">
        <w:rPr>
          <w:b/>
        </w:rPr>
        <w:t>already reflected on the burden worksheet</w:t>
      </w:r>
      <w:r w:rsidRPr="009000F0">
        <w:rPr>
          <w:b/>
        </w:rPr>
        <w:t>).</w:t>
      </w:r>
    </w:p>
    <w:p w:rsidR="00A72E45" w:rsidRPr="009000F0" w:rsidP="00586925" w14:paraId="119A48A7" w14:textId="77777777">
      <w:pPr>
        <w:rPr>
          <w:b/>
        </w:rPr>
      </w:pPr>
    </w:p>
    <w:p w:rsidR="00586925" w:rsidRPr="009000F0" w:rsidP="00A72E45" w14:paraId="66E1DBC6" w14:textId="77777777">
      <w:pPr>
        <w:pStyle w:val="ListParagraph"/>
        <w:numPr>
          <w:ilvl w:val="0"/>
          <w:numId w:val="5"/>
        </w:numPr>
        <w:rPr>
          <w:b/>
        </w:rPr>
      </w:pPr>
      <w:r w:rsidRPr="009000F0">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000F0">
        <w:rPr>
          <w:b/>
        </w:rPr>
        <w:t>take into account</w:t>
      </w:r>
      <w:r w:rsidRPr="009000F0">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72E45" w:rsidRPr="009000F0" w:rsidP="00A72E45" w14:paraId="01B9221C" w14:textId="77777777">
      <w:pPr>
        <w:pStyle w:val="ListParagraph"/>
        <w:rPr>
          <w:b/>
        </w:rPr>
      </w:pPr>
    </w:p>
    <w:p w:rsidR="00586925" w:rsidRPr="009000F0" w:rsidP="00A72E45" w14:paraId="365E4438" w14:textId="77777777">
      <w:pPr>
        <w:pStyle w:val="ListParagraph"/>
        <w:numPr>
          <w:ilvl w:val="0"/>
          <w:numId w:val="5"/>
        </w:numPr>
        <w:rPr>
          <w:b/>
        </w:rPr>
      </w:pPr>
      <w:r w:rsidRPr="009000F0">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72E45" w:rsidRPr="009000F0" w:rsidP="00A72E45" w14:paraId="596BED17" w14:textId="77777777">
      <w:pPr>
        <w:pStyle w:val="ListParagraph"/>
        <w:rPr>
          <w:b/>
        </w:rPr>
      </w:pPr>
    </w:p>
    <w:p w:rsidR="00586925" w:rsidRPr="009000F0" w:rsidP="00A72E45" w14:paraId="1C73668C" w14:textId="77777777">
      <w:pPr>
        <w:pStyle w:val="ListParagraph"/>
        <w:numPr>
          <w:ilvl w:val="0"/>
          <w:numId w:val="5"/>
        </w:numPr>
        <w:rPr>
          <w:b/>
        </w:rPr>
      </w:pPr>
      <w:r w:rsidRPr="009000F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86925" w:rsidRPr="009000F0" w14:paraId="1231BE83" w14:textId="77777777">
      <w:pPr>
        <w:pStyle w:val="Default"/>
        <w:rPr>
          <w:rFonts w:ascii="Times New Roman" w:hAnsi="Times New Roman" w:cs="Times New Roman"/>
          <w:color w:val="auto"/>
        </w:rPr>
      </w:pPr>
    </w:p>
    <w:p w:rsidR="00030F18" w:rsidRPr="009000F0" w14:paraId="19665D2B" w14:textId="77777777">
      <w:pPr>
        <w:pStyle w:val="Default"/>
        <w:rPr>
          <w:rFonts w:ascii="Times New Roman" w:hAnsi="Times New Roman" w:cs="Times New Roman"/>
          <w:color w:val="auto"/>
        </w:rPr>
      </w:pPr>
      <w:r w:rsidRPr="009000F0">
        <w:rPr>
          <w:rFonts w:ascii="Times New Roman" w:hAnsi="Times New Roman" w:cs="Times New Roman"/>
          <w:color w:val="auto"/>
        </w:rPr>
        <w:t>MSHA does not anticipate that shaft and slope sinking operators will incur any costs other than those described in Item 12.</w:t>
      </w:r>
    </w:p>
    <w:p w:rsidR="00030F18" w:rsidRPr="009000F0" w14:paraId="0710E93B" w14:textId="77777777">
      <w:pPr>
        <w:pStyle w:val="Default"/>
        <w:rPr>
          <w:rFonts w:ascii="Times New Roman" w:hAnsi="Times New Roman" w:cs="Times New Roman"/>
          <w:color w:val="auto"/>
        </w:rPr>
      </w:pPr>
      <w:r w:rsidRPr="009000F0">
        <w:rPr>
          <w:rFonts w:ascii="Times New Roman" w:hAnsi="Times New Roman" w:cs="Times New Roman"/>
          <w:b/>
          <w:bCs/>
          <w:color w:val="auto"/>
        </w:rPr>
        <w:t xml:space="preserve"> </w:t>
      </w:r>
    </w:p>
    <w:p w:rsidR="00586925" w:rsidRPr="009000F0" w:rsidP="00586925" w14:paraId="2ED02F29" w14:textId="77777777">
      <w:pPr>
        <w:rPr>
          <w:b/>
        </w:rPr>
      </w:pPr>
      <w:r w:rsidRPr="009000F0">
        <w:rPr>
          <w:b/>
        </w:rPr>
        <w:t xml:space="preserve">14. Provide estimates of annualized costs to the Federal government. </w:t>
      </w:r>
      <w:r w:rsidRPr="009000F0" w:rsidR="003C53C9">
        <w:rPr>
          <w:b/>
        </w:rPr>
        <w:t>Also, provide</w:t>
      </w:r>
      <w:r w:rsidRPr="009000F0">
        <w:rPr>
          <w:b/>
        </w:rPr>
        <w:t xml:space="preserv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30F18" w:rsidRPr="009000F0" w14:paraId="03AE109D"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9000F0" w14:paraId="47C00CE9"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Because the review of records of </w:t>
      </w:r>
      <w:r w:rsidRPr="009000F0">
        <w:rPr>
          <w:rFonts w:ascii="Times New Roman" w:hAnsi="Times New Roman" w:cs="Times New Roman"/>
          <w:color w:val="auto"/>
        </w:rPr>
        <w:t>preshift</w:t>
      </w:r>
      <w:r w:rsidRPr="009000F0">
        <w:rPr>
          <w:rFonts w:ascii="Times New Roman" w:hAnsi="Times New Roman" w:cs="Times New Roman"/>
          <w:color w:val="auto"/>
        </w:rPr>
        <w:t xml:space="preserve"> and </w:t>
      </w:r>
      <w:r w:rsidRPr="009000F0">
        <w:rPr>
          <w:rFonts w:ascii="Times New Roman" w:hAnsi="Times New Roman" w:cs="Times New Roman"/>
          <w:color w:val="auto"/>
        </w:rPr>
        <w:t>onshift</w:t>
      </w:r>
      <w:r w:rsidRPr="009000F0">
        <w:rPr>
          <w:rFonts w:ascii="Times New Roman" w:hAnsi="Times New Roman" w:cs="Times New Roman"/>
          <w:color w:val="auto"/>
        </w:rPr>
        <w:t xml:space="preserve"> inspections of slope and shaft areas is just one aspect of the inspections required under </w:t>
      </w:r>
      <w:r w:rsidRPr="009000F0" w:rsidR="00AF4C3C">
        <w:rPr>
          <w:rFonts w:ascii="Times New Roman" w:hAnsi="Times New Roman" w:cs="Times New Roman"/>
          <w:color w:val="auto"/>
        </w:rPr>
        <w:t>s</w:t>
      </w:r>
      <w:r w:rsidRPr="009000F0">
        <w:rPr>
          <w:rFonts w:ascii="Times New Roman" w:hAnsi="Times New Roman" w:cs="Times New Roman"/>
          <w:color w:val="auto"/>
        </w:rPr>
        <w:t xml:space="preserve">ection 103(a) of the Mine Act, </w:t>
      </w:r>
      <w:r w:rsidRPr="00226886" w:rsidR="00B81500">
        <w:rPr>
          <w:rFonts w:ascii="Times New Roman" w:hAnsi="Times New Roman" w:cs="Times New Roman"/>
          <w:color w:val="auto"/>
        </w:rPr>
        <w:t xml:space="preserve">30 U.S.C. 811(a), </w:t>
      </w:r>
      <w:r w:rsidRPr="009000F0">
        <w:rPr>
          <w:rFonts w:ascii="Times New Roman" w:hAnsi="Times New Roman" w:cs="Times New Roman"/>
          <w:color w:val="auto"/>
        </w:rPr>
        <w:t xml:space="preserve">MSHA believes that this burden is minimal and has assigned no federal cost burden for this </w:t>
      </w:r>
      <w:r w:rsidRPr="009000F0">
        <w:rPr>
          <w:rFonts w:ascii="Times New Roman" w:hAnsi="Times New Roman" w:cs="Times New Roman"/>
          <w:color w:val="auto"/>
        </w:rPr>
        <w:t xml:space="preserve">specific information collection. </w:t>
      </w:r>
    </w:p>
    <w:p w:rsidR="00030F18" w:rsidRPr="009000F0" w14:paraId="2DBC1120"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226886" w14:paraId="22E9C13C" w14:textId="77777777">
      <w:pPr>
        <w:pStyle w:val="Default"/>
        <w:rPr>
          <w:rFonts w:ascii="Times New Roman" w:hAnsi="Times New Roman" w:cs="Times New Roman"/>
          <w:color w:val="auto"/>
        </w:rPr>
      </w:pPr>
      <w:r w:rsidRPr="00226886">
        <w:rPr>
          <w:rFonts w:ascii="Times New Roman" w:hAnsi="Times New Roman" w:cs="Times New Roman"/>
          <w:b/>
          <w:bCs/>
          <w:color w:val="auto"/>
        </w:rPr>
        <w:t>15</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Explain the reasons for any program changes or</w:t>
      </w:r>
      <w:r w:rsidRPr="00226886" w:rsidR="001C4935">
        <w:rPr>
          <w:rFonts w:ascii="Times New Roman" w:hAnsi="Times New Roman" w:cs="Times New Roman"/>
          <w:b/>
          <w:bCs/>
          <w:color w:val="auto"/>
        </w:rPr>
        <w:t xml:space="preserve"> adjustments</w:t>
      </w:r>
      <w:r w:rsidRPr="00226886" w:rsidR="006555D6">
        <w:rPr>
          <w:rFonts w:ascii="Times New Roman" w:hAnsi="Times New Roman" w:cs="Times New Roman"/>
          <w:b/>
          <w:bCs/>
          <w:color w:val="auto"/>
        </w:rPr>
        <w:t>.</w:t>
      </w:r>
      <w:r w:rsidRPr="00226886">
        <w:rPr>
          <w:rFonts w:ascii="Times New Roman" w:hAnsi="Times New Roman" w:cs="Times New Roman"/>
          <w:b/>
          <w:bCs/>
          <w:color w:val="auto"/>
        </w:rPr>
        <w:t xml:space="preserve"> </w:t>
      </w:r>
    </w:p>
    <w:p w:rsidR="005F53C2" w:rsidP="00FC1085" w14:paraId="7CA6CEA5" w14:textId="77777777">
      <w:pPr>
        <w:autoSpaceDE w:val="0"/>
        <w:autoSpaceDN w:val="0"/>
        <w:adjustRightInd w:val="0"/>
        <w:rPr>
          <w:u w:val="single"/>
        </w:rPr>
      </w:pPr>
    </w:p>
    <w:p w:rsidR="00FC1085" w:rsidRPr="008D369D" w:rsidP="00FC1085" w14:paraId="26528475" w14:textId="77777777">
      <w:pPr>
        <w:autoSpaceDE w:val="0"/>
        <w:autoSpaceDN w:val="0"/>
        <w:adjustRightInd w:val="0"/>
      </w:pPr>
      <w:r w:rsidRPr="008D369D">
        <w:rPr>
          <w:u w:val="single"/>
        </w:rPr>
        <w:t>Respondents</w:t>
      </w:r>
      <w:r w:rsidRPr="008D369D">
        <w:t xml:space="preserve">: The </w:t>
      </w:r>
      <w:bookmarkStart w:id="6" w:name="_Hlk157592044"/>
      <w:r w:rsidRPr="008D369D">
        <w:t xml:space="preserve">estimated annual </w:t>
      </w:r>
      <w:bookmarkEnd w:id="6"/>
      <w:r w:rsidRPr="008D369D">
        <w:t>number of respondents remained unchanged at 15.</w:t>
      </w:r>
    </w:p>
    <w:p w:rsidR="00FC1085" w:rsidRPr="008D369D" w:rsidP="00FC1085" w14:paraId="46B0415D" w14:textId="77777777">
      <w:pPr>
        <w:autoSpaceDE w:val="0"/>
        <w:autoSpaceDN w:val="0"/>
        <w:adjustRightInd w:val="0"/>
      </w:pPr>
    </w:p>
    <w:p w:rsidR="00FC1085" w:rsidRPr="008D369D" w:rsidP="00FC1085" w14:paraId="72C863D9" w14:textId="77777777">
      <w:pPr>
        <w:autoSpaceDE w:val="0"/>
        <w:autoSpaceDN w:val="0"/>
        <w:adjustRightInd w:val="0"/>
      </w:pPr>
      <w:r w:rsidRPr="008D369D">
        <w:rPr>
          <w:u w:val="single"/>
        </w:rPr>
        <w:t>Responses</w:t>
      </w:r>
      <w:r w:rsidRPr="008D369D">
        <w:t>: The estimated annual number of responses remains unchanged at 6,600.</w:t>
      </w:r>
    </w:p>
    <w:p w:rsidR="00FC1085" w:rsidRPr="008D369D" w:rsidP="00FC1085" w14:paraId="0CAB7E96" w14:textId="77777777">
      <w:pPr>
        <w:autoSpaceDE w:val="0"/>
        <w:autoSpaceDN w:val="0"/>
        <w:adjustRightInd w:val="0"/>
      </w:pPr>
    </w:p>
    <w:p w:rsidR="00FC1085" w:rsidRPr="008D369D" w:rsidP="00FC1085" w14:paraId="2A23F29F" w14:textId="77777777">
      <w:pPr>
        <w:autoSpaceDE w:val="0"/>
        <w:autoSpaceDN w:val="0"/>
        <w:adjustRightInd w:val="0"/>
      </w:pPr>
      <w:r w:rsidRPr="008D369D">
        <w:rPr>
          <w:u w:val="single"/>
        </w:rPr>
        <w:t>Time Burden</w:t>
      </w:r>
      <w:r w:rsidRPr="008D369D">
        <w:t>: The estimated annual time burden remains unchanged at 8,250 hours.</w:t>
      </w:r>
    </w:p>
    <w:p w:rsidR="00FC1085" w:rsidRPr="008D369D" w:rsidP="00FC1085" w14:paraId="401F8518" w14:textId="77777777">
      <w:pPr>
        <w:autoSpaceDE w:val="0"/>
        <w:autoSpaceDN w:val="0"/>
        <w:adjustRightInd w:val="0"/>
        <w:rPr>
          <w:u w:val="single"/>
        </w:rPr>
      </w:pPr>
    </w:p>
    <w:p w:rsidR="00FC1085" w:rsidRPr="008D369D" w:rsidP="00FC1085" w14:paraId="1441C090" w14:textId="77777777">
      <w:pPr>
        <w:autoSpaceDE w:val="0"/>
        <w:autoSpaceDN w:val="0"/>
        <w:adjustRightInd w:val="0"/>
      </w:pPr>
      <w:r w:rsidRPr="008D369D">
        <w:rPr>
          <w:u w:val="single"/>
        </w:rPr>
        <w:t>Burden Costs</w:t>
      </w:r>
      <w:r w:rsidRPr="008D369D">
        <w:t>: The estimated annual burden costs increased from $416,328 to $</w:t>
      </w:r>
      <w:r w:rsidR="0042745E">
        <w:t>580,470</w:t>
      </w:r>
      <w:r w:rsidRPr="008D369D">
        <w:t xml:space="preserve"> due to an increase in wages.</w:t>
      </w:r>
    </w:p>
    <w:p w:rsidR="00FC1085" w:rsidP="00A47D8E" w14:paraId="39851BCB" w14:textId="77777777">
      <w:pPr>
        <w:widowControl w:val="0"/>
        <w:autoSpaceDE w:val="0"/>
        <w:autoSpaceDN w:val="0"/>
        <w:adjustRightInd w:val="0"/>
        <w:rPr>
          <w:b/>
          <w:color w:val="000000"/>
        </w:rPr>
      </w:pPr>
    </w:p>
    <w:p w:rsidR="005F53C2" w:rsidRPr="008D369D" w:rsidP="00A47D8E" w14:paraId="42881F86" w14:textId="77777777">
      <w:pPr>
        <w:widowControl w:val="0"/>
        <w:autoSpaceDE w:val="0"/>
        <w:autoSpaceDN w:val="0"/>
        <w:adjustRightInd w:val="0"/>
        <w:rPr>
          <w:b/>
          <w:color w:val="000000"/>
        </w:rPr>
      </w:pPr>
      <w:r w:rsidRPr="00DB5D23">
        <w:rPr>
          <w:u w:val="single"/>
        </w:rPr>
        <w:t>Other Burden Costs</w:t>
      </w:r>
      <w:r w:rsidRPr="00DB5D23">
        <w:t xml:space="preserve">: The estimated annual other burden </w:t>
      </w:r>
      <w:bookmarkStart w:id="7" w:name="_Hlk157592106"/>
      <w:r w:rsidRPr="00DB5D23">
        <w:t>costs remained</w:t>
      </w:r>
      <w:bookmarkEnd w:id="7"/>
      <w:r w:rsidRPr="00DB5D23">
        <w:t xml:space="preserve"> unchanged at $0.</w:t>
      </w:r>
    </w:p>
    <w:p w:rsidR="00030F18" w14:paraId="7B2E3D47" w14:textId="77777777">
      <w:pPr>
        <w:pStyle w:val="Default"/>
        <w:rPr>
          <w:rFonts w:ascii="Times New Roman" w:hAnsi="Times New Roman" w:cs="Times New Roman"/>
          <w:color w:val="auto"/>
        </w:rPr>
      </w:pPr>
    </w:p>
    <w:p w:rsidR="005F53C2" w:rsidRPr="009000F0" w14:paraId="37F1D8AF" w14:textId="77777777">
      <w:pPr>
        <w:pStyle w:val="Default"/>
        <w:rPr>
          <w:rFonts w:ascii="Times New Roman" w:hAnsi="Times New Roman" w:cs="Times New Roman"/>
          <w:color w:val="auto"/>
        </w:rPr>
      </w:pPr>
      <w:r w:rsidRPr="005F53C2">
        <w:rPr>
          <w:rFonts w:ascii="Times New Roman" w:hAnsi="Times New Roman" w:cs="Times New Roman"/>
          <w:color w:val="auto"/>
        </w:rPr>
        <w:t>Table 15-1. Summary of Changes</w:t>
      </w:r>
    </w:p>
    <w:tbl>
      <w:tblPr>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890"/>
        <w:gridCol w:w="1835"/>
        <w:gridCol w:w="1432"/>
      </w:tblGrid>
      <w:tr w14:paraId="74059DDA" w14:textId="77777777" w:rsidTr="00F56785">
        <w:tblPrEx>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6"/>
        </w:trPr>
        <w:tc>
          <w:tcPr>
            <w:tcW w:w="3055" w:type="dxa"/>
            <w:tcBorders>
              <w:bottom w:val="single" w:sz="4" w:space="0" w:color="auto"/>
            </w:tcBorders>
            <w:shd w:val="clear" w:color="auto" w:fill="9CC2E5"/>
            <w:noWrap/>
            <w:vAlign w:val="center"/>
            <w:hideMark/>
          </w:tcPr>
          <w:p w:rsidR="00A47D8E" w:rsidRPr="00F56785" w:rsidP="00F56785" w14:paraId="54129035" w14:textId="77777777">
            <w:pPr>
              <w:widowControl w:val="0"/>
              <w:autoSpaceDE w:val="0"/>
              <w:autoSpaceDN w:val="0"/>
              <w:adjustRightInd w:val="0"/>
              <w:jc w:val="center"/>
              <w:rPr>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A47D8E" w:rsidRPr="00F56785" w:rsidP="00F56785" w14:paraId="67332AE7" w14:textId="77777777">
            <w:pPr>
              <w:widowControl w:val="0"/>
              <w:autoSpaceDE w:val="0"/>
              <w:autoSpaceDN w:val="0"/>
              <w:adjustRightInd w:val="0"/>
              <w:jc w:val="center"/>
              <w:rPr>
                <w:b/>
                <w:bCs/>
                <w:color w:val="000000"/>
                <w:sz w:val="20"/>
                <w:szCs w:val="20"/>
              </w:rPr>
            </w:pPr>
            <w:r w:rsidRPr="00F56785">
              <w:rPr>
                <w:b/>
                <w:bCs/>
                <w:snapToGrid w:val="0"/>
                <w:color w:val="000000"/>
                <w:sz w:val="20"/>
                <w:szCs w:val="20"/>
              </w:rPr>
              <w:t>Previous ICR</w:t>
            </w:r>
          </w:p>
        </w:tc>
        <w:tc>
          <w:tcPr>
            <w:tcW w:w="1835" w:type="dxa"/>
            <w:tcBorders>
              <w:top w:val="single" w:sz="4" w:space="0" w:color="auto"/>
              <w:left w:val="nil"/>
              <w:bottom w:val="single" w:sz="4" w:space="0" w:color="auto"/>
              <w:right w:val="single" w:sz="4" w:space="0" w:color="auto"/>
            </w:tcBorders>
            <w:shd w:val="clear" w:color="auto" w:fill="9CC2E5"/>
            <w:vAlign w:val="center"/>
          </w:tcPr>
          <w:p w:rsidR="00A47D8E" w:rsidRPr="00F56785" w:rsidP="00F56785" w14:paraId="3101BE1B" w14:textId="77777777">
            <w:pPr>
              <w:widowControl w:val="0"/>
              <w:autoSpaceDE w:val="0"/>
              <w:autoSpaceDN w:val="0"/>
              <w:adjustRightInd w:val="0"/>
              <w:jc w:val="center"/>
              <w:rPr>
                <w:b/>
                <w:bCs/>
                <w:color w:val="000000"/>
                <w:sz w:val="20"/>
                <w:szCs w:val="20"/>
              </w:rPr>
            </w:pPr>
            <w:r w:rsidRPr="00F56785">
              <w:rPr>
                <w:b/>
                <w:bCs/>
                <w:snapToGrid w:val="0"/>
                <w:color w:val="000000"/>
                <w:sz w:val="20"/>
                <w:szCs w:val="20"/>
              </w:rPr>
              <w:t>Current ICR</w:t>
            </w:r>
          </w:p>
        </w:tc>
        <w:tc>
          <w:tcPr>
            <w:tcW w:w="1432" w:type="dxa"/>
            <w:tcBorders>
              <w:bottom w:val="single" w:sz="4" w:space="0" w:color="auto"/>
            </w:tcBorders>
            <w:shd w:val="clear" w:color="auto" w:fill="9CC2E5"/>
            <w:noWrap/>
            <w:vAlign w:val="center"/>
            <w:hideMark/>
          </w:tcPr>
          <w:p w:rsidR="00A47D8E" w:rsidRPr="00F56785" w:rsidP="00F56785" w14:paraId="2AE6D1A6" w14:textId="77777777">
            <w:pPr>
              <w:widowControl w:val="0"/>
              <w:autoSpaceDE w:val="0"/>
              <w:autoSpaceDN w:val="0"/>
              <w:adjustRightInd w:val="0"/>
              <w:jc w:val="center"/>
              <w:rPr>
                <w:b/>
                <w:bCs/>
                <w:color w:val="000000"/>
                <w:sz w:val="20"/>
                <w:szCs w:val="20"/>
              </w:rPr>
            </w:pPr>
            <w:r w:rsidRPr="00F56785">
              <w:rPr>
                <w:b/>
                <w:bCs/>
                <w:color w:val="000000"/>
                <w:sz w:val="20"/>
                <w:szCs w:val="20"/>
              </w:rPr>
              <w:t>Difference</w:t>
            </w:r>
          </w:p>
        </w:tc>
      </w:tr>
      <w:tr w14:paraId="628D1657" w14:textId="77777777" w:rsidTr="00F56785">
        <w:tblPrEx>
          <w:tblW w:w="8212" w:type="dxa"/>
          <w:tblLook w:val="04A0"/>
        </w:tblPrEx>
        <w:trPr>
          <w:trHeight w:val="322"/>
        </w:trPr>
        <w:tc>
          <w:tcPr>
            <w:tcW w:w="3055" w:type="dxa"/>
            <w:shd w:val="clear" w:color="auto" w:fill="auto"/>
            <w:noWrap/>
            <w:vAlign w:val="center"/>
            <w:hideMark/>
          </w:tcPr>
          <w:p w:rsidR="00A47D8E" w:rsidRPr="00F56785" w:rsidP="00F56785" w14:paraId="16859827" w14:textId="77777777">
            <w:pPr>
              <w:widowControl w:val="0"/>
              <w:autoSpaceDE w:val="0"/>
              <w:autoSpaceDN w:val="0"/>
              <w:adjustRightInd w:val="0"/>
              <w:rPr>
                <w:color w:val="000000"/>
                <w:sz w:val="20"/>
                <w:szCs w:val="20"/>
              </w:rPr>
            </w:pPr>
            <w:r w:rsidRPr="00F56785">
              <w:rPr>
                <w:color w:val="000000"/>
                <w:sz w:val="20"/>
                <w:szCs w:val="20"/>
              </w:rPr>
              <w:t>Number of Respondents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D8E" w:rsidRPr="00F56785" w:rsidP="00F56785" w14:paraId="1E2ACFA2" w14:textId="77777777">
            <w:pPr>
              <w:widowControl w:val="0"/>
              <w:autoSpaceDE w:val="0"/>
              <w:autoSpaceDN w:val="0"/>
              <w:adjustRightInd w:val="0"/>
              <w:jc w:val="right"/>
              <w:rPr>
                <w:color w:val="000000"/>
                <w:sz w:val="20"/>
                <w:szCs w:val="20"/>
              </w:rPr>
            </w:pPr>
            <w:r w:rsidRPr="00F56785">
              <w:rPr>
                <w:color w:val="000000"/>
                <w:sz w:val="20"/>
                <w:szCs w:val="20"/>
              </w:rPr>
              <w:t>15</w:t>
            </w:r>
          </w:p>
        </w:tc>
        <w:tc>
          <w:tcPr>
            <w:tcW w:w="1835" w:type="dxa"/>
            <w:tcBorders>
              <w:top w:val="single" w:sz="4" w:space="0" w:color="auto"/>
              <w:left w:val="nil"/>
              <w:bottom w:val="single" w:sz="4" w:space="0" w:color="auto"/>
              <w:right w:val="single" w:sz="4" w:space="0" w:color="auto"/>
            </w:tcBorders>
            <w:shd w:val="clear" w:color="auto" w:fill="auto"/>
            <w:vAlign w:val="center"/>
          </w:tcPr>
          <w:p w:rsidR="00A47D8E" w:rsidRPr="00F56785" w:rsidP="00F56785" w14:paraId="6B6C4DEB" w14:textId="77777777">
            <w:pPr>
              <w:widowControl w:val="0"/>
              <w:autoSpaceDE w:val="0"/>
              <w:autoSpaceDN w:val="0"/>
              <w:adjustRightInd w:val="0"/>
              <w:jc w:val="right"/>
              <w:rPr>
                <w:color w:val="000000"/>
                <w:sz w:val="20"/>
                <w:szCs w:val="20"/>
              </w:rPr>
            </w:pPr>
            <w:r w:rsidRPr="00F56785">
              <w:rPr>
                <w:color w:val="000000"/>
                <w:sz w:val="20"/>
                <w:szCs w:val="20"/>
              </w:rPr>
              <w:t>15</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A47D8E" w:rsidRPr="00F56785" w:rsidP="00F56785" w14:paraId="34F628EF" w14:textId="77777777">
            <w:pPr>
              <w:widowControl w:val="0"/>
              <w:autoSpaceDE w:val="0"/>
              <w:autoSpaceDN w:val="0"/>
              <w:adjustRightInd w:val="0"/>
              <w:jc w:val="right"/>
              <w:rPr>
                <w:color w:val="000000"/>
                <w:sz w:val="20"/>
                <w:szCs w:val="20"/>
              </w:rPr>
            </w:pPr>
            <w:r w:rsidRPr="00F56785">
              <w:rPr>
                <w:color w:val="000000"/>
                <w:sz w:val="20"/>
                <w:szCs w:val="20"/>
              </w:rPr>
              <w:t>0</w:t>
            </w:r>
          </w:p>
        </w:tc>
      </w:tr>
      <w:tr w14:paraId="7DD5E9D3" w14:textId="77777777" w:rsidTr="00F56785">
        <w:tblPrEx>
          <w:tblW w:w="8212" w:type="dxa"/>
          <w:tblLook w:val="04A0"/>
        </w:tblPrEx>
        <w:trPr>
          <w:trHeight w:val="322"/>
        </w:trPr>
        <w:tc>
          <w:tcPr>
            <w:tcW w:w="3055" w:type="dxa"/>
            <w:tcBorders>
              <w:top w:val="single" w:sz="4" w:space="0" w:color="auto"/>
            </w:tcBorders>
            <w:shd w:val="clear" w:color="auto" w:fill="auto"/>
            <w:noWrap/>
            <w:vAlign w:val="center"/>
            <w:hideMark/>
          </w:tcPr>
          <w:p w:rsidR="00A47D8E" w:rsidRPr="00F56785" w:rsidP="00F56785" w14:paraId="599EE650" w14:textId="77777777">
            <w:pPr>
              <w:widowControl w:val="0"/>
              <w:autoSpaceDE w:val="0"/>
              <w:autoSpaceDN w:val="0"/>
              <w:adjustRightInd w:val="0"/>
              <w:rPr>
                <w:color w:val="000000"/>
                <w:sz w:val="20"/>
                <w:szCs w:val="20"/>
              </w:rPr>
            </w:pPr>
            <w:r w:rsidRPr="00F56785">
              <w:rPr>
                <w:color w:val="000000"/>
                <w:sz w:val="20"/>
                <w:szCs w:val="20"/>
              </w:rPr>
              <w:t>Number of Responses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D8E" w:rsidRPr="00F56785" w:rsidP="00F56785" w14:paraId="3FF67BAE" w14:textId="77777777">
            <w:pPr>
              <w:widowControl w:val="0"/>
              <w:autoSpaceDE w:val="0"/>
              <w:autoSpaceDN w:val="0"/>
              <w:adjustRightInd w:val="0"/>
              <w:jc w:val="right"/>
              <w:rPr>
                <w:color w:val="000000"/>
                <w:sz w:val="20"/>
                <w:szCs w:val="20"/>
              </w:rPr>
            </w:pPr>
            <w:r w:rsidRPr="00F56785">
              <w:rPr>
                <w:color w:val="000000"/>
                <w:sz w:val="20"/>
                <w:szCs w:val="20"/>
              </w:rPr>
              <w:t>6,600</w:t>
            </w:r>
          </w:p>
        </w:tc>
        <w:tc>
          <w:tcPr>
            <w:tcW w:w="1835" w:type="dxa"/>
            <w:tcBorders>
              <w:top w:val="single" w:sz="4" w:space="0" w:color="auto"/>
              <w:left w:val="nil"/>
              <w:bottom w:val="single" w:sz="4" w:space="0" w:color="auto"/>
              <w:right w:val="single" w:sz="4" w:space="0" w:color="auto"/>
            </w:tcBorders>
            <w:shd w:val="clear" w:color="auto" w:fill="auto"/>
            <w:vAlign w:val="center"/>
          </w:tcPr>
          <w:p w:rsidR="00FC1085" w:rsidRPr="00F56785" w:rsidP="00F56785" w14:paraId="6DF39C46" w14:textId="77777777">
            <w:pPr>
              <w:widowControl w:val="0"/>
              <w:autoSpaceDE w:val="0"/>
              <w:autoSpaceDN w:val="0"/>
              <w:adjustRightInd w:val="0"/>
              <w:jc w:val="right"/>
              <w:rPr>
                <w:color w:val="000000"/>
                <w:sz w:val="20"/>
                <w:szCs w:val="20"/>
              </w:rPr>
            </w:pPr>
            <w:r w:rsidRPr="00F56785">
              <w:rPr>
                <w:color w:val="000000"/>
                <w:sz w:val="20"/>
                <w:szCs w:val="20"/>
              </w:rPr>
              <w:t>6,600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A47D8E" w:rsidRPr="00F56785" w:rsidP="00F56785" w14:paraId="35BF1002" w14:textId="77777777">
            <w:pPr>
              <w:widowControl w:val="0"/>
              <w:autoSpaceDE w:val="0"/>
              <w:autoSpaceDN w:val="0"/>
              <w:adjustRightInd w:val="0"/>
              <w:jc w:val="right"/>
              <w:rPr>
                <w:color w:val="000000"/>
                <w:sz w:val="20"/>
                <w:szCs w:val="20"/>
              </w:rPr>
            </w:pPr>
            <w:r w:rsidRPr="00F56785">
              <w:rPr>
                <w:color w:val="000000"/>
                <w:sz w:val="20"/>
                <w:szCs w:val="20"/>
              </w:rPr>
              <w:t>0</w:t>
            </w:r>
          </w:p>
        </w:tc>
      </w:tr>
      <w:tr w14:paraId="51294726" w14:textId="77777777" w:rsidTr="00F56785">
        <w:tblPrEx>
          <w:tblW w:w="8212" w:type="dxa"/>
          <w:tblLook w:val="04A0"/>
        </w:tblPrEx>
        <w:trPr>
          <w:trHeight w:val="322"/>
        </w:trPr>
        <w:tc>
          <w:tcPr>
            <w:tcW w:w="3055" w:type="dxa"/>
            <w:tcBorders>
              <w:top w:val="single" w:sz="4" w:space="0" w:color="auto"/>
            </w:tcBorders>
            <w:shd w:val="clear" w:color="auto" w:fill="auto"/>
            <w:noWrap/>
            <w:vAlign w:val="center"/>
            <w:hideMark/>
          </w:tcPr>
          <w:p w:rsidR="00A47D8E" w:rsidRPr="00F56785" w:rsidP="00F56785" w14:paraId="12784056" w14:textId="77777777">
            <w:pPr>
              <w:widowControl w:val="0"/>
              <w:autoSpaceDE w:val="0"/>
              <w:autoSpaceDN w:val="0"/>
              <w:adjustRightInd w:val="0"/>
              <w:rPr>
                <w:color w:val="000000"/>
                <w:sz w:val="20"/>
                <w:szCs w:val="20"/>
              </w:rPr>
            </w:pPr>
            <w:r w:rsidRPr="00F56785">
              <w:rPr>
                <w:color w:val="000000"/>
                <w:sz w:val="20"/>
                <w:szCs w:val="20"/>
              </w:rPr>
              <w:t>Annual Time Burden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D8E" w:rsidRPr="00F56785" w:rsidP="00F56785" w14:paraId="2A48E04F" w14:textId="77777777">
            <w:pPr>
              <w:widowControl w:val="0"/>
              <w:autoSpaceDE w:val="0"/>
              <w:autoSpaceDN w:val="0"/>
              <w:adjustRightInd w:val="0"/>
              <w:jc w:val="right"/>
              <w:rPr>
                <w:color w:val="000000"/>
                <w:sz w:val="20"/>
                <w:szCs w:val="20"/>
              </w:rPr>
            </w:pPr>
            <w:r w:rsidRPr="00F56785">
              <w:rPr>
                <w:color w:val="000000"/>
                <w:sz w:val="20"/>
                <w:szCs w:val="20"/>
              </w:rPr>
              <w:t>8,250</w:t>
            </w:r>
          </w:p>
        </w:tc>
        <w:tc>
          <w:tcPr>
            <w:tcW w:w="1835" w:type="dxa"/>
            <w:tcBorders>
              <w:top w:val="single" w:sz="4" w:space="0" w:color="auto"/>
              <w:left w:val="nil"/>
              <w:bottom w:val="single" w:sz="4" w:space="0" w:color="auto"/>
              <w:right w:val="single" w:sz="4" w:space="0" w:color="auto"/>
            </w:tcBorders>
            <w:shd w:val="clear" w:color="auto" w:fill="auto"/>
            <w:vAlign w:val="center"/>
          </w:tcPr>
          <w:p w:rsidR="00A47D8E" w:rsidRPr="00F56785" w:rsidP="00F56785" w14:paraId="48D211F6" w14:textId="77777777">
            <w:pPr>
              <w:widowControl w:val="0"/>
              <w:autoSpaceDE w:val="0"/>
              <w:autoSpaceDN w:val="0"/>
              <w:adjustRightInd w:val="0"/>
              <w:jc w:val="right"/>
              <w:rPr>
                <w:color w:val="000000"/>
                <w:sz w:val="20"/>
                <w:szCs w:val="20"/>
              </w:rPr>
            </w:pPr>
            <w:r w:rsidRPr="00F56785">
              <w:rPr>
                <w:color w:val="000000"/>
                <w:sz w:val="20"/>
                <w:szCs w:val="20"/>
              </w:rPr>
              <w:t>8,250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A47D8E" w:rsidRPr="00F56785" w:rsidP="00F56785" w14:paraId="3E07ED59" w14:textId="77777777">
            <w:pPr>
              <w:widowControl w:val="0"/>
              <w:autoSpaceDE w:val="0"/>
              <w:autoSpaceDN w:val="0"/>
              <w:adjustRightInd w:val="0"/>
              <w:jc w:val="right"/>
              <w:rPr>
                <w:color w:val="000000"/>
                <w:sz w:val="20"/>
                <w:szCs w:val="20"/>
              </w:rPr>
            </w:pPr>
            <w:r w:rsidRPr="00F56785">
              <w:rPr>
                <w:color w:val="000000"/>
                <w:sz w:val="20"/>
                <w:szCs w:val="20"/>
              </w:rPr>
              <w:t>0</w:t>
            </w:r>
          </w:p>
        </w:tc>
      </w:tr>
      <w:tr w14:paraId="176FF445" w14:textId="77777777" w:rsidTr="00F56785">
        <w:tblPrEx>
          <w:tblW w:w="8212" w:type="dxa"/>
          <w:tblLook w:val="04A0"/>
        </w:tblPrEx>
        <w:trPr>
          <w:trHeight w:val="322"/>
        </w:trPr>
        <w:tc>
          <w:tcPr>
            <w:tcW w:w="3055" w:type="dxa"/>
            <w:tcBorders>
              <w:top w:val="single" w:sz="4" w:space="0" w:color="auto"/>
            </w:tcBorders>
            <w:shd w:val="clear" w:color="auto" w:fill="auto"/>
            <w:noWrap/>
            <w:vAlign w:val="center"/>
          </w:tcPr>
          <w:p w:rsidR="00A47D8E" w:rsidRPr="00F56785" w:rsidP="00F56785" w14:paraId="379B5226" w14:textId="77777777">
            <w:pPr>
              <w:widowControl w:val="0"/>
              <w:autoSpaceDE w:val="0"/>
              <w:autoSpaceDN w:val="0"/>
              <w:adjustRightInd w:val="0"/>
              <w:rPr>
                <w:color w:val="000000"/>
                <w:sz w:val="20"/>
                <w:szCs w:val="20"/>
              </w:rPr>
            </w:pPr>
            <w:r w:rsidRPr="00F56785">
              <w:rPr>
                <w:color w:val="000000"/>
                <w:sz w:val="20"/>
                <w:szCs w:val="20"/>
              </w:rPr>
              <w:t>Annual Burden Costs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D8E" w:rsidRPr="00F56785" w:rsidP="00F56785" w14:paraId="5CAB515F" w14:textId="77777777">
            <w:pPr>
              <w:widowControl w:val="0"/>
              <w:autoSpaceDE w:val="0"/>
              <w:autoSpaceDN w:val="0"/>
              <w:adjustRightInd w:val="0"/>
              <w:jc w:val="right"/>
              <w:rPr>
                <w:color w:val="000000"/>
                <w:sz w:val="20"/>
                <w:szCs w:val="20"/>
              </w:rPr>
            </w:pPr>
            <w:r w:rsidRPr="00F56785">
              <w:rPr>
                <w:color w:val="000000"/>
                <w:sz w:val="20"/>
                <w:szCs w:val="20"/>
              </w:rPr>
              <w:t>$416,328</w:t>
            </w:r>
          </w:p>
        </w:tc>
        <w:tc>
          <w:tcPr>
            <w:tcW w:w="1835" w:type="dxa"/>
            <w:tcBorders>
              <w:top w:val="single" w:sz="4" w:space="0" w:color="auto"/>
              <w:left w:val="nil"/>
              <w:bottom w:val="single" w:sz="4" w:space="0" w:color="auto"/>
              <w:right w:val="single" w:sz="4" w:space="0" w:color="auto"/>
            </w:tcBorders>
            <w:shd w:val="clear" w:color="auto" w:fill="auto"/>
            <w:vAlign w:val="center"/>
          </w:tcPr>
          <w:p w:rsidR="00A47D8E" w:rsidRPr="00F56785" w:rsidP="00F56785" w14:paraId="335D93FC" w14:textId="77777777">
            <w:pPr>
              <w:widowControl w:val="0"/>
              <w:autoSpaceDE w:val="0"/>
              <w:autoSpaceDN w:val="0"/>
              <w:adjustRightInd w:val="0"/>
              <w:jc w:val="right"/>
              <w:rPr>
                <w:color w:val="000000"/>
                <w:sz w:val="20"/>
                <w:szCs w:val="20"/>
              </w:rPr>
            </w:pPr>
            <w:r w:rsidRPr="00F56785">
              <w:rPr>
                <w:color w:val="000000"/>
                <w:sz w:val="20"/>
                <w:szCs w:val="20"/>
              </w:rPr>
              <w:t>$</w:t>
            </w:r>
            <w:r w:rsidRPr="00F56785" w:rsidR="00D807DD">
              <w:rPr>
                <w:color w:val="000000"/>
                <w:sz w:val="20"/>
                <w:szCs w:val="20"/>
              </w:rPr>
              <w:t>580,470</w:t>
            </w:r>
          </w:p>
        </w:tc>
        <w:tc>
          <w:tcPr>
            <w:tcW w:w="1432" w:type="dxa"/>
            <w:tcBorders>
              <w:top w:val="single" w:sz="4" w:space="0" w:color="auto"/>
              <w:left w:val="nil"/>
              <w:bottom w:val="single" w:sz="4" w:space="0" w:color="auto"/>
              <w:right w:val="single" w:sz="4" w:space="0" w:color="auto"/>
            </w:tcBorders>
            <w:shd w:val="clear" w:color="auto" w:fill="auto"/>
            <w:noWrap/>
            <w:vAlign w:val="center"/>
          </w:tcPr>
          <w:p w:rsidR="00A47D8E" w:rsidRPr="00F56785" w:rsidP="00F56785" w14:paraId="280308A9" w14:textId="77777777">
            <w:pPr>
              <w:widowControl w:val="0"/>
              <w:autoSpaceDE w:val="0"/>
              <w:autoSpaceDN w:val="0"/>
              <w:adjustRightInd w:val="0"/>
              <w:jc w:val="right"/>
              <w:rPr>
                <w:color w:val="000000"/>
                <w:sz w:val="20"/>
                <w:szCs w:val="20"/>
              </w:rPr>
            </w:pPr>
            <w:r w:rsidRPr="00F56785">
              <w:rPr>
                <w:color w:val="000000"/>
                <w:sz w:val="20"/>
                <w:szCs w:val="20"/>
              </w:rPr>
              <w:t>$</w:t>
            </w:r>
            <w:r w:rsidRPr="00F56785" w:rsidR="00D807DD">
              <w:rPr>
                <w:color w:val="000000"/>
                <w:sz w:val="20"/>
                <w:szCs w:val="20"/>
              </w:rPr>
              <w:t>164,142</w:t>
            </w:r>
          </w:p>
        </w:tc>
      </w:tr>
      <w:tr w14:paraId="1ABCAEB9" w14:textId="77777777" w:rsidTr="00F56785">
        <w:tblPrEx>
          <w:tblW w:w="8212" w:type="dxa"/>
          <w:tblLook w:val="04A0"/>
        </w:tblPrEx>
        <w:trPr>
          <w:trHeight w:val="322"/>
        </w:trPr>
        <w:tc>
          <w:tcPr>
            <w:tcW w:w="3055" w:type="dxa"/>
            <w:tcBorders>
              <w:top w:val="single" w:sz="4" w:space="0" w:color="auto"/>
              <w:bottom w:val="single" w:sz="4" w:space="0" w:color="auto"/>
            </w:tcBorders>
            <w:shd w:val="clear" w:color="auto" w:fill="auto"/>
            <w:noWrap/>
            <w:vAlign w:val="center"/>
            <w:hideMark/>
          </w:tcPr>
          <w:p w:rsidR="00A47D8E" w:rsidRPr="00F56785" w:rsidP="00F56785" w14:paraId="3CFAA95F" w14:textId="77777777">
            <w:pPr>
              <w:widowControl w:val="0"/>
              <w:autoSpaceDE w:val="0"/>
              <w:autoSpaceDN w:val="0"/>
              <w:adjustRightInd w:val="0"/>
              <w:rPr>
                <w:color w:val="000000"/>
                <w:sz w:val="20"/>
                <w:szCs w:val="20"/>
              </w:rPr>
            </w:pPr>
            <w:r w:rsidRPr="00F56785">
              <w:rPr>
                <w:color w:val="000000"/>
                <w:sz w:val="20"/>
                <w:szCs w:val="20"/>
              </w:rPr>
              <w:t xml:space="preserve">Annual Other Burden Costs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D8E" w:rsidRPr="00F56785" w:rsidP="00F56785" w14:paraId="77408517" w14:textId="77777777">
            <w:pPr>
              <w:widowControl w:val="0"/>
              <w:autoSpaceDE w:val="0"/>
              <w:autoSpaceDN w:val="0"/>
              <w:adjustRightInd w:val="0"/>
              <w:jc w:val="right"/>
              <w:rPr>
                <w:color w:val="000000"/>
                <w:sz w:val="20"/>
                <w:szCs w:val="20"/>
              </w:rPr>
            </w:pPr>
            <w:r w:rsidRPr="00F56785">
              <w:rPr>
                <w:color w:val="000000"/>
                <w:sz w:val="20"/>
                <w:szCs w:val="20"/>
              </w:rPr>
              <w:t>$0</w:t>
            </w:r>
          </w:p>
        </w:tc>
        <w:tc>
          <w:tcPr>
            <w:tcW w:w="1835" w:type="dxa"/>
            <w:tcBorders>
              <w:top w:val="single" w:sz="4" w:space="0" w:color="auto"/>
              <w:left w:val="nil"/>
              <w:bottom w:val="single" w:sz="4" w:space="0" w:color="auto"/>
              <w:right w:val="single" w:sz="4" w:space="0" w:color="auto"/>
            </w:tcBorders>
            <w:shd w:val="clear" w:color="auto" w:fill="auto"/>
            <w:vAlign w:val="center"/>
          </w:tcPr>
          <w:p w:rsidR="00A47D8E" w:rsidRPr="00F56785" w:rsidP="00F56785" w14:paraId="013EAC8F" w14:textId="77777777">
            <w:pPr>
              <w:widowControl w:val="0"/>
              <w:autoSpaceDE w:val="0"/>
              <w:autoSpaceDN w:val="0"/>
              <w:adjustRightInd w:val="0"/>
              <w:jc w:val="right"/>
              <w:rPr>
                <w:color w:val="000000"/>
                <w:sz w:val="20"/>
                <w:szCs w:val="20"/>
              </w:rPr>
            </w:pPr>
            <w:r w:rsidRPr="00F56785">
              <w:rPr>
                <w:color w:val="000000"/>
                <w:sz w:val="20"/>
                <w:szCs w:val="20"/>
              </w:rPr>
              <w:t>$0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A47D8E" w:rsidRPr="00F56785" w:rsidP="00F56785" w14:paraId="5C6E9E53" w14:textId="77777777">
            <w:pPr>
              <w:widowControl w:val="0"/>
              <w:autoSpaceDE w:val="0"/>
              <w:autoSpaceDN w:val="0"/>
              <w:adjustRightInd w:val="0"/>
              <w:jc w:val="right"/>
              <w:rPr>
                <w:color w:val="000000"/>
                <w:sz w:val="20"/>
                <w:szCs w:val="20"/>
              </w:rPr>
            </w:pPr>
            <w:r w:rsidRPr="00F56785">
              <w:rPr>
                <w:color w:val="000000"/>
                <w:sz w:val="20"/>
                <w:szCs w:val="20"/>
              </w:rPr>
              <w:t>$0</w:t>
            </w:r>
          </w:p>
        </w:tc>
      </w:tr>
    </w:tbl>
    <w:p w:rsidR="00A72E45" w:rsidRPr="009000F0" w14:paraId="5387A29B" w14:textId="77777777">
      <w:pPr>
        <w:rPr>
          <w:b/>
          <w:bCs/>
        </w:rPr>
      </w:pPr>
    </w:p>
    <w:p w:rsidR="00030F18" w:rsidRPr="00226886" w14:paraId="15760561" w14:textId="77777777">
      <w:pPr>
        <w:pStyle w:val="Default"/>
        <w:rPr>
          <w:rFonts w:ascii="Times New Roman" w:hAnsi="Times New Roman" w:cs="Times New Roman"/>
          <w:color w:val="auto"/>
        </w:rPr>
      </w:pPr>
      <w:r w:rsidRPr="00226886">
        <w:rPr>
          <w:rFonts w:ascii="Times New Roman" w:hAnsi="Times New Roman" w:cs="Times New Roman"/>
          <w:b/>
          <w:bCs/>
          <w:color w:val="auto"/>
        </w:rPr>
        <w:t>16</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For collections of information whose results will be published, outline plans for tabulation, and publication</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Address any complex analytical techniques that will be used</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 xml:space="preserve">Provide the time schedule for the entire project, including beginning and ending dates of the collection of information, completion of report, publication dates, and other actions. </w:t>
      </w:r>
    </w:p>
    <w:p w:rsidR="00030F18" w:rsidRPr="00226886" w14:paraId="6BB91162"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030F18" w:rsidRPr="00226886" w14:paraId="35DCD0D1"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MSHA has no plans to publish the information obtained through this information collection. </w:t>
      </w:r>
    </w:p>
    <w:p w:rsidR="00030F18" w:rsidRPr="00226886" w14:paraId="7343B146"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030F18" w:rsidRPr="00226886" w14:paraId="06F4B1FC" w14:textId="77777777">
      <w:pPr>
        <w:pStyle w:val="Default"/>
        <w:rPr>
          <w:rFonts w:ascii="Times New Roman" w:hAnsi="Times New Roman" w:cs="Times New Roman"/>
          <w:color w:val="auto"/>
        </w:rPr>
      </w:pPr>
      <w:r w:rsidRPr="00226886">
        <w:rPr>
          <w:rFonts w:ascii="Times New Roman" w:hAnsi="Times New Roman" w:cs="Times New Roman"/>
          <w:b/>
          <w:bCs/>
          <w:color w:val="auto"/>
        </w:rPr>
        <w:t>17</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 xml:space="preserve">If seeking approval to not display the expiration date for OMB approval of the information collection, explain the reasons that display would be inappropriate. </w:t>
      </w:r>
    </w:p>
    <w:p w:rsidR="00030F18" w:rsidRPr="00226886" w14:paraId="745CC538"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030F18" w:rsidRPr="00226886" w14:paraId="2606E9C9" w14:textId="77777777">
      <w:pPr>
        <w:pStyle w:val="Default"/>
        <w:rPr>
          <w:rFonts w:ascii="Times New Roman" w:hAnsi="Times New Roman" w:cs="Times New Roman"/>
          <w:color w:val="auto"/>
        </w:rPr>
      </w:pPr>
      <w:r w:rsidRPr="00226886">
        <w:rPr>
          <w:rFonts w:ascii="Times New Roman" w:hAnsi="Times New Roman" w:cs="Times New Roman"/>
          <w:color w:val="auto"/>
        </w:rPr>
        <w:t>MSHA associates</w:t>
      </w:r>
      <w:r w:rsidRPr="00226886">
        <w:rPr>
          <w:rFonts w:ascii="Times New Roman" w:hAnsi="Times New Roman" w:cs="Times New Roman"/>
          <w:color w:val="auto"/>
        </w:rPr>
        <w:t xml:space="preserve"> no forms with this collection. </w:t>
      </w:r>
    </w:p>
    <w:p w:rsidR="00030F18" w:rsidRPr="00226886" w14:paraId="724381FC" w14:textId="77777777">
      <w:pPr>
        <w:pStyle w:val="Default"/>
        <w:rPr>
          <w:rFonts w:ascii="Times New Roman" w:hAnsi="Times New Roman" w:cs="Times New Roman"/>
          <w:color w:val="auto"/>
        </w:rPr>
      </w:pPr>
      <w:r w:rsidRPr="00226886">
        <w:rPr>
          <w:rFonts w:ascii="Times New Roman" w:hAnsi="Times New Roman" w:cs="Times New Roman"/>
          <w:color w:val="auto"/>
        </w:rPr>
        <w:t xml:space="preserve">  </w:t>
      </w:r>
    </w:p>
    <w:p w:rsidR="00030F18" w:rsidRPr="00226886" w14:paraId="22DE82B4" w14:textId="77777777">
      <w:pPr>
        <w:pStyle w:val="Default"/>
        <w:rPr>
          <w:rFonts w:ascii="Times New Roman" w:hAnsi="Times New Roman" w:cs="Times New Roman"/>
          <w:color w:val="auto"/>
        </w:rPr>
      </w:pPr>
      <w:r w:rsidRPr="00226886">
        <w:rPr>
          <w:rFonts w:ascii="Times New Roman" w:hAnsi="Times New Roman" w:cs="Times New Roman"/>
          <w:b/>
          <w:bCs/>
          <w:color w:val="auto"/>
        </w:rPr>
        <w:t>18</w:t>
      </w:r>
      <w:r w:rsidR="008D369D">
        <w:rPr>
          <w:rFonts w:ascii="Times New Roman" w:hAnsi="Times New Roman" w:cs="Times New Roman"/>
          <w:b/>
          <w:bCs/>
          <w:color w:val="auto"/>
        </w:rPr>
        <w:t xml:space="preserve">. </w:t>
      </w:r>
      <w:r w:rsidRPr="00226886">
        <w:rPr>
          <w:rFonts w:ascii="Times New Roman" w:hAnsi="Times New Roman" w:cs="Times New Roman"/>
          <w:b/>
          <w:bCs/>
          <w:color w:val="auto"/>
        </w:rPr>
        <w:t xml:space="preserve">Explain each exception to the </w:t>
      </w:r>
      <w:r w:rsidRPr="00226886" w:rsidR="006555D6">
        <w:rPr>
          <w:rFonts w:ascii="Times New Roman" w:hAnsi="Times New Roman" w:cs="Times New Roman"/>
          <w:b/>
          <w:bCs/>
          <w:color w:val="auto"/>
        </w:rPr>
        <w:t xml:space="preserve">topics of the </w:t>
      </w:r>
      <w:r w:rsidRPr="00226886" w:rsidR="001C4935">
        <w:rPr>
          <w:rFonts w:ascii="Times New Roman" w:hAnsi="Times New Roman" w:cs="Times New Roman"/>
          <w:b/>
          <w:bCs/>
          <w:color w:val="auto"/>
        </w:rPr>
        <w:t>certification statement.</w:t>
      </w:r>
      <w:r w:rsidRPr="00226886">
        <w:rPr>
          <w:rFonts w:ascii="Times New Roman" w:hAnsi="Times New Roman" w:cs="Times New Roman"/>
          <w:b/>
          <w:bCs/>
          <w:color w:val="auto"/>
        </w:rPr>
        <w:t xml:space="preserve"> </w:t>
      </w:r>
    </w:p>
    <w:p w:rsidR="00030F18" w:rsidRPr="009000F0" w14:paraId="4D490B6E"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9000F0" w14:paraId="06486537"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There are no certification exceptions identified with this information collection. </w:t>
      </w:r>
    </w:p>
    <w:p w:rsidR="00030F18" w:rsidRPr="009000F0" w14:paraId="225F91D3" w14:textId="77777777">
      <w:pPr>
        <w:pStyle w:val="Default"/>
        <w:rPr>
          <w:rFonts w:ascii="Times New Roman" w:hAnsi="Times New Roman" w:cs="Times New Roman"/>
          <w:color w:val="auto"/>
        </w:rPr>
      </w:pPr>
      <w:r w:rsidRPr="009000F0">
        <w:rPr>
          <w:rFonts w:ascii="Times New Roman" w:hAnsi="Times New Roman" w:cs="Times New Roman"/>
          <w:color w:val="auto"/>
        </w:rPr>
        <w:t xml:space="preserve"> </w:t>
      </w:r>
    </w:p>
    <w:p w:rsidR="00030F18" w:rsidRPr="009000F0" w14:paraId="476A10E3" w14:textId="77777777">
      <w:pPr>
        <w:pStyle w:val="Default"/>
        <w:rPr>
          <w:rFonts w:ascii="Times New Roman" w:hAnsi="Times New Roman" w:cs="Times New Roman"/>
          <w:b/>
          <w:color w:val="auto"/>
        </w:rPr>
      </w:pPr>
      <w:r w:rsidRPr="009000F0">
        <w:rPr>
          <w:rFonts w:ascii="Times New Roman" w:hAnsi="Times New Roman" w:cs="Times New Roman"/>
          <w:b/>
          <w:bCs/>
          <w:color w:val="auto"/>
        </w:rPr>
        <w:t xml:space="preserve">B. Collection of Information Employing Statistical Methods </w:t>
      </w:r>
    </w:p>
    <w:p w:rsidR="00030F18" w:rsidRPr="009000F0" w14:paraId="4B16A802" w14:textId="77777777">
      <w:pPr>
        <w:pStyle w:val="Default"/>
        <w:rPr>
          <w:rFonts w:ascii="Times New Roman" w:hAnsi="Times New Roman" w:cs="Times New Roman"/>
          <w:b/>
          <w:color w:val="auto"/>
        </w:rPr>
      </w:pPr>
      <w:r w:rsidRPr="009000F0">
        <w:rPr>
          <w:rFonts w:ascii="Times New Roman" w:hAnsi="Times New Roman" w:cs="Times New Roman"/>
          <w:b/>
          <w:color w:val="auto"/>
        </w:rPr>
        <w:t xml:space="preserve"> </w:t>
      </w:r>
    </w:p>
    <w:p w:rsidR="0060137E" w:rsidRPr="009000F0" w:rsidP="00897162" w14:paraId="3F3842DF" w14:textId="77777777">
      <w:pPr>
        <w:pStyle w:val="Default"/>
        <w:rPr>
          <w:rFonts w:ascii="Times New Roman" w:hAnsi="Times New Roman" w:cs="Times New Roman"/>
          <w:color w:val="auto"/>
        </w:rPr>
      </w:pPr>
      <w:r w:rsidRPr="00DA7CBC">
        <w:rPr>
          <w:rFonts w:ascii="Times New Roman" w:hAnsi="Times New Roman" w:cs="Times New Roman"/>
          <w:color w:val="auto"/>
        </w:rPr>
        <w:t>As statistical analysis is not required by the regulation, questions 1 through 5 do not apply.</w:t>
      </w:r>
      <w:r w:rsidRPr="009000F0" w:rsidR="00030F18">
        <w:rPr>
          <w:rFonts w:ascii="Times New Roman" w:hAnsi="Times New Roman" w:cs="Times New Roman"/>
          <w:color w:val="auto"/>
        </w:rPr>
        <w:t xml:space="preserve"> </w:t>
      </w:r>
    </w:p>
    <w:sectPr w:rsidSect="00423875">
      <w:headerReference w:type="default" r:id="rId9"/>
      <w:footerReference w:type="even" r:id="rId10"/>
      <w:footerReference w:type="default" r:id="rId11"/>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CF3" w:rsidP="00030F18" w14:paraId="7BAE02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CF3" w14:paraId="5D9848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CF3" w:rsidP="00030F18" w14:paraId="6150677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917">
      <w:rPr>
        <w:rStyle w:val="PageNumber"/>
        <w:noProof/>
      </w:rPr>
      <w:t>8</w:t>
    </w:r>
    <w:r>
      <w:rPr>
        <w:rStyle w:val="PageNumber"/>
      </w:rPr>
      <w:fldChar w:fldCharType="end"/>
    </w:r>
  </w:p>
  <w:p w:rsidR="00AD2CF3" w:rsidP="009C4906" w14:paraId="649D0F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1037" w14:paraId="430B4217" w14:textId="77777777">
      <w:r>
        <w:separator/>
      </w:r>
    </w:p>
  </w:footnote>
  <w:footnote w:type="continuationSeparator" w:id="1">
    <w:p w:rsidR="005A1037" w14:paraId="0ED2A714" w14:textId="77777777">
      <w:r>
        <w:continuationSeparator/>
      </w:r>
    </w:p>
  </w:footnote>
  <w:footnote w:id="2">
    <w:p w:rsidR="00B92A85" w:rsidRPr="00B92A85" w:rsidP="00B92A85" w14:paraId="5D065D65" w14:textId="77777777">
      <w:pPr>
        <w:pStyle w:val="FootnoteText"/>
      </w:pPr>
      <w:r w:rsidRPr="002A037B">
        <w:rPr>
          <w:rStyle w:val="FootnoteReference"/>
          <w:vertAlign w:val="superscript"/>
        </w:rPr>
        <w:footnoteRef/>
      </w:r>
      <w:r w:rsidRPr="00B92A85">
        <w:t xml:space="preserve"> </w:t>
      </w:r>
      <w:r w:rsidRPr="00B92A85">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926D8F" w:rsidRPr="00B92A85" w14:paraId="5839C7ED" w14:textId="77777777">
      <w:pPr>
        <w:pStyle w:val="FootnoteText"/>
      </w:pPr>
    </w:p>
  </w:footnote>
  <w:footnote w:id="3">
    <w:p w:rsidR="00A76D79" w:rsidRPr="00B92A85" w:rsidP="00A76D79" w14:paraId="3BB7BFF1" w14:textId="77777777">
      <w:pPr>
        <w:pStyle w:val="FootnoteText"/>
      </w:pPr>
      <w:r w:rsidRPr="009000F0">
        <w:rPr>
          <w:rStyle w:val="FootnoteReference"/>
          <w:vertAlign w:val="superscript"/>
        </w:rPr>
        <w:footnoteRef/>
      </w:r>
      <w:r w:rsidRPr="00B92A85">
        <w:rPr>
          <w:vertAlign w:val="superscript"/>
        </w:rPr>
        <w:t xml:space="preserve"> </w:t>
      </w:r>
      <w:r w:rsidRPr="00B92A85">
        <w:t>Options for obtaining OE</w:t>
      </w:r>
      <w:r w:rsidRPr="00B92A85" w:rsidR="00E175DB">
        <w:t>W</w:t>
      </w:r>
      <w:r w:rsidRPr="00B92A85">
        <w:t>S data are available at item “E3</w:t>
      </w:r>
      <w:r w:rsidR="008D369D">
        <w:t xml:space="preserve">. </w:t>
      </w:r>
      <w:r w:rsidRPr="00B92A85">
        <w:t>How to get OE</w:t>
      </w:r>
      <w:r w:rsidRPr="00B92A85" w:rsidR="00897162">
        <w:t>W</w:t>
      </w:r>
      <w:r w:rsidRPr="00B92A85">
        <w:t>S data</w:t>
      </w:r>
      <w:r w:rsidR="008D369D">
        <w:t xml:space="preserve">. </w:t>
      </w:r>
      <w:r w:rsidRPr="00B92A85">
        <w:t>What are the different ways to obtain OE</w:t>
      </w:r>
      <w:r w:rsidRPr="00B92A85" w:rsidR="00E175DB">
        <w:t>W</w:t>
      </w:r>
      <w:r w:rsidRPr="00B92A85">
        <w:t xml:space="preserve">S estimates from this website?” at </w:t>
      </w:r>
      <w:hyperlink r:id="rId1" w:history="1">
        <w:r w:rsidRPr="00B92A85" w:rsidR="00897162">
          <w:rPr>
            <w:rStyle w:val="Hyperlink"/>
          </w:rPr>
          <w:t>https://www.bls.gov/oes/oes_ques.htm</w:t>
        </w:r>
      </w:hyperlink>
      <w:r w:rsidRPr="00B92A85">
        <w:t>.</w:t>
      </w:r>
      <w:r w:rsidR="00DC06CE">
        <w:t xml:space="preserve"> </w:t>
      </w:r>
      <w:r w:rsidRPr="00DC06CE" w:rsidR="00DC06CE">
        <w:t>The average wage rate is calculated as the employment-weighted average of hourly mean wages for the occupation.</w:t>
      </w:r>
    </w:p>
    <w:p w:rsidR="00A76D79" w:rsidRPr="00B92A85" w:rsidP="00A76D79" w14:paraId="134B4929" w14:textId="77777777">
      <w:pPr>
        <w:pStyle w:val="FootnoteText"/>
      </w:pPr>
    </w:p>
  </w:footnote>
  <w:footnote w:id="4">
    <w:p w:rsidR="00A76D79" w:rsidRPr="00B92A85" w:rsidP="00A76D79" w14:paraId="4A425DBF" w14:textId="77777777">
      <w:pPr>
        <w:pStyle w:val="FootnoteText"/>
        <w:keepLines/>
      </w:pPr>
      <w:r w:rsidRPr="00B92A85">
        <w:rPr>
          <w:vertAlign w:val="superscript"/>
        </w:rPr>
        <w:footnoteRef/>
      </w:r>
      <w:r w:rsidRPr="00B92A85">
        <w:t xml:space="preserve"> </w:t>
      </w:r>
      <w:r w:rsidRPr="00226886" w:rsidR="00226886">
        <w:t xml:space="preserve">The benefit multiplier comes from BLS Employer Costs for Employee Compensation accessed by menu at </w:t>
      </w:r>
      <w:hyperlink r:id="rId2" w:history="1">
        <w:r w:rsidRPr="000E4B54" w:rsidR="00226886">
          <w:rPr>
            <w:rStyle w:val="Hyperlink"/>
          </w:rPr>
          <w:t>http://data.bls.gov/cgi-bin/srgate</w:t>
        </w:r>
      </w:hyperlink>
      <w:r w:rsidRPr="00226886" w:rsidR="00226886">
        <w:t xml:space="preserve"> or directly at </w:t>
      </w:r>
      <w:hyperlink r:id="rId3" w:history="1">
        <w:r w:rsidRPr="000E4B54" w:rsidR="00226886">
          <w:rPr>
            <w:rStyle w:val="Hyperlink"/>
          </w:rPr>
          <w:t>http://download.bls.gov/pub/time.series/cm/cm.data.0.Current</w:t>
        </w:r>
      </w:hyperlink>
      <w:r w:rsidRPr="00226886" w:rsidR="00226886">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A76D79" w:rsidRPr="00B92A85" w:rsidP="00A76D79" w14:paraId="6F133689" w14:textId="77777777">
      <w:pPr>
        <w:pStyle w:val="FootnoteText"/>
        <w:keepLines/>
      </w:pPr>
    </w:p>
  </w:footnote>
  <w:footnote w:id="5">
    <w:p w:rsidR="00A76D79" w:rsidP="00AC137D" w14:paraId="4F2010EB" w14:textId="77777777">
      <w:pPr>
        <w:rPr>
          <w:sz w:val="20"/>
        </w:rPr>
      </w:pPr>
      <w:r w:rsidRPr="00B92A85">
        <w:rPr>
          <w:rStyle w:val="FootnoteReference"/>
          <w:sz w:val="20"/>
          <w:vertAlign w:val="superscript"/>
        </w:rPr>
        <w:footnoteRef/>
      </w:r>
      <w:r w:rsidRPr="00B92A85">
        <w:rPr>
          <w:sz w:val="20"/>
        </w:rPr>
        <w:t xml:space="preserve"> Wage inflation is the change in Series ID: CIS2020000405000I; </w:t>
      </w:r>
      <w:r w:rsidRPr="00A4294A" w:rsidR="00A4294A">
        <w:rPr>
          <w:sz w:val="20"/>
        </w:rPr>
        <w:t xml:space="preserve">Seasonally adjusted; Series Title: Wages and salaries for Private industry workers in Construction, extraction, farming, fishing, and forestry occupations, Index. </w:t>
      </w:r>
      <w:r w:rsidR="00A4294A">
        <w:rPr>
          <w:sz w:val="20"/>
        </w:rPr>
        <w:t>(</w:t>
      </w:r>
      <w:hyperlink r:id="rId4" w:history="1">
        <w:r w:rsidRPr="00A4294A" w:rsidR="00A4294A">
          <w:rPr>
            <w:rStyle w:val="Hyperlink"/>
            <w:sz w:val="20"/>
          </w:rPr>
          <w:t>https:/data.bls.gov/</w:t>
        </w:r>
        <w:r w:rsidRPr="00A4294A" w:rsidR="00A4294A">
          <w:rPr>
            <w:rStyle w:val="Hyperlink"/>
            <w:sz w:val="20"/>
          </w:rPr>
          <w:t>cgi-bin/srgate</w:t>
        </w:r>
      </w:hyperlink>
      <w:r w:rsidRPr="00A4294A" w:rsidR="00A4294A">
        <w:rPr>
          <w:sz w:val="20"/>
        </w:rPr>
        <w:t xml:space="preserve"> ; Inflation Multiplier = (Current Quarter Cost Index Value / OEWS Wage Base Quarter Index Value).</w:t>
      </w:r>
    </w:p>
    <w:p w:rsidR="00042FCB" w:rsidRPr="00B92A85" w:rsidP="00AC137D" w14:paraId="1C35D79F" w14:textId="77777777"/>
  </w:footnote>
  <w:footnote w:id="6">
    <w:p w:rsidR="00DC06CE" w:rsidRPr="00F72BA5" w:rsidP="00DC06CE" w14:paraId="589DB6D7" w14:textId="77777777">
      <w:pPr>
        <w:pStyle w:val="FootnoteText"/>
      </w:pPr>
      <w:r w:rsidRPr="00914384">
        <w:rPr>
          <w:rStyle w:val="FootnoteReference"/>
          <w:vertAlign w:val="superscript"/>
        </w:rPr>
        <w:footnoteRef/>
      </w:r>
      <w:r w:rsidRPr="00F72BA5">
        <w:t xml:space="preserve"> </w:t>
      </w:r>
      <w:r w:rsidRPr="0083428B" w:rsidR="0083428B">
        <w:t>MSHA used an overhead rate of 1 percent. The mining environment generally involves very little overhead, especially costs associated with workers engaged in administrative or clerical tasks.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AC1" w14:paraId="6B553FF9" w14:textId="77777777">
    <w:pPr>
      <w:pStyle w:val="Header"/>
    </w:pPr>
    <w:r w:rsidRPr="007B5AC1">
      <w:t xml:space="preserve">Records of </w:t>
    </w:r>
    <w:r w:rsidRPr="007B5AC1">
      <w:t>Preshift</w:t>
    </w:r>
    <w:r w:rsidRPr="007B5AC1">
      <w:t xml:space="preserve"> and </w:t>
    </w:r>
    <w:r w:rsidRPr="007B5AC1">
      <w:t>Onshift</w:t>
    </w:r>
    <w:r w:rsidRPr="007B5AC1">
      <w:t xml:space="preserve"> Inspections</w:t>
    </w:r>
  </w:p>
  <w:p w:rsidR="00F40E8F" w14:paraId="4084164A" w14:textId="77777777">
    <w:pPr>
      <w:pStyle w:val="Header"/>
    </w:pPr>
    <w:r>
      <w:t xml:space="preserve">OMB Control Number: </w:t>
    </w:r>
    <w:r>
      <w:t>1219-0082</w:t>
    </w:r>
  </w:p>
  <w:p w:rsidR="001621B2" w14:paraId="2657DED7" w14:textId="77777777">
    <w:pPr>
      <w:pStyle w:val="Header"/>
    </w:pPr>
    <w:r>
      <w:t xml:space="preserve">OMB Expiration Date: </w:t>
    </w:r>
    <w:r w:rsidR="008B2134">
      <w:t>5/31/2025</w:t>
    </w:r>
  </w:p>
  <w:p w:rsidR="00F40E8F" w14:paraId="140C9C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D41C5"/>
    <w:multiLevelType w:val="hybridMultilevel"/>
    <w:tmpl w:val="4678F3BC"/>
    <w:lvl w:ilvl="0">
      <w:start w:val="6600"/>
      <w:numFmt w:val="bullet"/>
      <w:lvlText w:val=""/>
      <w:lvlJc w:val="left"/>
      <w:pPr>
        <w:ind w:left="720" w:hanging="360"/>
      </w:pPr>
      <w:rPr>
        <w:rFonts w:ascii="Symbol" w:eastAsia="Times New Roman" w:hAnsi="Symbol" w:cs="Book Antiqu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0B1B46"/>
    <w:multiLevelType w:val="hybridMultilevel"/>
    <w:tmpl w:val="AE22F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DF1313"/>
    <w:multiLevelType w:val="hybridMultilevel"/>
    <w:tmpl w:val="AF4A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C709BF"/>
    <w:multiLevelType w:val="hybridMultilevel"/>
    <w:tmpl w:val="91888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2C4453"/>
    <w:multiLevelType w:val="hybridMultilevel"/>
    <w:tmpl w:val="4D90F070"/>
    <w:lvl w:ilvl="0">
      <w:start w:val="1"/>
      <w:numFmt w:val="bullet"/>
      <w:lvlText w:val=""/>
      <w:lvlJc w:val="left"/>
      <w:pPr>
        <w:ind w:left="1080" w:hanging="360"/>
      </w:pPr>
      <w:rPr>
        <w:rFonts w:ascii="Symbol" w:eastAsia="Times New Roman" w:hAnsi="Symbol" w:cs="Book Antiqua"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8183951">
    <w:abstractNumId w:val="0"/>
  </w:num>
  <w:num w:numId="2" w16cid:durableId="1032149141">
    <w:abstractNumId w:val="4"/>
  </w:num>
  <w:num w:numId="3" w16cid:durableId="141433355">
    <w:abstractNumId w:val="1"/>
  </w:num>
  <w:num w:numId="4" w16cid:durableId="1081368228">
    <w:abstractNumId w:val="3"/>
  </w:num>
  <w:num w:numId="5" w16cid:durableId="1977687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75"/>
    <w:rsid w:val="00002162"/>
    <w:rsid w:val="000063C2"/>
    <w:rsid w:val="00013703"/>
    <w:rsid w:val="00030F18"/>
    <w:rsid w:val="00037E0D"/>
    <w:rsid w:val="00042FCB"/>
    <w:rsid w:val="00084600"/>
    <w:rsid w:val="000942A0"/>
    <w:rsid w:val="000C7E04"/>
    <w:rsid w:val="000E3D76"/>
    <w:rsid w:val="000E4B54"/>
    <w:rsid w:val="000F36B1"/>
    <w:rsid w:val="000F4F62"/>
    <w:rsid w:val="000F637B"/>
    <w:rsid w:val="0010737D"/>
    <w:rsid w:val="00120355"/>
    <w:rsid w:val="00125F82"/>
    <w:rsid w:val="00130DCD"/>
    <w:rsid w:val="001318E8"/>
    <w:rsid w:val="001536CA"/>
    <w:rsid w:val="00156B54"/>
    <w:rsid w:val="001621B2"/>
    <w:rsid w:val="00164195"/>
    <w:rsid w:val="001720AE"/>
    <w:rsid w:val="00174BE0"/>
    <w:rsid w:val="00175F95"/>
    <w:rsid w:val="001765C3"/>
    <w:rsid w:val="00193608"/>
    <w:rsid w:val="001A1538"/>
    <w:rsid w:val="001A1927"/>
    <w:rsid w:val="001A4D7B"/>
    <w:rsid w:val="001C324F"/>
    <w:rsid w:val="001C4935"/>
    <w:rsid w:val="001D0BE0"/>
    <w:rsid w:val="00210C7E"/>
    <w:rsid w:val="00221310"/>
    <w:rsid w:val="00226886"/>
    <w:rsid w:val="00230B24"/>
    <w:rsid w:val="00240D30"/>
    <w:rsid w:val="00251C5A"/>
    <w:rsid w:val="00263863"/>
    <w:rsid w:val="002644E2"/>
    <w:rsid w:val="0027300D"/>
    <w:rsid w:val="0027314B"/>
    <w:rsid w:val="002A037B"/>
    <w:rsid w:val="002C6CE0"/>
    <w:rsid w:val="002D76E8"/>
    <w:rsid w:val="002E24CA"/>
    <w:rsid w:val="002E2A45"/>
    <w:rsid w:val="002E4608"/>
    <w:rsid w:val="002F5047"/>
    <w:rsid w:val="00301CE9"/>
    <w:rsid w:val="00301F09"/>
    <w:rsid w:val="00313030"/>
    <w:rsid w:val="00323994"/>
    <w:rsid w:val="00334AC0"/>
    <w:rsid w:val="00354145"/>
    <w:rsid w:val="00356917"/>
    <w:rsid w:val="003576EB"/>
    <w:rsid w:val="00385A58"/>
    <w:rsid w:val="003A289D"/>
    <w:rsid w:val="003B0A8E"/>
    <w:rsid w:val="003B10DB"/>
    <w:rsid w:val="003B3BCD"/>
    <w:rsid w:val="003B61E4"/>
    <w:rsid w:val="003C0C00"/>
    <w:rsid w:val="003C53C9"/>
    <w:rsid w:val="003D337F"/>
    <w:rsid w:val="003E3F15"/>
    <w:rsid w:val="003E4419"/>
    <w:rsid w:val="003E5224"/>
    <w:rsid w:val="003E75C2"/>
    <w:rsid w:val="003F6272"/>
    <w:rsid w:val="003F7C47"/>
    <w:rsid w:val="00403126"/>
    <w:rsid w:val="00423875"/>
    <w:rsid w:val="0042745E"/>
    <w:rsid w:val="00436A6F"/>
    <w:rsid w:val="00437967"/>
    <w:rsid w:val="00441068"/>
    <w:rsid w:val="00447FB7"/>
    <w:rsid w:val="00462E23"/>
    <w:rsid w:val="00463C72"/>
    <w:rsid w:val="00474EF8"/>
    <w:rsid w:val="004814FA"/>
    <w:rsid w:val="004848F6"/>
    <w:rsid w:val="00491439"/>
    <w:rsid w:val="004A50ED"/>
    <w:rsid w:val="004A55CE"/>
    <w:rsid w:val="004E7C1F"/>
    <w:rsid w:val="005077C5"/>
    <w:rsid w:val="00510F58"/>
    <w:rsid w:val="0053776A"/>
    <w:rsid w:val="00541687"/>
    <w:rsid w:val="005421A3"/>
    <w:rsid w:val="00542F21"/>
    <w:rsid w:val="005457BF"/>
    <w:rsid w:val="005464F3"/>
    <w:rsid w:val="00562DB4"/>
    <w:rsid w:val="0057554D"/>
    <w:rsid w:val="00577E4C"/>
    <w:rsid w:val="00586925"/>
    <w:rsid w:val="00587ADA"/>
    <w:rsid w:val="00591D89"/>
    <w:rsid w:val="005A1037"/>
    <w:rsid w:val="005A5F69"/>
    <w:rsid w:val="005A63CA"/>
    <w:rsid w:val="005A6554"/>
    <w:rsid w:val="005B2704"/>
    <w:rsid w:val="005B5541"/>
    <w:rsid w:val="005C3119"/>
    <w:rsid w:val="005D6F1C"/>
    <w:rsid w:val="005D7499"/>
    <w:rsid w:val="005E069E"/>
    <w:rsid w:val="005E13FD"/>
    <w:rsid w:val="005F53C2"/>
    <w:rsid w:val="0060137E"/>
    <w:rsid w:val="006129E8"/>
    <w:rsid w:val="0062071C"/>
    <w:rsid w:val="00625CDF"/>
    <w:rsid w:val="00625DF7"/>
    <w:rsid w:val="0062742B"/>
    <w:rsid w:val="00632CEB"/>
    <w:rsid w:val="006555D6"/>
    <w:rsid w:val="00656F37"/>
    <w:rsid w:val="006617F0"/>
    <w:rsid w:val="0068240E"/>
    <w:rsid w:val="006955A1"/>
    <w:rsid w:val="006B2F84"/>
    <w:rsid w:val="006B6DFD"/>
    <w:rsid w:val="006D230D"/>
    <w:rsid w:val="006D2D42"/>
    <w:rsid w:val="006E29C5"/>
    <w:rsid w:val="006F11B9"/>
    <w:rsid w:val="006F20B5"/>
    <w:rsid w:val="006F2A49"/>
    <w:rsid w:val="00710E0C"/>
    <w:rsid w:val="007229E3"/>
    <w:rsid w:val="00725333"/>
    <w:rsid w:val="0072679D"/>
    <w:rsid w:val="0073311D"/>
    <w:rsid w:val="00744422"/>
    <w:rsid w:val="0075011C"/>
    <w:rsid w:val="00750DB0"/>
    <w:rsid w:val="00765E07"/>
    <w:rsid w:val="00770D25"/>
    <w:rsid w:val="00776F4F"/>
    <w:rsid w:val="0078739E"/>
    <w:rsid w:val="007934B1"/>
    <w:rsid w:val="007B5AC1"/>
    <w:rsid w:val="007C0917"/>
    <w:rsid w:val="007F628B"/>
    <w:rsid w:val="0083428B"/>
    <w:rsid w:val="00837254"/>
    <w:rsid w:val="00840EFA"/>
    <w:rsid w:val="00841389"/>
    <w:rsid w:val="00843C48"/>
    <w:rsid w:val="00851C6F"/>
    <w:rsid w:val="00860B89"/>
    <w:rsid w:val="00862E8E"/>
    <w:rsid w:val="00865022"/>
    <w:rsid w:val="00897162"/>
    <w:rsid w:val="00897403"/>
    <w:rsid w:val="008B04BC"/>
    <w:rsid w:val="008B2134"/>
    <w:rsid w:val="008B4ABC"/>
    <w:rsid w:val="008C6065"/>
    <w:rsid w:val="008D1A90"/>
    <w:rsid w:val="008D1B36"/>
    <w:rsid w:val="008D369D"/>
    <w:rsid w:val="008D4F2B"/>
    <w:rsid w:val="008E0BCF"/>
    <w:rsid w:val="009000F0"/>
    <w:rsid w:val="0090091C"/>
    <w:rsid w:val="0090696B"/>
    <w:rsid w:val="00912C4B"/>
    <w:rsid w:val="00914384"/>
    <w:rsid w:val="00915B91"/>
    <w:rsid w:val="00926D8F"/>
    <w:rsid w:val="00946C88"/>
    <w:rsid w:val="00953149"/>
    <w:rsid w:val="00961DFD"/>
    <w:rsid w:val="00967D8E"/>
    <w:rsid w:val="00986816"/>
    <w:rsid w:val="009872AE"/>
    <w:rsid w:val="00993B69"/>
    <w:rsid w:val="00996FB3"/>
    <w:rsid w:val="009A5A6E"/>
    <w:rsid w:val="009B23CD"/>
    <w:rsid w:val="009C4906"/>
    <w:rsid w:val="009C74F5"/>
    <w:rsid w:val="009D3DF1"/>
    <w:rsid w:val="009D40BC"/>
    <w:rsid w:val="009E4E2B"/>
    <w:rsid w:val="009E5E0A"/>
    <w:rsid w:val="009E5F9C"/>
    <w:rsid w:val="009F2781"/>
    <w:rsid w:val="009F394C"/>
    <w:rsid w:val="00A0050C"/>
    <w:rsid w:val="00A0252D"/>
    <w:rsid w:val="00A0657F"/>
    <w:rsid w:val="00A11FF2"/>
    <w:rsid w:val="00A23FD8"/>
    <w:rsid w:val="00A4294A"/>
    <w:rsid w:val="00A47D8E"/>
    <w:rsid w:val="00A650E8"/>
    <w:rsid w:val="00A72E45"/>
    <w:rsid w:val="00A736EA"/>
    <w:rsid w:val="00A76D79"/>
    <w:rsid w:val="00A820C4"/>
    <w:rsid w:val="00A8365C"/>
    <w:rsid w:val="00A97541"/>
    <w:rsid w:val="00AA4A69"/>
    <w:rsid w:val="00AC137D"/>
    <w:rsid w:val="00AC343D"/>
    <w:rsid w:val="00AC5CED"/>
    <w:rsid w:val="00AD00BA"/>
    <w:rsid w:val="00AD2CF3"/>
    <w:rsid w:val="00AD6EA0"/>
    <w:rsid w:val="00AE3C7C"/>
    <w:rsid w:val="00AF3DD9"/>
    <w:rsid w:val="00AF4C3C"/>
    <w:rsid w:val="00AF7B0B"/>
    <w:rsid w:val="00B05F96"/>
    <w:rsid w:val="00B41B27"/>
    <w:rsid w:val="00B445E9"/>
    <w:rsid w:val="00B50A72"/>
    <w:rsid w:val="00B609BD"/>
    <w:rsid w:val="00B66457"/>
    <w:rsid w:val="00B67A7F"/>
    <w:rsid w:val="00B73CA8"/>
    <w:rsid w:val="00B814DA"/>
    <w:rsid w:val="00B81500"/>
    <w:rsid w:val="00B92A85"/>
    <w:rsid w:val="00BA5A3A"/>
    <w:rsid w:val="00BB52BB"/>
    <w:rsid w:val="00BC029E"/>
    <w:rsid w:val="00BC1119"/>
    <w:rsid w:val="00BD0137"/>
    <w:rsid w:val="00BD579B"/>
    <w:rsid w:val="00BE33A8"/>
    <w:rsid w:val="00BE3921"/>
    <w:rsid w:val="00BF7DDF"/>
    <w:rsid w:val="00C00C11"/>
    <w:rsid w:val="00C02402"/>
    <w:rsid w:val="00C11730"/>
    <w:rsid w:val="00C17E21"/>
    <w:rsid w:val="00C25213"/>
    <w:rsid w:val="00C44089"/>
    <w:rsid w:val="00C468EE"/>
    <w:rsid w:val="00C50778"/>
    <w:rsid w:val="00C75F8D"/>
    <w:rsid w:val="00C81D62"/>
    <w:rsid w:val="00C8214C"/>
    <w:rsid w:val="00CA10EF"/>
    <w:rsid w:val="00CB4278"/>
    <w:rsid w:val="00CB6AAC"/>
    <w:rsid w:val="00CC3F58"/>
    <w:rsid w:val="00CF6907"/>
    <w:rsid w:val="00D05406"/>
    <w:rsid w:val="00D07C11"/>
    <w:rsid w:val="00D132BC"/>
    <w:rsid w:val="00D231E8"/>
    <w:rsid w:val="00D33FF9"/>
    <w:rsid w:val="00D463FB"/>
    <w:rsid w:val="00D53177"/>
    <w:rsid w:val="00D65D66"/>
    <w:rsid w:val="00D8002F"/>
    <w:rsid w:val="00D80638"/>
    <w:rsid w:val="00D807DD"/>
    <w:rsid w:val="00D815B6"/>
    <w:rsid w:val="00D81A6B"/>
    <w:rsid w:val="00DA2EA0"/>
    <w:rsid w:val="00DA7CBC"/>
    <w:rsid w:val="00DB04C0"/>
    <w:rsid w:val="00DB4128"/>
    <w:rsid w:val="00DB5D23"/>
    <w:rsid w:val="00DC01B0"/>
    <w:rsid w:val="00DC06CE"/>
    <w:rsid w:val="00DC1FAF"/>
    <w:rsid w:val="00DC45F1"/>
    <w:rsid w:val="00DD5441"/>
    <w:rsid w:val="00DE0FFF"/>
    <w:rsid w:val="00DE6621"/>
    <w:rsid w:val="00DF243A"/>
    <w:rsid w:val="00E16FF3"/>
    <w:rsid w:val="00E175DB"/>
    <w:rsid w:val="00E2627D"/>
    <w:rsid w:val="00E309C5"/>
    <w:rsid w:val="00E33B7D"/>
    <w:rsid w:val="00E35E3A"/>
    <w:rsid w:val="00E37600"/>
    <w:rsid w:val="00E549BE"/>
    <w:rsid w:val="00E55FEF"/>
    <w:rsid w:val="00E604EB"/>
    <w:rsid w:val="00E6678F"/>
    <w:rsid w:val="00E678BE"/>
    <w:rsid w:val="00E8368B"/>
    <w:rsid w:val="00E91C6D"/>
    <w:rsid w:val="00E948BF"/>
    <w:rsid w:val="00EB7900"/>
    <w:rsid w:val="00EC003D"/>
    <w:rsid w:val="00EC4631"/>
    <w:rsid w:val="00EC4DD0"/>
    <w:rsid w:val="00ED30B0"/>
    <w:rsid w:val="00ED4577"/>
    <w:rsid w:val="00EE2218"/>
    <w:rsid w:val="00EF66DA"/>
    <w:rsid w:val="00F00BFD"/>
    <w:rsid w:val="00F07BBD"/>
    <w:rsid w:val="00F10773"/>
    <w:rsid w:val="00F1562C"/>
    <w:rsid w:val="00F15B5F"/>
    <w:rsid w:val="00F33769"/>
    <w:rsid w:val="00F350BD"/>
    <w:rsid w:val="00F40E8F"/>
    <w:rsid w:val="00F46142"/>
    <w:rsid w:val="00F56785"/>
    <w:rsid w:val="00F66A5C"/>
    <w:rsid w:val="00F72BA5"/>
    <w:rsid w:val="00F83E86"/>
    <w:rsid w:val="00F93D11"/>
    <w:rsid w:val="00F9454E"/>
    <w:rsid w:val="00FA4D10"/>
    <w:rsid w:val="00FA60E0"/>
    <w:rsid w:val="00FA6EB0"/>
    <w:rsid w:val="00FA776E"/>
    <w:rsid w:val="00FC1085"/>
    <w:rsid w:val="00FC455D"/>
    <w:rsid w:val="00FD5134"/>
    <w:rsid w:val="00FF3D8A"/>
    <w:rsid w:val="00FF7C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2368D"/>
  <w15:docId w15:val="{DC87773D-96E9-4AFF-8E29-DC6E1BFF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styleId="Footer">
    <w:name w:val="footer"/>
    <w:basedOn w:val="Normal"/>
    <w:rsid w:val="00423875"/>
    <w:pPr>
      <w:tabs>
        <w:tab w:val="center" w:pos="4320"/>
        <w:tab w:val="right" w:pos="8640"/>
      </w:tabs>
    </w:pPr>
  </w:style>
  <w:style w:type="character" w:styleId="PageNumber">
    <w:name w:val="page number"/>
    <w:basedOn w:val="DefaultParagraphFont"/>
    <w:rsid w:val="00423875"/>
  </w:style>
  <w:style w:type="paragraph" w:styleId="Header">
    <w:name w:val="header"/>
    <w:basedOn w:val="Normal"/>
    <w:link w:val="HeaderChar"/>
    <w:uiPriority w:val="99"/>
    <w:rsid w:val="00423875"/>
    <w:pPr>
      <w:tabs>
        <w:tab w:val="center" w:pos="4320"/>
        <w:tab w:val="right" w:pos="8640"/>
      </w:tabs>
    </w:pPr>
  </w:style>
  <w:style w:type="paragraph" w:styleId="BalloonText">
    <w:name w:val="Balloon Text"/>
    <w:basedOn w:val="Normal"/>
    <w:semiHidden/>
    <w:rsid w:val="0010737D"/>
    <w:rPr>
      <w:rFonts w:ascii="Tahoma" w:hAnsi="Tahoma" w:cs="Tahoma"/>
      <w:sz w:val="16"/>
      <w:szCs w:val="16"/>
    </w:rPr>
  </w:style>
  <w:style w:type="character" w:customStyle="1" w:styleId="HeaderChar">
    <w:name w:val="Header Char"/>
    <w:link w:val="Header"/>
    <w:uiPriority w:val="99"/>
    <w:rsid w:val="00F40E8F"/>
    <w:rPr>
      <w:sz w:val="24"/>
      <w:szCs w:val="24"/>
    </w:rPr>
  </w:style>
  <w:style w:type="character" w:styleId="Hyperlink">
    <w:name w:val="Hyperlink"/>
    <w:rsid w:val="0057554D"/>
    <w:rPr>
      <w:color w:val="0000FF"/>
      <w:u w:val="single"/>
    </w:rPr>
  </w:style>
  <w:style w:type="character" w:styleId="CommentReference">
    <w:name w:val="annotation reference"/>
    <w:rsid w:val="000F36B1"/>
    <w:rPr>
      <w:sz w:val="16"/>
      <w:szCs w:val="16"/>
    </w:rPr>
  </w:style>
  <w:style w:type="paragraph" w:styleId="CommentText">
    <w:name w:val="annotation text"/>
    <w:basedOn w:val="Normal"/>
    <w:link w:val="CommentTextChar"/>
    <w:rsid w:val="000F36B1"/>
    <w:rPr>
      <w:sz w:val="20"/>
      <w:szCs w:val="20"/>
    </w:rPr>
  </w:style>
  <w:style w:type="character" w:customStyle="1" w:styleId="CommentTextChar">
    <w:name w:val="Comment Text Char"/>
    <w:basedOn w:val="DefaultParagraphFont"/>
    <w:link w:val="CommentText"/>
    <w:rsid w:val="000F36B1"/>
  </w:style>
  <w:style w:type="paragraph" w:styleId="CommentSubject">
    <w:name w:val="annotation subject"/>
    <w:basedOn w:val="CommentText"/>
    <w:next w:val="CommentText"/>
    <w:link w:val="CommentSubjectChar"/>
    <w:rsid w:val="000F36B1"/>
    <w:rPr>
      <w:b/>
      <w:bCs/>
    </w:rPr>
  </w:style>
  <w:style w:type="character" w:customStyle="1" w:styleId="CommentSubjectChar">
    <w:name w:val="Comment Subject Char"/>
    <w:link w:val="CommentSubject"/>
    <w:rsid w:val="000F36B1"/>
    <w:rPr>
      <w:b/>
      <w:bCs/>
    </w:rPr>
  </w:style>
  <w:style w:type="paragraph" w:styleId="Revision">
    <w:name w:val="Revision"/>
    <w:hidden/>
    <w:uiPriority w:val="99"/>
    <w:semiHidden/>
    <w:rsid w:val="00C75F8D"/>
    <w:rPr>
      <w:sz w:val="24"/>
      <w:szCs w:val="24"/>
    </w:rPr>
  </w:style>
  <w:style w:type="character" w:styleId="FootnoteReference">
    <w:name w:val="footnote reference"/>
    <w:rsid w:val="00A76D79"/>
  </w:style>
  <w:style w:type="paragraph" w:styleId="FootnoteText">
    <w:name w:val="footnote text"/>
    <w:basedOn w:val="Normal"/>
    <w:link w:val="FootnoteTextChar"/>
    <w:rsid w:val="00A76D79"/>
    <w:pPr>
      <w:widowControl w:val="0"/>
    </w:pPr>
    <w:rPr>
      <w:snapToGrid w:val="0"/>
      <w:sz w:val="20"/>
      <w:szCs w:val="20"/>
    </w:rPr>
  </w:style>
  <w:style w:type="character" w:customStyle="1" w:styleId="FootnoteTextChar">
    <w:name w:val="Footnote Text Char"/>
    <w:link w:val="FootnoteText"/>
    <w:rsid w:val="00A76D79"/>
    <w:rPr>
      <w:snapToGrid w:val="0"/>
    </w:rPr>
  </w:style>
  <w:style w:type="paragraph" w:styleId="ListParagraph">
    <w:name w:val="List Paragraph"/>
    <w:basedOn w:val="Normal"/>
    <w:uiPriority w:val="34"/>
    <w:qFormat/>
    <w:rsid w:val="005421A3"/>
    <w:pPr>
      <w:ind w:left="720"/>
      <w:contextualSpacing/>
    </w:pPr>
  </w:style>
  <w:style w:type="table" w:customStyle="1" w:styleId="TableGrid1">
    <w:name w:val="Table Grid1"/>
    <w:basedOn w:val="TableNormal"/>
    <w:next w:val="TableGrid"/>
    <w:rsid w:val="00A4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4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820C4"/>
    <w:pPr>
      <w:spacing w:after="200"/>
    </w:pPr>
    <w:rPr>
      <w:i/>
      <w:iCs/>
      <w:color w:val="44546A"/>
      <w:sz w:val="18"/>
      <w:szCs w:val="18"/>
    </w:rPr>
  </w:style>
  <w:style w:type="character" w:styleId="Emphasis">
    <w:name w:val="Emphasis"/>
    <w:qFormat/>
    <w:rsid w:val="00A820C4"/>
    <w:rPr>
      <w:i/>
      <w:iCs/>
    </w:rPr>
  </w:style>
  <w:style w:type="character" w:styleId="UnresolvedMention">
    <w:name w:val="Unresolved Mention"/>
    <w:uiPriority w:val="99"/>
    <w:semiHidden/>
    <w:unhideWhenUsed/>
    <w:rsid w:val="00A4294A"/>
    <w:rPr>
      <w:color w:val="605E5C"/>
      <w:shd w:val="clear" w:color="auto" w:fill="E1DFDD"/>
    </w:rPr>
  </w:style>
  <w:style w:type="character" w:styleId="FollowedHyperlink">
    <w:name w:val="FollowedHyperlink"/>
    <w:semiHidden/>
    <w:unhideWhenUsed/>
    <w:rsid w:val="0022688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9" ma:contentTypeDescription="Create a new document." ma:contentTypeScope="" ma:versionID="bea9028c956df27937e7edfb39f28f0b">
  <xsd:schema xmlns:xsd="http://www.w3.org/2001/XMLSchema" xmlns:xs="http://www.w3.org/2001/XMLSchema" xmlns:p="http://schemas.microsoft.com/office/2006/metadata/properties" xmlns:ns3="347adfa2-07e6-4b03-adca-63adf46977e4" xmlns:ns4="2ac81ab6-9b6b-4c82-ac3e-a653b27a920f" targetNamespace="http://schemas.microsoft.com/office/2006/metadata/properties" ma:root="true" ma:fieldsID="afedaf0f3b6992d99f4a7384e1a09e57" ns3:_="" ns4:_="">
    <xsd:import namespace="347adfa2-07e6-4b03-adca-63adf46977e4"/>
    <xsd:import namespace="2ac81ab6-9b6b-4c82-ac3e-a653b27a92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fa2-07e6-4b03-adca-63adf46977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5784A-7270-49FE-9F12-FA559DAF69DC}">
  <ds:schemaRefs>
    <ds:schemaRef ds:uri="http://schemas.openxmlformats.org/officeDocument/2006/bibliography"/>
  </ds:schemaRefs>
</ds:datastoreItem>
</file>

<file path=customXml/itemProps2.xml><?xml version="1.0" encoding="utf-8"?>
<ds:datastoreItem xmlns:ds="http://schemas.openxmlformats.org/officeDocument/2006/customXml" ds:itemID="{83F99757-5750-422E-B722-82EC00DFA2D7}">
  <ds:schemaRefs>
    <ds:schemaRef ds:uri="http://schemas.microsoft.com/sharepoint/v3/contenttype/forms"/>
  </ds:schemaRefs>
</ds:datastoreItem>
</file>

<file path=customXml/itemProps3.xml><?xml version="1.0" encoding="utf-8"?>
<ds:datastoreItem xmlns:ds="http://schemas.openxmlformats.org/officeDocument/2006/customXml" ds:itemID="{5396DFBD-F6D9-45E6-8768-2A6E41DD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adfa2-07e6-4b03-adca-63adf46977e4"/>
    <ds:schemaRef ds:uri="2ac81ab6-9b6b-4c82-ac3e-a653b27a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C15CF-2024-429B-8C27-547AFF79CB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janes.debra</dc:creator>
  <cp:lastModifiedBy>Moore, Joanna - MSHA</cp:lastModifiedBy>
  <cp:revision>2</cp:revision>
  <cp:lastPrinted>2024-09-23T15:09:00Z</cp:lastPrinted>
  <dcterms:created xsi:type="dcterms:W3CDTF">2024-12-31T12:31:00Z</dcterms:created>
  <dcterms:modified xsi:type="dcterms:W3CDTF">2024-12-31T12:31:00Z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0x01010043F900BE9B8FC54B84C621599FCE2CC4</vt:lpwstr>
  </property>
</Properties>
</file>