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565" w:rsidRPr="005F64F6" w:rsidP="00033650" w14:paraId="2FB24FD6" w14:textId="77777777">
      <w:pPr>
        <w:pStyle w:val="Title"/>
        <w:rPr>
          <w:sz w:val="32"/>
          <w:szCs w:val="32"/>
        </w:rPr>
      </w:pPr>
      <w:r w:rsidRPr="005F64F6">
        <w:rPr>
          <w:sz w:val="32"/>
          <w:szCs w:val="32"/>
        </w:rPr>
        <w:t>SUPPORTING STATEMENT</w:t>
      </w:r>
    </w:p>
    <w:p w:rsidR="005D6565" w:rsidRPr="005F64F6" w:rsidP="00033650" w14:paraId="66AD913E" w14:textId="77777777">
      <w:pPr>
        <w:jc w:val="center"/>
        <w:rPr>
          <w:b/>
          <w:bCs/>
          <w:sz w:val="32"/>
          <w:szCs w:val="32"/>
        </w:rPr>
      </w:pPr>
      <w:r w:rsidRPr="005F64F6">
        <w:rPr>
          <w:b/>
          <w:bCs/>
          <w:sz w:val="32"/>
          <w:szCs w:val="32"/>
        </w:rPr>
        <w:t>FOR PAPERWORK REDUCTION ACT SUBMISSION</w:t>
      </w:r>
    </w:p>
    <w:p w:rsidR="005D6565" w:rsidRPr="00255882" w:rsidP="00033650" w14:paraId="2BA9EE53" w14:textId="320A2F40">
      <w:pPr>
        <w:jc w:val="center"/>
        <w:rPr>
          <w:b/>
          <w:bCs/>
          <w:sz w:val="28"/>
          <w:szCs w:val="28"/>
        </w:rPr>
      </w:pPr>
      <w:r w:rsidRPr="00255882">
        <w:rPr>
          <w:b/>
          <w:sz w:val="28"/>
          <w:szCs w:val="28"/>
        </w:rPr>
        <w:t>Request for Authentication</w:t>
      </w:r>
      <w:r w:rsidRPr="00255882" w:rsidR="001B564D">
        <w:rPr>
          <w:b/>
          <w:sz w:val="28"/>
          <w:szCs w:val="28"/>
        </w:rPr>
        <w:t>s</w:t>
      </w:r>
      <w:r w:rsidRPr="00255882">
        <w:rPr>
          <w:b/>
          <w:sz w:val="28"/>
          <w:szCs w:val="28"/>
        </w:rPr>
        <w:t xml:space="preserve"> Service</w:t>
      </w:r>
    </w:p>
    <w:p w:rsidR="00255882" w:rsidRPr="00255882" w:rsidP="00033650" w14:paraId="1ECBCDE8" w14:textId="0F059588">
      <w:pPr>
        <w:jc w:val="center"/>
        <w:rPr>
          <w:b/>
          <w:bCs/>
          <w:szCs w:val="24"/>
        </w:rPr>
      </w:pPr>
      <w:r w:rsidRPr="00255882">
        <w:rPr>
          <w:b/>
          <w:bCs/>
          <w:szCs w:val="24"/>
        </w:rPr>
        <w:t xml:space="preserve">OMB </w:t>
      </w:r>
      <w:r>
        <w:rPr>
          <w:b/>
          <w:bCs/>
          <w:szCs w:val="24"/>
        </w:rPr>
        <w:t xml:space="preserve">No. </w:t>
      </w:r>
      <w:r w:rsidRPr="00255882">
        <w:rPr>
          <w:b/>
          <w:bCs/>
          <w:szCs w:val="24"/>
        </w:rPr>
        <w:t>1405-</w:t>
      </w:r>
      <w:r>
        <w:rPr>
          <w:b/>
          <w:bCs/>
          <w:szCs w:val="24"/>
        </w:rPr>
        <w:t>0254</w:t>
      </w:r>
    </w:p>
    <w:p w:rsidR="005D6565" w:rsidRPr="005F64F6" w:rsidP="00033650" w14:paraId="3128AC70" w14:textId="7493B083">
      <w:pPr>
        <w:jc w:val="center"/>
        <w:rPr>
          <w:b/>
          <w:bCs/>
          <w:sz w:val="32"/>
          <w:szCs w:val="32"/>
        </w:rPr>
      </w:pPr>
      <w:r w:rsidRPr="00255882">
        <w:rPr>
          <w:b/>
          <w:bCs/>
          <w:szCs w:val="24"/>
        </w:rPr>
        <w:t xml:space="preserve"> DS-4194</w:t>
      </w:r>
    </w:p>
    <w:p w:rsidR="001551C6" w:rsidP="001551C6" w14:paraId="4372B7BE" w14:textId="77777777">
      <w:pPr>
        <w:pStyle w:val="Heading1"/>
      </w:pPr>
    </w:p>
    <w:p w:rsidR="001551C6" w:rsidRPr="00F00033" w:rsidP="009C1255" w14:paraId="22FFCCAA" w14:textId="11A60577">
      <w:pPr>
        <w:pStyle w:val="Heading1"/>
        <w:ind w:left="-576"/>
        <w:rPr>
          <w:szCs w:val="24"/>
        </w:rPr>
      </w:pPr>
      <w:r>
        <w:rPr>
          <w:szCs w:val="24"/>
        </w:rPr>
        <w:t xml:space="preserve">   </w:t>
      </w:r>
      <w:r w:rsidRPr="00F00033">
        <w:rPr>
          <w:szCs w:val="24"/>
        </w:rPr>
        <w:t>A.</w:t>
      </w:r>
      <w:r w:rsidRPr="00F00033">
        <w:rPr>
          <w:szCs w:val="24"/>
        </w:rPr>
        <w:tab/>
        <w:t>JUSTIFICATION</w:t>
      </w:r>
    </w:p>
    <w:p w:rsidR="001551C6" w:rsidRPr="00437F53" w:rsidP="001551C6" w14:paraId="4A5B6B07" w14:textId="77777777">
      <w:pPr>
        <w:numPr>
          <w:ilvl w:val="0"/>
          <w:numId w:val="1"/>
        </w:numPr>
        <w:rPr>
          <w:i/>
          <w:color w:val="000000" w:themeColor="text1"/>
        </w:rPr>
      </w:pPr>
      <w:r w:rsidRPr="00437F53">
        <w:rPr>
          <w:i/>
          <w:color w:val="000000" w:themeColor="text1"/>
        </w:rPr>
        <w:t>Why is this collection necessary and what are the legal statutes that allow this?</w:t>
      </w:r>
    </w:p>
    <w:p w:rsidR="00AE780E" w:rsidRPr="00183022" w:rsidP="00682361" w14:paraId="1FFA879B" w14:textId="31247ACF">
      <w:pPr>
        <w:spacing w:after="0"/>
        <w:ind w:left="360"/>
        <w:rPr>
          <w:szCs w:val="24"/>
        </w:rPr>
      </w:pPr>
      <w:r w:rsidRPr="00AB6E54">
        <w:rPr>
          <w:szCs w:val="24"/>
        </w:rPr>
        <w:t>The Request for Authentication</w:t>
      </w:r>
      <w:r w:rsidR="00033650">
        <w:rPr>
          <w:szCs w:val="24"/>
        </w:rPr>
        <w:t>s</w:t>
      </w:r>
      <w:r w:rsidRPr="00AB6E54">
        <w:rPr>
          <w:szCs w:val="24"/>
        </w:rPr>
        <w:t xml:space="preserve"> Service (</w:t>
      </w:r>
      <w:r w:rsidR="009C1255">
        <w:rPr>
          <w:szCs w:val="24"/>
        </w:rPr>
        <w:t>f</w:t>
      </w:r>
      <w:r w:rsidRPr="00AB6E54">
        <w:rPr>
          <w:szCs w:val="24"/>
        </w:rPr>
        <w:t>orm DS-4194) is used by individuals, institutions</w:t>
      </w:r>
      <w:r w:rsidR="0049573D">
        <w:rPr>
          <w:szCs w:val="24"/>
        </w:rPr>
        <w:t>,</w:t>
      </w:r>
      <w:r w:rsidRPr="00AB6E54">
        <w:rPr>
          <w:szCs w:val="24"/>
        </w:rPr>
        <w:t xml:space="preserve"> and government agencies</w:t>
      </w:r>
      <w:r w:rsidR="00033650">
        <w:rPr>
          <w:szCs w:val="24"/>
        </w:rPr>
        <w:t xml:space="preserve"> </w:t>
      </w:r>
      <w:r w:rsidR="009C3A8E">
        <w:t xml:space="preserve">to request the services </w:t>
      </w:r>
      <w:r w:rsidRPr="00AB6E54">
        <w:rPr>
          <w:szCs w:val="24"/>
        </w:rPr>
        <w:t xml:space="preserve">provided by the </w:t>
      </w:r>
      <w:r w:rsidR="009C3A8E">
        <w:t>Department of State</w:t>
      </w:r>
      <w:r w:rsidR="002A2F77">
        <w:t>’s</w:t>
      </w:r>
      <w:r w:rsidRPr="005F64F6">
        <w:t xml:space="preserve"> </w:t>
      </w:r>
      <w:bookmarkStart w:id="0" w:name="_Hlk165021986"/>
      <w:r w:rsidR="00D04FF0">
        <w:t xml:space="preserve">(Department) </w:t>
      </w:r>
      <w:r w:rsidRPr="00AB6E54">
        <w:rPr>
          <w:szCs w:val="24"/>
        </w:rPr>
        <w:t>Office of Authentications</w:t>
      </w:r>
      <w:r w:rsidR="00437F53">
        <w:rPr>
          <w:szCs w:val="24"/>
        </w:rPr>
        <w:t xml:space="preserve"> </w:t>
      </w:r>
      <w:bookmarkEnd w:id="0"/>
      <w:r w:rsidR="009C3A8E">
        <w:t xml:space="preserve">within </w:t>
      </w:r>
      <w:r w:rsidRPr="009C1255" w:rsidR="009C1255">
        <w:t>the Passport Services Directorate in the Bureau of Consular Affairs</w:t>
      </w:r>
      <w:r w:rsidR="00EA2E0F">
        <w:rPr>
          <w:szCs w:val="24"/>
        </w:rPr>
        <w:t xml:space="preserve">. </w:t>
      </w:r>
      <w:r w:rsidRPr="005A2886">
        <w:rPr>
          <w:szCs w:val="24"/>
        </w:rPr>
        <w:t xml:space="preserve"> </w:t>
      </w:r>
      <w:r w:rsidR="009C1255">
        <w:rPr>
          <w:szCs w:val="24"/>
        </w:rPr>
        <w:t xml:space="preserve">The </w:t>
      </w:r>
      <w:r w:rsidRPr="00AB6E54" w:rsidR="009C1255">
        <w:rPr>
          <w:szCs w:val="24"/>
        </w:rPr>
        <w:t>Office of Authentications</w:t>
      </w:r>
      <w:r w:rsidR="009C1255">
        <w:rPr>
          <w:szCs w:val="24"/>
        </w:rPr>
        <w:t xml:space="preserve"> </w:t>
      </w:r>
      <w:r w:rsidRPr="005A2886">
        <w:rPr>
          <w:szCs w:val="24"/>
        </w:rPr>
        <w:t>provides</w:t>
      </w:r>
      <w:r w:rsidR="0049573D">
        <w:rPr>
          <w:szCs w:val="24"/>
        </w:rPr>
        <w:t xml:space="preserve"> </w:t>
      </w:r>
      <w:r w:rsidRPr="005A2886">
        <w:rPr>
          <w:szCs w:val="24"/>
        </w:rPr>
        <w:t xml:space="preserve">authentication services to U.S. citizens and foreign nationals </w:t>
      </w:r>
      <w:r w:rsidR="009C3A8E">
        <w:t>for</w:t>
      </w:r>
      <w:r w:rsidRPr="005F64F6" w:rsidR="009C3A8E">
        <w:t xml:space="preserve"> </w:t>
      </w:r>
      <w:r w:rsidRPr="005A2886">
        <w:rPr>
          <w:szCs w:val="24"/>
        </w:rPr>
        <w:t xml:space="preserve">documents </w:t>
      </w:r>
      <w:r w:rsidR="009C3A8E">
        <w:t>to</w:t>
      </w:r>
      <w:r w:rsidRPr="005A2886">
        <w:rPr>
          <w:szCs w:val="24"/>
        </w:rPr>
        <w:t xml:space="preserve"> be used for legal and administrative purposes abroad under the seal of the </w:t>
      </w:r>
      <w:r w:rsidR="00367822">
        <w:rPr>
          <w:szCs w:val="24"/>
        </w:rPr>
        <w:t>Department</w:t>
      </w:r>
      <w:r w:rsidRPr="001B564D">
        <w:rPr>
          <w:szCs w:val="24"/>
        </w:rPr>
        <w:t xml:space="preserve">.  The Department provides </w:t>
      </w:r>
      <w:r w:rsidR="004F2994">
        <w:rPr>
          <w:szCs w:val="24"/>
        </w:rPr>
        <w:t>a</w:t>
      </w:r>
      <w:r w:rsidRPr="001B564D" w:rsidR="004F2994">
        <w:rPr>
          <w:szCs w:val="24"/>
        </w:rPr>
        <w:t xml:space="preserve">uthentication </w:t>
      </w:r>
      <w:r w:rsidR="004F2994">
        <w:rPr>
          <w:szCs w:val="24"/>
        </w:rPr>
        <w:t>s</w:t>
      </w:r>
      <w:r w:rsidRPr="001B564D" w:rsidR="004F2994">
        <w:rPr>
          <w:szCs w:val="24"/>
        </w:rPr>
        <w:t xml:space="preserve">ervices </w:t>
      </w:r>
      <w:r w:rsidRPr="001B564D">
        <w:rPr>
          <w:szCs w:val="24"/>
        </w:rPr>
        <w:t>for citizens under the general authority of 22 CFR Part 131 and the statutory authority cited therein.</w:t>
      </w:r>
    </w:p>
    <w:p w:rsidR="00AE780E" w:rsidRPr="00183022" w:rsidP="00AE780E" w14:paraId="24C59EC7" w14:textId="77777777">
      <w:pPr>
        <w:pStyle w:val="ListParagraph"/>
        <w:spacing w:after="0"/>
        <w:ind w:left="360"/>
        <w:rPr>
          <w:szCs w:val="24"/>
        </w:rPr>
      </w:pPr>
    </w:p>
    <w:p w:rsidR="001551C6" w:rsidRPr="00437F53" w:rsidP="00AE780E" w14:paraId="3262E5AC" w14:textId="0B31A681">
      <w:pPr>
        <w:numPr>
          <w:ilvl w:val="0"/>
          <w:numId w:val="1"/>
        </w:numPr>
        <w:rPr>
          <w:i/>
          <w:color w:val="000000" w:themeColor="text1"/>
        </w:rPr>
      </w:pPr>
      <w:r w:rsidRPr="00437F53">
        <w:rPr>
          <w:i/>
          <w:color w:val="000000" w:themeColor="text1"/>
        </w:rPr>
        <w:t>What business purpose is the information gathered going to be used for?</w:t>
      </w:r>
    </w:p>
    <w:p w:rsidR="00AE780E" w:rsidRPr="00F00033" w:rsidP="00637223" w14:paraId="38887F77" w14:textId="2FEE93E7">
      <w:pPr>
        <w:pStyle w:val="BodyTextIndent"/>
        <w:tabs>
          <w:tab w:val="clear" w:pos="720"/>
        </w:tabs>
        <w:ind w:left="360"/>
        <w:jc w:val="left"/>
      </w:pPr>
      <w:r w:rsidRPr="00637223">
        <w:t xml:space="preserve">The DS-4194 solicits limited data for the </w:t>
      </w:r>
      <w:r w:rsidRPr="00637223" w:rsidR="004F2994">
        <w:t xml:space="preserve">Office of </w:t>
      </w:r>
      <w:r w:rsidRPr="00637223">
        <w:t>Authentication</w:t>
      </w:r>
      <w:r w:rsidRPr="00637223" w:rsidR="004F2994">
        <w:t>s</w:t>
      </w:r>
      <w:r w:rsidRPr="00637223">
        <w:t xml:space="preserve"> to aid in validating and issuing certificates in accordance with policies outlined in 22 CFR Part 131, Certificates of Authentication.</w:t>
      </w:r>
      <w:r w:rsidRPr="00637223" w:rsidR="00637223">
        <w:t xml:space="preserve">  </w:t>
      </w:r>
      <w:r w:rsidRPr="00637223">
        <w:t>The primary purpose for soliciting the information is to establish that the documentation submitted is the same as the documentation received and processed by the Office of Authentications. The DS-4194 is retained by the Department for one year for accountability and recordkeeping purposes.</w:t>
      </w:r>
      <w:r w:rsidRPr="00F00033" w:rsidR="69E015AF">
        <w:t xml:space="preserve">  </w:t>
      </w:r>
    </w:p>
    <w:p w:rsidR="00AE780E" w:rsidRPr="00F00033" w:rsidP="00AE780E" w14:paraId="0148543D" w14:textId="77777777">
      <w:pPr>
        <w:pStyle w:val="BodyTextIndent"/>
        <w:tabs>
          <w:tab w:val="clear" w:pos="720"/>
        </w:tabs>
        <w:ind w:left="0"/>
        <w:jc w:val="left"/>
      </w:pPr>
    </w:p>
    <w:p w:rsidR="001551C6" w:rsidRPr="00437F53" w:rsidP="001551C6" w14:paraId="222DA81A" w14:textId="3BDCF6FC">
      <w:pPr>
        <w:numPr>
          <w:ilvl w:val="0"/>
          <w:numId w:val="1"/>
        </w:numPr>
        <w:rPr>
          <w:i/>
          <w:color w:val="000000" w:themeColor="text1"/>
        </w:rPr>
      </w:pPr>
      <w:r w:rsidRPr="00437F53">
        <w:rPr>
          <w:i/>
          <w:color w:val="000000" w:themeColor="text1"/>
        </w:rPr>
        <w:t>Is this collection able to be completed electronically (e.g. through a website or application)?</w:t>
      </w:r>
    </w:p>
    <w:p w:rsidR="00CB0069" w:rsidRPr="00CB0069" w:rsidP="00CB0069" w14:paraId="3BB32801" w14:textId="466A908D">
      <w:pPr>
        <w:ind w:left="360"/>
        <w:rPr>
          <w:szCs w:val="24"/>
        </w:rPr>
      </w:pPr>
      <w:r w:rsidRPr="003F339D">
        <w:rPr>
          <w:szCs w:val="24"/>
        </w:rPr>
        <w:t>The DS-4194 form cannot be submitted electronically</w:t>
      </w:r>
      <w:r w:rsidRPr="003F339D" w:rsidR="00AA2F94">
        <w:rPr>
          <w:szCs w:val="24"/>
        </w:rPr>
        <w:t xml:space="preserve">.  </w:t>
      </w:r>
      <w:r w:rsidRPr="003F339D" w:rsidR="00102549">
        <w:t xml:space="preserve">However, the form can be downloaded from </w:t>
      </w:r>
      <w:hyperlink r:id="rId10">
        <w:r w:rsidRPr="003F339D" w:rsidR="00102549">
          <w:rPr>
            <w:color w:val="0000FF"/>
            <w:u w:val="single"/>
          </w:rPr>
          <w:t>https://eforms.state.gov/</w:t>
        </w:r>
      </w:hyperlink>
      <w:r w:rsidRPr="003F339D" w:rsidR="00102549">
        <w:t xml:space="preserve"> </w:t>
      </w:r>
      <w:r w:rsidRPr="003F339D">
        <w:rPr>
          <w:szCs w:val="24"/>
        </w:rPr>
        <w:t xml:space="preserve">and </w:t>
      </w:r>
      <w:r w:rsidRPr="003F339D" w:rsidR="00102549">
        <w:rPr>
          <w:szCs w:val="24"/>
        </w:rPr>
        <w:t xml:space="preserve">can be </w:t>
      </w:r>
      <w:r w:rsidRPr="003F339D">
        <w:rPr>
          <w:rStyle w:val="Hyperlink"/>
          <w:color w:val="auto"/>
          <w:szCs w:val="24"/>
          <w:u w:val="none"/>
        </w:rPr>
        <w:t>printed for manual signature and submission by mail or hand-delivery</w:t>
      </w:r>
      <w:r w:rsidRPr="003F339D">
        <w:rPr>
          <w:szCs w:val="24"/>
        </w:rPr>
        <w:t xml:space="preserve">.  </w:t>
      </w:r>
      <w:r w:rsidRPr="00CB0069">
        <w:rPr>
          <w:szCs w:val="24"/>
        </w:rPr>
        <w:t xml:space="preserve">The Office of Authentications certifies a variety of documents from commercial organizations, private citizens, and officials of </w:t>
      </w:r>
      <w:r w:rsidR="005A03B0">
        <w:rPr>
          <w:szCs w:val="24"/>
        </w:rPr>
        <w:t>f</w:t>
      </w:r>
      <w:r w:rsidRPr="00CB0069">
        <w:rPr>
          <w:szCs w:val="24"/>
        </w:rPr>
        <w:t xml:space="preserve">ederal and </w:t>
      </w:r>
      <w:r w:rsidR="00255CC1">
        <w:rPr>
          <w:szCs w:val="24"/>
        </w:rPr>
        <w:t>s</w:t>
      </w:r>
      <w:r w:rsidRPr="00CB0069">
        <w:rPr>
          <w:szCs w:val="24"/>
        </w:rPr>
        <w:t>tate governments.  Documents include, but are not limited to, company bylaws, powers of attorney, trademark, diplomas, treaties, warrants, extraditions, agreements, certificates of good standing, and courier letter</w:t>
      </w:r>
      <w:r w:rsidR="008F2F24">
        <w:rPr>
          <w:szCs w:val="24"/>
        </w:rPr>
        <w:t>s</w:t>
      </w:r>
      <w:r w:rsidRPr="00CB0069">
        <w:rPr>
          <w:szCs w:val="24"/>
        </w:rPr>
        <w:t>.  The DS-4194 form is also used for Department official certificates that are issued for documents executed and/or records maintained by offices within the Department intended to be used in a foreign country. The DS-4194 form serves as a cover letter for the requested service.</w:t>
      </w:r>
    </w:p>
    <w:p w:rsidR="00CB0069" w:rsidRPr="00CB0069" w:rsidP="00CB0069" w14:paraId="63128487" w14:textId="5052098E">
      <w:pPr>
        <w:ind w:left="360"/>
        <w:rPr>
          <w:szCs w:val="24"/>
        </w:rPr>
      </w:pPr>
      <w:r>
        <w:rPr>
          <w:szCs w:val="24"/>
        </w:rPr>
        <w:t xml:space="preserve">For </w:t>
      </w:r>
      <w:r w:rsidR="00255DF9">
        <w:rPr>
          <w:szCs w:val="24"/>
        </w:rPr>
        <w:t>Apostille certificate requests, c</w:t>
      </w:r>
      <w:r w:rsidRPr="00F7312E" w:rsidR="00F7312E">
        <w:rPr>
          <w:szCs w:val="24"/>
        </w:rPr>
        <w:t>onsistent with 22 CFR 131 and Department policy</w:t>
      </w:r>
      <w:r w:rsidRPr="00CB0069">
        <w:rPr>
          <w:szCs w:val="24"/>
        </w:rPr>
        <w:t xml:space="preserve">, an original signature with the raised or stamped seal of </w:t>
      </w:r>
      <w:r w:rsidR="00820AD9">
        <w:rPr>
          <w:szCs w:val="24"/>
        </w:rPr>
        <w:t>a</w:t>
      </w:r>
      <w:r w:rsidRPr="00CB0069">
        <w:rPr>
          <w:szCs w:val="24"/>
        </w:rPr>
        <w:t xml:space="preserve"> federal agency must accompany </w:t>
      </w:r>
      <w:r w:rsidR="00255DF9">
        <w:rPr>
          <w:szCs w:val="24"/>
        </w:rPr>
        <w:t>the</w:t>
      </w:r>
      <w:r w:rsidR="00820AD9">
        <w:rPr>
          <w:szCs w:val="24"/>
        </w:rPr>
        <w:t xml:space="preserve"> submitted document</w:t>
      </w:r>
      <w:r w:rsidR="00D24646">
        <w:rPr>
          <w:szCs w:val="24"/>
        </w:rPr>
        <w:t>.  Therefore</w:t>
      </w:r>
      <w:r w:rsidRPr="00CB0069">
        <w:rPr>
          <w:szCs w:val="24"/>
        </w:rPr>
        <w:t xml:space="preserve">, an Authentications Specialist must analyze </w:t>
      </w:r>
      <w:r w:rsidR="00DD64E4">
        <w:rPr>
          <w:szCs w:val="24"/>
        </w:rPr>
        <w:t>the vali</w:t>
      </w:r>
      <w:r w:rsidR="00000426">
        <w:rPr>
          <w:szCs w:val="24"/>
        </w:rPr>
        <w:t xml:space="preserve">dity of </w:t>
      </w:r>
      <w:r w:rsidRPr="00CB0069">
        <w:rPr>
          <w:szCs w:val="24"/>
        </w:rPr>
        <w:t xml:space="preserve">the document prior to issuing certificates of authentication under the </w:t>
      </w:r>
      <w:r w:rsidR="00000426">
        <w:rPr>
          <w:szCs w:val="24"/>
        </w:rPr>
        <w:t>s</w:t>
      </w:r>
      <w:r w:rsidRPr="00CB0069">
        <w:rPr>
          <w:szCs w:val="24"/>
        </w:rPr>
        <w:t xml:space="preserve">eal of the Department.  Along with verifying the validity of the document, the Specialist’s signature and embossed </w:t>
      </w:r>
      <w:r w:rsidRPr="00CB0069">
        <w:rPr>
          <w:szCs w:val="24"/>
        </w:rPr>
        <w:t xml:space="preserve">seal of the Department </w:t>
      </w:r>
      <w:r w:rsidR="008178C8">
        <w:rPr>
          <w:szCs w:val="24"/>
        </w:rPr>
        <w:t>conf</w:t>
      </w:r>
      <w:r w:rsidR="00D86F04">
        <w:rPr>
          <w:szCs w:val="24"/>
        </w:rPr>
        <w:t>ers</w:t>
      </w:r>
      <w:r w:rsidRPr="00CB0069">
        <w:rPr>
          <w:szCs w:val="24"/>
        </w:rPr>
        <w:t xml:space="preserve"> Departmen</w:t>
      </w:r>
      <w:r w:rsidR="00D86F04">
        <w:rPr>
          <w:szCs w:val="24"/>
        </w:rPr>
        <w:t>t approval</w:t>
      </w:r>
      <w:r w:rsidRPr="00CB0069">
        <w:rPr>
          <w:szCs w:val="24"/>
        </w:rPr>
        <w:t xml:space="preserve">.  Specialists </w:t>
      </w:r>
      <w:r w:rsidR="007F6787">
        <w:rPr>
          <w:szCs w:val="24"/>
        </w:rPr>
        <w:t xml:space="preserve">must </w:t>
      </w:r>
      <w:r w:rsidRPr="00CB0069">
        <w:rPr>
          <w:szCs w:val="24"/>
        </w:rPr>
        <w:t>physically examin</w:t>
      </w:r>
      <w:r w:rsidR="00713401">
        <w:rPr>
          <w:szCs w:val="24"/>
        </w:rPr>
        <w:t>e</w:t>
      </w:r>
      <w:r w:rsidRPr="00CB0069">
        <w:rPr>
          <w:szCs w:val="24"/>
        </w:rPr>
        <w:t xml:space="preserve"> the received document, </w:t>
      </w:r>
      <w:r w:rsidR="007F6787">
        <w:rPr>
          <w:szCs w:val="24"/>
        </w:rPr>
        <w:t xml:space="preserve">then </w:t>
      </w:r>
      <w:r w:rsidRPr="00CB0069">
        <w:rPr>
          <w:szCs w:val="24"/>
        </w:rPr>
        <w:t>genera</w:t>
      </w:r>
      <w:r w:rsidR="007F6787">
        <w:rPr>
          <w:szCs w:val="24"/>
        </w:rPr>
        <w:t>te and affix</w:t>
      </w:r>
      <w:r w:rsidRPr="00CB0069">
        <w:rPr>
          <w:szCs w:val="24"/>
        </w:rPr>
        <w:t xml:space="preserve"> the appropriate certificate prior to signing and sealing.  Specialist signatures on the issued certification affixed to the document are examined by foreign government</w:t>
      </w:r>
      <w:r w:rsidR="00F80625">
        <w:rPr>
          <w:szCs w:val="24"/>
        </w:rPr>
        <w:t>s</w:t>
      </w:r>
      <w:r w:rsidRPr="00CB0069">
        <w:rPr>
          <w:szCs w:val="24"/>
        </w:rPr>
        <w:t xml:space="preserve"> to verify validity and meet foreign government requirements.  </w:t>
      </w:r>
    </w:p>
    <w:p w:rsidR="00CB0069" w:rsidP="00CB0069" w14:paraId="1D83F06A" w14:textId="46E7DB12">
      <w:pPr>
        <w:ind w:left="360"/>
        <w:rPr>
          <w:szCs w:val="24"/>
        </w:rPr>
      </w:pPr>
      <w:r>
        <w:rPr>
          <w:szCs w:val="24"/>
        </w:rPr>
        <w:t>The</w:t>
      </w:r>
      <w:r w:rsidRPr="00CB0069">
        <w:rPr>
          <w:szCs w:val="24"/>
        </w:rPr>
        <w:t xml:space="preserve"> Authentications Office compl</w:t>
      </w:r>
      <w:r w:rsidR="00A01D0F">
        <w:rPr>
          <w:szCs w:val="24"/>
        </w:rPr>
        <w:t xml:space="preserve">ies </w:t>
      </w:r>
      <w:r w:rsidRPr="00CB0069">
        <w:rPr>
          <w:szCs w:val="24"/>
        </w:rPr>
        <w:t xml:space="preserve">with regulations directing international law and agreements pertaining to the authentication of documents for instrumentalities of the United States government, secretaries of state, federal officials, foreign diplomats, and private citizens.  Electronic processing of the DS-4194 form is not an option. Submitting an online version of the DS-4194 would be counterproductive as the requestor would still need to submit the form along with the original documents for authentication.  An online payment option is not feasible </w:t>
      </w:r>
      <w:r w:rsidRPr="00CB0069">
        <w:rPr>
          <w:szCs w:val="24"/>
        </w:rPr>
        <w:t>at this time</w:t>
      </w:r>
      <w:r w:rsidRPr="00CB0069">
        <w:rPr>
          <w:szCs w:val="24"/>
        </w:rPr>
        <w:t>.</w:t>
      </w:r>
    </w:p>
    <w:p w:rsidR="001551C6" w:rsidRPr="00437F53" w:rsidP="001551C6" w14:paraId="4BF874C4" w14:textId="77777777">
      <w:pPr>
        <w:numPr>
          <w:ilvl w:val="0"/>
          <w:numId w:val="1"/>
        </w:numPr>
        <w:rPr>
          <w:i/>
          <w:color w:val="000000" w:themeColor="text1"/>
        </w:rPr>
      </w:pPr>
      <w:r w:rsidRPr="00437F53">
        <w:rPr>
          <w:i/>
          <w:color w:val="000000" w:themeColor="text1"/>
        </w:rPr>
        <w:t>Does this collection duplicate any other collection of information?</w:t>
      </w:r>
    </w:p>
    <w:p w:rsidR="001348A4" w:rsidRPr="00F00033" w:rsidP="00682361" w14:paraId="49EF5093" w14:textId="409C3A9D">
      <w:pPr>
        <w:pStyle w:val="BodyTextIndent"/>
        <w:tabs>
          <w:tab w:val="clear" w:pos="720"/>
        </w:tabs>
        <w:ind w:left="360"/>
        <w:jc w:val="left"/>
      </w:pPr>
      <w:r w:rsidRPr="00F00033">
        <w:t xml:space="preserve">Aside from necessary basic self-identification data, the information requested does not duplicate information available elsewhere.  The DS-4194 is the sole Department form used by U.S. </w:t>
      </w:r>
      <w:r w:rsidR="002A2F77">
        <w:t>c</w:t>
      </w:r>
      <w:r w:rsidRPr="005F64F6" w:rsidR="002A2F77">
        <w:t xml:space="preserve">itizens </w:t>
      </w:r>
      <w:r w:rsidRPr="00F00033">
        <w:t xml:space="preserve">and foreign nationals who require </w:t>
      </w:r>
      <w:r w:rsidR="00A52BBA">
        <w:t xml:space="preserve">federal </w:t>
      </w:r>
      <w:r w:rsidRPr="00F00033">
        <w:t xml:space="preserve">validation </w:t>
      </w:r>
      <w:r w:rsidR="00621FDA">
        <w:t>of documents authenticated by a U.S. state or other subdivision</w:t>
      </w:r>
      <w:r w:rsidRPr="005F64F6">
        <w:t xml:space="preserve"> </w:t>
      </w:r>
      <w:r w:rsidRPr="00F00033">
        <w:t xml:space="preserve">for use in other countries. </w:t>
      </w:r>
    </w:p>
    <w:p w:rsidR="001348A4" w:rsidRPr="00F00033" w:rsidP="001348A4" w14:paraId="2F374FDB" w14:textId="77777777">
      <w:pPr>
        <w:pStyle w:val="BodyTextIndent"/>
        <w:tabs>
          <w:tab w:val="clear" w:pos="720"/>
        </w:tabs>
        <w:ind w:left="0"/>
        <w:jc w:val="left"/>
      </w:pPr>
    </w:p>
    <w:p w:rsidR="001551C6" w:rsidRPr="00437F53" w:rsidP="001551C6" w14:paraId="5CC349FA" w14:textId="77777777">
      <w:pPr>
        <w:numPr>
          <w:ilvl w:val="0"/>
          <w:numId w:val="1"/>
        </w:numPr>
        <w:rPr>
          <w:i/>
          <w:color w:val="000000" w:themeColor="text1"/>
        </w:rPr>
      </w:pPr>
      <w:r w:rsidRPr="00437F53">
        <w:rPr>
          <w:i/>
          <w:color w:val="000000" w:themeColor="text1"/>
        </w:rPr>
        <w:t>Describe any impacts on small business.</w:t>
      </w:r>
    </w:p>
    <w:p w:rsidR="001551C6" w:rsidRPr="005A2886" w:rsidP="00682361" w14:paraId="71AE1637" w14:textId="5E6FD14D">
      <w:pPr>
        <w:spacing w:after="0"/>
        <w:ind w:left="360"/>
        <w:rPr>
          <w:szCs w:val="24"/>
        </w:rPr>
      </w:pPr>
      <w:r w:rsidRPr="00AB6E54">
        <w:rPr>
          <w:szCs w:val="24"/>
        </w:rPr>
        <w:t>This collection of information does not significantly impact small businesses or other small entities.</w:t>
      </w:r>
    </w:p>
    <w:p w:rsidR="6E698E73" w:rsidRPr="00F00033" w:rsidP="6E698E73" w14:paraId="2C236561" w14:textId="4F6DAB96">
      <w:pPr>
        <w:spacing w:after="0"/>
        <w:rPr>
          <w:szCs w:val="24"/>
        </w:rPr>
      </w:pPr>
    </w:p>
    <w:p w:rsidR="001551C6" w:rsidRPr="00437F53" w:rsidP="001551C6" w14:paraId="3E971F1C" w14:textId="77777777">
      <w:pPr>
        <w:numPr>
          <w:ilvl w:val="0"/>
          <w:numId w:val="1"/>
        </w:numPr>
        <w:rPr>
          <w:i/>
          <w:color w:val="000000" w:themeColor="text1"/>
        </w:rPr>
      </w:pPr>
      <w:r w:rsidRPr="00437F53">
        <w:rPr>
          <w:i/>
          <w:color w:val="000000" w:themeColor="text1"/>
        </w:rPr>
        <w:t>What are consequences if this collection is not done?</w:t>
      </w:r>
    </w:p>
    <w:p w:rsidR="00B447F3" w:rsidRPr="00F00033" w:rsidP="00682361" w14:paraId="7DB8DA4B" w14:textId="4453DEAB">
      <w:pPr>
        <w:pStyle w:val="BodyTextIndent"/>
        <w:tabs>
          <w:tab w:val="clear" w:pos="720"/>
        </w:tabs>
        <w:ind w:left="360"/>
        <w:jc w:val="left"/>
        <w:rPr>
          <w:color w:val="000000"/>
        </w:rPr>
      </w:pPr>
      <w:r w:rsidRPr="00F00033">
        <w:rPr>
          <w:color w:val="000000"/>
        </w:rPr>
        <w:t>The information collected on the DS-4194 is crucial for facilitating the processing of documents from drop-off service, mail-in</w:t>
      </w:r>
      <w:r w:rsidR="00381EE7">
        <w:rPr>
          <w:color w:val="000000"/>
        </w:rPr>
        <w:t>,</w:t>
      </w:r>
      <w:r w:rsidRPr="00F00033">
        <w:rPr>
          <w:color w:val="000000"/>
        </w:rPr>
        <w:t xml:space="preserve"> and walk-in requests. </w:t>
      </w:r>
      <w:r w:rsidR="002E5FF5">
        <w:rPr>
          <w:color w:val="000000"/>
        </w:rPr>
        <w:t xml:space="preserve"> </w:t>
      </w:r>
      <w:r w:rsidRPr="00F00033">
        <w:rPr>
          <w:color w:val="000000"/>
        </w:rPr>
        <w:t>For the front</w:t>
      </w:r>
      <w:r w:rsidR="00421D58">
        <w:rPr>
          <w:color w:val="000000"/>
        </w:rPr>
        <w:t xml:space="preserve"> </w:t>
      </w:r>
      <w:r w:rsidRPr="00F00033">
        <w:rPr>
          <w:color w:val="000000"/>
        </w:rPr>
        <w:t xml:space="preserve">end of the process, it verifies that </w:t>
      </w:r>
      <w:r w:rsidR="00381EE7">
        <w:rPr>
          <w:color w:val="000000"/>
        </w:rPr>
        <w:t xml:space="preserve">submitted </w:t>
      </w:r>
      <w:r w:rsidRPr="00F00033">
        <w:rPr>
          <w:color w:val="000000"/>
        </w:rPr>
        <w:t xml:space="preserve">documents were received by the Office of Authentications.  </w:t>
      </w:r>
      <w:bookmarkStart w:id="1" w:name="_Hlk165040513"/>
      <w:r w:rsidRPr="00F00033">
        <w:rPr>
          <w:color w:val="000000"/>
        </w:rPr>
        <w:t xml:space="preserve">For the </w:t>
      </w:r>
      <w:r w:rsidRPr="00F00033" w:rsidR="00835418">
        <w:rPr>
          <w:color w:val="000000"/>
        </w:rPr>
        <w:t>back end</w:t>
      </w:r>
      <w:r w:rsidRPr="00F00033">
        <w:rPr>
          <w:color w:val="000000"/>
        </w:rPr>
        <w:t xml:space="preserve"> of the process, it requires that every document </w:t>
      </w:r>
      <w:r w:rsidR="00421D58">
        <w:rPr>
          <w:color w:val="000000"/>
        </w:rPr>
        <w:t>be</w:t>
      </w:r>
      <w:r w:rsidRPr="00F00033" w:rsidR="00DE3DD7">
        <w:rPr>
          <w:color w:val="000000"/>
        </w:rPr>
        <w:t xml:space="preserve"> </w:t>
      </w:r>
      <w:r w:rsidRPr="00F00033">
        <w:rPr>
          <w:color w:val="000000"/>
        </w:rPr>
        <w:t xml:space="preserve">reconciled </w:t>
      </w:r>
      <w:r w:rsidRPr="00F00033" w:rsidR="004474F6">
        <w:rPr>
          <w:color w:val="000000"/>
        </w:rPr>
        <w:t xml:space="preserve">for </w:t>
      </w:r>
      <w:r w:rsidR="004474F6">
        <w:rPr>
          <w:color w:val="000000"/>
        </w:rPr>
        <w:t>delivery</w:t>
      </w:r>
      <w:r w:rsidRPr="00F00033">
        <w:rPr>
          <w:color w:val="000000"/>
        </w:rPr>
        <w:t xml:space="preserve"> to the proper entity.  This limits the chances of lost or misplaced documents.  Lost application disputes </w:t>
      </w:r>
      <w:r w:rsidR="00D46ECA">
        <w:rPr>
          <w:color w:val="000000"/>
        </w:rPr>
        <w:t xml:space="preserve">may require several </w:t>
      </w:r>
      <w:r w:rsidRPr="00F00033">
        <w:rPr>
          <w:color w:val="000000"/>
        </w:rPr>
        <w:t>days</w:t>
      </w:r>
      <w:r w:rsidR="00D46ECA">
        <w:rPr>
          <w:color w:val="000000"/>
        </w:rPr>
        <w:t xml:space="preserve"> to resolve and place a high demand on </w:t>
      </w:r>
      <w:r w:rsidR="002A2F77">
        <w:rPr>
          <w:color w:val="000000"/>
        </w:rPr>
        <w:t xml:space="preserve">Department </w:t>
      </w:r>
      <w:r w:rsidRPr="00F00033">
        <w:rPr>
          <w:color w:val="000000"/>
        </w:rPr>
        <w:t>resources.</w:t>
      </w:r>
    </w:p>
    <w:bookmarkEnd w:id="1"/>
    <w:p w:rsidR="00B447F3" w:rsidRPr="00F00033" w:rsidP="00B447F3" w14:paraId="5E786F5E" w14:textId="77777777">
      <w:pPr>
        <w:pStyle w:val="BodyTextIndent"/>
        <w:tabs>
          <w:tab w:val="clear" w:pos="720"/>
        </w:tabs>
        <w:ind w:left="0"/>
        <w:jc w:val="left"/>
      </w:pPr>
    </w:p>
    <w:p w:rsidR="001551C6" w:rsidRPr="00437F53" w:rsidP="001551C6" w14:paraId="515CE312" w14:textId="77777777">
      <w:pPr>
        <w:numPr>
          <w:ilvl w:val="0"/>
          <w:numId w:val="1"/>
        </w:numPr>
        <w:rPr>
          <w:i/>
          <w:color w:val="000000" w:themeColor="text1"/>
        </w:rPr>
      </w:pPr>
      <w:r w:rsidRPr="00437F53">
        <w:rPr>
          <w:i/>
          <w:color w:val="000000" w:themeColor="text1"/>
        </w:rPr>
        <w:t>Are there any special collection circumstances?</w:t>
      </w:r>
    </w:p>
    <w:p w:rsidR="00B447F3" w:rsidRPr="00F00033" w:rsidP="00DD455E" w14:paraId="5E0E3204" w14:textId="485481D4">
      <w:pPr>
        <w:pStyle w:val="BodyTextIndent"/>
        <w:tabs>
          <w:tab w:val="clear" w:pos="720"/>
        </w:tabs>
        <w:ind w:left="0" w:firstLine="360"/>
        <w:jc w:val="left"/>
      </w:pPr>
      <w:r w:rsidRPr="00F00033">
        <w:t>No such special circumstances exist.</w:t>
      </w:r>
    </w:p>
    <w:p w:rsidR="00B447F3" w:rsidRPr="00F00033" w:rsidP="00B447F3" w14:paraId="6D057A81" w14:textId="77777777">
      <w:pPr>
        <w:pStyle w:val="BodyTextIndent"/>
        <w:tabs>
          <w:tab w:val="clear" w:pos="720"/>
        </w:tabs>
        <w:ind w:left="0"/>
        <w:jc w:val="left"/>
      </w:pPr>
    </w:p>
    <w:p w:rsidR="001551C6" w:rsidRPr="00437F53" w:rsidP="001551C6" w14:paraId="092D70C7" w14:textId="77777777">
      <w:pPr>
        <w:numPr>
          <w:ilvl w:val="0"/>
          <w:numId w:val="1"/>
        </w:numPr>
        <w:rPr>
          <w:i/>
          <w:color w:val="000000" w:themeColor="text1"/>
        </w:rPr>
      </w:pPr>
      <w:r w:rsidRPr="00437F53">
        <w:rPr>
          <w:i/>
          <w:color w:val="000000" w:themeColor="text1"/>
        </w:rPr>
        <w:t>Document publication (or intent to publish) a request for public comments in the Federal Register</w:t>
      </w:r>
    </w:p>
    <w:p w:rsidR="001551C6" w:rsidRPr="005A2886" w:rsidP="009C1255" w14:paraId="1910DFBE" w14:textId="784930D9">
      <w:pPr>
        <w:ind w:left="360"/>
        <w:rPr>
          <w:color w:val="000000" w:themeColor="text1"/>
          <w:szCs w:val="24"/>
        </w:rPr>
      </w:pPr>
      <w:r w:rsidRPr="00012A71">
        <w:rPr>
          <w:color w:val="000000"/>
        </w:rPr>
        <w:t xml:space="preserve">The Department published a 60-day notice in the Federal Register to solicit public comments on </w:t>
      </w:r>
      <w:r w:rsidR="00511616">
        <w:rPr>
          <w:color w:val="000000"/>
        </w:rPr>
        <w:t>August 22</w:t>
      </w:r>
      <w:r w:rsidRPr="00012A71">
        <w:rPr>
          <w:color w:val="000000"/>
        </w:rPr>
        <w:t>, 2024 (Public Notice: 12</w:t>
      </w:r>
      <w:r w:rsidR="00511616">
        <w:rPr>
          <w:color w:val="000000"/>
        </w:rPr>
        <w:t>503</w:t>
      </w:r>
      <w:r w:rsidRPr="00012A71">
        <w:rPr>
          <w:color w:val="000000"/>
        </w:rPr>
        <w:t>).  No comments were received</w:t>
      </w:r>
      <w:r w:rsidRPr="00800CBE" w:rsidR="00800CBE">
        <w:rPr>
          <w:color w:val="000000" w:themeColor="text1"/>
          <w:szCs w:val="24"/>
        </w:rPr>
        <w:t>.</w:t>
      </w:r>
      <w:r w:rsidR="00800CBE">
        <w:rPr>
          <w:color w:val="000000" w:themeColor="text1"/>
          <w:szCs w:val="24"/>
        </w:rPr>
        <w:t xml:space="preserve"> </w:t>
      </w:r>
    </w:p>
    <w:p w:rsidR="001551C6" w:rsidRPr="00437F53" w:rsidP="001551C6" w14:paraId="1AC104B1" w14:textId="77777777">
      <w:pPr>
        <w:numPr>
          <w:ilvl w:val="0"/>
          <w:numId w:val="1"/>
        </w:numPr>
        <w:rPr>
          <w:i/>
          <w:color w:val="000000" w:themeColor="text1"/>
        </w:rPr>
      </w:pPr>
      <w:r w:rsidRPr="00437F53">
        <w:rPr>
          <w:i/>
          <w:color w:val="000000" w:themeColor="text1"/>
        </w:rPr>
        <w:t>Are payments or gifts given to the respondents?</w:t>
      </w:r>
    </w:p>
    <w:p w:rsidR="00B447F3" w:rsidRPr="00F00033" w:rsidP="00682361" w14:paraId="611EC046" w14:textId="5695B426">
      <w:pPr>
        <w:pStyle w:val="BodyTextIndent"/>
        <w:tabs>
          <w:tab w:val="clear" w:pos="720"/>
        </w:tabs>
        <w:ind w:left="0" w:firstLine="360"/>
        <w:jc w:val="left"/>
      </w:pPr>
      <w:r w:rsidRPr="00F00033">
        <w:t>This information collection does not provide any payment or gift to respondents.</w:t>
      </w:r>
    </w:p>
    <w:p w:rsidR="6E698E73" w:rsidRPr="00F00033" w:rsidP="6E698E73" w14:paraId="103CDEE4" w14:textId="7109EBB3">
      <w:pPr>
        <w:pStyle w:val="BodyTextIndent"/>
        <w:tabs>
          <w:tab w:val="clear" w:pos="720"/>
        </w:tabs>
        <w:ind w:left="0"/>
        <w:jc w:val="left"/>
      </w:pPr>
    </w:p>
    <w:p w:rsidR="001551C6" w:rsidRPr="00437F53" w:rsidP="001551C6" w14:paraId="48213FCF" w14:textId="77777777">
      <w:pPr>
        <w:numPr>
          <w:ilvl w:val="0"/>
          <w:numId w:val="1"/>
        </w:numPr>
        <w:rPr>
          <w:i/>
          <w:color w:val="000000" w:themeColor="text1"/>
        </w:rPr>
      </w:pPr>
      <w:r w:rsidRPr="00437F53">
        <w:rPr>
          <w:i/>
          <w:color w:val="000000" w:themeColor="text1"/>
        </w:rPr>
        <w:t xml:space="preserve"> Describe assurances of privacy/confidentiality</w:t>
      </w:r>
    </w:p>
    <w:p w:rsidR="00B447F3" w:rsidRPr="00F00033" w:rsidP="00682361" w14:paraId="7828FABA" w14:textId="465410F3">
      <w:pPr>
        <w:pStyle w:val="BodyTextIndent"/>
        <w:tabs>
          <w:tab w:val="clear" w:pos="720"/>
        </w:tabs>
        <w:ind w:left="360"/>
        <w:jc w:val="left"/>
      </w:pPr>
      <w:r w:rsidRPr="00F00033">
        <w:t>This form includes a Privacy Act Statement explaining the routine uses of the information collected under the Act.  There are no promises of confidentiality to the respondents.</w:t>
      </w:r>
    </w:p>
    <w:p w:rsidR="00B447F3" w:rsidRPr="00F00033" w:rsidP="00B447F3" w14:paraId="221B2102" w14:textId="77777777">
      <w:pPr>
        <w:pStyle w:val="BodyTextIndent"/>
        <w:tabs>
          <w:tab w:val="clear" w:pos="720"/>
        </w:tabs>
        <w:ind w:left="0"/>
        <w:jc w:val="left"/>
      </w:pPr>
    </w:p>
    <w:p w:rsidR="001551C6" w:rsidRPr="00437F53" w:rsidP="001551C6" w14:paraId="2DBB3407" w14:textId="77777777">
      <w:pPr>
        <w:numPr>
          <w:ilvl w:val="0"/>
          <w:numId w:val="1"/>
        </w:numPr>
        <w:rPr>
          <w:i/>
          <w:color w:val="000000" w:themeColor="text1"/>
        </w:rPr>
      </w:pPr>
      <w:r w:rsidRPr="00437F53">
        <w:rPr>
          <w:i/>
          <w:color w:val="000000" w:themeColor="text1"/>
        </w:rPr>
        <w:t xml:space="preserve"> Are any questions of a sensitive nature asked?</w:t>
      </w:r>
    </w:p>
    <w:p w:rsidR="00220D38" w:rsidRPr="00F00033" w:rsidP="00682361" w14:paraId="51A38728" w14:textId="3196D205">
      <w:pPr>
        <w:pStyle w:val="BodyTextIndent"/>
        <w:tabs>
          <w:tab w:val="clear" w:pos="720"/>
        </w:tabs>
        <w:ind w:left="0" w:firstLine="360"/>
        <w:jc w:val="left"/>
      </w:pPr>
      <w:r w:rsidRPr="00F00033">
        <w:t xml:space="preserve">The form does not ask questions of a sensitive nature.  </w:t>
      </w:r>
    </w:p>
    <w:p w:rsidR="001551C6" w:rsidRPr="00437F53" w:rsidP="001551C6" w14:paraId="01C7BD0D" w14:textId="6FB36E83">
      <w:pPr>
        <w:ind w:left="360"/>
        <w:rPr>
          <w:i/>
          <w:color w:val="000000" w:themeColor="text1"/>
        </w:rPr>
      </w:pPr>
    </w:p>
    <w:p w:rsidR="001551C6" w:rsidRPr="00437F53" w:rsidP="001551C6" w14:paraId="66AC3A4B" w14:textId="1C2A073D">
      <w:pPr>
        <w:numPr>
          <w:ilvl w:val="0"/>
          <w:numId w:val="1"/>
        </w:numPr>
        <w:rPr>
          <w:i/>
          <w:color w:val="000000" w:themeColor="text1"/>
        </w:rPr>
      </w:pPr>
      <w:r w:rsidRPr="00437F53">
        <w:rPr>
          <w:i/>
          <w:color w:val="000000" w:themeColor="text1"/>
        </w:rPr>
        <w:t xml:space="preserve"> Describe the hour time burden and the hour cost burden on the respondent needed to complete this collection</w:t>
      </w:r>
    </w:p>
    <w:p w:rsidR="0059698E" w:rsidRPr="0059698E" w:rsidP="00682361" w14:paraId="39CF399C" w14:textId="1233552F">
      <w:pPr>
        <w:pStyle w:val="BodyTextIndent"/>
        <w:tabs>
          <w:tab w:val="clear" w:pos="720"/>
        </w:tabs>
        <w:ind w:left="360"/>
        <w:jc w:val="left"/>
        <w:rPr>
          <w:b/>
          <w:bCs/>
        </w:rPr>
      </w:pPr>
      <w:r w:rsidRPr="0059698E">
        <w:rPr>
          <w:b/>
          <w:bCs/>
        </w:rPr>
        <w:t>Respondent Hour Time Burden and Hour Cost Burden</w:t>
      </w:r>
    </w:p>
    <w:p w:rsidR="0059698E" w:rsidP="00682361" w14:paraId="3D416232" w14:textId="77777777">
      <w:pPr>
        <w:pStyle w:val="BodyTextIndent"/>
        <w:tabs>
          <w:tab w:val="clear" w:pos="720"/>
        </w:tabs>
        <w:ind w:left="360"/>
        <w:jc w:val="left"/>
      </w:pPr>
    </w:p>
    <w:p w:rsidR="0059698E" w:rsidRPr="0059698E" w:rsidP="006446D3" w14:paraId="2D0BA591" w14:textId="77777777">
      <w:pPr>
        <w:ind w:left="360"/>
      </w:pPr>
      <w:r w:rsidRPr="0059698E">
        <w:t>The estimated number of respondents for this information collection is derived from the average number of applicants who submitted this form during the last three fiscal years.</w:t>
      </w:r>
    </w:p>
    <w:p w:rsidR="0059698E" w:rsidRPr="0059698E" w:rsidP="0059698E" w14:paraId="2D2B91DA" w14:textId="77777777">
      <w:pPr>
        <w:spacing w:after="0"/>
        <w:ind w:left="720"/>
        <w:rPr>
          <w:szCs w:val="24"/>
        </w:rPr>
      </w:pPr>
    </w:p>
    <w:tbl>
      <w:tblPr>
        <w:tblStyle w:val="TableGrid"/>
        <w:tblW w:w="0" w:type="auto"/>
        <w:jc w:val="center"/>
        <w:tblLook w:val="04A0"/>
      </w:tblPr>
      <w:tblGrid>
        <w:gridCol w:w="1152"/>
        <w:gridCol w:w="3973"/>
      </w:tblGrid>
      <w:tr w14:paraId="1B00E997" w14:textId="77777777" w:rsidTr="00124E5A">
        <w:tblPrEx>
          <w:tblW w:w="0" w:type="auto"/>
          <w:jc w:val="center"/>
          <w:tblLook w:val="04A0"/>
        </w:tblPrEx>
        <w:trPr>
          <w:jc w:val="center"/>
        </w:trPr>
        <w:tc>
          <w:tcPr>
            <w:tcW w:w="1152" w:type="dxa"/>
          </w:tcPr>
          <w:p w:rsidR="0059698E" w:rsidRPr="0059698E" w:rsidP="0059698E" w14:paraId="7B87296A" w14:textId="77777777">
            <w:pPr>
              <w:spacing w:after="0"/>
              <w:rPr>
                <w:szCs w:val="24"/>
              </w:rPr>
            </w:pPr>
          </w:p>
        </w:tc>
        <w:tc>
          <w:tcPr>
            <w:tcW w:w="3973" w:type="dxa"/>
          </w:tcPr>
          <w:p w:rsidR="0059698E" w:rsidRPr="0059698E" w:rsidP="0059698E" w14:paraId="0B4CC3D1" w14:textId="77777777">
            <w:pPr>
              <w:spacing w:after="0"/>
              <w:jc w:val="center"/>
              <w:rPr>
                <w:b/>
                <w:szCs w:val="24"/>
              </w:rPr>
            </w:pPr>
            <w:r w:rsidRPr="0059698E">
              <w:rPr>
                <w:b/>
                <w:szCs w:val="24"/>
              </w:rPr>
              <w:t>Respondents</w:t>
            </w:r>
          </w:p>
        </w:tc>
      </w:tr>
      <w:tr w14:paraId="4ABE254C" w14:textId="77777777" w:rsidTr="00124E5A">
        <w:tblPrEx>
          <w:tblW w:w="0" w:type="auto"/>
          <w:jc w:val="center"/>
          <w:tblLook w:val="04A0"/>
        </w:tblPrEx>
        <w:trPr>
          <w:jc w:val="center"/>
        </w:trPr>
        <w:tc>
          <w:tcPr>
            <w:tcW w:w="1152" w:type="dxa"/>
          </w:tcPr>
          <w:p w:rsidR="0059698E" w:rsidRPr="0059698E" w:rsidP="0059698E" w14:paraId="0D0E1655" w14:textId="77777777">
            <w:pPr>
              <w:spacing w:after="0"/>
              <w:rPr>
                <w:szCs w:val="24"/>
              </w:rPr>
            </w:pPr>
            <w:r w:rsidRPr="0059698E">
              <w:rPr>
                <w:szCs w:val="24"/>
              </w:rPr>
              <w:t>FY 2021</w:t>
            </w:r>
          </w:p>
        </w:tc>
        <w:tc>
          <w:tcPr>
            <w:tcW w:w="3973" w:type="dxa"/>
          </w:tcPr>
          <w:p w:rsidR="0059698E" w:rsidRPr="0059698E" w:rsidP="0059698E" w14:paraId="707B7180" w14:textId="74B2E0E8">
            <w:pPr>
              <w:spacing w:after="0"/>
              <w:jc w:val="center"/>
              <w:rPr>
                <w:szCs w:val="24"/>
              </w:rPr>
            </w:pPr>
            <w:r w:rsidRPr="000D6C96">
              <w:rPr>
                <w:szCs w:val="24"/>
              </w:rPr>
              <w:t xml:space="preserve">60,463                                 </w:t>
            </w:r>
          </w:p>
        </w:tc>
      </w:tr>
      <w:tr w14:paraId="35C359A4" w14:textId="77777777" w:rsidTr="00124E5A">
        <w:tblPrEx>
          <w:tblW w:w="0" w:type="auto"/>
          <w:jc w:val="center"/>
          <w:tblLook w:val="04A0"/>
        </w:tblPrEx>
        <w:trPr>
          <w:jc w:val="center"/>
        </w:trPr>
        <w:tc>
          <w:tcPr>
            <w:tcW w:w="1152" w:type="dxa"/>
          </w:tcPr>
          <w:p w:rsidR="0059698E" w:rsidRPr="0059698E" w:rsidP="0059698E" w14:paraId="7BA9C0BA" w14:textId="77777777">
            <w:pPr>
              <w:spacing w:after="0"/>
              <w:rPr>
                <w:szCs w:val="24"/>
              </w:rPr>
            </w:pPr>
            <w:r w:rsidRPr="0059698E">
              <w:rPr>
                <w:szCs w:val="24"/>
              </w:rPr>
              <w:t>FY 2022</w:t>
            </w:r>
          </w:p>
        </w:tc>
        <w:tc>
          <w:tcPr>
            <w:tcW w:w="3973" w:type="dxa"/>
          </w:tcPr>
          <w:p w:rsidR="0059698E" w:rsidRPr="0059698E" w:rsidP="0059698E" w14:paraId="3A53A3E5" w14:textId="50787310">
            <w:pPr>
              <w:spacing w:after="0"/>
              <w:jc w:val="center"/>
              <w:rPr>
                <w:szCs w:val="24"/>
              </w:rPr>
            </w:pPr>
            <w:r w:rsidRPr="000D6C96">
              <w:rPr>
                <w:szCs w:val="24"/>
              </w:rPr>
              <w:t xml:space="preserve">56,781                          </w:t>
            </w:r>
          </w:p>
        </w:tc>
      </w:tr>
      <w:tr w14:paraId="42C94F0C" w14:textId="77777777" w:rsidTr="00124E5A">
        <w:tblPrEx>
          <w:tblW w:w="0" w:type="auto"/>
          <w:jc w:val="center"/>
          <w:tblLook w:val="04A0"/>
        </w:tblPrEx>
        <w:trPr>
          <w:jc w:val="center"/>
        </w:trPr>
        <w:tc>
          <w:tcPr>
            <w:tcW w:w="1152" w:type="dxa"/>
          </w:tcPr>
          <w:p w:rsidR="0059698E" w:rsidRPr="0059698E" w:rsidP="0059698E" w14:paraId="2252AD11" w14:textId="77777777">
            <w:pPr>
              <w:spacing w:after="0"/>
              <w:rPr>
                <w:szCs w:val="24"/>
              </w:rPr>
            </w:pPr>
            <w:r w:rsidRPr="0059698E">
              <w:rPr>
                <w:szCs w:val="24"/>
              </w:rPr>
              <w:t>FY 2023</w:t>
            </w:r>
          </w:p>
        </w:tc>
        <w:tc>
          <w:tcPr>
            <w:tcW w:w="3973" w:type="dxa"/>
          </w:tcPr>
          <w:p w:rsidR="0059698E" w:rsidRPr="0059698E" w:rsidP="0059698E" w14:paraId="58C61966" w14:textId="61846024">
            <w:pPr>
              <w:spacing w:after="0"/>
              <w:jc w:val="center"/>
              <w:rPr>
                <w:szCs w:val="24"/>
              </w:rPr>
            </w:pPr>
            <w:r w:rsidRPr="000D6C96">
              <w:rPr>
                <w:szCs w:val="24"/>
              </w:rPr>
              <w:t>64,958</w:t>
            </w:r>
          </w:p>
        </w:tc>
      </w:tr>
      <w:tr w14:paraId="20A209BB" w14:textId="77777777" w:rsidTr="00124E5A">
        <w:tblPrEx>
          <w:tblW w:w="0" w:type="auto"/>
          <w:jc w:val="center"/>
          <w:tblLook w:val="04A0"/>
        </w:tblPrEx>
        <w:trPr>
          <w:jc w:val="center"/>
        </w:trPr>
        <w:tc>
          <w:tcPr>
            <w:tcW w:w="1152" w:type="dxa"/>
          </w:tcPr>
          <w:p w:rsidR="0059698E" w:rsidRPr="0059698E" w:rsidP="0059698E" w14:paraId="3FEA55E7" w14:textId="77777777">
            <w:pPr>
              <w:spacing w:after="0"/>
              <w:rPr>
                <w:b/>
                <w:szCs w:val="24"/>
              </w:rPr>
            </w:pPr>
            <w:r w:rsidRPr="0059698E">
              <w:rPr>
                <w:b/>
                <w:szCs w:val="24"/>
              </w:rPr>
              <w:t>Average</w:t>
            </w:r>
          </w:p>
        </w:tc>
        <w:tc>
          <w:tcPr>
            <w:tcW w:w="3973" w:type="dxa"/>
          </w:tcPr>
          <w:p w:rsidR="0059698E" w:rsidRPr="0059698E" w:rsidP="0059698E" w14:paraId="1BEE50E4" w14:textId="30E878BE">
            <w:pPr>
              <w:spacing w:after="0"/>
              <w:jc w:val="center"/>
              <w:rPr>
                <w:b/>
                <w:szCs w:val="24"/>
              </w:rPr>
            </w:pPr>
            <w:r>
              <w:rPr>
                <w:b/>
                <w:szCs w:val="24"/>
              </w:rPr>
              <w:t>60,73</w:t>
            </w:r>
            <w:r w:rsidR="004C7ECA">
              <w:rPr>
                <w:b/>
                <w:szCs w:val="24"/>
              </w:rPr>
              <w:t>4</w:t>
            </w:r>
          </w:p>
        </w:tc>
      </w:tr>
    </w:tbl>
    <w:p w:rsidR="0059698E" w:rsidRPr="0059698E" w:rsidP="0059698E" w14:paraId="035C08AE" w14:textId="77777777">
      <w:pPr>
        <w:spacing w:after="0"/>
        <w:ind w:left="720"/>
        <w:rPr>
          <w:szCs w:val="24"/>
        </w:rPr>
      </w:pPr>
    </w:p>
    <w:p w:rsidR="006446D3" w:rsidP="0059698E" w14:paraId="67CB7FAB" w14:textId="77777777">
      <w:pPr>
        <w:spacing w:after="0"/>
        <w:ind w:left="720"/>
        <w:rPr>
          <w:szCs w:val="24"/>
        </w:rPr>
      </w:pPr>
    </w:p>
    <w:p w:rsidR="0059698E" w:rsidRPr="0059698E" w:rsidP="006446D3" w14:paraId="7CC5A218" w14:textId="5433F1AE">
      <w:pPr>
        <w:spacing w:after="0"/>
        <w:ind w:left="360"/>
        <w:rPr>
          <w:szCs w:val="24"/>
        </w:rPr>
      </w:pPr>
      <w:r w:rsidRPr="0059698E">
        <w:rPr>
          <w:szCs w:val="24"/>
        </w:rPr>
        <w:t>The estimated number of minutes per response is based on a sampling of the time required to search existing data sources, gather the necessary information, provide the information required, review the final collection, and submit the collection to Passport Services for processing.</w:t>
      </w:r>
    </w:p>
    <w:p w:rsidR="0059698E" w:rsidP="00682361" w14:paraId="5ABF3D26" w14:textId="77777777">
      <w:pPr>
        <w:pStyle w:val="BodyTextIndent"/>
        <w:tabs>
          <w:tab w:val="clear" w:pos="720"/>
        </w:tabs>
        <w:ind w:left="360"/>
        <w:jc w:val="left"/>
      </w:pPr>
    </w:p>
    <w:p w:rsidR="00D40846" w:rsidP="00682361" w14:paraId="54D4C817" w14:textId="6D7BF0B9">
      <w:pPr>
        <w:pStyle w:val="BodyTextIndent"/>
        <w:tabs>
          <w:tab w:val="clear" w:pos="720"/>
        </w:tabs>
        <w:ind w:left="360"/>
        <w:jc w:val="left"/>
        <w:rPr>
          <w:b/>
          <w:bCs/>
          <w:szCs w:val="20"/>
        </w:rPr>
      </w:pPr>
      <w:r>
        <w:t>Passport Services</w:t>
      </w:r>
      <w:r w:rsidR="00220D38">
        <w:t xml:space="preserve"> estimates that the average time required for this information collection is 10 minutes per response.</w:t>
      </w:r>
      <w:r>
        <w:t xml:space="preserve">  </w:t>
      </w:r>
      <w:r w:rsidRPr="00D40846">
        <w:rPr>
          <w:szCs w:val="20"/>
        </w:rPr>
        <w:t xml:space="preserve">Therefore, the estimated </w:t>
      </w:r>
      <w:r w:rsidRPr="00D40846">
        <w:rPr>
          <w:b/>
          <w:bCs/>
          <w:szCs w:val="20"/>
        </w:rPr>
        <w:t>total annual respondent hour time burden is</w:t>
      </w:r>
      <w:r>
        <w:rPr>
          <w:b/>
          <w:bCs/>
          <w:szCs w:val="20"/>
        </w:rPr>
        <w:t xml:space="preserve">: </w:t>
      </w:r>
      <w:r w:rsidR="005C4D19">
        <w:rPr>
          <w:b/>
          <w:bCs/>
          <w:szCs w:val="20"/>
        </w:rPr>
        <w:t>10,122</w:t>
      </w:r>
      <w:r>
        <w:rPr>
          <w:b/>
          <w:bCs/>
          <w:szCs w:val="20"/>
        </w:rPr>
        <w:t xml:space="preserve"> hours.</w:t>
      </w:r>
    </w:p>
    <w:p w:rsidR="00D40846" w:rsidP="00682361" w14:paraId="76005082" w14:textId="77777777">
      <w:pPr>
        <w:pStyle w:val="BodyTextIndent"/>
        <w:tabs>
          <w:tab w:val="clear" w:pos="720"/>
        </w:tabs>
        <w:ind w:left="360"/>
        <w:jc w:val="left"/>
      </w:pPr>
    </w:p>
    <w:p w:rsidR="00D40846" w:rsidRPr="00D40846" w:rsidP="00D40846" w14:paraId="6DA171C4" w14:textId="0741797B">
      <w:pPr>
        <w:spacing w:after="0"/>
        <w:ind w:firstLine="360"/>
        <w:rPr>
          <w:szCs w:val="24"/>
        </w:rPr>
      </w:pPr>
      <w:r w:rsidRPr="00D40846">
        <w:rPr>
          <w:bCs/>
          <w:szCs w:val="24"/>
        </w:rPr>
        <w:t>(</w:t>
      </w:r>
      <w:bookmarkStart w:id="2" w:name="_Hlk164859687"/>
      <w:r w:rsidR="000D6C96">
        <w:rPr>
          <w:bCs/>
          <w:szCs w:val="24"/>
        </w:rPr>
        <w:t>60,734</w:t>
      </w:r>
      <w:r w:rsidRPr="00D40846">
        <w:rPr>
          <w:b/>
          <w:szCs w:val="24"/>
        </w:rPr>
        <w:t xml:space="preserve"> </w:t>
      </w:r>
      <w:bookmarkEnd w:id="2"/>
      <w:r w:rsidRPr="00D40846">
        <w:rPr>
          <w:szCs w:val="24"/>
        </w:rPr>
        <w:t xml:space="preserve">annual respondents x </w:t>
      </w:r>
      <w:r>
        <w:rPr>
          <w:szCs w:val="24"/>
        </w:rPr>
        <w:t>1</w:t>
      </w:r>
      <w:r w:rsidRPr="00D40846">
        <w:rPr>
          <w:szCs w:val="24"/>
        </w:rPr>
        <w:t xml:space="preserve">0 minutes / 60 = </w:t>
      </w:r>
      <w:bookmarkStart w:id="3" w:name="_Hlk165297349"/>
      <w:r w:rsidR="005C4D19">
        <w:rPr>
          <w:szCs w:val="24"/>
        </w:rPr>
        <w:t>10,122</w:t>
      </w:r>
      <w:bookmarkEnd w:id="3"/>
      <w:r>
        <w:rPr>
          <w:szCs w:val="24"/>
        </w:rPr>
        <w:t>)</w:t>
      </w:r>
    </w:p>
    <w:p w:rsidR="009E413D" w:rsidP="00682361" w14:paraId="469C8E2A" w14:textId="77777777">
      <w:pPr>
        <w:pStyle w:val="BodyTextIndent"/>
        <w:tabs>
          <w:tab w:val="clear" w:pos="720"/>
        </w:tabs>
        <w:ind w:left="360"/>
        <w:jc w:val="left"/>
      </w:pPr>
    </w:p>
    <w:p w:rsidR="00220D38" w:rsidP="00682361" w14:paraId="13647047" w14:textId="5370F91E">
      <w:pPr>
        <w:pStyle w:val="BodyTextIndent"/>
        <w:tabs>
          <w:tab w:val="clear" w:pos="720"/>
        </w:tabs>
        <w:ind w:left="360"/>
        <w:jc w:val="left"/>
      </w:pPr>
      <w:r w:rsidRPr="000C7D58">
        <w:rPr>
          <w:szCs w:val="20"/>
        </w:rPr>
        <w:t xml:space="preserve">The estimated cost to respondents is based on the civilian hourly wage listed in the Employer Costs for Employee Compensation released by the Bureau of Labor Statistics in 2023.  The base hourly wage is estimated to be </w:t>
      </w:r>
      <w:r w:rsidRPr="000C7D58">
        <w:rPr>
          <w:color w:val="000000"/>
          <w:szCs w:val="20"/>
        </w:rPr>
        <w:t>$31.48</w:t>
      </w:r>
      <w:r>
        <w:rPr>
          <w:color w:val="000000"/>
          <w:szCs w:val="20"/>
          <w:vertAlign w:val="superscript"/>
        </w:rPr>
        <w:endnoteReference w:id="3"/>
      </w:r>
      <w:r w:rsidRPr="000C7D58">
        <w:rPr>
          <w:color w:val="000000"/>
          <w:szCs w:val="20"/>
        </w:rPr>
        <w:t xml:space="preserve">.  </w:t>
      </w:r>
      <w:r w:rsidRPr="000C7D58">
        <w:rPr>
          <w:szCs w:val="20"/>
        </w:rPr>
        <w:t xml:space="preserve">We also incorporate a benefit multiplier of 1.3 and the total hourly wage is calculated to be $40.92.  The total hourly wage of $40.92 is then multiplied by the annual time burden of </w:t>
      </w:r>
      <w:r w:rsidRPr="005C4D19" w:rsidR="005C4D19">
        <w:rPr>
          <w:szCs w:val="20"/>
        </w:rPr>
        <w:t>10,122</w:t>
      </w:r>
      <w:r w:rsidRPr="000C7D58">
        <w:rPr>
          <w:szCs w:val="20"/>
        </w:rPr>
        <w:t xml:space="preserve"> hours.  Therefore, the estimated </w:t>
      </w:r>
      <w:r w:rsidRPr="000C7D58">
        <w:rPr>
          <w:b/>
          <w:bCs/>
          <w:szCs w:val="20"/>
        </w:rPr>
        <w:t>total annual respondent hour cost burden is $</w:t>
      </w:r>
      <w:r w:rsidRPr="005C4D19" w:rsidR="005C4D19">
        <w:rPr>
          <w:b/>
          <w:bCs/>
          <w:szCs w:val="20"/>
        </w:rPr>
        <w:t>414,192</w:t>
      </w:r>
      <w:r w:rsidR="005C4D19">
        <w:rPr>
          <w:b/>
          <w:bCs/>
          <w:szCs w:val="20"/>
        </w:rPr>
        <w:t>.</w:t>
      </w:r>
      <w:r w:rsidRPr="001B564D">
        <w:t xml:space="preserve"> </w:t>
      </w:r>
    </w:p>
    <w:p w:rsidR="000C7D58" w:rsidP="00682361" w14:paraId="50AD4927" w14:textId="77777777">
      <w:pPr>
        <w:pStyle w:val="BodyTextIndent"/>
        <w:tabs>
          <w:tab w:val="clear" w:pos="720"/>
        </w:tabs>
        <w:ind w:left="360"/>
        <w:jc w:val="left"/>
      </w:pPr>
    </w:p>
    <w:p w:rsidR="000C7D58" w:rsidP="000C7D58" w14:paraId="4442D6DE" w14:textId="4792F90F">
      <w:pPr>
        <w:pStyle w:val="BodyTextIndent"/>
        <w:tabs>
          <w:tab w:val="clear" w:pos="720"/>
        </w:tabs>
        <w:ind w:left="0" w:firstLine="360"/>
        <w:jc w:val="left"/>
      </w:pPr>
      <w:r w:rsidRPr="001836F9">
        <w:t>($</w:t>
      </w:r>
      <w:r>
        <w:t>40.92</w:t>
      </w:r>
      <w:r w:rsidRPr="001836F9">
        <w:t xml:space="preserve"> total hourly wage x </w:t>
      </w:r>
      <w:r w:rsidRPr="005C4D19" w:rsidR="005C4D19">
        <w:t>10,122</w:t>
      </w:r>
      <w:r w:rsidRPr="001836F9">
        <w:t xml:space="preserve"> annual hours = $</w:t>
      </w:r>
      <w:bookmarkStart w:id="4" w:name="_Hlk165297354"/>
      <w:r w:rsidR="005C4D19">
        <w:t>414,192</w:t>
      </w:r>
      <w:bookmarkEnd w:id="4"/>
      <w:r w:rsidRPr="001836F9">
        <w:t>)</w:t>
      </w:r>
    </w:p>
    <w:p w:rsidR="000C7D58" w:rsidRPr="00F00033" w:rsidP="00682361" w14:paraId="7511BB14" w14:textId="77777777">
      <w:pPr>
        <w:pStyle w:val="BodyTextIndent"/>
        <w:tabs>
          <w:tab w:val="clear" w:pos="720"/>
        </w:tabs>
        <w:ind w:left="360"/>
        <w:jc w:val="left"/>
      </w:pPr>
    </w:p>
    <w:p w:rsidR="001551C6" w:rsidRPr="00437F53" w:rsidP="001551C6" w14:paraId="380C6877" w14:textId="01ADE46A">
      <w:pPr>
        <w:numPr>
          <w:ilvl w:val="0"/>
          <w:numId w:val="1"/>
        </w:numPr>
        <w:rPr>
          <w:i/>
          <w:color w:val="000000" w:themeColor="text1"/>
        </w:rPr>
      </w:pPr>
      <w:r w:rsidRPr="00437F53">
        <w:rPr>
          <w:i/>
          <w:color w:val="000000" w:themeColor="text1"/>
        </w:rPr>
        <w:t>Describe the monetary burden to respondents (out of pocket costs) needed to complete this collection.</w:t>
      </w:r>
    </w:p>
    <w:p w:rsidR="00220D38" w:rsidRPr="00F00033" w:rsidP="005F5874" w14:paraId="0143FD96" w14:textId="5DF425CD">
      <w:pPr>
        <w:pStyle w:val="BodyTextIndent"/>
        <w:tabs>
          <w:tab w:val="clear" w:pos="720"/>
        </w:tabs>
        <w:ind w:left="360"/>
      </w:pPr>
      <w:r>
        <w:t xml:space="preserve">Respondents may submit </w:t>
      </w:r>
      <w:r w:rsidR="001F318F">
        <w:t xml:space="preserve">the </w:t>
      </w:r>
      <w:r w:rsidRPr="00F00033">
        <w:t>DS-4194</w:t>
      </w:r>
      <w:r w:rsidR="001F318F">
        <w:t xml:space="preserve"> </w:t>
      </w:r>
      <w:r w:rsidRPr="00F00033">
        <w:t xml:space="preserve">to the </w:t>
      </w:r>
      <w:r w:rsidR="004F2994">
        <w:t xml:space="preserve">Office of </w:t>
      </w:r>
      <w:r w:rsidRPr="00F00033">
        <w:t xml:space="preserve">Authentications </w:t>
      </w:r>
      <w:r>
        <w:t xml:space="preserve">by mail or </w:t>
      </w:r>
      <w:r w:rsidR="00E37A85">
        <w:t xml:space="preserve">via </w:t>
      </w:r>
      <w:r>
        <w:t>hand delivery</w:t>
      </w:r>
      <w:r w:rsidR="00572761">
        <w:t>.</w:t>
      </w:r>
      <w:r w:rsidRPr="00F00033">
        <w:t xml:space="preserve"> The estimated cost of printing the form, based on a quote from FedEx, </w:t>
      </w:r>
      <w:r w:rsidR="005F5874">
        <w:t xml:space="preserve">is </w:t>
      </w:r>
      <w:r w:rsidRPr="00F00033" w:rsidR="00572761">
        <w:t>approximately</w:t>
      </w:r>
      <w:r w:rsidR="005F5874">
        <w:t xml:space="preserve"> </w:t>
      </w:r>
      <w:r w:rsidRPr="00F00033" w:rsidR="00572761">
        <w:t>$0.49 per copy</w:t>
      </w:r>
      <w:r>
        <w:t>.</w:t>
      </w:r>
      <w:r>
        <w:rPr>
          <w:rStyle w:val="EndnoteReference"/>
        </w:rPr>
        <w:endnoteReference w:id="4"/>
      </w:r>
      <w:r w:rsidRPr="00F00033" w:rsidR="00763277">
        <w:t xml:space="preserve"> </w:t>
      </w:r>
      <w:r w:rsidR="003D7C4D">
        <w:t xml:space="preserve">Based on </w:t>
      </w:r>
      <w:r w:rsidR="009C3DD5">
        <w:t xml:space="preserve">a </w:t>
      </w:r>
      <w:r w:rsidR="003D7C4D">
        <w:t xml:space="preserve">rate provided by the </w:t>
      </w:r>
      <w:r w:rsidRPr="00F00033" w:rsidR="00763277">
        <w:t>United States Postal Service, the</w:t>
      </w:r>
      <w:r w:rsidR="00D04694">
        <w:t xml:space="preserve"> </w:t>
      </w:r>
      <w:r w:rsidRPr="00F00033" w:rsidR="00763277">
        <w:t xml:space="preserve">postage </w:t>
      </w:r>
      <w:r w:rsidR="00D04694">
        <w:t xml:space="preserve">cost of a flat envelope </w:t>
      </w:r>
      <w:r w:rsidR="004C36AE">
        <w:t>shipped via First</w:t>
      </w:r>
      <w:r w:rsidR="00982B07">
        <w:t>-</w:t>
      </w:r>
      <w:r w:rsidR="004C36AE">
        <w:t xml:space="preserve">Class </w:t>
      </w:r>
      <w:r w:rsidR="00F20169">
        <w:t>M</w:t>
      </w:r>
      <w:r w:rsidR="004C36AE">
        <w:t xml:space="preserve">ail is </w:t>
      </w:r>
      <w:r w:rsidRPr="00F706C7" w:rsidR="00763277">
        <w:t>$1.</w:t>
      </w:r>
      <w:r w:rsidRPr="00F706C7" w:rsidR="006F2C28">
        <w:t>50</w:t>
      </w:r>
      <w:r w:rsidR="00763277">
        <w:t>.</w:t>
      </w:r>
      <w:r>
        <w:rPr>
          <w:rStyle w:val="EndnoteReference"/>
        </w:rPr>
        <w:endnoteReference w:id="5"/>
      </w:r>
      <w:r w:rsidRPr="00F00033" w:rsidR="00763277">
        <w:t xml:space="preserve"> </w:t>
      </w:r>
      <w:r w:rsidR="004C17F0">
        <w:t>Therefore, t</w:t>
      </w:r>
      <w:r w:rsidRPr="00F00033">
        <w:t xml:space="preserve">he total annual printing and postage cost for </w:t>
      </w:r>
      <w:r w:rsidRPr="004964F6" w:rsidR="004964F6">
        <w:t xml:space="preserve">60,734 </w:t>
      </w:r>
      <w:r w:rsidRPr="00F00033">
        <w:t xml:space="preserve">respondents is approximately </w:t>
      </w:r>
      <w:r w:rsidRPr="00F00033">
        <w:rPr>
          <w:color w:val="000000"/>
        </w:rPr>
        <w:t>$</w:t>
      </w:r>
      <w:r w:rsidR="004C17F0">
        <w:rPr>
          <w:color w:val="000000"/>
        </w:rPr>
        <w:t>120</w:t>
      </w:r>
      <w:r w:rsidR="00DA2E7B">
        <w:rPr>
          <w:color w:val="000000"/>
        </w:rPr>
        <w:t>,</w:t>
      </w:r>
      <w:r w:rsidR="004C17F0">
        <w:rPr>
          <w:color w:val="000000"/>
        </w:rPr>
        <w:t>861</w:t>
      </w:r>
      <w:r w:rsidRPr="00F00033" w:rsidR="008251FA">
        <w:rPr>
          <w:color w:val="000000"/>
        </w:rPr>
        <w:t>, should every applicant print a copy of the form and decide to submit it in the mail</w:t>
      </w:r>
      <w:r w:rsidRPr="00F00033">
        <w:t>.  A breakdown of the printing and postage cost burden follows:</w:t>
      </w:r>
    </w:p>
    <w:p w:rsidR="00220D38" w:rsidRPr="00F00033" w:rsidP="00220D38" w14:paraId="28642592" w14:textId="77777777">
      <w:pPr>
        <w:pStyle w:val="BodyTextIndent"/>
        <w:tabs>
          <w:tab w:val="clear" w:pos="720"/>
        </w:tabs>
        <w:spacing w:line="276" w:lineRule="auto"/>
        <w:jc w:val="left"/>
      </w:pPr>
    </w:p>
    <w:tbl>
      <w:tblPr>
        <w:tblW w:w="0" w:type="auto"/>
        <w:tblInd w:w="1008" w:type="dxa"/>
        <w:tblCellMar>
          <w:left w:w="0" w:type="dxa"/>
          <w:right w:w="0" w:type="dxa"/>
        </w:tblCellMar>
        <w:tblLook w:val="04A0"/>
      </w:tblPr>
      <w:tblGrid>
        <w:gridCol w:w="4230"/>
        <w:gridCol w:w="1980"/>
      </w:tblGrid>
      <w:tr w14:paraId="52FA149D" w14:textId="77777777" w:rsidTr="00210F7A">
        <w:tblPrEx>
          <w:tblW w:w="0" w:type="auto"/>
          <w:tblInd w:w="1008" w:type="dxa"/>
          <w:tblCellMar>
            <w:left w:w="0" w:type="dxa"/>
            <w:right w:w="0" w:type="dxa"/>
          </w:tblCellMar>
          <w:tblLook w:val="04A0"/>
        </w:tblPrEx>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0D38" w:rsidRPr="00F00033" w:rsidP="00210F7A" w14:paraId="25022491" w14:textId="33B79D7B">
            <w:pPr>
              <w:pStyle w:val="BodyTextIndent"/>
              <w:ind w:left="0"/>
              <w:jc w:val="left"/>
            </w:pPr>
            <w:r w:rsidRPr="00F00033">
              <w:t xml:space="preserve">Black and White Printing </w:t>
            </w:r>
            <w:r w:rsidRPr="00F00033">
              <w:br/>
              <w:t>(</w:t>
            </w:r>
            <w:r w:rsidRPr="004964F6" w:rsidR="004964F6">
              <w:t xml:space="preserve">60,734 </w:t>
            </w:r>
            <w:r w:rsidRPr="00F00033">
              <w:t>x $0.</w:t>
            </w:r>
            <w:r w:rsidRPr="00F00033" w:rsidR="00572761">
              <w:t>49</w:t>
            </w:r>
            <w:r w:rsidRPr="00F00033">
              <w: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20D38" w:rsidRPr="00F00033" w:rsidP="00B5198C" w14:paraId="5E41948B" w14:textId="28945494">
            <w:pPr>
              <w:pStyle w:val="BodyTextIndent"/>
              <w:ind w:left="0"/>
              <w:jc w:val="center"/>
              <w:rPr>
                <w:rFonts w:eastAsiaTheme="minorHAnsi"/>
              </w:rPr>
            </w:pPr>
            <w:r w:rsidRPr="00F00033">
              <w:t>$</w:t>
            </w:r>
            <w:r w:rsidR="00B5198C">
              <w:t>29,760</w:t>
            </w:r>
          </w:p>
          <w:p w:rsidR="00220D38" w:rsidRPr="00F00033" w:rsidP="00210F7A" w14:paraId="14EC9418" w14:textId="77777777">
            <w:pPr>
              <w:pStyle w:val="BodyTextIndent"/>
              <w:ind w:left="0"/>
              <w:jc w:val="center"/>
            </w:pPr>
          </w:p>
        </w:tc>
      </w:tr>
      <w:tr w14:paraId="4583188A" w14:textId="77777777" w:rsidTr="00210F7A">
        <w:tblPrEx>
          <w:tblW w:w="0" w:type="auto"/>
          <w:tblInd w:w="1008" w:type="dxa"/>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D38" w:rsidRPr="00F00033" w:rsidP="00210F7A" w14:paraId="5EF5B834" w14:textId="553B3359">
            <w:pPr>
              <w:pStyle w:val="BodyTextIndent"/>
              <w:ind w:left="0"/>
              <w:jc w:val="left"/>
            </w:pPr>
            <w:r w:rsidRPr="00F00033">
              <w:t xml:space="preserve">Postage </w:t>
            </w:r>
            <w:r w:rsidRPr="00F00033">
              <w:br/>
              <w:t>(</w:t>
            </w:r>
            <w:r w:rsidRPr="004964F6" w:rsidR="004964F6">
              <w:t>60,734</w:t>
            </w:r>
            <w:r w:rsidR="00692393">
              <w:t xml:space="preserve"> </w:t>
            </w:r>
            <w:r w:rsidRPr="00626B1B">
              <w:t>x $1.</w:t>
            </w:r>
            <w:r w:rsidRPr="00626B1B" w:rsidR="00603D48">
              <w:t>50</w:t>
            </w:r>
            <w:r w:rsidRPr="00F00033">
              <w:t>)</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20D38" w:rsidRPr="00F00033" w:rsidP="00B5198C" w14:paraId="13A895AF" w14:textId="0C5F2132">
            <w:pPr>
              <w:pStyle w:val="BodyTextIndent"/>
              <w:ind w:left="0"/>
              <w:jc w:val="center"/>
            </w:pPr>
            <w:r>
              <w:t xml:space="preserve"> </w:t>
            </w:r>
            <w:r w:rsidRPr="00626B1B">
              <w:t>$</w:t>
            </w:r>
            <w:r w:rsidRPr="00626B1B" w:rsidR="00603D48">
              <w:t>9</w:t>
            </w:r>
            <w:r w:rsidR="00603D48">
              <w:t>1,101</w:t>
            </w:r>
          </w:p>
        </w:tc>
      </w:tr>
      <w:tr w14:paraId="1329863F" w14:textId="77777777" w:rsidTr="00210F7A">
        <w:tblPrEx>
          <w:tblW w:w="0" w:type="auto"/>
          <w:tblInd w:w="1008" w:type="dxa"/>
          <w:tblCellMar>
            <w:left w:w="0" w:type="dxa"/>
            <w:right w:w="0" w:type="dxa"/>
          </w:tblCellMar>
          <w:tblLook w:val="04A0"/>
        </w:tblPrEx>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0D38" w:rsidRPr="00F00033" w:rsidP="00210F7A" w14:paraId="5151484A" w14:textId="089659F2">
            <w:pPr>
              <w:rPr>
                <w:rFonts w:eastAsiaTheme="minorHAnsi"/>
                <w:szCs w:val="24"/>
              </w:rPr>
            </w:pPr>
            <w:r w:rsidRPr="00F00033">
              <w:rPr>
                <w:b/>
                <w:bCs/>
                <w:szCs w:val="24"/>
              </w:rPr>
              <w:t>Total Cost to Respondents</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220D38" w:rsidRPr="00F00033" w:rsidP="00B5198C" w14:paraId="364F16C6" w14:textId="029B9A68">
            <w:pPr>
              <w:jc w:val="center"/>
              <w:rPr>
                <w:rFonts w:eastAsiaTheme="minorHAnsi"/>
                <w:b/>
                <w:bCs/>
                <w:szCs w:val="24"/>
              </w:rPr>
            </w:pPr>
            <w:r>
              <w:rPr>
                <w:b/>
                <w:bCs/>
                <w:szCs w:val="24"/>
              </w:rPr>
              <w:t xml:space="preserve">    </w:t>
            </w:r>
            <w:r w:rsidRPr="00626B1B">
              <w:rPr>
                <w:b/>
                <w:bCs/>
                <w:szCs w:val="24"/>
              </w:rPr>
              <w:t>$</w:t>
            </w:r>
            <w:r w:rsidRPr="00626B1B" w:rsidR="00626B1B">
              <w:rPr>
                <w:b/>
                <w:bCs/>
                <w:szCs w:val="24"/>
              </w:rPr>
              <w:t>120</w:t>
            </w:r>
            <w:r w:rsidR="00626B1B">
              <w:rPr>
                <w:b/>
                <w:bCs/>
                <w:szCs w:val="24"/>
              </w:rPr>
              <w:t>,861</w:t>
            </w:r>
          </w:p>
        </w:tc>
      </w:tr>
    </w:tbl>
    <w:p w:rsidR="00220D38" w:rsidP="00220D38" w14:paraId="0720680A" w14:textId="77777777">
      <w:pPr>
        <w:rPr>
          <w:i/>
          <w:color w:val="000000" w:themeColor="text1"/>
        </w:rPr>
      </w:pPr>
    </w:p>
    <w:p w:rsidR="00630D7A" w:rsidP="00630D7A" w14:paraId="73657FBA" w14:textId="256EE4EF">
      <w:pPr>
        <w:ind w:firstLine="360"/>
        <w:rPr>
          <w:i/>
          <w:color w:val="000000" w:themeColor="text1"/>
        </w:rPr>
      </w:pPr>
      <w:r w:rsidRPr="00630D7A">
        <w:t xml:space="preserve">The estimated </w:t>
      </w:r>
      <w:r w:rsidRPr="00630D7A">
        <w:rPr>
          <w:b/>
          <w:bCs/>
        </w:rPr>
        <w:t>total annual respondent monetary burden is</w:t>
      </w:r>
      <w:r w:rsidRPr="00630D7A">
        <w:rPr>
          <w:b/>
          <w:bCs/>
        </w:rPr>
        <w:t xml:space="preserve"> </w:t>
      </w:r>
      <w:r w:rsidRPr="00630D7A">
        <w:rPr>
          <w:b/>
          <w:bCs/>
        </w:rPr>
        <w:t>$</w:t>
      </w:r>
      <w:r w:rsidR="00626B1B">
        <w:rPr>
          <w:b/>
          <w:bCs/>
        </w:rPr>
        <w:t>120,861</w:t>
      </w:r>
    </w:p>
    <w:p w:rsidR="001551C6" w:rsidRPr="00437F53" w:rsidP="001551C6" w14:paraId="09672475" w14:textId="77777777">
      <w:pPr>
        <w:numPr>
          <w:ilvl w:val="0"/>
          <w:numId w:val="1"/>
        </w:numPr>
        <w:rPr>
          <w:i/>
          <w:color w:val="000000" w:themeColor="text1"/>
        </w:rPr>
      </w:pPr>
      <w:r w:rsidRPr="00437F53">
        <w:rPr>
          <w:i/>
          <w:color w:val="000000" w:themeColor="text1"/>
        </w:rPr>
        <w:t>Describe the cost incurred by</w:t>
      </w:r>
      <w:r w:rsidRPr="00437F53" w:rsidR="000F2688">
        <w:rPr>
          <w:i/>
          <w:color w:val="000000" w:themeColor="text1"/>
        </w:rPr>
        <w:t xml:space="preserve"> the Federal Government </w:t>
      </w:r>
      <w:r w:rsidRPr="00437F53">
        <w:rPr>
          <w:i/>
          <w:color w:val="000000" w:themeColor="text1"/>
        </w:rPr>
        <w:t>to complete this collection.</w:t>
      </w:r>
    </w:p>
    <w:p w:rsidR="00F841F7" w:rsidRPr="00F841F7" w:rsidP="00682361" w14:paraId="61A686B9" w14:textId="68DB247D">
      <w:pPr>
        <w:ind w:left="360"/>
        <w:rPr>
          <w:b/>
          <w:bCs/>
        </w:rPr>
      </w:pPr>
      <w:r w:rsidRPr="00F841F7">
        <w:rPr>
          <w:b/>
          <w:bCs/>
        </w:rPr>
        <w:t>Government Adjudication Cost</w:t>
      </w:r>
    </w:p>
    <w:p w:rsidR="00552A8D" w:rsidP="00682361" w14:paraId="7541E941" w14:textId="7FE5A6BA">
      <w:pPr>
        <w:ind w:left="360"/>
      </w:pPr>
      <w:r w:rsidRPr="00552A8D">
        <w:t xml:space="preserve">To calculate the cost to the Federal Government, we consider the average hourly rate for </w:t>
      </w:r>
      <w:r>
        <w:t>Authentication Specialists</w:t>
      </w:r>
      <w:r w:rsidR="008D1DF7">
        <w:t xml:space="preserve"> ($91.26)</w:t>
      </w:r>
      <w:r w:rsidRPr="00552A8D">
        <w:t xml:space="preserve">, </w:t>
      </w:r>
      <w:r w:rsidR="005E737D">
        <w:t xml:space="preserve">plus </w:t>
      </w:r>
      <w:r w:rsidRPr="00552A8D">
        <w:t>benefit and overhead costs</w:t>
      </w:r>
      <w:r w:rsidR="005E737D">
        <w:t xml:space="preserve"> to include</w:t>
      </w:r>
      <w:r w:rsidRPr="005E737D" w:rsidR="005E737D">
        <w:t xml:space="preserve"> </w:t>
      </w:r>
      <w:r w:rsidR="005E737D">
        <w:t>security</w:t>
      </w:r>
      <w:r w:rsidRPr="005E737D" w:rsidR="005E737D">
        <w:t>, IT, rent</w:t>
      </w:r>
      <w:r w:rsidR="005E737D">
        <w:t>, etc.</w:t>
      </w:r>
      <w:r w:rsidR="00535C04">
        <w:t xml:space="preserve">  </w:t>
      </w:r>
      <w:r w:rsidRPr="00552A8D">
        <w:t>The fully burdened rates are calculated using the Department’s Cost of Service Model and are based on FY 2023 costs.</w:t>
      </w:r>
    </w:p>
    <w:p w:rsidR="00E716F2" w:rsidP="00E716F2" w14:paraId="4064D913" w14:textId="637812B8">
      <w:pPr>
        <w:ind w:left="360"/>
        <w:rPr>
          <w:szCs w:val="24"/>
        </w:rPr>
      </w:pPr>
      <w:r>
        <w:rPr>
          <w:szCs w:val="24"/>
        </w:rPr>
        <w:t>Passport Services</w:t>
      </w:r>
      <w:r w:rsidRPr="00E716F2">
        <w:rPr>
          <w:szCs w:val="24"/>
        </w:rPr>
        <w:t xml:space="preserve"> estimates that </w:t>
      </w:r>
      <w:r w:rsidRPr="008D1DF7" w:rsidR="008D1DF7">
        <w:rPr>
          <w:szCs w:val="24"/>
        </w:rPr>
        <w:t xml:space="preserve">Authentication Specialists </w:t>
      </w:r>
      <w:r>
        <w:rPr>
          <w:szCs w:val="24"/>
        </w:rPr>
        <w:t>require 3.5 minutes to review</w:t>
      </w:r>
      <w:r w:rsidRPr="00E716F2">
        <w:rPr>
          <w:szCs w:val="24"/>
        </w:rPr>
        <w:t xml:space="preserve"> the DS-4194.  Multiplying $</w:t>
      </w:r>
      <w:r w:rsidR="008D1DF7">
        <w:rPr>
          <w:szCs w:val="24"/>
        </w:rPr>
        <w:t>91.26</w:t>
      </w:r>
      <w:r w:rsidRPr="00E716F2">
        <w:rPr>
          <w:szCs w:val="24"/>
        </w:rPr>
        <w:t>/hr. by 3.5 minutes yields a per application processing time cost of $</w:t>
      </w:r>
      <w:r w:rsidR="008D1DF7">
        <w:rPr>
          <w:szCs w:val="24"/>
        </w:rPr>
        <w:t>5.29</w:t>
      </w:r>
      <w:r w:rsidRPr="00E716F2">
        <w:rPr>
          <w:szCs w:val="24"/>
        </w:rPr>
        <w:t>.  Multiplying the projected number of respondents (</w:t>
      </w:r>
      <w:r w:rsidRPr="005C4D19" w:rsidR="005C4D19">
        <w:rPr>
          <w:szCs w:val="24"/>
        </w:rPr>
        <w:t>60,734</w:t>
      </w:r>
      <w:r w:rsidR="005C4D19">
        <w:rPr>
          <w:szCs w:val="24"/>
        </w:rPr>
        <w:t>)</w:t>
      </w:r>
      <w:r w:rsidRPr="00E716F2">
        <w:rPr>
          <w:szCs w:val="24"/>
        </w:rPr>
        <w:t xml:space="preserve"> by $</w:t>
      </w:r>
      <w:r w:rsidR="008D1DF7">
        <w:rPr>
          <w:szCs w:val="24"/>
        </w:rPr>
        <w:t>5.29</w:t>
      </w:r>
      <w:r w:rsidRPr="00E716F2">
        <w:rPr>
          <w:szCs w:val="24"/>
        </w:rPr>
        <w:t xml:space="preserve"> yields $</w:t>
      </w:r>
      <w:bookmarkStart w:id="5" w:name="_Hlk165297612"/>
      <w:r w:rsidR="000C3863">
        <w:rPr>
          <w:szCs w:val="24"/>
        </w:rPr>
        <w:t>321,280</w:t>
      </w:r>
      <w:bookmarkEnd w:id="5"/>
      <w:r w:rsidRPr="00E716F2">
        <w:rPr>
          <w:szCs w:val="24"/>
        </w:rPr>
        <w:t>.</w:t>
      </w:r>
    </w:p>
    <w:p w:rsidR="000D7AD8" w:rsidP="00E716F2" w14:paraId="541FF9FE" w14:textId="1D686FA3">
      <w:pPr>
        <w:ind w:left="360"/>
        <w:rPr>
          <w:szCs w:val="24"/>
        </w:rPr>
      </w:pPr>
      <w:r w:rsidRPr="4B2482E4">
        <w:t xml:space="preserve">Total </w:t>
      </w:r>
      <w:r>
        <w:t xml:space="preserve">Government adjudication </w:t>
      </w:r>
      <w:r w:rsidRPr="4B2482E4">
        <w:t>cost</w:t>
      </w:r>
      <w:r>
        <w:t xml:space="preserve"> = </w:t>
      </w:r>
      <w:r w:rsidR="000C3863">
        <w:t>$</w:t>
      </w:r>
      <w:r w:rsidRPr="000C3863" w:rsidR="000C3863">
        <w:t>321,280</w:t>
      </w:r>
    </w:p>
    <w:p w:rsidR="00F841F7" w:rsidRPr="00F841F7" w:rsidP="00F841F7" w14:paraId="40853A78" w14:textId="1AE07EEB">
      <w:pPr>
        <w:ind w:left="360"/>
        <w:rPr>
          <w:szCs w:val="24"/>
        </w:rPr>
      </w:pPr>
      <w:r w:rsidRPr="00F841F7">
        <w:rPr>
          <w:b/>
          <w:bCs/>
          <w:szCs w:val="24"/>
        </w:rPr>
        <w:t>Government Federal Register Notice Cost</w:t>
      </w:r>
      <w:r w:rsidRPr="00F841F7">
        <w:rPr>
          <w:szCs w:val="24"/>
        </w:rPr>
        <w:t>:</w:t>
      </w:r>
    </w:p>
    <w:p w:rsidR="00F841F7" w:rsidRPr="00F841F7" w:rsidP="00F841F7" w14:paraId="5220F046" w14:textId="77777777">
      <w:pPr>
        <w:ind w:left="360"/>
        <w:rPr>
          <w:szCs w:val="24"/>
        </w:rPr>
      </w:pPr>
      <w:r w:rsidRPr="00F841F7">
        <w:rPr>
          <w:szCs w:val="24"/>
        </w:rPr>
        <w:t xml:space="preserve">This number is added to the cost to the Federal Government to publish the Federal Register Notices (FRNs).  The estimated amount to publish one Federal Register Notice (FRN) is $795.  A 60-day FRN and 30-day FRN is published for each form with a total cost of </w:t>
      </w:r>
      <w:r w:rsidRPr="00F841F7">
        <w:rPr>
          <w:bCs/>
          <w:szCs w:val="24"/>
        </w:rPr>
        <w:t>$1,590</w:t>
      </w:r>
      <w:r w:rsidRPr="00F841F7">
        <w:rPr>
          <w:szCs w:val="24"/>
        </w:rPr>
        <w:t xml:space="preserve">.  </w:t>
      </w:r>
    </w:p>
    <w:p w:rsidR="00F841F7" w:rsidRPr="00F841F7" w:rsidP="00F841F7" w14:paraId="54AE8FBC" w14:textId="4B9D9C70">
      <w:pPr>
        <w:ind w:left="360"/>
        <w:rPr>
          <w:szCs w:val="24"/>
        </w:rPr>
      </w:pPr>
      <w:r w:rsidRPr="00F841F7">
        <w:rPr>
          <w:szCs w:val="24"/>
        </w:rPr>
        <w:t xml:space="preserve">Total Government Federal Register Notice </w:t>
      </w:r>
      <w:r w:rsidR="001166AA">
        <w:rPr>
          <w:szCs w:val="24"/>
        </w:rPr>
        <w:t>c</w:t>
      </w:r>
      <w:r w:rsidRPr="00F841F7">
        <w:rPr>
          <w:szCs w:val="24"/>
        </w:rPr>
        <w:t>ost = $1,590</w:t>
      </w:r>
    </w:p>
    <w:p w:rsidR="000C3863" w:rsidP="00F841F7" w14:paraId="2C8D7427" w14:textId="77777777">
      <w:pPr>
        <w:ind w:left="360"/>
        <w:rPr>
          <w:b/>
          <w:bCs/>
          <w:szCs w:val="24"/>
        </w:rPr>
      </w:pPr>
      <w:r w:rsidRPr="00F841F7">
        <w:rPr>
          <w:b/>
          <w:bCs/>
          <w:szCs w:val="24"/>
        </w:rPr>
        <w:t>Therefore, the estimated annual cost to the Federal Government is $</w:t>
      </w:r>
      <w:r>
        <w:rPr>
          <w:b/>
          <w:bCs/>
          <w:szCs w:val="24"/>
        </w:rPr>
        <w:t>322,870</w:t>
      </w:r>
    </w:p>
    <w:p w:rsidR="00F841F7" w:rsidRPr="00F841F7" w:rsidP="00F841F7" w14:paraId="47CD0520" w14:textId="49ADDA0E">
      <w:pPr>
        <w:ind w:left="360"/>
        <w:rPr>
          <w:b/>
          <w:bCs/>
          <w:szCs w:val="24"/>
        </w:rPr>
      </w:pPr>
      <w:r w:rsidRPr="00F841F7">
        <w:rPr>
          <w:b/>
          <w:bCs/>
          <w:szCs w:val="24"/>
        </w:rPr>
        <w:t>(</w:t>
      </w:r>
      <w:r w:rsidRPr="00F841F7">
        <w:rPr>
          <w:szCs w:val="24"/>
        </w:rPr>
        <w:t>$</w:t>
      </w:r>
      <w:r w:rsidR="000C3863">
        <w:rPr>
          <w:szCs w:val="24"/>
        </w:rPr>
        <w:t>321,280</w:t>
      </w:r>
      <w:r w:rsidRPr="00F841F7">
        <w:rPr>
          <w:szCs w:val="24"/>
        </w:rPr>
        <w:t xml:space="preserve"> + $1,590)</w:t>
      </w:r>
      <w:r w:rsidRPr="00F841F7">
        <w:rPr>
          <w:b/>
          <w:bCs/>
          <w:szCs w:val="24"/>
        </w:rPr>
        <w:t>.</w:t>
      </w:r>
    </w:p>
    <w:p w:rsidR="001551C6" w:rsidRPr="00437F53" w:rsidP="00220D38" w14:paraId="530C7E0C" w14:textId="1A088722">
      <w:pPr>
        <w:pStyle w:val="ListParagraph"/>
        <w:numPr>
          <w:ilvl w:val="0"/>
          <w:numId w:val="1"/>
        </w:numPr>
        <w:rPr>
          <w:i/>
          <w:color w:val="000000" w:themeColor="text1"/>
        </w:rPr>
      </w:pPr>
      <w:r w:rsidRPr="00437F53">
        <w:rPr>
          <w:i/>
          <w:color w:val="000000" w:themeColor="text1"/>
        </w:rPr>
        <w:t>Explain any changes/adjustments to this collection since the previous submission</w:t>
      </w:r>
    </w:p>
    <w:p w:rsidR="00682ADE" w:rsidP="00682361" w14:paraId="667C813E" w14:textId="4688A9E9">
      <w:pPr>
        <w:ind w:left="360"/>
        <w:rPr>
          <w:szCs w:val="24"/>
        </w:rPr>
      </w:pPr>
      <w:r>
        <w:rPr>
          <w:szCs w:val="24"/>
        </w:rPr>
        <w:t xml:space="preserve">There are no substantive changes to the </w:t>
      </w:r>
      <w:r w:rsidR="00081D47">
        <w:rPr>
          <w:szCs w:val="24"/>
        </w:rPr>
        <w:t>collection</w:t>
      </w:r>
      <w:r w:rsidR="00646291">
        <w:rPr>
          <w:szCs w:val="24"/>
        </w:rPr>
        <w:t xml:space="preserve"> since the last renewal.</w:t>
      </w:r>
    </w:p>
    <w:p w:rsidR="001551C6" w:rsidRPr="00437F53" w:rsidP="00220D38" w14:paraId="0E35974E" w14:textId="1B9429DB">
      <w:pPr>
        <w:pStyle w:val="ListParagraph"/>
        <w:numPr>
          <w:ilvl w:val="0"/>
          <w:numId w:val="1"/>
        </w:numPr>
        <w:rPr>
          <w:i/>
          <w:color w:val="000000" w:themeColor="text1"/>
        </w:rPr>
      </w:pPr>
      <w:r w:rsidRPr="00437F53">
        <w:rPr>
          <w:i/>
          <w:color w:val="000000" w:themeColor="text1"/>
        </w:rPr>
        <w:t>Specify if the data gathered by this collection will be published.</w:t>
      </w:r>
    </w:p>
    <w:p w:rsidR="00220D38" w:rsidRPr="00F00033" w:rsidP="00682361" w14:paraId="1A3E8D4E" w14:textId="4058EA21">
      <w:pPr>
        <w:pStyle w:val="BodyTextIndent"/>
        <w:tabs>
          <w:tab w:val="clear" w:pos="720"/>
        </w:tabs>
        <w:ind w:left="360"/>
        <w:jc w:val="left"/>
      </w:pPr>
      <w:r w:rsidRPr="00F00033">
        <w:t>Quantitative summaries of Department passport</w:t>
      </w:r>
      <w:r w:rsidR="004F2994">
        <w:t xml:space="preserve"> and authentication</w:t>
      </w:r>
      <w:r w:rsidRPr="00F00033">
        <w:t xml:space="preserve"> activities are published periodically on the Department</w:t>
      </w:r>
      <w:r w:rsidR="001C7FA1">
        <w:t>’s</w:t>
      </w:r>
      <w:r w:rsidRPr="00F00033">
        <w:t xml:space="preserve"> website at </w:t>
      </w:r>
      <w:hyperlink r:id="rId11" w:history="1">
        <w:r w:rsidRPr="00F00033">
          <w:rPr>
            <w:rStyle w:val="Hyperlink"/>
          </w:rPr>
          <w:t>www.travel.state.gov</w:t>
        </w:r>
      </w:hyperlink>
      <w:r w:rsidRPr="00F00033">
        <w:t xml:space="preserve">.  Such summaries do not involve the use of complex analytical techniques.  </w:t>
      </w:r>
    </w:p>
    <w:p w:rsidR="00220D38" w:rsidRPr="00F00033" w:rsidP="00220D38" w14:paraId="06F6BFB8" w14:textId="77777777">
      <w:pPr>
        <w:pStyle w:val="BodyTextIndent"/>
        <w:tabs>
          <w:tab w:val="clear" w:pos="720"/>
        </w:tabs>
        <w:ind w:left="0"/>
        <w:jc w:val="left"/>
      </w:pPr>
    </w:p>
    <w:p w:rsidR="001551C6" w:rsidP="001551C6" w14:paraId="713D5AC5" w14:textId="5CD72318">
      <w:pPr>
        <w:numPr>
          <w:ilvl w:val="0"/>
          <w:numId w:val="1"/>
        </w:numPr>
        <w:rPr>
          <w:i/>
          <w:color w:val="000000" w:themeColor="text1"/>
        </w:rPr>
      </w:pPr>
      <w:r w:rsidRPr="00437F53">
        <w:rPr>
          <w:i/>
          <w:color w:val="000000" w:themeColor="text1"/>
        </w:rPr>
        <w:t xml:space="preserve">If applicable, explain the reason(s) for seeking approval to not display the OMB expiration date. </w:t>
      </w:r>
    </w:p>
    <w:p w:rsidR="00220D38" w:rsidRPr="00F00033" w:rsidP="00682361" w14:paraId="149E9A54" w14:textId="18EC8FD3">
      <w:pPr>
        <w:ind w:left="360"/>
        <w:rPr>
          <w:szCs w:val="24"/>
        </w:rPr>
      </w:pPr>
      <w:bookmarkStart w:id="6" w:name="_Hlk165284213"/>
      <w:r w:rsidRPr="009930C7">
        <w:t xml:space="preserve">The </w:t>
      </w:r>
      <w:r w:rsidR="00A54D78">
        <w:t xml:space="preserve">Department will display the OMB </w:t>
      </w:r>
      <w:r w:rsidRPr="009930C7">
        <w:t>expiration date</w:t>
      </w:r>
      <w:bookmarkEnd w:id="6"/>
      <w:r>
        <w:t>.</w:t>
      </w:r>
    </w:p>
    <w:p w:rsidR="00220D38" w:rsidRPr="00F00033" w:rsidP="00220D38" w14:paraId="2A0532B5" w14:textId="77777777">
      <w:pPr>
        <w:numPr>
          <w:ilvl w:val="0"/>
          <w:numId w:val="1"/>
        </w:numPr>
        <w:rPr>
          <w:szCs w:val="24"/>
        </w:rPr>
      </w:pPr>
      <w:r w:rsidRPr="00437F53">
        <w:rPr>
          <w:i/>
          <w:color w:val="000000" w:themeColor="text1"/>
        </w:rPr>
        <w:t xml:space="preserve">Explain any exceptions to the OMB certification statement below. </w:t>
      </w:r>
    </w:p>
    <w:p w:rsidR="001551C6" w:rsidRPr="00F00033" w:rsidP="00682361" w14:paraId="59D02616" w14:textId="6AFA93CE">
      <w:pPr>
        <w:ind w:firstLine="360"/>
        <w:rPr>
          <w:szCs w:val="24"/>
        </w:rPr>
      </w:pPr>
      <w:r w:rsidRPr="00F00033">
        <w:rPr>
          <w:szCs w:val="24"/>
        </w:rPr>
        <w:t>The Department is not seeking exceptions to the certification statemen</w:t>
      </w:r>
      <w:r w:rsidRPr="00F00033" w:rsidR="00220D38">
        <w:rPr>
          <w:szCs w:val="24"/>
        </w:rPr>
        <w:t>t.</w:t>
      </w:r>
    </w:p>
    <w:p w:rsidR="001551C6" w:rsidRPr="005A2886" w:rsidP="009C1255" w14:paraId="57A76AE5" w14:textId="50A771F1">
      <w:pPr>
        <w:pStyle w:val="Heading1"/>
        <w:ind w:left="-576"/>
        <w:rPr>
          <w:szCs w:val="24"/>
        </w:rPr>
      </w:pPr>
      <w:r>
        <w:rPr>
          <w:szCs w:val="24"/>
        </w:rPr>
        <w:t xml:space="preserve">   </w:t>
      </w:r>
      <w:r w:rsidRPr="005A2886">
        <w:rPr>
          <w:szCs w:val="24"/>
        </w:rPr>
        <w:t>B.</w:t>
      </w:r>
      <w:r w:rsidRPr="005A2886">
        <w:rPr>
          <w:szCs w:val="24"/>
        </w:rPr>
        <w:tab/>
        <w:t>COLLECTION OF INFORMATION EMPLOYING STATISTICAL METHODS</w:t>
      </w:r>
    </w:p>
    <w:p w:rsidR="001551C6" w:rsidRPr="005A2886" w:rsidP="00682361" w14:paraId="4CBCB69F" w14:textId="60B263ED">
      <w:pPr>
        <w:rPr>
          <w:i/>
          <w:color w:val="000000" w:themeColor="text1"/>
          <w:szCs w:val="24"/>
        </w:rPr>
      </w:pPr>
      <w:r>
        <w:rPr>
          <w:szCs w:val="24"/>
        </w:rPr>
        <w:t xml:space="preserve">      </w:t>
      </w:r>
      <w:r w:rsidRPr="005A2886">
        <w:rPr>
          <w:szCs w:val="24"/>
        </w:rPr>
        <w:t xml:space="preserve">This collection does not employ statistical methods. </w:t>
      </w:r>
    </w:p>
    <w:sectPr>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D6000" w:rsidP="007C49EA" w14:paraId="7120851E" w14:textId="77777777">
      <w:pPr>
        <w:spacing w:after="0"/>
      </w:pPr>
      <w:r>
        <w:separator/>
      </w:r>
    </w:p>
  </w:endnote>
  <w:endnote w:type="continuationSeparator" w:id="1">
    <w:p w:rsidR="006D6000" w:rsidP="007C49EA" w14:paraId="15984E4E" w14:textId="77777777">
      <w:pPr>
        <w:spacing w:after="0"/>
      </w:pPr>
      <w:r>
        <w:continuationSeparator/>
      </w:r>
    </w:p>
  </w:endnote>
  <w:endnote w:type="continuationNotice" w:id="2">
    <w:p w:rsidR="006D6000" w14:paraId="2CFBAEAC" w14:textId="77777777">
      <w:pPr>
        <w:spacing w:after="0"/>
      </w:pPr>
    </w:p>
  </w:endnote>
  <w:endnote w:id="3">
    <w:p w:rsidR="000C7D58" w:rsidRPr="00882A19" w:rsidP="000C7D58" w14:paraId="3FB77B5A" w14:textId="77777777">
      <w:pPr>
        <w:spacing w:after="0"/>
        <w:rPr>
          <w:sz w:val="20"/>
        </w:rPr>
      </w:pPr>
      <w:r w:rsidRPr="00882A19">
        <w:rPr>
          <w:sz w:val="20"/>
          <w:vertAlign w:val="superscript"/>
        </w:rPr>
        <w:endnoteRef/>
      </w:r>
      <w:r w:rsidRPr="00882A19">
        <w:rPr>
          <w:sz w:val="20"/>
        </w:rPr>
        <w:t xml:space="preserve">Source: Bureau of Labor Statistics, “Employer Costs for Employee Compensation – May 2023,” </w:t>
      </w:r>
      <w:hyperlink r:id="rId1" w:history="1">
        <w:r w:rsidRPr="00482CFD">
          <w:rPr>
            <w:rStyle w:val="Hyperlink"/>
            <w:sz w:val="20"/>
          </w:rPr>
          <w:t>https://www.bls.gov/oes/current/oes_nat.htm#00-0000</w:t>
        </w:r>
      </w:hyperlink>
    </w:p>
  </w:endnote>
  <w:endnote w:id="4">
    <w:p w:rsidR="00763277" w14:paraId="52904148" w14:textId="492FCC90">
      <w:pPr>
        <w:pStyle w:val="EndnoteText"/>
      </w:pPr>
      <w:r>
        <w:rPr>
          <w:rStyle w:val="EndnoteReference"/>
        </w:rPr>
        <w:endnoteRef/>
      </w:r>
      <w:r>
        <w:t xml:space="preserve"> Source:  FedEx Copy and Print Services (</w:t>
      </w:r>
      <w:hyperlink r:id="rId2" w:history="1">
        <w:r w:rsidRPr="00D0434F">
          <w:rPr>
            <w:rStyle w:val="Hyperlink"/>
          </w:rPr>
          <w:t>https://www.fedex.com/en-us/office/copy-and-print-services.html</w:t>
        </w:r>
      </w:hyperlink>
      <w:r>
        <w:t>)</w:t>
      </w:r>
    </w:p>
  </w:endnote>
  <w:endnote w:id="5">
    <w:p w:rsidR="00763277" w14:paraId="7F312494" w14:textId="5DE43EBF">
      <w:pPr>
        <w:pStyle w:val="EndnoteText"/>
      </w:pPr>
      <w:r>
        <w:rPr>
          <w:rStyle w:val="EndnoteReference"/>
        </w:rPr>
        <w:endnoteRef/>
      </w:r>
      <w:r>
        <w:t xml:space="preserve"> Source: USPS First Class Mail Pricing (</w:t>
      </w:r>
      <w:hyperlink r:id="rId3" w:anchor="_c037" w:history="1">
        <w:r w:rsidRPr="00D0434F">
          <w:rPr>
            <w:rStyle w:val="Hyperlink"/>
          </w:rPr>
          <w:t>https://pe.usps.com/text/dmm300/Notice123.htm#_c037</w:t>
        </w:r>
      </w:hyperlink>
      <w:r>
        <w:t>)</w:t>
      </w:r>
    </w:p>
    <w:p w:rsidR="00763277" w14:paraId="6E8F1064"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363303"/>
      <w:docPartObj>
        <w:docPartGallery w:val="Page Numbers (Bottom of Page)"/>
        <w:docPartUnique/>
      </w:docPartObj>
    </w:sdtPr>
    <w:sdtContent>
      <w:sdt>
        <w:sdtPr>
          <w:id w:val="1728636285"/>
          <w:docPartObj>
            <w:docPartGallery w:val="Page Numbers (Top of Page)"/>
            <w:docPartUnique/>
          </w:docPartObj>
        </w:sdtPr>
        <w:sdtContent>
          <w:p w:rsidR="004474F6" w:rsidP="004474F6" w14:paraId="414185A3" w14:textId="5833325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8C3974" w14:paraId="6264495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4866BC2"/>
    <w:multiLevelType w:val="hybridMultilevel"/>
    <w:tmpl w:val="7FE4C64C"/>
    <w:lvl w:ilvl="0">
      <w:start w:val="2"/>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7A053ED"/>
    <w:multiLevelType w:val="hybridMultilevel"/>
    <w:tmpl w:val="9BF0DA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78437691">
    <w:abstractNumId w:val="0"/>
  </w:num>
  <w:num w:numId="2" w16cid:durableId="554511924">
    <w:abstractNumId w:val="5"/>
  </w:num>
  <w:num w:numId="3" w16cid:durableId="1537159850">
    <w:abstractNumId w:val="6"/>
  </w:num>
  <w:num w:numId="4" w16cid:durableId="610669985">
    <w:abstractNumId w:val="2"/>
  </w:num>
  <w:num w:numId="5" w16cid:durableId="676352255">
    <w:abstractNumId w:val="1"/>
  </w:num>
  <w:num w:numId="6" w16cid:durableId="1766726426">
    <w:abstractNumId w:val="7"/>
  </w:num>
  <w:num w:numId="7" w16cid:durableId="1609971860">
    <w:abstractNumId w:val="4"/>
  </w:num>
  <w:num w:numId="8" w16cid:durableId="294406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oNotTrackMoves/>
  <w:doNotTrackFormatting/>
  <w:defaultTabStop w:val="720"/>
  <w:characterSpacingControl w:val="doNotCompress"/>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0426"/>
    <w:rsid w:val="00012A71"/>
    <w:rsid w:val="000170EC"/>
    <w:rsid w:val="000208B6"/>
    <w:rsid w:val="00033650"/>
    <w:rsid w:val="000532E9"/>
    <w:rsid w:val="000551CD"/>
    <w:rsid w:val="000645FB"/>
    <w:rsid w:val="0007293E"/>
    <w:rsid w:val="00081D47"/>
    <w:rsid w:val="000A76F8"/>
    <w:rsid w:val="000B3F22"/>
    <w:rsid w:val="000C3863"/>
    <w:rsid w:val="000C7D58"/>
    <w:rsid w:val="000D6C96"/>
    <w:rsid w:val="000D7AD8"/>
    <w:rsid w:val="000F2688"/>
    <w:rsid w:val="00102549"/>
    <w:rsid w:val="001158DF"/>
    <w:rsid w:val="001166AA"/>
    <w:rsid w:val="001348A4"/>
    <w:rsid w:val="001551C6"/>
    <w:rsid w:val="001620AC"/>
    <w:rsid w:val="00177810"/>
    <w:rsid w:val="00181546"/>
    <w:rsid w:val="00183022"/>
    <w:rsid w:val="001836F9"/>
    <w:rsid w:val="001869BB"/>
    <w:rsid w:val="001901D6"/>
    <w:rsid w:val="001B27F0"/>
    <w:rsid w:val="001B564D"/>
    <w:rsid w:val="001B6202"/>
    <w:rsid w:val="001C251F"/>
    <w:rsid w:val="001C56E3"/>
    <w:rsid w:val="001C7FA1"/>
    <w:rsid w:val="001F2302"/>
    <w:rsid w:val="001F318F"/>
    <w:rsid w:val="001F5746"/>
    <w:rsid w:val="00210F7A"/>
    <w:rsid w:val="00220D38"/>
    <w:rsid w:val="00222396"/>
    <w:rsid w:val="00224E48"/>
    <w:rsid w:val="00231CE2"/>
    <w:rsid w:val="00255882"/>
    <w:rsid w:val="00255CC1"/>
    <w:rsid w:val="00255DF9"/>
    <w:rsid w:val="00282F36"/>
    <w:rsid w:val="002A1D46"/>
    <w:rsid w:val="002A2F77"/>
    <w:rsid w:val="002B5A55"/>
    <w:rsid w:val="002C634D"/>
    <w:rsid w:val="002C7025"/>
    <w:rsid w:val="002C78B5"/>
    <w:rsid w:val="002E5FF5"/>
    <w:rsid w:val="002F6583"/>
    <w:rsid w:val="003309D9"/>
    <w:rsid w:val="00353CB0"/>
    <w:rsid w:val="00367822"/>
    <w:rsid w:val="00381EE7"/>
    <w:rsid w:val="00394E29"/>
    <w:rsid w:val="0039513B"/>
    <w:rsid w:val="00397E44"/>
    <w:rsid w:val="003C7821"/>
    <w:rsid w:val="003D7C4D"/>
    <w:rsid w:val="003E260F"/>
    <w:rsid w:val="003F1F33"/>
    <w:rsid w:val="003F339D"/>
    <w:rsid w:val="00421D58"/>
    <w:rsid w:val="00437F53"/>
    <w:rsid w:val="004474F6"/>
    <w:rsid w:val="00465996"/>
    <w:rsid w:val="00482CFD"/>
    <w:rsid w:val="004924C9"/>
    <w:rsid w:val="0049538B"/>
    <w:rsid w:val="0049573D"/>
    <w:rsid w:val="004964F6"/>
    <w:rsid w:val="004C17F0"/>
    <w:rsid w:val="004C36AE"/>
    <w:rsid w:val="004C7ECA"/>
    <w:rsid w:val="004E4863"/>
    <w:rsid w:val="004F2994"/>
    <w:rsid w:val="004F68D9"/>
    <w:rsid w:val="00506499"/>
    <w:rsid w:val="005100B5"/>
    <w:rsid w:val="00511616"/>
    <w:rsid w:val="00535C04"/>
    <w:rsid w:val="00552A8D"/>
    <w:rsid w:val="00566084"/>
    <w:rsid w:val="00572348"/>
    <w:rsid w:val="00572761"/>
    <w:rsid w:val="00581218"/>
    <w:rsid w:val="005835D9"/>
    <w:rsid w:val="00591302"/>
    <w:rsid w:val="0059698E"/>
    <w:rsid w:val="00596AD6"/>
    <w:rsid w:val="005A03B0"/>
    <w:rsid w:val="005A2886"/>
    <w:rsid w:val="005B0351"/>
    <w:rsid w:val="005C4D19"/>
    <w:rsid w:val="005D6565"/>
    <w:rsid w:val="005E737D"/>
    <w:rsid w:val="005F5874"/>
    <w:rsid w:val="005F64F6"/>
    <w:rsid w:val="00601EE2"/>
    <w:rsid w:val="00603D48"/>
    <w:rsid w:val="00605EE1"/>
    <w:rsid w:val="00621FDA"/>
    <w:rsid w:val="0062417A"/>
    <w:rsid w:val="00626B1B"/>
    <w:rsid w:val="00630D7A"/>
    <w:rsid w:val="00637223"/>
    <w:rsid w:val="00641023"/>
    <w:rsid w:val="006446D3"/>
    <w:rsid w:val="00646291"/>
    <w:rsid w:val="00666594"/>
    <w:rsid w:val="00667184"/>
    <w:rsid w:val="00682361"/>
    <w:rsid w:val="00682ADE"/>
    <w:rsid w:val="006909E4"/>
    <w:rsid w:val="00692393"/>
    <w:rsid w:val="006A6342"/>
    <w:rsid w:val="006D6000"/>
    <w:rsid w:val="006E0581"/>
    <w:rsid w:val="006E2E14"/>
    <w:rsid w:val="006E5CAA"/>
    <w:rsid w:val="006F2C28"/>
    <w:rsid w:val="006F374B"/>
    <w:rsid w:val="00713401"/>
    <w:rsid w:val="00730BB7"/>
    <w:rsid w:val="00731D9C"/>
    <w:rsid w:val="00741F5C"/>
    <w:rsid w:val="00763277"/>
    <w:rsid w:val="00786CB9"/>
    <w:rsid w:val="007A545B"/>
    <w:rsid w:val="007B2CB2"/>
    <w:rsid w:val="007C49EA"/>
    <w:rsid w:val="007F6787"/>
    <w:rsid w:val="00800CBE"/>
    <w:rsid w:val="00806D4D"/>
    <w:rsid w:val="008172BC"/>
    <w:rsid w:val="00817379"/>
    <w:rsid w:val="008178C8"/>
    <w:rsid w:val="00820AD9"/>
    <w:rsid w:val="008251FA"/>
    <w:rsid w:val="00835418"/>
    <w:rsid w:val="00854A46"/>
    <w:rsid w:val="00882A19"/>
    <w:rsid w:val="00886BAC"/>
    <w:rsid w:val="008C3974"/>
    <w:rsid w:val="008D1DF7"/>
    <w:rsid w:val="008E4828"/>
    <w:rsid w:val="008F2F24"/>
    <w:rsid w:val="00901917"/>
    <w:rsid w:val="00913435"/>
    <w:rsid w:val="00930F72"/>
    <w:rsid w:val="00932EAC"/>
    <w:rsid w:val="00945E58"/>
    <w:rsid w:val="00962990"/>
    <w:rsid w:val="00975CD2"/>
    <w:rsid w:val="00982B07"/>
    <w:rsid w:val="0098720E"/>
    <w:rsid w:val="009930C7"/>
    <w:rsid w:val="009B2180"/>
    <w:rsid w:val="009B29F3"/>
    <w:rsid w:val="009C1255"/>
    <w:rsid w:val="009C3A8E"/>
    <w:rsid w:val="009C3DD5"/>
    <w:rsid w:val="009E413D"/>
    <w:rsid w:val="009F414B"/>
    <w:rsid w:val="009F6F8D"/>
    <w:rsid w:val="00A01D0F"/>
    <w:rsid w:val="00A22550"/>
    <w:rsid w:val="00A37076"/>
    <w:rsid w:val="00A52BBA"/>
    <w:rsid w:val="00A5369E"/>
    <w:rsid w:val="00A54D78"/>
    <w:rsid w:val="00A70ECA"/>
    <w:rsid w:val="00A80338"/>
    <w:rsid w:val="00A82E54"/>
    <w:rsid w:val="00AA2F94"/>
    <w:rsid w:val="00AB6E54"/>
    <w:rsid w:val="00AD3479"/>
    <w:rsid w:val="00AE780E"/>
    <w:rsid w:val="00AF6D99"/>
    <w:rsid w:val="00B25092"/>
    <w:rsid w:val="00B35002"/>
    <w:rsid w:val="00B447F3"/>
    <w:rsid w:val="00B5198C"/>
    <w:rsid w:val="00B52374"/>
    <w:rsid w:val="00B65052"/>
    <w:rsid w:val="00B826D9"/>
    <w:rsid w:val="00B97B48"/>
    <w:rsid w:val="00BA0806"/>
    <w:rsid w:val="00BA202C"/>
    <w:rsid w:val="00BA3ED0"/>
    <w:rsid w:val="00BB7D2F"/>
    <w:rsid w:val="00BD5EAA"/>
    <w:rsid w:val="00BD77B7"/>
    <w:rsid w:val="00BE34BA"/>
    <w:rsid w:val="00C22558"/>
    <w:rsid w:val="00C32EFD"/>
    <w:rsid w:val="00C65767"/>
    <w:rsid w:val="00C833B7"/>
    <w:rsid w:val="00C84C2F"/>
    <w:rsid w:val="00CB0069"/>
    <w:rsid w:val="00CF4001"/>
    <w:rsid w:val="00D0434F"/>
    <w:rsid w:val="00D04694"/>
    <w:rsid w:val="00D04FF0"/>
    <w:rsid w:val="00D23C95"/>
    <w:rsid w:val="00D24646"/>
    <w:rsid w:val="00D40846"/>
    <w:rsid w:val="00D46ECA"/>
    <w:rsid w:val="00D86F04"/>
    <w:rsid w:val="00D92433"/>
    <w:rsid w:val="00DA2E7B"/>
    <w:rsid w:val="00DC1884"/>
    <w:rsid w:val="00DD455E"/>
    <w:rsid w:val="00DD64E4"/>
    <w:rsid w:val="00DE3DD7"/>
    <w:rsid w:val="00E02847"/>
    <w:rsid w:val="00E24CA0"/>
    <w:rsid w:val="00E37A85"/>
    <w:rsid w:val="00E716F2"/>
    <w:rsid w:val="00E74673"/>
    <w:rsid w:val="00E8032F"/>
    <w:rsid w:val="00E816BA"/>
    <w:rsid w:val="00E86875"/>
    <w:rsid w:val="00EA2E0F"/>
    <w:rsid w:val="00EA5A66"/>
    <w:rsid w:val="00EA799D"/>
    <w:rsid w:val="00F00033"/>
    <w:rsid w:val="00F1099A"/>
    <w:rsid w:val="00F20169"/>
    <w:rsid w:val="00F372CD"/>
    <w:rsid w:val="00F44897"/>
    <w:rsid w:val="00F706C7"/>
    <w:rsid w:val="00F7312E"/>
    <w:rsid w:val="00F735F9"/>
    <w:rsid w:val="00F80625"/>
    <w:rsid w:val="00F830FD"/>
    <w:rsid w:val="00F841F7"/>
    <w:rsid w:val="00F90BE0"/>
    <w:rsid w:val="00F91880"/>
    <w:rsid w:val="00FB029B"/>
    <w:rsid w:val="00FF215D"/>
    <w:rsid w:val="08E806BD"/>
    <w:rsid w:val="090F52F3"/>
    <w:rsid w:val="0C9836B3"/>
    <w:rsid w:val="140A0205"/>
    <w:rsid w:val="1418E715"/>
    <w:rsid w:val="16039429"/>
    <w:rsid w:val="19B39038"/>
    <w:rsid w:val="1F755991"/>
    <w:rsid w:val="1F876D16"/>
    <w:rsid w:val="1FA915A9"/>
    <w:rsid w:val="204F5CAF"/>
    <w:rsid w:val="20A01459"/>
    <w:rsid w:val="240BDE36"/>
    <w:rsid w:val="269F0373"/>
    <w:rsid w:val="270CDCDA"/>
    <w:rsid w:val="31AA044D"/>
    <w:rsid w:val="33361EAD"/>
    <w:rsid w:val="3571B429"/>
    <w:rsid w:val="3A14AE58"/>
    <w:rsid w:val="3C2456E4"/>
    <w:rsid w:val="3D449AF9"/>
    <w:rsid w:val="3E39CF3D"/>
    <w:rsid w:val="3FF8D6AE"/>
    <w:rsid w:val="414DA1C0"/>
    <w:rsid w:val="43A20A2E"/>
    <w:rsid w:val="453DDA8F"/>
    <w:rsid w:val="49A1FFB9"/>
    <w:rsid w:val="49A59CD7"/>
    <w:rsid w:val="4B2482E4"/>
    <w:rsid w:val="4FB8AB2C"/>
    <w:rsid w:val="5100A452"/>
    <w:rsid w:val="51277545"/>
    <w:rsid w:val="529E61FE"/>
    <w:rsid w:val="5459E7E5"/>
    <w:rsid w:val="6170C8A0"/>
    <w:rsid w:val="626E5CD5"/>
    <w:rsid w:val="6276E0D8"/>
    <w:rsid w:val="638020B0"/>
    <w:rsid w:val="63EFD2E8"/>
    <w:rsid w:val="67FA4CEF"/>
    <w:rsid w:val="680DBED4"/>
    <w:rsid w:val="69E015AF"/>
    <w:rsid w:val="6B4DE232"/>
    <w:rsid w:val="6BEAA94B"/>
    <w:rsid w:val="6CBBEBC3"/>
    <w:rsid w:val="6CCDBE12"/>
    <w:rsid w:val="6D99AD87"/>
    <w:rsid w:val="6E698E73"/>
    <w:rsid w:val="6EA0DEE8"/>
    <w:rsid w:val="73E80AB5"/>
    <w:rsid w:val="74268E0F"/>
    <w:rsid w:val="7438AAB1"/>
    <w:rsid w:val="7464A044"/>
    <w:rsid w:val="778457CC"/>
    <w:rsid w:val="784B9DE9"/>
    <w:rsid w:val="7C42262A"/>
    <w:rsid w:val="7D05FD7B"/>
    <w:rsid w:val="7E2441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6B3087"/>
  <w15:docId w15:val="{0CF2D1A1-74A7-499E-899A-812B9AB7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paragraph" w:styleId="BodyTextIndent">
    <w:name w:val="Body Text Indent"/>
    <w:basedOn w:val="Normal"/>
    <w:link w:val="BodyTextIndentChar"/>
    <w:rsid w:val="00AE780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AE780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AE780E"/>
    <w:pPr>
      <w:spacing w:line="480" w:lineRule="auto"/>
      <w:ind w:left="360"/>
    </w:pPr>
  </w:style>
  <w:style w:type="character" w:customStyle="1" w:styleId="BodyTextIndent2Char">
    <w:name w:val="Body Text Indent 2 Char"/>
    <w:basedOn w:val="DefaultParagraphFont"/>
    <w:link w:val="BodyTextIndent2"/>
    <w:uiPriority w:val="99"/>
    <w:semiHidden/>
    <w:rsid w:val="00AE780E"/>
    <w:rPr>
      <w:rFonts w:ascii="Times New Roman" w:eastAsia="Times New Roman" w:hAnsi="Times New Roman" w:cs="Times New Roman"/>
      <w:sz w:val="24"/>
      <w:szCs w:val="20"/>
    </w:rPr>
  </w:style>
  <w:style w:type="character" w:styleId="Hyperlink">
    <w:name w:val="Hyperlink"/>
    <w:basedOn w:val="DefaultParagraphFont"/>
    <w:rsid w:val="00AE780E"/>
    <w:rPr>
      <w:color w:val="0000FF"/>
      <w:u w:val="single"/>
    </w:rPr>
  </w:style>
  <w:style w:type="paragraph" w:styleId="Title">
    <w:name w:val="Title"/>
    <w:basedOn w:val="Normal"/>
    <w:link w:val="TitleChar"/>
    <w:qFormat/>
    <w:rsid w:val="005D6565"/>
    <w:pPr>
      <w:spacing w:after="0"/>
      <w:jc w:val="center"/>
    </w:pPr>
    <w:rPr>
      <w:b/>
      <w:bCs/>
      <w:szCs w:val="24"/>
    </w:rPr>
  </w:style>
  <w:style w:type="character" w:customStyle="1" w:styleId="TitleChar">
    <w:name w:val="Title Char"/>
    <w:basedOn w:val="DefaultParagraphFont"/>
    <w:link w:val="Title"/>
    <w:rsid w:val="005D6565"/>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F90BE0"/>
    <w:pPr>
      <w:spacing w:after="0"/>
    </w:pPr>
    <w:rPr>
      <w:sz w:val="20"/>
    </w:rPr>
  </w:style>
  <w:style w:type="character" w:customStyle="1" w:styleId="FootnoteTextChar">
    <w:name w:val="Footnote Text Char"/>
    <w:basedOn w:val="DefaultParagraphFont"/>
    <w:link w:val="FootnoteText"/>
    <w:uiPriority w:val="99"/>
    <w:semiHidden/>
    <w:rsid w:val="00F90B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0BE0"/>
    <w:rPr>
      <w:vertAlign w:val="superscript"/>
    </w:rPr>
  </w:style>
  <w:style w:type="character" w:styleId="UnresolvedMention">
    <w:name w:val="Unresolved Mention"/>
    <w:basedOn w:val="DefaultParagraphFont"/>
    <w:uiPriority w:val="99"/>
    <w:semiHidden/>
    <w:unhideWhenUsed/>
    <w:rsid w:val="00F90BE0"/>
    <w:rPr>
      <w:color w:val="605E5C"/>
      <w:shd w:val="clear" w:color="auto" w:fill="E1DFDD"/>
    </w:rPr>
  </w:style>
  <w:style w:type="character" w:styleId="CommentReference">
    <w:name w:val="annotation reference"/>
    <w:basedOn w:val="DefaultParagraphFont"/>
    <w:uiPriority w:val="99"/>
    <w:semiHidden/>
    <w:unhideWhenUsed/>
    <w:rsid w:val="008C3974"/>
    <w:rPr>
      <w:sz w:val="16"/>
      <w:szCs w:val="16"/>
    </w:rPr>
  </w:style>
  <w:style w:type="paragraph" w:styleId="CommentText">
    <w:name w:val="annotation text"/>
    <w:basedOn w:val="Normal"/>
    <w:link w:val="CommentTextChar"/>
    <w:uiPriority w:val="99"/>
    <w:unhideWhenUsed/>
    <w:rsid w:val="008C3974"/>
    <w:rPr>
      <w:sz w:val="20"/>
    </w:rPr>
  </w:style>
  <w:style w:type="character" w:customStyle="1" w:styleId="CommentTextChar">
    <w:name w:val="Comment Text Char"/>
    <w:basedOn w:val="DefaultParagraphFont"/>
    <w:link w:val="CommentText"/>
    <w:uiPriority w:val="99"/>
    <w:rsid w:val="008C39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3974"/>
    <w:rPr>
      <w:b/>
      <w:bCs/>
    </w:rPr>
  </w:style>
  <w:style w:type="character" w:customStyle="1" w:styleId="CommentSubjectChar">
    <w:name w:val="Comment Subject Char"/>
    <w:basedOn w:val="CommentTextChar"/>
    <w:link w:val="CommentSubject"/>
    <w:uiPriority w:val="99"/>
    <w:semiHidden/>
    <w:rsid w:val="008C397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C3974"/>
    <w:pPr>
      <w:tabs>
        <w:tab w:val="center" w:pos="4680"/>
        <w:tab w:val="right" w:pos="9360"/>
      </w:tabs>
      <w:spacing w:after="0"/>
    </w:pPr>
  </w:style>
  <w:style w:type="character" w:customStyle="1" w:styleId="HeaderChar">
    <w:name w:val="Header Char"/>
    <w:basedOn w:val="DefaultParagraphFont"/>
    <w:link w:val="Header"/>
    <w:uiPriority w:val="99"/>
    <w:rsid w:val="008C397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3974"/>
    <w:pPr>
      <w:tabs>
        <w:tab w:val="center" w:pos="4680"/>
        <w:tab w:val="right" w:pos="9360"/>
      </w:tabs>
      <w:spacing w:after="0"/>
    </w:pPr>
  </w:style>
  <w:style w:type="character" w:customStyle="1" w:styleId="FooterChar">
    <w:name w:val="Footer Char"/>
    <w:basedOn w:val="DefaultParagraphFont"/>
    <w:link w:val="Footer"/>
    <w:uiPriority w:val="99"/>
    <w:rsid w:val="008C3974"/>
    <w:rPr>
      <w:rFonts w:ascii="Times New Roman" w:eastAsia="Times New Roman" w:hAnsi="Times New Roman" w:cs="Times New Roman"/>
      <w:sz w:val="24"/>
      <w:szCs w:val="20"/>
    </w:rPr>
  </w:style>
  <w:style w:type="table" w:styleId="TableGrid">
    <w:name w:val="Table Grid"/>
    <w:basedOn w:val="TableNormal"/>
    <w:uiPriority w:val="59"/>
    <w:rsid w:val="005969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7D58"/>
    <w:rPr>
      <w:color w:val="800080" w:themeColor="followedHyperlink"/>
      <w:u w:val="single"/>
    </w:rPr>
  </w:style>
  <w:style w:type="paragraph" w:styleId="EndnoteText">
    <w:name w:val="endnote text"/>
    <w:basedOn w:val="Normal"/>
    <w:link w:val="EndnoteTextChar"/>
    <w:uiPriority w:val="99"/>
    <w:semiHidden/>
    <w:unhideWhenUsed/>
    <w:rsid w:val="00763277"/>
    <w:pPr>
      <w:spacing w:after="0"/>
    </w:pPr>
    <w:rPr>
      <w:sz w:val="20"/>
    </w:rPr>
  </w:style>
  <w:style w:type="character" w:customStyle="1" w:styleId="EndnoteTextChar">
    <w:name w:val="Endnote Text Char"/>
    <w:basedOn w:val="DefaultParagraphFont"/>
    <w:link w:val="EndnoteText"/>
    <w:uiPriority w:val="99"/>
    <w:semiHidden/>
    <w:rsid w:val="0076327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63277"/>
    <w:rPr>
      <w:vertAlign w:val="superscript"/>
    </w:rPr>
  </w:style>
  <w:style w:type="paragraph" w:styleId="Revision">
    <w:name w:val="Revision"/>
    <w:hidden/>
    <w:uiPriority w:val="99"/>
    <w:semiHidden/>
    <w:rsid w:val="0064629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eforms.state.gov/" TargetMode="External" /><Relationship Id="rId11" Type="http://schemas.openxmlformats.org/officeDocument/2006/relationships/hyperlink" Target="http://www.travel.state.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bls.gov/oes/current/oes_nat.htm%2300-0000" TargetMode="External" /><Relationship Id="rId2" Type="http://schemas.openxmlformats.org/officeDocument/2006/relationships/hyperlink" Target="https://www.fedex.com/en-us/office/copy-and-print-services.html" TargetMode="External" /><Relationship Id="rId3" Type="http://schemas.openxmlformats.org/officeDocument/2006/relationships/hyperlink" Target="https://pe.usps.com/text/dmm300/Notice12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FRWFSZHP46NX-428670501-3158</_dlc_DocId>
    <_dlc_DocIdUrl xmlns="c60a6009-aa1a-461d-a537-351556f0a008">
      <Url>https://usdos.sharepoint.com/sites/CA-Clearance/_layouts/15/DocIdRedir.aspx?ID=FRWFSZHP46NX-428670501-3158</Url>
      <Description>FRWFSZHP46NX-428670501-3158</Description>
    </_dlc_DocIdUrl>
    <SharedWithUsers xmlns="4122b023-50f0-4a27-ad7c-51b7c9325289">
      <UserInfo>
        <DisplayName/>
        <AccountId xsi:nil="true"/>
        <AccountType/>
      </UserInfo>
    </SharedWithUsers>
    <_dlc_DocIdPersistId xmlns="c60a6009-aa1a-461d-a537-351556f0a008">false</_dlc_DocIdPersist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03A7E7B14FE1844F8F9AEE80935B10EB" ma:contentTypeVersion="32" ma:contentTypeDescription="" ma:contentTypeScope="" ma:versionID="be18892a3058a5e33d564dbaa5f18c98">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A231A8E6-B94A-492E-9E8C-35376B55F756}">
  <ds:schemaRefs>
    <ds:schemaRef ds:uri="http://schemas.microsoft.com/office/2006/metadata/properties"/>
    <ds:schemaRef ds:uri="http://schemas.microsoft.com/office/infopath/2007/PartnerControls"/>
    <ds:schemaRef ds:uri="c60a6009-aa1a-461d-a537-351556f0a008"/>
    <ds:schemaRef ds:uri="4122b023-50f0-4a27-ad7c-51b7c9325289"/>
  </ds:schemaRefs>
</ds:datastoreItem>
</file>

<file path=customXml/itemProps3.xml><?xml version="1.0" encoding="utf-8"?>
<ds:datastoreItem xmlns:ds="http://schemas.openxmlformats.org/officeDocument/2006/customXml" ds:itemID="{C8DD54BF-042B-4049-8C06-D8B17792F111}">
  <ds:schemaRefs>
    <ds:schemaRef ds:uri="http://schemas.openxmlformats.org/officeDocument/2006/bibliography"/>
  </ds:schemaRefs>
</ds:datastoreItem>
</file>

<file path=customXml/itemProps4.xml><?xml version="1.0" encoding="utf-8"?>
<ds:datastoreItem xmlns:ds="http://schemas.openxmlformats.org/officeDocument/2006/customXml" ds:itemID="{949BA896-25A3-471A-9DFF-78EB23BF2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CAFF37-6BEE-430C-A143-D3659208AC52}">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Jones, Alan</cp:lastModifiedBy>
  <cp:revision>22</cp:revision>
  <dcterms:created xsi:type="dcterms:W3CDTF">2024-08-14T18:24:00Z</dcterms:created>
  <dcterms:modified xsi:type="dcterms:W3CDTF">2024-10-15T19:22:00Z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0x010100E22FDEC7E068BF49B33EA74753AF8B970003A7E7B14FE1844F8F9AEE80935B10EB</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2021-10-05T15:17:17Z</vt:lpwstr>
  </property>
  <property fmtid="{D5CDD505-2E9C-101B-9397-08002B2CF9AE}" pid="10" name="MSIP_Label_1665d9ee-429a-4d5f-97cc-cfb56e044a6e_SiteId">
    <vt:lpwstr>66cf5074-5afe-48d1-a691-a12b2121f44b</vt:lpwstr>
  </property>
  <property fmtid="{D5CDD505-2E9C-101B-9397-08002B2CF9AE}" pid="11" name="Order">
    <vt:r8>315800</vt:r8>
  </property>
  <property fmtid="{D5CDD505-2E9C-101B-9397-08002B2CF9AE}" pid="12" name="TaskerStatus">
    <vt:lpwstr/>
  </property>
  <property fmtid="{D5CDD505-2E9C-101B-9397-08002B2CF9AE}" pid="13" name="TemplateUrl">
    <vt:lpwstr/>
  </property>
  <property fmtid="{D5CDD505-2E9C-101B-9397-08002B2CF9AE}" pid="14" name="xd_ProgID">
    <vt:lpwstr/>
  </property>
  <property fmtid="{D5CDD505-2E9C-101B-9397-08002B2CF9AE}" pid="15" name="xd_Signature">
    <vt:bool>false</vt:bool>
  </property>
  <property fmtid="{D5CDD505-2E9C-101B-9397-08002B2CF9AE}" pid="16" name="_dlc_DocIdItemGuid">
    <vt:lpwstr>e3ff3dda-ef08-4a62-92ed-4d2ea8a8298f</vt:lpwstr>
  </property>
  <property fmtid="{D5CDD505-2E9C-101B-9397-08002B2CF9AE}" pid="17" name="_ExtendedDescription">
    <vt:lpwstr/>
  </property>
</Properties>
</file>