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82BCF" w14:paraId="37CD15A4" w14:textId="77777777">
      <w:pPr>
        <w:pStyle w:val="Title"/>
      </w:pPr>
    </w:p>
    <w:p w:rsidR="00482BCF" w14:paraId="51C405E0" w14:textId="77777777">
      <w:pPr>
        <w:pStyle w:val="Title"/>
      </w:pPr>
      <w:r>
        <w:t>Office of the Comptroller of the Currency</w:t>
      </w:r>
    </w:p>
    <w:p w:rsidR="000A76A4" w14:paraId="68223F49" w14:textId="77777777">
      <w:pPr>
        <w:pStyle w:val="Title"/>
      </w:pPr>
      <w:r>
        <w:t>Supporting Statement</w:t>
      </w:r>
    </w:p>
    <w:p w:rsidR="000A76A4" w14:paraId="04E2B65B" w14:textId="77777777">
      <w:pPr>
        <w:jc w:val="center"/>
        <w:rPr>
          <w:b/>
          <w:bCs/>
        </w:rPr>
      </w:pPr>
      <w:r>
        <w:rPr>
          <w:b/>
          <w:bCs/>
        </w:rPr>
        <w:t xml:space="preserve">Release of Non-Public Information </w:t>
      </w:r>
    </w:p>
    <w:p w:rsidR="000A76A4" w14:paraId="087A6494" w14:textId="77777777">
      <w:pPr>
        <w:jc w:val="center"/>
        <w:rPr>
          <w:b/>
          <w:bCs/>
        </w:rPr>
      </w:pPr>
      <w:r>
        <w:rPr>
          <w:b/>
          <w:bCs/>
        </w:rPr>
        <w:t>OMB Control No.</w:t>
      </w:r>
      <w:r>
        <w:rPr>
          <w:b/>
          <w:bCs/>
        </w:rPr>
        <w:t xml:space="preserve"> 1557-0200</w:t>
      </w:r>
    </w:p>
    <w:p w:rsidR="000A76A4" w14:paraId="5A7138FD" w14:textId="77777777">
      <w:pPr>
        <w:jc w:val="center"/>
      </w:pPr>
    </w:p>
    <w:p w:rsidR="000A76A4" w14:paraId="44A416BB" w14:textId="77777777">
      <w:pPr>
        <w:rPr>
          <w:b/>
          <w:bCs/>
        </w:rPr>
      </w:pPr>
      <w:r>
        <w:rPr>
          <w:b/>
          <w:bCs/>
        </w:rPr>
        <w:t>A.  Justification.</w:t>
      </w:r>
    </w:p>
    <w:p w:rsidR="000A76A4" w14:paraId="6608CF16" w14:textId="77777777"/>
    <w:p w:rsidR="000A76A4" w14:paraId="7AFD5FF2" w14:textId="77777777">
      <w:pPr>
        <w:rPr>
          <w:b/>
          <w:bCs/>
          <w:i/>
          <w:iCs/>
        </w:rPr>
      </w:pPr>
      <w:r>
        <w:rPr>
          <w:b/>
          <w:bCs/>
          <w:i/>
          <w:iCs/>
        </w:rPr>
        <w:t>1.  Circumstances that make the collection necessary:</w:t>
      </w:r>
    </w:p>
    <w:p w:rsidR="000A76A4" w14:paraId="6556C8C3" w14:textId="77777777"/>
    <w:p w:rsidR="000A76A4" w14:paraId="4D60D8CD" w14:textId="5658C65F">
      <w:r>
        <w:tab/>
      </w:r>
      <w:r>
        <w:t>Th</w:t>
      </w:r>
      <w:r w:rsidR="00C5324F">
        <w:t>is</w:t>
      </w:r>
      <w:r>
        <w:t xml:space="preserve"> information </w:t>
      </w:r>
      <w:r w:rsidR="00C5324F">
        <w:t>collection</w:t>
      </w:r>
      <w:r>
        <w:t xml:space="preserve"> require</w:t>
      </w:r>
      <w:r w:rsidR="00C5324F">
        <w:t>s</w:t>
      </w:r>
      <w:r>
        <w:t xml:space="preserve"> individuals who are requesting non-public OCC information to provide the OCC with information regarding the legal grounds for the request.  Release of non-public OCC information </w:t>
      </w:r>
      <w:r w:rsidR="00BB6830">
        <w:t xml:space="preserve">to a </w:t>
      </w:r>
      <w:r>
        <w:t xml:space="preserve">requester </w:t>
      </w:r>
      <w:r w:rsidR="00BB6830">
        <w:t>without</w:t>
      </w:r>
      <w:r>
        <w:t xml:space="preserve"> sufficient legal grounds to obtain the information would inhibit open consulta</w:t>
      </w:r>
      <w:r w:rsidR="00E715A0">
        <w:t>tion between a bank and the OCC</w:t>
      </w:r>
      <w:r>
        <w:t xml:space="preserve"> thereby impairing the OCC’s supervisory and regulatory mission.  The OCC is entitled, </w:t>
      </w:r>
      <w:r w:rsidR="00C5324F">
        <w:t>by</w:t>
      </w:r>
      <w:r>
        <w:t xml:space="preserve"> statute and </w:t>
      </w:r>
      <w:r w:rsidR="00C5324F">
        <w:t xml:space="preserve">under </w:t>
      </w:r>
      <w:r>
        <w:t>case</w:t>
      </w:r>
      <w:r w:rsidR="00615E7B">
        <w:t xml:space="preserve"> </w:t>
      </w:r>
      <w:r>
        <w:t>law, to require requesters to demonstrate that they have sufficient legal grounds for the OCC to release non-public OCC information.  The OCC needs to know the requester’s legal grounds to determine if it should release the requested non-public OCC information.</w:t>
      </w:r>
    </w:p>
    <w:p w:rsidR="000A76A4" w14:paraId="176A02E6" w14:textId="77777777"/>
    <w:p w:rsidR="000A76A4" w14:paraId="58FDDD89" w14:textId="5764DD1B">
      <w:r>
        <w:tab/>
      </w:r>
      <w:r>
        <w:t>The OCC maintains the non-public nature of certain OCC information pursuant to the bank examination exemption of the Freedom of Information Act (FOIA) (5 U.S.C. 552(b)(8)),  judicial interpretation of the bank examination privilege (</w:t>
      </w:r>
      <w:r>
        <w:rPr>
          <w:u w:val="single"/>
        </w:rPr>
        <w:t>see Schreiber v. Society for Savings Bancorp, Inc.</w:t>
      </w:r>
      <w:r>
        <w:t>, 11 F.3d 217 (D.C. Cir. 1993)</w:t>
      </w:r>
      <w:r w:rsidR="002F7ECA">
        <w:t>,</w:t>
      </w:r>
      <w:r>
        <w:t xml:space="preserve"> </w:t>
      </w:r>
      <w:r>
        <w:rPr>
          <w:u w:val="single"/>
        </w:rPr>
        <w:t>In Re: Subpoena Served Upon the Comptroller of the Currency, and the Secretary of the Board of Governors of the Federal Reserve System</w:t>
      </w:r>
      <w:r>
        <w:t>, 967 F.2d 630, 634 (D.C. Cir. 1992) (discussing the bank examination privilege, which is analogous to the examination exemption under FOIA)), and other agency privileges, such as deliberative process and attorney-client privilege.</w:t>
      </w:r>
    </w:p>
    <w:p w:rsidR="000A76A4" w14:paraId="1E28C283" w14:textId="77777777"/>
    <w:p w:rsidR="000A76A4" w14:paraId="1CBAEB17" w14:textId="77777777">
      <w:pPr>
        <w:pStyle w:val="BodyText"/>
        <w:rPr>
          <w:b/>
          <w:bCs/>
        </w:rPr>
      </w:pPr>
      <w:r>
        <w:rPr>
          <w:b/>
          <w:bCs/>
        </w:rPr>
        <w:t>2.  Use of the information:</w:t>
      </w:r>
    </w:p>
    <w:p w:rsidR="000A76A4" w14:paraId="49D9A07B" w14:textId="77777777"/>
    <w:p w:rsidR="000A76A4" w14:paraId="3CEE6154" w14:textId="77777777">
      <w:r>
        <w:tab/>
      </w:r>
      <w:r>
        <w:t xml:space="preserve">The OCC uses the information to process requests for non-public OCC information and to determine if sufficient grounds exist for </w:t>
      </w:r>
      <w:r w:rsidR="006D0026">
        <w:t xml:space="preserve">the </w:t>
      </w:r>
      <w:r>
        <w:t>OCC to release the requested information or provide testimony.  This information collection makes more efficient the me</w:t>
      </w:r>
      <w:r w:rsidR="00E715A0">
        <w:t>chanism for processing requests</w:t>
      </w:r>
      <w:r>
        <w:t xml:space="preserve"> and facilitates and expedites </w:t>
      </w:r>
      <w:r w:rsidR="006D0026">
        <w:t xml:space="preserve">the </w:t>
      </w:r>
      <w:r>
        <w:t>OCC’s release of non-public information and testimony to the requester.</w:t>
      </w:r>
    </w:p>
    <w:p w:rsidR="000A76A4" w14:paraId="2018BAC5" w14:textId="77777777"/>
    <w:p w:rsidR="000A76A4" w14:paraId="6FC1D694" w14:textId="77777777">
      <w:pPr>
        <w:rPr>
          <w:b/>
          <w:bCs/>
          <w:i/>
          <w:iCs/>
        </w:rPr>
      </w:pPr>
      <w:r>
        <w:rPr>
          <w:b/>
          <w:bCs/>
          <w:i/>
          <w:iCs/>
        </w:rPr>
        <w:t>3.  Consideration of the use of improved information technology:</w:t>
      </w:r>
    </w:p>
    <w:p w:rsidR="000A76A4" w14:paraId="7A51E2C0" w14:textId="77777777"/>
    <w:p w:rsidR="000A76A4" w14:paraId="3274CAAD" w14:textId="77777777">
      <w:r>
        <w:tab/>
      </w:r>
      <w:r>
        <w:t xml:space="preserve">The use of information technology would not reduce the burden of this submission.  </w:t>
      </w:r>
      <w:r w:rsidR="006D0026">
        <w:t xml:space="preserve">The OCC collects only the minimum information necessary to </w:t>
      </w:r>
      <w:r w:rsidR="006D0026">
        <w:t>make a decision</w:t>
      </w:r>
      <w:r w:rsidR="006D0026">
        <w:t xml:space="preserve"> and an information collection is conducted only when a requestor asks for the release of OCC non-public information.</w:t>
      </w:r>
    </w:p>
    <w:p w:rsidR="003B140F" w14:paraId="11DE79A8" w14:textId="77777777">
      <w:pPr>
        <w:rPr>
          <w:b/>
          <w:bCs/>
          <w:i/>
          <w:iCs/>
        </w:rPr>
      </w:pPr>
    </w:p>
    <w:p w:rsidR="000A76A4" w14:paraId="490D17D6" w14:textId="44913657">
      <w:pPr>
        <w:rPr>
          <w:b/>
          <w:bCs/>
          <w:i/>
          <w:iCs/>
        </w:rPr>
      </w:pPr>
      <w:r>
        <w:rPr>
          <w:b/>
          <w:bCs/>
          <w:i/>
          <w:iCs/>
        </w:rPr>
        <w:t>4.  Efforts to identify duplication:</w:t>
      </w:r>
    </w:p>
    <w:p w:rsidR="000A76A4" w14:paraId="16583E1E" w14:textId="77777777"/>
    <w:p w:rsidR="000A76A4" w14:paraId="5253C26A" w14:textId="77777777">
      <w:r>
        <w:tab/>
      </w:r>
      <w:r>
        <w:t>The required information is unique and is not duplicative of any other information already collected.</w:t>
      </w:r>
    </w:p>
    <w:p w:rsidR="000A76A4" w14:paraId="72563B37" w14:textId="77777777"/>
    <w:p w:rsidR="00022286" w:rsidP="00022286" w14:paraId="712A9D98" w14:textId="77777777">
      <w:pPr>
        <w:pStyle w:val="BodyText"/>
        <w:widowControl w:val="0"/>
        <w:ind w:left="100" w:right="861"/>
        <w:rPr>
          <w:b/>
          <w:i w:val="0"/>
        </w:rPr>
      </w:pPr>
      <w:r>
        <w:rPr>
          <w:b/>
          <w:bCs/>
        </w:rPr>
        <w:t>5.</w:t>
      </w:r>
      <w:r>
        <w:rPr>
          <w:b/>
          <w:bCs/>
        </w:rPr>
        <w:tab/>
      </w:r>
      <w:r>
        <w:rPr>
          <w:b/>
          <w:spacing w:val="-2"/>
        </w:rPr>
        <w:t>If</w:t>
      </w:r>
      <w:r>
        <w:rPr>
          <w:b/>
          <w:spacing w:val="-8"/>
        </w:rPr>
        <w:t xml:space="preserve"> </w:t>
      </w:r>
      <w:r>
        <w:rPr>
          <w:b/>
        </w:rPr>
        <w:t>the</w:t>
      </w:r>
      <w:r>
        <w:rPr>
          <w:b/>
          <w:spacing w:val="-7"/>
        </w:rPr>
        <w:t xml:space="preserve"> </w:t>
      </w:r>
      <w:r>
        <w:rPr>
          <w:b/>
          <w:spacing w:val="-1"/>
        </w:rPr>
        <w:t>collection</w:t>
      </w:r>
      <w:r>
        <w:rPr>
          <w:b/>
          <w:spacing w:val="-7"/>
        </w:rPr>
        <w:t xml:space="preserve"> </w:t>
      </w:r>
      <w:r>
        <w:rPr>
          <w:b/>
        </w:rPr>
        <w:t>of</w:t>
      </w:r>
      <w:r>
        <w:rPr>
          <w:b/>
          <w:spacing w:val="-8"/>
        </w:rPr>
        <w:t xml:space="preserve"> </w:t>
      </w:r>
      <w:r>
        <w:rPr>
          <w:b/>
          <w:spacing w:val="-1"/>
        </w:rPr>
        <w:t>information</w:t>
      </w:r>
      <w:r>
        <w:rPr>
          <w:b/>
          <w:spacing w:val="-7"/>
        </w:rPr>
        <w:t xml:space="preserve"> </w:t>
      </w:r>
      <w:r>
        <w:rPr>
          <w:b/>
          <w:spacing w:val="-1"/>
        </w:rPr>
        <w:t>impacts</w:t>
      </w:r>
      <w:r>
        <w:rPr>
          <w:b/>
          <w:spacing w:val="-6"/>
        </w:rPr>
        <w:t xml:space="preserve"> </w:t>
      </w:r>
      <w:r>
        <w:rPr>
          <w:b/>
          <w:spacing w:val="-1"/>
        </w:rPr>
        <w:t>small</w:t>
      </w:r>
      <w:r>
        <w:rPr>
          <w:b/>
          <w:spacing w:val="-7"/>
        </w:rPr>
        <w:t xml:space="preserve"> </w:t>
      </w:r>
      <w:r>
        <w:rPr>
          <w:b/>
          <w:spacing w:val="-1"/>
        </w:rPr>
        <w:t>businesses</w:t>
      </w:r>
      <w:r>
        <w:rPr>
          <w:b/>
          <w:spacing w:val="-6"/>
        </w:rPr>
        <w:t xml:space="preserve"> </w:t>
      </w:r>
      <w:r>
        <w:rPr>
          <w:b/>
        </w:rPr>
        <w:t>or</w:t>
      </w:r>
      <w:r>
        <w:rPr>
          <w:b/>
          <w:spacing w:val="-8"/>
        </w:rPr>
        <w:t xml:space="preserve"> </w:t>
      </w:r>
      <w:r>
        <w:rPr>
          <w:b/>
          <w:spacing w:val="1"/>
        </w:rPr>
        <w:t>other</w:t>
      </w:r>
      <w:r>
        <w:rPr>
          <w:b/>
          <w:spacing w:val="-7"/>
        </w:rPr>
        <w:t xml:space="preserve"> </w:t>
      </w:r>
      <w:r>
        <w:rPr>
          <w:b/>
          <w:spacing w:val="-1"/>
        </w:rPr>
        <w:t>small</w:t>
      </w:r>
      <w:r>
        <w:rPr>
          <w:b/>
          <w:spacing w:val="-6"/>
        </w:rPr>
        <w:t xml:space="preserve"> </w:t>
      </w:r>
      <w:r>
        <w:rPr>
          <w:b/>
        </w:rPr>
        <w:t>entities, describe</w:t>
      </w:r>
      <w:r>
        <w:rPr>
          <w:b/>
          <w:spacing w:val="-7"/>
        </w:rPr>
        <w:t xml:space="preserve"> </w:t>
      </w:r>
      <w:r>
        <w:rPr>
          <w:b/>
          <w:spacing w:val="1"/>
        </w:rPr>
        <w:t>any</w:t>
      </w:r>
      <w:r>
        <w:rPr>
          <w:b/>
          <w:spacing w:val="-11"/>
        </w:rPr>
        <w:t xml:space="preserve"> </w:t>
      </w:r>
      <w:r>
        <w:rPr>
          <w:b/>
          <w:spacing w:val="-1"/>
        </w:rPr>
        <w:t>methods</w:t>
      </w:r>
      <w:r>
        <w:rPr>
          <w:b/>
          <w:spacing w:val="-8"/>
        </w:rPr>
        <w:t xml:space="preserve"> </w:t>
      </w:r>
      <w:r>
        <w:rPr>
          <w:b/>
          <w:spacing w:val="-1"/>
        </w:rPr>
        <w:t>used</w:t>
      </w:r>
      <w:r>
        <w:rPr>
          <w:b/>
          <w:spacing w:val="-8"/>
        </w:rPr>
        <w:t xml:space="preserve"> </w:t>
      </w:r>
      <w:r>
        <w:rPr>
          <w:b/>
        </w:rPr>
        <w:t>to</w:t>
      </w:r>
      <w:r>
        <w:rPr>
          <w:b/>
          <w:spacing w:val="-8"/>
        </w:rPr>
        <w:t xml:space="preserve"> </w:t>
      </w:r>
      <w:r>
        <w:rPr>
          <w:b/>
        </w:rPr>
        <w:t>minimize</w:t>
      </w:r>
      <w:r>
        <w:rPr>
          <w:b/>
          <w:spacing w:val="-8"/>
        </w:rPr>
        <w:t xml:space="preserve"> </w:t>
      </w:r>
      <w:r>
        <w:rPr>
          <w:b/>
          <w:spacing w:val="-1"/>
        </w:rPr>
        <w:t>burden.</w:t>
      </w:r>
    </w:p>
    <w:p w:rsidR="00022286" w:rsidP="00022286" w14:paraId="0AECD0B9" w14:textId="77777777"/>
    <w:p w:rsidR="00022286" w:rsidP="00022286" w14:paraId="3A101077" w14:textId="77777777">
      <w:pPr>
        <w:ind w:firstLine="720"/>
        <w:rPr>
          <w:color w:val="000000"/>
        </w:rPr>
      </w:pPr>
      <w:r>
        <w:rPr>
          <w:color w:val="000000"/>
        </w:rPr>
        <w:t>There are no alternatives that would result in lowering the burden on small institutions, while still accomplishing the purpose of the rule.</w:t>
      </w:r>
    </w:p>
    <w:p w:rsidR="000A76A4" w14:paraId="1554751B" w14:textId="77777777"/>
    <w:p w:rsidR="000A76A4" w14:paraId="641D5869" w14:textId="77777777">
      <w:pPr>
        <w:pStyle w:val="BodyText"/>
        <w:rPr>
          <w:b/>
          <w:bCs/>
        </w:rPr>
      </w:pPr>
      <w:r>
        <w:rPr>
          <w:b/>
          <w:bCs/>
        </w:rPr>
        <w:t>6.  Consequences to the Federal program if the collection were conducted less frequently:</w:t>
      </w:r>
    </w:p>
    <w:p w:rsidR="000A76A4" w14:paraId="54D5988C" w14:textId="77777777"/>
    <w:p w:rsidR="000A76A4" w14:paraId="214A1BFC" w14:textId="44D9CD79">
      <w:r>
        <w:tab/>
      </w:r>
      <w:r>
        <w:t>The information colle</w:t>
      </w:r>
      <w:r w:rsidR="00E715A0">
        <w:t>ction is conducted infrequently and</w:t>
      </w:r>
      <w:r>
        <w:t xml:space="preserve"> only when a requester asks </w:t>
      </w:r>
      <w:r w:rsidR="00C06110">
        <w:t xml:space="preserve">the </w:t>
      </w:r>
      <w:r>
        <w:t>OCC to release non-public information or testimony.</w:t>
      </w:r>
    </w:p>
    <w:p w:rsidR="000A76A4" w14:paraId="33206651" w14:textId="77777777"/>
    <w:p w:rsidR="000A76A4" w14:paraId="7D020E1C" w14:textId="77777777">
      <w:pPr>
        <w:pStyle w:val="BodyText"/>
        <w:rPr>
          <w:b/>
          <w:bCs/>
        </w:rPr>
      </w:pPr>
      <w:r>
        <w:rPr>
          <w:b/>
          <w:bCs/>
        </w:rPr>
        <w:t xml:space="preserve">7.  Special circumstances that would cause an information collection to be conducted in a manner inconsistent with 5 CFR </w:t>
      </w:r>
      <w:r w:rsidR="00022286">
        <w:rPr>
          <w:b/>
          <w:bCs/>
        </w:rPr>
        <w:t>p</w:t>
      </w:r>
      <w:r>
        <w:rPr>
          <w:b/>
          <w:bCs/>
        </w:rPr>
        <w:t>art 1320:</w:t>
      </w:r>
    </w:p>
    <w:p w:rsidR="000A76A4" w14:paraId="52E43C76" w14:textId="77777777"/>
    <w:p w:rsidR="000A76A4" w14:paraId="18F0511D" w14:textId="77777777">
      <w:r>
        <w:tab/>
      </w:r>
      <w:r>
        <w:t xml:space="preserve">None.  The information collection is conducted in accordance with the requirements of 5 CFR </w:t>
      </w:r>
      <w:r w:rsidR="00022286">
        <w:t>p</w:t>
      </w:r>
      <w:r>
        <w:t>art 1320.</w:t>
      </w:r>
    </w:p>
    <w:p w:rsidR="000A76A4" w14:paraId="56647BA2" w14:textId="77777777"/>
    <w:p w:rsidR="000A76A4" w14:paraId="67E7D53C" w14:textId="77777777">
      <w:pPr>
        <w:pStyle w:val="BodyText"/>
        <w:rPr>
          <w:b/>
          <w:bCs/>
        </w:rPr>
      </w:pPr>
      <w:r>
        <w:rPr>
          <w:b/>
          <w:bCs/>
        </w:rPr>
        <w:t>8.  Efforts to consult with persons outside the agency:</w:t>
      </w:r>
    </w:p>
    <w:p w:rsidR="00B01FBB" w:rsidP="00B01FBB" w14:paraId="3B5431F6" w14:textId="77777777">
      <w:pPr>
        <w:ind w:firstLine="720"/>
        <w:rPr>
          <w:bCs/>
        </w:rPr>
      </w:pPr>
      <w:r>
        <w:tab/>
      </w:r>
      <w:bookmarkStart w:id="0" w:name="_Hlk160007020"/>
    </w:p>
    <w:p w:rsidR="00B01FBB" w:rsidRPr="00271250" w:rsidP="00B01FBB" w14:paraId="787B1BD3" w14:textId="4EBB870E">
      <w:pPr>
        <w:ind w:firstLine="720"/>
        <w:rPr>
          <w:bCs/>
        </w:rPr>
      </w:pPr>
      <w:r>
        <w:rPr>
          <w:bCs/>
        </w:rPr>
        <w:t xml:space="preserve">The OCC issued a 60-day </w:t>
      </w:r>
      <w:r w:rsidRPr="00B32F4C">
        <w:rPr>
          <w:bCs/>
          <w:i/>
        </w:rPr>
        <w:t xml:space="preserve">Federal Register </w:t>
      </w:r>
      <w:r>
        <w:rPr>
          <w:bCs/>
        </w:rPr>
        <w:t xml:space="preserve">notice on </w:t>
      </w:r>
      <w:r w:rsidR="003A6AF6">
        <w:rPr>
          <w:bCs/>
        </w:rPr>
        <w:t>August 21</w:t>
      </w:r>
      <w:r>
        <w:rPr>
          <w:bCs/>
        </w:rPr>
        <w:t xml:space="preserve">, 2024, 89 FR </w:t>
      </w:r>
      <w:r w:rsidR="003A6AF6">
        <w:rPr>
          <w:bCs/>
        </w:rPr>
        <w:t>67711</w:t>
      </w:r>
      <w:r>
        <w:rPr>
          <w:bCs/>
        </w:rPr>
        <w:t xml:space="preserve">.  </w:t>
      </w:r>
      <w:r w:rsidR="003A6AF6">
        <w:rPr>
          <w:bCs/>
        </w:rPr>
        <w:t>No</w:t>
      </w:r>
      <w:r>
        <w:rPr>
          <w:bCs/>
        </w:rPr>
        <w:t xml:space="preserve"> comments were received.  </w:t>
      </w:r>
    </w:p>
    <w:bookmarkEnd w:id="0"/>
    <w:p w:rsidR="000A76A4" w14:paraId="66E8C10F" w14:textId="77777777"/>
    <w:p w:rsidR="000A76A4" w14:paraId="0A435683" w14:textId="77777777">
      <w:pPr>
        <w:pStyle w:val="BodyText"/>
        <w:rPr>
          <w:b/>
          <w:bCs/>
        </w:rPr>
      </w:pPr>
      <w:r>
        <w:rPr>
          <w:b/>
          <w:bCs/>
        </w:rPr>
        <w:t>9.  Payment or gift to respondents:</w:t>
      </w:r>
    </w:p>
    <w:p w:rsidR="000A76A4" w14:paraId="545A8EF2" w14:textId="77777777"/>
    <w:p w:rsidR="000A76A4" w14:paraId="312AABF6" w14:textId="77777777">
      <w:r>
        <w:tab/>
      </w:r>
      <w:r>
        <w:t>None.</w:t>
      </w:r>
    </w:p>
    <w:p w:rsidR="000A76A4" w14:paraId="4D13D23C" w14:textId="77777777"/>
    <w:p w:rsidR="000A76A4" w14:paraId="0C7527C9" w14:textId="77777777">
      <w:pPr>
        <w:pStyle w:val="BodyText"/>
        <w:rPr>
          <w:b/>
          <w:bCs/>
        </w:rPr>
      </w:pPr>
      <w:r>
        <w:rPr>
          <w:b/>
          <w:bCs/>
        </w:rPr>
        <w:t>10.  Any assurance of confidentiality:</w:t>
      </w:r>
    </w:p>
    <w:p w:rsidR="000A76A4" w14:paraId="0583F149" w14:textId="77777777"/>
    <w:p w:rsidR="000A76A4" w14:paraId="31CC37E4" w14:textId="77777777">
      <w:r>
        <w:tab/>
      </w:r>
      <w:r>
        <w:t>None.</w:t>
      </w:r>
    </w:p>
    <w:p w:rsidR="000A76A4" w14:paraId="0288EC6A" w14:textId="77777777"/>
    <w:p w:rsidR="000A76A4" w14:paraId="59E25607" w14:textId="77777777">
      <w:pPr>
        <w:pStyle w:val="BodyText"/>
        <w:rPr>
          <w:b/>
          <w:bCs/>
        </w:rPr>
      </w:pPr>
      <w:r>
        <w:rPr>
          <w:b/>
          <w:bCs/>
        </w:rPr>
        <w:t>11.  Justification for questions of a sensitive nature:</w:t>
      </w:r>
    </w:p>
    <w:p w:rsidR="000A76A4" w14:paraId="5B0B3B3C" w14:textId="77777777"/>
    <w:p w:rsidR="000A76A4" w14:paraId="58EC64D5" w14:textId="77777777">
      <w:r>
        <w:tab/>
      </w:r>
      <w:r w:rsidR="00E07288">
        <w:t>Not applicable.  No personally identifiable information is collected.</w:t>
      </w:r>
    </w:p>
    <w:p w:rsidR="00833729" w14:paraId="12F40BCB" w14:textId="7F9AA583">
      <w:pPr>
        <w:rPr>
          <w:b/>
          <w:bCs/>
          <w:i/>
          <w:iCs/>
        </w:rPr>
      </w:pPr>
    </w:p>
    <w:p w:rsidR="000A76A4" w14:paraId="37753680" w14:textId="77777777">
      <w:pPr>
        <w:pStyle w:val="BodyText"/>
        <w:rPr>
          <w:b/>
          <w:bCs/>
        </w:rPr>
      </w:pPr>
      <w:r>
        <w:rPr>
          <w:b/>
          <w:bCs/>
        </w:rPr>
        <w:t>12.  Burden estimate:</w:t>
      </w:r>
    </w:p>
    <w:p w:rsidR="000A76A4" w14:paraId="26B8987B" w14:textId="77777777">
      <w:pPr>
        <w:pStyle w:val="BodyText"/>
        <w:rPr>
          <w:i w:val="0"/>
          <w:iCs w:val="0"/>
        </w:rPr>
      </w:pPr>
    </w:p>
    <w:p w:rsidR="000A76A4" w14:paraId="12BE6135" w14:textId="77777777">
      <w:pPr>
        <w:pStyle w:val="BodyText"/>
        <w:rPr>
          <w:i w:val="0"/>
          <w:iCs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22"/>
        <w:gridCol w:w="3641"/>
        <w:gridCol w:w="1306"/>
        <w:gridCol w:w="1057"/>
        <w:gridCol w:w="1324"/>
      </w:tblGrid>
      <w:tr w14:paraId="605B5C42" w14:textId="77777777" w:rsidTr="00AF1C29">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blHeader/>
        </w:trPr>
        <w:tc>
          <w:tcPr>
            <w:tcW w:w="2022" w:type="dxa"/>
          </w:tcPr>
          <w:p w:rsidR="000A76A4" w14:paraId="2CA3DC69" w14:textId="77777777">
            <w:pPr>
              <w:pStyle w:val="ArticleNumber"/>
              <w:numPr>
                <w:ilvl w:val="0"/>
                <w:numId w:val="0"/>
              </w:numPr>
              <w:spacing w:line="240" w:lineRule="auto"/>
              <w:rPr>
                <w:b/>
                <w:bCs/>
                <w:sz w:val="20"/>
              </w:rPr>
            </w:pPr>
            <w:r>
              <w:rPr>
                <w:b/>
                <w:bCs/>
                <w:sz w:val="20"/>
              </w:rPr>
              <w:t>Cite</w:t>
            </w:r>
          </w:p>
          <w:p w:rsidR="000A76A4" w14:paraId="254B7DCA" w14:textId="77777777">
            <w:pPr>
              <w:jc w:val="center"/>
              <w:rPr>
                <w:b/>
                <w:bCs/>
                <w:sz w:val="20"/>
              </w:rPr>
            </w:pPr>
            <w:r>
              <w:rPr>
                <w:b/>
                <w:bCs/>
                <w:sz w:val="20"/>
              </w:rPr>
              <w:t>and</w:t>
            </w:r>
          </w:p>
          <w:p w:rsidR="000A76A4" w14:paraId="5C257976" w14:textId="77777777">
            <w:pPr>
              <w:jc w:val="center"/>
              <w:rPr>
                <w:b/>
                <w:bCs/>
                <w:sz w:val="20"/>
              </w:rPr>
            </w:pPr>
            <w:r>
              <w:rPr>
                <w:b/>
                <w:bCs/>
                <w:sz w:val="20"/>
              </w:rPr>
              <w:t>Burden Type</w:t>
            </w:r>
          </w:p>
        </w:tc>
        <w:tc>
          <w:tcPr>
            <w:tcW w:w="3641" w:type="dxa"/>
          </w:tcPr>
          <w:p w:rsidR="000A76A4" w14:paraId="24B17DDC" w14:textId="77777777">
            <w:pPr>
              <w:jc w:val="center"/>
              <w:rPr>
                <w:b/>
                <w:bCs/>
                <w:sz w:val="20"/>
              </w:rPr>
            </w:pPr>
            <w:r>
              <w:rPr>
                <w:b/>
                <w:bCs/>
                <w:sz w:val="20"/>
              </w:rPr>
              <w:t>Information Collection Requirements</w:t>
            </w:r>
          </w:p>
          <w:p w:rsidR="000A76A4" w14:paraId="48361A2B" w14:textId="77777777">
            <w:pPr>
              <w:jc w:val="center"/>
              <w:rPr>
                <w:b/>
                <w:bCs/>
                <w:sz w:val="20"/>
              </w:rPr>
            </w:pPr>
            <w:r>
              <w:rPr>
                <w:b/>
                <w:bCs/>
                <w:sz w:val="20"/>
              </w:rPr>
              <w:t>in</w:t>
            </w:r>
          </w:p>
          <w:p w:rsidR="000A76A4" w14:paraId="5E96B4C4" w14:textId="77777777">
            <w:pPr>
              <w:jc w:val="center"/>
              <w:rPr>
                <w:b/>
                <w:bCs/>
                <w:sz w:val="20"/>
              </w:rPr>
            </w:pPr>
            <w:r>
              <w:rPr>
                <w:b/>
                <w:bCs/>
                <w:sz w:val="20"/>
              </w:rPr>
              <w:t>12 CFR Part 4</w:t>
            </w:r>
          </w:p>
        </w:tc>
        <w:tc>
          <w:tcPr>
            <w:tcW w:w="1306" w:type="dxa"/>
          </w:tcPr>
          <w:p w:rsidR="000A76A4" w14:paraId="56A1B88A" w14:textId="77777777">
            <w:pPr>
              <w:pStyle w:val="ArticleNumber"/>
              <w:numPr>
                <w:ilvl w:val="0"/>
                <w:numId w:val="0"/>
              </w:numPr>
              <w:spacing w:line="240" w:lineRule="auto"/>
              <w:rPr>
                <w:b/>
                <w:bCs/>
                <w:sz w:val="20"/>
              </w:rPr>
            </w:pPr>
            <w:r>
              <w:rPr>
                <w:b/>
                <w:bCs/>
                <w:sz w:val="20"/>
              </w:rPr>
              <w:t>Number</w:t>
            </w:r>
          </w:p>
          <w:p w:rsidR="000A76A4" w14:paraId="15317135" w14:textId="77777777">
            <w:pPr>
              <w:pStyle w:val="ArticleNumber"/>
              <w:numPr>
                <w:ilvl w:val="0"/>
                <w:numId w:val="0"/>
              </w:numPr>
              <w:spacing w:line="240" w:lineRule="auto"/>
              <w:rPr>
                <w:b/>
                <w:bCs/>
                <w:sz w:val="20"/>
              </w:rPr>
            </w:pPr>
            <w:r>
              <w:rPr>
                <w:b/>
                <w:bCs/>
                <w:sz w:val="20"/>
              </w:rPr>
              <w:t>of</w:t>
            </w:r>
          </w:p>
          <w:p w:rsidR="000A76A4" w14:paraId="24D0C763" w14:textId="77777777">
            <w:pPr>
              <w:pStyle w:val="ArticleNumber"/>
              <w:numPr>
                <w:ilvl w:val="0"/>
                <w:numId w:val="0"/>
              </w:numPr>
              <w:spacing w:line="240" w:lineRule="auto"/>
              <w:rPr>
                <w:b/>
                <w:bCs/>
                <w:sz w:val="20"/>
              </w:rPr>
            </w:pPr>
            <w:r>
              <w:rPr>
                <w:b/>
                <w:bCs/>
                <w:sz w:val="20"/>
              </w:rPr>
              <w:t>Respondents</w:t>
            </w:r>
          </w:p>
        </w:tc>
        <w:tc>
          <w:tcPr>
            <w:tcW w:w="1057" w:type="dxa"/>
          </w:tcPr>
          <w:p w:rsidR="000A76A4" w14:paraId="787DDF3A" w14:textId="77777777">
            <w:pPr>
              <w:pStyle w:val="ArticleNumber"/>
              <w:numPr>
                <w:ilvl w:val="0"/>
                <w:numId w:val="0"/>
              </w:numPr>
              <w:spacing w:line="240" w:lineRule="auto"/>
              <w:rPr>
                <w:b/>
                <w:bCs/>
                <w:sz w:val="20"/>
              </w:rPr>
            </w:pPr>
            <w:r>
              <w:rPr>
                <w:b/>
                <w:bCs/>
                <w:sz w:val="20"/>
              </w:rPr>
              <w:t>Average</w:t>
            </w:r>
          </w:p>
          <w:p w:rsidR="000A76A4" w14:paraId="0FE9B21A" w14:textId="77777777">
            <w:pPr>
              <w:jc w:val="center"/>
              <w:rPr>
                <w:b/>
                <w:bCs/>
                <w:sz w:val="20"/>
              </w:rPr>
            </w:pPr>
            <w:r>
              <w:rPr>
                <w:b/>
                <w:bCs/>
                <w:sz w:val="20"/>
              </w:rPr>
              <w:t>Hours Per</w:t>
            </w:r>
          </w:p>
          <w:p w:rsidR="000A76A4" w14:paraId="13625701" w14:textId="77777777">
            <w:pPr>
              <w:jc w:val="center"/>
              <w:rPr>
                <w:b/>
                <w:bCs/>
                <w:sz w:val="20"/>
              </w:rPr>
            </w:pPr>
            <w:r>
              <w:rPr>
                <w:b/>
                <w:bCs/>
                <w:sz w:val="20"/>
              </w:rPr>
              <w:t>Response</w:t>
            </w:r>
          </w:p>
        </w:tc>
        <w:tc>
          <w:tcPr>
            <w:tcW w:w="1324" w:type="dxa"/>
          </w:tcPr>
          <w:p w:rsidR="000A76A4" w14:paraId="3EB086BF" w14:textId="77777777">
            <w:pPr>
              <w:pStyle w:val="ArticleNumber"/>
              <w:numPr>
                <w:ilvl w:val="0"/>
                <w:numId w:val="0"/>
              </w:numPr>
              <w:spacing w:line="240" w:lineRule="auto"/>
              <w:rPr>
                <w:b/>
                <w:bCs/>
                <w:sz w:val="20"/>
              </w:rPr>
            </w:pPr>
            <w:r>
              <w:rPr>
                <w:b/>
                <w:bCs/>
                <w:sz w:val="20"/>
              </w:rPr>
              <w:t>Estimated</w:t>
            </w:r>
          </w:p>
          <w:p w:rsidR="000A76A4" w14:paraId="152E2EDF" w14:textId="77777777">
            <w:pPr>
              <w:jc w:val="center"/>
              <w:rPr>
                <w:b/>
                <w:bCs/>
                <w:sz w:val="20"/>
              </w:rPr>
            </w:pPr>
            <w:r>
              <w:rPr>
                <w:b/>
                <w:bCs/>
                <w:sz w:val="20"/>
              </w:rPr>
              <w:t>Burden</w:t>
            </w:r>
          </w:p>
          <w:p w:rsidR="000A76A4" w14:paraId="27C8E08D" w14:textId="77777777">
            <w:pPr>
              <w:jc w:val="center"/>
              <w:rPr>
                <w:b/>
                <w:bCs/>
                <w:sz w:val="20"/>
              </w:rPr>
            </w:pPr>
            <w:r>
              <w:rPr>
                <w:b/>
                <w:bCs/>
                <w:sz w:val="20"/>
              </w:rPr>
              <w:t>Hours</w:t>
            </w:r>
          </w:p>
        </w:tc>
      </w:tr>
      <w:tr w14:paraId="0966A48D" w14:textId="77777777" w:rsidTr="00AF1C29">
        <w:tblPrEx>
          <w:tblW w:w="0" w:type="auto"/>
          <w:tblLook w:val="0000"/>
        </w:tblPrEx>
        <w:tc>
          <w:tcPr>
            <w:tcW w:w="2022" w:type="dxa"/>
          </w:tcPr>
          <w:p w:rsidR="004E7C6C" w14:paraId="2BEF446B" w14:textId="77777777">
            <w:pPr>
              <w:rPr>
                <w:sz w:val="20"/>
              </w:rPr>
            </w:pPr>
          </w:p>
          <w:p w:rsidR="004E7C6C" w14:paraId="15207AB1" w14:textId="77777777">
            <w:pPr>
              <w:rPr>
                <w:sz w:val="20"/>
              </w:rPr>
            </w:pPr>
          </w:p>
          <w:p w:rsidR="004E7C6C" w14:paraId="1A0F8629" w14:textId="77777777">
            <w:pPr>
              <w:rPr>
                <w:sz w:val="20"/>
              </w:rPr>
            </w:pPr>
          </w:p>
          <w:p w:rsidR="000A76A4" w14:paraId="609A8CAA" w14:textId="77777777">
            <w:pPr>
              <w:rPr>
                <w:sz w:val="20"/>
              </w:rPr>
            </w:pPr>
            <w:r>
              <w:rPr>
                <w:sz w:val="20"/>
              </w:rPr>
              <w:t>12 CFR 4.33(a)</w:t>
            </w:r>
          </w:p>
          <w:p w:rsidR="000A76A4" w14:paraId="24133152" w14:textId="77777777">
            <w:pPr>
              <w:rPr>
                <w:sz w:val="20"/>
              </w:rPr>
            </w:pPr>
            <w:r>
              <w:rPr>
                <w:sz w:val="20"/>
              </w:rPr>
              <w:t>Reporting</w:t>
            </w:r>
          </w:p>
          <w:p w:rsidR="000A76A4" w14:paraId="0F57EF48" w14:textId="77777777">
            <w:pPr>
              <w:rPr>
                <w:sz w:val="20"/>
              </w:rPr>
            </w:pPr>
          </w:p>
          <w:p w:rsidR="000A76A4" w14:paraId="3B83647D" w14:textId="77777777">
            <w:pPr>
              <w:rPr>
                <w:sz w:val="20"/>
              </w:rPr>
            </w:pPr>
          </w:p>
          <w:p w:rsidR="000A76A4" w14:paraId="3AB2E641" w14:textId="77777777">
            <w:pPr>
              <w:rPr>
                <w:sz w:val="20"/>
              </w:rPr>
            </w:pPr>
          </w:p>
          <w:p w:rsidR="000A76A4" w14:paraId="7C381317" w14:textId="77777777">
            <w:pPr>
              <w:rPr>
                <w:sz w:val="20"/>
              </w:rPr>
            </w:pPr>
          </w:p>
          <w:p w:rsidR="000A76A4" w14:paraId="0E416480" w14:textId="77777777">
            <w:pPr>
              <w:rPr>
                <w:sz w:val="20"/>
              </w:rPr>
            </w:pPr>
          </w:p>
          <w:p w:rsidR="000A76A4" w14:paraId="7DB941D0" w14:textId="77777777">
            <w:pPr>
              <w:rPr>
                <w:sz w:val="20"/>
              </w:rPr>
            </w:pPr>
          </w:p>
          <w:p w:rsidR="000A76A4" w14:paraId="471EB50F" w14:textId="77777777">
            <w:pPr>
              <w:rPr>
                <w:sz w:val="20"/>
              </w:rPr>
            </w:pPr>
            <w:r>
              <w:rPr>
                <w:sz w:val="20"/>
              </w:rPr>
              <w:t>12 CFR 4.33(a)(3)(ii) and (iii)</w:t>
            </w:r>
          </w:p>
          <w:p w:rsidR="000A76A4" w14:paraId="0014DAE4" w14:textId="77777777">
            <w:pPr>
              <w:rPr>
                <w:sz w:val="20"/>
              </w:rPr>
            </w:pPr>
            <w:r>
              <w:rPr>
                <w:sz w:val="20"/>
              </w:rPr>
              <w:t>Reporting</w:t>
            </w:r>
          </w:p>
          <w:p w:rsidR="000A76A4" w14:paraId="3B1E1985" w14:textId="77777777">
            <w:pPr>
              <w:rPr>
                <w:sz w:val="20"/>
              </w:rPr>
            </w:pPr>
          </w:p>
          <w:p w:rsidR="000A76A4" w14:paraId="0CC5E21B" w14:textId="77777777">
            <w:pPr>
              <w:rPr>
                <w:sz w:val="20"/>
              </w:rPr>
            </w:pPr>
          </w:p>
          <w:p w:rsidR="000A76A4" w14:paraId="1E7FDE4F" w14:textId="77777777">
            <w:pPr>
              <w:rPr>
                <w:sz w:val="20"/>
              </w:rPr>
            </w:pPr>
          </w:p>
          <w:p w:rsidR="000A76A4" w14:paraId="2A802E87" w14:textId="77777777">
            <w:pPr>
              <w:rPr>
                <w:sz w:val="20"/>
              </w:rPr>
            </w:pPr>
          </w:p>
          <w:p w:rsidR="000A76A4" w14:paraId="1285C2DE" w14:textId="77777777">
            <w:pPr>
              <w:rPr>
                <w:sz w:val="20"/>
              </w:rPr>
            </w:pPr>
          </w:p>
          <w:p w:rsidR="000A76A4" w14:paraId="30917F9D" w14:textId="77777777">
            <w:pPr>
              <w:rPr>
                <w:sz w:val="20"/>
              </w:rPr>
            </w:pPr>
          </w:p>
          <w:p w:rsidR="000A76A4" w14:paraId="58D97004" w14:textId="77777777">
            <w:pPr>
              <w:rPr>
                <w:sz w:val="20"/>
              </w:rPr>
            </w:pPr>
          </w:p>
          <w:p w:rsidR="000A76A4" w14:paraId="28AB3C52" w14:textId="77777777">
            <w:pPr>
              <w:rPr>
                <w:sz w:val="20"/>
              </w:rPr>
            </w:pPr>
          </w:p>
          <w:p w:rsidR="000A76A4" w14:paraId="4C35DAB9" w14:textId="77777777">
            <w:pPr>
              <w:rPr>
                <w:sz w:val="20"/>
              </w:rPr>
            </w:pPr>
          </w:p>
          <w:p w:rsidR="000A76A4" w14:paraId="4914C93E" w14:textId="77777777">
            <w:pPr>
              <w:rPr>
                <w:sz w:val="20"/>
              </w:rPr>
            </w:pPr>
          </w:p>
          <w:p w:rsidR="000A76A4" w14:paraId="3D7927CA" w14:textId="77777777">
            <w:pPr>
              <w:rPr>
                <w:sz w:val="20"/>
              </w:rPr>
            </w:pPr>
          </w:p>
          <w:p w:rsidR="000A76A4" w14:paraId="6BF8492C" w14:textId="77777777">
            <w:pPr>
              <w:rPr>
                <w:sz w:val="20"/>
              </w:rPr>
            </w:pPr>
          </w:p>
          <w:p w:rsidR="000A76A4" w14:paraId="2F1C0031" w14:textId="77777777">
            <w:pPr>
              <w:rPr>
                <w:sz w:val="20"/>
              </w:rPr>
            </w:pPr>
          </w:p>
          <w:p w:rsidR="000A76A4" w14:paraId="60401E28" w14:textId="77777777">
            <w:pPr>
              <w:rPr>
                <w:sz w:val="20"/>
              </w:rPr>
            </w:pPr>
          </w:p>
          <w:p w:rsidR="000A76A4" w14:paraId="16D1D3E1" w14:textId="77777777">
            <w:pPr>
              <w:rPr>
                <w:sz w:val="20"/>
              </w:rPr>
            </w:pPr>
          </w:p>
          <w:p w:rsidR="000A76A4" w14:paraId="0ABA0F12" w14:textId="77777777">
            <w:pPr>
              <w:rPr>
                <w:sz w:val="20"/>
              </w:rPr>
            </w:pPr>
          </w:p>
          <w:p w:rsidR="000A76A4" w14:paraId="1EE0DF16" w14:textId="77777777">
            <w:pPr>
              <w:rPr>
                <w:sz w:val="20"/>
              </w:rPr>
            </w:pPr>
          </w:p>
          <w:p w:rsidR="000A76A4" w14:paraId="33DB15A7" w14:textId="77777777">
            <w:pPr>
              <w:rPr>
                <w:sz w:val="20"/>
              </w:rPr>
            </w:pPr>
          </w:p>
          <w:p w:rsidR="000A76A4" w14:paraId="76DA6628" w14:textId="77777777">
            <w:pPr>
              <w:rPr>
                <w:sz w:val="20"/>
              </w:rPr>
            </w:pPr>
          </w:p>
          <w:p w:rsidR="000A76A4" w14:paraId="338DF91A" w14:textId="77777777">
            <w:pPr>
              <w:rPr>
                <w:sz w:val="20"/>
              </w:rPr>
            </w:pPr>
          </w:p>
          <w:p w:rsidR="000A76A4" w14:paraId="689A3BED" w14:textId="77777777">
            <w:pPr>
              <w:rPr>
                <w:sz w:val="20"/>
              </w:rPr>
            </w:pPr>
          </w:p>
          <w:p w:rsidR="000A76A4" w14:paraId="7FF9D8FF" w14:textId="77777777">
            <w:pPr>
              <w:rPr>
                <w:sz w:val="20"/>
              </w:rPr>
            </w:pPr>
          </w:p>
          <w:p w:rsidR="000A76A4" w14:paraId="2F06B00A" w14:textId="77777777">
            <w:pPr>
              <w:rPr>
                <w:sz w:val="20"/>
              </w:rPr>
            </w:pPr>
          </w:p>
          <w:p w:rsidR="000A76A4" w14:paraId="2E9C3DC9" w14:textId="77777777">
            <w:pPr>
              <w:rPr>
                <w:sz w:val="20"/>
              </w:rPr>
            </w:pPr>
          </w:p>
          <w:p w:rsidR="000A76A4" w14:paraId="3AFB0CCE" w14:textId="77777777">
            <w:pPr>
              <w:rPr>
                <w:sz w:val="20"/>
              </w:rPr>
            </w:pPr>
          </w:p>
          <w:p w:rsidR="000A76A4" w14:paraId="4C270AEF" w14:textId="77777777">
            <w:pPr>
              <w:rPr>
                <w:sz w:val="20"/>
              </w:rPr>
            </w:pPr>
          </w:p>
          <w:p w:rsidR="000A76A4" w14:paraId="10DB5356" w14:textId="77777777">
            <w:pPr>
              <w:rPr>
                <w:sz w:val="20"/>
              </w:rPr>
            </w:pPr>
          </w:p>
          <w:p w:rsidR="000A76A4" w14:paraId="4918BBEB" w14:textId="77777777">
            <w:pPr>
              <w:rPr>
                <w:sz w:val="20"/>
              </w:rPr>
            </w:pPr>
          </w:p>
          <w:p w:rsidR="000A76A4" w14:paraId="54EE109E" w14:textId="77777777">
            <w:pPr>
              <w:rPr>
                <w:sz w:val="20"/>
              </w:rPr>
            </w:pPr>
          </w:p>
          <w:p w:rsidR="000A76A4" w14:paraId="4C006CF7" w14:textId="77777777">
            <w:pPr>
              <w:rPr>
                <w:sz w:val="20"/>
              </w:rPr>
            </w:pPr>
          </w:p>
          <w:p w:rsidR="000A76A4" w14:paraId="47612B54" w14:textId="77777777">
            <w:pPr>
              <w:rPr>
                <w:sz w:val="20"/>
              </w:rPr>
            </w:pPr>
          </w:p>
          <w:p w:rsidR="000A76A4" w14:paraId="75C8090F" w14:textId="77777777">
            <w:pPr>
              <w:rPr>
                <w:sz w:val="20"/>
              </w:rPr>
            </w:pPr>
          </w:p>
          <w:p w:rsidR="000A76A4" w14:paraId="16107299" w14:textId="77777777">
            <w:pPr>
              <w:rPr>
                <w:sz w:val="20"/>
              </w:rPr>
            </w:pPr>
          </w:p>
          <w:p w:rsidR="006542C0" w14:paraId="10090BA9" w14:textId="77777777">
            <w:pPr>
              <w:rPr>
                <w:sz w:val="20"/>
              </w:rPr>
            </w:pPr>
          </w:p>
          <w:p w:rsidR="000A76A4" w14:paraId="46110F16" w14:textId="77777777">
            <w:pPr>
              <w:rPr>
                <w:sz w:val="20"/>
              </w:rPr>
            </w:pPr>
            <w:r>
              <w:rPr>
                <w:sz w:val="20"/>
              </w:rPr>
              <w:t>12 CFR 4.33(b)</w:t>
            </w:r>
          </w:p>
          <w:p w:rsidR="000A76A4" w14:paraId="177C9DC7" w14:textId="77777777">
            <w:pPr>
              <w:rPr>
                <w:sz w:val="20"/>
              </w:rPr>
            </w:pPr>
            <w:r>
              <w:rPr>
                <w:sz w:val="20"/>
              </w:rPr>
              <w:t>Reporting</w:t>
            </w:r>
          </w:p>
          <w:p w:rsidR="000A76A4" w14:paraId="22BDAC84" w14:textId="77777777">
            <w:pPr>
              <w:rPr>
                <w:sz w:val="20"/>
              </w:rPr>
            </w:pPr>
          </w:p>
          <w:p w:rsidR="000A76A4" w14:paraId="619019E5" w14:textId="77777777">
            <w:pPr>
              <w:rPr>
                <w:sz w:val="20"/>
              </w:rPr>
            </w:pPr>
          </w:p>
          <w:p w:rsidR="000A76A4" w14:paraId="703E4D24" w14:textId="77777777">
            <w:pPr>
              <w:rPr>
                <w:sz w:val="20"/>
              </w:rPr>
            </w:pPr>
            <w:r>
              <w:rPr>
                <w:sz w:val="20"/>
              </w:rPr>
              <w:t>12 CFR 4.33(c)</w:t>
            </w:r>
          </w:p>
          <w:p w:rsidR="000A76A4" w14:paraId="21224DF3" w14:textId="77777777">
            <w:pPr>
              <w:rPr>
                <w:sz w:val="20"/>
              </w:rPr>
            </w:pPr>
            <w:r>
              <w:rPr>
                <w:sz w:val="20"/>
              </w:rPr>
              <w:t>Reporting</w:t>
            </w:r>
          </w:p>
        </w:tc>
        <w:tc>
          <w:tcPr>
            <w:tcW w:w="3641" w:type="dxa"/>
          </w:tcPr>
          <w:p w:rsidR="000A76A4" w14:paraId="3C151E19" w14:textId="77777777">
            <w:pPr>
              <w:pStyle w:val="Heading4"/>
            </w:pPr>
            <w:r>
              <w:t>Requirements for a request of records or testimony</w:t>
            </w:r>
          </w:p>
          <w:p w:rsidR="000A76A4" w14:paraId="11306F1D" w14:textId="77777777">
            <w:pPr>
              <w:rPr>
                <w:i/>
                <w:iCs/>
                <w:sz w:val="20"/>
                <w:u w:val="single"/>
              </w:rPr>
            </w:pPr>
          </w:p>
          <w:p w:rsidR="000A76A4" w14:paraId="0A2370B3" w14:textId="77777777">
            <w:pPr>
              <w:rPr>
                <w:sz w:val="20"/>
              </w:rPr>
            </w:pPr>
            <w:r>
              <w:rPr>
                <w:i/>
                <w:iCs/>
                <w:sz w:val="20"/>
                <w:u w:val="single"/>
              </w:rPr>
              <w:t>Generally – Form of request:</w:t>
            </w:r>
            <w:r>
              <w:rPr>
                <w:sz w:val="20"/>
              </w:rPr>
              <w:t xml:space="preserve">  A person seeking non-public OCC information must submit a request in writing to the OCC.  The requester must explain the bases for the request and how the requested non-public information relates to the issues in the lawsuit or matter.</w:t>
            </w:r>
          </w:p>
          <w:p w:rsidR="000A76A4" w14:paraId="0CA7293F" w14:textId="77777777">
            <w:pPr>
              <w:rPr>
                <w:sz w:val="20"/>
              </w:rPr>
            </w:pPr>
          </w:p>
          <w:p w:rsidR="000A76A4" w14:paraId="03E5FB6E" w14:textId="77777777">
            <w:pPr>
              <w:rPr>
                <w:sz w:val="20"/>
              </w:rPr>
            </w:pPr>
            <w:r>
              <w:rPr>
                <w:i/>
                <w:iCs/>
                <w:sz w:val="20"/>
                <w:u w:val="single"/>
              </w:rPr>
              <w:t>Request arising from adversarial matters</w:t>
            </w:r>
            <w:r>
              <w:rPr>
                <w:sz w:val="20"/>
              </w:rPr>
              <w:t xml:space="preserve"> – Request must include:</w:t>
            </w:r>
          </w:p>
          <w:p w:rsidR="000A76A4" w14:paraId="28EB5E83" w14:textId="77777777">
            <w:pPr>
              <w:numPr>
                <w:ilvl w:val="0"/>
                <w:numId w:val="22"/>
              </w:numPr>
              <w:rPr>
                <w:sz w:val="20"/>
              </w:rPr>
            </w:pPr>
            <w:r>
              <w:rPr>
                <w:sz w:val="20"/>
              </w:rPr>
              <w:t>A copy of the complaint or other pleading setting forth the assertions in the case</w:t>
            </w:r>
          </w:p>
          <w:p w:rsidR="000A76A4" w14:paraId="6895A03A" w14:textId="77777777">
            <w:pPr>
              <w:numPr>
                <w:ilvl w:val="0"/>
                <w:numId w:val="21"/>
              </w:numPr>
              <w:rPr>
                <w:sz w:val="20"/>
              </w:rPr>
            </w:pPr>
            <w:r>
              <w:rPr>
                <w:sz w:val="20"/>
              </w:rPr>
              <w:t>The caption and docket number of the case</w:t>
            </w:r>
          </w:p>
          <w:p w:rsidR="000A76A4" w14:paraId="4F30CCB4" w14:textId="77777777">
            <w:pPr>
              <w:numPr>
                <w:ilvl w:val="0"/>
                <w:numId w:val="21"/>
              </w:numPr>
              <w:rPr>
                <w:sz w:val="20"/>
              </w:rPr>
            </w:pPr>
            <w:r>
              <w:rPr>
                <w:sz w:val="20"/>
              </w:rPr>
              <w:t>The name, address, and phone number of counsel to each party in the case</w:t>
            </w:r>
          </w:p>
          <w:p w:rsidR="000A76A4" w14:paraId="1E29E3FE" w14:textId="77777777">
            <w:pPr>
              <w:numPr>
                <w:ilvl w:val="0"/>
                <w:numId w:val="21"/>
              </w:numPr>
              <w:rPr>
                <w:sz w:val="20"/>
              </w:rPr>
            </w:pPr>
            <w:r>
              <w:rPr>
                <w:sz w:val="20"/>
              </w:rPr>
              <w:t>A description of any prior judicial decisions or pending motions in the case that may bear on the asserted relevance of the requested information</w:t>
            </w:r>
          </w:p>
          <w:p w:rsidR="000A76A4" w14:paraId="481C4F81" w14:textId="77777777">
            <w:pPr>
              <w:rPr>
                <w:sz w:val="20"/>
              </w:rPr>
            </w:pPr>
            <w:r>
              <w:rPr>
                <w:sz w:val="20"/>
              </w:rPr>
              <w:t xml:space="preserve">The request </w:t>
            </w:r>
            <w:r w:rsidR="00E715A0">
              <w:rPr>
                <w:sz w:val="20"/>
              </w:rPr>
              <w:t xml:space="preserve">also </w:t>
            </w:r>
            <w:r>
              <w:rPr>
                <w:sz w:val="20"/>
              </w:rPr>
              <w:t>must:</w:t>
            </w:r>
          </w:p>
          <w:p w:rsidR="000A76A4" w14:paraId="0122E59A" w14:textId="77777777">
            <w:pPr>
              <w:numPr>
                <w:ilvl w:val="0"/>
                <w:numId w:val="21"/>
              </w:numPr>
              <w:rPr>
                <w:sz w:val="20"/>
              </w:rPr>
            </w:pPr>
            <w:r>
              <w:rPr>
                <w:sz w:val="20"/>
              </w:rPr>
              <w:t>Show the relevance</w:t>
            </w:r>
            <w:r w:rsidR="006D0026">
              <w:rPr>
                <w:sz w:val="20"/>
              </w:rPr>
              <w:t xml:space="preserve"> of the information</w:t>
            </w:r>
            <w:r>
              <w:rPr>
                <w:sz w:val="20"/>
              </w:rPr>
              <w:t xml:space="preserve"> to the purpose for which </w:t>
            </w:r>
            <w:r w:rsidR="00E715A0">
              <w:rPr>
                <w:sz w:val="20"/>
              </w:rPr>
              <w:t xml:space="preserve">it </w:t>
            </w:r>
            <w:r>
              <w:rPr>
                <w:sz w:val="20"/>
              </w:rPr>
              <w:t>is sought</w:t>
            </w:r>
          </w:p>
          <w:p w:rsidR="000A76A4" w14:paraId="32CF0157" w14:textId="77777777">
            <w:pPr>
              <w:numPr>
                <w:ilvl w:val="0"/>
                <w:numId w:val="21"/>
              </w:numPr>
              <w:rPr>
                <w:sz w:val="20"/>
              </w:rPr>
            </w:pPr>
            <w:r>
              <w:rPr>
                <w:sz w:val="20"/>
              </w:rPr>
              <w:t>Show that other evidence reasonably suited to the requester’s needs is not available from any other source</w:t>
            </w:r>
          </w:p>
          <w:p w:rsidR="000A76A4" w14:paraId="4A732984" w14:textId="77777777">
            <w:pPr>
              <w:numPr>
                <w:ilvl w:val="0"/>
                <w:numId w:val="21"/>
              </w:numPr>
              <w:rPr>
                <w:sz w:val="20"/>
              </w:rPr>
            </w:pPr>
            <w:r>
              <w:rPr>
                <w:sz w:val="20"/>
              </w:rPr>
              <w:t>show that the need for the information outweighs the public interest considerations in maintaining the confidentiality of the OCC information and outweighs the burden on the OCC to produce the information</w:t>
            </w:r>
          </w:p>
          <w:p w:rsidR="000A76A4" w14:paraId="3F0C9A29" w14:textId="77777777">
            <w:pPr>
              <w:numPr>
                <w:ilvl w:val="0"/>
                <w:numId w:val="21"/>
              </w:numPr>
              <w:rPr>
                <w:sz w:val="20"/>
              </w:rPr>
            </w:pPr>
            <w:r>
              <w:rPr>
                <w:sz w:val="20"/>
              </w:rPr>
              <w:t>Explain how the issues in the case and the status of the case warrant that the OCC allow disclosure</w:t>
            </w:r>
          </w:p>
          <w:p w:rsidR="000A76A4" w14:paraId="6182F9F3" w14:textId="77777777">
            <w:pPr>
              <w:numPr>
                <w:ilvl w:val="0"/>
                <w:numId w:val="21"/>
              </w:numPr>
              <w:rPr>
                <w:sz w:val="20"/>
              </w:rPr>
            </w:pPr>
            <w:r>
              <w:rPr>
                <w:sz w:val="20"/>
              </w:rPr>
              <w:t>Identify any other issue that may bear on the question of waiver of privilege by the OCC</w:t>
            </w:r>
          </w:p>
          <w:p w:rsidR="000A76A4" w14:paraId="55773D09" w14:textId="77777777">
            <w:pPr>
              <w:rPr>
                <w:sz w:val="20"/>
              </w:rPr>
            </w:pPr>
            <w:r>
              <w:rPr>
                <w:i/>
                <w:iCs/>
                <w:sz w:val="20"/>
                <w:u w:val="single"/>
              </w:rPr>
              <w:t>Request for records</w:t>
            </w:r>
            <w:r>
              <w:rPr>
                <w:sz w:val="20"/>
              </w:rPr>
              <w:t xml:space="preserve"> – The requester must adequately describe the record or records sought by type and date.</w:t>
            </w:r>
          </w:p>
          <w:p w:rsidR="000A76A4" w14:paraId="5A6D5836" w14:textId="77777777">
            <w:pPr>
              <w:rPr>
                <w:sz w:val="20"/>
              </w:rPr>
            </w:pPr>
          </w:p>
          <w:p w:rsidR="000A76A4" w14:paraId="2FDDF692" w14:textId="77777777">
            <w:pPr>
              <w:rPr>
                <w:sz w:val="20"/>
              </w:rPr>
            </w:pPr>
            <w:r>
              <w:rPr>
                <w:i/>
                <w:iCs/>
                <w:sz w:val="20"/>
                <w:u w:val="single"/>
              </w:rPr>
              <w:t>Request for testimony</w:t>
            </w:r>
            <w:r>
              <w:rPr>
                <w:sz w:val="20"/>
              </w:rPr>
              <w:t xml:space="preserve"> – A requester seeking testimony </w:t>
            </w:r>
          </w:p>
          <w:p w:rsidR="000A76A4" w14:paraId="7149088B" w14:textId="77777777">
            <w:pPr>
              <w:numPr>
                <w:ilvl w:val="0"/>
                <w:numId w:val="23"/>
              </w:numPr>
              <w:rPr>
                <w:sz w:val="20"/>
              </w:rPr>
            </w:pPr>
            <w:r>
              <w:rPr>
                <w:sz w:val="20"/>
              </w:rPr>
              <w:t>Must show a compelling need for the requested information</w:t>
            </w:r>
          </w:p>
          <w:p w:rsidR="006D0026" w14:paraId="19D99D9B" w14:textId="77777777">
            <w:pPr>
              <w:numPr>
                <w:ilvl w:val="0"/>
                <w:numId w:val="23"/>
              </w:numPr>
              <w:rPr>
                <w:sz w:val="20"/>
              </w:rPr>
            </w:pPr>
            <w:r>
              <w:rPr>
                <w:sz w:val="20"/>
              </w:rPr>
              <w:t>Should request testimony with sufficient time to obtain in deposition form</w:t>
            </w:r>
          </w:p>
          <w:p w:rsidR="00162B92" w:rsidP="00162B92" w14:paraId="4C80065E" w14:textId="77777777">
            <w:pPr>
              <w:numPr>
                <w:ilvl w:val="0"/>
                <w:numId w:val="23"/>
              </w:numPr>
              <w:rPr>
                <w:sz w:val="20"/>
              </w:rPr>
            </w:pPr>
            <w:r>
              <w:rPr>
                <w:sz w:val="20"/>
              </w:rPr>
              <w:t>Must show, if testimony at a trial or hearing is sought, that a deposition would not suffice</w:t>
            </w:r>
          </w:p>
        </w:tc>
        <w:tc>
          <w:tcPr>
            <w:tcW w:w="1306" w:type="dxa"/>
          </w:tcPr>
          <w:p w:rsidR="000A76A4" w14:paraId="668133CA" w14:textId="77777777">
            <w:pPr>
              <w:jc w:val="right"/>
              <w:rPr>
                <w:sz w:val="20"/>
              </w:rPr>
            </w:pPr>
            <w:r>
              <w:rPr>
                <w:sz w:val="20"/>
              </w:rPr>
              <w:t>2</w:t>
            </w:r>
          </w:p>
        </w:tc>
        <w:tc>
          <w:tcPr>
            <w:tcW w:w="1057" w:type="dxa"/>
          </w:tcPr>
          <w:p w:rsidR="000A76A4" w14:paraId="05ACBEF4" w14:textId="77777777">
            <w:pPr>
              <w:jc w:val="right"/>
              <w:rPr>
                <w:sz w:val="20"/>
              </w:rPr>
            </w:pPr>
            <w:r>
              <w:rPr>
                <w:sz w:val="20"/>
              </w:rPr>
              <w:t>3</w:t>
            </w:r>
          </w:p>
        </w:tc>
        <w:tc>
          <w:tcPr>
            <w:tcW w:w="1324" w:type="dxa"/>
          </w:tcPr>
          <w:p w:rsidR="000A76A4" w14:paraId="4F263FB3" w14:textId="77777777">
            <w:pPr>
              <w:jc w:val="right"/>
              <w:rPr>
                <w:sz w:val="20"/>
              </w:rPr>
            </w:pPr>
            <w:r>
              <w:rPr>
                <w:sz w:val="20"/>
              </w:rPr>
              <w:t>6</w:t>
            </w:r>
          </w:p>
        </w:tc>
      </w:tr>
      <w:tr w14:paraId="647B1624" w14:textId="77777777" w:rsidTr="00AF1C29">
        <w:tblPrEx>
          <w:tblW w:w="0" w:type="auto"/>
          <w:tblLook w:val="0000"/>
        </w:tblPrEx>
        <w:tc>
          <w:tcPr>
            <w:tcW w:w="2022" w:type="dxa"/>
          </w:tcPr>
          <w:p w:rsidR="000A76A4" w14:paraId="41C365A0" w14:textId="77777777">
            <w:pPr>
              <w:rPr>
                <w:sz w:val="20"/>
              </w:rPr>
            </w:pPr>
            <w:r>
              <w:rPr>
                <w:sz w:val="20"/>
              </w:rPr>
              <w:t>12 CFR 4.35(b)(3)</w:t>
            </w:r>
          </w:p>
          <w:p w:rsidR="000A76A4" w14:paraId="001E9201" w14:textId="77777777">
            <w:pPr>
              <w:rPr>
                <w:sz w:val="20"/>
              </w:rPr>
            </w:pPr>
            <w:r>
              <w:rPr>
                <w:sz w:val="20"/>
              </w:rPr>
              <w:t>Reporting</w:t>
            </w:r>
          </w:p>
        </w:tc>
        <w:tc>
          <w:tcPr>
            <w:tcW w:w="3641" w:type="dxa"/>
          </w:tcPr>
          <w:p w:rsidR="000A76A4" w14:paraId="2FD3F2E7" w14:textId="77777777">
            <w:pPr>
              <w:rPr>
                <w:sz w:val="20"/>
              </w:rPr>
            </w:pPr>
            <w:r>
              <w:rPr>
                <w:i/>
                <w:iCs/>
                <w:sz w:val="20"/>
                <w:u w:val="single"/>
              </w:rPr>
              <w:t>Consideration of requests – Testimony</w:t>
            </w:r>
            <w:r>
              <w:rPr>
                <w:i/>
                <w:iCs/>
                <w:sz w:val="20"/>
              </w:rPr>
              <w:t xml:space="preserve"> –</w:t>
            </w:r>
            <w:r>
              <w:rPr>
                <w:i/>
                <w:iCs/>
                <w:sz w:val="20"/>
                <w:u w:val="single"/>
              </w:rPr>
              <w:t>Third parties requesting testimony</w:t>
            </w:r>
            <w:r>
              <w:rPr>
                <w:i/>
                <w:iCs/>
                <w:sz w:val="20"/>
              </w:rPr>
              <w:t xml:space="preserve"> --  </w:t>
            </w:r>
            <w:r>
              <w:rPr>
                <w:sz w:val="20"/>
              </w:rPr>
              <w:t>Once a request for testimony has been submitted, and before the requested testimony occurs, a party to the relevant case, who did not join in the request and who wishes to question the witness beyond the scope of testimony sought by the request, shall timely submit the party’s own request for OCC information.</w:t>
            </w:r>
          </w:p>
        </w:tc>
        <w:tc>
          <w:tcPr>
            <w:tcW w:w="1306" w:type="dxa"/>
          </w:tcPr>
          <w:p w:rsidR="000A76A4" w14:paraId="711A46C8" w14:textId="77777777">
            <w:pPr>
              <w:jc w:val="right"/>
              <w:rPr>
                <w:sz w:val="20"/>
              </w:rPr>
            </w:pPr>
            <w:r>
              <w:rPr>
                <w:sz w:val="20"/>
              </w:rPr>
              <w:t>0</w:t>
            </w:r>
          </w:p>
        </w:tc>
        <w:tc>
          <w:tcPr>
            <w:tcW w:w="1057" w:type="dxa"/>
          </w:tcPr>
          <w:p w:rsidR="000A76A4" w14:paraId="181A5E18" w14:textId="77777777">
            <w:pPr>
              <w:jc w:val="right"/>
              <w:rPr>
                <w:sz w:val="20"/>
              </w:rPr>
            </w:pPr>
            <w:r>
              <w:rPr>
                <w:sz w:val="20"/>
              </w:rPr>
              <w:t>3</w:t>
            </w:r>
          </w:p>
        </w:tc>
        <w:tc>
          <w:tcPr>
            <w:tcW w:w="1324" w:type="dxa"/>
          </w:tcPr>
          <w:p w:rsidR="000A76A4" w14:paraId="469886E0" w14:textId="77777777">
            <w:pPr>
              <w:jc w:val="right"/>
              <w:rPr>
                <w:sz w:val="20"/>
              </w:rPr>
            </w:pPr>
            <w:r>
              <w:rPr>
                <w:sz w:val="20"/>
              </w:rPr>
              <w:t>0</w:t>
            </w:r>
          </w:p>
        </w:tc>
      </w:tr>
      <w:tr w14:paraId="02FA3A4F" w14:textId="77777777" w:rsidTr="00AF1C29">
        <w:tblPrEx>
          <w:tblW w:w="0" w:type="auto"/>
          <w:tblLook w:val="0000"/>
        </w:tblPrEx>
        <w:tc>
          <w:tcPr>
            <w:tcW w:w="2022" w:type="dxa"/>
          </w:tcPr>
          <w:p w:rsidR="000A76A4" w14:paraId="610D49F4" w14:textId="77777777">
            <w:pPr>
              <w:rPr>
                <w:sz w:val="20"/>
              </w:rPr>
            </w:pPr>
            <w:r>
              <w:rPr>
                <w:sz w:val="20"/>
              </w:rPr>
              <w:t>12 CFR 4.37(a)(2)</w:t>
            </w:r>
          </w:p>
          <w:p w:rsidR="000A76A4" w14:paraId="55DAFE8A" w14:textId="77777777">
            <w:pPr>
              <w:rPr>
                <w:sz w:val="20"/>
              </w:rPr>
            </w:pPr>
            <w:r>
              <w:rPr>
                <w:sz w:val="20"/>
              </w:rPr>
              <w:t>Reporting</w:t>
            </w:r>
          </w:p>
        </w:tc>
        <w:tc>
          <w:tcPr>
            <w:tcW w:w="3641" w:type="dxa"/>
          </w:tcPr>
          <w:p w:rsidR="000A76A4" w14:paraId="4D63D95C" w14:textId="77777777">
            <w:pPr>
              <w:rPr>
                <w:sz w:val="20"/>
                <w:u w:val="single"/>
              </w:rPr>
            </w:pPr>
            <w:r>
              <w:rPr>
                <w:i/>
                <w:iCs/>
                <w:sz w:val="20"/>
                <w:u w:val="single"/>
              </w:rPr>
              <w:t>Persons and entities with access to OCC information; prohibition on dissemination – Current and former OCC employees or agents -- Duty of person served</w:t>
            </w:r>
            <w:r>
              <w:rPr>
                <w:sz w:val="20"/>
                <w:u w:val="single"/>
              </w:rPr>
              <w:t xml:space="preserve"> – </w:t>
            </w:r>
          </w:p>
          <w:p w:rsidR="000A76A4" w14:paraId="0A96877A" w14:textId="77777777">
            <w:pPr>
              <w:pStyle w:val="FootnoteText"/>
            </w:pPr>
            <w:r>
              <w:t>Any current or former OCC employee or agent subpoenaed or otherwise requested to provide information covered by this subpart must immediately notify the OCC.</w:t>
            </w:r>
          </w:p>
        </w:tc>
        <w:tc>
          <w:tcPr>
            <w:tcW w:w="1306" w:type="dxa"/>
          </w:tcPr>
          <w:p w:rsidR="000A76A4" w14:paraId="4BD7F9C2" w14:textId="77777777">
            <w:pPr>
              <w:jc w:val="right"/>
              <w:rPr>
                <w:sz w:val="20"/>
              </w:rPr>
            </w:pPr>
            <w:r>
              <w:rPr>
                <w:sz w:val="20"/>
              </w:rPr>
              <w:t>0</w:t>
            </w:r>
          </w:p>
        </w:tc>
        <w:tc>
          <w:tcPr>
            <w:tcW w:w="1057" w:type="dxa"/>
          </w:tcPr>
          <w:p w:rsidR="000A76A4" w14:paraId="37956849" w14:textId="77777777">
            <w:pPr>
              <w:jc w:val="right"/>
              <w:rPr>
                <w:sz w:val="20"/>
              </w:rPr>
            </w:pPr>
            <w:r>
              <w:rPr>
                <w:sz w:val="20"/>
              </w:rPr>
              <w:t>2</w:t>
            </w:r>
          </w:p>
        </w:tc>
        <w:tc>
          <w:tcPr>
            <w:tcW w:w="1324" w:type="dxa"/>
          </w:tcPr>
          <w:p w:rsidR="000A76A4" w14:paraId="79CE8611" w14:textId="77777777">
            <w:pPr>
              <w:jc w:val="right"/>
              <w:rPr>
                <w:sz w:val="20"/>
              </w:rPr>
            </w:pPr>
            <w:r>
              <w:rPr>
                <w:sz w:val="20"/>
              </w:rPr>
              <w:t>0</w:t>
            </w:r>
          </w:p>
        </w:tc>
      </w:tr>
      <w:tr w14:paraId="27F70008" w14:textId="77777777" w:rsidTr="00AF1C29">
        <w:tblPrEx>
          <w:tblW w:w="0" w:type="auto"/>
          <w:tblLook w:val="0000"/>
        </w:tblPrEx>
        <w:tc>
          <w:tcPr>
            <w:tcW w:w="2022" w:type="dxa"/>
          </w:tcPr>
          <w:p w:rsidR="000A76A4" w14:paraId="549B8D30" w14:textId="77777777">
            <w:pPr>
              <w:rPr>
                <w:sz w:val="20"/>
              </w:rPr>
            </w:pPr>
            <w:r>
              <w:rPr>
                <w:sz w:val="20"/>
              </w:rPr>
              <w:t>12 CFR 4.37(b)(1)(i)</w:t>
            </w:r>
          </w:p>
          <w:p w:rsidR="000A76A4" w14:paraId="6E8455E2" w14:textId="77777777">
            <w:pPr>
              <w:rPr>
                <w:sz w:val="20"/>
              </w:rPr>
            </w:pPr>
            <w:r>
              <w:rPr>
                <w:sz w:val="20"/>
              </w:rPr>
              <w:t>Reporting</w:t>
            </w:r>
          </w:p>
        </w:tc>
        <w:tc>
          <w:tcPr>
            <w:tcW w:w="3641" w:type="dxa"/>
          </w:tcPr>
          <w:p w:rsidR="000A76A4" w14:paraId="65DFC213" w14:textId="77777777">
            <w:pPr>
              <w:rPr>
                <w:i/>
                <w:iCs/>
                <w:sz w:val="20"/>
                <w:u w:val="single"/>
              </w:rPr>
            </w:pPr>
            <w:r>
              <w:rPr>
                <w:i/>
                <w:iCs/>
                <w:sz w:val="20"/>
                <w:u w:val="single"/>
              </w:rPr>
              <w:t>Persons and entities with access to OCC information; prohibition on dissemination –</w:t>
            </w:r>
            <w:r>
              <w:rPr>
                <w:i/>
                <w:iCs/>
                <w:sz w:val="20"/>
                <w:u w:val="single"/>
              </w:rPr>
              <w:t>Non-OCC</w:t>
            </w:r>
            <w:r>
              <w:rPr>
                <w:i/>
                <w:iCs/>
                <w:sz w:val="20"/>
                <w:u w:val="single"/>
              </w:rPr>
              <w:t xml:space="preserve"> employees or entities – Generally</w:t>
            </w:r>
            <w:r>
              <w:rPr>
                <w:sz w:val="20"/>
              </w:rPr>
              <w:t xml:space="preserve"> – Without OCC approval, no person, national bank, or other entity, including one in lawful possession of non-public OCC information may disclose information</w:t>
            </w:r>
            <w:r w:rsidR="006D0026">
              <w:rPr>
                <w:sz w:val="20"/>
              </w:rPr>
              <w:t xml:space="preserve"> except under certain circumstances, which are provided in the regulation.</w:t>
            </w:r>
          </w:p>
        </w:tc>
        <w:tc>
          <w:tcPr>
            <w:tcW w:w="1306" w:type="dxa"/>
          </w:tcPr>
          <w:p w:rsidR="000A76A4" w14:paraId="54254039" w14:textId="77777777">
            <w:pPr>
              <w:jc w:val="right"/>
              <w:rPr>
                <w:sz w:val="20"/>
              </w:rPr>
            </w:pPr>
            <w:r>
              <w:rPr>
                <w:sz w:val="20"/>
              </w:rPr>
              <w:t>0</w:t>
            </w:r>
          </w:p>
        </w:tc>
        <w:tc>
          <w:tcPr>
            <w:tcW w:w="1057" w:type="dxa"/>
          </w:tcPr>
          <w:p w:rsidR="000A76A4" w14:paraId="341DA512" w14:textId="77777777">
            <w:pPr>
              <w:jc w:val="right"/>
              <w:rPr>
                <w:sz w:val="20"/>
              </w:rPr>
            </w:pPr>
            <w:r>
              <w:rPr>
                <w:sz w:val="20"/>
              </w:rPr>
              <w:t>3</w:t>
            </w:r>
          </w:p>
        </w:tc>
        <w:tc>
          <w:tcPr>
            <w:tcW w:w="1324" w:type="dxa"/>
          </w:tcPr>
          <w:p w:rsidR="000A76A4" w14:paraId="70527FA0" w14:textId="77777777">
            <w:pPr>
              <w:jc w:val="right"/>
              <w:rPr>
                <w:sz w:val="20"/>
              </w:rPr>
            </w:pPr>
            <w:r>
              <w:rPr>
                <w:sz w:val="20"/>
              </w:rPr>
              <w:t>0</w:t>
            </w:r>
          </w:p>
        </w:tc>
      </w:tr>
      <w:tr w14:paraId="5C51645D" w14:textId="77777777" w:rsidTr="00AF1C29">
        <w:tblPrEx>
          <w:tblW w:w="0" w:type="auto"/>
          <w:tblLook w:val="0000"/>
        </w:tblPrEx>
        <w:tc>
          <w:tcPr>
            <w:tcW w:w="2022" w:type="dxa"/>
          </w:tcPr>
          <w:p w:rsidR="000A76A4" w14:paraId="49C903C1" w14:textId="77777777">
            <w:pPr>
              <w:rPr>
                <w:sz w:val="20"/>
              </w:rPr>
            </w:pPr>
            <w:r>
              <w:rPr>
                <w:sz w:val="20"/>
              </w:rPr>
              <w:t>12 CFR 4.37(b)(3)(i)</w:t>
            </w:r>
          </w:p>
          <w:p w:rsidR="000A76A4" w14:paraId="3FA1DC94" w14:textId="77777777">
            <w:pPr>
              <w:rPr>
                <w:sz w:val="20"/>
              </w:rPr>
            </w:pPr>
            <w:r>
              <w:rPr>
                <w:sz w:val="20"/>
              </w:rPr>
              <w:t>Reporting</w:t>
            </w:r>
          </w:p>
        </w:tc>
        <w:tc>
          <w:tcPr>
            <w:tcW w:w="3641" w:type="dxa"/>
          </w:tcPr>
          <w:p w:rsidR="000A76A4" w14:paraId="3F97EEF6" w14:textId="77777777">
            <w:pPr>
              <w:rPr>
                <w:sz w:val="20"/>
              </w:rPr>
            </w:pPr>
            <w:r>
              <w:rPr>
                <w:i/>
                <w:iCs/>
                <w:sz w:val="20"/>
                <w:u w:val="single"/>
              </w:rPr>
              <w:t>Persons and entities with access to OCC information; prohibition on dissemination – Non-OCC employees or entities -- Duty of person or entity served</w:t>
            </w:r>
            <w:r>
              <w:rPr>
                <w:sz w:val="20"/>
              </w:rPr>
              <w:t xml:space="preserve"> – Any person, national bank, or other entity served with a request, subpoena, order, motion to compel, or other judicial or administrative process to provide non-public OCC information shall </w:t>
            </w:r>
            <w:r w:rsidR="006D0026">
              <w:rPr>
                <w:sz w:val="20"/>
              </w:rPr>
              <w:t xml:space="preserve">immediately </w:t>
            </w:r>
            <w:r>
              <w:rPr>
                <w:sz w:val="20"/>
              </w:rPr>
              <w:t xml:space="preserve">notify the </w:t>
            </w:r>
            <w:r w:rsidR="00162B92">
              <w:rPr>
                <w:sz w:val="20"/>
              </w:rPr>
              <w:t xml:space="preserve">Director of </w:t>
            </w:r>
            <w:r>
              <w:rPr>
                <w:sz w:val="20"/>
              </w:rPr>
              <w:t>OCC</w:t>
            </w:r>
            <w:r w:rsidR="00162B92">
              <w:rPr>
                <w:sz w:val="20"/>
              </w:rPr>
              <w:t>’s Litigation Division</w:t>
            </w:r>
            <w:r>
              <w:rPr>
                <w:sz w:val="20"/>
              </w:rPr>
              <w:t xml:space="preserve"> and inform the </w:t>
            </w:r>
            <w:r w:rsidR="00162B92">
              <w:rPr>
                <w:sz w:val="20"/>
              </w:rPr>
              <w:t>Director</w:t>
            </w:r>
            <w:r>
              <w:rPr>
                <w:sz w:val="20"/>
              </w:rPr>
              <w:t xml:space="preserve"> of all relevant facts, including the documents and information requested.</w:t>
            </w:r>
          </w:p>
        </w:tc>
        <w:tc>
          <w:tcPr>
            <w:tcW w:w="1306" w:type="dxa"/>
          </w:tcPr>
          <w:p w:rsidR="000A76A4" w14:paraId="42B71B00" w14:textId="77777777">
            <w:pPr>
              <w:jc w:val="right"/>
              <w:rPr>
                <w:sz w:val="20"/>
              </w:rPr>
            </w:pPr>
            <w:r>
              <w:rPr>
                <w:sz w:val="20"/>
              </w:rPr>
              <w:t>0</w:t>
            </w:r>
          </w:p>
        </w:tc>
        <w:tc>
          <w:tcPr>
            <w:tcW w:w="1057" w:type="dxa"/>
          </w:tcPr>
          <w:p w:rsidR="000A76A4" w14:paraId="05939B5B" w14:textId="77777777">
            <w:pPr>
              <w:jc w:val="right"/>
              <w:rPr>
                <w:sz w:val="20"/>
              </w:rPr>
            </w:pPr>
            <w:r>
              <w:rPr>
                <w:sz w:val="20"/>
              </w:rPr>
              <w:t>2</w:t>
            </w:r>
          </w:p>
        </w:tc>
        <w:tc>
          <w:tcPr>
            <w:tcW w:w="1324" w:type="dxa"/>
          </w:tcPr>
          <w:p w:rsidR="000A76A4" w14:paraId="0ABBA90F" w14:textId="77777777">
            <w:pPr>
              <w:jc w:val="right"/>
              <w:rPr>
                <w:sz w:val="20"/>
              </w:rPr>
            </w:pPr>
            <w:r>
              <w:rPr>
                <w:sz w:val="20"/>
              </w:rPr>
              <w:t>0</w:t>
            </w:r>
          </w:p>
        </w:tc>
      </w:tr>
      <w:tr w14:paraId="3AC6FC35" w14:textId="77777777" w:rsidTr="00AF1C29">
        <w:tblPrEx>
          <w:tblW w:w="0" w:type="auto"/>
          <w:tblLook w:val="0000"/>
        </w:tblPrEx>
        <w:tc>
          <w:tcPr>
            <w:tcW w:w="2022" w:type="dxa"/>
          </w:tcPr>
          <w:p w:rsidR="000A76A4" w14:paraId="39841B4D" w14:textId="77777777">
            <w:pPr>
              <w:rPr>
                <w:sz w:val="20"/>
              </w:rPr>
            </w:pPr>
            <w:r>
              <w:rPr>
                <w:sz w:val="20"/>
              </w:rPr>
              <w:t>12 CFR 4.38(a) and (b)</w:t>
            </w:r>
          </w:p>
          <w:p w:rsidR="000A76A4" w14:paraId="1C1838CF" w14:textId="77777777">
            <w:pPr>
              <w:rPr>
                <w:sz w:val="20"/>
              </w:rPr>
            </w:pPr>
            <w:r>
              <w:rPr>
                <w:sz w:val="20"/>
              </w:rPr>
              <w:t>Reporting</w:t>
            </w:r>
          </w:p>
        </w:tc>
        <w:tc>
          <w:tcPr>
            <w:tcW w:w="3641" w:type="dxa"/>
          </w:tcPr>
          <w:p w:rsidR="000A76A4" w14:paraId="68481CE3" w14:textId="77777777">
            <w:pPr>
              <w:rPr>
                <w:sz w:val="20"/>
              </w:rPr>
            </w:pPr>
            <w:r>
              <w:rPr>
                <w:i/>
                <w:iCs/>
                <w:sz w:val="20"/>
                <w:u w:val="single"/>
              </w:rPr>
              <w:t>Restrictions on dissemination of released information – Records</w:t>
            </w:r>
            <w:r>
              <w:rPr>
                <w:sz w:val="20"/>
              </w:rPr>
              <w:t xml:space="preserve"> – The OCC may </w:t>
            </w:r>
            <w:r>
              <w:rPr>
                <w:sz w:val="20"/>
              </w:rPr>
              <w:t>condition a decision to release non-public OCC information on a written agreement of confidentiality.</w:t>
            </w:r>
          </w:p>
          <w:p w:rsidR="000A76A4" w14:paraId="31891971" w14:textId="77777777">
            <w:pPr>
              <w:rPr>
                <w:sz w:val="20"/>
              </w:rPr>
            </w:pPr>
          </w:p>
          <w:p w:rsidR="000A76A4" w14:paraId="73A1C9E2" w14:textId="77777777">
            <w:pPr>
              <w:rPr>
                <w:sz w:val="20"/>
              </w:rPr>
            </w:pPr>
            <w:r>
              <w:rPr>
                <w:i/>
                <w:iCs/>
                <w:sz w:val="20"/>
                <w:u w:val="single"/>
              </w:rPr>
              <w:t>Restrictions on dissemination of released information – Testimony</w:t>
            </w:r>
            <w:r>
              <w:rPr>
                <w:sz w:val="20"/>
              </w:rPr>
              <w:t xml:space="preserve"> – The OCC may condition its authorization of deposition testimony on an agreement of the parties to appropriate limitations.</w:t>
            </w:r>
          </w:p>
        </w:tc>
        <w:tc>
          <w:tcPr>
            <w:tcW w:w="1306" w:type="dxa"/>
          </w:tcPr>
          <w:p w:rsidR="000A76A4" w14:paraId="20CAC808" w14:textId="77777777">
            <w:pPr>
              <w:jc w:val="right"/>
              <w:rPr>
                <w:sz w:val="20"/>
              </w:rPr>
            </w:pPr>
            <w:r>
              <w:rPr>
                <w:sz w:val="20"/>
              </w:rPr>
              <w:t>0</w:t>
            </w:r>
          </w:p>
        </w:tc>
        <w:tc>
          <w:tcPr>
            <w:tcW w:w="1057" w:type="dxa"/>
          </w:tcPr>
          <w:p w:rsidR="000A76A4" w14:paraId="1E68A829" w14:textId="77777777">
            <w:pPr>
              <w:jc w:val="right"/>
              <w:rPr>
                <w:sz w:val="20"/>
              </w:rPr>
            </w:pPr>
            <w:r>
              <w:rPr>
                <w:sz w:val="20"/>
              </w:rPr>
              <w:t>4</w:t>
            </w:r>
          </w:p>
        </w:tc>
        <w:tc>
          <w:tcPr>
            <w:tcW w:w="1324" w:type="dxa"/>
          </w:tcPr>
          <w:p w:rsidR="000A76A4" w14:paraId="3007EAC9" w14:textId="77777777">
            <w:pPr>
              <w:jc w:val="right"/>
              <w:rPr>
                <w:sz w:val="20"/>
              </w:rPr>
            </w:pPr>
            <w:r>
              <w:rPr>
                <w:sz w:val="20"/>
              </w:rPr>
              <w:t>0</w:t>
            </w:r>
          </w:p>
        </w:tc>
      </w:tr>
      <w:tr w14:paraId="0B67A571" w14:textId="77777777" w:rsidTr="00AF1C29">
        <w:tblPrEx>
          <w:tblW w:w="0" w:type="auto"/>
          <w:tblLook w:val="0000"/>
        </w:tblPrEx>
        <w:tc>
          <w:tcPr>
            <w:tcW w:w="2022" w:type="dxa"/>
          </w:tcPr>
          <w:p w:rsidR="000A76A4" w14:paraId="7EC65943" w14:textId="77777777">
            <w:pPr>
              <w:rPr>
                <w:sz w:val="20"/>
              </w:rPr>
            </w:pPr>
            <w:r>
              <w:rPr>
                <w:sz w:val="20"/>
              </w:rPr>
              <w:t>12 CFR 4.39(d)</w:t>
            </w:r>
          </w:p>
          <w:p w:rsidR="000A76A4" w14:paraId="1A5B61A5" w14:textId="77777777">
            <w:pPr>
              <w:rPr>
                <w:sz w:val="20"/>
              </w:rPr>
            </w:pPr>
            <w:r>
              <w:rPr>
                <w:sz w:val="20"/>
              </w:rPr>
              <w:t>Reporting</w:t>
            </w:r>
          </w:p>
        </w:tc>
        <w:tc>
          <w:tcPr>
            <w:tcW w:w="3641" w:type="dxa"/>
          </w:tcPr>
          <w:p w:rsidR="000A76A4" w14:paraId="3EBDA59F" w14:textId="77777777">
            <w:pPr>
              <w:rPr>
                <w:sz w:val="20"/>
              </w:rPr>
            </w:pPr>
            <w:r>
              <w:rPr>
                <w:i/>
                <w:iCs/>
                <w:sz w:val="20"/>
                <w:u w:val="single"/>
              </w:rPr>
              <w:t>Notification of parties and procedures for sharing and using OCC records in litigation – Authentication for use as evidence</w:t>
            </w:r>
            <w:r>
              <w:rPr>
                <w:sz w:val="20"/>
              </w:rPr>
              <w:t xml:space="preserve"> – Requesters who require authenticated records or certificates should request certificates from the OCC.</w:t>
            </w:r>
          </w:p>
        </w:tc>
        <w:tc>
          <w:tcPr>
            <w:tcW w:w="1306" w:type="dxa"/>
          </w:tcPr>
          <w:p w:rsidR="000A76A4" w14:paraId="0C87A4D3" w14:textId="77777777">
            <w:pPr>
              <w:jc w:val="right"/>
              <w:rPr>
                <w:sz w:val="20"/>
              </w:rPr>
            </w:pPr>
            <w:r>
              <w:rPr>
                <w:sz w:val="20"/>
              </w:rPr>
              <w:t>0</w:t>
            </w:r>
          </w:p>
        </w:tc>
        <w:tc>
          <w:tcPr>
            <w:tcW w:w="1057" w:type="dxa"/>
          </w:tcPr>
          <w:p w:rsidR="000A76A4" w14:paraId="4ACAE0E2" w14:textId="77777777">
            <w:pPr>
              <w:jc w:val="right"/>
              <w:rPr>
                <w:sz w:val="20"/>
              </w:rPr>
            </w:pPr>
            <w:r>
              <w:rPr>
                <w:sz w:val="20"/>
              </w:rPr>
              <w:t>1</w:t>
            </w:r>
          </w:p>
        </w:tc>
        <w:tc>
          <w:tcPr>
            <w:tcW w:w="1324" w:type="dxa"/>
          </w:tcPr>
          <w:p w:rsidR="000A76A4" w14:paraId="64221AB6" w14:textId="77777777">
            <w:pPr>
              <w:jc w:val="right"/>
              <w:rPr>
                <w:sz w:val="20"/>
              </w:rPr>
            </w:pPr>
            <w:r>
              <w:rPr>
                <w:sz w:val="20"/>
              </w:rPr>
              <w:t>0</w:t>
            </w:r>
          </w:p>
        </w:tc>
      </w:tr>
      <w:tr w14:paraId="00E38156" w14:textId="77777777" w:rsidTr="00AF1C29">
        <w:tblPrEx>
          <w:tblW w:w="0" w:type="auto"/>
          <w:tblLook w:val="0000"/>
        </w:tblPrEx>
        <w:tc>
          <w:tcPr>
            <w:tcW w:w="2022" w:type="dxa"/>
          </w:tcPr>
          <w:p w:rsidR="000A76A4" w14:paraId="2242940E" w14:textId="77777777">
            <w:pPr>
              <w:rPr>
                <w:b/>
                <w:bCs/>
                <w:sz w:val="20"/>
              </w:rPr>
            </w:pPr>
            <w:r>
              <w:rPr>
                <w:b/>
                <w:bCs/>
                <w:sz w:val="20"/>
              </w:rPr>
              <w:t>Totals</w:t>
            </w:r>
          </w:p>
        </w:tc>
        <w:tc>
          <w:tcPr>
            <w:tcW w:w="3641" w:type="dxa"/>
          </w:tcPr>
          <w:p w:rsidR="000A76A4" w14:paraId="6F3692CF" w14:textId="77777777">
            <w:pPr>
              <w:rPr>
                <w:sz w:val="20"/>
              </w:rPr>
            </w:pPr>
          </w:p>
        </w:tc>
        <w:tc>
          <w:tcPr>
            <w:tcW w:w="1306" w:type="dxa"/>
          </w:tcPr>
          <w:p w:rsidR="000A76A4" w14:paraId="1BAAF21B" w14:textId="77777777">
            <w:pPr>
              <w:jc w:val="right"/>
              <w:rPr>
                <w:b/>
                <w:bCs/>
                <w:sz w:val="20"/>
              </w:rPr>
            </w:pPr>
            <w:r>
              <w:rPr>
                <w:b/>
                <w:bCs/>
                <w:sz w:val="20"/>
              </w:rPr>
              <w:t>2</w:t>
            </w:r>
          </w:p>
        </w:tc>
        <w:tc>
          <w:tcPr>
            <w:tcW w:w="1057" w:type="dxa"/>
          </w:tcPr>
          <w:p w:rsidR="000A76A4" w14:paraId="0816C6A9" w14:textId="77777777">
            <w:pPr>
              <w:jc w:val="right"/>
              <w:rPr>
                <w:b/>
                <w:bCs/>
                <w:sz w:val="20"/>
              </w:rPr>
            </w:pPr>
          </w:p>
        </w:tc>
        <w:tc>
          <w:tcPr>
            <w:tcW w:w="1324" w:type="dxa"/>
          </w:tcPr>
          <w:p w:rsidR="000A76A4" w14:paraId="6CCFF47E" w14:textId="77777777">
            <w:pPr>
              <w:jc w:val="right"/>
              <w:rPr>
                <w:b/>
                <w:bCs/>
                <w:sz w:val="20"/>
              </w:rPr>
            </w:pPr>
            <w:r>
              <w:rPr>
                <w:b/>
                <w:bCs/>
                <w:sz w:val="20"/>
              </w:rPr>
              <w:t>6</w:t>
            </w:r>
            <w:r>
              <w:rPr>
                <w:b/>
                <w:bCs/>
                <w:sz w:val="20"/>
              </w:rPr>
              <w:t xml:space="preserve"> hours</w:t>
            </w:r>
          </w:p>
        </w:tc>
      </w:tr>
    </w:tbl>
    <w:p w:rsidR="000A76A4" w14:paraId="398EDDD9" w14:textId="77777777"/>
    <w:p w:rsidR="000A76A4" w:rsidRPr="00A57CBA" w14:paraId="38E1A5CC" w14:textId="77777777">
      <w:pPr>
        <w:rPr>
          <w:b/>
          <w:bCs/>
          <w:iCs/>
        </w:rPr>
      </w:pPr>
      <w:r w:rsidRPr="00A57CBA">
        <w:rPr>
          <w:b/>
          <w:bCs/>
          <w:iCs/>
        </w:rPr>
        <w:t>Cost of Hour Burden to Respondents:</w:t>
      </w:r>
    </w:p>
    <w:p w:rsidR="00A57CBA" w:rsidRPr="00A57CBA" w14:paraId="43A26664" w14:textId="77777777">
      <w:pPr>
        <w:rPr>
          <w:b/>
          <w:bCs/>
          <w:iCs/>
        </w:rPr>
      </w:pPr>
    </w:p>
    <w:p w:rsidR="00A57CBA" w:rsidRPr="00A57CBA" w14:paraId="483ED7A7" w14:textId="6E897035">
      <w:pPr>
        <w:rPr>
          <w:b/>
          <w:bCs/>
          <w:iCs/>
        </w:rPr>
      </w:pPr>
      <w:r>
        <w:rPr>
          <w:b/>
          <w:bCs/>
          <w:iCs/>
        </w:rPr>
        <w:t>6</w:t>
      </w:r>
      <w:r w:rsidR="00122E08">
        <w:rPr>
          <w:b/>
          <w:bCs/>
          <w:iCs/>
        </w:rPr>
        <w:t xml:space="preserve"> hours</w:t>
      </w:r>
      <w:r>
        <w:rPr>
          <w:b/>
          <w:bCs/>
          <w:iCs/>
        </w:rPr>
        <w:t xml:space="preserve"> x $1</w:t>
      </w:r>
      <w:r w:rsidR="00A97F7C">
        <w:rPr>
          <w:b/>
          <w:bCs/>
          <w:iCs/>
        </w:rPr>
        <w:t>29.40</w:t>
      </w:r>
      <w:r>
        <w:rPr>
          <w:b/>
          <w:bCs/>
          <w:iCs/>
        </w:rPr>
        <w:t xml:space="preserve"> = $</w:t>
      </w:r>
      <w:r w:rsidR="00A97F7C">
        <w:rPr>
          <w:b/>
          <w:bCs/>
          <w:iCs/>
        </w:rPr>
        <w:t>776.40</w:t>
      </w:r>
    </w:p>
    <w:p w:rsidR="000A76A4" w14:paraId="2DE40CE4" w14:textId="77777777">
      <w:pPr>
        <w:rPr>
          <w:b/>
          <w:bCs/>
        </w:rPr>
      </w:pPr>
    </w:p>
    <w:p w:rsidR="009A4571" w:rsidRPr="00A62A21" w:rsidP="009A4571" w14:paraId="74EBF33B" w14:textId="755D7F3D">
      <w:r>
        <w:rPr>
          <w:color w:val="000000"/>
          <w:szCs w:val="24"/>
        </w:rPr>
        <w:t>To estimate wages the OCC reviewed May 202</w:t>
      </w:r>
      <w:r w:rsidR="00A97F7C">
        <w:rPr>
          <w:color w:val="000000"/>
          <w:szCs w:val="24"/>
        </w:rPr>
        <w:t>3</w:t>
      </w:r>
      <w:r>
        <w:rPr>
          <w:color w:val="000000"/>
          <w:szCs w:val="24"/>
        </w:rPr>
        <w:t xml:space="preserve"> data for wages (by industry and occupation) from the U.S. Bureau of Labor Statistics (BLS) for credit intermediation and related activities (NAICS 5220A1).  To estimate compensation costs associated with the rule, the OCC uses $1</w:t>
      </w:r>
      <w:r w:rsidR="00A97F7C">
        <w:rPr>
          <w:color w:val="000000"/>
          <w:szCs w:val="24"/>
        </w:rPr>
        <w:t>29.40</w:t>
      </w:r>
      <w:r>
        <w:rPr>
          <w:color w:val="000000"/>
          <w:szCs w:val="24"/>
        </w:rPr>
        <w:t xml:space="preserve"> per hour, which is based on the average of the 90th percentile for six occupations adjusted for inflation (</w:t>
      </w:r>
      <w:r w:rsidR="00A97F7C">
        <w:rPr>
          <w:color w:val="000000"/>
          <w:szCs w:val="24"/>
        </w:rPr>
        <w:t>4.3</w:t>
      </w:r>
      <w:r>
        <w:rPr>
          <w:color w:val="000000"/>
          <w:szCs w:val="24"/>
        </w:rPr>
        <w:t xml:space="preserve"> percent as of Q1 202</w:t>
      </w:r>
      <w:r w:rsidR="00A97F7C">
        <w:rPr>
          <w:color w:val="000000"/>
          <w:szCs w:val="24"/>
        </w:rPr>
        <w:t>4</w:t>
      </w:r>
      <w:r>
        <w:rPr>
          <w:color w:val="000000"/>
          <w:szCs w:val="24"/>
        </w:rPr>
        <w:t>), plus an additional 34</w:t>
      </w:r>
      <w:r w:rsidR="002148CD">
        <w:rPr>
          <w:color w:val="000000"/>
          <w:szCs w:val="24"/>
        </w:rPr>
        <w:t>.6</w:t>
      </w:r>
      <w:r>
        <w:rPr>
          <w:color w:val="000000"/>
          <w:szCs w:val="24"/>
        </w:rPr>
        <w:t xml:space="preserve"> percent for benefits (based on the percent of total compensation allocated to benefits as of Q4 202</w:t>
      </w:r>
      <w:r w:rsidR="002148CD">
        <w:rPr>
          <w:color w:val="000000"/>
          <w:szCs w:val="24"/>
        </w:rPr>
        <w:t>3</w:t>
      </w:r>
      <w:r>
        <w:rPr>
          <w:color w:val="000000"/>
          <w:szCs w:val="24"/>
        </w:rPr>
        <w:t xml:space="preserve"> for NAICS 522: credit intermediation and related activities).</w:t>
      </w:r>
    </w:p>
    <w:p w:rsidR="000A76A4" w14:paraId="4E51F694" w14:textId="77777777"/>
    <w:p w:rsidR="000A76A4" w14:paraId="396D642F" w14:textId="77777777">
      <w:pPr>
        <w:pStyle w:val="BodyText"/>
        <w:rPr>
          <w:b/>
          <w:bCs/>
        </w:rPr>
      </w:pPr>
      <w:r>
        <w:rPr>
          <w:b/>
          <w:bCs/>
        </w:rPr>
        <w:t>13.  Estimate of total annual costs to respondents (excluding cost of hour burden in Item #12):</w:t>
      </w:r>
    </w:p>
    <w:p w:rsidR="000A76A4" w14:paraId="34A91F70" w14:textId="77777777"/>
    <w:p w:rsidR="00F609CF" w:rsidP="00F609CF" w14:paraId="5727E6A6" w14:textId="77777777">
      <w:pPr>
        <w:rPr>
          <w:szCs w:val="24"/>
        </w:rPr>
      </w:pPr>
      <w:r>
        <w:rPr>
          <w:szCs w:val="24"/>
        </w:rPr>
        <w:tab/>
        <w:t>Not applicable.</w:t>
      </w:r>
    </w:p>
    <w:p w:rsidR="000A76A4" w14:paraId="30C85BC7" w14:textId="77777777"/>
    <w:p w:rsidR="000A76A4" w14:paraId="1175A33C" w14:textId="77777777">
      <w:pPr>
        <w:pStyle w:val="BodyText"/>
        <w:rPr>
          <w:b/>
          <w:bCs/>
        </w:rPr>
      </w:pPr>
      <w:r>
        <w:rPr>
          <w:b/>
          <w:bCs/>
        </w:rPr>
        <w:t>14.  Estimate of annualized costs to the Federal government:</w:t>
      </w:r>
    </w:p>
    <w:p w:rsidR="000A76A4" w14:paraId="6903E247" w14:textId="77777777"/>
    <w:p w:rsidR="000A76A4" w14:paraId="550CA172" w14:textId="77777777">
      <w:r>
        <w:tab/>
      </w:r>
      <w:r>
        <w:t>None.</w:t>
      </w:r>
    </w:p>
    <w:p w:rsidR="009B0D31" w14:paraId="609A8294" w14:textId="77777777"/>
    <w:p w:rsidR="000A76A4" w14:paraId="229064C0" w14:textId="77777777">
      <w:pPr>
        <w:pStyle w:val="BodyText"/>
        <w:rPr>
          <w:b/>
          <w:bCs/>
        </w:rPr>
      </w:pPr>
      <w:r>
        <w:rPr>
          <w:b/>
          <w:bCs/>
        </w:rPr>
        <w:t>15.  Change in burden:</w:t>
      </w:r>
    </w:p>
    <w:p w:rsidR="000A76A4" w14:paraId="1875CC54" w14:textId="77777777"/>
    <w:p w:rsidR="00931F3F" w:rsidP="009A4571" w14:paraId="1009CB61" w14:textId="409DC22A">
      <w:r>
        <w:tab/>
      </w:r>
      <w:r w:rsidR="009A4571">
        <w:t>There is no change in burden.</w:t>
      </w:r>
    </w:p>
    <w:p w:rsidR="000A76A4" w14:paraId="5B888142" w14:textId="77777777"/>
    <w:p w:rsidR="000A76A4" w14:paraId="1ED3A575" w14:textId="77777777">
      <w:pPr>
        <w:pStyle w:val="BodyText"/>
        <w:rPr>
          <w:b/>
          <w:bCs/>
        </w:rPr>
      </w:pPr>
      <w:r>
        <w:rPr>
          <w:b/>
          <w:bCs/>
        </w:rPr>
        <w:t>16.  Information regarding collections whose results are to be published for statistical use:</w:t>
      </w:r>
    </w:p>
    <w:p w:rsidR="000A76A4" w14:paraId="387F433C" w14:textId="77777777"/>
    <w:p w:rsidR="000A76A4" w14:paraId="05432473" w14:textId="77777777">
      <w:r>
        <w:tab/>
      </w:r>
      <w:r w:rsidR="009B0D31">
        <w:t>Not applicable.</w:t>
      </w:r>
    </w:p>
    <w:p w:rsidR="000A76A4" w14:paraId="7BDA0679" w14:textId="77777777"/>
    <w:p w:rsidR="000A76A4" w14:paraId="763740B9" w14:textId="77777777">
      <w:pPr>
        <w:pStyle w:val="BodyText"/>
        <w:rPr>
          <w:b/>
          <w:bCs/>
        </w:rPr>
      </w:pPr>
      <w:r>
        <w:rPr>
          <w:b/>
          <w:bCs/>
        </w:rPr>
        <w:t>17.  Reasons for not displaying OMB approval expiration date:</w:t>
      </w:r>
    </w:p>
    <w:p w:rsidR="000A76A4" w14:paraId="40BAE148" w14:textId="77777777"/>
    <w:p w:rsidR="000A76A4" w14:paraId="5C616C88" w14:textId="77777777">
      <w:r>
        <w:tab/>
      </w:r>
      <w:r>
        <w:t xml:space="preserve">Not applicable.  </w:t>
      </w:r>
    </w:p>
    <w:p w:rsidR="000A76A4" w14:paraId="208D9465" w14:textId="77777777"/>
    <w:p w:rsidR="000A76A4" w14:paraId="7282AB3F" w14:textId="77777777">
      <w:pPr>
        <w:pStyle w:val="BodyText"/>
        <w:rPr>
          <w:b/>
          <w:bCs/>
        </w:rPr>
      </w:pPr>
      <w:r>
        <w:rPr>
          <w:b/>
          <w:bCs/>
        </w:rPr>
        <w:t>18.  Exceptions to the certification statement:</w:t>
      </w:r>
    </w:p>
    <w:p w:rsidR="000A76A4" w14:paraId="19F097CF" w14:textId="77777777"/>
    <w:p w:rsidR="000A76A4" w14:paraId="3DFCA6DB" w14:textId="77777777">
      <w:r>
        <w:tab/>
      </w:r>
      <w:r>
        <w:t>None.</w:t>
      </w:r>
    </w:p>
    <w:p w:rsidR="000A76A4" w14:paraId="209A046A" w14:textId="77777777">
      <w:pPr>
        <w:rPr>
          <w:b/>
          <w:bCs/>
        </w:rPr>
      </w:pPr>
    </w:p>
    <w:p w:rsidR="000A76A4" w14:paraId="4FA81CB7" w14:textId="77777777">
      <w:r>
        <w:rPr>
          <w:b/>
          <w:bCs/>
        </w:rPr>
        <w:t>B.  Collections of Information Employing Statistical Methods.</w:t>
      </w:r>
    </w:p>
    <w:p w:rsidR="000A76A4" w14:paraId="7F6279E2" w14:textId="77777777"/>
    <w:p w:rsidR="000A76A4" w14:paraId="7FEAD865" w14:textId="77777777">
      <w:r>
        <w:tab/>
      </w:r>
      <w:r>
        <w:t>Not applicable.</w:t>
      </w:r>
    </w:p>
    <w:sectPr>
      <w:footerReference w:type="even" r:id="rId4"/>
      <w:footerReference w:type="default" r:id="rId5"/>
      <w:pgSz w:w="12240" w:h="15840"/>
      <w:pgMar w:top="1440" w:right="1440" w:bottom="1440" w:left="1440"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42C0" w14:paraId="62FB74F7"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542C0" w14:paraId="63C3038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42C0" w14:paraId="5B2E53AA"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97AF6">
      <w:rPr>
        <w:rStyle w:val="PageNumber"/>
        <w:noProof/>
      </w:rPr>
      <w:t>6</w:t>
    </w:r>
    <w:r>
      <w:rPr>
        <w:rStyle w:val="PageNumber"/>
      </w:rPr>
      <w:fldChar w:fldCharType="end"/>
    </w:r>
  </w:p>
  <w:p w:rsidR="006542C0" w14:paraId="1B4C78BA"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0191B"/>
    <w:multiLevelType w:val="hybridMultilevel"/>
    <w:tmpl w:val="0A2C7592"/>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9180C26"/>
    <w:multiLevelType w:val="multilevel"/>
    <w:tmpl w:val="577EE89A"/>
    <w:lvl w:ilvl="0">
      <w:start w:val="1"/>
      <w:numFmt w:val="upperRoman"/>
      <w:suff w:val="nothing"/>
      <w:lvlText w:val="Article %1"/>
      <w:lvlJc w:val="left"/>
      <w:pPr>
        <w:ind w:left="0" w:firstLine="0"/>
      </w:pPr>
      <w:rPr>
        <w:b w:val="0"/>
        <w:i w:val="0"/>
      </w:rPr>
    </w:lvl>
    <w:lvl w:ilvl="1">
      <w:start w:val="1"/>
      <w:numFmt w:val="decimal"/>
      <w:lvlText w:val="(%2)"/>
      <w:lvlJc w:val="left"/>
      <w:pPr>
        <w:tabs>
          <w:tab w:val="num" w:pos="36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nsid w:val="09703BD4"/>
    <w:multiLevelType w:val="hybridMultilevel"/>
    <w:tmpl w:val="D8F4AFE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CCC1986"/>
    <w:multiLevelType w:val="multilevel"/>
    <w:tmpl w:val="CC36E874"/>
    <w:lvl w:ilvl="0">
      <w:start w:val="1"/>
      <w:numFmt w:val="upperRoman"/>
      <w:suff w:val="nothing"/>
      <w:lvlText w:val="Article %1"/>
      <w:lvlJc w:val="left"/>
      <w:pPr>
        <w:ind w:left="0" w:firstLine="0"/>
      </w:pPr>
      <w:rPr>
        <w:b w:val="0"/>
        <w:i w:val="0"/>
      </w:rPr>
    </w:lvl>
    <w:lvl w:ilvl="1">
      <w:start w:val="1"/>
      <w:numFmt w:val="decimal"/>
      <w:lvlText w:val="(%2)"/>
      <w:lvlJc w:val="left"/>
      <w:pPr>
        <w:tabs>
          <w:tab w:val="num" w:pos="1080"/>
        </w:tabs>
        <w:ind w:left="0" w:firstLine="720"/>
      </w:pPr>
    </w:lvl>
    <w:lvl w:ilvl="2">
      <w:start w:val="1"/>
      <w:numFmt w:val="lowerLetter"/>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
    <w:nsid w:val="0D884967"/>
    <w:multiLevelType w:val="hybridMultilevel"/>
    <w:tmpl w:val="82EAD22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31863170"/>
    <w:multiLevelType w:val="hybridMultilevel"/>
    <w:tmpl w:val="7E782D8E"/>
    <w:lvl w:ilvl="0">
      <w:start w:val="1"/>
      <w:numFmt w:val="bullet"/>
      <w:lvlText w:val=""/>
      <w:lvlJc w:val="left"/>
      <w:pPr>
        <w:tabs>
          <w:tab w:val="num" w:pos="720"/>
        </w:tabs>
        <w:ind w:left="720" w:hanging="360"/>
      </w:pPr>
      <w:rPr>
        <w:rFonts w:ascii="Symbol" w:hAnsi="Symbol" w:hint="default"/>
      </w:rPr>
    </w:lvl>
    <w:lvl w:ilvl="1">
      <w:start w:val="12"/>
      <w:numFmt w:val="bullet"/>
      <w:lvlText w:val=""/>
      <w:lvlJc w:val="left"/>
      <w:pPr>
        <w:tabs>
          <w:tab w:val="num" w:pos="1440"/>
        </w:tabs>
        <w:ind w:left="1440" w:hanging="360"/>
      </w:pPr>
      <w:rPr>
        <w:rFonts w:ascii="Wingdings" w:eastAsia="Times New Roman" w:hAnsi="Wingdings"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38183B22"/>
    <w:multiLevelType w:val="multilevel"/>
    <w:tmpl w:val="E124A508"/>
    <w:lvl w:ilvl="0">
      <w:start w:val="1"/>
      <w:numFmt w:val="upperRoman"/>
      <w:pStyle w:val="ArticleNumber"/>
      <w:suff w:val="nothing"/>
      <w:lvlText w:val="Article %1"/>
      <w:lvlJc w:val="left"/>
      <w:pPr>
        <w:ind w:left="0" w:firstLine="0"/>
      </w:pPr>
      <w:rPr>
        <w:b w:val="0"/>
        <w:i w:val="0"/>
      </w:rPr>
    </w:lvl>
    <w:lvl w:ilvl="1">
      <w:start w:val="1"/>
      <w:numFmt w:val="decimal"/>
      <w:pStyle w:val="ArticleLevel1"/>
      <w:lvlText w:val="(%2)"/>
      <w:lvlJc w:val="left"/>
      <w:pPr>
        <w:tabs>
          <w:tab w:val="num" w:pos="1080"/>
        </w:tabs>
        <w:ind w:left="0" w:firstLine="720"/>
      </w:pPr>
    </w:lvl>
    <w:lvl w:ilvl="2">
      <w:start w:val="1"/>
      <w:numFmt w:val="lowerLetter"/>
      <w:pStyle w:val="ArticleLevela"/>
      <w:lvlText w:val="(%3)"/>
      <w:lvlJc w:val="left"/>
      <w:pPr>
        <w:tabs>
          <w:tab w:val="num" w:pos="1440"/>
        </w:tabs>
        <w:ind w:left="1440" w:hanging="720"/>
      </w:pPr>
    </w:lvl>
    <w:lvl w:ilvl="3">
      <w:start w:val="1"/>
      <w:numFmt w:val="lowerRoman"/>
      <w:pStyle w:val="ArticleLeveli"/>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7">
    <w:nsid w:val="61D20F36"/>
    <w:multiLevelType w:val="hybridMultilevel"/>
    <w:tmpl w:val="8E302AC0"/>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8">
    <w:nsid w:val="644443E7"/>
    <w:multiLevelType w:val="hybridMultilevel"/>
    <w:tmpl w:val="651AF85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6B9035CB"/>
    <w:multiLevelType w:val="hybridMultilevel"/>
    <w:tmpl w:val="C978BC2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7D5B58AC"/>
    <w:multiLevelType w:val="multilevel"/>
    <w:tmpl w:val="D45EB7CC"/>
    <w:lvl w:ilvl="0">
      <w:start w:val="1"/>
      <w:numFmt w:val="upperRoman"/>
      <w:suff w:val="nothing"/>
      <w:lvlText w:val="Article %1"/>
      <w:lvlJc w:val="left"/>
      <w:pPr>
        <w:ind w:left="0" w:firstLine="0"/>
      </w:pPr>
      <w:rPr>
        <w:b/>
        <w:i w:val="0"/>
      </w:rPr>
    </w:lvl>
    <w:lvl w:ilvl="1">
      <w:start w:val="1"/>
      <w:numFmt w:val="decimalZero"/>
      <w:isLgl/>
      <w:lvlText w:val="Section %1.%2"/>
      <w:lvlJc w:val="left"/>
      <w:pPr>
        <w:tabs>
          <w:tab w:val="num" w:pos="1080"/>
        </w:tabs>
        <w:ind w:left="0" w:firstLine="0"/>
      </w:pPr>
    </w:lvl>
    <w:lvl w:ilvl="2">
      <w:start w:val="1"/>
      <w:numFmt w:val="decimal"/>
      <w:lvlText w:val="(%3)"/>
      <w:lvlJc w:val="left"/>
      <w:pPr>
        <w:tabs>
          <w:tab w:val="num" w:pos="720"/>
        </w:tabs>
        <w:ind w:left="720" w:hanging="720"/>
      </w:pPr>
    </w:lvl>
    <w:lvl w:ilvl="3">
      <w:start w:val="1"/>
      <w:numFmt w:val="lowerLetter"/>
      <w:lvlText w:val="(%4)"/>
      <w:lvlJc w:val="left"/>
      <w:pPr>
        <w:tabs>
          <w:tab w:val="num" w:pos="1080"/>
        </w:tabs>
        <w:ind w:left="720" w:firstLine="0"/>
      </w:pPr>
    </w:lvl>
    <w:lvl w:ilvl="4">
      <w:start w:val="1"/>
      <w:numFmt w:val="lowerRoman"/>
      <w:lvlText w:val="(%5)"/>
      <w:lvlJc w:val="left"/>
      <w:pPr>
        <w:tabs>
          <w:tab w:val="num" w:pos="2160"/>
        </w:tabs>
        <w:ind w:left="2160" w:hanging="720"/>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nsid w:val="7EB527B2"/>
    <w:multiLevelType w:val="hybridMultilevel"/>
    <w:tmpl w:val="0344823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958806059">
    <w:abstractNumId w:val="1"/>
  </w:num>
  <w:num w:numId="2" w16cid:durableId="2068604186">
    <w:abstractNumId w:val="10"/>
  </w:num>
  <w:num w:numId="3" w16cid:durableId="970792029">
    <w:abstractNumId w:val="6"/>
  </w:num>
  <w:num w:numId="4" w16cid:durableId="1025055980">
    <w:abstractNumId w:val="6"/>
  </w:num>
  <w:num w:numId="5" w16cid:durableId="369770227">
    <w:abstractNumId w:val="3"/>
  </w:num>
  <w:num w:numId="6" w16cid:durableId="2058965528">
    <w:abstractNumId w:val="3"/>
  </w:num>
  <w:num w:numId="7" w16cid:durableId="1746878231">
    <w:abstractNumId w:val="3"/>
  </w:num>
  <w:num w:numId="8" w16cid:durableId="923413748">
    <w:abstractNumId w:val="3"/>
  </w:num>
  <w:num w:numId="9" w16cid:durableId="634413822">
    <w:abstractNumId w:val="3"/>
  </w:num>
  <w:num w:numId="10" w16cid:durableId="943147071">
    <w:abstractNumId w:val="3"/>
  </w:num>
  <w:num w:numId="11" w16cid:durableId="494104654">
    <w:abstractNumId w:val="3"/>
  </w:num>
  <w:num w:numId="12" w16cid:durableId="160317287">
    <w:abstractNumId w:val="3"/>
  </w:num>
  <w:num w:numId="13" w16cid:durableId="831682846">
    <w:abstractNumId w:val="6"/>
  </w:num>
  <w:num w:numId="14" w16cid:durableId="1709185102">
    <w:abstractNumId w:val="6"/>
  </w:num>
  <w:num w:numId="15" w16cid:durableId="1940988415">
    <w:abstractNumId w:val="6"/>
  </w:num>
  <w:num w:numId="16" w16cid:durableId="78603630">
    <w:abstractNumId w:val="6"/>
  </w:num>
  <w:num w:numId="17" w16cid:durableId="1846088477">
    <w:abstractNumId w:val="0"/>
  </w:num>
  <w:num w:numId="18" w16cid:durableId="2128964949">
    <w:abstractNumId w:val="4"/>
  </w:num>
  <w:num w:numId="19" w16cid:durableId="1800686361">
    <w:abstractNumId w:val="5"/>
  </w:num>
  <w:num w:numId="20" w16cid:durableId="1042898792">
    <w:abstractNumId w:val="11"/>
  </w:num>
  <w:num w:numId="21" w16cid:durableId="1498304872">
    <w:abstractNumId w:val="2"/>
  </w:num>
  <w:num w:numId="22" w16cid:durableId="221331712">
    <w:abstractNumId w:val="9"/>
  </w:num>
  <w:num w:numId="23" w16cid:durableId="1977373271">
    <w:abstractNumId w:val="8"/>
  </w:num>
  <w:num w:numId="24" w16cid:durableId="8330311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701"/>
    <w:rsid w:val="00022286"/>
    <w:rsid w:val="00086229"/>
    <w:rsid w:val="000A76A4"/>
    <w:rsid w:val="000B5004"/>
    <w:rsid w:val="000D178A"/>
    <w:rsid w:val="00122E08"/>
    <w:rsid w:val="001423DF"/>
    <w:rsid w:val="00162B92"/>
    <w:rsid w:val="00194613"/>
    <w:rsid w:val="001B4B80"/>
    <w:rsid w:val="002148CD"/>
    <w:rsid w:val="00231738"/>
    <w:rsid w:val="00271250"/>
    <w:rsid w:val="002C6C7C"/>
    <w:rsid w:val="002F7ECA"/>
    <w:rsid w:val="00335AC9"/>
    <w:rsid w:val="003603E3"/>
    <w:rsid w:val="00367200"/>
    <w:rsid w:val="003823BA"/>
    <w:rsid w:val="003A6AF6"/>
    <w:rsid w:val="003B140F"/>
    <w:rsid w:val="00441F1F"/>
    <w:rsid w:val="00474B88"/>
    <w:rsid w:val="00482BCF"/>
    <w:rsid w:val="004B0103"/>
    <w:rsid w:val="004E7C6C"/>
    <w:rsid w:val="004F6E0B"/>
    <w:rsid w:val="005B4559"/>
    <w:rsid w:val="00601855"/>
    <w:rsid w:val="00615E7B"/>
    <w:rsid w:val="00622758"/>
    <w:rsid w:val="00632B35"/>
    <w:rsid w:val="00635438"/>
    <w:rsid w:val="006542C0"/>
    <w:rsid w:val="00657F09"/>
    <w:rsid w:val="006D0026"/>
    <w:rsid w:val="006D2013"/>
    <w:rsid w:val="00702F58"/>
    <w:rsid w:val="00733900"/>
    <w:rsid w:val="00740A7B"/>
    <w:rsid w:val="007730B6"/>
    <w:rsid w:val="00782C52"/>
    <w:rsid w:val="007C0793"/>
    <w:rsid w:val="007E732A"/>
    <w:rsid w:val="007F7A44"/>
    <w:rsid w:val="008005C6"/>
    <w:rsid w:val="00806238"/>
    <w:rsid w:val="00833729"/>
    <w:rsid w:val="008E1815"/>
    <w:rsid w:val="008F0373"/>
    <w:rsid w:val="00931F3F"/>
    <w:rsid w:val="00964AA1"/>
    <w:rsid w:val="00980D05"/>
    <w:rsid w:val="009A4571"/>
    <w:rsid w:val="009B0D31"/>
    <w:rsid w:val="00A57CBA"/>
    <w:rsid w:val="00A62A21"/>
    <w:rsid w:val="00A80F78"/>
    <w:rsid w:val="00A97F7C"/>
    <w:rsid w:val="00AF1C29"/>
    <w:rsid w:val="00AF5BA7"/>
    <w:rsid w:val="00B01FBB"/>
    <w:rsid w:val="00B32F4C"/>
    <w:rsid w:val="00B60BF7"/>
    <w:rsid w:val="00B927FE"/>
    <w:rsid w:val="00BB6830"/>
    <w:rsid w:val="00BD64EE"/>
    <w:rsid w:val="00BE0939"/>
    <w:rsid w:val="00C06110"/>
    <w:rsid w:val="00C34F5C"/>
    <w:rsid w:val="00C5324F"/>
    <w:rsid w:val="00C63701"/>
    <w:rsid w:val="00C67A32"/>
    <w:rsid w:val="00C81640"/>
    <w:rsid w:val="00D22C7A"/>
    <w:rsid w:val="00D911EF"/>
    <w:rsid w:val="00D9786E"/>
    <w:rsid w:val="00DA296B"/>
    <w:rsid w:val="00DA4E56"/>
    <w:rsid w:val="00DA6A3B"/>
    <w:rsid w:val="00DC5735"/>
    <w:rsid w:val="00DF2321"/>
    <w:rsid w:val="00E056D7"/>
    <w:rsid w:val="00E07288"/>
    <w:rsid w:val="00E45E61"/>
    <w:rsid w:val="00E715A0"/>
    <w:rsid w:val="00E97AF6"/>
    <w:rsid w:val="00ED6EB5"/>
    <w:rsid w:val="00EF180A"/>
    <w:rsid w:val="00F1118B"/>
    <w:rsid w:val="00F279B6"/>
    <w:rsid w:val="00F609CF"/>
    <w:rsid w:val="00F94C5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102E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rPr>
  </w:style>
  <w:style w:type="paragraph" w:styleId="Heading3">
    <w:name w:val="heading 3"/>
    <w:basedOn w:val="Normal"/>
    <w:next w:val="Normal"/>
    <w:qFormat/>
    <w:pPr>
      <w:keepNext/>
      <w:spacing w:before="240" w:after="60"/>
      <w:outlineLvl w:val="2"/>
    </w:pPr>
    <w:rPr>
      <w:u w:val="single"/>
    </w:rPr>
  </w:style>
  <w:style w:type="paragraph" w:styleId="Heading4">
    <w:name w:val="heading 4"/>
    <w:basedOn w:val="Normal"/>
    <w:next w:val="Normal"/>
    <w:qFormat/>
    <w:pPr>
      <w:keepNext/>
      <w:outlineLvl w:val="3"/>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Pr>
      <w:vertAlign w:val="superscript"/>
    </w:rPr>
  </w:style>
  <w:style w:type="paragraph" w:styleId="FootnoteText">
    <w:name w:val="footnote text"/>
    <w:basedOn w:val="Normal"/>
    <w:semiHidden/>
    <w:rPr>
      <w:sz w:val="20"/>
    </w:rPr>
  </w:style>
  <w:style w:type="paragraph" w:customStyle="1" w:styleId="ArticleNumber">
    <w:name w:val="Article Number"/>
    <w:basedOn w:val="Normal"/>
    <w:pPr>
      <w:numPr>
        <w:numId w:val="16"/>
      </w:numPr>
      <w:spacing w:line="480" w:lineRule="auto"/>
      <w:jc w:val="center"/>
    </w:pPr>
  </w:style>
  <w:style w:type="paragraph" w:customStyle="1" w:styleId="ArticleLevel1">
    <w:name w:val="Article Level (1)"/>
    <w:basedOn w:val="Normal"/>
    <w:pPr>
      <w:numPr>
        <w:ilvl w:val="1"/>
        <w:numId w:val="13"/>
      </w:numPr>
      <w:tabs>
        <w:tab w:val="clear" w:pos="1080"/>
      </w:tabs>
      <w:spacing w:line="480" w:lineRule="auto"/>
    </w:pPr>
  </w:style>
  <w:style w:type="paragraph" w:customStyle="1" w:styleId="ArticleLevela">
    <w:name w:val="Article Level (a)"/>
    <w:basedOn w:val="Normal"/>
    <w:pPr>
      <w:numPr>
        <w:ilvl w:val="2"/>
        <w:numId w:val="14"/>
      </w:numPr>
      <w:tabs>
        <w:tab w:val="clear" w:pos="1440"/>
      </w:tabs>
      <w:spacing w:line="480" w:lineRule="auto"/>
      <w:ind w:left="2160"/>
    </w:pPr>
  </w:style>
  <w:style w:type="paragraph" w:customStyle="1" w:styleId="ArticleLeveli">
    <w:name w:val="Article Level (i)"/>
    <w:basedOn w:val="Normal"/>
    <w:pPr>
      <w:numPr>
        <w:ilvl w:val="3"/>
        <w:numId w:val="15"/>
      </w:numPr>
      <w:tabs>
        <w:tab w:val="clear" w:pos="2160"/>
      </w:tabs>
      <w:spacing w:line="480" w:lineRule="auto"/>
      <w:ind w:left="288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rPr>
  </w:style>
  <w:style w:type="paragraph" w:styleId="BodyText">
    <w:name w:val="Body Text"/>
    <w:basedOn w:val="Normal"/>
    <w:rPr>
      <w:i/>
      <w:iCs/>
    </w:rPr>
  </w:style>
  <w:style w:type="paragraph" w:styleId="BalloonText">
    <w:name w:val="Balloon Text"/>
    <w:basedOn w:val="Normal"/>
    <w:link w:val="BalloonTextChar"/>
    <w:rsid w:val="00601855"/>
    <w:rPr>
      <w:rFonts w:ascii="Tahoma" w:hAnsi="Tahoma" w:cs="Tahoma"/>
      <w:sz w:val="16"/>
      <w:szCs w:val="16"/>
    </w:rPr>
  </w:style>
  <w:style w:type="character" w:customStyle="1" w:styleId="BalloonTextChar">
    <w:name w:val="Balloon Text Char"/>
    <w:basedOn w:val="DefaultParagraphFont"/>
    <w:link w:val="BalloonText"/>
    <w:rsid w:val="00601855"/>
    <w:rPr>
      <w:rFonts w:ascii="Tahoma" w:hAnsi="Tahoma" w:cs="Tahoma"/>
      <w:sz w:val="16"/>
      <w:szCs w:val="16"/>
    </w:rPr>
  </w:style>
  <w:style w:type="paragraph" w:styleId="Revision">
    <w:name w:val="Revision"/>
    <w:hidden/>
    <w:uiPriority w:val="99"/>
    <w:semiHidden/>
    <w:rsid w:val="00C06110"/>
    <w:rPr>
      <w:sz w:val="24"/>
    </w:rPr>
  </w:style>
  <w:style w:type="character" w:styleId="CommentReference">
    <w:name w:val="annotation reference"/>
    <w:basedOn w:val="DefaultParagraphFont"/>
    <w:semiHidden/>
    <w:unhideWhenUsed/>
    <w:rsid w:val="00C06110"/>
    <w:rPr>
      <w:sz w:val="16"/>
      <w:szCs w:val="16"/>
    </w:rPr>
  </w:style>
  <w:style w:type="paragraph" w:styleId="CommentText">
    <w:name w:val="annotation text"/>
    <w:basedOn w:val="Normal"/>
    <w:link w:val="CommentTextChar"/>
    <w:unhideWhenUsed/>
    <w:rsid w:val="00C06110"/>
    <w:rPr>
      <w:sz w:val="20"/>
    </w:rPr>
  </w:style>
  <w:style w:type="character" w:customStyle="1" w:styleId="CommentTextChar">
    <w:name w:val="Comment Text Char"/>
    <w:basedOn w:val="DefaultParagraphFont"/>
    <w:link w:val="CommentText"/>
    <w:rsid w:val="00C06110"/>
  </w:style>
  <w:style w:type="paragraph" w:styleId="CommentSubject">
    <w:name w:val="annotation subject"/>
    <w:basedOn w:val="CommentText"/>
    <w:next w:val="CommentText"/>
    <w:link w:val="CommentSubjectChar"/>
    <w:semiHidden/>
    <w:unhideWhenUsed/>
    <w:rsid w:val="00C06110"/>
    <w:rPr>
      <w:b/>
      <w:bCs/>
    </w:rPr>
  </w:style>
  <w:style w:type="character" w:customStyle="1" w:styleId="CommentSubjectChar">
    <w:name w:val="Comment Subject Char"/>
    <w:basedOn w:val="CommentTextChar"/>
    <w:link w:val="CommentSubject"/>
    <w:semiHidden/>
    <w:rsid w:val="00C06110"/>
    <w:rPr>
      <w:b/>
      <w:bCs/>
    </w:rPr>
  </w:style>
  <w:style w:type="paragraph" w:styleId="Header">
    <w:name w:val="header"/>
    <w:basedOn w:val="Normal"/>
    <w:link w:val="HeaderChar"/>
    <w:unhideWhenUsed/>
    <w:rsid w:val="00733900"/>
    <w:pPr>
      <w:tabs>
        <w:tab w:val="center" w:pos="4680"/>
        <w:tab w:val="right" w:pos="9360"/>
      </w:tabs>
    </w:pPr>
  </w:style>
  <w:style w:type="character" w:customStyle="1" w:styleId="HeaderChar">
    <w:name w:val="Header Char"/>
    <w:basedOn w:val="DefaultParagraphFont"/>
    <w:link w:val="Header"/>
    <w:rsid w:val="0073390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1411</Words>
  <Characters>7938</Characters>
  <Application>Microsoft Office Word</Application>
  <DocSecurity>0</DocSecurity>
  <Lines>66</Lines>
  <Paragraphs>18</Paragraphs>
  <ScaleCrop>false</ScaleCrop>
  <Company/>
  <LinksUpToDate>false</LinksUpToDate>
  <CharactersWithSpaces>9331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2024-11-08T14:58:00Z</dcterms:created>
  <dcterms:modified xsi:type="dcterms:W3CDTF">2024-11-08T14:58:00Z</dcterms:modified>
</cp:coreProperties>
</file>