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52D" w:rsidRPr="00FE552D" w:rsidP="00FE552D" w14:paraId="5B9AF58D" w14:textId="17BD0C49">
      <w:pPr>
        <w:autoSpaceDE w:val="0"/>
        <w:autoSpaceDN w:val="0"/>
        <w:adjustRightInd w:val="0"/>
        <w:jc w:val="center"/>
        <w:rPr>
          <w:rFonts w:eastAsia="Calibri"/>
          <w:color w:val="000000"/>
        </w:rPr>
      </w:pPr>
      <w:r w:rsidRPr="00FE552D">
        <w:rPr>
          <w:rFonts w:eastAsia="Calibri"/>
          <w:color w:val="000000"/>
        </w:rPr>
        <w:t>Community Development Financial Institutions Fund, Department of the Treasury</w:t>
      </w:r>
    </w:p>
    <w:p w:rsidR="00FE552D" w:rsidRPr="00FE552D" w:rsidP="00FE552D" w14:paraId="62CAF70A" w14:textId="77777777">
      <w:pPr>
        <w:autoSpaceDE w:val="0"/>
        <w:autoSpaceDN w:val="0"/>
        <w:adjustRightInd w:val="0"/>
        <w:jc w:val="center"/>
        <w:rPr>
          <w:rFonts w:eastAsia="Calibri"/>
          <w:color w:val="000000"/>
        </w:rPr>
      </w:pPr>
    </w:p>
    <w:p w:rsidR="00FE552D" w:rsidP="00FE552D" w14:paraId="1F742C27" w14:textId="77777777">
      <w:pPr>
        <w:autoSpaceDE w:val="0"/>
        <w:autoSpaceDN w:val="0"/>
        <w:adjustRightInd w:val="0"/>
        <w:jc w:val="center"/>
        <w:rPr>
          <w:rFonts w:eastAsia="Calibri"/>
          <w:color w:val="000000"/>
        </w:rPr>
      </w:pPr>
      <w:r w:rsidRPr="00FE552D">
        <w:rPr>
          <w:rFonts w:eastAsia="Calibri"/>
          <w:color w:val="000000"/>
        </w:rPr>
        <w:t>Supporting Statement – Part A</w:t>
      </w:r>
    </w:p>
    <w:p w:rsidR="00AA2310" w:rsidP="00FE552D" w14:paraId="68D14918" w14:textId="2CE367A9">
      <w:pPr>
        <w:autoSpaceDE w:val="0"/>
        <w:autoSpaceDN w:val="0"/>
        <w:adjustRightInd w:val="0"/>
        <w:jc w:val="center"/>
        <w:rPr>
          <w:rFonts w:eastAsia="Calibri"/>
          <w:color w:val="000000"/>
        </w:rPr>
      </w:pPr>
      <w:r w:rsidRPr="0035385E">
        <w:t>C</w:t>
      </w:r>
      <w:r>
        <w:t xml:space="preserve">apital </w:t>
      </w:r>
      <w:r w:rsidRPr="0035385E">
        <w:t>M</w:t>
      </w:r>
      <w:r>
        <w:t xml:space="preserve">agnet </w:t>
      </w:r>
      <w:r w:rsidRPr="0035385E">
        <w:t>F</w:t>
      </w:r>
      <w:r>
        <w:t>und</w:t>
      </w:r>
      <w:r w:rsidRPr="0035385E">
        <w:t xml:space="preserve"> Performance Report</w:t>
      </w:r>
      <w:r w:rsidR="008B133F">
        <w:t xml:space="preserve"> and Environmental Review Form</w:t>
      </w:r>
    </w:p>
    <w:p w:rsidR="00FE552D" w:rsidRPr="00FE552D" w:rsidP="00FE552D" w14:paraId="415E2A0A" w14:textId="3B186904">
      <w:pPr>
        <w:autoSpaceDE w:val="0"/>
        <w:autoSpaceDN w:val="0"/>
        <w:adjustRightInd w:val="0"/>
        <w:jc w:val="center"/>
        <w:rPr>
          <w:rFonts w:eastAsia="Calibri"/>
          <w:color w:val="000000"/>
        </w:rPr>
      </w:pPr>
      <w:r w:rsidRPr="00FE552D">
        <w:rPr>
          <w:rFonts w:eastAsia="Calibri"/>
          <w:color w:val="000000"/>
        </w:rPr>
        <w:t>OMB Control Number 1559-</w:t>
      </w:r>
      <w:r w:rsidR="00AA2310">
        <w:rPr>
          <w:rFonts w:eastAsia="Calibri"/>
          <w:color w:val="000000"/>
        </w:rPr>
        <w:t>NEW</w:t>
      </w:r>
    </w:p>
    <w:p w:rsidR="00FE552D" w:rsidRPr="00FE552D" w:rsidP="00FE552D" w14:paraId="547F8D16" w14:textId="77777777">
      <w:pPr>
        <w:autoSpaceDE w:val="0"/>
        <w:autoSpaceDN w:val="0"/>
        <w:adjustRightInd w:val="0"/>
        <w:jc w:val="center"/>
        <w:rPr>
          <w:rFonts w:eastAsia="Calibri"/>
          <w:b/>
          <w:bCs/>
          <w:color w:val="000000"/>
        </w:rPr>
      </w:pPr>
    </w:p>
    <w:p w:rsidR="00FE552D" w:rsidRPr="00FE552D" w:rsidP="00900ACB" w14:paraId="3C545B76" w14:textId="77777777">
      <w:pPr>
        <w:autoSpaceDE w:val="0"/>
        <w:autoSpaceDN w:val="0"/>
        <w:adjustRightInd w:val="0"/>
        <w:rPr>
          <w:rFonts w:eastAsia="Calibri"/>
          <w:b/>
          <w:bCs/>
          <w:color w:val="000000"/>
        </w:rPr>
      </w:pPr>
      <w:r w:rsidRPr="00FE552D">
        <w:rPr>
          <w:rFonts w:eastAsia="Calibri"/>
          <w:b/>
          <w:bCs/>
          <w:color w:val="000000"/>
        </w:rPr>
        <w:t xml:space="preserve">A. Justification </w:t>
      </w:r>
    </w:p>
    <w:p w:rsidR="00FE552D" w:rsidRPr="00FE552D" w:rsidP="00FE552D" w14:paraId="0B4588E0" w14:textId="77777777">
      <w:pPr>
        <w:autoSpaceDE w:val="0"/>
        <w:autoSpaceDN w:val="0"/>
        <w:adjustRightInd w:val="0"/>
        <w:jc w:val="center"/>
        <w:rPr>
          <w:rFonts w:eastAsia="Calibri"/>
          <w:color w:val="000000"/>
        </w:rPr>
      </w:pPr>
    </w:p>
    <w:p w:rsidR="00FE552D" w:rsidRPr="00FE552D" w:rsidP="00FE552D" w14:paraId="05A0A609" w14:textId="6A6B4F13">
      <w:pPr>
        <w:autoSpaceDE w:val="0"/>
        <w:autoSpaceDN w:val="0"/>
        <w:adjustRightInd w:val="0"/>
        <w:rPr>
          <w:rFonts w:eastAsia="Calibri"/>
          <w:color w:val="000000"/>
          <w:u w:val="single"/>
        </w:rPr>
      </w:pPr>
      <w:r w:rsidRPr="00FE552D">
        <w:rPr>
          <w:rFonts w:eastAsia="Calibri"/>
          <w:color w:val="000000"/>
          <w:u w:val="single"/>
        </w:rPr>
        <w:t xml:space="preserve">1. Circumstances necessitating collection of information </w:t>
      </w:r>
    </w:p>
    <w:p w:rsidR="00B35C5A" w:rsidP="00FE552D" w14:paraId="3E5F9D37" w14:textId="1894DA9D">
      <w:pPr>
        <w:autoSpaceDE w:val="0"/>
        <w:autoSpaceDN w:val="0"/>
        <w:adjustRightInd w:val="0"/>
        <w:rPr>
          <w:rFonts w:eastAsia="Calibri"/>
          <w:color w:val="000000"/>
        </w:rPr>
      </w:pPr>
      <w:r w:rsidRPr="00B35C5A">
        <w:rPr>
          <w:rFonts w:eastAsia="Calibri"/>
          <w:color w:val="000000"/>
        </w:rPr>
        <w:t xml:space="preserve">The Capital Magnet Fund </w:t>
      </w:r>
      <w:r>
        <w:rPr>
          <w:rFonts w:eastAsia="Calibri"/>
          <w:color w:val="000000"/>
        </w:rPr>
        <w:t xml:space="preserve">(CMF) </w:t>
      </w:r>
      <w:r w:rsidRPr="00B35C5A">
        <w:rPr>
          <w:rFonts w:eastAsia="Calibri"/>
          <w:color w:val="000000"/>
        </w:rPr>
        <w:t>was established through the Housing and Economic Recovery Act of 2008 (HERA</w:t>
      </w:r>
      <w:r w:rsidR="00E82F85">
        <w:rPr>
          <w:rFonts w:eastAsia="Calibri"/>
          <w:color w:val="000000"/>
        </w:rPr>
        <w:t>;</w:t>
      </w:r>
      <w:r w:rsidR="005D4D4C">
        <w:rPr>
          <w:rFonts w:eastAsia="Calibri"/>
          <w:color w:val="000000"/>
        </w:rPr>
        <w:t xml:space="preserve"> </w:t>
      </w:r>
      <w:r w:rsidRPr="00B35C5A">
        <w:rPr>
          <w:rFonts w:eastAsia="Calibri"/>
          <w:color w:val="000000"/>
        </w:rPr>
        <w:t>Pub. L. 110-289), as a competitive grant program administered by the C</w:t>
      </w:r>
      <w:r>
        <w:rPr>
          <w:rFonts w:eastAsia="Calibri"/>
          <w:color w:val="000000"/>
        </w:rPr>
        <w:t xml:space="preserve">ommunity </w:t>
      </w:r>
      <w:r w:rsidRPr="00B35C5A">
        <w:rPr>
          <w:rFonts w:eastAsia="Calibri"/>
          <w:color w:val="000000"/>
        </w:rPr>
        <w:t>D</w:t>
      </w:r>
      <w:r>
        <w:rPr>
          <w:rFonts w:eastAsia="Calibri"/>
          <w:color w:val="000000"/>
        </w:rPr>
        <w:t xml:space="preserve">evelopment </w:t>
      </w:r>
      <w:r w:rsidRPr="00B35C5A">
        <w:rPr>
          <w:rFonts w:eastAsia="Calibri"/>
          <w:color w:val="000000"/>
        </w:rPr>
        <w:t>F</w:t>
      </w:r>
      <w:r>
        <w:rPr>
          <w:rFonts w:eastAsia="Calibri"/>
          <w:color w:val="000000"/>
        </w:rPr>
        <w:t xml:space="preserve">inancial </w:t>
      </w:r>
      <w:r w:rsidRPr="00B35C5A">
        <w:rPr>
          <w:rFonts w:eastAsia="Calibri"/>
          <w:color w:val="000000"/>
        </w:rPr>
        <w:t>I</w:t>
      </w:r>
      <w:r>
        <w:rPr>
          <w:rFonts w:eastAsia="Calibri"/>
          <w:color w:val="000000"/>
        </w:rPr>
        <w:t>nstitutions</w:t>
      </w:r>
      <w:r w:rsidRPr="00B35C5A">
        <w:rPr>
          <w:rFonts w:eastAsia="Calibri"/>
          <w:color w:val="000000"/>
        </w:rPr>
        <w:t xml:space="preserve"> Fund</w:t>
      </w:r>
      <w:r>
        <w:rPr>
          <w:rFonts w:eastAsia="Calibri"/>
          <w:color w:val="000000"/>
        </w:rPr>
        <w:t xml:space="preserve"> (CDFI Fund)</w:t>
      </w:r>
      <w:r w:rsidRPr="00B35C5A">
        <w:rPr>
          <w:rFonts w:eastAsia="Calibri"/>
          <w:color w:val="000000"/>
        </w:rPr>
        <w:t xml:space="preserve">. Through CMF, the CDFI Fund provides </w:t>
      </w:r>
      <w:r>
        <w:rPr>
          <w:rFonts w:eastAsia="Calibri"/>
          <w:color w:val="000000"/>
        </w:rPr>
        <w:t xml:space="preserve">federal </w:t>
      </w:r>
      <w:r w:rsidRPr="00B35C5A">
        <w:rPr>
          <w:rFonts w:eastAsia="Calibri"/>
          <w:color w:val="000000"/>
        </w:rPr>
        <w:t xml:space="preserve">financial assistance to Certified Community Development Financial Institutions (CDFIs) and qualified Nonprofit Organizations that have the development or management of Affordable Housing, as defined in 12 CFR 1807, </w:t>
      </w:r>
      <w:r w:rsidR="004A40F2">
        <w:rPr>
          <w:rFonts w:eastAsia="Calibri"/>
          <w:color w:val="000000"/>
        </w:rPr>
        <w:t>as amended</w:t>
      </w:r>
      <w:r w:rsidR="007A4647">
        <w:rPr>
          <w:rFonts w:eastAsia="Calibri"/>
          <w:color w:val="000000"/>
        </w:rPr>
        <w:t xml:space="preserve"> (effective June 25, 2024)</w:t>
      </w:r>
      <w:r w:rsidR="004A40F2">
        <w:rPr>
          <w:rFonts w:eastAsia="Calibri"/>
          <w:color w:val="000000"/>
        </w:rPr>
        <w:t xml:space="preserve">, </w:t>
      </w:r>
      <w:r w:rsidRPr="00B35C5A">
        <w:rPr>
          <w:rFonts w:eastAsia="Calibri"/>
          <w:color w:val="000000"/>
        </w:rPr>
        <w:t xml:space="preserve">as one of their principal purposes. CMF Awards must be used to attract private financing for and increase investment in: (i) the Development, Preservation, Rehabilitation, and Purchase of Affordable Housing for primarily Extremely Low-, Very Low-, and Low-Income Families; and (ii) Economic Development Activities which, in conjunction with Affordable Housing Activities, will implement a Concerted Strategy to stabilize or revitalize a Low-Income Area or an Underserved Rural Area. </w:t>
      </w:r>
    </w:p>
    <w:p w:rsidR="00B35C5A" w:rsidP="00FE552D" w14:paraId="47CA77FC" w14:textId="77777777">
      <w:pPr>
        <w:autoSpaceDE w:val="0"/>
        <w:autoSpaceDN w:val="0"/>
        <w:adjustRightInd w:val="0"/>
        <w:rPr>
          <w:rFonts w:eastAsia="Calibri"/>
          <w:color w:val="000000"/>
        </w:rPr>
      </w:pPr>
    </w:p>
    <w:p w:rsidR="00267D40" w:rsidP="00FE552D" w14:paraId="33C7B0C9" w14:textId="77777777">
      <w:pPr>
        <w:autoSpaceDE w:val="0"/>
        <w:autoSpaceDN w:val="0"/>
        <w:adjustRightInd w:val="0"/>
        <w:rPr>
          <w:rFonts w:eastAsia="Calibri"/>
          <w:color w:val="000000"/>
        </w:rPr>
      </w:pPr>
      <w:r w:rsidRPr="00B35C5A">
        <w:rPr>
          <w:rFonts w:eastAsia="Calibri"/>
          <w:color w:val="000000"/>
        </w:rPr>
        <w:t>CMF Award Recipients enter into Assistance Agreements with the CDFI Fund that set forth required terms and conditions of the Award, including reporting and data collection requirements. The Assistance Agreement requires the submission of an annual CMF Performance Report</w:t>
      </w:r>
      <w:r w:rsidR="008B133F">
        <w:rPr>
          <w:rFonts w:eastAsia="Calibri"/>
          <w:color w:val="000000"/>
        </w:rPr>
        <w:t>, and if applicable, the submission of an Environmental Review Form 180 days prior to issuing a Commitment for a project</w:t>
      </w:r>
      <w:r w:rsidRPr="00B35C5A">
        <w:rPr>
          <w:rFonts w:eastAsia="Calibri"/>
          <w:color w:val="000000"/>
        </w:rPr>
        <w:t>.</w:t>
      </w:r>
    </w:p>
    <w:p w:rsidR="00267D40" w:rsidP="00FE552D" w14:paraId="3ADDE4F0" w14:textId="77777777">
      <w:pPr>
        <w:autoSpaceDE w:val="0"/>
        <w:autoSpaceDN w:val="0"/>
        <w:adjustRightInd w:val="0"/>
        <w:rPr>
          <w:rFonts w:eastAsia="Calibri"/>
          <w:color w:val="000000"/>
        </w:rPr>
      </w:pPr>
    </w:p>
    <w:p w:rsidR="00267D40" w:rsidRPr="00267D40" w:rsidP="00FE552D" w14:paraId="5B7AE1FB" w14:textId="77777777">
      <w:pPr>
        <w:autoSpaceDE w:val="0"/>
        <w:autoSpaceDN w:val="0"/>
        <w:adjustRightInd w:val="0"/>
        <w:rPr>
          <w:rFonts w:eastAsia="Calibri"/>
          <w:b/>
          <w:bCs/>
          <w:color w:val="000000"/>
          <w:u w:val="single"/>
        </w:rPr>
      </w:pPr>
      <w:r w:rsidRPr="00267D40">
        <w:rPr>
          <w:rFonts w:eastAsia="Calibri"/>
          <w:b/>
          <w:bCs/>
          <w:color w:val="000000"/>
          <w:u w:val="single"/>
        </w:rPr>
        <w:t>CMF Performance Report</w:t>
      </w:r>
    </w:p>
    <w:p w:rsidR="00FE552D" w:rsidP="00FE552D" w14:paraId="663791FC" w14:textId="62C87E1E">
      <w:pPr>
        <w:autoSpaceDE w:val="0"/>
        <w:autoSpaceDN w:val="0"/>
        <w:adjustRightInd w:val="0"/>
        <w:rPr>
          <w:rFonts w:eastAsia="Calibri"/>
          <w:color w:val="000000"/>
        </w:rPr>
      </w:pPr>
      <w:r w:rsidRPr="00B35C5A">
        <w:rPr>
          <w:rFonts w:eastAsia="Calibri"/>
          <w:color w:val="000000"/>
        </w:rPr>
        <w:t xml:space="preserve">The information collected in the CMF Performance Report is reviewed to ensure the Recipient’s compliance with its Performance Goals and contractual obligations, as well as the overall performance of the program. Data collected through the CMF Performance Report consists of three categories of data: (1) mandatory data points, (2) conditionally required data points based on project characteristics, financing type or other condition, and (3) optional data points. For most compliance measures, </w:t>
      </w:r>
      <w:r w:rsidR="00707B9C">
        <w:rPr>
          <w:rFonts w:eastAsia="Calibri"/>
          <w:color w:val="000000"/>
        </w:rPr>
        <w:t xml:space="preserve">the </w:t>
      </w:r>
      <w:r w:rsidRPr="00B35C5A">
        <w:rPr>
          <w:rFonts w:eastAsia="Calibri"/>
          <w:color w:val="000000"/>
        </w:rPr>
        <w:t>A</w:t>
      </w:r>
      <w:r w:rsidR="00707B9C">
        <w:rPr>
          <w:rFonts w:eastAsia="Calibri"/>
          <w:color w:val="000000"/>
        </w:rPr>
        <w:t xml:space="preserve">wards </w:t>
      </w:r>
      <w:r w:rsidRPr="00B35C5A">
        <w:rPr>
          <w:rFonts w:eastAsia="Calibri"/>
          <w:color w:val="000000"/>
        </w:rPr>
        <w:t>M</w:t>
      </w:r>
      <w:r w:rsidR="00707B9C">
        <w:rPr>
          <w:rFonts w:eastAsia="Calibri"/>
          <w:color w:val="000000"/>
        </w:rPr>
        <w:t xml:space="preserve">anagement </w:t>
      </w:r>
      <w:r w:rsidRPr="00B35C5A">
        <w:rPr>
          <w:rFonts w:eastAsia="Calibri"/>
          <w:color w:val="000000"/>
        </w:rPr>
        <w:t>I</w:t>
      </w:r>
      <w:r w:rsidR="00707B9C">
        <w:rPr>
          <w:rFonts w:eastAsia="Calibri"/>
          <w:color w:val="000000"/>
        </w:rPr>
        <w:t xml:space="preserve">nformation </w:t>
      </w:r>
      <w:r w:rsidRPr="00B35C5A">
        <w:rPr>
          <w:rFonts w:eastAsia="Calibri"/>
          <w:color w:val="000000"/>
        </w:rPr>
        <w:t>S</w:t>
      </w:r>
      <w:r w:rsidR="00707B9C">
        <w:rPr>
          <w:rFonts w:eastAsia="Calibri"/>
          <w:color w:val="000000"/>
        </w:rPr>
        <w:t>ystem (AMIS)</w:t>
      </w:r>
      <w:r w:rsidRPr="00B35C5A">
        <w:rPr>
          <w:rFonts w:eastAsia="Calibri"/>
          <w:color w:val="000000"/>
        </w:rPr>
        <w:t xml:space="preserve"> calculates whether the Recipient is compliant or noncompliant based on the data reported into the system. When the system determines that a noncompliance has occurred, the Recipient is required to complete an explanation of noncompliance prior to submitting the report to the CDFI Fund. This notice requests PRA approval for the CMF Performance Report. This report is a modified version of the previous CMF Performance Report, which was under OMB Number 1559-0036.</w:t>
      </w:r>
    </w:p>
    <w:p w:rsidR="00707B9C" w:rsidP="00FE552D" w14:paraId="784B7E90" w14:textId="77777777">
      <w:pPr>
        <w:autoSpaceDE w:val="0"/>
        <w:autoSpaceDN w:val="0"/>
        <w:adjustRightInd w:val="0"/>
        <w:rPr>
          <w:rFonts w:eastAsia="Calibri"/>
          <w:color w:val="000000"/>
        </w:rPr>
      </w:pPr>
    </w:p>
    <w:p w:rsidR="00707B9C" w:rsidRPr="00FE552D" w:rsidP="00FE552D" w14:paraId="483C7F90" w14:textId="288A5E63">
      <w:pPr>
        <w:autoSpaceDE w:val="0"/>
        <w:autoSpaceDN w:val="0"/>
        <w:adjustRightInd w:val="0"/>
        <w:rPr>
          <w:rFonts w:eastAsia="Calibri"/>
          <w:color w:val="000000"/>
        </w:rPr>
      </w:pPr>
      <w:r w:rsidRPr="00707B9C">
        <w:rPr>
          <w:rFonts w:eastAsia="Calibri"/>
          <w:color w:val="000000"/>
        </w:rPr>
        <w:t xml:space="preserve">The proposed changes to the CMF Performance Report provide clarification and consistency in instructions and eliminate certain requests for information that are no longer needed due to changes in the program. Changes being made to the CMF Performance Report are identified in </w:t>
      </w:r>
      <w:r w:rsidRPr="00707B9C">
        <w:rPr>
          <w:rFonts w:eastAsia="Calibri"/>
          <w:color w:val="000000"/>
        </w:rPr>
        <w:t>the second column of the CMF Performance Report Data Points document, including proposed deletions, additions, and updates.</w:t>
      </w:r>
    </w:p>
    <w:p w:rsidR="00267D40" w:rsidP="00FE552D" w14:paraId="6EB23932" w14:textId="77777777">
      <w:pPr>
        <w:autoSpaceDE w:val="0"/>
        <w:autoSpaceDN w:val="0"/>
        <w:adjustRightInd w:val="0"/>
        <w:rPr>
          <w:rFonts w:eastAsia="Calibri"/>
          <w:color w:val="000000"/>
        </w:rPr>
      </w:pPr>
    </w:p>
    <w:p w:rsidR="004170D9" w:rsidP="00FE552D" w14:paraId="36100E84" w14:textId="77777777">
      <w:pPr>
        <w:autoSpaceDE w:val="0"/>
        <w:autoSpaceDN w:val="0"/>
        <w:adjustRightInd w:val="0"/>
        <w:rPr>
          <w:rFonts w:eastAsia="Calibri"/>
          <w:b/>
          <w:bCs/>
          <w:color w:val="000000"/>
          <w:u w:val="single"/>
        </w:rPr>
      </w:pPr>
    </w:p>
    <w:p w:rsidR="00267D40" w:rsidP="00FE552D" w14:paraId="00F3F285" w14:textId="7C2BC421">
      <w:pPr>
        <w:autoSpaceDE w:val="0"/>
        <w:autoSpaceDN w:val="0"/>
        <w:adjustRightInd w:val="0"/>
        <w:rPr>
          <w:rFonts w:eastAsia="Calibri"/>
          <w:b/>
          <w:bCs/>
          <w:color w:val="000000"/>
          <w:u w:val="single"/>
        </w:rPr>
      </w:pPr>
      <w:r w:rsidRPr="00267D40">
        <w:rPr>
          <w:rFonts w:eastAsia="Calibri"/>
          <w:b/>
          <w:bCs/>
          <w:color w:val="000000"/>
          <w:u w:val="single"/>
        </w:rPr>
        <w:t>Environmental Review Form</w:t>
      </w:r>
    </w:p>
    <w:p w:rsidR="00267D40" w:rsidP="00267D40" w14:paraId="11DB388B" w14:textId="2FE18EDE">
      <w:pPr>
        <w:autoSpaceDE w:val="0"/>
        <w:autoSpaceDN w:val="0"/>
        <w:adjustRightInd w:val="0"/>
        <w:rPr>
          <w:rFonts w:eastAsia="Calibri"/>
          <w:color w:val="000000"/>
        </w:rPr>
      </w:pPr>
      <w:r>
        <w:rPr>
          <w:rFonts w:eastAsia="Calibri"/>
          <w:color w:val="000000"/>
        </w:rPr>
        <w:t xml:space="preserve">The information collected in the Environmental Review Form is used to ensure projects are in compliance with the environmental review </w:t>
      </w:r>
      <w:r w:rsidRPr="00267D40">
        <w:rPr>
          <w:rFonts w:eastAsia="Calibri"/>
          <w:color w:val="000000"/>
        </w:rPr>
        <w:t>requirements set forth in 12 CFR Part 1815</w:t>
      </w:r>
      <w:r>
        <w:rPr>
          <w:rFonts w:eastAsia="Calibri"/>
          <w:color w:val="000000"/>
        </w:rPr>
        <w:t xml:space="preserve"> prior to </w:t>
      </w:r>
      <w:r w:rsidR="002551A0">
        <w:rPr>
          <w:rFonts w:eastAsia="Calibri"/>
          <w:color w:val="000000"/>
        </w:rPr>
        <w:t xml:space="preserve">the </w:t>
      </w:r>
      <w:r w:rsidR="00D41915">
        <w:rPr>
          <w:rFonts w:eastAsia="Calibri"/>
          <w:color w:val="000000"/>
        </w:rPr>
        <w:t xml:space="preserve">Project </w:t>
      </w:r>
      <w:r w:rsidR="002551A0">
        <w:rPr>
          <w:rFonts w:eastAsia="Calibri"/>
          <w:color w:val="000000"/>
        </w:rPr>
        <w:t>C</w:t>
      </w:r>
      <w:r>
        <w:rPr>
          <w:rFonts w:eastAsia="Calibri"/>
          <w:color w:val="000000"/>
        </w:rPr>
        <w:t>ommitment of CMF Award dollars</w:t>
      </w:r>
      <w:r w:rsidRPr="00267D40">
        <w:rPr>
          <w:rFonts w:eastAsia="Calibri"/>
          <w:color w:val="000000"/>
        </w:rPr>
        <w:t xml:space="preserve">. </w:t>
      </w:r>
      <w:r>
        <w:rPr>
          <w:rFonts w:eastAsia="Calibri"/>
          <w:color w:val="000000"/>
        </w:rPr>
        <w:t xml:space="preserve">An Environmental Review Form is only required from Recipient if the project is not in compliance with the environmental review requirements. </w:t>
      </w:r>
    </w:p>
    <w:p w:rsidR="00267D40" w:rsidP="00267D40" w14:paraId="3FBDD980" w14:textId="77777777">
      <w:pPr>
        <w:autoSpaceDE w:val="0"/>
        <w:autoSpaceDN w:val="0"/>
        <w:adjustRightInd w:val="0"/>
        <w:rPr>
          <w:rFonts w:eastAsia="Calibri"/>
          <w:color w:val="000000"/>
        </w:rPr>
      </w:pPr>
    </w:p>
    <w:p w:rsidR="00267D40" w:rsidRPr="00267D40" w:rsidP="00267D40" w14:paraId="52E0A7E6" w14:textId="739B6C50">
      <w:pPr>
        <w:autoSpaceDE w:val="0"/>
        <w:autoSpaceDN w:val="0"/>
        <w:adjustRightInd w:val="0"/>
        <w:rPr>
          <w:rFonts w:eastAsia="Calibri"/>
          <w:color w:val="000000"/>
        </w:rPr>
      </w:pPr>
      <w:r w:rsidRPr="00267D40">
        <w:rPr>
          <w:rFonts w:eastAsia="Calibri"/>
          <w:color w:val="000000"/>
        </w:rPr>
        <w:t xml:space="preserve">No changes are being made to the </w:t>
      </w:r>
      <w:r w:rsidR="00DC2CE4">
        <w:rPr>
          <w:rFonts w:eastAsia="Calibri"/>
          <w:color w:val="000000"/>
        </w:rPr>
        <w:t xml:space="preserve">content of the </w:t>
      </w:r>
      <w:r w:rsidRPr="00267D40">
        <w:rPr>
          <w:rFonts w:eastAsia="Calibri"/>
          <w:color w:val="000000"/>
        </w:rPr>
        <w:t xml:space="preserve">Environmental Review Form. It is </w:t>
      </w:r>
      <w:r w:rsidR="00DC2CE4">
        <w:rPr>
          <w:rFonts w:eastAsia="Calibri"/>
          <w:color w:val="000000"/>
        </w:rPr>
        <w:t>simply</w:t>
      </w:r>
      <w:r w:rsidRPr="00267D40">
        <w:rPr>
          <w:rFonts w:eastAsia="Calibri"/>
          <w:color w:val="000000"/>
        </w:rPr>
        <w:t xml:space="preserve"> being removed from the CMF Application PRA and being included with the CMF Performance Report PRA since it’s </w:t>
      </w:r>
      <w:r w:rsidR="00DC2CE4">
        <w:rPr>
          <w:rFonts w:eastAsia="Calibri"/>
          <w:color w:val="000000"/>
        </w:rPr>
        <w:t xml:space="preserve">used for </w:t>
      </w:r>
      <w:r w:rsidRPr="00267D40">
        <w:rPr>
          <w:rFonts w:eastAsia="Calibri"/>
          <w:color w:val="000000"/>
        </w:rPr>
        <w:t>a post-award monitoring data collection.</w:t>
      </w:r>
    </w:p>
    <w:p w:rsidR="00267D40" w:rsidP="00FE552D" w14:paraId="362450A7" w14:textId="77777777">
      <w:pPr>
        <w:autoSpaceDE w:val="0"/>
        <w:autoSpaceDN w:val="0"/>
        <w:adjustRightInd w:val="0"/>
        <w:rPr>
          <w:rFonts w:eastAsia="Calibri"/>
          <w:color w:val="000000"/>
        </w:rPr>
      </w:pPr>
    </w:p>
    <w:p w:rsidR="00FE552D" w:rsidRPr="00FE552D" w:rsidP="00FE552D" w14:paraId="7CE8698D" w14:textId="3E1E32AA">
      <w:pPr>
        <w:autoSpaceDE w:val="0"/>
        <w:autoSpaceDN w:val="0"/>
        <w:adjustRightInd w:val="0"/>
        <w:rPr>
          <w:rFonts w:eastAsia="Calibri"/>
          <w:color w:val="000000"/>
        </w:rPr>
      </w:pPr>
      <w:r w:rsidRPr="00FE552D">
        <w:rPr>
          <w:rFonts w:eastAsia="Calibri"/>
          <w:color w:val="000000"/>
        </w:rPr>
        <w:t xml:space="preserve">The CDFI Fund received a total of </w:t>
      </w:r>
      <w:r w:rsidR="007A4647">
        <w:rPr>
          <w:rFonts w:eastAsia="Calibri"/>
          <w:color w:val="000000"/>
        </w:rPr>
        <w:t>thirty-two</w:t>
      </w:r>
      <w:r w:rsidR="00D62FBC">
        <w:rPr>
          <w:rFonts w:eastAsia="Calibri"/>
          <w:color w:val="000000"/>
        </w:rPr>
        <w:t xml:space="preserve"> (32)</w:t>
      </w:r>
      <w:r w:rsidRPr="00FE552D">
        <w:rPr>
          <w:rFonts w:eastAsia="Calibri"/>
          <w:color w:val="000000"/>
        </w:rPr>
        <w:t xml:space="preserve"> comments from </w:t>
      </w:r>
      <w:r w:rsidR="00D62FBC">
        <w:rPr>
          <w:rFonts w:eastAsia="Calibri"/>
          <w:color w:val="000000"/>
        </w:rPr>
        <w:t>three (3)</w:t>
      </w:r>
      <w:r w:rsidR="00B35C5A">
        <w:rPr>
          <w:rFonts w:eastAsia="Calibri"/>
          <w:color w:val="000000"/>
        </w:rPr>
        <w:t xml:space="preserve"> </w:t>
      </w:r>
      <w:r w:rsidRPr="00FE552D">
        <w:rPr>
          <w:rFonts w:eastAsia="Calibri"/>
          <w:color w:val="000000"/>
        </w:rPr>
        <w:t xml:space="preserve">organizations on the </w:t>
      </w:r>
      <w:r w:rsidR="00B35C5A">
        <w:rPr>
          <w:rFonts w:eastAsia="Calibri"/>
          <w:color w:val="000000"/>
        </w:rPr>
        <w:t>CMF Performance Report d</w:t>
      </w:r>
      <w:r w:rsidRPr="00FE552D">
        <w:rPr>
          <w:rFonts w:eastAsia="Calibri"/>
          <w:color w:val="000000"/>
        </w:rPr>
        <w:t xml:space="preserve">ata collection form. </w:t>
      </w:r>
      <w:r w:rsidRPr="00D62FBC">
        <w:rPr>
          <w:rFonts w:eastAsia="Calibri"/>
          <w:color w:val="000000"/>
        </w:rPr>
        <w:t xml:space="preserve">The </w:t>
      </w:r>
      <w:r w:rsidR="00DC2CE4">
        <w:rPr>
          <w:rFonts w:eastAsia="Calibri"/>
          <w:color w:val="000000"/>
        </w:rPr>
        <w:t>comments</w:t>
      </w:r>
      <w:r w:rsidRPr="00D62FBC">
        <w:rPr>
          <w:rFonts w:eastAsia="Calibri"/>
          <w:color w:val="000000"/>
        </w:rPr>
        <w:t xml:space="preserve"> provided recommendations for enhancement</w:t>
      </w:r>
      <w:r w:rsidRPr="00D62FBC" w:rsidR="00D62FBC">
        <w:rPr>
          <w:rFonts w:eastAsia="Calibri"/>
          <w:color w:val="000000"/>
        </w:rPr>
        <w:t>s</w:t>
      </w:r>
      <w:r w:rsidRPr="00D62FBC">
        <w:rPr>
          <w:rFonts w:eastAsia="Calibri"/>
          <w:color w:val="000000"/>
        </w:rPr>
        <w:t xml:space="preserve"> to the data collection form</w:t>
      </w:r>
      <w:r w:rsidRPr="00D62FBC" w:rsidR="00D62FBC">
        <w:rPr>
          <w:rFonts w:eastAsia="Calibri"/>
          <w:color w:val="000000"/>
        </w:rPr>
        <w:t>, as well as other recommendations unrelated to the data collection form</w:t>
      </w:r>
      <w:r w:rsidRPr="00D62FBC">
        <w:rPr>
          <w:rFonts w:eastAsia="Calibri"/>
          <w:color w:val="000000"/>
        </w:rPr>
        <w:t>.</w:t>
      </w:r>
    </w:p>
    <w:p w:rsidR="00FE552D" w:rsidRPr="00FE552D" w:rsidP="00FE552D" w14:paraId="7B2653D5" w14:textId="77777777">
      <w:pPr>
        <w:autoSpaceDE w:val="0"/>
        <w:autoSpaceDN w:val="0"/>
        <w:adjustRightInd w:val="0"/>
        <w:rPr>
          <w:rFonts w:eastAsia="Calibri"/>
          <w:color w:val="000000"/>
        </w:rPr>
      </w:pPr>
    </w:p>
    <w:p w:rsidR="00FE552D" w:rsidRPr="00FE552D" w:rsidP="00FE552D" w14:paraId="086B1E46" w14:textId="67706A8A">
      <w:pPr>
        <w:autoSpaceDE w:val="0"/>
        <w:autoSpaceDN w:val="0"/>
        <w:adjustRightInd w:val="0"/>
        <w:rPr>
          <w:rFonts w:eastAsia="Calibri"/>
          <w:color w:val="000000"/>
          <w:u w:val="single"/>
        </w:rPr>
      </w:pPr>
      <w:r w:rsidRPr="00FE552D">
        <w:rPr>
          <w:rFonts w:eastAsia="Calibri"/>
          <w:color w:val="000000"/>
          <w:u w:val="single"/>
        </w:rPr>
        <w:t xml:space="preserve">2. Method of collection and use of data </w:t>
      </w:r>
    </w:p>
    <w:p w:rsidR="00FE552D" w:rsidP="00FE552D" w14:paraId="10751BB4" w14:textId="112DED1A">
      <w:pPr>
        <w:autoSpaceDE w:val="0"/>
        <w:autoSpaceDN w:val="0"/>
        <w:adjustRightInd w:val="0"/>
        <w:rPr>
          <w:rFonts w:eastAsia="Calibri"/>
          <w:color w:val="000000"/>
        </w:rPr>
      </w:pPr>
      <w:r w:rsidRPr="00FE552D">
        <w:rPr>
          <w:rFonts w:eastAsia="Calibri"/>
          <w:color w:val="000000"/>
        </w:rPr>
        <w:t xml:space="preserve">The CDFI Fund will collect the </w:t>
      </w:r>
      <w:r w:rsidR="00407D24">
        <w:rPr>
          <w:rFonts w:eastAsia="Calibri"/>
          <w:color w:val="000000"/>
        </w:rPr>
        <w:t xml:space="preserve">CMF Performance Report </w:t>
      </w:r>
      <w:r w:rsidRPr="00FE552D">
        <w:rPr>
          <w:rFonts w:eastAsia="Calibri"/>
          <w:color w:val="000000"/>
        </w:rPr>
        <w:t>on an annual basis according to the Recipient fiscal year end</w:t>
      </w:r>
      <w:r w:rsidR="00DC2CE4">
        <w:rPr>
          <w:rFonts w:eastAsia="Calibri"/>
          <w:color w:val="000000"/>
        </w:rPr>
        <w:t xml:space="preserve"> date</w:t>
      </w:r>
      <w:r w:rsidRPr="00FE552D">
        <w:rPr>
          <w:rFonts w:eastAsia="Calibri"/>
          <w:color w:val="000000"/>
        </w:rPr>
        <w:t xml:space="preserve">. </w:t>
      </w:r>
      <w:r w:rsidRPr="00407D24" w:rsidR="00407D24">
        <w:rPr>
          <w:rFonts w:eastAsia="Calibri"/>
          <w:color w:val="000000"/>
        </w:rPr>
        <w:t>This report is used to determine Recipient compliance with the applicable performance goals in their Assistance Agreement, and to demonstrate how Award funds are expended.</w:t>
      </w:r>
    </w:p>
    <w:p w:rsidR="00267D40" w:rsidP="00FE552D" w14:paraId="46445976" w14:textId="77777777">
      <w:pPr>
        <w:autoSpaceDE w:val="0"/>
        <w:autoSpaceDN w:val="0"/>
        <w:adjustRightInd w:val="0"/>
        <w:rPr>
          <w:rFonts w:eastAsia="Calibri"/>
          <w:color w:val="000000"/>
        </w:rPr>
      </w:pPr>
    </w:p>
    <w:p w:rsidR="00267D40" w:rsidP="00267D40" w14:paraId="2CDED720" w14:textId="34D083E0">
      <w:pPr>
        <w:autoSpaceDE w:val="0"/>
        <w:autoSpaceDN w:val="0"/>
        <w:adjustRightInd w:val="0"/>
        <w:rPr>
          <w:rFonts w:eastAsia="Calibri"/>
          <w:color w:val="000000"/>
        </w:rPr>
      </w:pPr>
      <w:r>
        <w:rPr>
          <w:rFonts w:eastAsia="Calibri"/>
          <w:color w:val="000000"/>
        </w:rPr>
        <w:t>The C</w:t>
      </w:r>
      <w:r w:rsidR="00DC2CE4">
        <w:rPr>
          <w:rFonts w:eastAsia="Calibri"/>
          <w:color w:val="000000"/>
        </w:rPr>
        <w:t>D</w:t>
      </w:r>
      <w:r>
        <w:rPr>
          <w:rFonts w:eastAsia="Calibri"/>
          <w:color w:val="000000"/>
        </w:rPr>
        <w:t xml:space="preserve">FI Fund will collect the Environmental Review Form 180 days prior to </w:t>
      </w:r>
      <w:r w:rsidR="00D27C94">
        <w:rPr>
          <w:rFonts w:eastAsia="Calibri"/>
          <w:color w:val="000000"/>
        </w:rPr>
        <w:t xml:space="preserve">the Recipient making a </w:t>
      </w:r>
      <w:r w:rsidR="00D41915">
        <w:rPr>
          <w:rFonts w:eastAsia="Calibri"/>
          <w:color w:val="000000"/>
        </w:rPr>
        <w:t xml:space="preserve">Project </w:t>
      </w:r>
      <w:r>
        <w:rPr>
          <w:rFonts w:eastAsia="Calibri"/>
          <w:color w:val="000000"/>
        </w:rPr>
        <w:t>Commitment, if applicable</w:t>
      </w:r>
      <w:r w:rsidRPr="00B35C5A">
        <w:rPr>
          <w:rFonts w:eastAsia="Calibri"/>
          <w:color w:val="000000"/>
        </w:rPr>
        <w:t>.</w:t>
      </w:r>
      <w:r>
        <w:rPr>
          <w:rFonts w:eastAsia="Calibri"/>
          <w:color w:val="000000"/>
        </w:rPr>
        <w:t xml:space="preserve"> The information collected in the Environmental Review Form is used to ensure </w:t>
      </w:r>
      <w:r w:rsidR="0048717B">
        <w:rPr>
          <w:rFonts w:eastAsia="Calibri"/>
          <w:color w:val="000000"/>
        </w:rPr>
        <w:t>the Project is</w:t>
      </w:r>
      <w:r>
        <w:rPr>
          <w:rFonts w:eastAsia="Calibri"/>
          <w:color w:val="000000"/>
        </w:rPr>
        <w:t xml:space="preserve"> in compliance with the environmental review </w:t>
      </w:r>
      <w:r w:rsidRPr="00267D40">
        <w:rPr>
          <w:rFonts w:eastAsia="Calibri"/>
          <w:color w:val="000000"/>
        </w:rPr>
        <w:t>requirements set forth in 12 CFR Part 1815</w:t>
      </w:r>
      <w:r w:rsidR="0048717B">
        <w:rPr>
          <w:rFonts w:eastAsia="Calibri"/>
          <w:color w:val="000000"/>
        </w:rPr>
        <w:t>,</w:t>
      </w:r>
      <w:r>
        <w:rPr>
          <w:rFonts w:eastAsia="Calibri"/>
          <w:color w:val="000000"/>
        </w:rPr>
        <w:t xml:space="preserve"> prior to </w:t>
      </w:r>
      <w:r w:rsidR="002551A0">
        <w:rPr>
          <w:rFonts w:eastAsia="Calibri"/>
          <w:color w:val="000000"/>
        </w:rPr>
        <w:t>the</w:t>
      </w:r>
      <w:r w:rsidR="00467D1A">
        <w:rPr>
          <w:rFonts w:eastAsia="Calibri"/>
          <w:color w:val="000000"/>
        </w:rPr>
        <w:t xml:space="preserve"> Recipient making a</w:t>
      </w:r>
      <w:r w:rsidR="002551A0">
        <w:rPr>
          <w:rFonts w:eastAsia="Calibri"/>
          <w:color w:val="000000"/>
        </w:rPr>
        <w:t xml:space="preserve"> </w:t>
      </w:r>
      <w:r w:rsidR="0048717B">
        <w:rPr>
          <w:rFonts w:eastAsia="Calibri"/>
          <w:color w:val="000000"/>
        </w:rPr>
        <w:t xml:space="preserve">disbursement to a </w:t>
      </w:r>
      <w:r w:rsidR="00D41915">
        <w:rPr>
          <w:rFonts w:eastAsia="Calibri"/>
          <w:color w:val="000000"/>
        </w:rPr>
        <w:t xml:space="preserve">Project </w:t>
      </w:r>
      <w:r w:rsidR="0048717B">
        <w:rPr>
          <w:rFonts w:eastAsia="Calibri"/>
          <w:color w:val="000000"/>
        </w:rPr>
        <w:t xml:space="preserve">based on the Project </w:t>
      </w:r>
      <w:r w:rsidR="002551A0">
        <w:rPr>
          <w:rFonts w:eastAsia="Calibri"/>
          <w:color w:val="000000"/>
        </w:rPr>
        <w:t>C</w:t>
      </w:r>
      <w:r>
        <w:rPr>
          <w:rFonts w:eastAsia="Calibri"/>
          <w:color w:val="000000"/>
        </w:rPr>
        <w:t>ommitment</w:t>
      </w:r>
      <w:r w:rsidRPr="00267D40">
        <w:rPr>
          <w:rFonts w:eastAsia="Calibri"/>
          <w:color w:val="000000"/>
        </w:rPr>
        <w:t xml:space="preserve">. </w:t>
      </w:r>
      <w:r>
        <w:rPr>
          <w:rFonts w:eastAsia="Calibri"/>
          <w:color w:val="000000"/>
        </w:rPr>
        <w:t xml:space="preserve">An Environmental Review Form is only required from Recipient if the project is not in compliance with the environmental review requirements. </w:t>
      </w:r>
    </w:p>
    <w:p w:rsidR="00FE552D" w:rsidRPr="00FE552D" w:rsidP="00FE552D" w14:paraId="77B48BAC" w14:textId="77777777">
      <w:pPr>
        <w:autoSpaceDE w:val="0"/>
        <w:autoSpaceDN w:val="0"/>
        <w:adjustRightInd w:val="0"/>
        <w:rPr>
          <w:rFonts w:eastAsia="Calibri"/>
          <w:color w:val="000000"/>
        </w:rPr>
      </w:pPr>
    </w:p>
    <w:p w:rsidR="00FE552D" w:rsidRPr="00FE552D" w:rsidP="00FE552D" w14:paraId="645F4A08" w14:textId="77777777">
      <w:pPr>
        <w:autoSpaceDE w:val="0"/>
        <w:autoSpaceDN w:val="0"/>
        <w:adjustRightInd w:val="0"/>
        <w:rPr>
          <w:rFonts w:eastAsia="Calibri"/>
          <w:color w:val="000000"/>
          <w:u w:val="single"/>
        </w:rPr>
      </w:pPr>
      <w:r w:rsidRPr="00FE552D">
        <w:rPr>
          <w:rFonts w:eastAsia="Calibri"/>
          <w:color w:val="000000"/>
          <w:u w:val="single"/>
        </w:rPr>
        <w:t xml:space="preserve">3. Use of Information Technology </w:t>
      </w:r>
    </w:p>
    <w:p w:rsidR="00FE552D" w:rsidRPr="00FE552D" w:rsidP="00FE552D" w14:paraId="36A7FB2F" w14:textId="77777777">
      <w:pPr>
        <w:autoSpaceDE w:val="0"/>
        <w:autoSpaceDN w:val="0"/>
        <w:adjustRightInd w:val="0"/>
        <w:rPr>
          <w:rFonts w:eastAsia="Calibri"/>
          <w:color w:val="000000"/>
        </w:rPr>
      </w:pPr>
      <w:r w:rsidRPr="00FE552D">
        <w:rPr>
          <w:rFonts w:eastAsia="Calibri"/>
          <w:color w:val="000000"/>
        </w:rPr>
        <w:t xml:space="preserve">The CDFI Fund will collect information electronically and/or use online collaboration tools to reduce burden.  </w:t>
      </w:r>
    </w:p>
    <w:p w:rsidR="00FE552D" w:rsidRPr="00FE552D" w:rsidP="00FE552D" w14:paraId="655C1197" w14:textId="77777777">
      <w:pPr>
        <w:autoSpaceDE w:val="0"/>
        <w:autoSpaceDN w:val="0"/>
        <w:adjustRightInd w:val="0"/>
        <w:rPr>
          <w:rFonts w:eastAsia="Calibri"/>
          <w:color w:val="000000"/>
        </w:rPr>
      </w:pPr>
    </w:p>
    <w:p w:rsidR="00FE552D" w:rsidRPr="00FE552D" w:rsidP="00FE552D" w14:paraId="181BADB1" w14:textId="3CFABB1A">
      <w:pPr>
        <w:autoSpaceDE w:val="0"/>
        <w:autoSpaceDN w:val="0"/>
        <w:adjustRightInd w:val="0"/>
        <w:rPr>
          <w:rFonts w:eastAsia="Calibri"/>
          <w:color w:val="000000"/>
          <w:u w:val="single"/>
        </w:rPr>
      </w:pPr>
      <w:r w:rsidRPr="00FE552D">
        <w:rPr>
          <w:rFonts w:eastAsia="Calibri"/>
          <w:color w:val="000000"/>
          <w:u w:val="single"/>
        </w:rPr>
        <w:t xml:space="preserve">4. Efforts to identify duplication </w:t>
      </w:r>
    </w:p>
    <w:p w:rsidR="00FE552D" w:rsidRPr="00FE552D" w:rsidP="00FE552D" w14:paraId="78E31EFD" w14:textId="064F302F">
      <w:pPr>
        <w:autoSpaceDE w:val="0"/>
        <w:autoSpaceDN w:val="0"/>
        <w:adjustRightInd w:val="0"/>
        <w:rPr>
          <w:rFonts w:eastAsia="Calibri"/>
          <w:color w:val="000000"/>
        </w:rPr>
      </w:pPr>
      <w:r w:rsidRPr="00FE552D">
        <w:rPr>
          <w:rFonts w:eastAsia="Calibri"/>
          <w:color w:val="000000"/>
        </w:rPr>
        <w:t xml:space="preserve">The CDFI Fund </w:t>
      </w:r>
      <w:r w:rsidR="006B4421">
        <w:rPr>
          <w:rFonts w:eastAsia="Calibri"/>
          <w:color w:val="000000"/>
        </w:rPr>
        <w:t>ensures that</w:t>
      </w:r>
      <w:r w:rsidRPr="00FE552D">
        <w:rPr>
          <w:rFonts w:eastAsia="Calibri"/>
          <w:color w:val="000000"/>
        </w:rPr>
        <w:t xml:space="preserve"> no similar data is gathered or maintained by the CDFI Fund or </w:t>
      </w:r>
      <w:r w:rsidR="008257D6">
        <w:rPr>
          <w:rFonts w:eastAsia="Calibri"/>
          <w:color w:val="000000"/>
        </w:rPr>
        <w:t>is</w:t>
      </w:r>
      <w:r w:rsidRPr="00FE552D">
        <w:rPr>
          <w:rFonts w:eastAsia="Calibri"/>
          <w:color w:val="000000"/>
        </w:rPr>
        <w:t xml:space="preserve"> available from other sources known to the CDFI Fund. All of the information requested is required in order to determine if a Recipient is in compliance with the terms and conditions of its </w:t>
      </w:r>
      <w:r w:rsidR="0009797D">
        <w:rPr>
          <w:rFonts w:eastAsia="Calibri"/>
          <w:color w:val="000000"/>
        </w:rPr>
        <w:t xml:space="preserve">Assistance </w:t>
      </w:r>
      <w:r w:rsidRPr="00FE552D">
        <w:rPr>
          <w:rFonts w:eastAsia="Calibri"/>
          <w:color w:val="000000"/>
        </w:rPr>
        <w:t>Agreement.</w:t>
      </w:r>
    </w:p>
    <w:p w:rsidR="00FE552D" w:rsidRPr="00FE552D" w:rsidP="00FE552D" w14:paraId="3C28B8E3" w14:textId="77777777">
      <w:pPr>
        <w:autoSpaceDE w:val="0"/>
        <w:autoSpaceDN w:val="0"/>
        <w:adjustRightInd w:val="0"/>
        <w:rPr>
          <w:rFonts w:eastAsia="Calibri"/>
          <w:color w:val="000000"/>
        </w:rPr>
      </w:pPr>
    </w:p>
    <w:p w:rsidR="00FE552D" w:rsidRPr="00FE552D" w:rsidP="00FE552D" w14:paraId="0149A261" w14:textId="6E701851">
      <w:pPr>
        <w:autoSpaceDE w:val="0"/>
        <w:autoSpaceDN w:val="0"/>
        <w:adjustRightInd w:val="0"/>
        <w:rPr>
          <w:rFonts w:eastAsia="Calibri"/>
          <w:color w:val="000000"/>
          <w:u w:val="single"/>
        </w:rPr>
      </w:pPr>
      <w:r w:rsidRPr="00FE552D">
        <w:rPr>
          <w:rFonts w:eastAsia="Calibri"/>
          <w:color w:val="000000"/>
          <w:u w:val="single"/>
        </w:rPr>
        <w:t xml:space="preserve">5. Impact on small entities </w:t>
      </w:r>
    </w:p>
    <w:p w:rsidR="00FE552D" w:rsidRPr="00FE552D" w:rsidP="00FE552D" w14:paraId="00E7026A" w14:textId="724AAB43">
      <w:pPr>
        <w:autoSpaceDE w:val="0"/>
        <w:autoSpaceDN w:val="0"/>
        <w:adjustRightInd w:val="0"/>
        <w:rPr>
          <w:rFonts w:eastAsia="Calibri"/>
          <w:color w:val="000000"/>
        </w:rPr>
      </w:pPr>
      <w:r>
        <w:rPr>
          <w:rFonts w:eastAsia="Calibri"/>
          <w:color w:val="000000"/>
        </w:rPr>
        <w:t>This may require participation from s</w:t>
      </w:r>
      <w:r w:rsidRPr="00FE552D">
        <w:rPr>
          <w:rFonts w:eastAsia="Calibri"/>
          <w:color w:val="000000"/>
        </w:rPr>
        <w:t>mall business or other small entities</w:t>
      </w:r>
      <w:r>
        <w:rPr>
          <w:rFonts w:eastAsia="Calibri"/>
          <w:color w:val="000000"/>
        </w:rPr>
        <w:t>. T</w:t>
      </w:r>
      <w:r w:rsidRPr="00FE552D">
        <w:rPr>
          <w:rFonts w:eastAsia="Calibri"/>
          <w:color w:val="000000"/>
        </w:rPr>
        <w:t>he CDFI Fund will minimize the</w:t>
      </w:r>
      <w:r>
        <w:rPr>
          <w:rFonts w:eastAsia="Calibri"/>
          <w:color w:val="000000"/>
        </w:rPr>
        <w:t>ir</w:t>
      </w:r>
      <w:r w:rsidRPr="00FE552D">
        <w:rPr>
          <w:rFonts w:eastAsia="Calibri"/>
          <w:color w:val="000000"/>
        </w:rPr>
        <w:t xml:space="preserve"> burden by using the information collected under this clearance by sampling, asking for readily available information, and</w:t>
      </w:r>
      <w:r>
        <w:rPr>
          <w:rFonts w:eastAsia="Calibri"/>
          <w:color w:val="000000"/>
        </w:rPr>
        <w:t>/or</w:t>
      </w:r>
      <w:r w:rsidRPr="00FE552D">
        <w:rPr>
          <w:rFonts w:eastAsia="Calibri"/>
          <w:color w:val="000000"/>
        </w:rPr>
        <w:t xml:space="preserve"> using short</w:t>
      </w:r>
      <w:r>
        <w:rPr>
          <w:rFonts w:eastAsia="Calibri"/>
          <w:color w:val="000000"/>
        </w:rPr>
        <w:t xml:space="preserve"> and</w:t>
      </w:r>
      <w:r w:rsidRPr="00FE552D">
        <w:rPr>
          <w:rFonts w:eastAsia="Calibri"/>
          <w:color w:val="000000"/>
        </w:rPr>
        <w:t xml:space="preserve"> easy-to-complete information </w:t>
      </w:r>
      <w:r w:rsidRPr="00FE552D">
        <w:rPr>
          <w:rFonts w:eastAsia="Calibri"/>
          <w:color w:val="000000"/>
        </w:rPr>
        <w:t>collection instruments. This collection of information is not expected to have a significant impact on small entities because the data needed to complete the</w:t>
      </w:r>
      <w:r w:rsidR="00E167B1">
        <w:rPr>
          <w:rFonts w:eastAsia="Calibri"/>
          <w:color w:val="000000"/>
        </w:rPr>
        <w:t xml:space="preserve"> CMF Performance Report</w:t>
      </w:r>
      <w:r w:rsidRPr="00FE552D">
        <w:rPr>
          <w:rFonts w:eastAsia="Calibri"/>
          <w:color w:val="000000"/>
        </w:rPr>
        <w:t xml:space="preserve"> is obtained from the standard accounting information that all entities use to complete end of year Financial Statement Audit Reports.</w:t>
      </w:r>
      <w:r w:rsidR="00267D40">
        <w:rPr>
          <w:rFonts w:eastAsia="Calibri"/>
          <w:color w:val="000000"/>
        </w:rPr>
        <w:t xml:space="preserve"> The information </w:t>
      </w:r>
      <w:r w:rsidR="00C561E0">
        <w:rPr>
          <w:rFonts w:eastAsia="Calibri"/>
          <w:color w:val="000000"/>
        </w:rPr>
        <w:t xml:space="preserve">used </w:t>
      </w:r>
      <w:r w:rsidR="00267D40">
        <w:rPr>
          <w:rFonts w:eastAsia="Calibri"/>
          <w:color w:val="000000"/>
        </w:rPr>
        <w:t>to complete the Environmental Review Form is</w:t>
      </w:r>
      <w:r w:rsidR="00C67ACC">
        <w:rPr>
          <w:rFonts w:eastAsia="Calibri"/>
          <w:color w:val="000000"/>
        </w:rPr>
        <w:t xml:space="preserve"> </w:t>
      </w:r>
      <w:r w:rsidR="00C561E0">
        <w:rPr>
          <w:rFonts w:eastAsia="Calibri"/>
          <w:color w:val="000000"/>
        </w:rPr>
        <w:t xml:space="preserve">readily provided by all entities based on </w:t>
      </w:r>
      <w:r w:rsidR="00C67ACC">
        <w:rPr>
          <w:rFonts w:eastAsia="Calibri"/>
          <w:color w:val="000000"/>
        </w:rPr>
        <w:t xml:space="preserve">standard project </w:t>
      </w:r>
      <w:r w:rsidR="00C561E0">
        <w:rPr>
          <w:rFonts w:eastAsia="Calibri"/>
          <w:color w:val="000000"/>
        </w:rPr>
        <w:t xml:space="preserve">level information </w:t>
      </w:r>
      <w:r w:rsidR="00C67ACC">
        <w:rPr>
          <w:rFonts w:eastAsia="Calibri"/>
          <w:color w:val="000000"/>
        </w:rPr>
        <w:t xml:space="preserve">that </w:t>
      </w:r>
      <w:r w:rsidR="00C561E0">
        <w:rPr>
          <w:rFonts w:eastAsia="Calibri"/>
          <w:color w:val="000000"/>
        </w:rPr>
        <w:t>is required</w:t>
      </w:r>
      <w:r w:rsidR="00C67ACC">
        <w:rPr>
          <w:rFonts w:eastAsia="Calibri"/>
          <w:color w:val="000000"/>
        </w:rPr>
        <w:t xml:space="preserve"> to complete </w:t>
      </w:r>
      <w:r w:rsidR="00C561E0">
        <w:rPr>
          <w:rFonts w:eastAsia="Calibri"/>
          <w:color w:val="000000"/>
        </w:rPr>
        <w:t xml:space="preserve">the </w:t>
      </w:r>
      <w:r w:rsidR="00C67ACC">
        <w:rPr>
          <w:rFonts w:eastAsia="Calibri"/>
          <w:color w:val="000000"/>
        </w:rPr>
        <w:t xml:space="preserve">permitting process. </w:t>
      </w:r>
    </w:p>
    <w:p w:rsidR="00FE552D" w:rsidRPr="00FE552D" w:rsidP="00FE552D" w14:paraId="39543F34" w14:textId="77777777">
      <w:pPr>
        <w:autoSpaceDE w:val="0"/>
        <w:autoSpaceDN w:val="0"/>
        <w:adjustRightInd w:val="0"/>
        <w:rPr>
          <w:rFonts w:eastAsia="Calibri"/>
          <w:color w:val="000000"/>
        </w:rPr>
      </w:pPr>
    </w:p>
    <w:p w:rsidR="00FE552D" w:rsidRPr="00FE552D" w:rsidP="00FE552D" w14:paraId="700970AF" w14:textId="2FAA65D7">
      <w:pPr>
        <w:autoSpaceDE w:val="0"/>
        <w:autoSpaceDN w:val="0"/>
        <w:adjustRightInd w:val="0"/>
        <w:rPr>
          <w:rFonts w:eastAsia="Calibri"/>
          <w:color w:val="000000"/>
          <w:u w:val="single"/>
        </w:rPr>
      </w:pPr>
      <w:r w:rsidRPr="00FE552D">
        <w:rPr>
          <w:rFonts w:eastAsia="Calibri"/>
          <w:color w:val="000000"/>
          <w:u w:val="single"/>
        </w:rPr>
        <w:t xml:space="preserve">6. Consequences of less frequent collection and obstacles to burden reduction </w:t>
      </w:r>
    </w:p>
    <w:p w:rsidR="00FE552D" w:rsidRPr="00FE552D" w:rsidP="00FE552D" w14:paraId="3534E369" w14:textId="499C2316">
      <w:pPr>
        <w:autoSpaceDE w:val="0"/>
        <w:autoSpaceDN w:val="0"/>
        <w:adjustRightInd w:val="0"/>
        <w:rPr>
          <w:rFonts w:eastAsia="Calibri"/>
          <w:color w:val="000000"/>
        </w:rPr>
      </w:pPr>
      <w:r w:rsidRPr="00FE552D">
        <w:rPr>
          <w:rFonts w:eastAsia="Calibri"/>
          <w:color w:val="000000"/>
        </w:rPr>
        <w:t>The CDFI Fund cannot determine Recipient</w:t>
      </w:r>
      <w:r w:rsidR="00E167B1">
        <w:rPr>
          <w:rFonts w:eastAsia="Calibri"/>
          <w:color w:val="000000"/>
        </w:rPr>
        <w:t xml:space="preserve">’s </w:t>
      </w:r>
      <w:r w:rsidRPr="00FE552D">
        <w:rPr>
          <w:rFonts w:eastAsia="Calibri"/>
          <w:color w:val="000000"/>
        </w:rPr>
        <w:t xml:space="preserve">compliance with their </w:t>
      </w:r>
      <w:r w:rsidR="00E167B1">
        <w:rPr>
          <w:rFonts w:eastAsia="Calibri"/>
          <w:color w:val="000000"/>
        </w:rPr>
        <w:t xml:space="preserve">Assistance </w:t>
      </w:r>
      <w:r w:rsidRPr="00FE552D">
        <w:rPr>
          <w:rFonts w:eastAsia="Calibri"/>
          <w:color w:val="000000"/>
        </w:rPr>
        <w:t>Agreement(s), measure annual performance, or perform program evaluation without this annual collection of this data.</w:t>
      </w:r>
    </w:p>
    <w:p w:rsidR="00FE552D" w:rsidRPr="00FE552D" w:rsidP="00FE552D" w14:paraId="4904F41B" w14:textId="77777777">
      <w:pPr>
        <w:autoSpaceDE w:val="0"/>
        <w:autoSpaceDN w:val="0"/>
        <w:adjustRightInd w:val="0"/>
        <w:rPr>
          <w:rFonts w:eastAsia="Calibri"/>
          <w:color w:val="000000"/>
          <w:u w:val="single"/>
        </w:rPr>
      </w:pPr>
    </w:p>
    <w:p w:rsidR="00FE552D" w:rsidRPr="00FE552D" w:rsidP="00FE552D" w14:paraId="5E159C27" w14:textId="77777777">
      <w:pPr>
        <w:autoSpaceDE w:val="0"/>
        <w:autoSpaceDN w:val="0"/>
        <w:adjustRightInd w:val="0"/>
        <w:rPr>
          <w:rFonts w:eastAsia="Calibri"/>
          <w:color w:val="000000"/>
          <w:u w:val="single"/>
        </w:rPr>
      </w:pPr>
      <w:r w:rsidRPr="00FE552D">
        <w:rPr>
          <w:rFonts w:eastAsia="Calibri"/>
          <w:color w:val="000000"/>
          <w:u w:val="single"/>
        </w:rPr>
        <w:t xml:space="preserve">7. Circumstances requiring special information collection </w:t>
      </w:r>
    </w:p>
    <w:p w:rsidR="00FE552D" w:rsidRPr="00FE552D" w:rsidP="00FE552D" w14:paraId="7E147708" w14:textId="0EABC111">
      <w:pPr>
        <w:autoSpaceDE w:val="0"/>
        <w:autoSpaceDN w:val="0"/>
        <w:adjustRightInd w:val="0"/>
        <w:rPr>
          <w:rFonts w:eastAsia="Calibri"/>
          <w:color w:val="000000"/>
          <w:u w:val="single"/>
        </w:rPr>
      </w:pPr>
      <w:r>
        <w:rPr>
          <w:rFonts w:eastAsia="Calibri"/>
          <w:color w:val="000000"/>
        </w:rPr>
        <w:t>There are no special circumstances.</w:t>
      </w:r>
    </w:p>
    <w:p w:rsidR="00FE552D" w:rsidRPr="00FE552D" w:rsidP="00FE552D" w14:paraId="72275933" w14:textId="77777777">
      <w:pPr>
        <w:autoSpaceDE w:val="0"/>
        <w:autoSpaceDN w:val="0"/>
        <w:adjustRightInd w:val="0"/>
        <w:rPr>
          <w:rFonts w:eastAsia="Calibri"/>
          <w:color w:val="000000"/>
        </w:rPr>
      </w:pPr>
    </w:p>
    <w:p w:rsidR="00FE552D" w:rsidRPr="00FE552D" w:rsidP="00FE552D" w14:paraId="6A95FDEC" w14:textId="77777777">
      <w:pPr>
        <w:autoSpaceDE w:val="0"/>
        <w:autoSpaceDN w:val="0"/>
        <w:adjustRightInd w:val="0"/>
        <w:rPr>
          <w:rFonts w:eastAsia="Calibri"/>
          <w:color w:val="000000"/>
          <w:u w:val="single"/>
        </w:rPr>
      </w:pPr>
      <w:r w:rsidRPr="00FE552D">
        <w:rPr>
          <w:rFonts w:eastAsia="Calibri"/>
          <w:color w:val="000000"/>
          <w:u w:val="single"/>
        </w:rPr>
        <w:t xml:space="preserve">8. Consultation with Persons outside the Agency </w:t>
      </w:r>
    </w:p>
    <w:p w:rsidR="00D62FBC" w:rsidRPr="00FE552D" w:rsidP="00D62FBC" w14:paraId="337F1958" w14:textId="7EB00A38">
      <w:pPr>
        <w:autoSpaceDE w:val="0"/>
        <w:autoSpaceDN w:val="0"/>
        <w:adjustRightInd w:val="0"/>
        <w:rPr>
          <w:rFonts w:eastAsia="Calibri"/>
          <w:color w:val="000000"/>
        </w:rPr>
      </w:pPr>
      <w:r w:rsidRPr="00FE552D">
        <w:rPr>
          <w:rFonts w:eastAsia="Calibri"/>
          <w:color w:val="000000"/>
        </w:rPr>
        <w:t xml:space="preserve">Pursuant to the notice and request for comments published in the </w:t>
      </w:r>
      <w:r w:rsidRPr="0049378A">
        <w:rPr>
          <w:rFonts w:eastAsia="Calibri"/>
          <w:i/>
          <w:iCs/>
          <w:color w:val="000000"/>
        </w:rPr>
        <w:t>Federal Register</w:t>
      </w:r>
      <w:r w:rsidRPr="00FE552D">
        <w:rPr>
          <w:rFonts w:eastAsia="Calibri"/>
          <w:color w:val="000000"/>
        </w:rPr>
        <w:t xml:space="preserve"> on </w:t>
      </w:r>
      <w:r w:rsidR="00E167B1">
        <w:rPr>
          <w:rFonts w:eastAsia="Calibri"/>
          <w:color w:val="000000"/>
        </w:rPr>
        <w:t>July 1, 2024</w:t>
      </w:r>
      <w:r w:rsidRPr="00FE552D">
        <w:rPr>
          <w:rFonts w:eastAsia="Calibri"/>
          <w:color w:val="000000"/>
        </w:rPr>
        <w:t>, at 87 FR 5</w:t>
      </w:r>
      <w:r w:rsidR="00E167B1">
        <w:rPr>
          <w:rFonts w:eastAsia="Calibri"/>
          <w:color w:val="000000"/>
        </w:rPr>
        <w:t>4644</w:t>
      </w:r>
      <w:r w:rsidRPr="00FE552D">
        <w:rPr>
          <w:rFonts w:eastAsia="Calibri"/>
          <w:color w:val="000000"/>
        </w:rPr>
        <w:t xml:space="preserve">, the CDFI Fund received detailed comments on or before </w:t>
      </w:r>
      <w:r w:rsidR="00E167B1">
        <w:rPr>
          <w:rFonts w:eastAsia="Calibri"/>
          <w:color w:val="000000"/>
        </w:rPr>
        <w:t>August 30</w:t>
      </w:r>
      <w:r w:rsidRPr="00FE552D">
        <w:rPr>
          <w:rFonts w:eastAsia="Calibri"/>
          <w:color w:val="000000"/>
        </w:rPr>
        <w:t>, 202</w:t>
      </w:r>
      <w:r w:rsidR="00E167B1">
        <w:rPr>
          <w:rFonts w:eastAsia="Calibri"/>
          <w:color w:val="000000"/>
        </w:rPr>
        <w:t>4</w:t>
      </w:r>
      <w:r w:rsidRPr="00FE552D">
        <w:rPr>
          <w:rFonts w:eastAsia="Calibri"/>
          <w:color w:val="000000"/>
        </w:rPr>
        <w:t xml:space="preserve">, from </w:t>
      </w:r>
      <w:r>
        <w:rPr>
          <w:rFonts w:eastAsia="Calibri"/>
          <w:color w:val="000000"/>
        </w:rPr>
        <w:t>three (3)</w:t>
      </w:r>
      <w:r w:rsidRPr="00FE552D">
        <w:rPr>
          <w:rFonts w:eastAsia="Calibri"/>
          <w:color w:val="000000"/>
        </w:rPr>
        <w:t xml:space="preserve"> organizations responding to the solicitation for a total of </w:t>
      </w:r>
      <w:r w:rsidR="00C561E0">
        <w:rPr>
          <w:rFonts w:eastAsia="Calibri"/>
          <w:color w:val="000000"/>
        </w:rPr>
        <w:t>thirty-two</w:t>
      </w:r>
      <w:r>
        <w:rPr>
          <w:rFonts w:eastAsia="Calibri"/>
          <w:color w:val="000000"/>
        </w:rPr>
        <w:t xml:space="preserve"> (32)</w:t>
      </w:r>
      <w:r w:rsidRPr="00FE552D">
        <w:rPr>
          <w:rFonts w:eastAsia="Calibri"/>
          <w:color w:val="000000"/>
        </w:rPr>
        <w:t xml:space="preserve"> unique comments. </w:t>
      </w:r>
      <w:r w:rsidRPr="00D62FBC">
        <w:rPr>
          <w:rFonts w:eastAsia="Calibri"/>
          <w:color w:val="000000"/>
        </w:rPr>
        <w:t xml:space="preserve">The </w:t>
      </w:r>
      <w:r w:rsidR="008C794A">
        <w:rPr>
          <w:rFonts w:eastAsia="Calibri"/>
          <w:color w:val="000000"/>
        </w:rPr>
        <w:t>comments</w:t>
      </w:r>
      <w:r w:rsidRPr="00D62FBC">
        <w:rPr>
          <w:rFonts w:eastAsia="Calibri"/>
          <w:color w:val="000000"/>
        </w:rPr>
        <w:t xml:space="preserve"> provided recommendations for enhancements to the data collection form, as well as other recommendations unrelated to the data collection form.</w:t>
      </w:r>
      <w:r w:rsidR="002C3587">
        <w:rPr>
          <w:rFonts w:eastAsia="Calibri"/>
          <w:color w:val="000000"/>
        </w:rPr>
        <w:t xml:space="preserve"> A summary and response to comments are included as a supplementary document with this submission.</w:t>
      </w:r>
    </w:p>
    <w:p w:rsidR="00FE552D" w:rsidRPr="00FE552D" w:rsidP="00FE552D" w14:paraId="57E3B972" w14:textId="77777777">
      <w:pPr>
        <w:autoSpaceDE w:val="0"/>
        <w:autoSpaceDN w:val="0"/>
        <w:adjustRightInd w:val="0"/>
        <w:rPr>
          <w:rFonts w:eastAsia="Calibri"/>
          <w:color w:val="000000"/>
        </w:rPr>
      </w:pPr>
    </w:p>
    <w:p w:rsidR="00FE552D" w:rsidRPr="00FE552D" w:rsidP="00FE552D" w14:paraId="564E297F" w14:textId="77777777">
      <w:pPr>
        <w:autoSpaceDE w:val="0"/>
        <w:autoSpaceDN w:val="0"/>
        <w:adjustRightInd w:val="0"/>
        <w:rPr>
          <w:rFonts w:eastAsia="Calibri"/>
          <w:color w:val="000000"/>
          <w:u w:val="single"/>
        </w:rPr>
      </w:pPr>
      <w:r w:rsidRPr="00FE552D">
        <w:rPr>
          <w:rFonts w:eastAsia="Calibri"/>
          <w:color w:val="000000"/>
          <w:u w:val="single"/>
        </w:rPr>
        <w:t xml:space="preserve">9. Provision of payment to respondents </w:t>
      </w:r>
    </w:p>
    <w:p w:rsidR="00FE552D" w:rsidRPr="00FE552D" w:rsidP="00FE552D" w14:paraId="0F9ADA3C" w14:textId="77777777">
      <w:pPr>
        <w:autoSpaceDE w:val="0"/>
        <w:autoSpaceDN w:val="0"/>
        <w:adjustRightInd w:val="0"/>
        <w:rPr>
          <w:rFonts w:eastAsia="Calibri"/>
          <w:color w:val="000000"/>
        </w:rPr>
      </w:pPr>
      <w:r w:rsidRPr="00FE552D">
        <w:rPr>
          <w:rFonts w:eastAsia="Calibri"/>
          <w:color w:val="000000"/>
        </w:rPr>
        <w:t xml:space="preserve">No payments or gifts will be made to respondents. </w:t>
      </w:r>
    </w:p>
    <w:p w:rsidR="00FE552D" w:rsidRPr="00FE552D" w:rsidP="00FE552D" w14:paraId="42B2F541" w14:textId="77777777">
      <w:pPr>
        <w:autoSpaceDE w:val="0"/>
        <w:autoSpaceDN w:val="0"/>
        <w:adjustRightInd w:val="0"/>
        <w:rPr>
          <w:rFonts w:eastAsia="Calibri"/>
          <w:color w:val="000000"/>
        </w:rPr>
      </w:pPr>
    </w:p>
    <w:p w:rsidR="00FE552D" w:rsidRPr="00FE552D" w:rsidP="00FE552D" w14:paraId="6677A710" w14:textId="77777777">
      <w:pPr>
        <w:autoSpaceDE w:val="0"/>
        <w:autoSpaceDN w:val="0"/>
        <w:adjustRightInd w:val="0"/>
        <w:rPr>
          <w:rFonts w:eastAsia="Calibri"/>
          <w:color w:val="000000"/>
          <w:u w:val="single"/>
        </w:rPr>
      </w:pPr>
      <w:r w:rsidRPr="00FE552D">
        <w:rPr>
          <w:rFonts w:eastAsia="Calibri"/>
          <w:color w:val="000000"/>
          <w:u w:val="single"/>
        </w:rPr>
        <w:t xml:space="preserve">10. Assurance of confidentiality </w:t>
      </w:r>
    </w:p>
    <w:p w:rsidR="00FE552D" w:rsidRPr="00FE552D" w:rsidP="00FE552D" w14:paraId="1750F299" w14:textId="2080C06F">
      <w:pPr>
        <w:autoSpaceDE w:val="0"/>
        <w:autoSpaceDN w:val="0"/>
        <w:adjustRightInd w:val="0"/>
        <w:rPr>
          <w:rFonts w:eastAsia="Calibri"/>
          <w:color w:val="000000"/>
        </w:rPr>
      </w:pPr>
      <w:r w:rsidRPr="00FE552D">
        <w:rPr>
          <w:rFonts w:eastAsia="Calibri"/>
          <w:color w:val="000000"/>
        </w:rPr>
        <w:t xml:space="preserve">The CDFI Fund is subject to all Federal regulations with respect to confidentiality of information supplied in the </w:t>
      </w:r>
      <w:r w:rsidR="0009797D">
        <w:rPr>
          <w:rFonts w:eastAsia="Calibri"/>
          <w:color w:val="000000"/>
        </w:rPr>
        <w:t>CMF Performance Report</w:t>
      </w:r>
      <w:r w:rsidR="00C67ACC">
        <w:rPr>
          <w:rFonts w:eastAsia="Calibri"/>
          <w:color w:val="000000"/>
        </w:rPr>
        <w:t xml:space="preserve"> and Environmental Review Form</w:t>
      </w:r>
      <w:r w:rsidRPr="00FE552D">
        <w:rPr>
          <w:rFonts w:eastAsia="Calibri"/>
          <w:color w:val="000000"/>
        </w:rPr>
        <w:t xml:space="preserve">. Access to data submitted in response to this information collection will be limited to Recipients, and their designated representatives, CDFI Fund staff and, if applicable, designated contractors who are subject to all Federal regulations and have completed annual privacy and cybersecurity training.  </w:t>
      </w:r>
    </w:p>
    <w:p w:rsidR="00FE552D" w:rsidRPr="00FE552D" w:rsidP="00FE552D" w14:paraId="17778CA2" w14:textId="77777777">
      <w:pPr>
        <w:autoSpaceDE w:val="0"/>
        <w:autoSpaceDN w:val="0"/>
        <w:adjustRightInd w:val="0"/>
        <w:rPr>
          <w:rFonts w:eastAsia="Calibri"/>
          <w:color w:val="000000"/>
        </w:rPr>
      </w:pPr>
    </w:p>
    <w:p w:rsidR="00FE552D" w:rsidRPr="00FE552D" w:rsidP="00FE552D" w14:paraId="605AED67" w14:textId="77777777">
      <w:pPr>
        <w:autoSpaceDE w:val="0"/>
        <w:autoSpaceDN w:val="0"/>
        <w:adjustRightInd w:val="0"/>
        <w:rPr>
          <w:rFonts w:eastAsia="Calibri"/>
          <w:color w:val="000000"/>
          <w:u w:val="single"/>
        </w:rPr>
      </w:pPr>
      <w:r w:rsidRPr="00FE552D">
        <w:rPr>
          <w:rFonts w:eastAsia="Calibri"/>
          <w:color w:val="000000"/>
          <w:u w:val="single"/>
        </w:rPr>
        <w:t>11. Justification of sensitive questions.</w:t>
      </w:r>
    </w:p>
    <w:p w:rsidR="00FE552D" w:rsidRPr="00FE552D" w:rsidP="00FE552D" w14:paraId="1B527E5C" w14:textId="77777777">
      <w:pPr>
        <w:autoSpaceDE w:val="0"/>
        <w:autoSpaceDN w:val="0"/>
        <w:adjustRightInd w:val="0"/>
        <w:rPr>
          <w:rFonts w:eastAsia="Calibri"/>
          <w:color w:val="000000"/>
        </w:rPr>
      </w:pPr>
      <w:r w:rsidRPr="00FE552D">
        <w:rPr>
          <w:rFonts w:eastAsia="Calibri"/>
          <w:color w:val="000000"/>
        </w:rPr>
        <w:t xml:space="preserve">No questions of a sensitive nature will be asked through this information collection. No personally identifiable information will be collected.  </w:t>
      </w:r>
    </w:p>
    <w:p w:rsidR="00FE552D" w:rsidRPr="00FE552D" w:rsidP="00FE552D" w14:paraId="46C63F27" w14:textId="77777777">
      <w:pPr>
        <w:autoSpaceDE w:val="0"/>
        <w:autoSpaceDN w:val="0"/>
        <w:adjustRightInd w:val="0"/>
        <w:rPr>
          <w:rFonts w:eastAsia="Calibri"/>
          <w:color w:val="000000"/>
        </w:rPr>
      </w:pPr>
    </w:p>
    <w:p w:rsidR="00FE552D" w:rsidRPr="00FE552D" w:rsidP="00FE552D" w14:paraId="24BC32EE" w14:textId="77777777">
      <w:pPr>
        <w:autoSpaceDE w:val="0"/>
        <w:autoSpaceDN w:val="0"/>
        <w:adjustRightInd w:val="0"/>
        <w:rPr>
          <w:rFonts w:eastAsia="Calibri"/>
          <w:color w:val="000000"/>
          <w:u w:val="single"/>
        </w:rPr>
      </w:pPr>
      <w:r w:rsidRPr="00FE552D">
        <w:rPr>
          <w:rFonts w:eastAsia="Calibri"/>
          <w:color w:val="000000"/>
          <w:u w:val="single"/>
        </w:rPr>
        <w:t>12. Estimate of the hour burden of information collection.</w:t>
      </w:r>
    </w:p>
    <w:p w:rsidR="00FE552D" w:rsidRPr="00FE552D" w:rsidP="00FE552D" w14:paraId="62FA8FF4" w14:textId="77777777">
      <w:pPr>
        <w:autoSpaceDE w:val="0"/>
        <w:autoSpaceDN w:val="0"/>
        <w:adjustRightInd w:val="0"/>
        <w:rPr>
          <w:rFonts w:eastAsia="Calibri"/>
          <w:b/>
          <w:color w:val="000000"/>
        </w:rPr>
      </w:pPr>
    </w:p>
    <w:tbl>
      <w:tblPr>
        <w:tblW w:w="9360" w:type="dxa"/>
        <w:tblLayout w:type="fixed"/>
        <w:tblCellMar>
          <w:left w:w="102" w:type="dxa"/>
          <w:right w:w="102" w:type="dxa"/>
        </w:tblCellMar>
        <w:tblLook w:val="0000"/>
      </w:tblPr>
      <w:tblGrid>
        <w:gridCol w:w="3051"/>
        <w:gridCol w:w="1710"/>
        <w:gridCol w:w="1800"/>
        <w:gridCol w:w="1620"/>
        <w:gridCol w:w="1179"/>
      </w:tblGrid>
      <w:tr w14:paraId="3663BA9D" w14:textId="77777777" w:rsidTr="00043F79">
        <w:tblPrEx>
          <w:tblW w:w="9360" w:type="dxa"/>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vAlign w:val="center"/>
          </w:tcPr>
          <w:p w:rsidR="00FE552D" w:rsidRPr="00FE552D" w:rsidP="00FE552D" w14:paraId="41716606" w14:textId="77777777">
            <w:pPr>
              <w:autoSpaceDE w:val="0"/>
              <w:autoSpaceDN w:val="0"/>
              <w:adjustRightInd w:val="0"/>
              <w:rPr>
                <w:rFonts w:eastAsia="Calibri"/>
                <w:color w:val="000000"/>
              </w:rPr>
            </w:pPr>
            <w:r w:rsidRPr="00FE552D">
              <w:rPr>
                <w:rFonts w:eastAsia="Calibri"/>
                <w:color w:val="000000"/>
              </w:rPr>
              <w:t>Estimated Annual Reporting Burden</w:t>
            </w:r>
          </w:p>
        </w:tc>
      </w:tr>
      <w:tr w14:paraId="7FD7389E" w14:textId="77777777" w:rsidTr="00043F79">
        <w:tblPrEx>
          <w:tblW w:w="9360" w:type="dxa"/>
          <w:tblLayout w:type="fixed"/>
          <w:tblCellMar>
            <w:left w:w="102" w:type="dxa"/>
            <w:right w:w="102" w:type="dxa"/>
          </w:tblCellMar>
          <w:tblLook w:val="0000"/>
        </w:tblPrEx>
        <w:tc>
          <w:tcPr>
            <w:tcW w:w="3051"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2AFAE8FC" w14:textId="77777777">
            <w:pPr>
              <w:autoSpaceDE w:val="0"/>
              <w:autoSpaceDN w:val="0"/>
              <w:adjustRightInd w:val="0"/>
              <w:rPr>
                <w:rFonts w:eastAsia="Calibri"/>
                <w:color w:val="000000"/>
              </w:rPr>
            </w:pPr>
            <w:r w:rsidRPr="00FE552D">
              <w:rPr>
                <w:rFonts w:eastAsia="Calibri"/>
                <w:color w:val="000000"/>
              </w:rPr>
              <w:t>Type of Collection</w:t>
            </w:r>
          </w:p>
        </w:tc>
        <w:tc>
          <w:tcPr>
            <w:tcW w:w="1710"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76C8DE1D" w14:textId="77777777">
            <w:pPr>
              <w:autoSpaceDE w:val="0"/>
              <w:autoSpaceDN w:val="0"/>
              <w:adjustRightInd w:val="0"/>
              <w:rPr>
                <w:rFonts w:eastAsia="Calibri"/>
                <w:color w:val="000000"/>
              </w:rPr>
            </w:pPr>
            <w:r w:rsidRPr="00FE552D">
              <w:rPr>
                <w:rFonts w:eastAsia="Calibri"/>
                <w:color w:val="000000"/>
              </w:rPr>
              <w:t>Number of Respondents</w:t>
            </w:r>
          </w:p>
        </w:tc>
        <w:tc>
          <w:tcPr>
            <w:tcW w:w="1800"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12FE052F" w14:textId="77777777">
            <w:pPr>
              <w:autoSpaceDE w:val="0"/>
              <w:autoSpaceDN w:val="0"/>
              <w:adjustRightInd w:val="0"/>
              <w:rPr>
                <w:rFonts w:eastAsia="Calibri"/>
                <w:color w:val="000000"/>
              </w:rPr>
            </w:pPr>
            <w:r w:rsidRPr="00FE552D">
              <w:rPr>
                <w:rFonts w:eastAsia="Calibri"/>
                <w:color w:val="000000"/>
              </w:rPr>
              <w:t>Annual Frequency per Response</w:t>
            </w:r>
          </w:p>
        </w:tc>
        <w:tc>
          <w:tcPr>
            <w:tcW w:w="1620" w:type="dxa"/>
            <w:tcBorders>
              <w:top w:val="single" w:sz="7" w:space="0" w:color="000000"/>
              <w:left w:val="single" w:sz="7" w:space="0" w:color="000000"/>
              <w:bottom w:val="single" w:sz="6" w:space="0" w:color="FFFFFF"/>
              <w:right w:val="single" w:sz="6" w:space="0" w:color="FFFFFF"/>
            </w:tcBorders>
            <w:vAlign w:val="center"/>
          </w:tcPr>
          <w:p w:rsidR="00FE552D" w:rsidRPr="00FE552D" w:rsidP="00FE552D" w14:paraId="36199F49" w14:textId="77777777">
            <w:pPr>
              <w:autoSpaceDE w:val="0"/>
              <w:autoSpaceDN w:val="0"/>
              <w:adjustRightInd w:val="0"/>
              <w:rPr>
                <w:rFonts w:eastAsia="Calibri"/>
                <w:color w:val="000000"/>
              </w:rPr>
            </w:pPr>
            <w:r w:rsidRPr="00FE552D">
              <w:rPr>
                <w:rFonts w:eastAsia="Calibri"/>
                <w:color w:val="000000"/>
              </w:rPr>
              <w:t>Hours per Response</w:t>
            </w:r>
          </w:p>
        </w:tc>
        <w:tc>
          <w:tcPr>
            <w:tcW w:w="1179" w:type="dxa"/>
            <w:tcBorders>
              <w:top w:val="single" w:sz="7" w:space="0" w:color="000000"/>
              <w:left w:val="single" w:sz="7" w:space="0" w:color="000000"/>
              <w:bottom w:val="single" w:sz="6" w:space="0" w:color="FFFFFF"/>
              <w:right w:val="single" w:sz="7" w:space="0" w:color="000000"/>
            </w:tcBorders>
            <w:vAlign w:val="center"/>
          </w:tcPr>
          <w:p w:rsidR="00FE552D" w:rsidRPr="00FE552D" w:rsidP="00FE552D" w14:paraId="10008ABD" w14:textId="77777777">
            <w:pPr>
              <w:autoSpaceDE w:val="0"/>
              <w:autoSpaceDN w:val="0"/>
              <w:adjustRightInd w:val="0"/>
              <w:rPr>
                <w:rFonts w:eastAsia="Calibri"/>
                <w:color w:val="000000"/>
              </w:rPr>
            </w:pPr>
            <w:r w:rsidRPr="00FE552D">
              <w:rPr>
                <w:rFonts w:eastAsia="Calibri"/>
                <w:color w:val="000000"/>
              </w:rPr>
              <w:t>Total Hours</w:t>
            </w:r>
          </w:p>
        </w:tc>
      </w:tr>
      <w:tr w14:paraId="7B4DCE6B" w14:textId="77777777" w:rsidTr="00043F79">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EA3FBEE" w14:textId="23DDA00C">
            <w:pPr>
              <w:autoSpaceDE w:val="0"/>
              <w:autoSpaceDN w:val="0"/>
              <w:adjustRightInd w:val="0"/>
              <w:rPr>
                <w:rFonts w:eastAsia="Calibri"/>
                <w:color w:val="000000"/>
              </w:rPr>
            </w:pPr>
            <w:r>
              <w:rPr>
                <w:rFonts w:eastAsia="Calibri"/>
                <w:color w:val="000000"/>
              </w:rPr>
              <w:t>CMF Performance Report</w:t>
            </w:r>
          </w:p>
        </w:tc>
        <w:tc>
          <w:tcPr>
            <w:tcW w:w="171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404E772" w14:textId="3195922C">
            <w:pPr>
              <w:autoSpaceDE w:val="0"/>
              <w:autoSpaceDN w:val="0"/>
              <w:adjustRightInd w:val="0"/>
              <w:rPr>
                <w:rFonts w:eastAsia="Calibri"/>
                <w:color w:val="000000"/>
              </w:rPr>
            </w:pPr>
            <w:r>
              <w:rPr>
                <w:rFonts w:eastAsia="Calibri"/>
                <w:color w:val="000000"/>
              </w:rPr>
              <w:t>386</w:t>
            </w:r>
          </w:p>
        </w:tc>
        <w:tc>
          <w:tcPr>
            <w:tcW w:w="180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B3008B5" w14:textId="77777777">
            <w:pPr>
              <w:autoSpaceDE w:val="0"/>
              <w:autoSpaceDN w:val="0"/>
              <w:adjustRightInd w:val="0"/>
              <w:rPr>
                <w:rFonts w:eastAsia="Calibri"/>
                <w:color w:val="000000"/>
              </w:rPr>
            </w:pPr>
            <w:r w:rsidRPr="00FE552D">
              <w:rPr>
                <w:rFonts w:eastAsia="Calibri"/>
                <w:color w:val="000000"/>
              </w:rPr>
              <w:t>1</w:t>
            </w:r>
          </w:p>
        </w:tc>
        <w:tc>
          <w:tcPr>
            <w:tcW w:w="1620" w:type="dxa"/>
            <w:tcBorders>
              <w:top w:val="single" w:sz="7" w:space="0" w:color="000000"/>
              <w:left w:val="single" w:sz="7" w:space="0" w:color="000000"/>
              <w:bottom w:val="single" w:sz="7" w:space="0" w:color="000000"/>
              <w:right w:val="single" w:sz="6" w:space="0" w:color="FFFFFF"/>
            </w:tcBorders>
            <w:vAlign w:val="center"/>
          </w:tcPr>
          <w:p w:rsidR="00FE552D" w:rsidRPr="00FE552D" w:rsidP="00FE552D" w14:paraId="7CCAF12D" w14:textId="21B99D15">
            <w:pPr>
              <w:autoSpaceDE w:val="0"/>
              <w:autoSpaceDN w:val="0"/>
              <w:adjustRightInd w:val="0"/>
              <w:rPr>
                <w:rFonts w:eastAsia="Calibri"/>
                <w:color w:val="000000"/>
              </w:rPr>
            </w:pPr>
            <w:r>
              <w:rPr>
                <w:rFonts w:eastAsia="Calibri"/>
                <w:color w:val="000000"/>
              </w:rPr>
              <w:t>20</w:t>
            </w:r>
          </w:p>
        </w:tc>
        <w:tc>
          <w:tcPr>
            <w:tcW w:w="1179" w:type="dxa"/>
            <w:tcBorders>
              <w:top w:val="single" w:sz="7" w:space="0" w:color="000000"/>
              <w:left w:val="single" w:sz="7" w:space="0" w:color="000000"/>
              <w:bottom w:val="single" w:sz="7" w:space="0" w:color="000000"/>
              <w:right w:val="single" w:sz="7" w:space="0" w:color="000000"/>
            </w:tcBorders>
            <w:vAlign w:val="center"/>
          </w:tcPr>
          <w:p w:rsidR="00FE552D" w:rsidRPr="00FE552D" w:rsidP="00FE552D" w14:paraId="10933B12" w14:textId="0D2651EB">
            <w:pPr>
              <w:autoSpaceDE w:val="0"/>
              <w:autoSpaceDN w:val="0"/>
              <w:adjustRightInd w:val="0"/>
              <w:rPr>
                <w:rFonts w:eastAsia="Calibri"/>
                <w:color w:val="000000"/>
              </w:rPr>
            </w:pPr>
            <w:r>
              <w:rPr>
                <w:rFonts w:eastAsia="Calibri"/>
                <w:color w:val="000000"/>
              </w:rPr>
              <w:t>7,720</w:t>
            </w:r>
          </w:p>
        </w:tc>
      </w:tr>
      <w:tr w14:paraId="48AEBF2E" w14:textId="77777777" w:rsidTr="00043F79">
        <w:tblPrEx>
          <w:tblW w:w="9360" w:type="dxa"/>
          <w:tblLayout w:type="fixed"/>
          <w:tblCellMar>
            <w:left w:w="102" w:type="dxa"/>
            <w:right w:w="102" w:type="dxa"/>
          </w:tblCellMar>
          <w:tblLook w:val="0000"/>
        </w:tblPrEx>
        <w:trPr>
          <w:trHeight w:val="541"/>
        </w:trPr>
        <w:tc>
          <w:tcPr>
            <w:tcW w:w="3051" w:type="dxa"/>
            <w:tcBorders>
              <w:top w:val="single" w:sz="7" w:space="0" w:color="000000"/>
              <w:left w:val="single" w:sz="7" w:space="0" w:color="000000"/>
              <w:bottom w:val="single" w:sz="7" w:space="0" w:color="000000"/>
              <w:right w:val="single" w:sz="6" w:space="0" w:color="FFFFFF"/>
            </w:tcBorders>
            <w:vAlign w:val="center"/>
          </w:tcPr>
          <w:p w:rsidR="00267D40" w:rsidP="00FE552D" w14:paraId="03A99A78" w14:textId="6F52DB3F">
            <w:pPr>
              <w:autoSpaceDE w:val="0"/>
              <w:autoSpaceDN w:val="0"/>
              <w:adjustRightInd w:val="0"/>
              <w:rPr>
                <w:rFonts w:eastAsia="Calibri"/>
                <w:color w:val="000000"/>
              </w:rPr>
            </w:pPr>
            <w:r>
              <w:rPr>
                <w:rFonts w:eastAsia="Calibri"/>
                <w:color w:val="000000"/>
              </w:rPr>
              <w:t>Environmental Review Form</w:t>
            </w:r>
          </w:p>
        </w:tc>
        <w:tc>
          <w:tcPr>
            <w:tcW w:w="1710" w:type="dxa"/>
            <w:tcBorders>
              <w:top w:val="single" w:sz="7" w:space="0" w:color="000000"/>
              <w:left w:val="single" w:sz="7" w:space="0" w:color="000000"/>
              <w:bottom w:val="single" w:sz="7" w:space="0" w:color="000000"/>
              <w:right w:val="single" w:sz="6" w:space="0" w:color="FFFFFF"/>
            </w:tcBorders>
            <w:vAlign w:val="center"/>
          </w:tcPr>
          <w:p w:rsidR="00267D40" w:rsidP="00FE552D" w14:paraId="1C979276" w14:textId="131AA0A4">
            <w:pPr>
              <w:autoSpaceDE w:val="0"/>
              <w:autoSpaceDN w:val="0"/>
              <w:adjustRightInd w:val="0"/>
              <w:rPr>
                <w:rFonts w:eastAsia="Calibri"/>
                <w:color w:val="000000"/>
              </w:rPr>
            </w:pPr>
            <w:r>
              <w:rPr>
                <w:rFonts w:eastAsia="Calibri"/>
                <w:color w:val="000000"/>
              </w:rPr>
              <w:t>5</w:t>
            </w:r>
          </w:p>
        </w:tc>
        <w:tc>
          <w:tcPr>
            <w:tcW w:w="1800" w:type="dxa"/>
            <w:tcBorders>
              <w:top w:val="single" w:sz="7" w:space="0" w:color="000000"/>
              <w:left w:val="single" w:sz="7" w:space="0" w:color="000000"/>
              <w:bottom w:val="single" w:sz="7" w:space="0" w:color="000000"/>
              <w:right w:val="single" w:sz="6" w:space="0" w:color="FFFFFF"/>
            </w:tcBorders>
            <w:vAlign w:val="center"/>
          </w:tcPr>
          <w:p w:rsidR="00267D40" w:rsidRPr="00FE552D" w:rsidP="00FE552D" w14:paraId="7DDA7A6D" w14:textId="16DE3DE1">
            <w:pPr>
              <w:autoSpaceDE w:val="0"/>
              <w:autoSpaceDN w:val="0"/>
              <w:adjustRightInd w:val="0"/>
              <w:rPr>
                <w:rFonts w:eastAsia="Calibri"/>
                <w:color w:val="000000"/>
              </w:rPr>
            </w:pPr>
            <w:r>
              <w:rPr>
                <w:rFonts w:eastAsia="Calibri"/>
                <w:color w:val="000000"/>
              </w:rPr>
              <w:t>1</w:t>
            </w:r>
          </w:p>
        </w:tc>
        <w:tc>
          <w:tcPr>
            <w:tcW w:w="1620" w:type="dxa"/>
            <w:tcBorders>
              <w:top w:val="single" w:sz="7" w:space="0" w:color="000000"/>
              <w:left w:val="single" w:sz="7" w:space="0" w:color="000000"/>
              <w:bottom w:val="single" w:sz="7" w:space="0" w:color="000000"/>
              <w:right w:val="single" w:sz="6" w:space="0" w:color="FFFFFF"/>
            </w:tcBorders>
            <w:vAlign w:val="center"/>
          </w:tcPr>
          <w:p w:rsidR="00267D40" w:rsidP="00FE552D" w14:paraId="4197A554" w14:textId="6506D52F">
            <w:pPr>
              <w:autoSpaceDE w:val="0"/>
              <w:autoSpaceDN w:val="0"/>
              <w:adjustRightInd w:val="0"/>
              <w:rPr>
                <w:rFonts w:eastAsia="Calibri"/>
                <w:color w:val="000000"/>
              </w:rPr>
            </w:pPr>
            <w:r>
              <w:rPr>
                <w:rFonts w:eastAsia="Calibri"/>
                <w:color w:val="000000"/>
              </w:rPr>
              <w:t>0</w:t>
            </w:r>
            <w:r>
              <w:rPr>
                <w:rFonts w:eastAsia="Calibri"/>
                <w:color w:val="000000"/>
              </w:rPr>
              <w:t>.5</w:t>
            </w:r>
          </w:p>
        </w:tc>
        <w:tc>
          <w:tcPr>
            <w:tcW w:w="1179" w:type="dxa"/>
            <w:tcBorders>
              <w:top w:val="single" w:sz="7" w:space="0" w:color="000000"/>
              <w:left w:val="single" w:sz="7" w:space="0" w:color="000000"/>
              <w:bottom w:val="single" w:sz="7" w:space="0" w:color="000000"/>
              <w:right w:val="single" w:sz="7" w:space="0" w:color="000000"/>
            </w:tcBorders>
            <w:vAlign w:val="center"/>
          </w:tcPr>
          <w:p w:rsidR="00267D40" w:rsidP="00FE552D" w14:paraId="71AE598F" w14:textId="28BD43F0">
            <w:pPr>
              <w:autoSpaceDE w:val="0"/>
              <w:autoSpaceDN w:val="0"/>
              <w:adjustRightInd w:val="0"/>
              <w:rPr>
                <w:rFonts w:eastAsia="Calibri"/>
                <w:color w:val="000000"/>
              </w:rPr>
            </w:pPr>
            <w:r>
              <w:rPr>
                <w:rFonts w:eastAsia="Calibri"/>
                <w:color w:val="000000"/>
              </w:rPr>
              <w:t>2.5</w:t>
            </w:r>
          </w:p>
        </w:tc>
      </w:tr>
    </w:tbl>
    <w:p w:rsidR="00F431E5" w:rsidP="00FE552D" w14:paraId="62BAA808" w14:textId="77777777">
      <w:pPr>
        <w:autoSpaceDE w:val="0"/>
        <w:autoSpaceDN w:val="0"/>
        <w:adjustRightInd w:val="0"/>
        <w:rPr>
          <w:rFonts w:eastAsia="Calibri"/>
          <w:color w:val="000000"/>
          <w:u w:val="single"/>
        </w:rPr>
      </w:pPr>
    </w:p>
    <w:p w:rsidR="00FE552D" w:rsidRPr="00FE552D" w:rsidP="00FE552D" w14:paraId="2DCD14F9" w14:textId="77777777">
      <w:pPr>
        <w:autoSpaceDE w:val="0"/>
        <w:autoSpaceDN w:val="0"/>
        <w:adjustRightInd w:val="0"/>
        <w:rPr>
          <w:rFonts w:eastAsia="Calibri"/>
          <w:color w:val="000000"/>
          <w:u w:val="single"/>
        </w:rPr>
      </w:pPr>
      <w:r w:rsidRPr="00FE552D">
        <w:rPr>
          <w:rFonts w:eastAsia="Calibri"/>
          <w:color w:val="000000"/>
          <w:u w:val="single"/>
        </w:rPr>
        <w:t>13. Estimate of total annual cost burden to respondents</w:t>
      </w:r>
    </w:p>
    <w:p w:rsidR="00FE552D" w:rsidP="00FE552D" w14:paraId="2FAA54AC" w14:textId="56BF165E">
      <w:pPr>
        <w:autoSpaceDE w:val="0"/>
        <w:autoSpaceDN w:val="0"/>
        <w:adjustRightInd w:val="0"/>
        <w:rPr>
          <w:rFonts w:eastAsia="Calibri"/>
          <w:color w:val="000000"/>
        </w:rPr>
      </w:pPr>
      <w:r w:rsidRPr="00FE552D">
        <w:rPr>
          <w:rFonts w:eastAsia="Calibri"/>
          <w:color w:val="000000"/>
        </w:rPr>
        <w:t xml:space="preserve">There are no additional capital, start-up or ongoing operational, or maintenance costs associated with information collection. </w:t>
      </w:r>
      <w:r w:rsidR="006E3325">
        <w:rPr>
          <w:rFonts w:eastAsia="Calibri"/>
          <w:color w:val="000000"/>
        </w:rPr>
        <w:t>Monetized labor costs are estimated below.</w:t>
      </w:r>
    </w:p>
    <w:p w:rsidR="006E3325" w:rsidP="00FE552D" w14:paraId="532276B5" w14:textId="6C30CDDA">
      <w:pPr>
        <w:autoSpaceDE w:val="0"/>
        <w:autoSpaceDN w:val="0"/>
        <w:adjustRightInd w:val="0"/>
        <w:rPr>
          <w:rFonts w:eastAsia="Calibri"/>
          <w:color w:val="000000"/>
        </w:rPr>
      </w:pPr>
    </w:p>
    <w:p w:rsidR="002F5481" w:rsidP="006E3325" w14:paraId="1AC93130" w14:textId="77777777">
      <w:pPr>
        <w:pStyle w:val="Default"/>
        <w:rPr>
          <w:b/>
        </w:rPr>
      </w:pPr>
    </w:p>
    <w:p w:rsidR="006E3325" w:rsidRPr="00211A22" w:rsidP="006E3325" w14:paraId="29FF456F" w14:textId="2F318BB3">
      <w:pPr>
        <w:pStyle w:val="Default"/>
        <w:rPr>
          <w:b/>
        </w:rPr>
      </w:pPr>
      <w:r>
        <w:rPr>
          <w:b/>
        </w:rPr>
        <w:t>CMF Performance Report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620"/>
        <w:gridCol w:w="1350"/>
        <w:gridCol w:w="1260"/>
        <w:gridCol w:w="1170"/>
        <w:gridCol w:w="810"/>
        <w:gridCol w:w="900"/>
        <w:gridCol w:w="1260"/>
      </w:tblGrid>
      <w:tr w14:paraId="56C9A323" w14:textId="77777777" w:rsidTr="00BC2B3A">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tcBorders>
              <w:bottom w:val="single" w:sz="4" w:space="0" w:color="auto"/>
            </w:tcBorders>
            <w:shd w:val="clear" w:color="auto" w:fill="auto"/>
          </w:tcPr>
          <w:p w:rsidR="006E3325" w:rsidRPr="006E3325" w:rsidP="00714311" w14:paraId="41177736" w14:textId="77777777">
            <w:pPr>
              <w:jc w:val="center"/>
              <w:rPr>
                <w:b/>
                <w:sz w:val="22"/>
                <w:szCs w:val="22"/>
              </w:rPr>
            </w:pPr>
            <w:r w:rsidRPr="006E3325">
              <w:rPr>
                <w:b/>
                <w:sz w:val="22"/>
                <w:szCs w:val="22"/>
              </w:rPr>
              <w:t>Affected Public</w:t>
            </w:r>
          </w:p>
        </w:tc>
        <w:tc>
          <w:tcPr>
            <w:tcW w:w="1620" w:type="dxa"/>
            <w:tcBorders>
              <w:bottom w:val="single" w:sz="4" w:space="0" w:color="auto"/>
            </w:tcBorders>
            <w:shd w:val="clear" w:color="auto" w:fill="auto"/>
          </w:tcPr>
          <w:p w:rsidR="006E3325" w:rsidRPr="006E3325" w:rsidP="00714311" w14:paraId="3C451BD3" w14:textId="77777777">
            <w:pPr>
              <w:jc w:val="center"/>
              <w:rPr>
                <w:b/>
                <w:sz w:val="22"/>
                <w:szCs w:val="22"/>
              </w:rPr>
            </w:pPr>
            <w:r w:rsidRPr="006E3325">
              <w:rPr>
                <w:b/>
                <w:sz w:val="22"/>
                <w:szCs w:val="22"/>
              </w:rPr>
              <w:t xml:space="preserve">Number </w:t>
            </w:r>
          </w:p>
          <w:p w:rsidR="006E3325" w:rsidRPr="006E3325" w:rsidP="00714311" w14:paraId="424932E3" w14:textId="77777777">
            <w:pPr>
              <w:jc w:val="center"/>
              <w:rPr>
                <w:b/>
                <w:sz w:val="22"/>
                <w:szCs w:val="22"/>
              </w:rPr>
            </w:pPr>
            <w:r w:rsidRPr="006E3325">
              <w:rPr>
                <w:b/>
                <w:sz w:val="22"/>
                <w:szCs w:val="22"/>
              </w:rPr>
              <w:t>of Respondents</w:t>
            </w:r>
          </w:p>
        </w:tc>
        <w:tc>
          <w:tcPr>
            <w:tcW w:w="1350" w:type="dxa"/>
            <w:tcBorders>
              <w:bottom w:val="single" w:sz="4" w:space="0" w:color="auto"/>
            </w:tcBorders>
            <w:shd w:val="clear" w:color="auto" w:fill="auto"/>
          </w:tcPr>
          <w:p w:rsidR="006E3325" w:rsidRPr="006E3325" w:rsidP="00714311" w14:paraId="0D320203" w14:textId="77777777">
            <w:pPr>
              <w:jc w:val="center"/>
              <w:rPr>
                <w:b/>
                <w:sz w:val="22"/>
                <w:szCs w:val="22"/>
              </w:rPr>
            </w:pPr>
            <w:r w:rsidRPr="006E3325">
              <w:rPr>
                <w:b/>
                <w:sz w:val="22"/>
                <w:szCs w:val="22"/>
              </w:rPr>
              <w:t>Number of Responses</w:t>
            </w:r>
          </w:p>
          <w:p w:rsidR="006E3325" w:rsidRPr="006E3325" w:rsidP="00714311" w14:paraId="5283F4DF" w14:textId="77777777">
            <w:pPr>
              <w:jc w:val="center"/>
              <w:rPr>
                <w:b/>
                <w:sz w:val="22"/>
                <w:szCs w:val="22"/>
              </w:rPr>
            </w:pPr>
            <w:r w:rsidRPr="006E3325">
              <w:rPr>
                <w:b/>
                <w:sz w:val="22"/>
                <w:szCs w:val="22"/>
              </w:rPr>
              <w:t xml:space="preserve">Per </w:t>
            </w:r>
          </w:p>
          <w:p w:rsidR="006E3325" w:rsidRPr="006E3325" w:rsidP="00714311" w14:paraId="2B55E94D" w14:textId="77777777">
            <w:pPr>
              <w:jc w:val="center"/>
              <w:rPr>
                <w:b/>
                <w:sz w:val="22"/>
                <w:szCs w:val="22"/>
              </w:rPr>
            </w:pPr>
            <w:r w:rsidRPr="006E3325">
              <w:rPr>
                <w:b/>
                <w:sz w:val="22"/>
                <w:szCs w:val="22"/>
              </w:rPr>
              <w:t>Respondent</w:t>
            </w:r>
          </w:p>
        </w:tc>
        <w:tc>
          <w:tcPr>
            <w:tcW w:w="1260" w:type="dxa"/>
            <w:tcBorders>
              <w:bottom w:val="single" w:sz="4" w:space="0" w:color="auto"/>
            </w:tcBorders>
            <w:shd w:val="clear" w:color="auto" w:fill="auto"/>
          </w:tcPr>
          <w:p w:rsidR="006E3325" w:rsidRPr="006E3325" w:rsidP="00714311" w14:paraId="19E40418" w14:textId="77777777">
            <w:pPr>
              <w:jc w:val="center"/>
              <w:rPr>
                <w:b/>
                <w:sz w:val="22"/>
                <w:szCs w:val="22"/>
              </w:rPr>
            </w:pPr>
            <w:r w:rsidRPr="006E3325">
              <w:rPr>
                <w:b/>
                <w:sz w:val="22"/>
                <w:szCs w:val="22"/>
              </w:rPr>
              <w:t xml:space="preserve">Total </w:t>
            </w:r>
          </w:p>
          <w:p w:rsidR="006E3325" w:rsidRPr="006E3325" w:rsidP="00714311" w14:paraId="5B7DCD61" w14:textId="77777777">
            <w:pPr>
              <w:jc w:val="center"/>
              <w:rPr>
                <w:b/>
                <w:sz w:val="22"/>
                <w:szCs w:val="22"/>
              </w:rPr>
            </w:pPr>
            <w:r w:rsidRPr="006E3325">
              <w:rPr>
                <w:b/>
                <w:sz w:val="22"/>
                <w:szCs w:val="22"/>
              </w:rPr>
              <w:t>Annual Responses</w:t>
            </w:r>
          </w:p>
        </w:tc>
        <w:tc>
          <w:tcPr>
            <w:tcW w:w="1170" w:type="dxa"/>
            <w:tcBorders>
              <w:bottom w:val="single" w:sz="4" w:space="0" w:color="auto"/>
            </w:tcBorders>
          </w:tcPr>
          <w:p w:rsidR="006E3325" w:rsidRPr="006E3325" w:rsidP="00714311" w14:paraId="043CF914" w14:textId="77777777">
            <w:pPr>
              <w:jc w:val="center"/>
              <w:rPr>
                <w:b/>
                <w:sz w:val="22"/>
                <w:szCs w:val="22"/>
              </w:rPr>
            </w:pPr>
            <w:r w:rsidRPr="006E3325">
              <w:rPr>
                <w:b/>
                <w:sz w:val="22"/>
                <w:szCs w:val="22"/>
              </w:rPr>
              <w:t xml:space="preserve">Hours </w:t>
            </w:r>
          </w:p>
          <w:p w:rsidR="006E3325" w:rsidRPr="006E3325" w:rsidP="00714311" w14:paraId="322C2AE4" w14:textId="77777777">
            <w:pPr>
              <w:jc w:val="center"/>
              <w:rPr>
                <w:b/>
                <w:sz w:val="22"/>
                <w:szCs w:val="22"/>
              </w:rPr>
            </w:pPr>
            <w:r w:rsidRPr="006E3325">
              <w:rPr>
                <w:b/>
                <w:sz w:val="22"/>
                <w:szCs w:val="22"/>
              </w:rPr>
              <w:t xml:space="preserve">Per </w:t>
            </w:r>
          </w:p>
          <w:p w:rsidR="006E3325" w:rsidRPr="006E3325" w:rsidP="00714311" w14:paraId="63763043" w14:textId="77777777">
            <w:pPr>
              <w:jc w:val="center"/>
              <w:rPr>
                <w:b/>
                <w:sz w:val="22"/>
                <w:szCs w:val="22"/>
              </w:rPr>
            </w:pPr>
            <w:r w:rsidRPr="006E3325">
              <w:rPr>
                <w:b/>
                <w:sz w:val="22"/>
                <w:szCs w:val="22"/>
              </w:rPr>
              <w:t>Response</w:t>
            </w:r>
          </w:p>
        </w:tc>
        <w:tc>
          <w:tcPr>
            <w:tcW w:w="810" w:type="dxa"/>
            <w:tcBorders>
              <w:bottom w:val="single" w:sz="4" w:space="0" w:color="auto"/>
            </w:tcBorders>
          </w:tcPr>
          <w:p w:rsidR="006E3325" w:rsidRPr="006E3325" w:rsidP="00714311" w14:paraId="48266676" w14:textId="77777777">
            <w:pPr>
              <w:jc w:val="center"/>
              <w:rPr>
                <w:b/>
                <w:sz w:val="22"/>
                <w:szCs w:val="22"/>
              </w:rPr>
            </w:pPr>
            <w:r w:rsidRPr="006E3325">
              <w:rPr>
                <w:b/>
                <w:sz w:val="22"/>
                <w:szCs w:val="22"/>
              </w:rPr>
              <w:t xml:space="preserve">Total </w:t>
            </w:r>
          </w:p>
          <w:p w:rsidR="006E3325" w:rsidRPr="006E3325" w:rsidP="00714311" w14:paraId="04359AD5" w14:textId="77777777">
            <w:pPr>
              <w:jc w:val="center"/>
              <w:rPr>
                <w:b/>
                <w:sz w:val="22"/>
                <w:szCs w:val="22"/>
              </w:rPr>
            </w:pPr>
            <w:r w:rsidRPr="006E3325">
              <w:rPr>
                <w:b/>
                <w:sz w:val="22"/>
                <w:szCs w:val="22"/>
              </w:rPr>
              <w:t>Hours</w:t>
            </w:r>
          </w:p>
        </w:tc>
        <w:tc>
          <w:tcPr>
            <w:tcW w:w="900" w:type="dxa"/>
            <w:tcBorders>
              <w:bottom w:val="single" w:sz="4" w:space="0" w:color="auto"/>
            </w:tcBorders>
          </w:tcPr>
          <w:p w:rsidR="006E3325" w:rsidRPr="006E3325" w:rsidP="00714311" w14:paraId="17818851" w14:textId="77777777">
            <w:pPr>
              <w:jc w:val="center"/>
              <w:rPr>
                <w:b/>
                <w:sz w:val="22"/>
                <w:szCs w:val="22"/>
              </w:rPr>
            </w:pPr>
            <w:r w:rsidRPr="006E3325">
              <w:rPr>
                <w:b/>
                <w:sz w:val="22"/>
                <w:szCs w:val="22"/>
              </w:rPr>
              <w:t>Time</w:t>
            </w:r>
          </w:p>
          <w:p w:rsidR="006E3325" w:rsidRPr="006E3325" w:rsidP="00714311" w14:paraId="5F5741F9" w14:textId="77777777">
            <w:pPr>
              <w:jc w:val="center"/>
              <w:rPr>
                <w:b/>
                <w:sz w:val="22"/>
                <w:szCs w:val="22"/>
              </w:rPr>
            </w:pPr>
            <w:r w:rsidRPr="006E3325">
              <w:rPr>
                <w:b/>
                <w:sz w:val="22"/>
                <w:szCs w:val="22"/>
              </w:rPr>
              <w:t>Value</w:t>
            </w:r>
          </w:p>
          <w:p w:rsidR="006E3325" w:rsidRPr="006E3325" w:rsidP="00714311" w14:paraId="318AD04A" w14:textId="77777777">
            <w:pPr>
              <w:jc w:val="center"/>
              <w:rPr>
                <w:b/>
                <w:sz w:val="22"/>
                <w:szCs w:val="22"/>
              </w:rPr>
            </w:pPr>
            <w:r w:rsidRPr="006E3325">
              <w:rPr>
                <w:b/>
                <w:sz w:val="22"/>
                <w:szCs w:val="22"/>
              </w:rPr>
              <w:t>(per</w:t>
            </w:r>
          </w:p>
          <w:p w:rsidR="006E3325" w:rsidRPr="006E3325" w:rsidP="00714311" w14:paraId="356570C3" w14:textId="77777777">
            <w:pPr>
              <w:jc w:val="center"/>
              <w:rPr>
                <w:b/>
                <w:sz w:val="22"/>
                <w:szCs w:val="22"/>
              </w:rPr>
            </w:pPr>
            <w:r w:rsidRPr="006E3325">
              <w:rPr>
                <w:b/>
                <w:sz w:val="22"/>
                <w:szCs w:val="22"/>
              </w:rPr>
              <w:t>Hour)</w:t>
            </w:r>
          </w:p>
        </w:tc>
        <w:tc>
          <w:tcPr>
            <w:tcW w:w="1260" w:type="dxa"/>
            <w:tcBorders>
              <w:bottom w:val="single" w:sz="4" w:space="0" w:color="auto"/>
            </w:tcBorders>
            <w:shd w:val="clear" w:color="auto" w:fill="auto"/>
          </w:tcPr>
          <w:p w:rsidR="006E3325" w:rsidRPr="006E3325" w:rsidP="00714311" w14:paraId="0FA3C66E" w14:textId="77777777">
            <w:pPr>
              <w:jc w:val="center"/>
              <w:rPr>
                <w:b/>
                <w:sz w:val="22"/>
                <w:szCs w:val="22"/>
              </w:rPr>
            </w:pPr>
            <w:r w:rsidRPr="006E3325">
              <w:rPr>
                <w:b/>
                <w:sz w:val="22"/>
                <w:szCs w:val="22"/>
              </w:rPr>
              <w:t>Monetized</w:t>
            </w:r>
          </w:p>
          <w:p w:rsidR="006E3325" w:rsidRPr="006E3325" w:rsidP="00714311" w14:paraId="1900186B" w14:textId="77777777">
            <w:pPr>
              <w:jc w:val="center"/>
              <w:rPr>
                <w:b/>
                <w:sz w:val="22"/>
                <w:szCs w:val="22"/>
              </w:rPr>
            </w:pPr>
            <w:r w:rsidRPr="006E3325">
              <w:rPr>
                <w:b/>
                <w:sz w:val="22"/>
                <w:szCs w:val="22"/>
              </w:rPr>
              <w:t xml:space="preserve">Burden </w:t>
            </w:r>
          </w:p>
          <w:p w:rsidR="006E3325" w:rsidRPr="006E3325" w:rsidP="00714311" w14:paraId="33B58C06" w14:textId="77777777">
            <w:pPr>
              <w:jc w:val="center"/>
              <w:rPr>
                <w:b/>
                <w:sz w:val="22"/>
                <w:szCs w:val="22"/>
              </w:rPr>
            </w:pPr>
            <w:r w:rsidRPr="006E3325">
              <w:rPr>
                <w:b/>
                <w:sz w:val="22"/>
                <w:szCs w:val="22"/>
              </w:rPr>
              <w:t xml:space="preserve">Hours </w:t>
            </w:r>
          </w:p>
        </w:tc>
      </w:tr>
      <w:tr w14:paraId="66BA5C47" w14:textId="77777777" w:rsidTr="00BC2B3A">
        <w:tblPrEx>
          <w:tblW w:w="9535" w:type="dxa"/>
          <w:jc w:val="center"/>
          <w:tblLayout w:type="fixed"/>
          <w:tblLook w:val="04A0"/>
        </w:tblPrEx>
        <w:trPr>
          <w:jc w:val="center"/>
        </w:trPr>
        <w:tc>
          <w:tcPr>
            <w:tcW w:w="1165" w:type="dxa"/>
            <w:tcBorders>
              <w:bottom w:val="single" w:sz="4" w:space="0" w:color="auto"/>
            </w:tcBorders>
            <w:shd w:val="clear" w:color="auto" w:fill="auto"/>
          </w:tcPr>
          <w:p w:rsidR="006E3325" w:rsidRPr="006E3325" w:rsidP="00714311" w14:paraId="10845135" w14:textId="77777777">
            <w:pPr>
              <w:rPr>
                <w:sz w:val="22"/>
                <w:szCs w:val="22"/>
              </w:rPr>
            </w:pPr>
            <w:r w:rsidRPr="006E3325">
              <w:rPr>
                <w:sz w:val="22"/>
                <w:szCs w:val="22"/>
              </w:rPr>
              <w:t>Private Sector</w:t>
            </w:r>
          </w:p>
        </w:tc>
        <w:tc>
          <w:tcPr>
            <w:tcW w:w="1620" w:type="dxa"/>
            <w:tcBorders>
              <w:bottom w:val="single" w:sz="4" w:space="0" w:color="auto"/>
            </w:tcBorders>
            <w:shd w:val="clear" w:color="auto" w:fill="auto"/>
          </w:tcPr>
          <w:p w:rsidR="006E3325" w:rsidRPr="006E3325" w:rsidP="00714311" w14:paraId="3F2C096A" w14:textId="679B3BAF">
            <w:pPr>
              <w:jc w:val="center"/>
              <w:rPr>
                <w:sz w:val="22"/>
                <w:szCs w:val="22"/>
              </w:rPr>
            </w:pPr>
            <w:r>
              <w:rPr>
                <w:sz w:val="22"/>
                <w:szCs w:val="22"/>
              </w:rPr>
              <w:t>386</w:t>
            </w:r>
          </w:p>
        </w:tc>
        <w:tc>
          <w:tcPr>
            <w:tcW w:w="1350" w:type="dxa"/>
            <w:tcBorders>
              <w:bottom w:val="single" w:sz="4" w:space="0" w:color="auto"/>
            </w:tcBorders>
            <w:shd w:val="clear" w:color="auto" w:fill="auto"/>
          </w:tcPr>
          <w:p w:rsidR="006E3325" w:rsidRPr="006E3325" w:rsidP="00714311" w14:paraId="1771F2F7" w14:textId="77777777">
            <w:pPr>
              <w:jc w:val="center"/>
              <w:rPr>
                <w:sz w:val="22"/>
                <w:szCs w:val="22"/>
              </w:rPr>
            </w:pPr>
            <w:r w:rsidRPr="006E3325">
              <w:rPr>
                <w:sz w:val="22"/>
                <w:szCs w:val="22"/>
              </w:rPr>
              <w:t>1</w:t>
            </w:r>
          </w:p>
        </w:tc>
        <w:tc>
          <w:tcPr>
            <w:tcW w:w="1260" w:type="dxa"/>
            <w:tcBorders>
              <w:bottom w:val="single" w:sz="4" w:space="0" w:color="auto"/>
            </w:tcBorders>
            <w:shd w:val="clear" w:color="auto" w:fill="auto"/>
          </w:tcPr>
          <w:p w:rsidR="006E3325" w:rsidRPr="006E3325" w:rsidP="00714311" w14:paraId="09829DD7" w14:textId="7FBF3663">
            <w:pPr>
              <w:jc w:val="center"/>
              <w:rPr>
                <w:sz w:val="22"/>
                <w:szCs w:val="22"/>
              </w:rPr>
            </w:pPr>
            <w:r>
              <w:rPr>
                <w:sz w:val="22"/>
                <w:szCs w:val="22"/>
              </w:rPr>
              <w:t>386</w:t>
            </w:r>
          </w:p>
        </w:tc>
        <w:tc>
          <w:tcPr>
            <w:tcW w:w="1170" w:type="dxa"/>
            <w:tcBorders>
              <w:bottom w:val="single" w:sz="4" w:space="0" w:color="auto"/>
            </w:tcBorders>
          </w:tcPr>
          <w:p w:rsidR="006E3325" w:rsidRPr="006E3325" w:rsidP="00714311" w14:paraId="72EDE5BE" w14:textId="60BFB473">
            <w:pPr>
              <w:jc w:val="center"/>
              <w:rPr>
                <w:sz w:val="22"/>
                <w:szCs w:val="22"/>
              </w:rPr>
            </w:pPr>
            <w:r>
              <w:rPr>
                <w:sz w:val="22"/>
                <w:szCs w:val="22"/>
              </w:rPr>
              <w:t>20</w:t>
            </w:r>
          </w:p>
        </w:tc>
        <w:tc>
          <w:tcPr>
            <w:tcW w:w="810" w:type="dxa"/>
            <w:tcBorders>
              <w:bottom w:val="single" w:sz="4" w:space="0" w:color="auto"/>
            </w:tcBorders>
          </w:tcPr>
          <w:p w:rsidR="006E3325" w:rsidRPr="006E3325" w:rsidP="00714311" w14:paraId="2B93A369" w14:textId="00357DA0">
            <w:pPr>
              <w:jc w:val="center"/>
              <w:rPr>
                <w:sz w:val="22"/>
                <w:szCs w:val="22"/>
              </w:rPr>
            </w:pPr>
            <w:r>
              <w:rPr>
                <w:sz w:val="22"/>
                <w:szCs w:val="22"/>
              </w:rPr>
              <w:t>7,720</w:t>
            </w:r>
          </w:p>
        </w:tc>
        <w:tc>
          <w:tcPr>
            <w:tcW w:w="900" w:type="dxa"/>
            <w:tcBorders>
              <w:bottom w:val="single" w:sz="4" w:space="0" w:color="auto"/>
            </w:tcBorders>
          </w:tcPr>
          <w:p w:rsidR="006E3325" w:rsidRPr="006E3325" w:rsidP="00714311" w14:paraId="59F0B082" w14:textId="4E3AD611">
            <w:pPr>
              <w:jc w:val="center"/>
              <w:rPr>
                <w:sz w:val="22"/>
                <w:szCs w:val="22"/>
              </w:rPr>
            </w:pPr>
            <w:r w:rsidRPr="006E3325">
              <w:rPr>
                <w:sz w:val="22"/>
                <w:szCs w:val="22"/>
              </w:rPr>
              <w:t>$</w:t>
            </w:r>
            <w:r w:rsidR="00B118FF">
              <w:rPr>
                <w:sz w:val="22"/>
                <w:szCs w:val="22"/>
              </w:rPr>
              <w:t>5</w:t>
            </w:r>
            <w:r w:rsidR="00BC2B3A">
              <w:rPr>
                <w:sz w:val="22"/>
                <w:szCs w:val="22"/>
              </w:rPr>
              <w:t>4.50</w:t>
            </w:r>
            <w:r>
              <w:rPr>
                <w:rStyle w:val="FootnoteReference"/>
                <w:sz w:val="22"/>
                <w:szCs w:val="22"/>
              </w:rPr>
              <w:footnoteReference w:id="3"/>
            </w:r>
          </w:p>
        </w:tc>
        <w:tc>
          <w:tcPr>
            <w:tcW w:w="1260" w:type="dxa"/>
            <w:tcBorders>
              <w:bottom w:val="single" w:sz="4" w:space="0" w:color="auto"/>
            </w:tcBorders>
            <w:shd w:val="clear" w:color="auto" w:fill="auto"/>
          </w:tcPr>
          <w:p w:rsidR="006E3325" w:rsidRPr="006E3325" w:rsidP="00714311" w14:paraId="01B0625E" w14:textId="4A6CCB75">
            <w:pPr>
              <w:jc w:val="center"/>
              <w:rPr>
                <w:sz w:val="22"/>
                <w:szCs w:val="22"/>
              </w:rPr>
            </w:pPr>
            <w:r w:rsidRPr="006E3325">
              <w:rPr>
                <w:sz w:val="22"/>
                <w:szCs w:val="22"/>
              </w:rPr>
              <w:t>$</w:t>
            </w:r>
            <w:r w:rsidR="004170D9">
              <w:rPr>
                <w:sz w:val="22"/>
                <w:szCs w:val="22"/>
              </w:rPr>
              <w:t>420,740</w:t>
            </w:r>
          </w:p>
        </w:tc>
      </w:tr>
    </w:tbl>
    <w:p w:rsidR="006E3325" w:rsidP="006E3325" w14:paraId="15237A6F" w14:textId="77777777">
      <w:pPr>
        <w:pStyle w:val="Default"/>
        <w:rPr>
          <w:b/>
        </w:rPr>
      </w:pPr>
    </w:p>
    <w:p w:rsidR="00C67ACC" w:rsidRPr="00211A22" w:rsidP="00C67ACC" w14:paraId="044C8A9F" w14:textId="3F572F45">
      <w:pPr>
        <w:pStyle w:val="Default"/>
        <w:rPr>
          <w:b/>
        </w:rPr>
      </w:pPr>
      <w:r>
        <w:rPr>
          <w:b/>
        </w:rPr>
        <w:t>Environmental Review Form</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620"/>
        <w:gridCol w:w="1350"/>
        <w:gridCol w:w="1260"/>
        <w:gridCol w:w="1170"/>
        <w:gridCol w:w="810"/>
        <w:gridCol w:w="900"/>
        <w:gridCol w:w="1260"/>
      </w:tblGrid>
      <w:tr w14:paraId="2EA91748" w14:textId="77777777" w:rsidTr="00001649">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165" w:type="dxa"/>
            <w:tcBorders>
              <w:bottom w:val="single" w:sz="4" w:space="0" w:color="auto"/>
            </w:tcBorders>
            <w:shd w:val="clear" w:color="auto" w:fill="auto"/>
          </w:tcPr>
          <w:p w:rsidR="00C67ACC" w:rsidRPr="006E3325" w:rsidP="00001649" w14:paraId="076EA126" w14:textId="77777777">
            <w:pPr>
              <w:jc w:val="center"/>
              <w:rPr>
                <w:b/>
                <w:sz w:val="22"/>
                <w:szCs w:val="22"/>
              </w:rPr>
            </w:pPr>
            <w:r w:rsidRPr="006E3325">
              <w:rPr>
                <w:b/>
                <w:sz w:val="22"/>
                <w:szCs w:val="22"/>
              </w:rPr>
              <w:t>Affected Public</w:t>
            </w:r>
          </w:p>
        </w:tc>
        <w:tc>
          <w:tcPr>
            <w:tcW w:w="1620" w:type="dxa"/>
            <w:tcBorders>
              <w:bottom w:val="single" w:sz="4" w:space="0" w:color="auto"/>
            </w:tcBorders>
            <w:shd w:val="clear" w:color="auto" w:fill="auto"/>
          </w:tcPr>
          <w:p w:rsidR="00C67ACC" w:rsidRPr="006E3325" w:rsidP="00001649" w14:paraId="3A28E8CD" w14:textId="77777777">
            <w:pPr>
              <w:jc w:val="center"/>
              <w:rPr>
                <w:b/>
                <w:sz w:val="22"/>
                <w:szCs w:val="22"/>
              </w:rPr>
            </w:pPr>
            <w:r w:rsidRPr="006E3325">
              <w:rPr>
                <w:b/>
                <w:sz w:val="22"/>
                <w:szCs w:val="22"/>
              </w:rPr>
              <w:t xml:space="preserve">Number </w:t>
            </w:r>
          </w:p>
          <w:p w:rsidR="00C67ACC" w:rsidRPr="006E3325" w:rsidP="00001649" w14:paraId="4E77CA94" w14:textId="77777777">
            <w:pPr>
              <w:jc w:val="center"/>
              <w:rPr>
                <w:b/>
                <w:sz w:val="22"/>
                <w:szCs w:val="22"/>
              </w:rPr>
            </w:pPr>
            <w:r w:rsidRPr="006E3325">
              <w:rPr>
                <w:b/>
                <w:sz w:val="22"/>
                <w:szCs w:val="22"/>
              </w:rPr>
              <w:t>of Respondents</w:t>
            </w:r>
          </w:p>
        </w:tc>
        <w:tc>
          <w:tcPr>
            <w:tcW w:w="1350" w:type="dxa"/>
            <w:tcBorders>
              <w:bottom w:val="single" w:sz="4" w:space="0" w:color="auto"/>
            </w:tcBorders>
            <w:shd w:val="clear" w:color="auto" w:fill="auto"/>
          </w:tcPr>
          <w:p w:rsidR="00C67ACC" w:rsidRPr="006E3325" w:rsidP="00001649" w14:paraId="64A35BE4" w14:textId="77777777">
            <w:pPr>
              <w:jc w:val="center"/>
              <w:rPr>
                <w:b/>
                <w:sz w:val="22"/>
                <w:szCs w:val="22"/>
              </w:rPr>
            </w:pPr>
            <w:r w:rsidRPr="006E3325">
              <w:rPr>
                <w:b/>
                <w:sz w:val="22"/>
                <w:szCs w:val="22"/>
              </w:rPr>
              <w:t>Number of Responses</w:t>
            </w:r>
          </w:p>
          <w:p w:rsidR="00C67ACC" w:rsidRPr="006E3325" w:rsidP="00001649" w14:paraId="6A0928A5" w14:textId="77777777">
            <w:pPr>
              <w:jc w:val="center"/>
              <w:rPr>
                <w:b/>
                <w:sz w:val="22"/>
                <w:szCs w:val="22"/>
              </w:rPr>
            </w:pPr>
            <w:r w:rsidRPr="006E3325">
              <w:rPr>
                <w:b/>
                <w:sz w:val="22"/>
                <w:szCs w:val="22"/>
              </w:rPr>
              <w:t xml:space="preserve">Per </w:t>
            </w:r>
          </w:p>
          <w:p w:rsidR="00C67ACC" w:rsidRPr="006E3325" w:rsidP="00001649" w14:paraId="7C693494" w14:textId="77777777">
            <w:pPr>
              <w:jc w:val="center"/>
              <w:rPr>
                <w:b/>
                <w:sz w:val="22"/>
                <w:szCs w:val="22"/>
              </w:rPr>
            </w:pPr>
            <w:r w:rsidRPr="006E3325">
              <w:rPr>
                <w:b/>
                <w:sz w:val="22"/>
                <w:szCs w:val="22"/>
              </w:rPr>
              <w:t>Respondent</w:t>
            </w:r>
          </w:p>
        </w:tc>
        <w:tc>
          <w:tcPr>
            <w:tcW w:w="1260" w:type="dxa"/>
            <w:tcBorders>
              <w:bottom w:val="single" w:sz="4" w:space="0" w:color="auto"/>
            </w:tcBorders>
            <w:shd w:val="clear" w:color="auto" w:fill="auto"/>
          </w:tcPr>
          <w:p w:rsidR="00C67ACC" w:rsidRPr="006E3325" w:rsidP="00001649" w14:paraId="6B130E85" w14:textId="77777777">
            <w:pPr>
              <w:jc w:val="center"/>
              <w:rPr>
                <w:b/>
                <w:sz w:val="22"/>
                <w:szCs w:val="22"/>
              </w:rPr>
            </w:pPr>
            <w:r w:rsidRPr="006E3325">
              <w:rPr>
                <w:b/>
                <w:sz w:val="22"/>
                <w:szCs w:val="22"/>
              </w:rPr>
              <w:t xml:space="preserve">Total </w:t>
            </w:r>
          </w:p>
          <w:p w:rsidR="00C67ACC" w:rsidRPr="006E3325" w:rsidP="00001649" w14:paraId="5520EECA" w14:textId="77777777">
            <w:pPr>
              <w:jc w:val="center"/>
              <w:rPr>
                <w:b/>
                <w:sz w:val="22"/>
                <w:szCs w:val="22"/>
              </w:rPr>
            </w:pPr>
            <w:r w:rsidRPr="006E3325">
              <w:rPr>
                <w:b/>
                <w:sz w:val="22"/>
                <w:szCs w:val="22"/>
              </w:rPr>
              <w:t>Annual Responses</w:t>
            </w:r>
          </w:p>
        </w:tc>
        <w:tc>
          <w:tcPr>
            <w:tcW w:w="1170" w:type="dxa"/>
            <w:tcBorders>
              <w:bottom w:val="single" w:sz="4" w:space="0" w:color="auto"/>
            </w:tcBorders>
          </w:tcPr>
          <w:p w:rsidR="00C67ACC" w:rsidRPr="006E3325" w:rsidP="00001649" w14:paraId="6B759991" w14:textId="77777777">
            <w:pPr>
              <w:jc w:val="center"/>
              <w:rPr>
                <w:b/>
                <w:sz w:val="22"/>
                <w:szCs w:val="22"/>
              </w:rPr>
            </w:pPr>
            <w:r w:rsidRPr="006E3325">
              <w:rPr>
                <w:b/>
                <w:sz w:val="22"/>
                <w:szCs w:val="22"/>
              </w:rPr>
              <w:t xml:space="preserve">Hours </w:t>
            </w:r>
          </w:p>
          <w:p w:rsidR="00C67ACC" w:rsidRPr="006E3325" w:rsidP="00001649" w14:paraId="199135E1" w14:textId="77777777">
            <w:pPr>
              <w:jc w:val="center"/>
              <w:rPr>
                <w:b/>
                <w:sz w:val="22"/>
                <w:szCs w:val="22"/>
              </w:rPr>
            </w:pPr>
            <w:r w:rsidRPr="006E3325">
              <w:rPr>
                <w:b/>
                <w:sz w:val="22"/>
                <w:szCs w:val="22"/>
              </w:rPr>
              <w:t xml:space="preserve">Per </w:t>
            </w:r>
          </w:p>
          <w:p w:rsidR="00C67ACC" w:rsidRPr="006E3325" w:rsidP="00001649" w14:paraId="72CCC949" w14:textId="77777777">
            <w:pPr>
              <w:jc w:val="center"/>
              <w:rPr>
                <w:b/>
                <w:sz w:val="22"/>
                <w:szCs w:val="22"/>
              </w:rPr>
            </w:pPr>
            <w:r w:rsidRPr="006E3325">
              <w:rPr>
                <w:b/>
                <w:sz w:val="22"/>
                <w:szCs w:val="22"/>
              </w:rPr>
              <w:t>Response</w:t>
            </w:r>
          </w:p>
        </w:tc>
        <w:tc>
          <w:tcPr>
            <w:tcW w:w="810" w:type="dxa"/>
            <w:tcBorders>
              <w:bottom w:val="single" w:sz="4" w:space="0" w:color="auto"/>
            </w:tcBorders>
          </w:tcPr>
          <w:p w:rsidR="00C67ACC" w:rsidRPr="006E3325" w:rsidP="00001649" w14:paraId="3552D97A" w14:textId="77777777">
            <w:pPr>
              <w:jc w:val="center"/>
              <w:rPr>
                <w:b/>
                <w:sz w:val="22"/>
                <w:szCs w:val="22"/>
              </w:rPr>
            </w:pPr>
            <w:r w:rsidRPr="006E3325">
              <w:rPr>
                <w:b/>
                <w:sz w:val="22"/>
                <w:szCs w:val="22"/>
              </w:rPr>
              <w:t xml:space="preserve">Total </w:t>
            </w:r>
          </w:p>
          <w:p w:rsidR="00C67ACC" w:rsidRPr="006E3325" w:rsidP="00001649" w14:paraId="466DDCC9" w14:textId="77777777">
            <w:pPr>
              <w:jc w:val="center"/>
              <w:rPr>
                <w:b/>
                <w:sz w:val="22"/>
                <w:szCs w:val="22"/>
              </w:rPr>
            </w:pPr>
            <w:r w:rsidRPr="006E3325">
              <w:rPr>
                <w:b/>
                <w:sz w:val="22"/>
                <w:szCs w:val="22"/>
              </w:rPr>
              <w:t>Hours</w:t>
            </w:r>
          </w:p>
        </w:tc>
        <w:tc>
          <w:tcPr>
            <w:tcW w:w="900" w:type="dxa"/>
            <w:tcBorders>
              <w:bottom w:val="single" w:sz="4" w:space="0" w:color="auto"/>
            </w:tcBorders>
          </w:tcPr>
          <w:p w:rsidR="00C67ACC" w:rsidRPr="006E3325" w:rsidP="00001649" w14:paraId="7FBBDF16" w14:textId="77777777">
            <w:pPr>
              <w:jc w:val="center"/>
              <w:rPr>
                <w:b/>
                <w:sz w:val="22"/>
                <w:szCs w:val="22"/>
              </w:rPr>
            </w:pPr>
            <w:r w:rsidRPr="006E3325">
              <w:rPr>
                <w:b/>
                <w:sz w:val="22"/>
                <w:szCs w:val="22"/>
              </w:rPr>
              <w:t>Time</w:t>
            </w:r>
          </w:p>
          <w:p w:rsidR="00C67ACC" w:rsidRPr="006E3325" w:rsidP="00001649" w14:paraId="656A478D" w14:textId="77777777">
            <w:pPr>
              <w:jc w:val="center"/>
              <w:rPr>
                <w:b/>
                <w:sz w:val="22"/>
                <w:szCs w:val="22"/>
              </w:rPr>
            </w:pPr>
            <w:r w:rsidRPr="006E3325">
              <w:rPr>
                <w:b/>
                <w:sz w:val="22"/>
                <w:szCs w:val="22"/>
              </w:rPr>
              <w:t>Value</w:t>
            </w:r>
          </w:p>
          <w:p w:rsidR="00C67ACC" w:rsidRPr="006E3325" w:rsidP="00001649" w14:paraId="3947D01A" w14:textId="77777777">
            <w:pPr>
              <w:jc w:val="center"/>
              <w:rPr>
                <w:b/>
                <w:sz w:val="22"/>
                <w:szCs w:val="22"/>
              </w:rPr>
            </w:pPr>
            <w:r w:rsidRPr="006E3325">
              <w:rPr>
                <w:b/>
                <w:sz w:val="22"/>
                <w:szCs w:val="22"/>
              </w:rPr>
              <w:t>(per</w:t>
            </w:r>
          </w:p>
          <w:p w:rsidR="00C67ACC" w:rsidRPr="006E3325" w:rsidP="00001649" w14:paraId="13075428" w14:textId="77777777">
            <w:pPr>
              <w:jc w:val="center"/>
              <w:rPr>
                <w:b/>
                <w:sz w:val="22"/>
                <w:szCs w:val="22"/>
              </w:rPr>
            </w:pPr>
            <w:r w:rsidRPr="006E3325">
              <w:rPr>
                <w:b/>
                <w:sz w:val="22"/>
                <w:szCs w:val="22"/>
              </w:rPr>
              <w:t>Hour)</w:t>
            </w:r>
          </w:p>
        </w:tc>
        <w:tc>
          <w:tcPr>
            <w:tcW w:w="1260" w:type="dxa"/>
            <w:tcBorders>
              <w:bottom w:val="single" w:sz="4" w:space="0" w:color="auto"/>
            </w:tcBorders>
            <w:shd w:val="clear" w:color="auto" w:fill="auto"/>
          </w:tcPr>
          <w:p w:rsidR="00C67ACC" w:rsidRPr="006E3325" w:rsidP="00001649" w14:paraId="1B344CCA" w14:textId="77777777">
            <w:pPr>
              <w:jc w:val="center"/>
              <w:rPr>
                <w:b/>
                <w:sz w:val="22"/>
                <w:szCs w:val="22"/>
              </w:rPr>
            </w:pPr>
            <w:r w:rsidRPr="006E3325">
              <w:rPr>
                <w:b/>
                <w:sz w:val="22"/>
                <w:szCs w:val="22"/>
              </w:rPr>
              <w:t>Monetized</w:t>
            </w:r>
          </w:p>
          <w:p w:rsidR="00C67ACC" w:rsidRPr="006E3325" w:rsidP="00001649" w14:paraId="40729515" w14:textId="77777777">
            <w:pPr>
              <w:jc w:val="center"/>
              <w:rPr>
                <w:b/>
                <w:sz w:val="22"/>
                <w:szCs w:val="22"/>
              </w:rPr>
            </w:pPr>
            <w:r w:rsidRPr="006E3325">
              <w:rPr>
                <w:b/>
                <w:sz w:val="22"/>
                <w:szCs w:val="22"/>
              </w:rPr>
              <w:t xml:space="preserve">Burden </w:t>
            </w:r>
          </w:p>
          <w:p w:rsidR="00C67ACC" w:rsidRPr="006E3325" w:rsidP="00001649" w14:paraId="06CE2D36" w14:textId="77777777">
            <w:pPr>
              <w:jc w:val="center"/>
              <w:rPr>
                <w:b/>
                <w:sz w:val="22"/>
                <w:szCs w:val="22"/>
              </w:rPr>
            </w:pPr>
            <w:r w:rsidRPr="006E3325">
              <w:rPr>
                <w:b/>
                <w:sz w:val="22"/>
                <w:szCs w:val="22"/>
              </w:rPr>
              <w:t xml:space="preserve">Hours </w:t>
            </w:r>
          </w:p>
        </w:tc>
      </w:tr>
      <w:tr w14:paraId="67599F19" w14:textId="77777777" w:rsidTr="00001649">
        <w:tblPrEx>
          <w:tblW w:w="9535" w:type="dxa"/>
          <w:jc w:val="center"/>
          <w:tblLayout w:type="fixed"/>
          <w:tblLook w:val="04A0"/>
        </w:tblPrEx>
        <w:trPr>
          <w:jc w:val="center"/>
        </w:trPr>
        <w:tc>
          <w:tcPr>
            <w:tcW w:w="1165" w:type="dxa"/>
            <w:tcBorders>
              <w:bottom w:val="single" w:sz="4" w:space="0" w:color="auto"/>
            </w:tcBorders>
            <w:shd w:val="clear" w:color="auto" w:fill="auto"/>
          </w:tcPr>
          <w:p w:rsidR="00C67ACC" w:rsidRPr="006E3325" w:rsidP="00001649" w14:paraId="27EEF482" w14:textId="77777777">
            <w:pPr>
              <w:rPr>
                <w:sz w:val="22"/>
                <w:szCs w:val="22"/>
              </w:rPr>
            </w:pPr>
            <w:r w:rsidRPr="006E3325">
              <w:rPr>
                <w:sz w:val="22"/>
                <w:szCs w:val="22"/>
              </w:rPr>
              <w:t>Private Sector</w:t>
            </w:r>
          </w:p>
        </w:tc>
        <w:tc>
          <w:tcPr>
            <w:tcW w:w="1620" w:type="dxa"/>
            <w:tcBorders>
              <w:bottom w:val="single" w:sz="4" w:space="0" w:color="auto"/>
            </w:tcBorders>
            <w:shd w:val="clear" w:color="auto" w:fill="auto"/>
          </w:tcPr>
          <w:p w:rsidR="00C67ACC" w:rsidRPr="006E3325" w:rsidP="00001649" w14:paraId="1526E06B" w14:textId="5FD5304F">
            <w:pPr>
              <w:jc w:val="center"/>
              <w:rPr>
                <w:sz w:val="22"/>
                <w:szCs w:val="22"/>
              </w:rPr>
            </w:pPr>
            <w:r>
              <w:rPr>
                <w:sz w:val="22"/>
                <w:szCs w:val="22"/>
              </w:rPr>
              <w:t>5</w:t>
            </w:r>
          </w:p>
        </w:tc>
        <w:tc>
          <w:tcPr>
            <w:tcW w:w="1350" w:type="dxa"/>
            <w:tcBorders>
              <w:bottom w:val="single" w:sz="4" w:space="0" w:color="auto"/>
            </w:tcBorders>
            <w:shd w:val="clear" w:color="auto" w:fill="auto"/>
          </w:tcPr>
          <w:p w:rsidR="00C67ACC" w:rsidRPr="006E3325" w:rsidP="00001649" w14:paraId="0F7C1D66" w14:textId="77777777">
            <w:pPr>
              <w:jc w:val="center"/>
              <w:rPr>
                <w:sz w:val="22"/>
                <w:szCs w:val="22"/>
              </w:rPr>
            </w:pPr>
            <w:r w:rsidRPr="006E3325">
              <w:rPr>
                <w:sz w:val="22"/>
                <w:szCs w:val="22"/>
              </w:rPr>
              <w:t>1</w:t>
            </w:r>
          </w:p>
        </w:tc>
        <w:tc>
          <w:tcPr>
            <w:tcW w:w="1260" w:type="dxa"/>
            <w:tcBorders>
              <w:bottom w:val="single" w:sz="4" w:space="0" w:color="auto"/>
            </w:tcBorders>
            <w:shd w:val="clear" w:color="auto" w:fill="auto"/>
          </w:tcPr>
          <w:p w:rsidR="00C67ACC" w:rsidRPr="006E3325" w:rsidP="00001649" w14:paraId="27809232" w14:textId="136A7903">
            <w:pPr>
              <w:jc w:val="center"/>
              <w:rPr>
                <w:sz w:val="22"/>
                <w:szCs w:val="22"/>
              </w:rPr>
            </w:pPr>
            <w:r>
              <w:rPr>
                <w:sz w:val="22"/>
                <w:szCs w:val="22"/>
              </w:rPr>
              <w:t>5</w:t>
            </w:r>
          </w:p>
        </w:tc>
        <w:tc>
          <w:tcPr>
            <w:tcW w:w="1170" w:type="dxa"/>
            <w:tcBorders>
              <w:bottom w:val="single" w:sz="4" w:space="0" w:color="auto"/>
            </w:tcBorders>
          </w:tcPr>
          <w:p w:rsidR="00C67ACC" w:rsidRPr="006E3325" w:rsidP="00001649" w14:paraId="0A754E3A" w14:textId="1A8869AA">
            <w:pPr>
              <w:jc w:val="center"/>
              <w:rPr>
                <w:sz w:val="22"/>
                <w:szCs w:val="22"/>
              </w:rPr>
            </w:pPr>
            <w:r>
              <w:rPr>
                <w:sz w:val="22"/>
                <w:szCs w:val="22"/>
              </w:rPr>
              <w:t>0</w:t>
            </w:r>
            <w:r>
              <w:rPr>
                <w:sz w:val="22"/>
                <w:szCs w:val="22"/>
              </w:rPr>
              <w:t>.5</w:t>
            </w:r>
          </w:p>
        </w:tc>
        <w:tc>
          <w:tcPr>
            <w:tcW w:w="810" w:type="dxa"/>
            <w:tcBorders>
              <w:bottom w:val="single" w:sz="4" w:space="0" w:color="auto"/>
            </w:tcBorders>
          </w:tcPr>
          <w:p w:rsidR="00C67ACC" w:rsidRPr="006E3325" w:rsidP="00001649" w14:paraId="5146B42D" w14:textId="1E66F313">
            <w:pPr>
              <w:jc w:val="center"/>
              <w:rPr>
                <w:sz w:val="22"/>
                <w:szCs w:val="22"/>
              </w:rPr>
            </w:pPr>
            <w:r>
              <w:rPr>
                <w:sz w:val="22"/>
                <w:szCs w:val="22"/>
              </w:rPr>
              <w:t>2.5</w:t>
            </w:r>
          </w:p>
        </w:tc>
        <w:tc>
          <w:tcPr>
            <w:tcW w:w="900" w:type="dxa"/>
            <w:tcBorders>
              <w:bottom w:val="single" w:sz="4" w:space="0" w:color="auto"/>
            </w:tcBorders>
          </w:tcPr>
          <w:p w:rsidR="00C67ACC" w:rsidRPr="006E3325" w:rsidP="00001649" w14:paraId="207B0987" w14:textId="77777777">
            <w:pPr>
              <w:jc w:val="center"/>
              <w:rPr>
                <w:sz w:val="22"/>
                <w:szCs w:val="22"/>
              </w:rPr>
            </w:pPr>
            <w:r w:rsidRPr="006E3325">
              <w:rPr>
                <w:sz w:val="22"/>
                <w:szCs w:val="22"/>
              </w:rPr>
              <w:t>$</w:t>
            </w:r>
            <w:r>
              <w:rPr>
                <w:sz w:val="22"/>
                <w:szCs w:val="22"/>
              </w:rPr>
              <w:t>54.50</w:t>
            </w:r>
            <w:r>
              <w:rPr>
                <w:rStyle w:val="FootnoteReference"/>
                <w:sz w:val="22"/>
                <w:szCs w:val="22"/>
              </w:rPr>
              <w:footnoteReference w:id="4"/>
            </w:r>
          </w:p>
        </w:tc>
        <w:tc>
          <w:tcPr>
            <w:tcW w:w="1260" w:type="dxa"/>
            <w:tcBorders>
              <w:bottom w:val="single" w:sz="4" w:space="0" w:color="auto"/>
            </w:tcBorders>
            <w:shd w:val="clear" w:color="auto" w:fill="auto"/>
          </w:tcPr>
          <w:p w:rsidR="00C67ACC" w:rsidRPr="006E3325" w:rsidP="00001649" w14:paraId="2B293817" w14:textId="7DE6A2D7">
            <w:pPr>
              <w:jc w:val="center"/>
              <w:rPr>
                <w:sz w:val="22"/>
                <w:szCs w:val="22"/>
              </w:rPr>
            </w:pPr>
            <w:r w:rsidRPr="006E3325">
              <w:rPr>
                <w:sz w:val="22"/>
                <w:szCs w:val="22"/>
              </w:rPr>
              <w:t>$</w:t>
            </w:r>
            <w:r>
              <w:rPr>
                <w:sz w:val="22"/>
                <w:szCs w:val="22"/>
              </w:rPr>
              <w:t>136.25</w:t>
            </w:r>
          </w:p>
        </w:tc>
      </w:tr>
    </w:tbl>
    <w:p w:rsidR="00C67ACC" w:rsidP="006E3325" w14:paraId="764D0883" w14:textId="77777777">
      <w:pPr>
        <w:pStyle w:val="Default"/>
        <w:rPr>
          <w:b/>
        </w:rPr>
      </w:pPr>
    </w:p>
    <w:p w:rsidR="00FE552D" w:rsidRPr="00FE552D" w:rsidP="00FE552D" w14:paraId="0AB5CBF1" w14:textId="77777777">
      <w:pPr>
        <w:autoSpaceDE w:val="0"/>
        <w:autoSpaceDN w:val="0"/>
        <w:adjustRightInd w:val="0"/>
        <w:rPr>
          <w:rFonts w:eastAsia="Calibri"/>
          <w:color w:val="000000"/>
          <w:u w:val="single"/>
        </w:rPr>
      </w:pPr>
      <w:r w:rsidRPr="00FE552D">
        <w:rPr>
          <w:rFonts w:eastAsia="Calibri"/>
          <w:color w:val="000000"/>
          <w:u w:val="single"/>
        </w:rPr>
        <w:t xml:space="preserve">14. Estimate of annualized cost to the Government </w:t>
      </w:r>
    </w:p>
    <w:p w:rsidR="0049378A" w:rsidP="0049378A" w14:paraId="5E95A32E" w14:textId="3E2D534E">
      <w:pPr>
        <w:pStyle w:val="Default"/>
      </w:pPr>
      <w:r>
        <w:t>The three-year staffing costs to the Government are estimated at $</w:t>
      </w:r>
      <w:r w:rsidR="00E903C0">
        <w:t>975,324</w:t>
      </w:r>
      <w:r>
        <w:t xml:space="preserve"> to manage, analyze and clean the data and answer client help desk questions which include</w:t>
      </w:r>
      <w:r w:rsidR="00C05FBC">
        <w:t>s</w:t>
      </w:r>
      <w:r>
        <w:t xml:space="preserve"> half-time staffing for a GS-14 mid-band staff person and </w:t>
      </w:r>
      <w:r w:rsidR="00BC2B3A">
        <w:t xml:space="preserve">full </w:t>
      </w:r>
      <w:r w:rsidR="008C794A">
        <w:t>time</w:t>
      </w:r>
      <w:r w:rsidR="00BC2B3A">
        <w:t xml:space="preserve"> staffing for a </w:t>
      </w:r>
      <w:r>
        <w:t>GS-13</w:t>
      </w:r>
      <w:r w:rsidR="00C05FBC">
        <w:t xml:space="preserve"> and GS-12</w:t>
      </w:r>
      <w:r>
        <w:t xml:space="preserve"> mid-band staff person</w:t>
      </w:r>
      <w:r>
        <w:rPr>
          <w:rStyle w:val="FootnoteReference"/>
        </w:rPr>
        <w:footnoteReference w:id="5"/>
      </w:r>
      <w:r>
        <w:t xml:space="preserve">. The contract costs to the Government for the direct annual maintenance and data collection costs for the </w:t>
      </w:r>
      <w:r w:rsidR="00BC2B3A">
        <w:t>CMF Performance Report</w:t>
      </w:r>
      <w:r>
        <w:t xml:space="preserve"> submitted through the CDFI Fund’s Awards Monitoring Information System (AMIS) are estimated at $360,000.00 for three years. This cost is paid through a contract to maintain AMIS. The combined annualized cost is thus approximately $196,000. </w:t>
      </w:r>
    </w:p>
    <w:p w:rsidR="00FE552D" w:rsidP="00FE552D" w14:paraId="5179368C" w14:textId="77777777">
      <w:pPr>
        <w:autoSpaceDE w:val="0"/>
        <w:autoSpaceDN w:val="0"/>
        <w:adjustRightInd w:val="0"/>
        <w:rPr>
          <w:rFonts w:eastAsia="Calibri"/>
          <w:color w:val="000000"/>
        </w:rPr>
      </w:pPr>
    </w:p>
    <w:p w:rsidR="00FE552D" w:rsidRPr="00FE552D" w:rsidP="00FE552D" w14:paraId="322E7F70" w14:textId="77777777">
      <w:pPr>
        <w:autoSpaceDE w:val="0"/>
        <w:autoSpaceDN w:val="0"/>
        <w:adjustRightInd w:val="0"/>
        <w:rPr>
          <w:rFonts w:eastAsia="Calibri"/>
          <w:color w:val="000000"/>
          <w:u w:val="single"/>
        </w:rPr>
      </w:pPr>
      <w:r w:rsidRPr="00FE552D">
        <w:rPr>
          <w:rFonts w:eastAsia="Calibri"/>
          <w:color w:val="000000"/>
          <w:u w:val="single"/>
        </w:rPr>
        <w:t xml:space="preserve">15. Any program changes or adjustments </w:t>
      </w:r>
    </w:p>
    <w:p w:rsidR="00187A22" w:rsidRPr="00187A22" w:rsidP="00187A22" w14:paraId="112772FC" w14:textId="6E8B0CA4">
      <w:pPr>
        <w:autoSpaceDE w:val="0"/>
        <w:autoSpaceDN w:val="0"/>
        <w:adjustRightInd w:val="0"/>
        <w:rPr>
          <w:rFonts w:eastAsia="Calibri"/>
          <w:color w:val="000000"/>
        </w:rPr>
      </w:pPr>
      <w:r w:rsidRPr="00187A22">
        <w:rPr>
          <w:rFonts w:eastAsia="Calibri"/>
          <w:color w:val="000000"/>
        </w:rPr>
        <w:t>As a result of the CDFI Fund publishing an updated Interim Rule for CMF</w:t>
      </w:r>
      <w:r w:rsidR="008C794A">
        <w:rPr>
          <w:rFonts w:eastAsia="Calibri"/>
          <w:color w:val="000000"/>
        </w:rPr>
        <w:t xml:space="preserve"> on June 25, 2024</w:t>
      </w:r>
      <w:r w:rsidR="00DD645E">
        <w:rPr>
          <w:rFonts w:eastAsia="Calibri"/>
          <w:color w:val="000000"/>
        </w:rPr>
        <w:t xml:space="preserve"> it wa</w:t>
      </w:r>
      <w:r w:rsidRPr="00187A22">
        <w:rPr>
          <w:rFonts w:eastAsia="Calibri"/>
          <w:color w:val="000000"/>
        </w:rPr>
        <w:t xml:space="preserve">s necessary for the CDFI Fund to make updates to the CMF Performance Report and Environmental Review Form. </w:t>
      </w:r>
      <w:r w:rsidRPr="0074636E" w:rsidR="0074636E">
        <w:rPr>
          <w:rFonts w:eastAsia="Calibri"/>
          <w:color w:val="000000"/>
        </w:rPr>
        <w:t xml:space="preserve">Generally, this proposed </w:t>
      </w:r>
      <w:r w:rsidR="0074636E">
        <w:rPr>
          <w:rFonts w:eastAsia="Calibri"/>
          <w:color w:val="000000"/>
        </w:rPr>
        <w:t>data collection form</w:t>
      </w:r>
      <w:r w:rsidRPr="0074636E" w:rsidR="0074636E">
        <w:rPr>
          <w:rFonts w:eastAsia="Calibri"/>
          <w:color w:val="000000"/>
        </w:rPr>
        <w:t xml:space="preserve"> is sufficient to gather information necessary to satisfy reporting requirements applicable to  the Interim Rule published on June 25, 2024, and any reporting requirements that may remain subject to the Interim Rule published on February 8, 2016.</w:t>
      </w:r>
    </w:p>
    <w:p w:rsidR="00187A22" w:rsidRPr="00187A22" w:rsidP="00187A22" w14:paraId="3172D5DC" w14:textId="77777777">
      <w:pPr>
        <w:autoSpaceDE w:val="0"/>
        <w:autoSpaceDN w:val="0"/>
        <w:adjustRightInd w:val="0"/>
        <w:rPr>
          <w:rFonts w:eastAsia="Calibri"/>
          <w:color w:val="000000"/>
        </w:rPr>
      </w:pPr>
    </w:p>
    <w:p w:rsidR="00187A22" w:rsidRPr="00187A22" w:rsidP="00187A22" w14:paraId="1D832820" w14:textId="03BC0F20">
      <w:pPr>
        <w:autoSpaceDE w:val="0"/>
        <w:autoSpaceDN w:val="0"/>
        <w:adjustRightInd w:val="0"/>
        <w:rPr>
          <w:rFonts w:eastAsia="Calibri"/>
          <w:color w:val="000000"/>
        </w:rPr>
      </w:pPr>
      <w:r>
        <w:rPr>
          <w:rFonts w:eastAsia="Calibri"/>
          <w:color w:val="000000"/>
        </w:rPr>
        <w:t>T</w:t>
      </w:r>
      <w:r w:rsidRPr="00187A22">
        <w:rPr>
          <w:rFonts w:eastAsia="Calibri"/>
          <w:color w:val="000000"/>
        </w:rPr>
        <w:t xml:space="preserve">he CMF Application, Performance Report, and Environmental Review Form have been combined under the same </w:t>
      </w:r>
      <w:r>
        <w:rPr>
          <w:rFonts w:eastAsia="Calibri"/>
          <w:color w:val="000000"/>
        </w:rPr>
        <w:t xml:space="preserve">OMB </w:t>
      </w:r>
      <w:r w:rsidRPr="00187A22">
        <w:rPr>
          <w:rFonts w:eastAsia="Calibri"/>
          <w:color w:val="000000"/>
        </w:rPr>
        <w:t xml:space="preserve">control number </w:t>
      </w:r>
      <w:r>
        <w:rPr>
          <w:rFonts w:eastAsia="Calibri"/>
          <w:color w:val="000000"/>
        </w:rPr>
        <w:t>(1559-0036)</w:t>
      </w:r>
      <w:r>
        <w:rPr>
          <w:rFonts w:eastAsia="Calibri"/>
          <w:color w:val="000000"/>
        </w:rPr>
        <w:t xml:space="preserve"> </w:t>
      </w:r>
      <w:r w:rsidRPr="00187A22">
        <w:rPr>
          <w:rFonts w:eastAsia="Calibri"/>
          <w:color w:val="000000"/>
        </w:rPr>
        <w:t xml:space="preserve">for several years, </w:t>
      </w:r>
      <w:r>
        <w:rPr>
          <w:rFonts w:eastAsia="Calibri"/>
          <w:color w:val="000000"/>
        </w:rPr>
        <w:t xml:space="preserve">however </w:t>
      </w:r>
      <w:r w:rsidRPr="00187A22">
        <w:rPr>
          <w:rFonts w:eastAsia="Calibri"/>
          <w:color w:val="000000"/>
        </w:rPr>
        <w:t xml:space="preserve">the CDFI Fund has determined that it is more effective to manage the schedule for these </w:t>
      </w:r>
      <w:r>
        <w:rPr>
          <w:rFonts w:eastAsia="Calibri"/>
          <w:color w:val="000000"/>
        </w:rPr>
        <w:t xml:space="preserve">requirements under two separate Information Collection Requests (ICRs) </w:t>
      </w:r>
      <w:r w:rsidRPr="00187A22">
        <w:rPr>
          <w:rFonts w:eastAsia="Calibri"/>
          <w:color w:val="000000"/>
        </w:rPr>
        <w:t xml:space="preserve">in order to more easily schedule updates to these forms going forward. The proposed changes to the CMF Performance Report will provide clarification and consistency in instructions, and eliminate certain requests for information that are no longer needed due to changes in the program. No changes are being made to the </w:t>
      </w:r>
      <w:r w:rsidR="000840C6">
        <w:rPr>
          <w:rFonts w:eastAsia="Calibri"/>
          <w:color w:val="000000"/>
        </w:rPr>
        <w:t xml:space="preserve">content of the </w:t>
      </w:r>
      <w:r w:rsidRPr="00187A22">
        <w:rPr>
          <w:rFonts w:eastAsia="Calibri"/>
          <w:color w:val="000000"/>
        </w:rPr>
        <w:t xml:space="preserve">Environmental Review Form. It is </w:t>
      </w:r>
      <w:r w:rsidR="000840C6">
        <w:rPr>
          <w:rFonts w:eastAsia="Calibri"/>
          <w:color w:val="000000"/>
        </w:rPr>
        <w:t>simply</w:t>
      </w:r>
      <w:r w:rsidR="00F83248">
        <w:rPr>
          <w:rFonts w:eastAsia="Calibri"/>
          <w:color w:val="000000"/>
        </w:rPr>
        <w:t xml:space="preserve"> </w:t>
      </w:r>
      <w:r w:rsidRPr="00187A22">
        <w:rPr>
          <w:rFonts w:eastAsia="Calibri"/>
          <w:color w:val="000000"/>
        </w:rPr>
        <w:t xml:space="preserve">being removed from the CMF Application </w:t>
      </w:r>
      <w:r>
        <w:rPr>
          <w:rFonts w:eastAsia="Calibri"/>
          <w:color w:val="000000"/>
        </w:rPr>
        <w:t xml:space="preserve">ICR </w:t>
      </w:r>
      <w:r w:rsidRPr="00187A22">
        <w:rPr>
          <w:rFonts w:eastAsia="Calibri"/>
          <w:color w:val="000000"/>
        </w:rPr>
        <w:t xml:space="preserve">and being included with the CMF Performance Report </w:t>
      </w:r>
      <w:r>
        <w:rPr>
          <w:rFonts w:eastAsia="Calibri"/>
          <w:color w:val="000000"/>
        </w:rPr>
        <w:t xml:space="preserve">ICR </w:t>
      </w:r>
      <w:r w:rsidRPr="00187A22">
        <w:rPr>
          <w:rFonts w:eastAsia="Calibri"/>
          <w:color w:val="000000"/>
        </w:rPr>
        <w:t xml:space="preserve">since it’s </w:t>
      </w:r>
      <w:r w:rsidR="000840C6">
        <w:rPr>
          <w:rFonts w:eastAsia="Calibri"/>
          <w:color w:val="000000"/>
        </w:rPr>
        <w:t xml:space="preserve">used for </w:t>
      </w:r>
      <w:r w:rsidRPr="00187A22">
        <w:rPr>
          <w:rFonts w:eastAsia="Calibri"/>
          <w:color w:val="000000"/>
        </w:rPr>
        <w:t xml:space="preserve">a post-award monitoring data collection. </w:t>
      </w:r>
    </w:p>
    <w:p w:rsidR="00187A22" w:rsidRPr="00187A22" w:rsidP="00187A22" w14:paraId="4BA706E0" w14:textId="77777777">
      <w:pPr>
        <w:autoSpaceDE w:val="0"/>
        <w:autoSpaceDN w:val="0"/>
        <w:adjustRightInd w:val="0"/>
        <w:rPr>
          <w:rFonts w:eastAsia="Calibri"/>
          <w:color w:val="000000"/>
        </w:rPr>
      </w:pPr>
    </w:p>
    <w:p w:rsidR="00707B9C" w:rsidP="00187A22" w14:paraId="66B52C4B" w14:textId="61BFA281">
      <w:pPr>
        <w:autoSpaceDE w:val="0"/>
        <w:autoSpaceDN w:val="0"/>
        <w:adjustRightInd w:val="0"/>
        <w:rPr>
          <w:rFonts w:eastAsia="Calibri"/>
          <w:color w:val="000000"/>
        </w:rPr>
      </w:pPr>
      <w:r w:rsidRPr="00187A22">
        <w:rPr>
          <w:rFonts w:eastAsia="Calibri"/>
          <w:color w:val="000000"/>
        </w:rPr>
        <w:t>CMF Program Award Recipients are required to submit the CMF Performance Report once annually, and must submit the Environmental Review Form 180 days prior to issuing a commitment for a project, if applicable.</w:t>
      </w:r>
    </w:p>
    <w:p w:rsidR="00187A22" w:rsidP="00187A22" w14:paraId="6FA5C1C4" w14:textId="77777777">
      <w:pPr>
        <w:autoSpaceDE w:val="0"/>
        <w:autoSpaceDN w:val="0"/>
        <w:adjustRightInd w:val="0"/>
        <w:rPr>
          <w:rFonts w:eastAsia="Calibri"/>
          <w:color w:val="000000"/>
          <w:u w:val="single"/>
        </w:rPr>
      </w:pPr>
    </w:p>
    <w:p w:rsidR="00FE552D" w:rsidRPr="00FE552D" w:rsidP="00FE552D" w14:paraId="38E79391" w14:textId="28F55471">
      <w:pPr>
        <w:autoSpaceDE w:val="0"/>
        <w:autoSpaceDN w:val="0"/>
        <w:adjustRightInd w:val="0"/>
        <w:rPr>
          <w:rFonts w:eastAsia="Calibri"/>
          <w:color w:val="000000"/>
        </w:rPr>
      </w:pPr>
      <w:r w:rsidRPr="00FE552D">
        <w:rPr>
          <w:rFonts w:eastAsia="Calibri"/>
          <w:color w:val="000000"/>
          <w:u w:val="single"/>
        </w:rPr>
        <w:t xml:space="preserve">16. Plans for information tabulation and publication </w:t>
      </w:r>
    </w:p>
    <w:p w:rsidR="00FE552D" w:rsidRPr="00FE552D" w:rsidP="00FE552D" w14:paraId="2714FC91" w14:textId="77777777">
      <w:pPr>
        <w:autoSpaceDE w:val="0"/>
        <w:autoSpaceDN w:val="0"/>
        <w:adjustRightInd w:val="0"/>
        <w:rPr>
          <w:rFonts w:eastAsia="Calibri"/>
          <w:color w:val="000000"/>
        </w:rPr>
      </w:pPr>
      <w:r w:rsidRPr="00FE552D">
        <w:rPr>
          <w:rFonts w:eastAsia="Calibri"/>
          <w:color w:val="000000"/>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limitations of the qualitative results discussed above. </w:t>
      </w:r>
    </w:p>
    <w:p w:rsidR="00FE552D" w:rsidRPr="00FE552D" w:rsidP="00FE552D" w14:paraId="6B2A06D0" w14:textId="77777777">
      <w:pPr>
        <w:autoSpaceDE w:val="0"/>
        <w:autoSpaceDN w:val="0"/>
        <w:adjustRightInd w:val="0"/>
        <w:rPr>
          <w:rFonts w:eastAsia="Calibri"/>
          <w:color w:val="000000"/>
        </w:rPr>
      </w:pPr>
    </w:p>
    <w:p w:rsidR="00FE552D" w:rsidRPr="00FE552D" w:rsidP="00FE552D" w14:paraId="465445FC" w14:textId="77777777">
      <w:pPr>
        <w:autoSpaceDE w:val="0"/>
        <w:autoSpaceDN w:val="0"/>
        <w:adjustRightInd w:val="0"/>
        <w:rPr>
          <w:rFonts w:eastAsia="Calibri"/>
          <w:color w:val="000000"/>
          <w:u w:val="single"/>
        </w:rPr>
      </w:pPr>
      <w:r w:rsidRPr="00FE552D">
        <w:rPr>
          <w:rFonts w:eastAsia="Calibri"/>
          <w:color w:val="000000"/>
          <w:u w:val="single"/>
        </w:rPr>
        <w:t xml:space="preserve">17. Reasons for not displaying expiration date of OMB approval </w:t>
      </w:r>
    </w:p>
    <w:p w:rsidR="00FE552D" w:rsidRPr="00FE552D" w:rsidP="00FE552D" w14:paraId="2A0DA818" w14:textId="4F948C5E">
      <w:pPr>
        <w:autoSpaceDE w:val="0"/>
        <w:autoSpaceDN w:val="0"/>
        <w:adjustRightInd w:val="0"/>
        <w:rPr>
          <w:rFonts w:eastAsia="Calibri"/>
          <w:color w:val="000000"/>
        </w:rPr>
      </w:pPr>
      <w:r>
        <w:rPr>
          <w:rFonts w:eastAsia="Calibri"/>
          <w:color w:val="000000"/>
        </w:rPr>
        <w:t>The expiration date will be displayed.</w:t>
      </w:r>
    </w:p>
    <w:p w:rsidR="00FE552D" w:rsidRPr="00FE552D" w:rsidP="00FE552D" w14:paraId="68F6687F" w14:textId="77777777">
      <w:pPr>
        <w:autoSpaceDE w:val="0"/>
        <w:autoSpaceDN w:val="0"/>
        <w:adjustRightInd w:val="0"/>
        <w:rPr>
          <w:rFonts w:eastAsia="Calibri"/>
          <w:color w:val="000000"/>
        </w:rPr>
      </w:pPr>
    </w:p>
    <w:p w:rsidR="00FE552D" w:rsidRPr="00FE552D" w:rsidP="00FE552D" w14:paraId="5013D0CA" w14:textId="77777777">
      <w:pPr>
        <w:autoSpaceDE w:val="0"/>
        <w:autoSpaceDN w:val="0"/>
        <w:adjustRightInd w:val="0"/>
        <w:rPr>
          <w:rFonts w:eastAsia="Calibri"/>
          <w:color w:val="000000"/>
          <w:u w:val="single"/>
        </w:rPr>
      </w:pPr>
      <w:r w:rsidRPr="00FE552D">
        <w:rPr>
          <w:rFonts w:eastAsia="Calibri"/>
          <w:color w:val="000000"/>
          <w:u w:val="single"/>
        </w:rPr>
        <w:t xml:space="preserve">18. Explanation of exceptions to certification statement </w:t>
      </w:r>
    </w:p>
    <w:p w:rsidR="00FE552D" w:rsidRPr="00FE552D" w:rsidP="00FE552D" w14:paraId="233DAA81" w14:textId="074D8E36">
      <w:pPr>
        <w:autoSpaceDE w:val="0"/>
        <w:autoSpaceDN w:val="0"/>
        <w:adjustRightInd w:val="0"/>
        <w:rPr>
          <w:rFonts w:eastAsia="Calibri"/>
          <w:color w:val="000000"/>
        </w:rPr>
      </w:pPr>
      <w:r>
        <w:rPr>
          <w:rFonts w:eastAsia="Calibri"/>
          <w:color w:val="000000"/>
        </w:rPr>
        <w:t>There are no exceptions to the certification statement.</w:t>
      </w:r>
    </w:p>
    <w:p w:rsidR="00FE552D" w:rsidRPr="00FE552D" w:rsidP="00FE552D" w14:paraId="0FC2D788" w14:textId="77777777">
      <w:pPr>
        <w:autoSpaceDE w:val="0"/>
        <w:autoSpaceDN w:val="0"/>
        <w:adjustRightInd w:val="0"/>
        <w:rPr>
          <w:rFonts w:eastAsia="Calibri"/>
          <w:b/>
          <w:bCs/>
          <w:color w:val="000000"/>
        </w:rPr>
      </w:pPr>
    </w:p>
    <w:p w:rsidR="00FE552D" w:rsidRPr="00FE552D" w:rsidP="00FE552D" w14:paraId="40D32684" w14:textId="77777777">
      <w:pPr>
        <w:autoSpaceDE w:val="0"/>
        <w:autoSpaceDN w:val="0"/>
        <w:adjustRightInd w:val="0"/>
        <w:rPr>
          <w:rFonts w:eastAsia="Calibri"/>
          <w:b/>
          <w:bCs/>
          <w:color w:val="000000"/>
        </w:rPr>
      </w:pPr>
      <w:r w:rsidRPr="00FE552D">
        <w:rPr>
          <w:rFonts w:eastAsia="Calibri"/>
          <w:b/>
          <w:bCs/>
          <w:color w:val="000000"/>
        </w:rPr>
        <w:t xml:space="preserve">B. Collections of Information Employing Statistical Methods </w:t>
      </w:r>
    </w:p>
    <w:p w:rsidR="00FE552D" w:rsidRPr="00FE552D" w:rsidP="00FE552D" w14:paraId="7F7972F0" w14:textId="2A149E62">
      <w:pPr>
        <w:autoSpaceDE w:val="0"/>
        <w:autoSpaceDN w:val="0"/>
        <w:adjustRightInd w:val="0"/>
        <w:rPr>
          <w:rFonts w:eastAsia="Calibri"/>
          <w:bCs/>
          <w:color w:val="000000"/>
        </w:rPr>
      </w:pPr>
      <w:r w:rsidRPr="00FE552D">
        <w:rPr>
          <w:rFonts w:eastAsia="Calibri"/>
          <w:bCs/>
          <w:color w:val="000000"/>
        </w:rPr>
        <w:t>Not applicable</w:t>
      </w:r>
      <w:r w:rsidR="0049378A">
        <w:rPr>
          <w:rFonts w:eastAsia="Calibri"/>
          <w:bCs/>
          <w:color w:val="000000"/>
        </w:rPr>
        <w:t xml:space="preserve"> as no statistical methods are being used.</w:t>
      </w:r>
    </w:p>
    <w:p w:rsidR="004170D9" w:rsidP="000677C6" w14:paraId="165C6458" w14:textId="77777777">
      <w:pPr>
        <w:spacing w:before="120" w:line="300" w:lineRule="auto"/>
        <w:rPr>
          <w:rFonts w:asciiTheme="minorHAnsi" w:eastAsiaTheme="minorEastAsia" w:hAnsiTheme="minorHAnsi" w:cstheme="minorHAnsi"/>
          <w:color w:val="000000" w:themeColor="text1"/>
        </w:rPr>
      </w:pPr>
    </w:p>
    <w:sectPr w:rsidSect="008477E4">
      <w:footerReference w:type="default" r:id="rId10"/>
      <w:headerReference w:type="first" r:id="rId11"/>
      <w:pgSz w:w="12240" w:h="15840" w:code="1"/>
      <w:pgMar w:top="1152" w:right="1440" w:bottom="1152"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1013417"/>
      <w:docPartObj>
        <w:docPartGallery w:val="Page Numbers (Bottom of Page)"/>
        <w:docPartUnique/>
      </w:docPartObj>
    </w:sdtPr>
    <w:sdtContent>
      <w:sdt>
        <w:sdtPr>
          <w:id w:val="1728636285"/>
          <w:docPartObj>
            <w:docPartGallery w:val="Page Numbers (Top of Page)"/>
            <w:docPartUnique/>
          </w:docPartObj>
        </w:sdtPr>
        <w:sdtContent>
          <w:p w:rsidR="00991110" w14:paraId="4E148EED" w14:textId="77777777">
            <w:pPr>
              <w:pStyle w:val="Footer"/>
              <w:jc w:val="center"/>
            </w:pPr>
          </w:p>
          <w:p w:rsidR="00991110" w14:paraId="0E89B5BF" w14:textId="3C7776C7">
            <w:pPr>
              <w:pStyle w:val="Footer"/>
              <w:jc w:val="center"/>
            </w:pPr>
            <w:r w:rsidRPr="0074636E">
              <w:rPr>
                <w:rFonts w:asciiTheme="minorHAnsi" w:hAnsiTheme="minorHAnsi" w:cstheme="minorHAnsi"/>
                <w:sz w:val="20"/>
                <w:szCs w:val="16"/>
              </w:rPr>
              <w:t xml:space="preserve">Page </w:t>
            </w:r>
            <w:r w:rsidRPr="0074636E">
              <w:rPr>
                <w:rFonts w:asciiTheme="minorHAnsi" w:hAnsiTheme="minorHAnsi" w:cstheme="minorHAnsi"/>
                <w:b/>
                <w:bCs/>
                <w:sz w:val="20"/>
              </w:rPr>
              <w:fldChar w:fldCharType="begin"/>
            </w:r>
            <w:r w:rsidRPr="0074636E">
              <w:rPr>
                <w:rFonts w:asciiTheme="minorHAnsi" w:hAnsiTheme="minorHAnsi" w:cstheme="minorHAnsi"/>
                <w:b/>
                <w:bCs/>
                <w:sz w:val="20"/>
                <w:szCs w:val="16"/>
              </w:rPr>
              <w:instrText xml:space="preserve"> PAGE </w:instrText>
            </w:r>
            <w:r w:rsidRPr="0074636E">
              <w:rPr>
                <w:rFonts w:asciiTheme="minorHAnsi" w:hAnsiTheme="minorHAnsi" w:cstheme="minorHAnsi"/>
                <w:b/>
                <w:bCs/>
                <w:sz w:val="20"/>
              </w:rPr>
              <w:fldChar w:fldCharType="separate"/>
            </w:r>
            <w:r w:rsidRPr="0074636E">
              <w:rPr>
                <w:rFonts w:asciiTheme="minorHAnsi" w:hAnsiTheme="minorHAnsi" w:cstheme="minorHAnsi"/>
                <w:b/>
                <w:bCs/>
                <w:noProof/>
                <w:sz w:val="20"/>
                <w:szCs w:val="16"/>
              </w:rPr>
              <w:t>2</w:t>
            </w:r>
            <w:r w:rsidRPr="0074636E">
              <w:rPr>
                <w:rFonts w:asciiTheme="minorHAnsi" w:hAnsiTheme="minorHAnsi" w:cstheme="minorHAnsi"/>
                <w:b/>
                <w:bCs/>
                <w:sz w:val="20"/>
              </w:rPr>
              <w:fldChar w:fldCharType="end"/>
            </w:r>
            <w:r w:rsidRPr="0074636E">
              <w:rPr>
                <w:rFonts w:asciiTheme="minorHAnsi" w:hAnsiTheme="minorHAnsi" w:cstheme="minorHAnsi"/>
                <w:sz w:val="20"/>
                <w:szCs w:val="16"/>
              </w:rPr>
              <w:t xml:space="preserve"> of </w:t>
            </w:r>
            <w:r w:rsidRPr="0074636E">
              <w:rPr>
                <w:rFonts w:asciiTheme="minorHAnsi" w:hAnsiTheme="minorHAnsi" w:cstheme="minorHAnsi"/>
                <w:b/>
                <w:bCs/>
                <w:sz w:val="20"/>
              </w:rPr>
              <w:fldChar w:fldCharType="begin"/>
            </w:r>
            <w:r w:rsidRPr="0074636E">
              <w:rPr>
                <w:rFonts w:asciiTheme="minorHAnsi" w:hAnsiTheme="minorHAnsi" w:cstheme="minorHAnsi"/>
                <w:b/>
                <w:bCs/>
                <w:sz w:val="20"/>
                <w:szCs w:val="16"/>
              </w:rPr>
              <w:instrText xml:space="preserve"> NUMPAGES  </w:instrText>
            </w:r>
            <w:r w:rsidRPr="0074636E">
              <w:rPr>
                <w:rFonts w:asciiTheme="minorHAnsi" w:hAnsiTheme="minorHAnsi" w:cstheme="minorHAnsi"/>
                <w:b/>
                <w:bCs/>
                <w:sz w:val="20"/>
              </w:rPr>
              <w:fldChar w:fldCharType="separate"/>
            </w:r>
            <w:r w:rsidRPr="0074636E">
              <w:rPr>
                <w:rFonts w:asciiTheme="minorHAnsi" w:hAnsiTheme="minorHAnsi" w:cstheme="minorHAnsi"/>
                <w:b/>
                <w:bCs/>
                <w:noProof/>
                <w:sz w:val="20"/>
                <w:szCs w:val="16"/>
              </w:rPr>
              <w:t>2</w:t>
            </w:r>
            <w:r w:rsidRPr="0074636E">
              <w:rPr>
                <w:rFonts w:asciiTheme="minorHAnsi" w:hAnsiTheme="minorHAnsi" w:cstheme="minorHAnsi"/>
                <w:b/>
                <w:bCs/>
                <w:sz w:val="20"/>
              </w:rPr>
              <w:fldChar w:fldCharType="end"/>
            </w:r>
          </w:p>
        </w:sdtContent>
      </w:sdt>
    </w:sdtContent>
  </w:sdt>
  <w:p w:rsidR="000553DB" w14:paraId="1A689B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74D6" w14:paraId="3017063E" w14:textId="77777777">
      <w:r>
        <w:separator/>
      </w:r>
    </w:p>
  </w:footnote>
  <w:footnote w:type="continuationSeparator" w:id="1">
    <w:p w:rsidR="00D674D6" w14:paraId="752277ED" w14:textId="77777777">
      <w:r>
        <w:continuationSeparator/>
      </w:r>
    </w:p>
  </w:footnote>
  <w:footnote w:type="continuationNotice" w:id="2">
    <w:p w:rsidR="006C6C96" w14:paraId="68F29554" w14:textId="77777777"/>
  </w:footnote>
  <w:footnote w:id="3">
    <w:p w:rsidR="006E3325" w:rsidP="006E3325" w14:paraId="0046F0D0" w14:textId="7593D252">
      <w:pPr>
        <w:pStyle w:val="FootnoteText"/>
      </w:pPr>
      <w:r>
        <w:rPr>
          <w:rStyle w:val="FootnoteReference"/>
        </w:rPr>
        <w:footnoteRef/>
      </w:r>
      <w:r>
        <w:t xml:space="preserve"> </w:t>
      </w:r>
      <w:r w:rsidRPr="00C077F1">
        <w:t>Bureau of Labor Statis</w:t>
      </w:r>
      <w:r>
        <w:t>tics, Financial Analyst Mean Hourly Wage, May 20</w:t>
      </w:r>
      <w:r w:rsidR="00B118FF">
        <w:t>2</w:t>
      </w:r>
      <w:r w:rsidR="00BC2B3A">
        <w:t>3</w:t>
      </w:r>
      <w:r w:rsidRPr="00C077F1">
        <w:t xml:space="preserve">, </w:t>
      </w:r>
      <w:hyperlink r:id="rId1" w:history="1">
        <w:r w:rsidRPr="00325683">
          <w:rPr>
            <w:rStyle w:val="Hyperlink"/>
          </w:rPr>
          <w:t>http://www.bls.gov/oes/current/oes132051.htm</w:t>
        </w:r>
      </w:hyperlink>
      <w:r>
        <w:t xml:space="preserve">. </w:t>
      </w:r>
      <w:r w:rsidRPr="00C077F1">
        <w:t>Mean H</w:t>
      </w:r>
      <w:r>
        <w:t>ourly Wage was reported as $</w:t>
      </w:r>
      <w:r w:rsidR="00B118FF">
        <w:t>5</w:t>
      </w:r>
      <w:r w:rsidR="00BC2B3A">
        <w:t>4.30</w:t>
      </w:r>
      <w:r w:rsidRPr="00C077F1">
        <w:t>. For purposes of this estimate, this figure has been rounded to $</w:t>
      </w:r>
      <w:r w:rsidR="00B118FF">
        <w:t>5</w:t>
      </w:r>
      <w:r w:rsidR="00BC2B3A">
        <w:t>4.50</w:t>
      </w:r>
      <w:r w:rsidR="00B118FF">
        <w:t>.</w:t>
      </w:r>
    </w:p>
  </w:footnote>
  <w:footnote w:id="4">
    <w:p w:rsidR="00C67ACC" w:rsidP="00C67ACC" w14:paraId="74396CA1" w14:textId="77777777">
      <w:pPr>
        <w:pStyle w:val="FootnoteText"/>
      </w:pPr>
      <w:r>
        <w:rPr>
          <w:rStyle w:val="FootnoteReference"/>
        </w:rPr>
        <w:footnoteRef/>
      </w:r>
      <w:r>
        <w:t xml:space="preserve"> </w:t>
      </w:r>
      <w:r w:rsidRPr="00C077F1">
        <w:t>Bureau of Labor Statis</w:t>
      </w:r>
      <w:r>
        <w:t>tics, Financial Analyst Mean Hourly Wage, May 2023</w:t>
      </w:r>
      <w:r w:rsidRPr="00C077F1">
        <w:t xml:space="preserve">, </w:t>
      </w:r>
      <w:hyperlink r:id="rId1" w:history="1">
        <w:r w:rsidRPr="00325683">
          <w:rPr>
            <w:rStyle w:val="Hyperlink"/>
          </w:rPr>
          <w:t>http://www.bls.gov/oes/current/oes132051.htm</w:t>
        </w:r>
      </w:hyperlink>
      <w:r>
        <w:t xml:space="preserve">. </w:t>
      </w:r>
      <w:r w:rsidRPr="00C077F1">
        <w:t>Mean H</w:t>
      </w:r>
      <w:r>
        <w:t>ourly Wage was reported as $54.30</w:t>
      </w:r>
      <w:r w:rsidRPr="00C077F1">
        <w:t>. For purposes of this estimate, this figure has been rounded to $</w:t>
      </w:r>
      <w:r>
        <w:t>54.50.</w:t>
      </w:r>
    </w:p>
  </w:footnote>
  <w:footnote w:id="5">
    <w:p w:rsidR="0049378A" w:rsidP="0049378A" w14:paraId="2DA1FE18" w14:textId="42987155">
      <w:pPr>
        <w:pStyle w:val="FootnoteText"/>
      </w:pPr>
      <w:r>
        <w:rPr>
          <w:rStyle w:val="FootnoteReference"/>
        </w:rPr>
        <w:footnoteRef/>
      </w:r>
      <w:r>
        <w:t xml:space="preserve"> </w:t>
      </w:r>
      <w:r w:rsidRPr="00BC2B3A" w:rsidR="00BC2B3A">
        <w:t>https://www.fedweek.com/pay-tables/gs-pay-table-washington-baltimore-arlington-dc-md-va-wv-pa/</w:t>
      </w:r>
      <w:r w:rsidR="00BC2B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57C" w:rsidRPr="00947275" w:rsidP="0012157C" w14:paraId="0DDF03C1" w14:textId="77777777">
    <w:pPr>
      <w:pStyle w:val="Header"/>
      <w:rPr>
        <w:rFonts w:ascii="Arial" w:hAnsi="Arial" w:cs="Arial"/>
        <w:color w:val="5A702E"/>
        <w:szCs w:val="24"/>
      </w:rPr>
    </w:pPr>
    <w:r>
      <w:rPr>
        <w:noProof/>
        <w:color w:val="4F62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3.75pt;height:54pt;margin-top:25.5pt;margin-left:50.85pt;mso-position-horizontal-relative:page;mso-position-vertical-relative:page;mso-wrap-edited:f;position:absolute;visibility:visible;z-index:251658240" o:oleicon="f" o:allowincell="f" fillcolor="window">
          <v:imagedata r:id="rId1" o:title=""/>
        </v:shape>
        <o:OLEObject Type="Embed" ProgID="Word.Picture.8" ShapeID="_x0000_s2049" DrawAspect="Content" ObjectID="_1792245144" r:id="rId2"/>
      </w:pict>
    </w:r>
    <w:r>
      <w:t xml:space="preserve">                                                   </w:t>
    </w:r>
    <w:r w:rsidRPr="00947275">
      <w:rPr>
        <w:rFonts w:ascii="Arial" w:hAnsi="Arial" w:cs="Arial"/>
        <w:b/>
        <w:color w:val="5A702E"/>
        <w:szCs w:val="24"/>
      </w:rPr>
      <w:t>D</w:t>
    </w:r>
    <w:smartTag w:uri="urn:schemas-microsoft-com:office:smarttags" w:element="PersonName">
      <w:r w:rsidRPr="00947275">
        <w:rPr>
          <w:rFonts w:ascii="Arial" w:hAnsi="Arial" w:cs="Arial"/>
          <w:b/>
          <w:color w:val="5A702E"/>
          <w:szCs w:val="24"/>
        </w:rPr>
        <w:t>EP</w:t>
      </w:r>
    </w:smartTag>
    <w:r w:rsidRPr="00947275">
      <w:rPr>
        <w:rFonts w:ascii="Arial" w:hAnsi="Arial" w:cs="Arial"/>
        <w:b/>
        <w:color w:val="5A702E"/>
        <w:szCs w:val="24"/>
      </w:rPr>
      <w:t>ARTMENT OF THE TREASURY</w:t>
    </w:r>
    <w:r w:rsidRPr="00947275">
      <w:rPr>
        <w:rFonts w:ascii="Arial" w:hAnsi="Arial" w:cs="Arial"/>
        <w:color w:val="5A702E"/>
        <w:szCs w:val="24"/>
      </w:rPr>
      <w:t xml:space="preserve">                    </w:t>
    </w:r>
  </w:p>
  <w:p w:rsidR="0012157C" w:rsidRPr="008477E4" w:rsidP="0012157C" w14:paraId="3F9FB34B" w14:textId="77777777">
    <w:pPr>
      <w:pStyle w:val="Header"/>
      <w:jc w:val="center"/>
      <w:rPr>
        <w:color w:val="5A702E"/>
        <w:sz w:val="18"/>
        <w:szCs w:val="18"/>
      </w:rPr>
    </w:pPr>
    <w:r>
      <w:rPr>
        <w:rFonts w:ascii="Arial" w:hAnsi="Arial"/>
        <w:b/>
        <w:color w:val="5A702E"/>
        <w:sz w:val="18"/>
        <w:szCs w:val="18"/>
      </w:rPr>
      <w:t xml:space="preserve">             </w:t>
    </w:r>
    <w:r w:rsidRPr="008477E4">
      <w:rPr>
        <w:rFonts w:ascii="Arial" w:hAnsi="Arial"/>
        <w:b/>
        <w:color w:val="5A702E"/>
        <w:sz w:val="18"/>
        <w:szCs w:val="18"/>
      </w:rPr>
      <w:t>WASHINGTON, D.C.  20220</w:t>
    </w:r>
  </w:p>
  <w:p w:rsidR="0012157C" w:rsidP="0012157C" w14:paraId="6CAE1637" w14:textId="77777777">
    <w:pPr>
      <w:pStyle w:val="Header"/>
      <w:rPr>
        <w:color w:val="5A702E"/>
      </w:rPr>
    </w:pPr>
  </w:p>
  <w:p w:rsidR="0012157C" w:rsidRPr="00947275" w:rsidP="0012157C" w14:paraId="6D97313E" w14:textId="77777777">
    <w:pPr>
      <w:pStyle w:val="Header"/>
      <w:rPr>
        <w:rFonts w:ascii="Arial" w:hAnsi="Arial"/>
        <w:b/>
        <w:color w:val="34411B"/>
        <w:sz w:val="20"/>
      </w:rPr>
    </w:pPr>
    <w:r w:rsidRPr="00947275">
      <w:rPr>
        <w:color w:val="5A702E"/>
      </w:rPr>
      <w:t xml:space="preserve">                                                            </w:t>
    </w:r>
  </w:p>
  <w:p w:rsidR="0012157C" w:rsidRPr="00464E7E" w:rsidP="0012157C" w14:paraId="5C48FBB3" w14:textId="77777777">
    <w:pPr>
      <w:tabs>
        <w:tab w:val="left" w:pos="3765"/>
        <w:tab w:val="center" w:pos="4680"/>
      </w:tabs>
      <w:ind w:left="-1080" w:right="7290" w:firstLine="180"/>
      <w:rPr>
        <w:rFonts w:ascii="Arial Rounded MT Bold" w:hAnsi="Arial Rounded MT Bold" w:cs="Arial"/>
        <w:color w:val="5A702E"/>
        <w:sz w:val="15"/>
        <w:szCs w:val="15"/>
      </w:rPr>
    </w:pPr>
    <w:r w:rsidRPr="00947275">
      <w:rPr>
        <w:rFonts w:ascii="Arial Rounded MT Bold" w:hAnsi="Arial Rounded MT Bold" w:cs="Arial"/>
        <w:color w:val="5A702E"/>
        <w:sz w:val="15"/>
        <w:szCs w:val="15"/>
      </w:rPr>
      <w:t xml:space="preserve">COMMUNITY </w:t>
    </w:r>
    <w:r>
      <w:rPr>
        <w:rFonts w:ascii="Arial Rounded MT Bold" w:hAnsi="Arial Rounded MT Bold" w:cs="Arial"/>
        <w:color w:val="5A702E"/>
        <w:sz w:val="15"/>
        <w:szCs w:val="15"/>
      </w:rPr>
      <w:t>D</w:t>
    </w:r>
    <w:r w:rsidRPr="00947275">
      <w:rPr>
        <w:rFonts w:ascii="Arial Rounded MT Bold" w:hAnsi="Arial Rounded MT Bold" w:cs="Arial"/>
        <w:color w:val="5A702E"/>
        <w:sz w:val="15"/>
        <w:szCs w:val="15"/>
      </w:rPr>
      <w:t>EVELOPMENT</w:t>
    </w:r>
    <w:r>
      <w:rPr>
        <w:rFonts w:ascii="Arial Rounded MT Bold" w:hAnsi="Arial Rounded MT Bold" w:cs="Arial"/>
        <w:color w:val="5A702E"/>
        <w:sz w:val="15"/>
        <w:szCs w:val="15"/>
      </w:rPr>
      <w:t xml:space="preserve"> </w:t>
    </w:r>
    <w:r w:rsidRPr="00947275">
      <w:rPr>
        <w:rFonts w:ascii="Arial Rounded MT Bold" w:hAnsi="Arial Rounded MT Bold" w:cs="Arial"/>
        <w:color w:val="5A702E"/>
        <w:sz w:val="15"/>
        <w:szCs w:val="15"/>
      </w:rPr>
      <w:t>FINANCIAL INSTITUTIONS FUND</w:t>
    </w:r>
  </w:p>
  <w:p w:rsidR="0012157C" w14:paraId="172BA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C37510"/>
    <w:multiLevelType w:val="hybridMultilevel"/>
    <w:tmpl w:val="945280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DF7077"/>
    <w:multiLevelType w:val="hybridMultilevel"/>
    <w:tmpl w:val="4E0EDDDA"/>
    <w:lvl w:ilvl="0">
      <w:start w:val="1"/>
      <w:numFmt w:val="bullet"/>
      <w:pStyle w:val="List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80"/>
        </w:tabs>
        <w:ind w:left="-180" w:hanging="360"/>
      </w:pPr>
      <w:rPr>
        <w:rFonts w:ascii="Symbol" w:hAnsi="Symbol" w:hint="default"/>
      </w:rPr>
    </w:lvl>
    <w:lvl w:ilvl="4" w:tentative="1">
      <w:start w:val="1"/>
      <w:numFmt w:val="bullet"/>
      <w:lvlText w:val="o"/>
      <w:lvlJc w:val="left"/>
      <w:pPr>
        <w:tabs>
          <w:tab w:val="num" w:pos="540"/>
        </w:tabs>
        <w:ind w:left="540" w:hanging="360"/>
      </w:pPr>
      <w:rPr>
        <w:rFonts w:ascii="Courier New" w:hAnsi="Courier New" w:cs="Courier New" w:hint="default"/>
      </w:rPr>
    </w:lvl>
    <w:lvl w:ilvl="5" w:tentative="1">
      <w:start w:val="1"/>
      <w:numFmt w:val="bullet"/>
      <w:lvlText w:val=""/>
      <w:lvlJc w:val="left"/>
      <w:pPr>
        <w:tabs>
          <w:tab w:val="num" w:pos="1260"/>
        </w:tabs>
        <w:ind w:left="1260" w:hanging="360"/>
      </w:pPr>
      <w:rPr>
        <w:rFonts w:ascii="Wingdings" w:hAnsi="Wingdings" w:hint="default"/>
      </w:rPr>
    </w:lvl>
    <w:lvl w:ilvl="6" w:tentative="1">
      <w:start w:val="1"/>
      <w:numFmt w:val="bullet"/>
      <w:lvlText w:val=""/>
      <w:lvlJc w:val="left"/>
      <w:pPr>
        <w:tabs>
          <w:tab w:val="num" w:pos="1980"/>
        </w:tabs>
        <w:ind w:left="1980" w:hanging="360"/>
      </w:pPr>
      <w:rPr>
        <w:rFonts w:ascii="Symbol" w:hAnsi="Symbol" w:hint="default"/>
      </w:rPr>
    </w:lvl>
    <w:lvl w:ilvl="7" w:tentative="1">
      <w:start w:val="1"/>
      <w:numFmt w:val="bullet"/>
      <w:lvlText w:val="o"/>
      <w:lvlJc w:val="left"/>
      <w:pPr>
        <w:tabs>
          <w:tab w:val="num" w:pos="2700"/>
        </w:tabs>
        <w:ind w:left="2700" w:hanging="360"/>
      </w:pPr>
      <w:rPr>
        <w:rFonts w:ascii="Courier New" w:hAnsi="Courier New" w:cs="Courier New" w:hint="default"/>
      </w:rPr>
    </w:lvl>
    <w:lvl w:ilvl="8" w:tentative="1">
      <w:start w:val="1"/>
      <w:numFmt w:val="bullet"/>
      <w:lvlText w:val=""/>
      <w:lvlJc w:val="left"/>
      <w:pPr>
        <w:tabs>
          <w:tab w:val="num" w:pos="3420"/>
        </w:tabs>
        <w:ind w:left="3420" w:hanging="360"/>
      </w:pPr>
      <w:rPr>
        <w:rFonts w:ascii="Wingdings" w:hAnsi="Wingdings" w:hint="default"/>
      </w:rPr>
    </w:lvl>
  </w:abstractNum>
  <w:abstractNum w:abstractNumId="3">
    <w:nsid w:val="31BA6602"/>
    <w:multiLevelType w:val="hybridMultilevel"/>
    <w:tmpl w:val="4116366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5EB91743"/>
    <w:multiLevelType w:val="hybridMultilevel"/>
    <w:tmpl w:val="1D7A46D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57966727">
    <w:abstractNumId w:val="2"/>
  </w:num>
  <w:num w:numId="2" w16cid:durableId="1969772379">
    <w:abstractNumId w:val="4"/>
  </w:num>
  <w:num w:numId="3" w16cid:durableId="745538460">
    <w:abstractNumId w:val="0"/>
  </w:num>
  <w:num w:numId="4" w16cid:durableId="505440146">
    <w:abstractNumId w:val="1"/>
  </w:num>
  <w:num w:numId="5" w16cid:durableId="7282539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65"/>
    <w:rsid w:val="00000D04"/>
    <w:rsid w:val="00001649"/>
    <w:rsid w:val="000045AB"/>
    <w:rsid w:val="00014267"/>
    <w:rsid w:val="00014644"/>
    <w:rsid w:val="000232D6"/>
    <w:rsid w:val="00026251"/>
    <w:rsid w:val="00026E20"/>
    <w:rsid w:val="00032638"/>
    <w:rsid w:val="00037518"/>
    <w:rsid w:val="000406CA"/>
    <w:rsid w:val="000437D8"/>
    <w:rsid w:val="00047196"/>
    <w:rsid w:val="000553DB"/>
    <w:rsid w:val="000553E4"/>
    <w:rsid w:val="00057E35"/>
    <w:rsid w:val="000649E1"/>
    <w:rsid w:val="00064D46"/>
    <w:rsid w:val="000677C6"/>
    <w:rsid w:val="000840C6"/>
    <w:rsid w:val="00092059"/>
    <w:rsid w:val="00096986"/>
    <w:rsid w:val="0009797D"/>
    <w:rsid w:val="000A19E0"/>
    <w:rsid w:val="000A3A67"/>
    <w:rsid w:val="000A508C"/>
    <w:rsid w:val="000A6445"/>
    <w:rsid w:val="000A688D"/>
    <w:rsid w:val="000A7E89"/>
    <w:rsid w:val="000B4174"/>
    <w:rsid w:val="000B7A99"/>
    <w:rsid w:val="000C3E57"/>
    <w:rsid w:val="000C4750"/>
    <w:rsid w:val="000D086E"/>
    <w:rsid w:val="000D6E89"/>
    <w:rsid w:val="000F0511"/>
    <w:rsid w:val="000F3EAF"/>
    <w:rsid w:val="00105F67"/>
    <w:rsid w:val="001140FB"/>
    <w:rsid w:val="0011419A"/>
    <w:rsid w:val="00120867"/>
    <w:rsid w:val="0012157C"/>
    <w:rsid w:val="001246AA"/>
    <w:rsid w:val="001251AC"/>
    <w:rsid w:val="001315DE"/>
    <w:rsid w:val="00137541"/>
    <w:rsid w:val="0013785C"/>
    <w:rsid w:val="00160DD4"/>
    <w:rsid w:val="0016395B"/>
    <w:rsid w:val="00170717"/>
    <w:rsid w:val="00170D18"/>
    <w:rsid w:val="00172335"/>
    <w:rsid w:val="0017416C"/>
    <w:rsid w:val="001751B3"/>
    <w:rsid w:val="0017645E"/>
    <w:rsid w:val="00176B44"/>
    <w:rsid w:val="00187A22"/>
    <w:rsid w:val="001A39C7"/>
    <w:rsid w:val="001B2812"/>
    <w:rsid w:val="001B7C69"/>
    <w:rsid w:val="001C2F38"/>
    <w:rsid w:val="001C7117"/>
    <w:rsid w:val="001D08F4"/>
    <w:rsid w:val="001D509D"/>
    <w:rsid w:val="001E3350"/>
    <w:rsid w:val="001F0EC0"/>
    <w:rsid w:val="00200254"/>
    <w:rsid w:val="00205594"/>
    <w:rsid w:val="002067C2"/>
    <w:rsid w:val="00211A22"/>
    <w:rsid w:val="00227D3F"/>
    <w:rsid w:val="00230F96"/>
    <w:rsid w:val="00231DBC"/>
    <w:rsid w:val="00242A4E"/>
    <w:rsid w:val="00243457"/>
    <w:rsid w:val="00244741"/>
    <w:rsid w:val="00254D94"/>
    <w:rsid w:val="002551A0"/>
    <w:rsid w:val="00255F78"/>
    <w:rsid w:val="00267D40"/>
    <w:rsid w:val="002722C6"/>
    <w:rsid w:val="00280F12"/>
    <w:rsid w:val="00283018"/>
    <w:rsid w:val="00286017"/>
    <w:rsid w:val="002A0C37"/>
    <w:rsid w:val="002C1506"/>
    <w:rsid w:val="002C19F7"/>
    <w:rsid w:val="002C3587"/>
    <w:rsid w:val="002C38A1"/>
    <w:rsid w:val="002C5466"/>
    <w:rsid w:val="002D456E"/>
    <w:rsid w:val="002E67AF"/>
    <w:rsid w:val="002F0255"/>
    <w:rsid w:val="002F1DA1"/>
    <w:rsid w:val="002F5481"/>
    <w:rsid w:val="00314BC8"/>
    <w:rsid w:val="00324325"/>
    <w:rsid w:val="00325683"/>
    <w:rsid w:val="00327AF0"/>
    <w:rsid w:val="00341DEE"/>
    <w:rsid w:val="0035385E"/>
    <w:rsid w:val="00353E90"/>
    <w:rsid w:val="00360A5D"/>
    <w:rsid w:val="00367E18"/>
    <w:rsid w:val="0037266D"/>
    <w:rsid w:val="00375E27"/>
    <w:rsid w:val="00376A5E"/>
    <w:rsid w:val="00382386"/>
    <w:rsid w:val="00382C30"/>
    <w:rsid w:val="00387220"/>
    <w:rsid w:val="00393C5D"/>
    <w:rsid w:val="003966F2"/>
    <w:rsid w:val="003A3F4B"/>
    <w:rsid w:val="003B3745"/>
    <w:rsid w:val="003C0BF8"/>
    <w:rsid w:val="003C2F99"/>
    <w:rsid w:val="003C37BC"/>
    <w:rsid w:val="003D51AB"/>
    <w:rsid w:val="003D6AB5"/>
    <w:rsid w:val="003E0A7F"/>
    <w:rsid w:val="00407824"/>
    <w:rsid w:val="00407D24"/>
    <w:rsid w:val="00410076"/>
    <w:rsid w:val="00412813"/>
    <w:rsid w:val="00413460"/>
    <w:rsid w:val="00413AC2"/>
    <w:rsid w:val="00413EB7"/>
    <w:rsid w:val="00415569"/>
    <w:rsid w:val="004169B3"/>
    <w:rsid w:val="004170D9"/>
    <w:rsid w:val="004172F8"/>
    <w:rsid w:val="00424308"/>
    <w:rsid w:val="00435D0B"/>
    <w:rsid w:val="00435F58"/>
    <w:rsid w:val="0043772C"/>
    <w:rsid w:val="00441D3A"/>
    <w:rsid w:val="0044236D"/>
    <w:rsid w:val="00464E7E"/>
    <w:rsid w:val="00467D1A"/>
    <w:rsid w:val="00474371"/>
    <w:rsid w:val="00480095"/>
    <w:rsid w:val="0048717B"/>
    <w:rsid w:val="004902D3"/>
    <w:rsid w:val="00492753"/>
    <w:rsid w:val="0049378A"/>
    <w:rsid w:val="00493814"/>
    <w:rsid w:val="00493F48"/>
    <w:rsid w:val="004960B9"/>
    <w:rsid w:val="00496548"/>
    <w:rsid w:val="00496914"/>
    <w:rsid w:val="004A20E8"/>
    <w:rsid w:val="004A26BA"/>
    <w:rsid w:val="004A40F2"/>
    <w:rsid w:val="004A6655"/>
    <w:rsid w:val="004B1858"/>
    <w:rsid w:val="004C01E2"/>
    <w:rsid w:val="004D1EA5"/>
    <w:rsid w:val="004D264D"/>
    <w:rsid w:val="004D6429"/>
    <w:rsid w:val="004E6072"/>
    <w:rsid w:val="004F7A8C"/>
    <w:rsid w:val="00505918"/>
    <w:rsid w:val="005159E7"/>
    <w:rsid w:val="0051685C"/>
    <w:rsid w:val="005233B0"/>
    <w:rsid w:val="00523FC1"/>
    <w:rsid w:val="005276F3"/>
    <w:rsid w:val="00532DAC"/>
    <w:rsid w:val="0054063A"/>
    <w:rsid w:val="00541A4D"/>
    <w:rsid w:val="0054372B"/>
    <w:rsid w:val="00555B2D"/>
    <w:rsid w:val="005610DD"/>
    <w:rsid w:val="00561BD2"/>
    <w:rsid w:val="00570897"/>
    <w:rsid w:val="00570FBF"/>
    <w:rsid w:val="0057205B"/>
    <w:rsid w:val="00583333"/>
    <w:rsid w:val="00585199"/>
    <w:rsid w:val="00591EC3"/>
    <w:rsid w:val="005950A8"/>
    <w:rsid w:val="00596C1A"/>
    <w:rsid w:val="005A08C1"/>
    <w:rsid w:val="005A2C42"/>
    <w:rsid w:val="005A5614"/>
    <w:rsid w:val="005C0695"/>
    <w:rsid w:val="005C1D6A"/>
    <w:rsid w:val="005C2A25"/>
    <w:rsid w:val="005C5014"/>
    <w:rsid w:val="005C679E"/>
    <w:rsid w:val="005D42A7"/>
    <w:rsid w:val="005D4D4C"/>
    <w:rsid w:val="005D7909"/>
    <w:rsid w:val="005E3B6B"/>
    <w:rsid w:val="005E6C26"/>
    <w:rsid w:val="005E6DDA"/>
    <w:rsid w:val="005E7E0B"/>
    <w:rsid w:val="005F08BC"/>
    <w:rsid w:val="005F5840"/>
    <w:rsid w:val="005F7DDF"/>
    <w:rsid w:val="006019B0"/>
    <w:rsid w:val="0060657D"/>
    <w:rsid w:val="00610E95"/>
    <w:rsid w:val="00613557"/>
    <w:rsid w:val="00617B63"/>
    <w:rsid w:val="00620BCD"/>
    <w:rsid w:val="00620F52"/>
    <w:rsid w:val="0062353C"/>
    <w:rsid w:val="00624186"/>
    <w:rsid w:val="00624680"/>
    <w:rsid w:val="0063777B"/>
    <w:rsid w:val="00647761"/>
    <w:rsid w:val="00653A23"/>
    <w:rsid w:val="00654799"/>
    <w:rsid w:val="006554D0"/>
    <w:rsid w:val="006624C6"/>
    <w:rsid w:val="006644C7"/>
    <w:rsid w:val="006710D9"/>
    <w:rsid w:val="006739DD"/>
    <w:rsid w:val="0068130A"/>
    <w:rsid w:val="006845ED"/>
    <w:rsid w:val="00684A49"/>
    <w:rsid w:val="00692290"/>
    <w:rsid w:val="006A1641"/>
    <w:rsid w:val="006A169A"/>
    <w:rsid w:val="006A4AF7"/>
    <w:rsid w:val="006A7A40"/>
    <w:rsid w:val="006B1B2B"/>
    <w:rsid w:val="006B278A"/>
    <w:rsid w:val="006B4421"/>
    <w:rsid w:val="006B48E1"/>
    <w:rsid w:val="006B6CF2"/>
    <w:rsid w:val="006B7186"/>
    <w:rsid w:val="006C01CC"/>
    <w:rsid w:val="006C1832"/>
    <w:rsid w:val="006C2313"/>
    <w:rsid w:val="006C3482"/>
    <w:rsid w:val="006C67B4"/>
    <w:rsid w:val="006C6C96"/>
    <w:rsid w:val="006D1EDC"/>
    <w:rsid w:val="006D432B"/>
    <w:rsid w:val="006E3325"/>
    <w:rsid w:val="006E3EB6"/>
    <w:rsid w:val="006E4390"/>
    <w:rsid w:val="006F2609"/>
    <w:rsid w:val="006F46D3"/>
    <w:rsid w:val="006F5456"/>
    <w:rsid w:val="006F573A"/>
    <w:rsid w:val="00702191"/>
    <w:rsid w:val="00705D65"/>
    <w:rsid w:val="00707B9C"/>
    <w:rsid w:val="0071027D"/>
    <w:rsid w:val="00711A8C"/>
    <w:rsid w:val="00714311"/>
    <w:rsid w:val="00715E1B"/>
    <w:rsid w:val="00721535"/>
    <w:rsid w:val="0072182D"/>
    <w:rsid w:val="00721919"/>
    <w:rsid w:val="00723EA7"/>
    <w:rsid w:val="0072791A"/>
    <w:rsid w:val="007366E2"/>
    <w:rsid w:val="007428C9"/>
    <w:rsid w:val="0074423D"/>
    <w:rsid w:val="00746067"/>
    <w:rsid w:val="0074636E"/>
    <w:rsid w:val="0074721D"/>
    <w:rsid w:val="00751592"/>
    <w:rsid w:val="0075706F"/>
    <w:rsid w:val="0076517E"/>
    <w:rsid w:val="007659E7"/>
    <w:rsid w:val="007748ED"/>
    <w:rsid w:val="0077735E"/>
    <w:rsid w:val="00777D73"/>
    <w:rsid w:val="00781A5E"/>
    <w:rsid w:val="00793D62"/>
    <w:rsid w:val="007961ED"/>
    <w:rsid w:val="007A4647"/>
    <w:rsid w:val="007A4897"/>
    <w:rsid w:val="007A5D80"/>
    <w:rsid w:val="007B0A28"/>
    <w:rsid w:val="007B0AC5"/>
    <w:rsid w:val="007B2735"/>
    <w:rsid w:val="007B34EA"/>
    <w:rsid w:val="007B3DBB"/>
    <w:rsid w:val="007B7E9C"/>
    <w:rsid w:val="007C1CB4"/>
    <w:rsid w:val="007C2CB4"/>
    <w:rsid w:val="007C5425"/>
    <w:rsid w:val="007C55E6"/>
    <w:rsid w:val="007D32DA"/>
    <w:rsid w:val="007D4D1E"/>
    <w:rsid w:val="007E4C5F"/>
    <w:rsid w:val="007F20CC"/>
    <w:rsid w:val="007F2BF3"/>
    <w:rsid w:val="007F43D1"/>
    <w:rsid w:val="007F73E3"/>
    <w:rsid w:val="008045A1"/>
    <w:rsid w:val="008153C4"/>
    <w:rsid w:val="00817F5C"/>
    <w:rsid w:val="0082333F"/>
    <w:rsid w:val="008257D6"/>
    <w:rsid w:val="0084469A"/>
    <w:rsid w:val="0084478C"/>
    <w:rsid w:val="008477E4"/>
    <w:rsid w:val="008514C8"/>
    <w:rsid w:val="00851ABA"/>
    <w:rsid w:val="00851CC0"/>
    <w:rsid w:val="00853B03"/>
    <w:rsid w:val="00854279"/>
    <w:rsid w:val="008562D8"/>
    <w:rsid w:val="00856620"/>
    <w:rsid w:val="0085743A"/>
    <w:rsid w:val="00862485"/>
    <w:rsid w:val="00862500"/>
    <w:rsid w:val="00865A13"/>
    <w:rsid w:val="008660D6"/>
    <w:rsid w:val="00876707"/>
    <w:rsid w:val="00876830"/>
    <w:rsid w:val="00876D65"/>
    <w:rsid w:val="00887E5A"/>
    <w:rsid w:val="00896E42"/>
    <w:rsid w:val="008A1DFE"/>
    <w:rsid w:val="008A551A"/>
    <w:rsid w:val="008B133F"/>
    <w:rsid w:val="008B261D"/>
    <w:rsid w:val="008B6800"/>
    <w:rsid w:val="008C31A7"/>
    <w:rsid w:val="008C4314"/>
    <w:rsid w:val="008C49AF"/>
    <w:rsid w:val="008C794A"/>
    <w:rsid w:val="008D295D"/>
    <w:rsid w:val="008D700F"/>
    <w:rsid w:val="008E52BB"/>
    <w:rsid w:val="008E71EA"/>
    <w:rsid w:val="00900ACB"/>
    <w:rsid w:val="009070DD"/>
    <w:rsid w:val="00907903"/>
    <w:rsid w:val="00920241"/>
    <w:rsid w:val="009210ED"/>
    <w:rsid w:val="009233D7"/>
    <w:rsid w:val="00923B7C"/>
    <w:rsid w:val="009326E4"/>
    <w:rsid w:val="0094095E"/>
    <w:rsid w:val="00943FE8"/>
    <w:rsid w:val="00947275"/>
    <w:rsid w:val="00950872"/>
    <w:rsid w:val="00954FD4"/>
    <w:rsid w:val="009640A7"/>
    <w:rsid w:val="00974252"/>
    <w:rsid w:val="00983B57"/>
    <w:rsid w:val="00991110"/>
    <w:rsid w:val="009A2202"/>
    <w:rsid w:val="009A3134"/>
    <w:rsid w:val="009C218A"/>
    <w:rsid w:val="009C6BDF"/>
    <w:rsid w:val="009D1868"/>
    <w:rsid w:val="009D291C"/>
    <w:rsid w:val="009D79C5"/>
    <w:rsid w:val="009E0E89"/>
    <w:rsid w:val="009E38AF"/>
    <w:rsid w:val="009E6ECA"/>
    <w:rsid w:val="009F2150"/>
    <w:rsid w:val="009F4F9D"/>
    <w:rsid w:val="009F5566"/>
    <w:rsid w:val="009F569F"/>
    <w:rsid w:val="009F5A90"/>
    <w:rsid w:val="00A10C3B"/>
    <w:rsid w:val="00A15758"/>
    <w:rsid w:val="00A25516"/>
    <w:rsid w:val="00A30036"/>
    <w:rsid w:val="00A3323C"/>
    <w:rsid w:val="00A42874"/>
    <w:rsid w:val="00A4751B"/>
    <w:rsid w:val="00A57F08"/>
    <w:rsid w:val="00A66679"/>
    <w:rsid w:val="00A7178A"/>
    <w:rsid w:val="00A76874"/>
    <w:rsid w:val="00A8220B"/>
    <w:rsid w:val="00A87F01"/>
    <w:rsid w:val="00A905F1"/>
    <w:rsid w:val="00A9498C"/>
    <w:rsid w:val="00AA2310"/>
    <w:rsid w:val="00AA59B2"/>
    <w:rsid w:val="00AB4458"/>
    <w:rsid w:val="00AB5E99"/>
    <w:rsid w:val="00AB6F76"/>
    <w:rsid w:val="00AB76FE"/>
    <w:rsid w:val="00AC14AD"/>
    <w:rsid w:val="00AC6F80"/>
    <w:rsid w:val="00AD1B47"/>
    <w:rsid w:val="00AE0066"/>
    <w:rsid w:val="00AE1202"/>
    <w:rsid w:val="00AF4592"/>
    <w:rsid w:val="00B01142"/>
    <w:rsid w:val="00B03195"/>
    <w:rsid w:val="00B118FF"/>
    <w:rsid w:val="00B11AF2"/>
    <w:rsid w:val="00B155E7"/>
    <w:rsid w:val="00B16127"/>
    <w:rsid w:val="00B35C5A"/>
    <w:rsid w:val="00B37173"/>
    <w:rsid w:val="00B40D94"/>
    <w:rsid w:val="00B45CA0"/>
    <w:rsid w:val="00B47830"/>
    <w:rsid w:val="00B506C7"/>
    <w:rsid w:val="00B56DB2"/>
    <w:rsid w:val="00B578BE"/>
    <w:rsid w:val="00B70971"/>
    <w:rsid w:val="00B75324"/>
    <w:rsid w:val="00B83FCF"/>
    <w:rsid w:val="00B96323"/>
    <w:rsid w:val="00BA0F8B"/>
    <w:rsid w:val="00BB3C7F"/>
    <w:rsid w:val="00BB5950"/>
    <w:rsid w:val="00BC1079"/>
    <w:rsid w:val="00BC2B3A"/>
    <w:rsid w:val="00BC7B58"/>
    <w:rsid w:val="00BD331E"/>
    <w:rsid w:val="00BE516F"/>
    <w:rsid w:val="00BE781A"/>
    <w:rsid w:val="00BF4C35"/>
    <w:rsid w:val="00C05FBC"/>
    <w:rsid w:val="00C07579"/>
    <w:rsid w:val="00C077F1"/>
    <w:rsid w:val="00C07C91"/>
    <w:rsid w:val="00C1439C"/>
    <w:rsid w:val="00C150B2"/>
    <w:rsid w:val="00C20FC3"/>
    <w:rsid w:val="00C21BF9"/>
    <w:rsid w:val="00C244AE"/>
    <w:rsid w:val="00C25C6D"/>
    <w:rsid w:val="00C30F18"/>
    <w:rsid w:val="00C30FA3"/>
    <w:rsid w:val="00C36DA8"/>
    <w:rsid w:val="00C41E10"/>
    <w:rsid w:val="00C441FD"/>
    <w:rsid w:val="00C460E5"/>
    <w:rsid w:val="00C463F4"/>
    <w:rsid w:val="00C54B85"/>
    <w:rsid w:val="00C561E0"/>
    <w:rsid w:val="00C5669A"/>
    <w:rsid w:val="00C61A11"/>
    <w:rsid w:val="00C61B1D"/>
    <w:rsid w:val="00C6791E"/>
    <w:rsid w:val="00C67ACC"/>
    <w:rsid w:val="00C70B33"/>
    <w:rsid w:val="00C728E3"/>
    <w:rsid w:val="00C85B0C"/>
    <w:rsid w:val="00C86EAE"/>
    <w:rsid w:val="00C979D6"/>
    <w:rsid w:val="00CA323D"/>
    <w:rsid w:val="00CB179C"/>
    <w:rsid w:val="00CB1CB3"/>
    <w:rsid w:val="00CB2BE6"/>
    <w:rsid w:val="00CB6B9E"/>
    <w:rsid w:val="00CC21B9"/>
    <w:rsid w:val="00CC62E4"/>
    <w:rsid w:val="00CD022D"/>
    <w:rsid w:val="00CD2DF4"/>
    <w:rsid w:val="00CF0888"/>
    <w:rsid w:val="00D00AF2"/>
    <w:rsid w:val="00D113A6"/>
    <w:rsid w:val="00D11DEA"/>
    <w:rsid w:val="00D131D6"/>
    <w:rsid w:val="00D13836"/>
    <w:rsid w:val="00D148B1"/>
    <w:rsid w:val="00D171DA"/>
    <w:rsid w:val="00D21053"/>
    <w:rsid w:val="00D24EAA"/>
    <w:rsid w:val="00D2739C"/>
    <w:rsid w:val="00D27C94"/>
    <w:rsid w:val="00D30029"/>
    <w:rsid w:val="00D34852"/>
    <w:rsid w:val="00D35377"/>
    <w:rsid w:val="00D41915"/>
    <w:rsid w:val="00D45449"/>
    <w:rsid w:val="00D53F1A"/>
    <w:rsid w:val="00D57D4A"/>
    <w:rsid w:val="00D62924"/>
    <w:rsid w:val="00D62FBC"/>
    <w:rsid w:val="00D63AF6"/>
    <w:rsid w:val="00D674D6"/>
    <w:rsid w:val="00D74052"/>
    <w:rsid w:val="00D743C9"/>
    <w:rsid w:val="00D81EB9"/>
    <w:rsid w:val="00D82392"/>
    <w:rsid w:val="00D85376"/>
    <w:rsid w:val="00D938E5"/>
    <w:rsid w:val="00DB31AB"/>
    <w:rsid w:val="00DB4A88"/>
    <w:rsid w:val="00DC0016"/>
    <w:rsid w:val="00DC2CE4"/>
    <w:rsid w:val="00DD0DDA"/>
    <w:rsid w:val="00DD4701"/>
    <w:rsid w:val="00DD645E"/>
    <w:rsid w:val="00DF2C07"/>
    <w:rsid w:val="00E06DAD"/>
    <w:rsid w:val="00E12D76"/>
    <w:rsid w:val="00E12F21"/>
    <w:rsid w:val="00E150E6"/>
    <w:rsid w:val="00E15B5A"/>
    <w:rsid w:val="00E167B1"/>
    <w:rsid w:val="00E1724F"/>
    <w:rsid w:val="00E22C04"/>
    <w:rsid w:val="00E25E46"/>
    <w:rsid w:val="00E31EC4"/>
    <w:rsid w:val="00E326C4"/>
    <w:rsid w:val="00E36910"/>
    <w:rsid w:val="00E36AD6"/>
    <w:rsid w:val="00E53756"/>
    <w:rsid w:val="00E54150"/>
    <w:rsid w:val="00E56419"/>
    <w:rsid w:val="00E5737F"/>
    <w:rsid w:val="00E629BB"/>
    <w:rsid w:val="00E634E8"/>
    <w:rsid w:val="00E643A6"/>
    <w:rsid w:val="00E65315"/>
    <w:rsid w:val="00E73A77"/>
    <w:rsid w:val="00E745EA"/>
    <w:rsid w:val="00E758A1"/>
    <w:rsid w:val="00E758C4"/>
    <w:rsid w:val="00E803B8"/>
    <w:rsid w:val="00E8266B"/>
    <w:rsid w:val="00E82F85"/>
    <w:rsid w:val="00E844A5"/>
    <w:rsid w:val="00E903C0"/>
    <w:rsid w:val="00E91575"/>
    <w:rsid w:val="00E9241F"/>
    <w:rsid w:val="00E94216"/>
    <w:rsid w:val="00E94A8F"/>
    <w:rsid w:val="00E9701B"/>
    <w:rsid w:val="00E97CDE"/>
    <w:rsid w:val="00EA1115"/>
    <w:rsid w:val="00EA50B4"/>
    <w:rsid w:val="00EA617A"/>
    <w:rsid w:val="00EA73BA"/>
    <w:rsid w:val="00EB1182"/>
    <w:rsid w:val="00EC15FE"/>
    <w:rsid w:val="00EC6BB4"/>
    <w:rsid w:val="00EC7922"/>
    <w:rsid w:val="00ED14E7"/>
    <w:rsid w:val="00ED408E"/>
    <w:rsid w:val="00ED70C0"/>
    <w:rsid w:val="00EE3929"/>
    <w:rsid w:val="00EF7A51"/>
    <w:rsid w:val="00F0127C"/>
    <w:rsid w:val="00F060D2"/>
    <w:rsid w:val="00F17609"/>
    <w:rsid w:val="00F20BED"/>
    <w:rsid w:val="00F2268F"/>
    <w:rsid w:val="00F25C8A"/>
    <w:rsid w:val="00F34BBD"/>
    <w:rsid w:val="00F431E5"/>
    <w:rsid w:val="00F50BAB"/>
    <w:rsid w:val="00F535B5"/>
    <w:rsid w:val="00F551ED"/>
    <w:rsid w:val="00F570CD"/>
    <w:rsid w:val="00F73BDE"/>
    <w:rsid w:val="00F811E6"/>
    <w:rsid w:val="00F81A37"/>
    <w:rsid w:val="00F82F64"/>
    <w:rsid w:val="00F83248"/>
    <w:rsid w:val="00F87964"/>
    <w:rsid w:val="00F94C24"/>
    <w:rsid w:val="00F95467"/>
    <w:rsid w:val="00FA188F"/>
    <w:rsid w:val="00FA3C2A"/>
    <w:rsid w:val="00FA6535"/>
    <w:rsid w:val="00FA7EBB"/>
    <w:rsid w:val="00FB3B83"/>
    <w:rsid w:val="00FC0466"/>
    <w:rsid w:val="00FC32FE"/>
    <w:rsid w:val="00FC4933"/>
    <w:rsid w:val="00FC57EE"/>
    <w:rsid w:val="00FD5055"/>
    <w:rsid w:val="00FE0621"/>
    <w:rsid w:val="00FE103E"/>
    <w:rsid w:val="00FE2CF4"/>
    <w:rsid w:val="00FE552D"/>
    <w:rsid w:val="00FF05D9"/>
    <w:rsid w:val="00FF7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2DB894"/>
  <w15:docId w15:val="{9DF54F76-DF34-49F1-96CA-FEDFFCB7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C04"/>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link w:val="FootnoteTextChar"/>
    <w:uiPriority w:val="99"/>
    <w:rsid w:val="00E9241F"/>
    <w:rPr>
      <w:sz w:val="20"/>
      <w:szCs w:val="20"/>
    </w:rPr>
  </w:style>
  <w:style w:type="character" w:styleId="FootnoteReference">
    <w:name w:val="footnote reference"/>
    <w:uiPriority w:val="99"/>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paragraph" w:styleId="PlainText">
    <w:name w:val="Plain Text"/>
    <w:basedOn w:val="Normal"/>
    <w:link w:val="PlainTextChar"/>
    <w:uiPriority w:val="99"/>
    <w:unhideWhenUsed/>
    <w:rsid w:val="001251AC"/>
    <w:pPr>
      <w:overflowPunct w:val="0"/>
      <w:autoSpaceDE w:val="0"/>
      <w:autoSpaceDN w:val="0"/>
    </w:pPr>
    <w:rPr>
      <w:rFonts w:ascii="Courier New" w:eastAsia="Calibri" w:hAnsi="Courier New" w:cs="Courier New"/>
      <w:sz w:val="20"/>
      <w:szCs w:val="20"/>
    </w:rPr>
  </w:style>
  <w:style w:type="character" w:customStyle="1" w:styleId="PlainTextChar">
    <w:name w:val="Plain Text Char"/>
    <w:link w:val="PlainText"/>
    <w:uiPriority w:val="99"/>
    <w:rsid w:val="001251AC"/>
    <w:rPr>
      <w:rFonts w:ascii="Courier New" w:eastAsia="Calibri" w:hAnsi="Courier New" w:cs="Courier New"/>
    </w:rPr>
  </w:style>
  <w:style w:type="paragraph" w:styleId="ListParagraph">
    <w:name w:val="List Paragraph"/>
    <w:basedOn w:val="Normal"/>
    <w:uiPriority w:val="34"/>
    <w:qFormat/>
    <w:rsid w:val="001251AC"/>
    <w:pPr>
      <w:ind w:left="720"/>
    </w:pPr>
    <w:rPr>
      <w:rFonts w:eastAsia="Calibri"/>
    </w:rPr>
  </w:style>
  <w:style w:type="character" w:customStyle="1" w:styleId="FooterChar">
    <w:name w:val="Footer Char"/>
    <w:link w:val="Footer"/>
    <w:uiPriority w:val="99"/>
    <w:rsid w:val="00A10C3B"/>
    <w:rPr>
      <w:sz w:val="24"/>
    </w:rPr>
  </w:style>
  <w:style w:type="character" w:styleId="CommentReference">
    <w:name w:val="annotation reference"/>
    <w:uiPriority w:val="99"/>
    <w:rsid w:val="002C38A1"/>
    <w:rPr>
      <w:sz w:val="16"/>
      <w:szCs w:val="16"/>
    </w:rPr>
  </w:style>
  <w:style w:type="paragraph" w:styleId="CommentText">
    <w:name w:val="annotation text"/>
    <w:basedOn w:val="Normal"/>
    <w:link w:val="CommentTextChar"/>
    <w:rsid w:val="002C38A1"/>
    <w:rPr>
      <w:sz w:val="20"/>
      <w:szCs w:val="20"/>
    </w:rPr>
  </w:style>
  <w:style w:type="character" w:customStyle="1" w:styleId="CommentTextChar">
    <w:name w:val="Comment Text Char"/>
    <w:basedOn w:val="DefaultParagraphFont"/>
    <w:link w:val="CommentText"/>
    <w:rsid w:val="002C38A1"/>
  </w:style>
  <w:style w:type="paragraph" w:styleId="CommentSubject">
    <w:name w:val="annotation subject"/>
    <w:basedOn w:val="CommentText"/>
    <w:next w:val="CommentText"/>
    <w:link w:val="CommentSubjectChar"/>
    <w:rsid w:val="002C38A1"/>
    <w:rPr>
      <w:b/>
      <w:bCs/>
    </w:rPr>
  </w:style>
  <w:style w:type="character" w:customStyle="1" w:styleId="CommentSubjectChar">
    <w:name w:val="Comment Subject Char"/>
    <w:link w:val="CommentSubject"/>
    <w:rsid w:val="002C38A1"/>
    <w:rPr>
      <w:b/>
      <w:bCs/>
    </w:rPr>
  </w:style>
  <w:style w:type="paragraph" w:styleId="ListBullet">
    <w:name w:val="List Bullet"/>
    <w:basedOn w:val="Normal"/>
    <w:rsid w:val="00EC6BB4"/>
    <w:pPr>
      <w:numPr>
        <w:numId w:val="1"/>
      </w:numPr>
    </w:pPr>
  </w:style>
  <w:style w:type="paragraph" w:styleId="NoSpacing">
    <w:name w:val="No Spacing"/>
    <w:uiPriority w:val="1"/>
    <w:qFormat/>
    <w:rsid w:val="002D456E"/>
    <w:rPr>
      <w:rFonts w:ascii="Calibri" w:eastAsia="Calibri" w:hAnsi="Calibri"/>
      <w:sz w:val="22"/>
      <w:szCs w:val="22"/>
    </w:rPr>
  </w:style>
  <w:style w:type="paragraph" w:customStyle="1" w:styleId="body">
    <w:name w:val="body"/>
    <w:basedOn w:val="Normal"/>
    <w:rsid w:val="002D456E"/>
    <w:pPr>
      <w:spacing w:before="100" w:beforeAutospacing="1" w:after="100" w:afterAutospacing="1" w:line="225" w:lineRule="atLeast"/>
    </w:pPr>
    <w:rPr>
      <w:rFonts w:ascii="Verdana" w:hAnsi="Verdana"/>
      <w:color w:val="112E7C"/>
      <w:sz w:val="18"/>
      <w:szCs w:val="18"/>
    </w:rPr>
  </w:style>
  <w:style w:type="character" w:customStyle="1" w:styleId="FootnoteTextChar">
    <w:name w:val="Footnote Text Char"/>
    <w:link w:val="FootnoteText"/>
    <w:uiPriority w:val="99"/>
    <w:rsid w:val="002D456E"/>
  </w:style>
  <w:style w:type="character" w:customStyle="1" w:styleId="A1">
    <w:name w:val="A1"/>
    <w:uiPriority w:val="99"/>
    <w:rsid w:val="002D456E"/>
    <w:rPr>
      <w:rFonts w:cs="DIN"/>
      <w:color w:val="FFC609"/>
      <w:sz w:val="26"/>
      <w:szCs w:val="26"/>
    </w:rPr>
  </w:style>
  <w:style w:type="paragraph" w:customStyle="1" w:styleId="Default">
    <w:name w:val="Default"/>
    <w:rsid w:val="00286017"/>
    <w:pPr>
      <w:autoSpaceDE w:val="0"/>
      <w:autoSpaceDN w:val="0"/>
      <w:adjustRightInd w:val="0"/>
    </w:pPr>
    <w:rPr>
      <w:rFonts w:eastAsia="Calibri"/>
      <w:color w:val="000000"/>
      <w:sz w:val="24"/>
      <w:szCs w:val="24"/>
    </w:rPr>
  </w:style>
  <w:style w:type="paragraph" w:customStyle="1" w:styleId="CM13">
    <w:name w:val="CM13"/>
    <w:basedOn w:val="Default"/>
    <w:next w:val="Default"/>
    <w:uiPriority w:val="99"/>
    <w:rsid w:val="00286017"/>
    <w:rPr>
      <w:color w:val="auto"/>
    </w:rPr>
  </w:style>
  <w:style w:type="character" w:styleId="FollowedHyperlink">
    <w:name w:val="FollowedHyperlink"/>
    <w:basedOn w:val="DefaultParagraphFont"/>
    <w:semiHidden/>
    <w:unhideWhenUsed/>
    <w:rsid w:val="009C6BDF"/>
    <w:rPr>
      <w:color w:val="800080" w:themeColor="followedHyperlink"/>
      <w:u w:val="single"/>
    </w:rPr>
  </w:style>
  <w:style w:type="table" w:styleId="TableGrid">
    <w:name w:val="Table Grid"/>
    <w:basedOn w:val="TableNormal"/>
    <w:uiPriority w:val="59"/>
    <w:rsid w:val="007F73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73E3"/>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7F73E3"/>
    <w:rPr>
      <w:rFonts w:ascii="Calibri" w:eastAsia="Calibri" w:hAnsi="Calibri"/>
    </w:rPr>
  </w:style>
  <w:style w:type="character" w:styleId="EndnoteReference">
    <w:name w:val="endnote reference"/>
    <w:basedOn w:val="DefaultParagraphFont"/>
    <w:uiPriority w:val="99"/>
    <w:semiHidden/>
    <w:unhideWhenUsed/>
    <w:rsid w:val="007F73E3"/>
    <w:rPr>
      <w:vertAlign w:val="superscript"/>
    </w:rPr>
  </w:style>
  <w:style w:type="table" w:customStyle="1" w:styleId="CDFIAlternatingColumns">
    <w:name w:val="CDFI Alternating Columns"/>
    <w:basedOn w:val="TableNormal"/>
    <w:uiPriority w:val="99"/>
    <w:rsid w:val="000677C6"/>
    <w:rPr>
      <w:rFonts w:ascii="Arial" w:hAnsi="Arial" w:eastAsiaTheme="minorEastAsia" w:cstheme="minorBidi"/>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Revision">
    <w:name w:val="Revision"/>
    <w:hidden/>
    <w:uiPriority w:val="99"/>
    <w:semiHidden/>
    <w:rsid w:val="004A40F2"/>
    <w:rPr>
      <w:sz w:val="24"/>
      <w:szCs w:val="24"/>
    </w:rPr>
  </w:style>
  <w:style w:type="character" w:styleId="UnresolvedMention">
    <w:name w:val="Unresolved Mention"/>
    <w:basedOn w:val="DefaultParagraphFont"/>
    <w:uiPriority w:val="99"/>
    <w:semiHidden/>
    <w:unhideWhenUsed/>
    <w:rsid w:val="005F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132051.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8" ma:contentTypeDescription="Create a new document." ma:contentTypeScope="" ma:versionID="2b07485af792c500fd1af71a6c2c3418">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xmlns:ns6="f5740cfc-b89d-4d23-a0f5-9255a28a5e32" targetNamespace="http://schemas.microsoft.com/office/2006/metadata/properties" ma:root="true" ma:fieldsID="a03c87301b8e950969050a94926e0bdc" ns1:_="" ns2:_="" ns3:_="" ns4:_="" ns5:_="" ns6:_="">
    <xsd:import namespace="http://schemas.microsoft.com/sharepoint/v3"/>
    <xsd:import namespace="1ebe05a5-f381-48af-bc27-8e5e2442db3e"/>
    <xsd:import namespace="8f418ccd-e58d-4230-bf28-9ba4dc663030"/>
    <xsd:import namespace="52222ef0-b167-44f5-92f7-438fda0857cd"/>
    <xsd:import namespace="http://schemas.microsoft.com/sharepoint/v4"/>
    <xsd:import namespace="f5740cfc-b89d-4d23-a0f5-9255a28a5e32"/>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ME Documents - External"/>
          <xsd:enumeration value="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OCPE Documents - External"/>
          <xsd:enumeration value="OCPE Documents - In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scription="" ma:format="Dropdown" ma:internalName="Business_x0020_Unit">
      <xsd:simpleType>
        <xsd:restriction base="dms:Choice">
          <xsd:enumeration value="Office of the Director"/>
          <xsd:enumeration value="Office of the Deputy Director"/>
          <xsd:enumeration value="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ffice of Certification Policy and Evaluation"/>
          <xsd:enumeration value="Operations"/>
          <xsd:enumeration value="Program: BEA"/>
          <xsd:enumeration value="Program: BG"/>
          <xsd:enumeration value="Program: CDFI"/>
          <xsd:enumeration value="Program: CMF"/>
          <xsd:enumeration value="Program: ERP"/>
          <xsd:enumeration value="Program: NACA"/>
          <xsd:enumeration value="Program: NMTC"/>
          <xsd:enumeration value="Program: SDLP"/>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0cfc-b89d-4d23-a0f5-9255a28a5e3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DOCDFI-176-1744</_dlc_DocId>
    <_dlc_DocIdUrl xmlns="52222ef0-b167-44f5-92f7-438fda0857cd">
      <Url>https://my.treasury.gov/collab/CDFI/clearance/_layouts/15/DocIdRedir.aspx?ID=DOCDFI-176-1744</Url>
      <Description>DOCDFI-176-1744</Description>
    </_dlc_DocIdUrl>
    <IconOverlay xmlns="http://schemas.microsoft.com/sharepoint/v4" xsi:nil="true"/>
    <General_x0020_Notes xmlns="1ebe05a5-f381-48af-bc27-8e5e2442db3e">Please review and provide comments</General_x0020_Notes>
    <Business_x0020_Unit xmlns="8f418ccd-e58d-4230-bf28-9ba4dc663030">Compliance, Monitoring and Evaluation</Business_x0020_Unit>
    <Business_x0020_Unit_x0020_Notes xmlns="1ebe05a5-f381-48af-bc27-8e5e2442db3e">OCME is requesting review from CMF, CIO, FS&amp;R, LEA and OLC Only.</Business_x0020_Unit_x0020_Notes>
    <Deadline xmlns="1ebe05a5-f381-48af-bc27-8e5e2442db3e">2024-10-01T04:00:00+00:00</Deadline>
    <Document_x0020_Type xmlns="1ebe05a5-f381-48af-bc27-8e5e2442db3e">CME Documents - External</Document_x0020_Type>
    <Send_x0020_Email_x0020_to_x0020_Reviewers xmlns="1ebe05a5-f381-48af-bc27-8e5e2442db3e">false</Send_x0020_Email_x0020_to_x0020_Reviewers>
    <Document_x0020_Owner xmlns="1ebe05a5-f381-48af-bc27-8e5e2442db3e">
      <UserInfo>
        <DisplayName>Hunt, Heather</DisplayName>
        <AccountId>10019</AccountId>
        <AccountType/>
      </UserInfo>
    </Document_x0020_Owner>
    <_x0035_08_x0020_Compliant xmlns="1ebe05a5-f381-48af-bc27-8e5e2442db3e">false</_x0035_08_x0020_Complia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CDC3-D0A7-45F7-81BE-88F010090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f5740cfc-b89d-4d23-a0f5-9255a28a5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B5CD2-F066-49CB-B927-EB671A5DA569}">
  <ds:schemaRefs>
    <ds:schemaRef ds:uri="http://schemas.microsoft.com/sharepoint/events"/>
  </ds:schemaRefs>
</ds:datastoreItem>
</file>

<file path=customXml/itemProps3.xml><?xml version="1.0" encoding="utf-8"?>
<ds:datastoreItem xmlns:ds="http://schemas.openxmlformats.org/officeDocument/2006/customXml" ds:itemID="{F0F0C2F3-DECB-4D5C-8CAD-C17732F99C03}">
  <ds:schemaRefs>
    <ds:schemaRef ds:uri="http://schemas.microsoft.com/sharepoint/v3/contenttype/forms"/>
  </ds:schemaRefs>
</ds:datastoreItem>
</file>

<file path=customXml/itemProps4.xml><?xml version="1.0" encoding="utf-8"?>
<ds:datastoreItem xmlns:ds="http://schemas.openxmlformats.org/officeDocument/2006/customXml" ds:itemID="{AC60AC90-4C2B-431A-8E47-E384766DA381}">
  <ds:schemaRefs>
    <ds:schemaRef ds:uri="http://schemas.openxmlformats.org/package/2006/metadata/core-properties"/>
    <ds:schemaRef ds:uri="http://schemas.microsoft.com/office/2006/metadata/properties"/>
    <ds:schemaRef ds:uri="8f418ccd-e58d-4230-bf28-9ba4dc663030"/>
    <ds:schemaRef ds:uri="http://purl.org/dc/elements/1.1/"/>
    <ds:schemaRef ds:uri="http://purl.org/dc/dcmitype/"/>
    <ds:schemaRef ds:uri="f5740cfc-b89d-4d23-a0f5-9255a28a5e32"/>
    <ds:schemaRef ds:uri="http://schemas.microsoft.com/office/infopath/2007/PartnerControls"/>
    <ds:schemaRef ds:uri="http://schemas.microsoft.com/sharepoint/v4"/>
    <ds:schemaRef ds:uri="http://schemas.microsoft.com/office/2006/documentManagement/types"/>
    <ds:schemaRef ds:uri="http://schemas.microsoft.com/sharepoint/v3"/>
    <ds:schemaRef ds:uri="http://www.w3.org/XML/1998/namespace"/>
    <ds:schemaRef ds:uri="1ebe05a5-f381-48af-bc27-8e5e2442db3e"/>
    <ds:schemaRef ds:uri="52222ef0-b167-44f5-92f7-438fda0857cd"/>
    <ds:schemaRef ds:uri="http://purl.org/dc/terms/"/>
  </ds:schemaRefs>
</ds:datastoreItem>
</file>

<file path=customXml/itemProps5.xml><?xml version="1.0" encoding="utf-8"?>
<ds:datastoreItem xmlns:ds="http://schemas.openxmlformats.org/officeDocument/2006/customXml" ds:itemID="{49605A00-DB61-427C-BF8F-3F9B135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1809</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CMF Performance Report PRA Approval Package</vt:lpstr>
    </vt:vector>
  </TitlesOfParts>
  <Company>U.S. Treasury Department</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CMF Performance Report PRA Approval Package</dc:title>
  <dc:creator>MLENNON</dc:creator>
  <cp:lastModifiedBy>Clark, Spencer</cp:lastModifiedBy>
  <cp:revision>2</cp:revision>
  <cp:lastPrinted>2013-11-26T15:07:00Z</cp:lastPrinted>
  <dcterms:created xsi:type="dcterms:W3CDTF">2024-11-04T22:06:00Z</dcterms:created>
  <dcterms:modified xsi:type="dcterms:W3CDTF">2024-11-04T22:06:00Z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MSIP_Label_c9a1b251-8b9e-4059-8b96-32f7259f1931_ActionId">
    <vt:lpwstr>1dc9ac82-590b-478d-aaa6-e3237fccca99</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2024-10-10T13:47:04Z</vt:lpwstr>
  </property>
  <property fmtid="{D5CDD505-2E9C-101B-9397-08002B2CF9AE}" pid="9" name="MSIP_Label_c9a1b251-8b9e-4059-8b96-32f7259f1931_SiteId">
    <vt:lpwstr>ab5eeca9-2540-4909-a9ee-17cb3edf5cec</vt:lpwstr>
  </property>
  <property fmtid="{D5CDD505-2E9C-101B-9397-08002B2CF9AE}" pid="10" name="WorkflowChangePath">
    <vt:lpwstr>b04a9029-fd68-448d-ae47-cf535932ed2b,4;b04a9029-fd68-448d-ae47-cf535932ed2b,11;b04a9029-fd68-448d-ae47-cf535932ed2b,14;b04a9029-fd68-448d-ae47-cf535932ed2b,17;b04a9029-fd68-448d-ae47-cf535932ed2b,23;b04a9029-fd68-448d-ae47-cf535932ed2b,26;</vt:lpwstr>
  </property>
  <property fmtid="{D5CDD505-2E9C-101B-9397-08002B2CF9AE}" pid="11" name="_dlc_DocIdItemGuid">
    <vt:lpwstr>a73c3394-7bc4-450e-94e3-e9b7fac42664</vt:lpwstr>
  </property>
</Properties>
</file>