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FA1D8D" w:rsidRPr="00822055" w:rsidP="7E33775C" w14:paraId="7C1BA59C" w14:textId="77777777">
      <w:pPr>
        <w:jc w:val="center"/>
        <w:rPr>
          <w:rFonts w:asciiTheme="minorHAnsi" w:hAnsiTheme="minorHAnsi" w:cstheme="minorHAnsi"/>
          <w:b/>
          <w:bCs/>
          <w:sz w:val="24"/>
          <w:szCs w:val="24"/>
        </w:rPr>
      </w:pPr>
      <w:r w:rsidRPr="00822055">
        <w:rPr>
          <w:rFonts w:asciiTheme="minorHAnsi" w:hAnsiTheme="minorHAnsi" w:cstheme="minorHAnsi"/>
          <w:b/>
          <w:bCs/>
          <w:sz w:val="24"/>
          <w:szCs w:val="24"/>
        </w:rPr>
        <w:t>SUPPORTING STATEMENT OUTLINE</w:t>
      </w:r>
    </w:p>
    <w:p w:rsidR="009C2D55" w:rsidRPr="00822055" w:rsidP="7E33775C" w14:paraId="5907D589" w14:textId="17719988">
      <w:pPr>
        <w:jc w:val="center"/>
        <w:rPr>
          <w:rFonts w:asciiTheme="minorHAnsi" w:hAnsiTheme="minorHAnsi" w:cstheme="minorHAnsi"/>
          <w:b/>
          <w:bCs/>
          <w:color w:val="000000" w:themeColor="text1"/>
          <w:sz w:val="24"/>
          <w:szCs w:val="24"/>
        </w:rPr>
      </w:pPr>
      <w:r w:rsidRPr="00822055">
        <w:rPr>
          <w:rFonts w:asciiTheme="minorHAnsi" w:hAnsiTheme="minorHAnsi" w:cstheme="minorHAnsi"/>
          <w:b/>
          <w:bCs/>
          <w:sz w:val="24"/>
          <w:szCs w:val="24"/>
        </w:rPr>
        <w:t>NATIONAL RECREATIONAL BOATING SAFETY SURVEY</w:t>
      </w:r>
      <w:r w:rsidRPr="00822055" w:rsidR="00437069">
        <w:rPr>
          <w:rFonts w:asciiTheme="minorHAnsi" w:hAnsiTheme="minorHAnsi" w:cstheme="minorHAnsi"/>
          <w:b/>
          <w:bCs/>
        </w:rPr>
        <w:br/>
      </w:r>
      <w:r w:rsidRPr="00822055" w:rsidR="796A6759">
        <w:rPr>
          <w:rFonts w:asciiTheme="minorHAnsi" w:hAnsiTheme="minorHAnsi" w:cstheme="minorHAnsi"/>
          <w:b/>
          <w:bCs/>
          <w:color w:val="000000" w:themeColor="text1"/>
          <w:sz w:val="24"/>
          <w:szCs w:val="24"/>
        </w:rPr>
        <w:t>OMB Control No.: 1625-0089</w:t>
      </w:r>
    </w:p>
    <w:p w:rsidR="009C2D55" w:rsidRPr="00822055" w:rsidP="7E33775C" w14:paraId="1D4F0AE7" w14:textId="77777777">
      <w:pPr>
        <w:jc w:val="center"/>
        <w:rPr>
          <w:rFonts w:asciiTheme="minorHAnsi" w:hAnsiTheme="minorHAnsi" w:cstheme="minorHAnsi"/>
          <w:b/>
          <w:bCs/>
          <w:sz w:val="24"/>
          <w:szCs w:val="24"/>
        </w:rPr>
      </w:pPr>
      <w:r w:rsidRPr="00822055">
        <w:rPr>
          <w:rFonts w:asciiTheme="minorHAnsi" w:hAnsiTheme="minorHAnsi" w:cstheme="minorHAnsi"/>
          <w:b/>
          <w:bCs/>
          <w:sz w:val="24"/>
          <w:szCs w:val="24"/>
        </w:rPr>
        <w:t>SUPPORTING</w:t>
      </w:r>
      <w:r w:rsidRPr="00822055">
        <w:rPr>
          <w:rFonts w:asciiTheme="minorHAnsi" w:hAnsiTheme="minorHAnsi" w:cstheme="minorHAnsi"/>
          <w:b/>
          <w:bCs/>
          <w:spacing w:val="-3"/>
          <w:sz w:val="24"/>
          <w:szCs w:val="24"/>
        </w:rPr>
        <w:t xml:space="preserve"> </w:t>
      </w:r>
      <w:r w:rsidRPr="00822055">
        <w:rPr>
          <w:rFonts w:asciiTheme="minorHAnsi" w:hAnsiTheme="minorHAnsi" w:cstheme="minorHAnsi"/>
          <w:b/>
          <w:bCs/>
          <w:sz w:val="24"/>
          <w:szCs w:val="24"/>
        </w:rPr>
        <w:t>STATEMENT</w:t>
      </w:r>
      <w:r w:rsidRPr="00822055">
        <w:rPr>
          <w:rFonts w:asciiTheme="minorHAnsi" w:hAnsiTheme="minorHAnsi" w:cstheme="minorHAnsi"/>
          <w:b/>
          <w:bCs/>
          <w:spacing w:val="-2"/>
          <w:sz w:val="24"/>
          <w:szCs w:val="24"/>
        </w:rPr>
        <w:t xml:space="preserve"> </w:t>
      </w:r>
      <w:r w:rsidRPr="00822055">
        <w:rPr>
          <w:rFonts w:asciiTheme="minorHAnsi" w:hAnsiTheme="minorHAnsi" w:cstheme="minorHAnsi"/>
          <w:b/>
          <w:bCs/>
          <w:sz w:val="24"/>
          <w:szCs w:val="24"/>
        </w:rPr>
        <w:t>–</w:t>
      </w:r>
      <w:r w:rsidRPr="00822055">
        <w:rPr>
          <w:rFonts w:asciiTheme="minorHAnsi" w:hAnsiTheme="minorHAnsi" w:cstheme="minorHAnsi"/>
          <w:b/>
          <w:bCs/>
          <w:spacing w:val="-4"/>
          <w:sz w:val="24"/>
          <w:szCs w:val="24"/>
        </w:rPr>
        <w:t xml:space="preserve"> </w:t>
      </w:r>
      <w:r w:rsidRPr="00822055">
        <w:rPr>
          <w:rFonts w:asciiTheme="minorHAnsi" w:hAnsiTheme="minorHAnsi" w:cstheme="minorHAnsi"/>
          <w:b/>
          <w:bCs/>
          <w:sz w:val="24"/>
          <w:szCs w:val="24"/>
        </w:rPr>
        <w:t xml:space="preserve">PART </w:t>
      </w:r>
      <w:r w:rsidRPr="00822055">
        <w:rPr>
          <w:rFonts w:asciiTheme="minorHAnsi" w:hAnsiTheme="minorHAnsi" w:cstheme="minorHAnsi"/>
          <w:b/>
          <w:bCs/>
          <w:spacing w:val="-10"/>
          <w:sz w:val="24"/>
          <w:szCs w:val="24"/>
        </w:rPr>
        <w:t>A</w:t>
      </w:r>
    </w:p>
    <w:p w:rsidR="009C2D55" w:rsidRPr="003C7060" w:rsidP="7E33775C" w14:paraId="7C620EBD" w14:textId="77777777">
      <w:pPr>
        <w:pStyle w:val="BodyText"/>
        <w:spacing w:before="8"/>
        <w:rPr>
          <w:rFonts w:asciiTheme="minorHAnsi" w:hAnsiTheme="minorHAnsi" w:cstheme="minorHAnsi"/>
          <w:sz w:val="17"/>
          <w:szCs w:val="17"/>
        </w:rPr>
      </w:pPr>
    </w:p>
    <w:p w:rsidR="009C2D55" w:rsidRPr="003C7060" w:rsidP="7E33775C" w14:paraId="58DC6C28" w14:textId="77777777">
      <w:pPr>
        <w:pStyle w:val="BodyText"/>
        <w:spacing w:before="90"/>
        <w:ind w:left="580"/>
        <w:rPr>
          <w:rFonts w:asciiTheme="minorHAnsi" w:hAnsiTheme="minorHAnsi" w:cstheme="minorHAnsi"/>
          <w:u w:val="single"/>
        </w:rPr>
      </w:pPr>
      <w:r w:rsidRPr="003C7060">
        <w:rPr>
          <w:rFonts w:asciiTheme="minorHAnsi" w:hAnsiTheme="minorHAnsi" w:cstheme="minorHAnsi"/>
        </w:rPr>
        <w:t>A.</w:t>
      </w:r>
      <w:r w:rsidRPr="003C7060">
        <w:rPr>
          <w:rFonts w:asciiTheme="minorHAnsi" w:hAnsiTheme="minorHAnsi" w:cstheme="minorHAnsi"/>
          <w:spacing w:val="55"/>
        </w:rPr>
        <w:t xml:space="preserve"> </w:t>
      </w:r>
      <w:r w:rsidRPr="003C7060">
        <w:rPr>
          <w:rFonts w:asciiTheme="minorHAnsi" w:hAnsiTheme="minorHAnsi" w:cstheme="minorHAnsi"/>
          <w:spacing w:val="-2"/>
          <w:u w:val="single"/>
        </w:rPr>
        <w:t>JUSTIFICATION</w:t>
      </w:r>
    </w:p>
    <w:p w:rsidR="009C2D55" w:rsidRPr="003C7060" w:rsidP="7E33775C" w14:paraId="1B2E3258" w14:textId="77777777">
      <w:pPr>
        <w:pStyle w:val="BodyText"/>
        <w:spacing w:before="4"/>
        <w:rPr>
          <w:rFonts w:asciiTheme="minorHAnsi" w:hAnsiTheme="minorHAnsi" w:cstheme="minorHAnsi"/>
          <w:sz w:val="17"/>
          <w:szCs w:val="17"/>
        </w:rPr>
      </w:pPr>
    </w:p>
    <w:p w:rsidR="009C2D55" w:rsidRPr="003C7060" w:rsidP="7E33775C" w14:paraId="564E1E74" w14:textId="709737FD">
      <w:pPr>
        <w:pStyle w:val="ListParagraph"/>
        <w:numPr>
          <w:ilvl w:val="0"/>
          <w:numId w:val="4"/>
        </w:numPr>
        <w:tabs>
          <w:tab w:val="left" w:pos="1301"/>
        </w:tabs>
        <w:spacing w:before="90"/>
        <w:rPr>
          <w:rFonts w:asciiTheme="minorHAnsi" w:hAnsiTheme="minorHAnsi" w:cstheme="minorHAnsi"/>
          <w:sz w:val="24"/>
          <w:szCs w:val="24"/>
        </w:rPr>
      </w:pPr>
      <w:r w:rsidRPr="003C7060">
        <w:rPr>
          <w:rFonts w:asciiTheme="minorHAnsi" w:hAnsiTheme="minorHAnsi" w:cstheme="minorHAnsi"/>
          <w:sz w:val="24"/>
          <w:szCs w:val="24"/>
          <w:u w:val="single"/>
        </w:rPr>
        <w:t>Need</w:t>
      </w:r>
      <w:r w:rsidRPr="003C7060">
        <w:rPr>
          <w:rFonts w:asciiTheme="minorHAnsi" w:hAnsiTheme="minorHAnsi" w:cstheme="minorHAnsi"/>
          <w:spacing w:val="-4"/>
          <w:sz w:val="24"/>
          <w:szCs w:val="24"/>
          <w:u w:val="single"/>
        </w:rPr>
        <w:t xml:space="preserve"> </w:t>
      </w:r>
      <w:r w:rsidRPr="003C7060">
        <w:rPr>
          <w:rFonts w:asciiTheme="minorHAnsi" w:hAnsiTheme="minorHAnsi" w:cstheme="minorHAnsi"/>
          <w:sz w:val="24"/>
          <w:szCs w:val="24"/>
          <w:u w:val="single"/>
        </w:rPr>
        <w:t>for the Information</w:t>
      </w:r>
      <w:r w:rsidRPr="003C7060">
        <w:rPr>
          <w:rFonts w:asciiTheme="minorHAnsi" w:hAnsiTheme="minorHAnsi" w:cstheme="minorHAnsi"/>
          <w:spacing w:val="-9"/>
          <w:sz w:val="24"/>
          <w:szCs w:val="24"/>
          <w:u w:val="single"/>
        </w:rPr>
        <w:t xml:space="preserve"> </w:t>
      </w:r>
      <w:r w:rsidRPr="003C7060">
        <w:rPr>
          <w:rFonts w:asciiTheme="minorHAnsi" w:hAnsiTheme="minorHAnsi" w:cstheme="minorHAnsi"/>
          <w:spacing w:val="-2"/>
          <w:sz w:val="24"/>
          <w:szCs w:val="24"/>
          <w:u w:val="single"/>
        </w:rPr>
        <w:t>Collection</w:t>
      </w:r>
      <w:r w:rsidRPr="003C7060" w:rsidR="000B4494">
        <w:rPr>
          <w:rFonts w:asciiTheme="minorHAnsi" w:hAnsiTheme="minorHAnsi" w:cstheme="minorHAnsi"/>
          <w:spacing w:val="-2"/>
          <w:sz w:val="24"/>
          <w:szCs w:val="24"/>
          <w:u w:val="single"/>
        </w:rPr>
        <w:br/>
      </w:r>
    </w:p>
    <w:p w:rsidR="00B73D6C" w:rsidRPr="003C7060" w:rsidP="7E33775C" w14:paraId="6532938A" w14:textId="22FC5280">
      <w:pPr>
        <w:ind w:firstLine="720"/>
        <w:rPr>
          <w:rFonts w:asciiTheme="minorHAnsi" w:hAnsiTheme="minorHAnsi" w:cstheme="minorHAnsi"/>
          <w:sz w:val="24"/>
          <w:szCs w:val="24"/>
        </w:rPr>
      </w:pPr>
      <w:r w:rsidRPr="003C7060">
        <w:rPr>
          <w:rFonts w:asciiTheme="minorHAnsi" w:hAnsiTheme="minorHAnsi" w:cstheme="minorHAnsi"/>
          <w:sz w:val="24"/>
          <w:szCs w:val="24"/>
        </w:rPr>
        <w:t xml:space="preserve">The objective of the U.S. Coast Guard’s </w:t>
      </w:r>
      <w:bookmarkStart w:id="0" w:name="OLE_LINK58"/>
      <w:r w:rsidRPr="003C7060">
        <w:rPr>
          <w:rFonts w:asciiTheme="minorHAnsi" w:hAnsiTheme="minorHAnsi" w:cstheme="minorHAnsi"/>
          <w:sz w:val="24"/>
          <w:szCs w:val="24"/>
        </w:rPr>
        <w:t xml:space="preserve">(USCG) National Recreational Boating Safety </w:t>
      </w:r>
      <w:bookmarkEnd w:id="0"/>
      <w:r w:rsidRPr="003C7060">
        <w:rPr>
          <w:rFonts w:asciiTheme="minorHAnsi" w:hAnsiTheme="minorHAnsi" w:cstheme="minorHAnsi"/>
          <w:sz w:val="24"/>
          <w:szCs w:val="24"/>
        </w:rPr>
        <w:t>(NRBS) program is to ensure th</w:t>
      </w:r>
      <w:r w:rsidRPr="003C7060" w:rsidR="4D7D0130">
        <w:rPr>
          <w:rFonts w:asciiTheme="minorHAnsi" w:hAnsiTheme="minorHAnsi" w:cstheme="minorHAnsi"/>
          <w:sz w:val="24"/>
          <w:szCs w:val="24"/>
        </w:rPr>
        <w:t xml:space="preserve">at on-water law enforcement and </w:t>
      </w:r>
      <w:r w:rsidRPr="003C7060">
        <w:rPr>
          <w:rFonts w:asciiTheme="minorHAnsi" w:hAnsiTheme="minorHAnsi" w:cstheme="minorHAnsi"/>
          <w:sz w:val="24"/>
          <w:szCs w:val="24"/>
        </w:rPr>
        <w:t xml:space="preserve">public has a safe, secure, and enjoyable recreational boating experience by implementing programs that minimize loss of life, personal injury, and property damage </w:t>
      </w:r>
      <w:r w:rsidRPr="003C7060" w:rsidR="645325E1">
        <w:rPr>
          <w:rFonts w:asciiTheme="minorHAnsi" w:hAnsiTheme="minorHAnsi" w:cstheme="minorHAnsi"/>
          <w:sz w:val="24"/>
          <w:szCs w:val="24"/>
        </w:rPr>
        <w:t>while supplementing</w:t>
      </w:r>
      <w:r w:rsidRPr="003C7060">
        <w:rPr>
          <w:rFonts w:asciiTheme="minorHAnsi" w:hAnsiTheme="minorHAnsi" w:cstheme="minorHAnsi"/>
          <w:sz w:val="24"/>
          <w:szCs w:val="24"/>
        </w:rPr>
        <w:t xml:space="preserve"> national security efforts. As part of the NRBS program, the N</w:t>
      </w:r>
      <w:r w:rsidRPr="003C7060" w:rsidR="6A463B92">
        <w:rPr>
          <w:rFonts w:asciiTheme="minorHAnsi" w:hAnsiTheme="minorHAnsi" w:cstheme="minorHAnsi"/>
          <w:sz w:val="24"/>
          <w:szCs w:val="24"/>
        </w:rPr>
        <w:t>ational Recreational Boating Survey</w:t>
      </w:r>
      <w:r w:rsidRPr="003C7060">
        <w:rPr>
          <w:rFonts w:asciiTheme="minorHAnsi" w:hAnsiTheme="minorHAnsi" w:cstheme="minorHAnsi"/>
          <w:sz w:val="24"/>
          <w:szCs w:val="24"/>
        </w:rPr>
        <w:t xml:space="preserve"> enables the USCG to better identify safety priorities, coordinate, and focus research efforts, and encourage consistency in the information that is collected as well as the applied analysis methods.</w:t>
      </w:r>
      <w:r w:rsidRPr="003C7060" w:rsidR="3EDCE5FF">
        <w:rPr>
          <w:rFonts w:asciiTheme="minorHAnsi" w:hAnsiTheme="minorHAnsi" w:cstheme="minorHAnsi"/>
          <w:sz w:val="24"/>
          <w:szCs w:val="24"/>
        </w:rPr>
        <w:t xml:space="preserve"> </w:t>
      </w:r>
      <w:r w:rsidRPr="003C7060" w:rsidR="3EDCE5FF">
        <w:rPr>
          <w:rFonts w:asciiTheme="minorHAnsi" w:hAnsiTheme="minorHAnsi" w:cstheme="minorHAnsi"/>
          <w:sz w:val="24"/>
          <w:szCs w:val="24"/>
        </w:rPr>
        <w:t>In light of</w:t>
      </w:r>
      <w:r w:rsidRPr="003C7060" w:rsidR="3EDCE5FF">
        <w:rPr>
          <w:rFonts w:asciiTheme="minorHAnsi" w:hAnsiTheme="minorHAnsi" w:cstheme="minorHAnsi"/>
          <w:sz w:val="24"/>
          <w:szCs w:val="24"/>
        </w:rPr>
        <w:t xml:space="preserve"> the USCG’s </w:t>
      </w:r>
      <w:r w:rsidRPr="003C7060" w:rsidR="2636979E">
        <w:rPr>
          <w:rFonts w:asciiTheme="minorHAnsi" w:hAnsiTheme="minorHAnsi" w:cstheme="minorHAnsi"/>
          <w:sz w:val="24"/>
          <w:szCs w:val="24"/>
        </w:rPr>
        <w:t xml:space="preserve">security and </w:t>
      </w:r>
      <w:r w:rsidRPr="003C7060" w:rsidR="3EDCE5FF">
        <w:rPr>
          <w:rFonts w:asciiTheme="minorHAnsi" w:hAnsiTheme="minorHAnsi" w:cstheme="minorHAnsi"/>
          <w:sz w:val="24"/>
          <w:szCs w:val="24"/>
        </w:rPr>
        <w:t xml:space="preserve">safety-oriented mission, we are proposing a name change of this survey to the National Recreational Boating Safety Survey (NRBSS). </w:t>
      </w:r>
    </w:p>
    <w:p w:rsidR="00B73D6C" w:rsidRPr="003C7060" w:rsidP="7E33775C" w14:paraId="6052F0B2" w14:textId="034101AB">
      <w:pPr>
        <w:ind w:firstLine="720"/>
        <w:rPr>
          <w:rFonts w:asciiTheme="minorHAnsi" w:hAnsiTheme="minorHAnsi" w:cstheme="minorHAnsi"/>
          <w:sz w:val="24"/>
          <w:szCs w:val="24"/>
        </w:rPr>
      </w:pPr>
      <w:r w:rsidRPr="003C7060">
        <w:rPr>
          <w:rFonts w:asciiTheme="minorHAnsi" w:hAnsiTheme="minorHAnsi" w:cstheme="minorHAnsi"/>
          <w:sz w:val="24"/>
          <w:szCs w:val="24"/>
        </w:rPr>
        <w:t xml:space="preserve">An NRBSS program requirement as set forth in </w:t>
      </w:r>
      <w:bookmarkStart w:id="1" w:name="OLE_LINK1"/>
      <w:r w:rsidRPr="003C7060">
        <w:rPr>
          <w:rFonts w:asciiTheme="minorHAnsi" w:hAnsiTheme="minorHAnsi" w:cstheme="minorHAnsi"/>
          <w:sz w:val="24"/>
          <w:szCs w:val="24"/>
        </w:rPr>
        <w:t>Title 46, United States Code, § 1310</w:t>
      </w:r>
      <w:r w:rsidRPr="003C7060" w:rsidR="5643A099">
        <w:rPr>
          <w:rFonts w:asciiTheme="minorHAnsi" w:hAnsiTheme="minorHAnsi" w:cstheme="minorHAnsi"/>
          <w:sz w:val="24"/>
          <w:szCs w:val="24"/>
        </w:rPr>
        <w:t>2</w:t>
      </w:r>
      <w:bookmarkEnd w:id="1"/>
      <w:r w:rsidRPr="003C7060">
        <w:rPr>
          <w:rFonts w:asciiTheme="minorHAnsi" w:hAnsiTheme="minorHAnsi" w:cstheme="minorHAnsi"/>
          <w:sz w:val="24"/>
          <w:szCs w:val="24"/>
        </w:rPr>
        <w:t>, is to “encourage greater State participation and uniformity in boating safety efforts, and particularly to permit the States to assume the greater share of boating safety education, assistance, and</w:t>
      </w:r>
      <w:r w:rsidRPr="003C7060" w:rsidR="7C2D1C66">
        <w:rPr>
          <w:rFonts w:asciiTheme="minorHAnsi" w:hAnsiTheme="minorHAnsi" w:cstheme="minorHAnsi"/>
          <w:sz w:val="24"/>
          <w:szCs w:val="24"/>
        </w:rPr>
        <w:t xml:space="preserve"> law</w:t>
      </w:r>
      <w:r w:rsidRPr="003C7060">
        <w:rPr>
          <w:rFonts w:asciiTheme="minorHAnsi" w:hAnsiTheme="minorHAnsi" w:cstheme="minorHAnsi"/>
          <w:sz w:val="24"/>
          <w:szCs w:val="24"/>
        </w:rPr>
        <w:t xml:space="preserve"> enforcement activities”. As coordinator of the NRBS program, the </w:t>
      </w:r>
      <w:bookmarkStart w:id="2" w:name="OLE_LINK11"/>
      <w:r w:rsidRPr="003C7060">
        <w:rPr>
          <w:rFonts w:asciiTheme="minorHAnsi" w:hAnsiTheme="minorHAnsi" w:cstheme="minorHAnsi"/>
          <w:sz w:val="24"/>
          <w:szCs w:val="24"/>
        </w:rPr>
        <w:t xml:space="preserve">USCG </w:t>
      </w:r>
      <w:bookmarkEnd w:id="2"/>
      <w:r w:rsidRPr="003C7060">
        <w:rPr>
          <w:rFonts w:asciiTheme="minorHAnsi" w:hAnsiTheme="minorHAnsi" w:cstheme="minorHAnsi"/>
          <w:sz w:val="24"/>
          <w:szCs w:val="24"/>
        </w:rPr>
        <w:t xml:space="preserve">provides support for safety initiatives in every jurisdiction (States and Territories) by making available timely, relevant information on boating activities that occur in each respective jurisdiction. Working in partnership with State Boating Law Administrators (BLAs), the boating information provided by the USCG enables each State </w:t>
      </w:r>
      <w:r w:rsidRPr="003C7060" w:rsidR="3E9B178C">
        <w:rPr>
          <w:rFonts w:asciiTheme="minorHAnsi" w:hAnsiTheme="minorHAnsi" w:cstheme="minorHAnsi"/>
          <w:sz w:val="24"/>
          <w:szCs w:val="24"/>
        </w:rPr>
        <w:t xml:space="preserve">law enforcement </w:t>
      </w:r>
      <w:r w:rsidRPr="003C7060">
        <w:rPr>
          <w:rFonts w:asciiTheme="minorHAnsi" w:hAnsiTheme="minorHAnsi" w:cstheme="minorHAnsi"/>
          <w:sz w:val="24"/>
          <w:szCs w:val="24"/>
        </w:rPr>
        <w:t xml:space="preserve">agency to tailor and implement safety </w:t>
      </w:r>
      <w:r w:rsidRPr="003C7060" w:rsidR="5E3154E9">
        <w:rPr>
          <w:rFonts w:asciiTheme="minorHAnsi" w:hAnsiTheme="minorHAnsi" w:cstheme="minorHAnsi"/>
          <w:sz w:val="24"/>
          <w:szCs w:val="24"/>
        </w:rPr>
        <w:t xml:space="preserve">and security </w:t>
      </w:r>
      <w:r w:rsidRPr="003C7060">
        <w:rPr>
          <w:rFonts w:asciiTheme="minorHAnsi" w:hAnsiTheme="minorHAnsi" w:cstheme="minorHAnsi"/>
          <w:sz w:val="24"/>
          <w:szCs w:val="24"/>
        </w:rPr>
        <w:t>initiatives that address the needs of boaters in each respective jurisdiction.</w:t>
      </w:r>
    </w:p>
    <w:p w:rsidR="41CF30E1" w:rsidRPr="003C7060" w:rsidP="00170FA5" w14:paraId="285A75B9" w14:textId="52365F64">
      <w:pPr>
        <w:ind w:firstLine="720"/>
        <w:rPr>
          <w:rFonts w:asciiTheme="minorHAnsi" w:hAnsiTheme="minorHAnsi" w:cstheme="minorHAnsi"/>
          <w:color w:val="000000" w:themeColor="text1"/>
          <w:sz w:val="24"/>
          <w:szCs w:val="24"/>
        </w:rPr>
      </w:pPr>
      <w:r w:rsidRPr="003C7060">
        <w:rPr>
          <w:rFonts w:asciiTheme="minorHAnsi" w:hAnsiTheme="minorHAnsi" w:cstheme="minorHAnsi"/>
          <w:color w:val="000000" w:themeColor="text1"/>
          <w:sz w:val="24"/>
          <w:szCs w:val="24"/>
        </w:rPr>
        <w:t xml:space="preserve">The U.S. Coast Guard has partnered with the National Opinion Research Center (NORC) at the University of Chicago, a nonprofit organization, through a cooperative agreement to administer the next National Recreational Boating Safety Survey (NRBSS). A cooperative agreement is distinguished from a grant through substantial involvement. NORC’s substantial involvement includes helping the Coast Guard develop survey questionnaires, a sampling plan, conducting data collection and quality control, writing final reports and preparing final datasets.  </w:t>
      </w:r>
    </w:p>
    <w:p w:rsidR="5132FB61" w:rsidRPr="003C7060" w:rsidP="7E33775C" w14:paraId="0081FA25" w14:textId="261AA922">
      <w:pPr>
        <w:ind w:firstLine="720"/>
        <w:rPr>
          <w:rFonts w:asciiTheme="minorHAnsi" w:hAnsiTheme="minorHAnsi" w:cstheme="minorHAnsi"/>
          <w:sz w:val="24"/>
          <w:szCs w:val="24"/>
        </w:rPr>
      </w:pPr>
      <w:r w:rsidRPr="003C7060">
        <w:rPr>
          <w:rFonts w:asciiTheme="minorHAnsi" w:hAnsiTheme="minorHAnsi" w:cstheme="minorHAnsi"/>
          <w:sz w:val="24"/>
          <w:szCs w:val="24"/>
        </w:rPr>
        <w:t xml:space="preserve">This survey </w:t>
      </w:r>
      <w:r w:rsidRPr="003C7060" w:rsidR="55EDEC32">
        <w:rPr>
          <w:rFonts w:asciiTheme="minorHAnsi" w:hAnsiTheme="minorHAnsi" w:cstheme="minorHAnsi"/>
          <w:sz w:val="24"/>
          <w:szCs w:val="24"/>
        </w:rPr>
        <w:t xml:space="preserve">aims to estimate the total population of boaters in the United States and by state and collects attitudinal data on public safety interventions such as safety equipment and boating safety courses. The survey also estimates the total boat population of </w:t>
      </w:r>
      <w:r w:rsidRPr="003C7060" w:rsidR="55EDEC32">
        <w:rPr>
          <w:rFonts w:asciiTheme="minorHAnsi" w:hAnsiTheme="minorHAnsi" w:cstheme="minorHAnsi"/>
          <w:sz w:val="24"/>
          <w:szCs w:val="24"/>
        </w:rPr>
        <w:t>paddlecraft</w:t>
      </w:r>
      <w:r w:rsidRPr="003C7060" w:rsidR="55EDEC32">
        <w:rPr>
          <w:rFonts w:asciiTheme="minorHAnsi" w:hAnsiTheme="minorHAnsi" w:cstheme="minorHAnsi"/>
          <w:sz w:val="24"/>
          <w:szCs w:val="24"/>
        </w:rPr>
        <w:t xml:space="preserve"> (canoes, kayaks, standup paddleboards) </w:t>
      </w:r>
      <w:r w:rsidRPr="003C7060" w:rsidR="002E55D2">
        <w:rPr>
          <w:rFonts w:asciiTheme="minorHAnsi" w:hAnsiTheme="minorHAnsi" w:cstheme="minorHAnsi"/>
          <w:sz w:val="24"/>
          <w:szCs w:val="24"/>
        </w:rPr>
        <w:t xml:space="preserve">most of which </w:t>
      </w:r>
      <w:r w:rsidRPr="003C7060" w:rsidR="55EDEC32">
        <w:rPr>
          <w:rFonts w:asciiTheme="minorHAnsi" w:hAnsiTheme="minorHAnsi" w:cstheme="minorHAnsi"/>
          <w:sz w:val="24"/>
          <w:szCs w:val="24"/>
        </w:rPr>
        <w:t>are not required to be registered with a state authority like a Department of Motor Vehicles</w:t>
      </w:r>
      <w:r w:rsidRPr="003C7060" w:rsidR="4E45F6EE">
        <w:rPr>
          <w:rFonts w:asciiTheme="minorHAnsi" w:hAnsiTheme="minorHAnsi" w:cstheme="minorHAnsi"/>
          <w:sz w:val="24"/>
          <w:szCs w:val="24"/>
        </w:rPr>
        <w:t>, a national security gap in knowledge</w:t>
      </w:r>
      <w:r w:rsidRPr="003C7060" w:rsidR="55EDEC32">
        <w:rPr>
          <w:rFonts w:asciiTheme="minorHAnsi" w:hAnsiTheme="minorHAnsi" w:cstheme="minorHAnsi"/>
          <w:sz w:val="24"/>
          <w:szCs w:val="24"/>
        </w:rPr>
        <w:t>. Since the 2018 NRBSS was conducted, canoe and kayak fatalities have risen from 21% to 26% of total fatal incidents, accounting for nearly 150 deaths in 2023 (USCG, 2023).</w:t>
      </w:r>
      <w:r w:rsidRPr="003C7060" w:rsidR="122D57FB">
        <w:rPr>
          <w:rFonts w:asciiTheme="minorHAnsi" w:hAnsiTheme="minorHAnsi" w:cstheme="minorHAnsi"/>
          <w:sz w:val="24"/>
          <w:szCs w:val="24"/>
        </w:rPr>
        <w:t xml:space="preserve"> The 2018 NRBSS was conducted with a Paperwork Reduction Act Exemption granted by the Department of Homeland Security Office of Chief Counsel. </w:t>
      </w:r>
    </w:p>
    <w:p w:rsidR="6A67BEB5" w:rsidRPr="003C7060" w:rsidP="6A67BEB5" w14:paraId="2DD543F5" w14:textId="5104F12E">
      <w:pPr>
        <w:rPr>
          <w:rFonts w:asciiTheme="minorHAnsi" w:hAnsiTheme="minorHAnsi" w:cstheme="minorHAnsi"/>
          <w:sz w:val="24"/>
          <w:szCs w:val="24"/>
        </w:rPr>
      </w:pPr>
    </w:p>
    <w:p w:rsidR="79D30CFD" w:rsidRPr="003C7060" w:rsidP="7E33775C" w14:paraId="4A33EC71" w14:textId="57583AC4">
      <w:pPr>
        <w:rPr>
          <w:rFonts w:asciiTheme="minorHAnsi" w:hAnsiTheme="minorHAnsi" w:cstheme="minorHAnsi"/>
          <w:sz w:val="24"/>
          <w:szCs w:val="24"/>
        </w:rPr>
      </w:pPr>
      <w:r w:rsidRPr="003C7060">
        <w:rPr>
          <w:rFonts w:asciiTheme="minorHAnsi" w:hAnsiTheme="minorHAnsi" w:cstheme="minorHAnsi"/>
          <w:sz w:val="24"/>
          <w:szCs w:val="24"/>
        </w:rPr>
        <w:t>Addressing OIRA Terms of Clearance:</w:t>
      </w:r>
    </w:p>
    <w:p w:rsidR="79D30CFD" w:rsidRPr="003C7060" w:rsidP="7E33775C" w14:paraId="5A4C243C" w14:textId="3AE4EAEE">
      <w:pPr>
        <w:ind w:firstLine="720"/>
        <w:rPr>
          <w:rFonts w:asciiTheme="minorHAnsi" w:hAnsiTheme="minorHAnsi" w:cstheme="minorHAnsi"/>
          <w:i/>
          <w:iCs/>
          <w:sz w:val="24"/>
          <w:szCs w:val="24"/>
        </w:rPr>
      </w:pPr>
      <w:r w:rsidRPr="003C7060">
        <w:rPr>
          <w:rFonts w:asciiTheme="minorHAnsi" w:hAnsiTheme="minorHAnsi" w:cstheme="minorHAnsi"/>
          <w:i/>
          <w:iCs/>
          <w:sz w:val="24"/>
          <w:szCs w:val="24"/>
        </w:rPr>
        <w:t xml:space="preserve"> In its next submission to revise or extend this collection request, DHS shall provide evidence to OIRA on its efforts to share the results of the survey with states and examples of how states use the data. DHS shall also include response rates from the last collection of the surveys as well as the results of the nonresponse bias analysis.</w:t>
      </w:r>
    </w:p>
    <w:p w:rsidR="79D30CFD" w:rsidRPr="003C7060" w:rsidP="7E33775C" w14:paraId="3E06EC01" w14:textId="5A9BC886">
      <w:pPr>
        <w:ind w:firstLine="720"/>
        <w:rPr>
          <w:rFonts w:asciiTheme="minorHAnsi" w:hAnsiTheme="minorHAnsi" w:cstheme="minorHAnsi"/>
          <w:sz w:val="24"/>
          <w:szCs w:val="24"/>
        </w:rPr>
      </w:pPr>
      <w:r w:rsidRPr="003C7060">
        <w:rPr>
          <w:rFonts w:asciiTheme="minorHAnsi" w:hAnsiTheme="minorHAnsi" w:cstheme="minorHAnsi"/>
          <w:sz w:val="24"/>
          <w:szCs w:val="24"/>
        </w:rPr>
        <w:t xml:space="preserve">The USCG has provided efforts to share the results of the survey with states in Section 8, Consultation and Public Comments. The USCG has listed examples of how states use survey data in Section 2, Use of the Information. </w:t>
      </w:r>
      <w:r w:rsidRPr="003C7060" w:rsidR="5638D1A1">
        <w:rPr>
          <w:rFonts w:asciiTheme="minorHAnsi" w:hAnsiTheme="minorHAnsi" w:cstheme="minorHAnsi"/>
          <w:sz w:val="24"/>
          <w:szCs w:val="24"/>
        </w:rPr>
        <w:t xml:space="preserve">The response rates from the 2018 Exposure Survey </w:t>
      </w:r>
      <w:r w:rsidRPr="003C7060" w:rsidR="5638D1A1">
        <w:rPr>
          <w:rFonts w:asciiTheme="minorHAnsi" w:hAnsiTheme="minorHAnsi" w:cstheme="minorHAnsi"/>
          <w:sz w:val="24"/>
          <w:szCs w:val="24"/>
        </w:rPr>
        <w:t>was</w:t>
      </w:r>
      <w:r w:rsidRPr="003C7060" w:rsidR="6AC0655D">
        <w:rPr>
          <w:rFonts w:asciiTheme="minorHAnsi" w:hAnsiTheme="minorHAnsi" w:cstheme="minorHAnsi"/>
          <w:sz w:val="24"/>
          <w:szCs w:val="24"/>
        </w:rPr>
        <w:t xml:space="preserve"> 21.9% </w:t>
      </w:r>
      <w:r w:rsidRPr="003C7060" w:rsidR="2FED15AC">
        <w:rPr>
          <w:rFonts w:asciiTheme="minorHAnsi" w:hAnsiTheme="minorHAnsi" w:cstheme="minorHAnsi"/>
          <w:sz w:val="24"/>
          <w:szCs w:val="24"/>
        </w:rPr>
        <w:t xml:space="preserve">while the </w:t>
      </w:r>
      <w:r w:rsidRPr="003C7060" w:rsidR="7848E620">
        <w:rPr>
          <w:rFonts w:asciiTheme="minorHAnsi" w:hAnsiTheme="minorHAnsi" w:cstheme="minorHAnsi"/>
          <w:sz w:val="24"/>
          <w:szCs w:val="24"/>
        </w:rPr>
        <w:t xml:space="preserve">Participation Survey was 14.9% (Duffy, et al, 2018). </w:t>
      </w:r>
      <w:r w:rsidRPr="003C7060" w:rsidR="7731D8D3">
        <w:rPr>
          <w:rFonts w:asciiTheme="minorHAnsi" w:hAnsiTheme="minorHAnsi" w:cstheme="minorHAnsi"/>
          <w:sz w:val="24"/>
          <w:szCs w:val="24"/>
        </w:rPr>
        <w:t xml:space="preserve">Nonresponse bias analysis results are included in Section 6.3 of the 2018 NRBSS Methodology Report. These are included as Appendix 3. </w:t>
      </w:r>
    </w:p>
    <w:p w:rsidR="009C2D55" w:rsidRPr="003C7060" w:rsidP="7E33775C" w14:paraId="75551F87" w14:textId="77777777">
      <w:pPr>
        <w:pStyle w:val="BodyText"/>
        <w:spacing w:before="5"/>
        <w:rPr>
          <w:rFonts w:asciiTheme="minorHAnsi" w:hAnsiTheme="minorHAnsi" w:cstheme="minorHAnsi"/>
        </w:rPr>
      </w:pPr>
    </w:p>
    <w:p w:rsidR="009C2D55" w:rsidRPr="003C7060" w:rsidP="7E33775C" w14:paraId="5DA7734E" w14:textId="77777777">
      <w:pPr>
        <w:pStyle w:val="ListParagraph"/>
        <w:numPr>
          <w:ilvl w:val="0"/>
          <w:numId w:val="4"/>
        </w:numPr>
        <w:tabs>
          <w:tab w:val="left" w:pos="1301"/>
        </w:tabs>
        <w:rPr>
          <w:rFonts w:asciiTheme="minorHAnsi" w:hAnsiTheme="minorHAnsi" w:cstheme="minorHAnsi"/>
          <w:sz w:val="24"/>
          <w:szCs w:val="24"/>
        </w:rPr>
      </w:pPr>
      <w:r w:rsidRPr="003C7060">
        <w:rPr>
          <w:rFonts w:asciiTheme="minorHAnsi" w:hAnsiTheme="minorHAnsi" w:cstheme="minorHAnsi"/>
          <w:sz w:val="24"/>
          <w:szCs w:val="24"/>
          <w:u w:val="single"/>
        </w:rPr>
        <w:t>Use</w:t>
      </w:r>
      <w:r w:rsidRPr="003C7060">
        <w:rPr>
          <w:rFonts w:asciiTheme="minorHAnsi" w:hAnsiTheme="minorHAnsi" w:cstheme="minorHAnsi"/>
          <w:spacing w:val="-3"/>
          <w:sz w:val="24"/>
          <w:szCs w:val="24"/>
          <w:u w:val="single"/>
        </w:rPr>
        <w:t xml:space="preserve"> </w:t>
      </w:r>
      <w:r w:rsidRPr="003C7060">
        <w:rPr>
          <w:rFonts w:asciiTheme="minorHAnsi" w:hAnsiTheme="minorHAnsi" w:cstheme="minorHAnsi"/>
          <w:sz w:val="24"/>
          <w:szCs w:val="24"/>
          <w:u w:val="single"/>
        </w:rPr>
        <w:t>of</w:t>
      </w:r>
      <w:r w:rsidRPr="003C7060">
        <w:rPr>
          <w:rFonts w:asciiTheme="minorHAnsi" w:hAnsiTheme="minorHAnsi" w:cstheme="minorHAnsi"/>
          <w:spacing w:val="-5"/>
          <w:sz w:val="24"/>
          <w:szCs w:val="24"/>
          <w:u w:val="single"/>
        </w:rPr>
        <w:t xml:space="preserve"> </w:t>
      </w:r>
      <w:r w:rsidRPr="003C7060">
        <w:rPr>
          <w:rFonts w:asciiTheme="minorHAnsi" w:hAnsiTheme="minorHAnsi" w:cstheme="minorHAnsi"/>
          <w:sz w:val="24"/>
          <w:szCs w:val="24"/>
          <w:u w:val="single"/>
        </w:rPr>
        <w:t>the</w:t>
      </w:r>
      <w:r w:rsidRPr="003C7060">
        <w:rPr>
          <w:rFonts w:asciiTheme="minorHAnsi" w:hAnsiTheme="minorHAnsi" w:cstheme="minorHAnsi"/>
          <w:spacing w:val="3"/>
          <w:sz w:val="24"/>
          <w:szCs w:val="24"/>
          <w:u w:val="single"/>
        </w:rPr>
        <w:t xml:space="preserve"> </w:t>
      </w:r>
      <w:r w:rsidRPr="003C7060">
        <w:rPr>
          <w:rFonts w:asciiTheme="minorHAnsi" w:hAnsiTheme="minorHAnsi" w:cstheme="minorHAnsi"/>
          <w:spacing w:val="-2"/>
          <w:sz w:val="24"/>
          <w:szCs w:val="24"/>
          <w:u w:val="single"/>
        </w:rPr>
        <w:t>Information</w:t>
      </w:r>
    </w:p>
    <w:p w:rsidR="009C2D55" w:rsidRPr="003C7060" w:rsidP="7E33775C" w14:paraId="7BFF5B83" w14:textId="77777777">
      <w:pPr>
        <w:pStyle w:val="BodyText"/>
        <w:spacing w:before="3"/>
        <w:rPr>
          <w:rFonts w:asciiTheme="minorHAnsi" w:hAnsiTheme="minorHAnsi" w:cstheme="minorHAnsi"/>
          <w:sz w:val="17"/>
          <w:szCs w:val="17"/>
        </w:rPr>
      </w:pPr>
    </w:p>
    <w:p w:rsidR="7E33775C" w:rsidRPr="003C7060" w:rsidP="7E33775C" w14:paraId="5C495A45" w14:textId="4B41B0A1">
      <w:pPr>
        <w:pStyle w:val="BodyText"/>
        <w:ind w:right="144" w:firstLine="720"/>
        <w:jc w:val="both"/>
        <w:rPr>
          <w:rFonts w:asciiTheme="minorHAnsi" w:hAnsiTheme="minorHAnsi" w:cstheme="minorHAnsi"/>
        </w:rPr>
      </w:pPr>
      <w:r w:rsidRPr="003C7060">
        <w:rPr>
          <w:rFonts w:asciiTheme="minorHAnsi" w:hAnsiTheme="minorHAnsi" w:cstheme="minorHAnsi"/>
        </w:rPr>
        <w:t xml:space="preserve">The information derived from this collection directly supports </w:t>
      </w:r>
      <w:r w:rsidRPr="003C7060" w:rsidR="3FACD6A8">
        <w:rPr>
          <w:rFonts w:asciiTheme="minorHAnsi" w:hAnsiTheme="minorHAnsi" w:cstheme="minorHAnsi"/>
        </w:rPr>
        <w:t xml:space="preserve">the 2022 – 2026 Strategic Plan of the National Recreational Boating Safety Program by providing actionable data on the number of boaters the Program directly affects. </w:t>
      </w:r>
      <w:r w:rsidRPr="003C7060" w:rsidR="471DF91D">
        <w:rPr>
          <w:rFonts w:asciiTheme="minorHAnsi" w:hAnsiTheme="minorHAnsi" w:cstheme="minorHAnsi"/>
        </w:rPr>
        <w:t>The plan seeks to influence boater behavior, recreational boat and accessory manufacturers by leveraging data to affect change.</w:t>
      </w:r>
      <w:r w:rsidRPr="003C7060" w:rsidR="53F9C4A1">
        <w:rPr>
          <w:rFonts w:asciiTheme="minorHAnsi" w:hAnsiTheme="minorHAnsi" w:cstheme="minorHAnsi"/>
        </w:rPr>
        <w:t xml:space="preserve"> </w:t>
      </w:r>
      <w:r w:rsidRPr="003C7060" w:rsidR="5E6F60E7">
        <w:rPr>
          <w:rFonts w:asciiTheme="minorHAnsi" w:hAnsiTheme="minorHAnsi" w:cstheme="minorHAnsi"/>
        </w:rPr>
        <w:t>Currently, the Program is charged with collection of boating accident statistics under 33 CFR 173 from 56 states</w:t>
      </w:r>
      <w:r w:rsidRPr="003C7060" w:rsidR="61994436">
        <w:rPr>
          <w:rFonts w:asciiTheme="minorHAnsi" w:hAnsiTheme="minorHAnsi" w:cstheme="minorHAnsi"/>
        </w:rPr>
        <w:t xml:space="preserve"> and</w:t>
      </w:r>
      <w:r w:rsidRPr="003C7060" w:rsidR="5E6F60E7">
        <w:rPr>
          <w:rFonts w:asciiTheme="minorHAnsi" w:hAnsiTheme="minorHAnsi" w:cstheme="minorHAnsi"/>
        </w:rPr>
        <w:t xml:space="preserve"> territories. Survey results act as the denominator</w:t>
      </w:r>
      <w:r w:rsidRPr="003C7060" w:rsidR="4333F6F0">
        <w:rPr>
          <w:rFonts w:asciiTheme="minorHAnsi" w:hAnsiTheme="minorHAnsi" w:cstheme="minorHAnsi"/>
        </w:rPr>
        <w:t xml:space="preserve"> so the program can calculate relative risk by state and to the nation. It allows the Coast Guard to target its outreach and interventions in higher risk areas where fatality and injury boat accidents occur.</w:t>
      </w:r>
    </w:p>
    <w:p w:rsidR="007D1684" w:rsidRPr="003C7060" w:rsidP="7E33775C" w14:paraId="3464AEBC" w14:textId="3977CAAA">
      <w:pPr>
        <w:pStyle w:val="BodyText"/>
        <w:ind w:right="144" w:firstLine="720"/>
        <w:jc w:val="both"/>
        <w:rPr>
          <w:rFonts w:asciiTheme="minorHAnsi" w:hAnsiTheme="minorHAnsi" w:cstheme="minorHAnsi"/>
        </w:rPr>
      </w:pPr>
      <w:r w:rsidRPr="003C7060">
        <w:rPr>
          <w:rFonts w:asciiTheme="minorHAnsi" w:hAnsiTheme="minorHAnsi" w:cstheme="minorHAnsi"/>
        </w:rPr>
        <w:t>Data derived from the survey directly contributes to the</w:t>
      </w:r>
      <w:r w:rsidRPr="003C7060" w:rsidR="51526336">
        <w:rPr>
          <w:rFonts w:asciiTheme="minorHAnsi" w:hAnsiTheme="minorHAnsi" w:cstheme="minorHAnsi"/>
        </w:rPr>
        <w:t xml:space="preserve"> Federal-State partnership in regulation of boating safety. The survey provides more than 30 metrics that a state can utilize in their management of recreational boating safety. </w:t>
      </w:r>
      <w:r w:rsidRPr="003C7060" w:rsidR="78941697">
        <w:rPr>
          <w:rFonts w:asciiTheme="minorHAnsi" w:hAnsiTheme="minorHAnsi" w:cstheme="minorHAnsi"/>
        </w:rPr>
        <w:t>In a poll taken by the National Association of State Boating Law Administrators, it is estimated that nearly 60% of th</w:t>
      </w:r>
      <w:r w:rsidRPr="003C7060" w:rsidR="2AC24AAD">
        <w:rPr>
          <w:rFonts w:asciiTheme="minorHAnsi" w:hAnsiTheme="minorHAnsi" w:cstheme="minorHAnsi"/>
        </w:rPr>
        <w:t xml:space="preserve">eir membership </w:t>
      </w:r>
      <w:r w:rsidRPr="003C7060" w:rsidR="49638818">
        <w:rPr>
          <w:rFonts w:asciiTheme="minorHAnsi" w:hAnsiTheme="minorHAnsi" w:cstheme="minorHAnsi"/>
        </w:rPr>
        <w:t>stakeholders</w:t>
      </w:r>
      <w:r w:rsidRPr="003C7060" w:rsidR="78941697">
        <w:rPr>
          <w:rFonts w:asciiTheme="minorHAnsi" w:hAnsiTheme="minorHAnsi" w:cstheme="minorHAnsi"/>
        </w:rPr>
        <w:t xml:space="preserve"> polled utilized survey findings</w:t>
      </w:r>
      <w:r w:rsidRPr="003C7060" w:rsidR="000D7A8B">
        <w:rPr>
          <w:rFonts w:asciiTheme="minorHAnsi" w:hAnsiTheme="minorHAnsi" w:cstheme="minorHAnsi"/>
        </w:rPr>
        <w:t xml:space="preserve"> (NASBLA, 2023)</w:t>
      </w:r>
      <w:r w:rsidRPr="003C7060" w:rsidR="78941697">
        <w:rPr>
          <w:rFonts w:asciiTheme="minorHAnsi" w:hAnsiTheme="minorHAnsi" w:cstheme="minorHAnsi"/>
        </w:rPr>
        <w:t>.</w:t>
      </w:r>
      <w:r w:rsidRPr="003C7060" w:rsidR="00954744">
        <w:rPr>
          <w:rFonts w:asciiTheme="minorHAnsi" w:hAnsiTheme="minorHAnsi" w:cstheme="minorHAnsi"/>
        </w:rPr>
        <w:t xml:space="preserve"> </w:t>
      </w:r>
      <w:r w:rsidRPr="003C7060" w:rsidR="78941697">
        <w:rPr>
          <w:rFonts w:asciiTheme="minorHAnsi" w:hAnsiTheme="minorHAnsi" w:cstheme="minorHAnsi"/>
        </w:rPr>
        <w:t xml:space="preserve"> </w:t>
      </w:r>
      <w:r w:rsidRPr="003C7060" w:rsidR="5BAB4B32">
        <w:rPr>
          <w:rFonts w:asciiTheme="minorHAnsi" w:hAnsiTheme="minorHAnsi" w:cstheme="minorHAnsi"/>
        </w:rPr>
        <w:t>Respondents stated various reasons for utilizing the NRBSS including facilitating discussions with state legislatures, determining courses and seminars to teach to the boating public</w:t>
      </w:r>
      <w:r w:rsidRPr="003C7060" w:rsidR="007F31B6">
        <w:rPr>
          <w:rFonts w:asciiTheme="minorHAnsi" w:hAnsiTheme="minorHAnsi" w:cstheme="minorHAnsi"/>
        </w:rPr>
        <w:t xml:space="preserve"> within their respective states</w:t>
      </w:r>
      <w:r w:rsidRPr="003C7060" w:rsidR="5BAB4B32">
        <w:rPr>
          <w:rFonts w:asciiTheme="minorHAnsi" w:hAnsiTheme="minorHAnsi" w:cstheme="minorHAnsi"/>
        </w:rPr>
        <w:t xml:space="preserve">, for various grant proposals, and to </w:t>
      </w:r>
      <w:r w:rsidRPr="003C7060" w:rsidR="5974B922">
        <w:rPr>
          <w:rFonts w:asciiTheme="minorHAnsi" w:hAnsiTheme="minorHAnsi" w:cstheme="minorHAnsi"/>
        </w:rPr>
        <w:t xml:space="preserve">normalize </w:t>
      </w:r>
      <w:r w:rsidRPr="003C7060" w:rsidR="007F31B6">
        <w:rPr>
          <w:rFonts w:asciiTheme="minorHAnsi" w:hAnsiTheme="minorHAnsi" w:cstheme="minorHAnsi"/>
        </w:rPr>
        <w:t xml:space="preserve">state-collected </w:t>
      </w:r>
      <w:r w:rsidRPr="003C7060" w:rsidR="5974B922">
        <w:rPr>
          <w:rFonts w:asciiTheme="minorHAnsi" w:hAnsiTheme="minorHAnsi" w:cstheme="minorHAnsi"/>
        </w:rPr>
        <w:t xml:space="preserve">accident data. </w:t>
      </w:r>
    </w:p>
    <w:p w:rsidR="007D1684" w:rsidRPr="003C7060" w:rsidP="7E33775C" w14:paraId="559A07D7" w14:textId="09FB193F">
      <w:pPr>
        <w:pStyle w:val="BodyText"/>
        <w:ind w:right="144" w:firstLine="720"/>
        <w:jc w:val="both"/>
        <w:rPr>
          <w:rFonts w:asciiTheme="minorHAnsi" w:hAnsiTheme="minorHAnsi" w:cstheme="minorHAnsi"/>
        </w:rPr>
      </w:pPr>
      <w:r w:rsidRPr="003C7060">
        <w:rPr>
          <w:rFonts w:asciiTheme="minorHAnsi" w:hAnsiTheme="minorHAnsi" w:cstheme="minorHAnsi"/>
        </w:rPr>
        <w:t xml:space="preserve">Survey </w:t>
      </w:r>
      <w:r w:rsidRPr="003C7060" w:rsidR="000F19DE">
        <w:rPr>
          <w:rFonts w:asciiTheme="minorHAnsi" w:hAnsiTheme="minorHAnsi" w:cstheme="minorHAnsi"/>
        </w:rPr>
        <w:t xml:space="preserve">information has most recently been utilized </w:t>
      </w:r>
      <w:r w:rsidRPr="003C7060" w:rsidR="00F3202F">
        <w:rPr>
          <w:rFonts w:asciiTheme="minorHAnsi" w:hAnsiTheme="minorHAnsi" w:cstheme="minorHAnsi"/>
        </w:rPr>
        <w:t xml:space="preserve">in a Government Accountability Office (GAO) Audit entitled </w:t>
      </w:r>
      <w:r w:rsidRPr="003C7060" w:rsidR="00F3202F">
        <w:rPr>
          <w:rFonts w:asciiTheme="minorHAnsi" w:hAnsiTheme="minorHAnsi" w:cstheme="minorHAnsi"/>
          <w:i/>
          <w:iCs/>
        </w:rPr>
        <w:t xml:space="preserve">Recreational Boating: How Vessel Users Contribute to and Benefit from a Federal Trust Fund </w:t>
      </w:r>
      <w:r w:rsidRPr="003C7060" w:rsidR="00F3202F">
        <w:rPr>
          <w:rFonts w:asciiTheme="minorHAnsi" w:hAnsiTheme="minorHAnsi" w:cstheme="minorHAnsi"/>
        </w:rPr>
        <w:t xml:space="preserve">(GAO-23-105729) which heavily utilized estimates from the </w:t>
      </w:r>
      <w:r w:rsidRPr="003C7060" w:rsidR="000B6630">
        <w:rPr>
          <w:rFonts w:asciiTheme="minorHAnsi" w:hAnsiTheme="minorHAnsi" w:cstheme="minorHAnsi"/>
        </w:rPr>
        <w:t xml:space="preserve">2018 National Recreational Boating Safety Survey </w:t>
      </w:r>
      <w:r w:rsidRPr="003C7060" w:rsidR="00196446">
        <w:rPr>
          <w:rFonts w:asciiTheme="minorHAnsi" w:hAnsiTheme="minorHAnsi" w:cstheme="minorHAnsi"/>
        </w:rPr>
        <w:t xml:space="preserve">to derive insight into the boat population that is not registered with a state, territory or commonwealth nation’s </w:t>
      </w:r>
      <w:r w:rsidRPr="003C7060" w:rsidR="009C519F">
        <w:rPr>
          <w:rFonts w:asciiTheme="minorHAnsi" w:hAnsiTheme="minorHAnsi" w:cstheme="minorHAnsi"/>
        </w:rPr>
        <w:t>requisite registration authority.</w:t>
      </w:r>
      <w:r w:rsidRPr="003C7060" w:rsidR="006851EB">
        <w:rPr>
          <w:rFonts w:asciiTheme="minorHAnsi" w:hAnsiTheme="minorHAnsi" w:cstheme="minorHAnsi"/>
        </w:rPr>
        <w:t xml:space="preserve"> GAO </w:t>
      </w:r>
      <w:r w:rsidRPr="003C7060" w:rsidR="00232846">
        <w:rPr>
          <w:rFonts w:asciiTheme="minorHAnsi" w:hAnsiTheme="minorHAnsi" w:cstheme="minorHAnsi"/>
        </w:rPr>
        <w:t xml:space="preserve">cited that the number of nonmotorized vessels used in the U.S. has grown in recent years </w:t>
      </w:r>
      <w:r w:rsidRPr="003C7060" w:rsidR="002B672E">
        <w:rPr>
          <w:rFonts w:asciiTheme="minorHAnsi" w:hAnsiTheme="minorHAnsi" w:cstheme="minorHAnsi"/>
        </w:rPr>
        <w:t>through its analysis (GAO, 202</w:t>
      </w:r>
      <w:r w:rsidRPr="003C7060" w:rsidR="005E4675">
        <w:rPr>
          <w:rFonts w:asciiTheme="minorHAnsi" w:hAnsiTheme="minorHAnsi" w:cstheme="minorHAnsi"/>
        </w:rPr>
        <w:t>2</w:t>
      </w:r>
      <w:r w:rsidRPr="003C7060" w:rsidR="002B672E">
        <w:rPr>
          <w:rFonts w:asciiTheme="minorHAnsi" w:hAnsiTheme="minorHAnsi" w:cstheme="minorHAnsi"/>
        </w:rPr>
        <w:t>).</w:t>
      </w:r>
    </w:p>
    <w:p w:rsidR="009C519F" w:rsidRPr="003C7060" w:rsidP="7E33775C" w14:paraId="1C206009" w14:textId="413DE812">
      <w:pPr>
        <w:pStyle w:val="BodyText"/>
        <w:ind w:right="144" w:firstLine="720"/>
        <w:jc w:val="both"/>
        <w:rPr>
          <w:rFonts w:asciiTheme="minorHAnsi" w:hAnsiTheme="minorHAnsi" w:cstheme="minorHAnsi"/>
        </w:rPr>
      </w:pPr>
      <w:r w:rsidRPr="003C7060">
        <w:rPr>
          <w:rFonts w:asciiTheme="minorHAnsi" w:hAnsiTheme="minorHAnsi" w:cstheme="minorHAnsi"/>
        </w:rPr>
        <w:t xml:space="preserve">Washington State </w:t>
      </w:r>
      <w:r w:rsidRPr="003C7060" w:rsidR="117E2F30">
        <w:rPr>
          <w:rFonts w:asciiTheme="minorHAnsi" w:hAnsiTheme="minorHAnsi" w:cstheme="minorHAnsi"/>
        </w:rPr>
        <w:t>utilized the 2018 NRBSS results</w:t>
      </w:r>
      <w:r w:rsidRPr="003C7060" w:rsidR="77530D52">
        <w:rPr>
          <w:rFonts w:asciiTheme="minorHAnsi" w:hAnsiTheme="minorHAnsi" w:cstheme="minorHAnsi"/>
        </w:rPr>
        <w:t xml:space="preserve"> for a deep dive into looking at non-motorized boating fatalities. The Evans Policy Innovation Collaborative through the University of Washington</w:t>
      </w:r>
      <w:r w:rsidRPr="003C7060" w:rsidR="4AE2288A">
        <w:rPr>
          <w:rFonts w:asciiTheme="minorHAnsi" w:hAnsiTheme="minorHAnsi" w:cstheme="minorHAnsi"/>
        </w:rPr>
        <w:t xml:space="preserve"> convened stakeholder sessions with state officials, programs and industry experts to understand the policy landscape around non-motorized boating fatalities in Washington</w:t>
      </w:r>
      <w:r w:rsidRPr="003C7060" w:rsidR="00662E35">
        <w:rPr>
          <w:rFonts w:asciiTheme="minorHAnsi" w:hAnsiTheme="minorHAnsi" w:cstheme="minorHAnsi"/>
        </w:rPr>
        <w:t xml:space="preserve"> State</w:t>
      </w:r>
      <w:r w:rsidRPr="003C7060" w:rsidR="4AE2288A">
        <w:rPr>
          <w:rFonts w:asciiTheme="minorHAnsi" w:hAnsiTheme="minorHAnsi" w:cstheme="minorHAnsi"/>
        </w:rPr>
        <w:t xml:space="preserve">. </w:t>
      </w:r>
      <w:r w:rsidRPr="003C7060" w:rsidR="00E16870">
        <w:rPr>
          <w:rFonts w:asciiTheme="minorHAnsi" w:hAnsiTheme="minorHAnsi" w:cstheme="minorHAnsi"/>
        </w:rPr>
        <w:t xml:space="preserve">Researchers utilized the NRBSS </w:t>
      </w:r>
      <w:r w:rsidRPr="003C7060" w:rsidR="0061791F">
        <w:rPr>
          <w:rFonts w:asciiTheme="minorHAnsi" w:hAnsiTheme="minorHAnsi" w:cstheme="minorHAnsi"/>
        </w:rPr>
        <w:t>to normalize their data (EPIC, 2022).</w:t>
      </w:r>
    </w:p>
    <w:p w:rsidR="7E33775C" w:rsidRPr="003C7060" w:rsidP="7E33775C" w14:paraId="32EF5E58" w14:textId="6E1688E5">
      <w:pPr>
        <w:pStyle w:val="BodyText"/>
        <w:ind w:right="144"/>
        <w:jc w:val="both"/>
        <w:rPr>
          <w:rFonts w:asciiTheme="minorHAnsi" w:hAnsiTheme="minorHAnsi" w:cstheme="minorHAnsi"/>
        </w:rPr>
      </w:pPr>
    </w:p>
    <w:p w:rsidR="009C2D55" w:rsidRPr="003C7060" w:rsidP="7E33775C" w14:paraId="13C1971F" w14:textId="77777777">
      <w:pPr>
        <w:pStyle w:val="BodyText"/>
        <w:spacing w:before="8"/>
        <w:rPr>
          <w:rFonts w:asciiTheme="minorHAnsi" w:hAnsiTheme="minorHAnsi" w:cstheme="minorHAnsi"/>
        </w:rPr>
      </w:pPr>
    </w:p>
    <w:p w:rsidR="009C2D55" w:rsidRPr="003C7060" w:rsidP="7E33775C" w14:paraId="04CF3577" w14:textId="74D975AC">
      <w:pPr>
        <w:pStyle w:val="ListParagraph"/>
        <w:numPr>
          <w:ilvl w:val="0"/>
          <w:numId w:val="4"/>
        </w:numPr>
        <w:tabs>
          <w:tab w:val="left" w:pos="1301"/>
        </w:tabs>
        <w:spacing w:before="1"/>
        <w:rPr>
          <w:rFonts w:asciiTheme="minorHAnsi" w:hAnsiTheme="minorHAnsi" w:cstheme="minorHAnsi"/>
          <w:sz w:val="24"/>
          <w:szCs w:val="24"/>
        </w:rPr>
      </w:pPr>
      <w:r w:rsidRPr="003C7060">
        <w:rPr>
          <w:rFonts w:asciiTheme="minorHAnsi" w:hAnsiTheme="minorHAnsi" w:cstheme="minorHAnsi"/>
          <w:sz w:val="24"/>
          <w:szCs w:val="24"/>
          <w:u w:val="single"/>
        </w:rPr>
        <w:t>Use</w:t>
      </w:r>
      <w:r w:rsidRPr="003C7060">
        <w:rPr>
          <w:rFonts w:asciiTheme="minorHAnsi" w:hAnsiTheme="minorHAnsi" w:cstheme="minorHAnsi"/>
          <w:spacing w:val="-3"/>
          <w:sz w:val="24"/>
          <w:szCs w:val="24"/>
          <w:u w:val="single"/>
        </w:rPr>
        <w:t xml:space="preserve"> </w:t>
      </w:r>
      <w:r w:rsidRPr="003C7060">
        <w:rPr>
          <w:rFonts w:asciiTheme="minorHAnsi" w:hAnsiTheme="minorHAnsi" w:cstheme="minorHAnsi"/>
          <w:sz w:val="24"/>
          <w:szCs w:val="24"/>
          <w:u w:val="single"/>
        </w:rPr>
        <w:t>of Information</w:t>
      </w:r>
      <w:r w:rsidRPr="003C7060">
        <w:rPr>
          <w:rFonts w:asciiTheme="minorHAnsi" w:hAnsiTheme="minorHAnsi" w:cstheme="minorHAnsi"/>
          <w:spacing w:val="-6"/>
          <w:sz w:val="24"/>
          <w:szCs w:val="24"/>
          <w:u w:val="single"/>
        </w:rPr>
        <w:t xml:space="preserve"> </w:t>
      </w:r>
      <w:r w:rsidRPr="003C7060">
        <w:rPr>
          <w:rFonts w:asciiTheme="minorHAnsi" w:hAnsiTheme="minorHAnsi" w:cstheme="minorHAnsi"/>
          <w:spacing w:val="-2"/>
          <w:sz w:val="24"/>
          <w:szCs w:val="24"/>
          <w:u w:val="single"/>
        </w:rPr>
        <w:t>Technology</w:t>
      </w:r>
      <w:r w:rsidRPr="003C7060" w:rsidR="000B4494">
        <w:rPr>
          <w:rFonts w:asciiTheme="minorHAnsi" w:hAnsiTheme="minorHAnsi" w:cstheme="minorHAnsi"/>
          <w:spacing w:val="-2"/>
          <w:sz w:val="24"/>
          <w:szCs w:val="24"/>
          <w:u w:val="single"/>
        </w:rPr>
        <w:br/>
      </w:r>
    </w:p>
    <w:p w:rsidR="00B73D6C" w:rsidRPr="003C7060" w:rsidP="7E33775C" w14:paraId="60574BAE" w14:textId="77777777">
      <w:pPr>
        <w:ind w:firstLine="720"/>
        <w:rPr>
          <w:rFonts w:asciiTheme="minorHAnsi" w:hAnsiTheme="minorHAnsi" w:cstheme="minorHAnsi"/>
          <w:sz w:val="24"/>
          <w:szCs w:val="24"/>
        </w:rPr>
      </w:pPr>
      <w:r w:rsidRPr="003C7060">
        <w:rPr>
          <w:rFonts w:asciiTheme="minorHAnsi" w:hAnsiTheme="minorHAnsi" w:cstheme="minorHAnsi"/>
          <w:sz w:val="24"/>
          <w:szCs w:val="24"/>
        </w:rPr>
        <w:t>The NRBSS includes two complementary questionnaires to collect information at the boat level, boat trip level, and recreational boating participant level. These questionnaires include a telephone and web survey for the Participation Survey and telephone, web, and paper versions of the Exposure Survey.</w:t>
      </w:r>
    </w:p>
    <w:p w:rsidR="00B73D6C" w:rsidRPr="003C7060" w:rsidP="7E33775C" w14:paraId="0FFF4CB9" w14:textId="7F57A41A">
      <w:pPr>
        <w:ind w:firstLine="720"/>
        <w:rPr>
          <w:rFonts w:asciiTheme="minorHAnsi" w:hAnsiTheme="minorHAnsi" w:cstheme="minorHAnsi"/>
          <w:sz w:val="24"/>
          <w:szCs w:val="24"/>
        </w:rPr>
      </w:pPr>
      <w:r w:rsidRPr="003C7060">
        <w:rPr>
          <w:rFonts w:asciiTheme="minorHAnsi" w:hAnsiTheme="minorHAnsi" w:cstheme="minorHAnsi"/>
          <w:sz w:val="24"/>
          <w:szCs w:val="24"/>
        </w:rPr>
        <w:t xml:space="preserve">NRBSS will use advanced technology to reduce respondent burden and make data processing and reporting </w:t>
      </w:r>
      <w:r w:rsidRPr="003C7060">
        <w:rPr>
          <w:rFonts w:asciiTheme="minorHAnsi" w:hAnsiTheme="minorHAnsi" w:cstheme="minorHAnsi"/>
          <w:sz w:val="24"/>
          <w:szCs w:val="24"/>
        </w:rPr>
        <w:t>more timely and efficient</w:t>
      </w:r>
      <w:r w:rsidRPr="003C7060">
        <w:rPr>
          <w:rFonts w:asciiTheme="minorHAnsi" w:hAnsiTheme="minorHAnsi" w:cstheme="minorHAnsi"/>
          <w:sz w:val="24"/>
          <w:szCs w:val="24"/>
        </w:rPr>
        <w:t xml:space="preserve">. All participants will be given the choice of completing each survey online with a personal device or by telephone with a trained telephone interviewer. NORC’s survey software system supports both Computer Assisted Telephone Interviewing (CATI) and Computer Assisted Web Interviewing (CAWI), providing an integrated sample management and data collection platform. The survey software system provides the opportunity to participate in a web-mode using smartphones; for these respondents, the web-based system renders an optimized presentation of the questions. </w:t>
      </w:r>
      <w:r w:rsidRPr="003C7060" w:rsidR="00A64E80">
        <w:rPr>
          <w:rFonts w:asciiTheme="minorHAnsi" w:hAnsiTheme="minorHAnsi" w:cstheme="minorHAnsi"/>
          <w:sz w:val="24"/>
          <w:szCs w:val="24"/>
        </w:rPr>
        <w:t xml:space="preserve">This smartphone-optimized web survey also allows for easy survey completion when sending the survey link to respondents via text message. The respondent can simply tap the survey link in the text message leading them directly to the mobile-optimized web survey reducing respondent burden. </w:t>
      </w:r>
      <w:r w:rsidRPr="003C7060">
        <w:rPr>
          <w:rFonts w:asciiTheme="minorHAnsi" w:hAnsiTheme="minorHAnsi" w:cstheme="minorHAnsi"/>
          <w:sz w:val="24"/>
          <w:szCs w:val="24"/>
        </w:rPr>
        <w:t xml:space="preserve">For all participants completing the survey online or over the phone, the survey technology includes tailored skip patterns and text fills, which allows respondents to move through the questions more easily and minimizes respondent burden. Lastly, for the Participation Survey, by using the pre-selected </w:t>
      </w:r>
      <w:r w:rsidRPr="003C7060">
        <w:rPr>
          <w:rFonts w:asciiTheme="minorHAnsi" w:hAnsiTheme="minorHAnsi" w:cstheme="minorHAnsi"/>
          <w:sz w:val="24"/>
          <w:szCs w:val="24"/>
        </w:rPr>
        <w:t>AmeriSpeak</w:t>
      </w:r>
      <w:r w:rsidRPr="003C7060">
        <w:rPr>
          <w:rFonts w:asciiTheme="minorHAnsi" w:hAnsiTheme="minorHAnsi" w:cstheme="minorHAnsi"/>
          <w:sz w:val="24"/>
          <w:szCs w:val="24"/>
        </w:rPr>
        <w:t xml:space="preserve"> panelists for a longitudinal study, costs and respondent burden associated with locating and contacting respondents are kept to a minimum.</w:t>
      </w:r>
    </w:p>
    <w:p w:rsidR="792367B0" w:rsidRPr="003C7060" w:rsidP="7E33775C" w14:paraId="4A7136A7" w14:textId="74CFCC10">
      <w:pPr>
        <w:ind w:firstLine="720"/>
        <w:rPr>
          <w:rFonts w:asciiTheme="minorHAnsi" w:hAnsiTheme="minorHAnsi" w:cstheme="minorHAnsi"/>
          <w:sz w:val="24"/>
          <w:szCs w:val="24"/>
        </w:rPr>
      </w:pPr>
      <w:r w:rsidRPr="003C7060">
        <w:rPr>
          <w:rFonts w:asciiTheme="minorHAnsi" w:hAnsiTheme="minorHAnsi" w:cstheme="minorHAnsi"/>
          <w:sz w:val="24"/>
          <w:szCs w:val="24"/>
        </w:rPr>
        <w:t xml:space="preserve">The USCG and NORC have also conducted usability testing to determine if the survey questionnaire associated with this collection used plain language. </w:t>
      </w:r>
      <w:r w:rsidRPr="003C7060" w:rsidR="19408BF3">
        <w:rPr>
          <w:rFonts w:asciiTheme="minorHAnsi" w:hAnsiTheme="minorHAnsi" w:cstheme="minorHAnsi"/>
          <w:sz w:val="24"/>
          <w:szCs w:val="24"/>
        </w:rPr>
        <w:t xml:space="preserve">Eight </w:t>
      </w:r>
      <w:r w:rsidRPr="003C7060">
        <w:rPr>
          <w:rFonts w:asciiTheme="minorHAnsi" w:hAnsiTheme="minorHAnsi" w:cstheme="minorHAnsi"/>
          <w:sz w:val="24"/>
          <w:szCs w:val="24"/>
        </w:rPr>
        <w:t>participants</w:t>
      </w:r>
      <w:r w:rsidRPr="003C7060" w:rsidR="08980460">
        <w:rPr>
          <w:rFonts w:asciiTheme="minorHAnsi" w:hAnsiTheme="minorHAnsi" w:cstheme="minorHAnsi"/>
          <w:sz w:val="24"/>
          <w:szCs w:val="24"/>
        </w:rPr>
        <w:t xml:space="preserve"> that participated in recreational boating</w:t>
      </w:r>
      <w:r w:rsidRPr="003C7060">
        <w:rPr>
          <w:rFonts w:asciiTheme="minorHAnsi" w:hAnsiTheme="minorHAnsi" w:cstheme="minorHAnsi"/>
          <w:sz w:val="24"/>
          <w:szCs w:val="24"/>
        </w:rPr>
        <w:t xml:space="preserve"> were </w:t>
      </w:r>
      <w:r w:rsidRPr="003C7060" w:rsidR="18225B53">
        <w:rPr>
          <w:rFonts w:asciiTheme="minorHAnsi" w:hAnsiTheme="minorHAnsi" w:cstheme="minorHAnsi"/>
          <w:sz w:val="24"/>
          <w:szCs w:val="24"/>
        </w:rPr>
        <w:t>recruited to participate in a</w:t>
      </w:r>
      <w:r w:rsidRPr="003C7060" w:rsidR="73AD7B7B">
        <w:rPr>
          <w:rFonts w:asciiTheme="minorHAnsi" w:hAnsiTheme="minorHAnsi" w:cstheme="minorHAnsi"/>
          <w:sz w:val="24"/>
          <w:szCs w:val="24"/>
        </w:rPr>
        <w:t xml:space="preserve"> usability test utilizing a “think aloud” method</w:t>
      </w:r>
      <w:r w:rsidRPr="003C7060" w:rsidR="18225B53">
        <w:rPr>
          <w:rFonts w:asciiTheme="minorHAnsi" w:hAnsiTheme="minorHAnsi" w:cstheme="minorHAnsi"/>
          <w:sz w:val="24"/>
          <w:szCs w:val="24"/>
        </w:rPr>
        <w:t xml:space="preserve">. </w:t>
      </w:r>
      <w:r w:rsidRPr="003C7060" w:rsidR="3F83C813">
        <w:rPr>
          <w:rFonts w:asciiTheme="minorHAnsi" w:hAnsiTheme="minorHAnsi" w:cstheme="minorHAnsi"/>
          <w:sz w:val="24"/>
          <w:szCs w:val="24"/>
        </w:rPr>
        <w:t xml:space="preserve">NORC </w:t>
      </w:r>
      <w:r w:rsidRPr="003C7060" w:rsidR="18225B53">
        <w:rPr>
          <w:rFonts w:asciiTheme="minorHAnsi" w:hAnsiTheme="minorHAnsi" w:cstheme="minorHAnsi"/>
          <w:sz w:val="24"/>
          <w:szCs w:val="24"/>
        </w:rPr>
        <w:t>found that respondents understood the Instructions and Survey</w:t>
      </w:r>
      <w:r w:rsidRPr="003C7060" w:rsidR="07BFF23D">
        <w:rPr>
          <w:rFonts w:asciiTheme="minorHAnsi" w:hAnsiTheme="minorHAnsi" w:cstheme="minorHAnsi"/>
          <w:sz w:val="24"/>
          <w:szCs w:val="24"/>
        </w:rPr>
        <w:t xml:space="preserve"> and provided feedback on wording of questions. NORC and USCG have made changes to the survey questionnaire based off these interviews. </w:t>
      </w:r>
    </w:p>
    <w:p w:rsidR="7E33775C" w:rsidRPr="003C7060" w:rsidP="7E33775C" w14:paraId="45442DA4" w14:textId="7A1FA3C2">
      <w:pPr>
        <w:ind w:firstLine="720"/>
        <w:rPr>
          <w:rFonts w:asciiTheme="minorHAnsi" w:hAnsiTheme="minorHAnsi" w:cstheme="minorHAnsi"/>
          <w:sz w:val="24"/>
          <w:szCs w:val="24"/>
        </w:rPr>
      </w:pPr>
    </w:p>
    <w:p w:rsidR="009C2D55" w:rsidRPr="003C7060" w:rsidP="7E33775C" w14:paraId="11E1F07D" w14:textId="5A812D12">
      <w:pPr>
        <w:pStyle w:val="BodyText"/>
        <w:numPr>
          <w:ilvl w:val="0"/>
          <w:numId w:val="4"/>
        </w:numPr>
        <w:spacing w:before="11"/>
        <w:rPr>
          <w:rFonts w:asciiTheme="minorHAnsi" w:hAnsiTheme="minorHAnsi" w:cstheme="minorHAnsi"/>
        </w:rPr>
      </w:pPr>
      <w:r w:rsidRPr="003C7060">
        <w:rPr>
          <w:rFonts w:asciiTheme="minorHAnsi" w:hAnsiTheme="minorHAnsi" w:cstheme="minorHAnsi"/>
          <w:spacing w:val="-2"/>
          <w:u w:val="single"/>
        </w:rPr>
        <w:t>Non-duplication</w:t>
      </w:r>
      <w:r w:rsidRPr="003C7060" w:rsidR="000B4494">
        <w:rPr>
          <w:rFonts w:asciiTheme="minorHAnsi" w:hAnsiTheme="minorHAnsi" w:cstheme="minorHAnsi"/>
          <w:spacing w:val="-2"/>
          <w:u w:val="single"/>
        </w:rPr>
        <w:br/>
      </w:r>
    </w:p>
    <w:p w:rsidR="006F474C" w:rsidRPr="003C7060" w:rsidP="7E33775C" w14:paraId="089A6F2A" w14:textId="281366CA">
      <w:pPr>
        <w:pStyle w:val="BodyText"/>
        <w:spacing w:before="4" w:line="252" w:lineRule="auto"/>
        <w:ind w:firstLine="720"/>
        <w:rPr>
          <w:rFonts w:asciiTheme="minorHAnsi" w:hAnsiTheme="minorHAnsi" w:cstheme="minorHAnsi"/>
          <w:sz w:val="17"/>
          <w:szCs w:val="17"/>
        </w:rPr>
      </w:pPr>
      <w:r w:rsidRPr="003C7060">
        <w:rPr>
          <w:rFonts w:asciiTheme="minorHAnsi" w:hAnsiTheme="minorHAnsi" w:cstheme="minorHAnsi"/>
        </w:rPr>
        <w:t xml:space="preserve">The USCG did an extensive search of available information on boats, boaters, and boating activities to determine if the critical need for recent boating information could be met. No comprehensive national boating data source was identified. Since our most recent information collection (which took place in 2018), no information collections have been conducted from which the USCG could obtain reliable up-to-date estimates on the number of recreational boats, boating households, boaters, or activities at the national and state levels. Sensor data such as Automatic Identification System (AIS) </w:t>
      </w:r>
      <w:r w:rsidRPr="003C7060" w:rsidR="002E3159">
        <w:rPr>
          <w:rFonts w:asciiTheme="minorHAnsi" w:hAnsiTheme="minorHAnsi" w:cstheme="minorHAnsi"/>
        </w:rPr>
        <w:t>are</w:t>
      </w:r>
      <w:r w:rsidRPr="003C7060">
        <w:rPr>
          <w:rFonts w:asciiTheme="minorHAnsi" w:hAnsiTheme="minorHAnsi" w:cstheme="minorHAnsi"/>
        </w:rPr>
        <w:t xml:space="preserve"> not reliable for recreational boats as there is no carriage requirement for AIS systems by a recreational boater.</w:t>
      </w:r>
      <w:r w:rsidRPr="003C7060" w:rsidR="002E3159">
        <w:rPr>
          <w:rFonts w:asciiTheme="minorHAnsi" w:hAnsiTheme="minorHAnsi" w:cstheme="minorHAnsi"/>
        </w:rPr>
        <w:t xml:space="preserve"> These data would not represent the population that is being targeted in this information collection.</w:t>
      </w:r>
      <w:r w:rsidRPr="003C7060">
        <w:rPr>
          <w:rFonts w:asciiTheme="minorHAnsi" w:hAnsiTheme="minorHAnsi" w:cstheme="minorHAnsi"/>
        </w:rPr>
        <w:br/>
      </w:r>
    </w:p>
    <w:p w:rsidR="009C2D55" w:rsidRPr="003C7060" w:rsidP="7E33775C" w14:paraId="580F6BA3" w14:textId="77777777">
      <w:pPr>
        <w:pStyle w:val="ListParagraph"/>
        <w:numPr>
          <w:ilvl w:val="0"/>
          <w:numId w:val="4"/>
        </w:numPr>
        <w:tabs>
          <w:tab w:val="left" w:pos="1301"/>
        </w:tabs>
        <w:rPr>
          <w:rFonts w:asciiTheme="minorHAnsi" w:hAnsiTheme="minorHAnsi" w:cstheme="minorHAnsi"/>
          <w:sz w:val="24"/>
          <w:szCs w:val="24"/>
        </w:rPr>
      </w:pPr>
      <w:r w:rsidRPr="003C7060">
        <w:rPr>
          <w:rFonts w:asciiTheme="minorHAnsi" w:hAnsiTheme="minorHAnsi" w:cstheme="minorHAnsi"/>
          <w:sz w:val="24"/>
          <w:szCs w:val="24"/>
          <w:u w:val="single"/>
        </w:rPr>
        <w:t>Burden on</w:t>
      </w:r>
      <w:r w:rsidRPr="003C7060">
        <w:rPr>
          <w:rFonts w:asciiTheme="minorHAnsi" w:hAnsiTheme="minorHAnsi" w:cstheme="minorHAnsi"/>
          <w:spacing w:val="-5"/>
          <w:sz w:val="24"/>
          <w:szCs w:val="24"/>
          <w:u w:val="single"/>
        </w:rPr>
        <w:t xml:space="preserve"> </w:t>
      </w:r>
      <w:r w:rsidRPr="003C7060">
        <w:rPr>
          <w:rFonts w:asciiTheme="minorHAnsi" w:hAnsiTheme="minorHAnsi" w:cstheme="minorHAnsi"/>
          <w:sz w:val="24"/>
          <w:szCs w:val="24"/>
          <w:u w:val="single"/>
        </w:rPr>
        <w:t>Small</w:t>
      </w:r>
      <w:r w:rsidRPr="003C7060">
        <w:rPr>
          <w:rFonts w:asciiTheme="minorHAnsi" w:hAnsiTheme="minorHAnsi" w:cstheme="minorHAnsi"/>
          <w:spacing w:val="-6"/>
          <w:sz w:val="24"/>
          <w:szCs w:val="24"/>
          <w:u w:val="single"/>
        </w:rPr>
        <w:t xml:space="preserve"> </w:t>
      </w:r>
      <w:r w:rsidRPr="003C7060">
        <w:rPr>
          <w:rFonts w:asciiTheme="minorHAnsi" w:hAnsiTheme="minorHAnsi" w:cstheme="minorHAnsi"/>
          <w:spacing w:val="-2"/>
          <w:sz w:val="24"/>
          <w:szCs w:val="24"/>
          <w:u w:val="single"/>
        </w:rPr>
        <w:t>Business</w:t>
      </w:r>
    </w:p>
    <w:p w:rsidR="006F474C" w:rsidRPr="003C7060" w:rsidP="7E33775C" w14:paraId="6FE7D132" w14:textId="60159304">
      <w:pPr>
        <w:spacing w:before="4"/>
        <w:rPr>
          <w:rFonts w:asciiTheme="minorHAnsi" w:hAnsiTheme="minorHAnsi" w:cstheme="minorHAnsi"/>
          <w:sz w:val="24"/>
          <w:szCs w:val="24"/>
        </w:rPr>
      </w:pPr>
      <w:r w:rsidRPr="003C7060">
        <w:rPr>
          <w:rFonts w:asciiTheme="minorHAnsi" w:hAnsiTheme="minorHAnsi" w:cstheme="minorHAnsi"/>
        </w:rPr>
        <w:br/>
      </w:r>
      <w:r w:rsidRPr="003C7060">
        <w:rPr>
          <w:rFonts w:asciiTheme="minorHAnsi" w:hAnsiTheme="minorHAnsi" w:cstheme="minorHAnsi"/>
        </w:rPr>
        <w:tab/>
      </w:r>
      <w:r w:rsidRPr="003C7060">
        <w:rPr>
          <w:rFonts w:asciiTheme="minorHAnsi" w:hAnsiTheme="minorHAnsi" w:cstheme="minorHAnsi"/>
          <w:sz w:val="24"/>
          <w:szCs w:val="24"/>
        </w:rPr>
        <w:t xml:space="preserve">The NRBSS is a voluntary, social survey primarily designed to collect data from individual recreational boating participants. Because the study focuses on the residential population, the data collection effort will not place an undue response burden on small businesses or similar entities. </w:t>
      </w:r>
    </w:p>
    <w:p w:rsidR="009C2D55" w:rsidRPr="003C7060" w:rsidP="7E33775C" w14:paraId="3E5A92F7" w14:textId="77777777">
      <w:pPr>
        <w:pStyle w:val="BodyText"/>
        <w:rPr>
          <w:rFonts w:asciiTheme="minorHAnsi" w:hAnsiTheme="minorHAnsi" w:cstheme="minorHAnsi"/>
        </w:rPr>
      </w:pPr>
    </w:p>
    <w:p w:rsidR="009C2D55" w:rsidRPr="003C7060" w:rsidP="7E33775C" w14:paraId="33C4E1CD" w14:textId="77777777">
      <w:pPr>
        <w:pStyle w:val="ListParagraph"/>
        <w:numPr>
          <w:ilvl w:val="0"/>
          <w:numId w:val="4"/>
        </w:numPr>
        <w:tabs>
          <w:tab w:val="left" w:pos="1301"/>
        </w:tabs>
        <w:rPr>
          <w:rFonts w:asciiTheme="minorHAnsi" w:hAnsiTheme="minorHAnsi" w:cstheme="minorHAnsi"/>
          <w:sz w:val="24"/>
          <w:szCs w:val="24"/>
        </w:rPr>
      </w:pPr>
      <w:r w:rsidRPr="003C7060">
        <w:rPr>
          <w:rFonts w:asciiTheme="minorHAnsi" w:hAnsiTheme="minorHAnsi" w:cstheme="minorHAnsi"/>
          <w:sz w:val="24"/>
          <w:szCs w:val="24"/>
          <w:u w:val="single"/>
        </w:rPr>
        <w:t>Less</w:t>
      </w:r>
      <w:r w:rsidRPr="003C7060">
        <w:rPr>
          <w:rFonts w:asciiTheme="minorHAnsi" w:hAnsiTheme="minorHAnsi" w:cstheme="minorHAnsi"/>
          <w:spacing w:val="-3"/>
          <w:sz w:val="24"/>
          <w:szCs w:val="24"/>
          <w:u w:val="single"/>
        </w:rPr>
        <w:t xml:space="preserve"> </w:t>
      </w:r>
      <w:r w:rsidRPr="003C7060">
        <w:rPr>
          <w:rFonts w:asciiTheme="minorHAnsi" w:hAnsiTheme="minorHAnsi" w:cstheme="minorHAnsi"/>
          <w:sz w:val="24"/>
          <w:szCs w:val="24"/>
          <w:u w:val="single"/>
        </w:rPr>
        <w:t>Frequent</w:t>
      </w:r>
      <w:r w:rsidRPr="003C7060">
        <w:rPr>
          <w:rFonts w:asciiTheme="minorHAnsi" w:hAnsiTheme="minorHAnsi" w:cstheme="minorHAnsi"/>
          <w:spacing w:val="-4"/>
          <w:sz w:val="24"/>
          <w:szCs w:val="24"/>
          <w:u w:val="single"/>
        </w:rPr>
        <w:t xml:space="preserve"> </w:t>
      </w:r>
      <w:r w:rsidRPr="003C7060">
        <w:rPr>
          <w:rFonts w:asciiTheme="minorHAnsi" w:hAnsiTheme="minorHAnsi" w:cstheme="minorHAnsi"/>
          <w:spacing w:val="-2"/>
          <w:sz w:val="24"/>
          <w:szCs w:val="24"/>
          <w:u w:val="single"/>
        </w:rPr>
        <w:t>Collection</w:t>
      </w:r>
    </w:p>
    <w:p w:rsidR="0AFE1C18" w:rsidRPr="003C7060" w:rsidP="7E33775C" w14:paraId="4D45CEB5" w14:textId="74B0F911">
      <w:pPr>
        <w:pStyle w:val="BodyText"/>
        <w:spacing w:before="8"/>
        <w:ind w:firstLine="720"/>
        <w:rPr>
          <w:rFonts w:asciiTheme="minorHAnsi" w:hAnsiTheme="minorHAnsi" w:cstheme="minorHAnsi"/>
          <w:color w:val="0070C0"/>
        </w:rPr>
      </w:pPr>
    </w:p>
    <w:p w:rsidR="009C2D55" w:rsidRPr="003C7060" w:rsidP="7E33775C" w14:paraId="6551B1D6" w14:textId="000B61A9">
      <w:pPr>
        <w:pStyle w:val="BodyText"/>
        <w:spacing w:before="8"/>
        <w:ind w:firstLine="720"/>
        <w:rPr>
          <w:rFonts w:asciiTheme="minorHAnsi" w:hAnsiTheme="minorHAnsi" w:cstheme="minorHAnsi"/>
        </w:rPr>
      </w:pPr>
      <w:r w:rsidRPr="003C7060">
        <w:rPr>
          <w:rFonts w:asciiTheme="minorHAnsi" w:hAnsiTheme="minorHAnsi" w:cstheme="minorHAnsi"/>
        </w:rPr>
        <w:t>The last collection of data was conducted in 2018. Since 2018, there have been major banner events that have shaped recreational boating</w:t>
      </w:r>
      <w:r w:rsidRPr="003C7060" w:rsidR="002E3159">
        <w:rPr>
          <w:rFonts w:asciiTheme="minorHAnsi" w:hAnsiTheme="minorHAnsi" w:cstheme="minorHAnsi"/>
        </w:rPr>
        <w:t xml:space="preserve"> safety</w:t>
      </w:r>
      <w:r w:rsidRPr="003C7060">
        <w:rPr>
          <w:rFonts w:asciiTheme="minorHAnsi" w:hAnsiTheme="minorHAnsi" w:cstheme="minorHAnsi"/>
        </w:rPr>
        <w:t xml:space="preserve">. During the global COVID-19 pandemic, the United States saw its highest </w:t>
      </w:r>
      <w:r w:rsidRPr="003C7060" w:rsidR="0010635C">
        <w:rPr>
          <w:rFonts w:asciiTheme="minorHAnsi" w:hAnsiTheme="minorHAnsi" w:cstheme="minorHAnsi"/>
        </w:rPr>
        <w:t xml:space="preserve">recreational boating </w:t>
      </w:r>
      <w:r w:rsidRPr="003C7060" w:rsidR="554F8A19">
        <w:rPr>
          <w:rFonts w:asciiTheme="minorHAnsi" w:hAnsiTheme="minorHAnsi" w:cstheme="minorHAnsi"/>
        </w:rPr>
        <w:t>fatality</w:t>
      </w:r>
      <w:r w:rsidRPr="003C7060" w:rsidR="00C30F0C">
        <w:rPr>
          <w:rFonts w:asciiTheme="minorHAnsi" w:hAnsiTheme="minorHAnsi" w:cstheme="minorHAnsi"/>
        </w:rPr>
        <w:t xml:space="preserve"> </w:t>
      </w:r>
      <w:r w:rsidRPr="003C7060" w:rsidR="0010635C">
        <w:rPr>
          <w:rFonts w:asciiTheme="minorHAnsi" w:hAnsiTheme="minorHAnsi" w:cstheme="minorHAnsi"/>
        </w:rPr>
        <w:t>and injury</w:t>
      </w:r>
      <w:r w:rsidRPr="003C7060" w:rsidR="554F8A19">
        <w:rPr>
          <w:rFonts w:asciiTheme="minorHAnsi" w:hAnsiTheme="minorHAnsi" w:cstheme="minorHAnsi"/>
        </w:rPr>
        <w:t xml:space="preserve"> number</w:t>
      </w:r>
      <w:r w:rsidRPr="003C7060" w:rsidR="0010635C">
        <w:rPr>
          <w:rFonts w:asciiTheme="minorHAnsi" w:hAnsiTheme="minorHAnsi" w:cstheme="minorHAnsi"/>
        </w:rPr>
        <w:t xml:space="preserve"> in at least a decade</w:t>
      </w:r>
      <w:r w:rsidRPr="003C7060" w:rsidR="554F8A19">
        <w:rPr>
          <w:rFonts w:asciiTheme="minorHAnsi" w:hAnsiTheme="minorHAnsi" w:cstheme="minorHAnsi"/>
        </w:rPr>
        <w:t xml:space="preserve"> due to increased boater and recreational participation in 2020. This also resulted in unprecedented sales for recreational boa</w:t>
      </w:r>
      <w:r w:rsidRPr="003C7060" w:rsidR="2408B13B">
        <w:rPr>
          <w:rFonts w:asciiTheme="minorHAnsi" w:hAnsiTheme="minorHAnsi" w:cstheme="minorHAnsi"/>
        </w:rPr>
        <w:t>ts. Access to purchase a recreational boat has been simplified by retail</w:t>
      </w:r>
      <w:r w:rsidRPr="003C7060" w:rsidR="00C76612">
        <w:rPr>
          <w:rFonts w:asciiTheme="minorHAnsi" w:hAnsiTheme="minorHAnsi" w:cstheme="minorHAnsi"/>
        </w:rPr>
        <w:t xml:space="preserve"> stores</w:t>
      </w:r>
      <w:r w:rsidRPr="003C7060" w:rsidR="2408B13B">
        <w:rPr>
          <w:rFonts w:asciiTheme="minorHAnsi" w:hAnsiTheme="minorHAnsi" w:cstheme="minorHAnsi"/>
        </w:rPr>
        <w:t xml:space="preserve"> leading to a raise in </w:t>
      </w:r>
      <w:r w:rsidRPr="003C7060" w:rsidR="2408B13B">
        <w:rPr>
          <w:rFonts w:asciiTheme="minorHAnsi" w:hAnsiTheme="minorHAnsi" w:cstheme="minorHAnsi"/>
        </w:rPr>
        <w:t>paddlesports</w:t>
      </w:r>
      <w:r w:rsidRPr="003C7060" w:rsidR="2408B13B">
        <w:rPr>
          <w:rFonts w:asciiTheme="minorHAnsi" w:hAnsiTheme="minorHAnsi" w:cstheme="minorHAnsi"/>
        </w:rPr>
        <w:t xml:space="preserve"> (canoes and kayaks) fatalities. </w:t>
      </w:r>
      <w:r w:rsidRPr="003C7060" w:rsidR="20C1638E">
        <w:rPr>
          <w:rFonts w:asciiTheme="minorHAnsi" w:hAnsiTheme="minorHAnsi" w:cstheme="minorHAnsi"/>
        </w:rPr>
        <w:t>If the Coast Guard were to collect these data less frequently, then we will not be responsive to changes in the boating industry</w:t>
      </w:r>
      <w:r w:rsidRPr="003C7060" w:rsidR="744466FC">
        <w:rPr>
          <w:rFonts w:asciiTheme="minorHAnsi" w:hAnsiTheme="minorHAnsi" w:cstheme="minorHAnsi"/>
        </w:rPr>
        <w:t xml:space="preserve"> and data would not be able to capture these banner events. </w:t>
      </w:r>
    </w:p>
    <w:p w:rsidR="2131CDAA" w:rsidRPr="003C7060" w:rsidP="5829B2CD" w14:paraId="321778D0" w14:textId="774A456E">
      <w:pPr>
        <w:spacing w:before="8"/>
        <w:ind w:firstLine="720"/>
        <w:rPr>
          <w:rFonts w:asciiTheme="minorHAnsi" w:hAnsiTheme="minorHAnsi" w:cstheme="minorHAnsi"/>
        </w:rPr>
      </w:pPr>
      <w:r w:rsidRPr="003C7060">
        <w:rPr>
          <w:rFonts w:asciiTheme="minorHAnsi" w:hAnsiTheme="minorHAnsi" w:cstheme="minorHAnsi"/>
          <w:sz w:val="24"/>
          <w:szCs w:val="24"/>
        </w:rPr>
        <w:t xml:space="preserve">The National Boating Safety Advisory </w:t>
      </w:r>
      <w:r w:rsidRPr="003C7060">
        <w:rPr>
          <w:rFonts w:asciiTheme="minorHAnsi" w:hAnsiTheme="minorHAnsi" w:cstheme="minorHAnsi"/>
          <w:sz w:val="24"/>
          <w:szCs w:val="24"/>
        </w:rPr>
        <w:t>Committee,is</w:t>
      </w:r>
      <w:r w:rsidRPr="003C7060">
        <w:rPr>
          <w:rFonts w:asciiTheme="minorHAnsi" w:hAnsiTheme="minorHAnsi" w:cstheme="minorHAnsi"/>
          <w:sz w:val="24"/>
          <w:szCs w:val="24"/>
        </w:rPr>
        <w:t xml:space="preserve"> a Federal Advisory Committee made up of state officials, recreational vessel and associated equipment manufacturers, and members of the general public or national recreational boating organizations.  This Committee has recommended to the Coast Guard that this Survey should be carried out a minimum of every five years and recognizes the importance of work to ensure the establishment of reliable estimates of exposure hours, the estimated population of non-registered boats in the United States, to gather critical information related to the goals and measures within the 2022 – 2026 Strategic Plan of the National Recreational Boating Safety Program.</w:t>
      </w:r>
    </w:p>
    <w:p w:rsidR="0ABFAEFC" w:rsidRPr="003C7060" w:rsidP="7E33775C" w14:paraId="768BDEAE" w14:textId="48DE577E">
      <w:pPr>
        <w:pStyle w:val="BodyText"/>
        <w:spacing w:before="8"/>
        <w:rPr>
          <w:rFonts w:asciiTheme="minorHAnsi" w:hAnsiTheme="minorHAnsi" w:cstheme="minorHAnsi"/>
        </w:rPr>
      </w:pPr>
    </w:p>
    <w:p w:rsidR="009C2D55" w:rsidRPr="003C7060" w:rsidP="7E33775C" w14:paraId="0A20537C" w14:textId="77777777">
      <w:pPr>
        <w:pStyle w:val="ListParagraph"/>
        <w:numPr>
          <w:ilvl w:val="0"/>
          <w:numId w:val="4"/>
        </w:numPr>
        <w:tabs>
          <w:tab w:val="left" w:pos="1301"/>
        </w:tabs>
        <w:spacing w:before="1"/>
        <w:rPr>
          <w:rFonts w:asciiTheme="minorHAnsi" w:hAnsiTheme="minorHAnsi" w:cstheme="minorHAnsi"/>
          <w:sz w:val="24"/>
          <w:szCs w:val="24"/>
        </w:rPr>
      </w:pPr>
      <w:r w:rsidRPr="003C7060">
        <w:rPr>
          <w:rFonts w:asciiTheme="minorHAnsi" w:hAnsiTheme="minorHAnsi" w:cstheme="minorHAnsi"/>
          <w:sz w:val="24"/>
          <w:szCs w:val="24"/>
          <w:u w:val="single"/>
        </w:rPr>
        <w:t>Paperwork</w:t>
      </w:r>
      <w:r w:rsidRPr="003C7060">
        <w:rPr>
          <w:rFonts w:asciiTheme="minorHAnsi" w:hAnsiTheme="minorHAnsi" w:cstheme="minorHAnsi"/>
          <w:spacing w:val="-8"/>
          <w:sz w:val="24"/>
          <w:szCs w:val="24"/>
          <w:u w:val="single"/>
        </w:rPr>
        <w:t xml:space="preserve"> </w:t>
      </w:r>
      <w:r w:rsidRPr="003C7060">
        <w:rPr>
          <w:rFonts w:asciiTheme="minorHAnsi" w:hAnsiTheme="minorHAnsi" w:cstheme="minorHAnsi"/>
          <w:sz w:val="24"/>
          <w:szCs w:val="24"/>
          <w:u w:val="single"/>
        </w:rPr>
        <w:t>Reduction</w:t>
      </w:r>
      <w:r w:rsidRPr="003C7060">
        <w:rPr>
          <w:rFonts w:asciiTheme="minorHAnsi" w:hAnsiTheme="minorHAnsi" w:cstheme="minorHAnsi"/>
          <w:spacing w:val="-2"/>
          <w:sz w:val="24"/>
          <w:szCs w:val="24"/>
          <w:u w:val="single"/>
        </w:rPr>
        <w:t xml:space="preserve"> </w:t>
      </w:r>
      <w:r w:rsidRPr="003C7060">
        <w:rPr>
          <w:rFonts w:asciiTheme="minorHAnsi" w:hAnsiTheme="minorHAnsi" w:cstheme="minorHAnsi"/>
          <w:sz w:val="24"/>
          <w:szCs w:val="24"/>
          <w:u w:val="single"/>
        </w:rPr>
        <w:t>Act</w:t>
      </w:r>
      <w:r w:rsidRPr="003C7060">
        <w:rPr>
          <w:rFonts w:asciiTheme="minorHAnsi" w:hAnsiTheme="minorHAnsi" w:cstheme="minorHAnsi"/>
          <w:spacing w:val="-3"/>
          <w:sz w:val="24"/>
          <w:szCs w:val="24"/>
          <w:u w:val="single"/>
        </w:rPr>
        <w:t xml:space="preserve"> </w:t>
      </w:r>
      <w:r w:rsidRPr="003C7060">
        <w:rPr>
          <w:rFonts w:asciiTheme="minorHAnsi" w:hAnsiTheme="minorHAnsi" w:cstheme="minorHAnsi"/>
          <w:spacing w:val="-2"/>
          <w:sz w:val="24"/>
          <w:szCs w:val="24"/>
          <w:u w:val="single"/>
        </w:rPr>
        <w:t>Guidelines</w:t>
      </w:r>
    </w:p>
    <w:p w:rsidR="009C2D55" w:rsidRPr="003C7060" w:rsidP="7E33775C" w14:paraId="152F6F60" w14:textId="77777777">
      <w:pPr>
        <w:pStyle w:val="BodyText"/>
        <w:spacing w:before="3"/>
        <w:rPr>
          <w:rFonts w:asciiTheme="minorHAnsi" w:hAnsiTheme="minorHAnsi" w:cstheme="minorHAnsi"/>
          <w:sz w:val="17"/>
          <w:szCs w:val="17"/>
        </w:rPr>
      </w:pPr>
    </w:p>
    <w:p w:rsidR="006F474C" w:rsidRPr="003C7060" w:rsidP="7E33775C" w14:paraId="3DD1CA3F" w14:textId="4835EECE">
      <w:pPr>
        <w:ind w:firstLine="720"/>
        <w:rPr>
          <w:rFonts w:asciiTheme="minorHAnsi" w:hAnsiTheme="minorHAnsi" w:cstheme="minorHAnsi"/>
          <w:sz w:val="24"/>
          <w:szCs w:val="24"/>
        </w:rPr>
      </w:pPr>
      <w:r w:rsidRPr="003C7060">
        <w:rPr>
          <w:rFonts w:asciiTheme="minorHAnsi" w:hAnsiTheme="minorHAnsi" w:cstheme="minorHAnsi"/>
          <w:sz w:val="24"/>
          <w:szCs w:val="24"/>
        </w:rPr>
        <w:t>The information collection activities discussed in this ICR comply with all Paperwork Reduction Act regulatory guidelines. No special circumstances are anticipated in this collection of information.</w:t>
      </w:r>
    </w:p>
    <w:p w:rsidR="009C2D55" w:rsidRPr="003C7060" w:rsidP="7E33775C" w14:paraId="73D6374D" w14:textId="77777777">
      <w:pPr>
        <w:pStyle w:val="BodyText"/>
        <w:spacing w:before="5"/>
        <w:rPr>
          <w:rFonts w:asciiTheme="minorHAnsi" w:hAnsiTheme="minorHAnsi" w:cstheme="minorHAnsi"/>
        </w:rPr>
      </w:pPr>
    </w:p>
    <w:p w:rsidR="009C2D55" w:rsidRPr="003C7060" w:rsidP="7E33775C" w14:paraId="7C1478CF" w14:textId="77777777">
      <w:pPr>
        <w:pStyle w:val="ListParagraph"/>
        <w:numPr>
          <w:ilvl w:val="0"/>
          <w:numId w:val="4"/>
        </w:numPr>
        <w:tabs>
          <w:tab w:val="left" w:pos="1301"/>
        </w:tabs>
        <w:rPr>
          <w:rFonts w:asciiTheme="minorHAnsi" w:hAnsiTheme="minorHAnsi" w:cstheme="minorHAnsi"/>
          <w:sz w:val="24"/>
          <w:szCs w:val="24"/>
        </w:rPr>
      </w:pPr>
      <w:r w:rsidRPr="003C7060">
        <w:rPr>
          <w:rFonts w:asciiTheme="minorHAnsi" w:hAnsiTheme="minorHAnsi" w:cstheme="minorHAnsi"/>
          <w:sz w:val="24"/>
          <w:szCs w:val="24"/>
          <w:u w:val="single"/>
        </w:rPr>
        <w:t>Consultation</w:t>
      </w:r>
      <w:r w:rsidRPr="003C7060">
        <w:rPr>
          <w:rFonts w:asciiTheme="minorHAnsi" w:hAnsiTheme="minorHAnsi" w:cstheme="minorHAnsi"/>
          <w:spacing w:val="-5"/>
          <w:sz w:val="24"/>
          <w:szCs w:val="24"/>
          <w:u w:val="single"/>
        </w:rPr>
        <w:t xml:space="preserve"> </w:t>
      </w:r>
      <w:r w:rsidRPr="003C7060">
        <w:rPr>
          <w:rFonts w:asciiTheme="minorHAnsi" w:hAnsiTheme="minorHAnsi" w:cstheme="minorHAnsi"/>
          <w:sz w:val="24"/>
          <w:szCs w:val="24"/>
          <w:u w:val="single"/>
        </w:rPr>
        <w:t>and</w:t>
      </w:r>
      <w:r w:rsidRPr="003C7060">
        <w:rPr>
          <w:rFonts w:asciiTheme="minorHAnsi" w:hAnsiTheme="minorHAnsi" w:cstheme="minorHAnsi"/>
          <w:spacing w:val="-3"/>
          <w:sz w:val="24"/>
          <w:szCs w:val="24"/>
          <w:u w:val="single"/>
        </w:rPr>
        <w:t xml:space="preserve"> </w:t>
      </w:r>
      <w:r w:rsidRPr="003C7060">
        <w:rPr>
          <w:rFonts w:asciiTheme="minorHAnsi" w:hAnsiTheme="minorHAnsi" w:cstheme="minorHAnsi"/>
          <w:sz w:val="24"/>
          <w:szCs w:val="24"/>
          <w:u w:val="single"/>
        </w:rPr>
        <w:t>Public</w:t>
      </w:r>
      <w:r w:rsidRPr="003C7060">
        <w:rPr>
          <w:rFonts w:asciiTheme="minorHAnsi" w:hAnsiTheme="minorHAnsi" w:cstheme="minorHAnsi"/>
          <w:spacing w:val="-5"/>
          <w:sz w:val="24"/>
          <w:szCs w:val="24"/>
          <w:u w:val="single"/>
        </w:rPr>
        <w:t xml:space="preserve"> </w:t>
      </w:r>
      <w:r w:rsidRPr="003C7060">
        <w:rPr>
          <w:rFonts w:asciiTheme="minorHAnsi" w:hAnsiTheme="minorHAnsi" w:cstheme="minorHAnsi"/>
          <w:spacing w:val="-2"/>
          <w:sz w:val="24"/>
          <w:szCs w:val="24"/>
          <w:u w:val="single"/>
        </w:rPr>
        <w:t>Comments</w:t>
      </w:r>
    </w:p>
    <w:p w:rsidR="0005355B" w:rsidRPr="003C7060" w:rsidP="00170FA5" w14:paraId="6CE59F6F" w14:textId="6C316CF8">
      <w:pPr>
        <w:spacing w:before="4" w:line="252" w:lineRule="auto"/>
        <w:rPr>
          <w:rFonts w:asciiTheme="minorHAnsi" w:hAnsiTheme="minorHAnsi" w:cstheme="minorHAnsi"/>
          <w:sz w:val="17"/>
          <w:szCs w:val="17"/>
        </w:rPr>
      </w:pPr>
    </w:p>
    <w:p w:rsidR="0072324C" w:rsidRPr="003C7060" w:rsidP="00A64E80" w14:paraId="73441A5F" w14:textId="2B9F4C48">
      <w:pPr>
        <w:spacing w:line="259" w:lineRule="auto"/>
        <w:ind w:firstLine="720"/>
        <w:rPr>
          <w:rFonts w:asciiTheme="minorHAnsi" w:hAnsiTheme="minorHAnsi" w:cstheme="minorHAnsi"/>
          <w:sz w:val="24"/>
          <w:szCs w:val="24"/>
        </w:rPr>
      </w:pPr>
      <w:r w:rsidRPr="003C7060">
        <w:rPr>
          <w:rFonts w:asciiTheme="minorHAnsi" w:hAnsiTheme="minorHAnsi" w:cstheme="minorHAnsi"/>
          <w:sz w:val="24"/>
          <w:szCs w:val="24"/>
        </w:rPr>
        <w:t>Since 2018, the Coast Guard has worked extensively with its stakeholder groups to update survey instruments and information collection.</w:t>
      </w:r>
      <w:r w:rsidRPr="003C7060" w:rsidR="06A66B44">
        <w:rPr>
          <w:rFonts w:asciiTheme="minorHAnsi" w:hAnsiTheme="minorHAnsi" w:cstheme="minorHAnsi"/>
          <w:sz w:val="24"/>
          <w:szCs w:val="24"/>
        </w:rPr>
        <w:t xml:space="preserve"> </w:t>
      </w:r>
      <w:r w:rsidRPr="003C7060" w:rsidR="13A689E5">
        <w:rPr>
          <w:rFonts w:asciiTheme="minorHAnsi" w:hAnsiTheme="minorHAnsi" w:cstheme="minorHAnsi"/>
          <w:sz w:val="24"/>
          <w:szCs w:val="24"/>
        </w:rPr>
        <w:t>The Coast Guard regularly consults with the National Association of State Boating Law Administrators (NASBLA) via</w:t>
      </w:r>
      <w:r w:rsidRPr="003C7060" w:rsidR="36839864">
        <w:rPr>
          <w:rFonts w:asciiTheme="minorHAnsi" w:hAnsiTheme="minorHAnsi" w:cstheme="minorHAnsi"/>
          <w:sz w:val="24"/>
          <w:szCs w:val="24"/>
        </w:rPr>
        <w:t xml:space="preserve"> its Engineering, Research and Analysis Committee on survey methodology and data. We have worked with NASBLA to provide multiple stakeholder informational webinars</w:t>
      </w:r>
      <w:r w:rsidRPr="003C7060" w:rsidR="309AFD91">
        <w:rPr>
          <w:rFonts w:asciiTheme="minorHAnsi" w:hAnsiTheme="minorHAnsi" w:cstheme="minorHAnsi"/>
          <w:sz w:val="24"/>
          <w:szCs w:val="24"/>
        </w:rPr>
        <w:t xml:space="preserve"> throughout 2022</w:t>
      </w:r>
      <w:r w:rsidRPr="003C7060" w:rsidR="36839864">
        <w:rPr>
          <w:rFonts w:asciiTheme="minorHAnsi" w:hAnsiTheme="minorHAnsi" w:cstheme="minorHAnsi"/>
          <w:sz w:val="24"/>
          <w:szCs w:val="24"/>
        </w:rPr>
        <w:t xml:space="preserve"> </w:t>
      </w:r>
      <w:r w:rsidRPr="003C7060" w:rsidR="73306F7E">
        <w:rPr>
          <w:rFonts w:asciiTheme="minorHAnsi" w:hAnsiTheme="minorHAnsi" w:cstheme="minorHAnsi"/>
          <w:sz w:val="24"/>
          <w:szCs w:val="24"/>
        </w:rPr>
        <w:t xml:space="preserve">with nearly 50 participants </w:t>
      </w:r>
      <w:r w:rsidRPr="003C7060" w:rsidR="36839864">
        <w:rPr>
          <w:rFonts w:asciiTheme="minorHAnsi" w:hAnsiTheme="minorHAnsi" w:cstheme="minorHAnsi"/>
          <w:sz w:val="24"/>
          <w:szCs w:val="24"/>
        </w:rPr>
        <w:t>as well as stakeholder engagement sessions to work on the next NRBSS</w:t>
      </w:r>
      <w:r w:rsidRPr="003C7060" w:rsidR="72B3DCA5">
        <w:rPr>
          <w:rFonts w:asciiTheme="minorHAnsi" w:hAnsiTheme="minorHAnsi" w:cstheme="minorHAnsi"/>
          <w:sz w:val="24"/>
          <w:szCs w:val="24"/>
        </w:rPr>
        <w:t xml:space="preserve"> in 2023</w:t>
      </w:r>
      <w:r w:rsidRPr="003C7060" w:rsidR="04A71AA4">
        <w:rPr>
          <w:rFonts w:asciiTheme="minorHAnsi" w:hAnsiTheme="minorHAnsi" w:cstheme="minorHAnsi"/>
          <w:sz w:val="24"/>
          <w:szCs w:val="24"/>
        </w:rPr>
        <w:t xml:space="preserve">. </w:t>
      </w:r>
      <w:r w:rsidRPr="003C7060" w:rsidR="007834A3">
        <w:rPr>
          <w:rFonts w:asciiTheme="minorHAnsi" w:hAnsiTheme="minorHAnsi" w:cstheme="minorHAnsi"/>
          <w:sz w:val="24"/>
          <w:szCs w:val="24"/>
        </w:rPr>
        <w:t xml:space="preserve">Recordings of these webinars can be accessed at </w:t>
      </w:r>
      <w:hyperlink r:id="rId7">
        <w:r w:rsidRPr="003C7060" w:rsidR="007834A3">
          <w:rPr>
            <w:rStyle w:val="Hyperlink"/>
            <w:rFonts w:asciiTheme="minorHAnsi" w:hAnsiTheme="minorHAnsi" w:cstheme="minorHAnsi"/>
            <w:sz w:val="24"/>
            <w:szCs w:val="24"/>
          </w:rPr>
          <w:t>https://www.nasbla.org/nasblamain/lighthouse/get-equipped/boating-survey</w:t>
        </w:r>
      </w:hyperlink>
      <w:r w:rsidRPr="003C7060" w:rsidR="007834A3">
        <w:rPr>
          <w:rFonts w:asciiTheme="minorHAnsi" w:hAnsiTheme="minorHAnsi" w:cstheme="minorHAnsi"/>
          <w:sz w:val="24"/>
          <w:szCs w:val="24"/>
        </w:rPr>
        <w:t>.</w:t>
      </w:r>
      <w:r w:rsidRPr="003C7060">
        <w:rPr>
          <w:rFonts w:asciiTheme="minorHAnsi" w:hAnsiTheme="minorHAnsi" w:cstheme="minorHAnsi"/>
        </w:rPr>
        <w:br/>
      </w:r>
      <w:r w:rsidRPr="003C7060">
        <w:rPr>
          <w:rFonts w:asciiTheme="minorHAnsi" w:hAnsiTheme="minorHAnsi" w:cstheme="minorHAnsi"/>
        </w:rPr>
        <w:tab/>
      </w:r>
      <w:r w:rsidRPr="003C7060" w:rsidR="32C5B1F0">
        <w:rPr>
          <w:rFonts w:asciiTheme="minorHAnsi" w:hAnsiTheme="minorHAnsi" w:cstheme="minorHAnsi"/>
          <w:sz w:val="24"/>
          <w:szCs w:val="24"/>
        </w:rPr>
        <w:t>The Coast Guard also works with the National Boating Safety Advisory Committee (NBSAC) and its Prevention</w:t>
      </w:r>
      <w:r w:rsidRPr="003C7060" w:rsidR="75BF0D44">
        <w:rPr>
          <w:rFonts w:asciiTheme="minorHAnsi" w:hAnsiTheme="minorHAnsi" w:cstheme="minorHAnsi"/>
          <w:sz w:val="24"/>
          <w:szCs w:val="24"/>
        </w:rPr>
        <w:t xml:space="preserve"> Through People</w:t>
      </w:r>
      <w:r w:rsidRPr="003C7060" w:rsidR="32C5B1F0">
        <w:rPr>
          <w:rFonts w:asciiTheme="minorHAnsi" w:hAnsiTheme="minorHAnsi" w:cstheme="minorHAnsi"/>
          <w:sz w:val="24"/>
          <w:szCs w:val="24"/>
        </w:rPr>
        <w:t xml:space="preserve"> Subcommittee as well as membership at large </w:t>
      </w:r>
      <w:r w:rsidRPr="003C7060" w:rsidR="7816D23C">
        <w:rPr>
          <w:rFonts w:asciiTheme="minorHAnsi" w:hAnsiTheme="minorHAnsi" w:cstheme="minorHAnsi"/>
          <w:sz w:val="24"/>
          <w:szCs w:val="24"/>
        </w:rPr>
        <w:t xml:space="preserve">to collaborate </w:t>
      </w:r>
      <w:r w:rsidRPr="003C7060" w:rsidR="7816D23C">
        <w:rPr>
          <w:rFonts w:asciiTheme="minorHAnsi" w:hAnsiTheme="minorHAnsi" w:cstheme="minorHAnsi"/>
          <w:sz w:val="24"/>
          <w:szCs w:val="24"/>
        </w:rPr>
        <w:t>over the NRBSS. NBSAC members have been afforded numerous opportunities to propose survey questions, provide feedback and give direct comments to the Coast</w:t>
      </w:r>
      <w:r w:rsidRPr="003C7060" w:rsidR="136143BF">
        <w:rPr>
          <w:rFonts w:asciiTheme="minorHAnsi" w:hAnsiTheme="minorHAnsi" w:cstheme="minorHAnsi"/>
          <w:sz w:val="24"/>
          <w:szCs w:val="24"/>
        </w:rPr>
        <w:t xml:space="preserve"> Guard. Coast Guard representatives have presented </w:t>
      </w:r>
      <w:r w:rsidRPr="003C7060" w:rsidR="268588E4">
        <w:rPr>
          <w:rFonts w:asciiTheme="minorHAnsi" w:hAnsiTheme="minorHAnsi" w:cstheme="minorHAnsi"/>
          <w:sz w:val="24"/>
          <w:szCs w:val="24"/>
        </w:rPr>
        <w:t xml:space="preserve">at </w:t>
      </w:r>
      <w:r w:rsidRPr="003C7060" w:rsidR="136143BF">
        <w:rPr>
          <w:rFonts w:asciiTheme="minorHAnsi" w:hAnsiTheme="minorHAnsi" w:cstheme="minorHAnsi"/>
          <w:sz w:val="24"/>
          <w:szCs w:val="24"/>
        </w:rPr>
        <w:t xml:space="preserve">numerous on-the-record NBSAC Committee meetings on the NRBSS including results from the last survey and efforts for a future survey. </w:t>
      </w:r>
    </w:p>
    <w:p w:rsidR="00A64E80" w:rsidRPr="003C7060" w:rsidP="00A64E80" w14:paraId="0580B7BC" w14:textId="77777777">
      <w:pPr>
        <w:pStyle w:val="BodyText"/>
        <w:spacing w:before="3"/>
        <w:ind w:firstLine="720"/>
        <w:rPr>
          <w:rFonts w:asciiTheme="minorHAnsi" w:hAnsiTheme="minorHAnsi" w:cstheme="minorHAnsi"/>
        </w:rPr>
      </w:pPr>
      <w:r w:rsidRPr="003C7060">
        <w:rPr>
          <w:rFonts w:asciiTheme="minorHAnsi" w:hAnsiTheme="minorHAnsi" w:cstheme="minorHAnsi"/>
        </w:rPr>
        <w:t xml:space="preserve">Six comments were received during the 60-Day comment period, and all comments were in support of the NRBSS. The American Canoe Association, the National Association of State Boating Law Administrators (NASBLA), the Marine Retailers Association of the Americas, the American Boat and Yacht Council, and National Safe Boating Council all expressed the importance of NRBSS data in their own work to improve boating safety policies and programs. </w:t>
      </w:r>
    </w:p>
    <w:p w:rsidR="00A64E80" w:rsidRPr="003C7060" w:rsidP="00A64E80" w14:paraId="36156A82" w14:textId="77777777">
      <w:pPr>
        <w:pStyle w:val="BodyText"/>
        <w:spacing w:before="3"/>
        <w:rPr>
          <w:rFonts w:asciiTheme="minorHAnsi" w:hAnsiTheme="minorHAnsi" w:cstheme="minorHAnsi"/>
        </w:rPr>
      </w:pPr>
      <w:r w:rsidRPr="003C7060">
        <w:rPr>
          <w:rFonts w:asciiTheme="minorHAnsi" w:hAnsiTheme="minorHAnsi" w:cstheme="minorHAnsi"/>
        </w:rPr>
        <w:t xml:space="preserve">              NASBLA encouraged including technological improvements in the methodology. The proposed 2026 methodology incorporates technological advancements not used in the 2018 methodology, including the use of text messaging as part of the Exposure and Participation survey methodologies. Text messages can help improve response rates with minimal respondent burden. Allowing respondents to click on a survey link in the text and providing a mobile-optimized web survey that respondents can complete on their phone will help reduce respondent burden. </w:t>
      </w:r>
    </w:p>
    <w:p w:rsidR="009C2D55" w:rsidRPr="003C7060" w:rsidP="7E33775C" w14:paraId="26632B0B" w14:textId="77777777">
      <w:pPr>
        <w:pStyle w:val="BodyText"/>
        <w:spacing w:before="3"/>
        <w:rPr>
          <w:rFonts w:asciiTheme="minorHAnsi" w:hAnsiTheme="minorHAnsi" w:cstheme="minorHAnsi"/>
          <w:sz w:val="23"/>
          <w:szCs w:val="23"/>
        </w:rPr>
      </w:pPr>
    </w:p>
    <w:p w:rsidR="009C2D55" w:rsidRPr="003C7060" w:rsidP="7E33775C" w14:paraId="45771D56" w14:textId="77777777">
      <w:pPr>
        <w:pStyle w:val="ListParagraph"/>
        <w:numPr>
          <w:ilvl w:val="0"/>
          <w:numId w:val="4"/>
        </w:numPr>
        <w:tabs>
          <w:tab w:val="left" w:pos="1301"/>
        </w:tabs>
        <w:rPr>
          <w:rFonts w:asciiTheme="minorHAnsi" w:hAnsiTheme="minorHAnsi" w:cstheme="minorHAnsi"/>
          <w:sz w:val="24"/>
          <w:szCs w:val="24"/>
        </w:rPr>
      </w:pPr>
      <w:r w:rsidRPr="003C7060">
        <w:rPr>
          <w:rFonts w:asciiTheme="minorHAnsi" w:hAnsiTheme="minorHAnsi" w:cstheme="minorHAnsi"/>
          <w:sz w:val="24"/>
          <w:szCs w:val="24"/>
          <w:u w:val="single"/>
        </w:rPr>
        <w:t>Gifts</w:t>
      </w:r>
      <w:r w:rsidRPr="003C7060">
        <w:rPr>
          <w:rFonts w:asciiTheme="minorHAnsi" w:hAnsiTheme="minorHAnsi" w:cstheme="minorHAnsi"/>
          <w:spacing w:val="-1"/>
          <w:sz w:val="24"/>
          <w:szCs w:val="24"/>
          <w:u w:val="single"/>
        </w:rPr>
        <w:t xml:space="preserve"> </w:t>
      </w:r>
      <w:r w:rsidRPr="003C7060">
        <w:rPr>
          <w:rFonts w:asciiTheme="minorHAnsi" w:hAnsiTheme="minorHAnsi" w:cstheme="minorHAnsi"/>
          <w:sz w:val="24"/>
          <w:szCs w:val="24"/>
          <w:u w:val="single"/>
        </w:rPr>
        <w:t>or</w:t>
      </w:r>
      <w:r w:rsidRPr="003C7060">
        <w:rPr>
          <w:rFonts w:asciiTheme="minorHAnsi" w:hAnsiTheme="minorHAnsi" w:cstheme="minorHAnsi"/>
          <w:spacing w:val="-7"/>
          <w:sz w:val="24"/>
          <w:szCs w:val="24"/>
          <w:u w:val="single"/>
        </w:rPr>
        <w:t xml:space="preserve"> </w:t>
      </w:r>
      <w:r w:rsidRPr="003C7060">
        <w:rPr>
          <w:rFonts w:asciiTheme="minorHAnsi" w:hAnsiTheme="minorHAnsi" w:cstheme="minorHAnsi"/>
          <w:spacing w:val="-2"/>
          <w:sz w:val="24"/>
          <w:szCs w:val="24"/>
          <w:u w:val="single"/>
        </w:rPr>
        <w:t>Payment</w:t>
      </w:r>
    </w:p>
    <w:p w:rsidR="009C2D55" w:rsidRPr="003C7060" w:rsidP="7E33775C" w14:paraId="05AD4C01" w14:textId="77777777">
      <w:pPr>
        <w:pStyle w:val="BodyText"/>
        <w:spacing w:before="8"/>
        <w:rPr>
          <w:rFonts w:asciiTheme="minorHAnsi" w:hAnsiTheme="minorHAnsi" w:cstheme="minorHAnsi"/>
          <w:sz w:val="17"/>
          <w:szCs w:val="17"/>
        </w:rPr>
      </w:pPr>
    </w:p>
    <w:p w:rsidR="00886472" w:rsidRPr="003C7060" w:rsidP="7E33775C" w14:paraId="3F18022B" w14:textId="224D0EFF">
      <w:pPr>
        <w:ind w:firstLine="720"/>
        <w:rPr>
          <w:rFonts w:asciiTheme="minorHAnsi" w:hAnsiTheme="minorHAnsi" w:cstheme="minorHAnsi"/>
          <w:sz w:val="24"/>
          <w:szCs w:val="24"/>
        </w:rPr>
      </w:pPr>
      <w:bookmarkStart w:id="3" w:name="OLE_LINK22"/>
      <w:r w:rsidRPr="003C7060">
        <w:rPr>
          <w:rFonts w:asciiTheme="minorHAnsi" w:hAnsiTheme="minorHAnsi" w:cstheme="minorHAnsi"/>
          <w:sz w:val="24"/>
          <w:szCs w:val="24"/>
        </w:rPr>
        <w:t>Nonresponse impacts data quality and the effectiveness of sample sizes, so all options to reduce bias should be incorporated into research designs, including the use of incentives. Incentives can be prepaid (these are the most effective in terms of per-dollar impact on response (Dillman et al., 2014)) or postpaid. Research and best practices are conclusive in that incentives significantly increase response rates, which in turn can help reduce the number of people invited to the survey, increase data quality and limit concerns for bias (</w:t>
      </w:r>
      <w:bookmarkStart w:id="4" w:name="OLE_LINK32"/>
      <w:r w:rsidRPr="003C7060">
        <w:rPr>
          <w:rFonts w:asciiTheme="minorHAnsi" w:hAnsiTheme="minorHAnsi" w:cstheme="minorHAnsi"/>
          <w:sz w:val="24"/>
          <w:szCs w:val="24"/>
        </w:rPr>
        <w:t>Dillman et al., 2014</w:t>
      </w:r>
      <w:bookmarkEnd w:id="4"/>
      <w:r w:rsidRPr="003C7060">
        <w:rPr>
          <w:rFonts w:asciiTheme="minorHAnsi" w:hAnsiTheme="minorHAnsi" w:cstheme="minorHAnsi"/>
          <w:sz w:val="24"/>
          <w:szCs w:val="24"/>
        </w:rPr>
        <w:t>; Stanley et al., 2020).</w:t>
      </w:r>
      <w:bookmarkEnd w:id="3"/>
    </w:p>
    <w:p w:rsidR="00886472" w:rsidRPr="003C7060" w:rsidP="7E33775C" w14:paraId="53496024" w14:textId="77777777">
      <w:pPr>
        <w:pStyle w:val="Heading3"/>
        <w:rPr>
          <w:rFonts w:asciiTheme="minorHAnsi" w:hAnsiTheme="minorHAnsi" w:cstheme="minorHAnsi"/>
          <w:color w:val="auto"/>
          <w:sz w:val="24"/>
          <w:szCs w:val="24"/>
        </w:rPr>
      </w:pPr>
      <w:bookmarkStart w:id="5" w:name="_Toc172540678"/>
      <w:r w:rsidRPr="003C7060">
        <w:rPr>
          <w:rFonts w:asciiTheme="minorHAnsi" w:hAnsiTheme="minorHAnsi" w:cstheme="minorHAnsi"/>
          <w:color w:val="auto"/>
          <w:sz w:val="24"/>
          <w:szCs w:val="24"/>
        </w:rPr>
        <w:t>Exposure Survey Incentives</w:t>
      </w:r>
      <w:bookmarkEnd w:id="5"/>
    </w:p>
    <w:p w:rsidR="00886472" w:rsidRPr="003C7060" w:rsidP="7E33775C" w14:paraId="40FA2091" w14:textId="77777777">
      <w:pPr>
        <w:rPr>
          <w:rFonts w:asciiTheme="minorHAnsi" w:hAnsiTheme="minorHAnsi" w:cstheme="minorHAnsi"/>
          <w:sz w:val="24"/>
          <w:szCs w:val="24"/>
        </w:rPr>
      </w:pPr>
      <w:bookmarkStart w:id="6" w:name="OLE_LINK12"/>
      <w:r w:rsidRPr="003C7060">
        <w:rPr>
          <w:rFonts w:asciiTheme="minorHAnsi" w:hAnsiTheme="minorHAnsi" w:cstheme="minorHAnsi"/>
          <w:sz w:val="24"/>
          <w:szCs w:val="24"/>
        </w:rPr>
        <w:t>Sampled boat owners and ABS addresses will receive a $1 pre-incentive in the first letter inviting them to participate in the survey. They will also receive a $10 electronic gift card as a thank you for completing the survey.</w:t>
      </w:r>
      <w:bookmarkEnd w:id="6"/>
      <w:r w:rsidRPr="003C7060">
        <w:rPr>
          <w:rFonts w:asciiTheme="minorHAnsi" w:hAnsiTheme="minorHAnsi" w:cstheme="minorHAnsi"/>
          <w:sz w:val="24"/>
          <w:szCs w:val="24"/>
        </w:rPr>
        <w:t xml:space="preserve"> Incentives were paid similarly in both the 2018 NRBSS and 2022 FHWAR. </w:t>
      </w:r>
    </w:p>
    <w:p w:rsidR="00886472" w:rsidRPr="003C7060" w:rsidP="7E33775C" w14:paraId="56C02C32" w14:textId="77777777">
      <w:pPr>
        <w:pStyle w:val="Heading3"/>
        <w:rPr>
          <w:rFonts w:asciiTheme="minorHAnsi" w:hAnsiTheme="minorHAnsi" w:cstheme="minorHAnsi"/>
          <w:color w:val="auto"/>
          <w:sz w:val="24"/>
          <w:szCs w:val="24"/>
        </w:rPr>
      </w:pPr>
      <w:bookmarkStart w:id="7" w:name="_Toc172540679"/>
      <w:r w:rsidRPr="003C7060">
        <w:rPr>
          <w:rFonts w:asciiTheme="minorHAnsi" w:hAnsiTheme="minorHAnsi" w:cstheme="minorHAnsi"/>
          <w:color w:val="auto"/>
          <w:sz w:val="24"/>
          <w:szCs w:val="24"/>
        </w:rPr>
        <w:t>Participation Survey Incentives</w:t>
      </w:r>
      <w:bookmarkEnd w:id="7"/>
    </w:p>
    <w:p w:rsidR="00886472" w:rsidRPr="003C7060" w:rsidP="7E33775C" w14:paraId="256C6BFB" w14:textId="77777777">
      <w:pPr>
        <w:rPr>
          <w:rFonts w:asciiTheme="minorHAnsi" w:hAnsiTheme="minorHAnsi" w:cstheme="minorHAnsi"/>
          <w:sz w:val="24"/>
          <w:szCs w:val="24"/>
        </w:rPr>
      </w:pPr>
      <w:r w:rsidRPr="003C7060">
        <w:rPr>
          <w:rFonts w:asciiTheme="minorHAnsi" w:hAnsiTheme="minorHAnsi" w:cstheme="minorHAnsi"/>
          <w:sz w:val="24"/>
          <w:szCs w:val="24"/>
        </w:rPr>
        <w:t>AmeriSpeak</w:t>
      </w:r>
      <w:r w:rsidRPr="003C7060">
        <w:rPr>
          <w:rFonts w:asciiTheme="minorHAnsi" w:hAnsiTheme="minorHAnsi" w:cstheme="minorHAnsi"/>
          <w:sz w:val="24"/>
          <w:szCs w:val="24"/>
        </w:rPr>
        <w:t xml:space="preserve"> panelists will be offered the </w:t>
      </w:r>
      <w:r w:rsidRPr="003C7060">
        <w:rPr>
          <w:rFonts w:asciiTheme="minorHAnsi" w:hAnsiTheme="minorHAnsi" w:cstheme="minorHAnsi"/>
          <w:sz w:val="24"/>
          <w:szCs w:val="24"/>
        </w:rPr>
        <w:t>AmeriPoints</w:t>
      </w:r>
      <w:r w:rsidRPr="003C7060">
        <w:rPr>
          <w:rFonts w:asciiTheme="minorHAnsi" w:hAnsiTheme="minorHAnsi" w:cstheme="minorHAnsi"/>
          <w:sz w:val="24"/>
          <w:szCs w:val="24"/>
        </w:rPr>
        <w:t xml:space="preserve"> (the metric in which panelists are paid incentives) equivalent of $5 as an incentive for completing up to three Participation Survey requests. Panelists receive incentives for all surveys they complete, and the incentive for this study will be slightly larger than a normal </w:t>
      </w:r>
      <w:r w:rsidRPr="003C7060">
        <w:rPr>
          <w:rFonts w:asciiTheme="minorHAnsi" w:hAnsiTheme="minorHAnsi" w:cstheme="minorHAnsi"/>
          <w:sz w:val="24"/>
          <w:szCs w:val="24"/>
        </w:rPr>
        <w:t>AmeriSpeak</w:t>
      </w:r>
      <w:r w:rsidRPr="003C7060">
        <w:rPr>
          <w:rFonts w:asciiTheme="minorHAnsi" w:hAnsiTheme="minorHAnsi" w:cstheme="minorHAnsi"/>
          <w:sz w:val="24"/>
          <w:szCs w:val="24"/>
        </w:rPr>
        <w:t xml:space="preserve"> survey to further encourage cooperation and limit the number of respondents invited to do the survey. </w:t>
      </w:r>
    </w:p>
    <w:p w:rsidR="00886472" w:rsidRPr="003C7060" w:rsidP="7E33775C" w14:paraId="5EF383E6" w14:textId="77777777">
      <w:pPr>
        <w:pStyle w:val="BodyText"/>
        <w:spacing w:before="90" w:line="252" w:lineRule="auto"/>
        <w:rPr>
          <w:rFonts w:asciiTheme="minorHAnsi" w:hAnsiTheme="minorHAnsi" w:cstheme="minorHAnsi"/>
        </w:rPr>
      </w:pPr>
    </w:p>
    <w:p w:rsidR="009C2D55" w:rsidRPr="003C7060" w:rsidP="7E33775C" w14:paraId="152BC208" w14:textId="77777777">
      <w:pPr>
        <w:pStyle w:val="ListParagraph"/>
        <w:numPr>
          <w:ilvl w:val="0"/>
          <w:numId w:val="4"/>
        </w:numPr>
        <w:tabs>
          <w:tab w:val="left" w:pos="1421"/>
        </w:tabs>
        <w:ind w:left="1421" w:hanging="420"/>
        <w:rPr>
          <w:rFonts w:asciiTheme="minorHAnsi" w:hAnsiTheme="minorHAnsi" w:cstheme="minorHAnsi"/>
          <w:sz w:val="24"/>
          <w:szCs w:val="24"/>
        </w:rPr>
      </w:pPr>
      <w:r w:rsidRPr="003C7060">
        <w:rPr>
          <w:rFonts w:asciiTheme="minorHAnsi" w:hAnsiTheme="minorHAnsi" w:cstheme="minorHAnsi"/>
          <w:spacing w:val="-2"/>
          <w:sz w:val="24"/>
          <w:szCs w:val="24"/>
          <w:u w:val="single"/>
        </w:rPr>
        <w:t>Confidentiality</w:t>
      </w:r>
    </w:p>
    <w:p w:rsidR="009C2D55" w:rsidRPr="003C7060" w:rsidP="7E33775C" w14:paraId="4ABF6F11" w14:textId="77777777">
      <w:pPr>
        <w:pStyle w:val="BodyText"/>
        <w:spacing w:before="4"/>
        <w:rPr>
          <w:rFonts w:asciiTheme="minorHAnsi" w:hAnsiTheme="minorHAnsi" w:cstheme="minorHAnsi"/>
          <w:sz w:val="17"/>
          <w:szCs w:val="17"/>
        </w:rPr>
      </w:pPr>
    </w:p>
    <w:p w:rsidR="00886472" w:rsidRPr="003C7060" w:rsidP="7E33775C" w14:paraId="0CFAE9C5" w14:textId="77777777">
      <w:pPr>
        <w:pStyle w:val="BodyText"/>
        <w:ind w:left="100" w:right="129" w:firstLine="620"/>
        <w:rPr>
          <w:rFonts w:asciiTheme="minorHAnsi" w:hAnsiTheme="minorHAnsi" w:cstheme="minorHAnsi"/>
        </w:rPr>
      </w:pPr>
      <w:r w:rsidRPr="003C7060">
        <w:rPr>
          <w:rFonts w:asciiTheme="minorHAnsi" w:hAnsiTheme="minorHAnsi" w:cstheme="minorHAnsi"/>
        </w:rPr>
        <w:t>When</w:t>
      </w:r>
      <w:r w:rsidRPr="003C7060">
        <w:rPr>
          <w:rFonts w:asciiTheme="minorHAnsi" w:hAnsiTheme="minorHAnsi" w:cstheme="minorHAnsi"/>
          <w:spacing w:val="-6"/>
        </w:rPr>
        <w:t xml:space="preserve"> </w:t>
      </w:r>
      <w:r w:rsidRPr="003C7060">
        <w:rPr>
          <w:rFonts w:asciiTheme="minorHAnsi" w:hAnsiTheme="minorHAnsi" w:cstheme="minorHAnsi"/>
        </w:rPr>
        <w:t>an</w:t>
      </w:r>
      <w:r w:rsidRPr="003C7060">
        <w:rPr>
          <w:rFonts w:asciiTheme="minorHAnsi" w:hAnsiTheme="minorHAnsi" w:cstheme="minorHAnsi"/>
          <w:spacing w:val="-6"/>
        </w:rPr>
        <w:t xml:space="preserve"> </w:t>
      </w:r>
      <w:r w:rsidRPr="003C7060">
        <w:rPr>
          <w:rFonts w:asciiTheme="minorHAnsi" w:hAnsiTheme="minorHAnsi" w:cstheme="minorHAnsi"/>
        </w:rPr>
        <w:t>assurance of</w:t>
      </w:r>
      <w:r w:rsidRPr="003C7060">
        <w:rPr>
          <w:rFonts w:asciiTheme="minorHAnsi" w:hAnsiTheme="minorHAnsi" w:cstheme="minorHAnsi"/>
          <w:spacing w:val="-1"/>
        </w:rPr>
        <w:t xml:space="preserve"> </w:t>
      </w:r>
      <w:r w:rsidRPr="003C7060">
        <w:rPr>
          <w:rFonts w:asciiTheme="minorHAnsi" w:hAnsiTheme="minorHAnsi" w:cstheme="minorHAnsi"/>
        </w:rPr>
        <w:t>confidentiality</w:t>
      </w:r>
      <w:r w:rsidRPr="003C7060">
        <w:rPr>
          <w:rFonts w:asciiTheme="minorHAnsi" w:hAnsiTheme="minorHAnsi" w:cstheme="minorHAnsi"/>
          <w:spacing w:val="-1"/>
        </w:rPr>
        <w:t xml:space="preserve"> </w:t>
      </w:r>
      <w:r w:rsidRPr="003C7060">
        <w:rPr>
          <w:rFonts w:asciiTheme="minorHAnsi" w:hAnsiTheme="minorHAnsi" w:cstheme="minorHAnsi"/>
        </w:rPr>
        <w:t>is provided, the</w:t>
      </w:r>
      <w:r w:rsidRPr="003C7060">
        <w:rPr>
          <w:rFonts w:asciiTheme="minorHAnsi" w:hAnsiTheme="minorHAnsi" w:cstheme="minorHAnsi"/>
          <w:spacing w:val="-2"/>
        </w:rPr>
        <w:t xml:space="preserve"> </w:t>
      </w:r>
      <w:r w:rsidRPr="003C7060">
        <w:rPr>
          <w:rFonts w:asciiTheme="minorHAnsi" w:hAnsiTheme="minorHAnsi" w:cstheme="minorHAnsi"/>
        </w:rPr>
        <w:t xml:space="preserve">respondent is being asked to </w:t>
      </w:r>
      <w:r w:rsidRPr="003C7060">
        <w:rPr>
          <w:rFonts w:asciiTheme="minorHAnsi" w:hAnsiTheme="minorHAnsi" w:cstheme="minorHAnsi"/>
        </w:rPr>
        <w:t>submit proprietary, trade secret, or confidential information to</w:t>
      </w:r>
      <w:r w:rsidRPr="003C7060">
        <w:rPr>
          <w:rFonts w:asciiTheme="minorHAnsi" w:hAnsiTheme="minorHAnsi" w:cstheme="minorHAnsi"/>
          <w:spacing w:val="-3"/>
        </w:rPr>
        <w:t xml:space="preserve"> </w:t>
      </w:r>
      <w:r w:rsidRPr="003C7060">
        <w:rPr>
          <w:rFonts w:asciiTheme="minorHAnsi" w:hAnsiTheme="minorHAnsi" w:cstheme="minorHAnsi"/>
        </w:rPr>
        <w:t>the agency.</w:t>
      </w:r>
      <w:r w:rsidRPr="003C7060">
        <w:rPr>
          <w:rFonts w:asciiTheme="minorHAnsi" w:hAnsiTheme="minorHAnsi" w:cstheme="minorHAnsi"/>
          <w:spacing w:val="40"/>
        </w:rPr>
        <w:t xml:space="preserve"> </w:t>
      </w:r>
      <w:r w:rsidRPr="003C7060">
        <w:rPr>
          <w:rFonts w:asciiTheme="minorHAnsi" w:hAnsiTheme="minorHAnsi" w:cstheme="minorHAnsi"/>
        </w:rPr>
        <w:t>In turn</w:t>
      </w:r>
      <w:r w:rsidRPr="003C7060">
        <w:rPr>
          <w:rFonts w:asciiTheme="minorHAnsi" w:hAnsiTheme="minorHAnsi" w:cstheme="minorHAnsi"/>
          <w:spacing w:val="-3"/>
        </w:rPr>
        <w:t xml:space="preserve"> </w:t>
      </w:r>
      <w:r w:rsidRPr="003C7060">
        <w:rPr>
          <w:rFonts w:asciiTheme="minorHAnsi" w:hAnsiTheme="minorHAnsi" w:cstheme="minorHAnsi"/>
        </w:rPr>
        <w:t>the agency is assuring the respondent that it has instituted procedures to protect the confidentiality of the information to the extent permitted by law.</w:t>
      </w:r>
      <w:r w:rsidRPr="003C7060">
        <w:rPr>
          <w:rFonts w:asciiTheme="minorHAnsi" w:hAnsiTheme="minorHAnsi" w:cstheme="minorHAnsi"/>
          <w:spacing w:val="40"/>
        </w:rPr>
        <w:t xml:space="preserve"> </w:t>
      </w:r>
      <w:r w:rsidRPr="003C7060">
        <w:rPr>
          <w:rFonts w:asciiTheme="minorHAnsi" w:hAnsiTheme="minorHAnsi" w:cstheme="minorHAnsi"/>
        </w:rPr>
        <w:t>Some laws governing confidentiality carry large penalties for the agency if the information is not protected properly.</w:t>
      </w:r>
      <w:r w:rsidRPr="003C7060">
        <w:rPr>
          <w:rFonts w:asciiTheme="minorHAnsi" w:hAnsiTheme="minorHAnsi" w:cstheme="minorHAnsi"/>
          <w:spacing w:val="40"/>
        </w:rPr>
        <w:t xml:space="preserve"> </w:t>
      </w:r>
      <w:r w:rsidRPr="003C7060">
        <w:rPr>
          <w:rFonts w:asciiTheme="minorHAnsi" w:hAnsiTheme="minorHAnsi" w:cstheme="minorHAnsi"/>
        </w:rPr>
        <w:t>In addition, collections including an</w:t>
      </w:r>
      <w:r w:rsidRPr="003C7060">
        <w:rPr>
          <w:rFonts w:asciiTheme="minorHAnsi" w:hAnsiTheme="minorHAnsi" w:cstheme="minorHAnsi"/>
          <w:spacing w:val="-8"/>
        </w:rPr>
        <w:t xml:space="preserve"> </w:t>
      </w:r>
      <w:r w:rsidRPr="003C7060">
        <w:rPr>
          <w:rFonts w:asciiTheme="minorHAnsi" w:hAnsiTheme="minorHAnsi" w:cstheme="minorHAnsi"/>
        </w:rPr>
        <w:t>assurance of</w:t>
      </w:r>
      <w:r w:rsidRPr="003C7060">
        <w:rPr>
          <w:rFonts w:asciiTheme="minorHAnsi" w:hAnsiTheme="minorHAnsi" w:cstheme="minorHAnsi"/>
          <w:spacing w:val="-8"/>
        </w:rPr>
        <w:t xml:space="preserve"> </w:t>
      </w:r>
      <w:r w:rsidRPr="003C7060">
        <w:rPr>
          <w:rFonts w:asciiTheme="minorHAnsi" w:hAnsiTheme="minorHAnsi" w:cstheme="minorHAnsi"/>
        </w:rPr>
        <w:t>confidentiality</w:t>
      </w:r>
      <w:r w:rsidRPr="003C7060">
        <w:rPr>
          <w:rFonts w:asciiTheme="minorHAnsi" w:hAnsiTheme="minorHAnsi" w:cstheme="minorHAnsi"/>
          <w:spacing w:val="-8"/>
        </w:rPr>
        <w:t xml:space="preserve"> </w:t>
      </w:r>
      <w:r w:rsidRPr="003C7060">
        <w:rPr>
          <w:rFonts w:asciiTheme="minorHAnsi" w:hAnsiTheme="minorHAnsi" w:cstheme="minorHAnsi"/>
        </w:rPr>
        <w:t>must</w:t>
      </w:r>
      <w:r w:rsidRPr="003C7060">
        <w:rPr>
          <w:rFonts w:asciiTheme="minorHAnsi" w:hAnsiTheme="minorHAnsi" w:cstheme="minorHAnsi"/>
          <w:spacing w:val="-4"/>
        </w:rPr>
        <w:t xml:space="preserve"> </w:t>
      </w:r>
      <w:r w:rsidRPr="003C7060">
        <w:rPr>
          <w:rFonts w:asciiTheme="minorHAnsi" w:hAnsiTheme="minorHAnsi" w:cstheme="minorHAnsi"/>
        </w:rPr>
        <w:t>be</w:t>
      </w:r>
      <w:r w:rsidRPr="003C7060">
        <w:rPr>
          <w:rFonts w:asciiTheme="minorHAnsi" w:hAnsiTheme="minorHAnsi" w:cstheme="minorHAnsi"/>
          <w:spacing w:val="-4"/>
        </w:rPr>
        <w:t xml:space="preserve"> </w:t>
      </w:r>
      <w:r w:rsidRPr="003C7060">
        <w:rPr>
          <w:rFonts w:asciiTheme="minorHAnsi" w:hAnsiTheme="minorHAnsi" w:cstheme="minorHAnsi"/>
        </w:rPr>
        <w:t>supported</w:t>
      </w:r>
      <w:r w:rsidRPr="003C7060">
        <w:rPr>
          <w:rFonts w:asciiTheme="minorHAnsi" w:hAnsiTheme="minorHAnsi" w:cstheme="minorHAnsi"/>
          <w:spacing w:val="-2"/>
        </w:rPr>
        <w:t xml:space="preserve"> </w:t>
      </w:r>
      <w:r w:rsidRPr="003C7060">
        <w:rPr>
          <w:rFonts w:asciiTheme="minorHAnsi" w:hAnsiTheme="minorHAnsi" w:cstheme="minorHAnsi"/>
        </w:rPr>
        <w:t>by</w:t>
      </w:r>
      <w:r w:rsidRPr="003C7060">
        <w:rPr>
          <w:rFonts w:asciiTheme="minorHAnsi" w:hAnsiTheme="minorHAnsi" w:cstheme="minorHAnsi"/>
          <w:spacing w:val="-8"/>
        </w:rPr>
        <w:t xml:space="preserve"> </w:t>
      </w:r>
      <w:r w:rsidRPr="003C7060">
        <w:rPr>
          <w:rFonts w:asciiTheme="minorHAnsi" w:hAnsiTheme="minorHAnsi" w:cstheme="minorHAnsi"/>
        </w:rPr>
        <w:t>an</w:t>
      </w:r>
      <w:r w:rsidRPr="003C7060">
        <w:rPr>
          <w:rFonts w:asciiTheme="minorHAnsi" w:hAnsiTheme="minorHAnsi" w:cstheme="minorHAnsi"/>
          <w:spacing w:val="-8"/>
        </w:rPr>
        <w:t xml:space="preserve"> </w:t>
      </w:r>
      <w:r w:rsidRPr="003C7060">
        <w:rPr>
          <w:rFonts w:asciiTheme="minorHAnsi" w:hAnsiTheme="minorHAnsi" w:cstheme="minorHAnsi"/>
        </w:rPr>
        <w:t>authority</w:t>
      </w:r>
      <w:r w:rsidRPr="003C7060">
        <w:rPr>
          <w:rFonts w:asciiTheme="minorHAnsi" w:hAnsiTheme="minorHAnsi" w:cstheme="minorHAnsi"/>
          <w:spacing w:val="-3"/>
        </w:rPr>
        <w:t xml:space="preserve"> </w:t>
      </w:r>
      <w:r w:rsidRPr="003C7060">
        <w:rPr>
          <w:rFonts w:asciiTheme="minorHAnsi" w:hAnsiTheme="minorHAnsi" w:cstheme="minorHAnsi"/>
        </w:rPr>
        <w:t>established in</w:t>
      </w:r>
      <w:r w:rsidRPr="003C7060">
        <w:rPr>
          <w:rFonts w:asciiTheme="minorHAnsi" w:hAnsiTheme="minorHAnsi" w:cstheme="minorHAnsi"/>
          <w:spacing w:val="-8"/>
        </w:rPr>
        <w:t xml:space="preserve"> </w:t>
      </w:r>
      <w:r w:rsidRPr="003C7060">
        <w:rPr>
          <w:rFonts w:asciiTheme="minorHAnsi" w:hAnsiTheme="minorHAnsi" w:cstheme="minorHAnsi"/>
        </w:rPr>
        <w:t>statute or regulation.</w:t>
      </w:r>
    </w:p>
    <w:p w:rsidR="00886472" w:rsidRPr="003C7060" w:rsidP="7E33775C" w14:paraId="34B85116" w14:textId="40E85D35">
      <w:pPr>
        <w:ind w:firstLine="720"/>
        <w:rPr>
          <w:rFonts w:asciiTheme="minorHAnsi" w:hAnsiTheme="minorHAnsi" w:cstheme="minorHAnsi"/>
          <w:color w:val="000000" w:themeColor="text1"/>
          <w:sz w:val="24"/>
          <w:szCs w:val="24"/>
        </w:rPr>
      </w:pPr>
      <w:r w:rsidRPr="003C7060">
        <w:rPr>
          <w:rFonts w:asciiTheme="minorHAnsi" w:hAnsiTheme="minorHAnsi" w:cstheme="minorHAnsi"/>
          <w:color w:val="000000" w:themeColor="text1"/>
          <w:sz w:val="24"/>
          <w:szCs w:val="24"/>
        </w:rPr>
        <w:t>Individuals contacted will be assured of the confidentiality of their responses under 5 U.S.C. 552a (Privacy Act of 1974) applied to the National Recreational Boating Survey. This survey is covered by an existing SORN: DHS/ALL-002-Department of Homeland Security (DHS) Mailing and Other Lists System November 25, 2008, 73 FR 71659 as well as a Privacy Threshold Analysis.</w:t>
      </w:r>
    </w:p>
    <w:p w:rsidR="00886472" w:rsidRPr="003C7060" w:rsidP="7E33775C" w14:paraId="6871A398" w14:textId="3D23B91B">
      <w:pPr>
        <w:ind w:firstLine="720"/>
        <w:rPr>
          <w:rFonts w:asciiTheme="minorHAnsi" w:hAnsiTheme="minorHAnsi" w:cstheme="minorHAnsi"/>
          <w:color w:val="000000" w:themeColor="text1"/>
          <w:sz w:val="24"/>
          <w:szCs w:val="24"/>
        </w:rPr>
      </w:pPr>
      <w:r w:rsidRPr="003C7060">
        <w:rPr>
          <w:rFonts w:asciiTheme="minorHAnsi" w:hAnsiTheme="minorHAnsi" w:cstheme="minorHAnsi"/>
          <w:color w:val="000000" w:themeColor="text1"/>
          <w:sz w:val="24"/>
          <w:szCs w:val="24"/>
        </w:rPr>
        <w:t>Survey invitations will display OMB approval numbers, statements assuring confidentiality, and contact information so that a knowledgeable member of the project team can answer a respondent’s questions. The questionnaire will also include consent language explaining that the survey is voluntary, they can skip questions, the results will be deidentified, and the length of the survey. A completed questionnaire will imply consent.</w:t>
      </w:r>
    </w:p>
    <w:p w:rsidR="00886472" w:rsidRPr="003C7060" w:rsidP="7E33775C" w14:paraId="61AE5A3F" w14:textId="206D894E">
      <w:pPr>
        <w:ind w:firstLine="720"/>
        <w:rPr>
          <w:rFonts w:asciiTheme="minorHAnsi" w:hAnsiTheme="minorHAnsi" w:cstheme="minorHAnsi"/>
          <w:color w:val="000000" w:themeColor="text1"/>
          <w:sz w:val="24"/>
          <w:szCs w:val="24"/>
        </w:rPr>
      </w:pPr>
      <w:r w:rsidRPr="003C7060">
        <w:rPr>
          <w:rFonts w:asciiTheme="minorHAnsi" w:hAnsiTheme="minorHAnsi" w:cstheme="minorHAnsi"/>
          <w:color w:val="000000" w:themeColor="text1"/>
          <w:sz w:val="24"/>
          <w:szCs w:val="24"/>
        </w:rPr>
        <w:t xml:space="preserve">Precautions also are taken in how the data are handled to prevent a breach of confidentiality. Survey data and all identifying information about respondents will be handled in ways that prevent unauthorized access at any point during the study. Data will be housed on a secure server. Access to mail information will be limited </w:t>
      </w:r>
      <w:r w:rsidRPr="003C7060">
        <w:rPr>
          <w:rFonts w:asciiTheme="minorHAnsi" w:hAnsiTheme="minorHAnsi" w:cstheme="minorHAnsi"/>
          <w:color w:val="000000" w:themeColor="text1"/>
          <w:sz w:val="24"/>
          <w:szCs w:val="24"/>
        </w:rPr>
        <w:t>and on a need</w:t>
      </w:r>
      <w:r w:rsidRPr="003C7060">
        <w:rPr>
          <w:rFonts w:asciiTheme="minorHAnsi" w:hAnsiTheme="minorHAnsi" w:cstheme="minorHAnsi"/>
          <w:color w:val="000000" w:themeColor="text1"/>
          <w:sz w:val="24"/>
          <w:szCs w:val="24"/>
        </w:rPr>
        <w:t xml:space="preserve">-to-know basis. If reports or tabular data are submitted, the data will be reviewed to determine if the subject(s) can be identified when small cell counts occur. If there is the potential for the identification of these subject(s), the data in these cells will be removed. We will adhere to the rules and standards including, but not limited to, the following regulations and policies: </w:t>
      </w:r>
    </w:p>
    <w:p w:rsidR="00886472" w:rsidRPr="003C7060" w:rsidP="7E33775C" w14:paraId="6EF6D252" w14:textId="04FF4C89">
      <w:pPr>
        <w:pStyle w:val="ListParagraph"/>
        <w:numPr>
          <w:ilvl w:val="0"/>
          <w:numId w:val="3"/>
        </w:numPr>
        <w:rPr>
          <w:rFonts w:asciiTheme="minorHAnsi" w:hAnsiTheme="minorHAnsi" w:cstheme="minorHAnsi"/>
          <w:color w:val="000000" w:themeColor="text1"/>
          <w:sz w:val="24"/>
          <w:szCs w:val="24"/>
        </w:rPr>
      </w:pPr>
      <w:r w:rsidRPr="003C7060">
        <w:rPr>
          <w:rFonts w:asciiTheme="minorHAnsi" w:hAnsiTheme="minorHAnsi" w:cstheme="minorHAnsi"/>
          <w:color w:val="000000" w:themeColor="text1"/>
          <w:sz w:val="24"/>
          <w:szCs w:val="24"/>
        </w:rPr>
        <w:t xml:space="preserve">Federal Information Processing Standard (FIPS) Publication (PUB) 199, Standards for Security Categorization of Federal Information and Information Systems  </w:t>
      </w:r>
    </w:p>
    <w:p w:rsidR="00886472" w:rsidRPr="003C7060" w:rsidP="7E33775C" w14:paraId="0A0CD5D9" w14:textId="294B22EB">
      <w:pPr>
        <w:pStyle w:val="ListParagraph"/>
        <w:numPr>
          <w:ilvl w:val="0"/>
          <w:numId w:val="3"/>
        </w:numPr>
        <w:rPr>
          <w:rFonts w:asciiTheme="minorHAnsi" w:hAnsiTheme="minorHAnsi" w:cstheme="minorHAnsi"/>
          <w:color w:val="000000" w:themeColor="text1"/>
          <w:sz w:val="24"/>
          <w:szCs w:val="24"/>
        </w:rPr>
      </w:pPr>
      <w:r w:rsidRPr="003C7060">
        <w:rPr>
          <w:rFonts w:asciiTheme="minorHAnsi" w:hAnsiTheme="minorHAnsi" w:cstheme="minorHAnsi"/>
          <w:color w:val="000000" w:themeColor="text1"/>
          <w:sz w:val="24"/>
          <w:szCs w:val="24"/>
        </w:rPr>
        <w:t xml:space="preserve">FIPS Pub 200, Minimum Security Requirements for Federal Information and Information Systems   </w:t>
      </w:r>
    </w:p>
    <w:p w:rsidR="009C2D55" w:rsidRPr="003C7060" w:rsidP="7E33775C" w14:paraId="7C6B4E83" w14:textId="1DC46C87">
      <w:pPr>
        <w:pStyle w:val="ListParagraph"/>
        <w:numPr>
          <w:ilvl w:val="0"/>
          <w:numId w:val="3"/>
        </w:numPr>
        <w:rPr>
          <w:rFonts w:asciiTheme="minorHAnsi" w:hAnsiTheme="minorHAnsi" w:cstheme="minorHAnsi"/>
          <w:color w:val="000000" w:themeColor="text1"/>
          <w:sz w:val="24"/>
          <w:szCs w:val="24"/>
        </w:rPr>
      </w:pPr>
      <w:r w:rsidRPr="003C7060">
        <w:rPr>
          <w:rFonts w:asciiTheme="minorHAnsi" w:hAnsiTheme="minorHAnsi" w:cstheme="minorHAnsi"/>
          <w:color w:val="000000" w:themeColor="text1"/>
          <w:sz w:val="24"/>
          <w:szCs w:val="24"/>
        </w:rPr>
        <w:t>NIST SP 800-53 Revision 5, Recommended Security Controls for Federal Information Systems</w:t>
      </w:r>
      <w:r w:rsidRPr="003C7060" w:rsidR="5FE21E5A">
        <w:rPr>
          <w:rFonts w:asciiTheme="minorHAnsi" w:hAnsiTheme="minorHAnsi" w:cstheme="minorHAnsi"/>
        </w:rPr>
        <w:br/>
      </w:r>
    </w:p>
    <w:p w:rsidR="009C2D55" w:rsidRPr="003C7060" w:rsidP="7E33775C" w14:paraId="3BAFE104" w14:textId="77777777">
      <w:pPr>
        <w:pStyle w:val="ListParagraph"/>
        <w:numPr>
          <w:ilvl w:val="0"/>
          <w:numId w:val="4"/>
        </w:numPr>
        <w:tabs>
          <w:tab w:val="left" w:pos="1421"/>
        </w:tabs>
        <w:ind w:left="1421" w:hanging="420"/>
        <w:rPr>
          <w:rFonts w:asciiTheme="minorHAnsi" w:hAnsiTheme="minorHAnsi" w:cstheme="minorHAnsi"/>
          <w:sz w:val="24"/>
          <w:szCs w:val="24"/>
        </w:rPr>
      </w:pPr>
      <w:r w:rsidRPr="003C7060">
        <w:rPr>
          <w:rFonts w:asciiTheme="minorHAnsi" w:hAnsiTheme="minorHAnsi" w:cstheme="minorHAnsi"/>
          <w:sz w:val="24"/>
          <w:szCs w:val="24"/>
          <w:u w:val="single"/>
        </w:rPr>
        <w:t>Sensitive</w:t>
      </w:r>
      <w:r w:rsidRPr="003C7060">
        <w:rPr>
          <w:rFonts w:asciiTheme="minorHAnsi" w:hAnsiTheme="minorHAnsi" w:cstheme="minorHAnsi"/>
          <w:spacing w:val="-9"/>
          <w:sz w:val="24"/>
          <w:szCs w:val="24"/>
          <w:u w:val="single"/>
        </w:rPr>
        <w:t xml:space="preserve"> </w:t>
      </w:r>
      <w:r w:rsidRPr="003C7060">
        <w:rPr>
          <w:rFonts w:asciiTheme="minorHAnsi" w:hAnsiTheme="minorHAnsi" w:cstheme="minorHAnsi"/>
          <w:spacing w:val="-2"/>
          <w:sz w:val="24"/>
          <w:szCs w:val="24"/>
          <w:u w:val="single"/>
        </w:rPr>
        <w:t>Questions</w:t>
      </w:r>
    </w:p>
    <w:p w:rsidR="002C5BF3" w:rsidRPr="003C7060" w:rsidP="7E33775C" w14:paraId="5741F117" w14:textId="3F1509EA">
      <w:pPr>
        <w:rPr>
          <w:rFonts w:asciiTheme="minorHAnsi" w:hAnsiTheme="minorHAnsi" w:cstheme="minorHAnsi"/>
          <w:sz w:val="24"/>
          <w:szCs w:val="24"/>
        </w:rPr>
      </w:pPr>
      <w:r w:rsidRPr="003C7060">
        <w:rPr>
          <w:rFonts w:asciiTheme="minorHAnsi" w:hAnsiTheme="minorHAnsi" w:cstheme="minorHAnsi"/>
        </w:rPr>
        <w:br/>
      </w:r>
      <w:r w:rsidRPr="003C7060" w:rsidR="08D0F072">
        <w:rPr>
          <w:rFonts w:asciiTheme="minorHAnsi" w:hAnsiTheme="minorHAnsi" w:cstheme="minorHAnsi"/>
          <w:sz w:val="24"/>
          <w:szCs w:val="24"/>
        </w:rPr>
        <w:t>No sensitive information will be collected.</w:t>
      </w:r>
    </w:p>
    <w:p w:rsidR="009C2D55" w:rsidRPr="003C7060" w:rsidP="7E33775C" w14:paraId="3E2BD6D1" w14:textId="77777777">
      <w:pPr>
        <w:pStyle w:val="BodyText"/>
        <w:spacing w:before="7"/>
        <w:rPr>
          <w:rFonts w:asciiTheme="minorHAnsi" w:hAnsiTheme="minorHAnsi" w:cstheme="minorHAnsi"/>
          <w:sz w:val="23"/>
          <w:szCs w:val="23"/>
        </w:rPr>
      </w:pPr>
    </w:p>
    <w:p w:rsidR="009C2D55" w:rsidRPr="003C7060" w:rsidP="7E33775C" w14:paraId="32DCD875" w14:textId="77777777">
      <w:pPr>
        <w:pStyle w:val="ListParagraph"/>
        <w:numPr>
          <w:ilvl w:val="0"/>
          <w:numId w:val="4"/>
        </w:numPr>
        <w:tabs>
          <w:tab w:val="left" w:pos="1421"/>
        </w:tabs>
        <w:ind w:left="1421" w:hanging="420"/>
        <w:rPr>
          <w:rFonts w:asciiTheme="minorHAnsi" w:hAnsiTheme="minorHAnsi" w:cstheme="minorHAnsi"/>
          <w:sz w:val="24"/>
          <w:szCs w:val="24"/>
        </w:rPr>
      </w:pPr>
      <w:r w:rsidRPr="003C7060">
        <w:rPr>
          <w:rFonts w:asciiTheme="minorHAnsi" w:hAnsiTheme="minorHAnsi" w:cstheme="minorHAnsi"/>
          <w:sz w:val="24"/>
          <w:szCs w:val="24"/>
          <w:u w:val="single"/>
        </w:rPr>
        <w:t>Respondent</w:t>
      </w:r>
      <w:r w:rsidRPr="003C7060">
        <w:rPr>
          <w:rFonts w:asciiTheme="minorHAnsi" w:hAnsiTheme="minorHAnsi" w:cstheme="minorHAnsi"/>
          <w:spacing w:val="-6"/>
          <w:sz w:val="24"/>
          <w:szCs w:val="24"/>
          <w:u w:val="single"/>
        </w:rPr>
        <w:t xml:space="preserve"> </w:t>
      </w:r>
      <w:r w:rsidRPr="003C7060">
        <w:rPr>
          <w:rFonts w:asciiTheme="minorHAnsi" w:hAnsiTheme="minorHAnsi" w:cstheme="minorHAnsi"/>
          <w:sz w:val="24"/>
          <w:szCs w:val="24"/>
          <w:u w:val="single"/>
        </w:rPr>
        <w:t>Burden,</w:t>
      </w:r>
      <w:r w:rsidRPr="003C7060">
        <w:rPr>
          <w:rFonts w:asciiTheme="minorHAnsi" w:hAnsiTheme="minorHAnsi" w:cstheme="minorHAnsi"/>
          <w:spacing w:val="-4"/>
          <w:sz w:val="24"/>
          <w:szCs w:val="24"/>
          <w:u w:val="single"/>
        </w:rPr>
        <w:t xml:space="preserve"> </w:t>
      </w:r>
      <w:r w:rsidRPr="003C7060">
        <w:rPr>
          <w:rFonts w:asciiTheme="minorHAnsi" w:hAnsiTheme="minorHAnsi" w:cstheme="minorHAnsi"/>
          <w:sz w:val="24"/>
          <w:szCs w:val="24"/>
          <w:u w:val="single"/>
        </w:rPr>
        <w:t>and</w:t>
      </w:r>
      <w:r w:rsidRPr="003C7060">
        <w:rPr>
          <w:rFonts w:asciiTheme="minorHAnsi" w:hAnsiTheme="minorHAnsi" w:cstheme="minorHAnsi"/>
          <w:spacing w:val="-1"/>
          <w:sz w:val="24"/>
          <w:szCs w:val="24"/>
          <w:u w:val="single"/>
        </w:rPr>
        <w:t xml:space="preserve"> </w:t>
      </w:r>
      <w:r w:rsidRPr="003C7060">
        <w:rPr>
          <w:rFonts w:asciiTheme="minorHAnsi" w:hAnsiTheme="minorHAnsi" w:cstheme="minorHAnsi"/>
          <w:sz w:val="24"/>
          <w:szCs w:val="24"/>
          <w:u w:val="single"/>
        </w:rPr>
        <w:t>its</w:t>
      </w:r>
      <w:r w:rsidRPr="003C7060">
        <w:rPr>
          <w:rFonts w:asciiTheme="minorHAnsi" w:hAnsiTheme="minorHAnsi" w:cstheme="minorHAnsi"/>
          <w:spacing w:val="-3"/>
          <w:sz w:val="24"/>
          <w:szCs w:val="24"/>
          <w:u w:val="single"/>
        </w:rPr>
        <w:t xml:space="preserve"> </w:t>
      </w:r>
      <w:r w:rsidRPr="003C7060">
        <w:rPr>
          <w:rFonts w:asciiTheme="minorHAnsi" w:hAnsiTheme="minorHAnsi" w:cstheme="minorHAnsi"/>
          <w:sz w:val="24"/>
          <w:szCs w:val="24"/>
          <w:u w:val="single"/>
        </w:rPr>
        <w:t>Labor</w:t>
      </w:r>
      <w:r w:rsidRPr="003C7060">
        <w:rPr>
          <w:rFonts w:asciiTheme="minorHAnsi" w:hAnsiTheme="minorHAnsi" w:cstheme="minorHAnsi"/>
          <w:spacing w:val="-3"/>
          <w:sz w:val="24"/>
          <w:szCs w:val="24"/>
          <w:u w:val="single"/>
        </w:rPr>
        <w:t xml:space="preserve"> </w:t>
      </w:r>
      <w:r w:rsidRPr="003C7060">
        <w:rPr>
          <w:rFonts w:asciiTheme="minorHAnsi" w:hAnsiTheme="minorHAnsi" w:cstheme="minorHAnsi"/>
          <w:spacing w:val="-4"/>
          <w:sz w:val="24"/>
          <w:szCs w:val="24"/>
          <w:u w:val="single"/>
        </w:rPr>
        <w:t>Costs</w:t>
      </w:r>
    </w:p>
    <w:p w:rsidR="009C2D55" w:rsidRPr="003C7060" w:rsidP="7E33775C" w14:paraId="5D68DF36" w14:textId="77777777">
      <w:pPr>
        <w:pStyle w:val="BodyText"/>
        <w:spacing w:before="9"/>
        <w:rPr>
          <w:rFonts w:asciiTheme="minorHAnsi" w:hAnsiTheme="minorHAnsi" w:cstheme="minorHAnsi"/>
          <w:sz w:val="17"/>
          <w:szCs w:val="17"/>
        </w:rPr>
      </w:pPr>
    </w:p>
    <w:p w:rsidR="009C2D55" w:rsidRPr="003C7060" w:rsidP="7E33775C" w14:paraId="1B480B3D" w14:textId="77777777">
      <w:pPr>
        <w:pStyle w:val="ListParagraph"/>
        <w:numPr>
          <w:ilvl w:val="1"/>
          <w:numId w:val="4"/>
        </w:numPr>
        <w:tabs>
          <w:tab w:val="left" w:pos="1735"/>
        </w:tabs>
        <w:spacing w:before="90"/>
        <w:ind w:left="1735" w:hanging="284"/>
        <w:rPr>
          <w:rFonts w:asciiTheme="minorHAnsi" w:hAnsiTheme="minorHAnsi" w:cstheme="minorHAnsi"/>
          <w:sz w:val="24"/>
          <w:szCs w:val="24"/>
        </w:rPr>
      </w:pPr>
      <w:r w:rsidRPr="003C7060">
        <w:rPr>
          <w:rFonts w:asciiTheme="minorHAnsi" w:hAnsiTheme="minorHAnsi" w:cstheme="minorHAnsi"/>
          <w:sz w:val="24"/>
          <w:szCs w:val="24"/>
          <w:u w:val="single"/>
        </w:rPr>
        <w:t>Estimation</w:t>
      </w:r>
      <w:r w:rsidRPr="003C7060">
        <w:rPr>
          <w:rFonts w:asciiTheme="minorHAnsi" w:hAnsiTheme="minorHAnsi" w:cstheme="minorHAnsi"/>
          <w:spacing w:val="-3"/>
          <w:sz w:val="24"/>
          <w:szCs w:val="24"/>
          <w:u w:val="single"/>
        </w:rPr>
        <w:t xml:space="preserve"> </w:t>
      </w:r>
      <w:r w:rsidRPr="003C7060">
        <w:rPr>
          <w:rFonts w:asciiTheme="minorHAnsi" w:hAnsiTheme="minorHAnsi" w:cstheme="minorHAnsi"/>
          <w:sz w:val="24"/>
          <w:szCs w:val="24"/>
          <w:u w:val="single"/>
        </w:rPr>
        <w:t>of</w:t>
      </w:r>
      <w:r w:rsidRPr="003C7060">
        <w:rPr>
          <w:rFonts w:asciiTheme="minorHAnsi" w:hAnsiTheme="minorHAnsi" w:cstheme="minorHAnsi"/>
          <w:spacing w:val="-8"/>
          <w:sz w:val="24"/>
          <w:szCs w:val="24"/>
          <w:u w:val="single"/>
        </w:rPr>
        <w:t xml:space="preserve"> </w:t>
      </w:r>
      <w:r w:rsidRPr="003C7060">
        <w:rPr>
          <w:rFonts w:asciiTheme="minorHAnsi" w:hAnsiTheme="minorHAnsi" w:cstheme="minorHAnsi"/>
          <w:sz w:val="24"/>
          <w:szCs w:val="24"/>
          <w:u w:val="single"/>
        </w:rPr>
        <w:t>Respondent</w:t>
      </w:r>
      <w:r w:rsidRPr="003C7060">
        <w:rPr>
          <w:rFonts w:asciiTheme="minorHAnsi" w:hAnsiTheme="minorHAnsi" w:cstheme="minorHAnsi"/>
          <w:spacing w:val="-3"/>
          <w:sz w:val="24"/>
          <w:szCs w:val="24"/>
          <w:u w:val="single"/>
        </w:rPr>
        <w:t xml:space="preserve"> </w:t>
      </w:r>
      <w:r w:rsidRPr="003C7060">
        <w:rPr>
          <w:rFonts w:asciiTheme="minorHAnsi" w:hAnsiTheme="minorHAnsi" w:cstheme="minorHAnsi"/>
          <w:spacing w:val="-2"/>
          <w:sz w:val="24"/>
          <w:szCs w:val="24"/>
          <w:u w:val="single"/>
        </w:rPr>
        <w:t>Burden</w:t>
      </w:r>
    </w:p>
    <w:p w:rsidR="00FE67BE" w:rsidRPr="003C7060" w:rsidP="7E33775C" w14:paraId="36E2596E" w14:textId="77777777">
      <w:pPr>
        <w:pStyle w:val="Heading3"/>
        <w:spacing w:line="240" w:lineRule="auto"/>
        <w:rPr>
          <w:rFonts w:asciiTheme="minorHAnsi" w:hAnsiTheme="minorHAnsi" w:cstheme="minorHAnsi"/>
          <w:color w:val="auto"/>
          <w:sz w:val="24"/>
          <w:szCs w:val="24"/>
        </w:rPr>
      </w:pPr>
      <w:bookmarkStart w:id="8" w:name="_Toc172540684"/>
      <w:r w:rsidRPr="003C7060">
        <w:rPr>
          <w:rFonts w:asciiTheme="minorHAnsi" w:hAnsiTheme="minorHAnsi" w:cstheme="minorHAnsi"/>
          <w:color w:val="auto"/>
          <w:sz w:val="24"/>
          <w:szCs w:val="24"/>
        </w:rPr>
        <w:t>Estimates of Total Burden Hours to Respondents</w:t>
      </w:r>
      <w:bookmarkEnd w:id="8"/>
    </w:p>
    <w:p w:rsidR="00FE67BE" w:rsidRPr="003C7060" w:rsidP="7E33775C" w14:paraId="248DA6FC" w14:textId="77777777">
      <w:pPr>
        <w:ind w:firstLine="720"/>
        <w:rPr>
          <w:rFonts w:asciiTheme="minorHAnsi" w:hAnsiTheme="minorHAnsi" w:cstheme="minorHAnsi"/>
          <w:sz w:val="24"/>
          <w:szCs w:val="24"/>
        </w:rPr>
      </w:pPr>
      <w:r w:rsidRPr="003C7060">
        <w:rPr>
          <w:rFonts w:asciiTheme="minorHAnsi" w:hAnsiTheme="minorHAnsi" w:cstheme="minorHAnsi"/>
          <w:sz w:val="24"/>
          <w:szCs w:val="24"/>
        </w:rPr>
        <w:t xml:space="preserve">The NRBSS is a study of boating activity and participation. State-supplied boat registration data will be used as one of the sampling frames for selecting boating households. However, the content of State boat registration databases is limited to recreational vessels that owners are required by law to register, which are typically power boats or boats of a certain size. It is also </w:t>
      </w:r>
      <w:r w:rsidRPr="003C7060">
        <w:rPr>
          <w:rFonts w:asciiTheme="minorHAnsi" w:hAnsiTheme="minorHAnsi" w:cstheme="minorHAnsi"/>
          <w:sz w:val="24"/>
          <w:szCs w:val="24"/>
        </w:rPr>
        <w:t xml:space="preserve">anticipated that state confidentiality laws will prevent some states from providing their registration data to the USCG for the NRBSS. Consequently, NORC will use an </w:t>
      </w:r>
      <w:bookmarkStart w:id="9" w:name="OLE_LINK4"/>
      <w:r w:rsidRPr="003C7060">
        <w:rPr>
          <w:rFonts w:asciiTheme="minorHAnsi" w:hAnsiTheme="minorHAnsi" w:cstheme="minorHAnsi"/>
          <w:sz w:val="24"/>
          <w:szCs w:val="24"/>
        </w:rPr>
        <w:t xml:space="preserve">ABS sample and nonprobability online panel </w:t>
      </w:r>
      <w:bookmarkEnd w:id="9"/>
      <w:r w:rsidRPr="003C7060">
        <w:rPr>
          <w:rFonts w:asciiTheme="minorHAnsi" w:hAnsiTheme="minorHAnsi" w:cstheme="minorHAnsi"/>
          <w:sz w:val="24"/>
          <w:szCs w:val="24"/>
        </w:rPr>
        <w:t xml:space="preserve">to provide coverage of the portion of the boating population not included in the State’s boat registration databases. </w:t>
      </w:r>
      <w:bookmarkStart w:id="10" w:name="OLE_LINK5"/>
      <w:r w:rsidRPr="003C7060">
        <w:rPr>
          <w:rFonts w:asciiTheme="minorHAnsi" w:hAnsiTheme="minorHAnsi" w:cstheme="minorHAnsi"/>
          <w:sz w:val="24"/>
          <w:szCs w:val="24"/>
        </w:rPr>
        <w:t xml:space="preserve">In states that provide boat registration data, only households that do not own any registered or documented recreational vessel will be eligible for inclusion in the ABS sample. To do this, ABS sampled addresses also on a registration list will be removed from the ABS sample. </w:t>
      </w:r>
      <w:bookmarkEnd w:id="10"/>
      <w:r w:rsidRPr="003C7060">
        <w:rPr>
          <w:rFonts w:asciiTheme="minorHAnsi" w:hAnsiTheme="minorHAnsi" w:cstheme="minorHAnsi"/>
          <w:sz w:val="24"/>
          <w:szCs w:val="24"/>
        </w:rPr>
        <w:t xml:space="preserve">In states for which boat registration data are not available, all boating households will be eligible for selection in the sample. The Participation Survey will survey </w:t>
      </w:r>
      <w:r w:rsidRPr="003C7060">
        <w:rPr>
          <w:rFonts w:asciiTheme="minorHAnsi" w:hAnsiTheme="minorHAnsi" w:cstheme="minorHAnsi"/>
          <w:sz w:val="24"/>
          <w:szCs w:val="24"/>
        </w:rPr>
        <w:t>AmeriSpeak</w:t>
      </w:r>
      <w:r w:rsidRPr="003C7060">
        <w:rPr>
          <w:rFonts w:asciiTheme="minorHAnsi" w:hAnsiTheme="minorHAnsi" w:cstheme="minorHAnsi"/>
          <w:sz w:val="24"/>
          <w:szCs w:val="24"/>
        </w:rPr>
        <w:t xml:space="preserve"> panelists.</w:t>
      </w:r>
    </w:p>
    <w:p w:rsidR="00766A6D" w:rsidRPr="003C7060" w:rsidP="7E33775C" w14:paraId="33525FB1" w14:textId="04D7E8FA">
      <w:pPr>
        <w:ind w:firstLine="720"/>
        <w:rPr>
          <w:rFonts w:asciiTheme="minorHAnsi" w:hAnsiTheme="minorHAnsi" w:cstheme="minorHAnsi"/>
          <w:sz w:val="24"/>
          <w:szCs w:val="24"/>
        </w:rPr>
      </w:pPr>
      <w:r w:rsidRPr="003C7060">
        <w:rPr>
          <w:rFonts w:asciiTheme="minorHAnsi" w:hAnsiTheme="minorHAnsi" w:cstheme="minorHAnsi"/>
          <w:sz w:val="24"/>
          <w:szCs w:val="24"/>
        </w:rPr>
        <w:t xml:space="preserve">Adding </w:t>
      </w:r>
      <w:r w:rsidRPr="003C7060">
        <w:rPr>
          <w:rFonts w:asciiTheme="minorHAnsi" w:hAnsiTheme="minorHAnsi" w:cstheme="minorHAnsi"/>
          <w:sz w:val="24"/>
          <w:szCs w:val="24"/>
        </w:rPr>
        <w:t>AmeriSpeak</w:t>
      </w:r>
      <w:r w:rsidRPr="003C7060">
        <w:rPr>
          <w:rFonts w:asciiTheme="minorHAnsi" w:hAnsiTheme="minorHAnsi" w:cstheme="minorHAnsi"/>
          <w:sz w:val="24"/>
          <w:szCs w:val="24"/>
        </w:rPr>
        <w:t xml:space="preserve"> and nonprobability panels to the 2026 NRBSS approach has the added benefit of collecting data from panelists who have already volunteered to do surveys and are accustomed to taking surveys. By gathering data from the panels, fewer list and ABS respondents need be contacted reducing respondent burden overall.</w:t>
      </w:r>
    </w:p>
    <w:p w:rsidR="4BA32566" w:rsidRPr="003C7060" w:rsidP="5829B2CD" w14:paraId="258AB84B" w14:textId="748A3033">
      <w:pPr>
        <w:ind w:firstLine="720"/>
        <w:rPr>
          <w:rFonts w:asciiTheme="minorHAnsi" w:hAnsiTheme="minorHAnsi" w:cstheme="minorHAnsi"/>
        </w:rPr>
      </w:pPr>
      <w:r w:rsidRPr="003C7060">
        <w:rPr>
          <w:rFonts w:asciiTheme="minorHAnsi" w:hAnsiTheme="minorHAnsi" w:cstheme="minorHAnsi"/>
          <w:i/>
          <w:iCs/>
          <w:sz w:val="24"/>
          <w:szCs w:val="24"/>
        </w:rPr>
        <w:t>Table 1</w:t>
      </w:r>
      <w:r w:rsidRPr="003C7060">
        <w:rPr>
          <w:rFonts w:asciiTheme="minorHAnsi" w:hAnsiTheme="minorHAnsi" w:cstheme="minorHAnsi"/>
          <w:sz w:val="24"/>
          <w:szCs w:val="24"/>
        </w:rPr>
        <w:t xml:space="preserve"> illustrates the burden hours by sample source for the 2026 NRBSS. These hours were calculated by applying response and eligibility rates to the respective sample sizes to determine the expected number of completes per sample source or survey. The total number of completes were then multiplied by the 1-minute duration time for those who were deemed not eligible for the Exposure Survey after completing a few screening questions (Completed Screeners minus Completed Surveys), 14-minutes for those who completed the Exposure Survey (Completed Surveys) and 30 minutes over the course of the three waves for the Participation Survey (Completed Surveys).  Overall, survey participants will spend about 15,151 hours filling out the different questionnaires for the 2026 NRBSS.</w:t>
      </w:r>
    </w:p>
    <w:p w:rsidR="00766A6D" w:rsidRPr="003C7060" w:rsidP="7E33775C" w14:paraId="34F64259" w14:textId="77777777">
      <w:pPr>
        <w:rPr>
          <w:rFonts w:asciiTheme="minorHAnsi" w:hAnsiTheme="minorHAnsi" w:cstheme="minorHAnsi"/>
          <w:sz w:val="24"/>
          <w:szCs w:val="24"/>
        </w:rPr>
      </w:pPr>
    </w:p>
    <w:p w:rsidR="00FE67BE" w:rsidRPr="003C7060" w:rsidP="7E33775C" w14:paraId="3395BBB3" w14:textId="77777777">
      <w:pPr>
        <w:rPr>
          <w:rFonts w:asciiTheme="minorHAnsi" w:hAnsiTheme="minorHAnsi" w:cstheme="minorHAnsi"/>
          <w:i/>
          <w:iCs/>
          <w:sz w:val="24"/>
          <w:szCs w:val="24"/>
        </w:rPr>
      </w:pPr>
      <w:r w:rsidRPr="003C7060">
        <w:rPr>
          <w:rFonts w:asciiTheme="minorHAnsi" w:hAnsiTheme="minorHAnsi" w:cstheme="minorHAnsi"/>
          <w:sz w:val="24"/>
          <w:szCs w:val="24"/>
        </w:rPr>
        <w:t xml:space="preserve"> </w:t>
      </w:r>
      <w:bookmarkStart w:id="11" w:name="_Ref241406690"/>
      <w:bookmarkStart w:id="12" w:name="_Ref241406672"/>
      <w:r w:rsidRPr="003C7060">
        <w:rPr>
          <w:rFonts w:asciiTheme="minorHAnsi" w:hAnsiTheme="minorHAnsi" w:cstheme="minorHAnsi"/>
          <w:i/>
          <w:iCs/>
          <w:sz w:val="24"/>
          <w:szCs w:val="24"/>
        </w:rPr>
        <w:t xml:space="preserve">Table </w:t>
      </w:r>
      <w:r w:rsidRPr="003C7060">
        <w:rPr>
          <w:rFonts w:asciiTheme="minorHAnsi" w:hAnsiTheme="minorHAnsi" w:cstheme="minorHAnsi"/>
          <w:i/>
          <w:iCs/>
          <w:sz w:val="24"/>
          <w:szCs w:val="24"/>
        </w:rPr>
        <w:fldChar w:fldCharType="begin"/>
      </w:r>
      <w:r w:rsidRPr="003C7060">
        <w:rPr>
          <w:rFonts w:asciiTheme="minorHAnsi" w:hAnsiTheme="minorHAnsi" w:cstheme="minorHAnsi"/>
          <w:i/>
          <w:iCs/>
          <w:sz w:val="24"/>
          <w:szCs w:val="24"/>
        </w:rPr>
        <w:instrText xml:space="preserve"> SEQ Table \* ARABIC </w:instrText>
      </w:r>
      <w:r w:rsidRPr="003C7060">
        <w:rPr>
          <w:rFonts w:asciiTheme="minorHAnsi" w:hAnsiTheme="minorHAnsi" w:cstheme="minorHAnsi"/>
          <w:i/>
          <w:iCs/>
          <w:sz w:val="24"/>
          <w:szCs w:val="24"/>
        </w:rPr>
        <w:fldChar w:fldCharType="separate"/>
      </w:r>
      <w:r w:rsidRPr="003C7060">
        <w:rPr>
          <w:rFonts w:asciiTheme="minorHAnsi" w:hAnsiTheme="minorHAnsi" w:cstheme="minorHAnsi"/>
          <w:i/>
          <w:iCs/>
          <w:noProof/>
          <w:sz w:val="24"/>
          <w:szCs w:val="24"/>
        </w:rPr>
        <w:t>1</w:t>
      </w:r>
      <w:r w:rsidRPr="003C7060">
        <w:rPr>
          <w:rFonts w:asciiTheme="minorHAnsi" w:hAnsiTheme="minorHAnsi" w:cstheme="minorHAnsi"/>
          <w:i/>
          <w:iCs/>
          <w:sz w:val="24"/>
          <w:szCs w:val="24"/>
        </w:rPr>
        <w:fldChar w:fldCharType="end"/>
      </w:r>
      <w:bookmarkEnd w:id="11"/>
      <w:r w:rsidRPr="003C7060">
        <w:rPr>
          <w:rFonts w:asciiTheme="minorHAnsi" w:hAnsiTheme="minorHAnsi" w:cstheme="minorHAnsi"/>
          <w:i/>
          <w:iCs/>
          <w:sz w:val="24"/>
          <w:szCs w:val="24"/>
        </w:rPr>
        <w:t xml:space="preserve">:  </w:t>
      </w:r>
      <w:bookmarkEnd w:id="12"/>
      <w:r w:rsidRPr="003C7060">
        <w:rPr>
          <w:rFonts w:asciiTheme="minorHAnsi" w:hAnsiTheme="minorHAnsi" w:cstheme="minorHAnsi"/>
          <w:i/>
          <w:iCs/>
          <w:sz w:val="24"/>
          <w:szCs w:val="24"/>
        </w:rPr>
        <w:t>Burden Hours by Sample Source</w:t>
      </w:r>
    </w:p>
    <w:tbl>
      <w:tblPr>
        <w:tblW w:w="0" w:type="auto"/>
        <w:tblInd w:w="240" w:type="dxa"/>
        <w:tblLayout w:type="fixed"/>
        <w:tblLook w:val="04A0"/>
      </w:tblPr>
      <w:tblGrid>
        <w:gridCol w:w="1545"/>
        <w:gridCol w:w="1308"/>
        <w:gridCol w:w="1530"/>
        <w:gridCol w:w="1965"/>
        <w:gridCol w:w="1635"/>
        <w:gridCol w:w="1480"/>
      </w:tblGrid>
      <w:tr w14:paraId="4F341F36" w14:textId="77777777" w:rsidTr="5829B2CD">
        <w:tblPrEx>
          <w:tblW w:w="0" w:type="auto"/>
          <w:tblInd w:w="240" w:type="dxa"/>
          <w:tblLayout w:type="fixed"/>
          <w:tblLook w:val="04A0"/>
        </w:tblPrEx>
        <w:trPr>
          <w:trHeight w:val="600"/>
        </w:trPr>
        <w:tc>
          <w:tcPr>
            <w:tcW w:w="1545" w:type="dxa"/>
            <w:vMerge w:val="restart"/>
            <w:tcBorders>
              <w:top w:val="single" w:sz="8" w:space="0" w:color="auto"/>
              <w:left w:val="single" w:sz="8" w:space="0" w:color="auto"/>
              <w:bottom w:val="nil"/>
              <w:right w:val="single" w:sz="8" w:space="0" w:color="auto"/>
            </w:tcBorders>
            <w:shd w:val="clear" w:color="auto" w:fill="B3CBD7"/>
            <w:tcMar>
              <w:left w:w="108" w:type="dxa"/>
              <w:right w:w="108" w:type="dxa"/>
            </w:tcMar>
            <w:vAlign w:val="center"/>
          </w:tcPr>
          <w:p w:rsidR="5829B2CD" w:rsidRPr="003C7060" w14:paraId="27223464" w14:textId="3349F974">
            <w:pPr>
              <w:rPr>
                <w:rFonts w:asciiTheme="minorHAnsi" w:hAnsiTheme="minorHAnsi" w:cstheme="minorHAnsi"/>
              </w:rPr>
            </w:pPr>
          </w:p>
        </w:tc>
        <w:tc>
          <w:tcPr>
            <w:tcW w:w="4803" w:type="dxa"/>
            <w:gridSpan w:val="3"/>
            <w:tcBorders>
              <w:top w:val="single" w:sz="8" w:space="0" w:color="auto"/>
              <w:left w:val="single" w:sz="8" w:space="0" w:color="auto"/>
              <w:bottom w:val="single" w:sz="8" w:space="0" w:color="auto"/>
              <w:right w:val="single" w:sz="8" w:space="0" w:color="000000" w:themeColor="text1"/>
            </w:tcBorders>
            <w:shd w:val="clear" w:color="auto" w:fill="B3CBD7"/>
            <w:tcMar>
              <w:left w:w="108" w:type="dxa"/>
              <w:right w:w="108" w:type="dxa"/>
            </w:tcMar>
            <w:vAlign w:val="center"/>
          </w:tcPr>
          <w:p w:rsidR="5829B2CD" w:rsidRPr="003C7060" w:rsidP="5829B2CD" w14:paraId="5BA63221" w14:textId="7B11094B">
            <w:pPr>
              <w:jc w:val="center"/>
              <w:rPr>
                <w:rFonts w:asciiTheme="minorHAnsi" w:hAnsiTheme="minorHAnsi" w:cstheme="minorHAnsi"/>
              </w:rPr>
            </w:pPr>
            <w:r w:rsidRPr="003C7060">
              <w:rPr>
                <w:rFonts w:asciiTheme="minorHAnsi" w:hAnsiTheme="minorHAnsi" w:cstheme="minorHAnsi"/>
                <w:b/>
                <w:bCs/>
                <w:color w:val="000000" w:themeColor="text1"/>
                <w:sz w:val="24"/>
                <w:szCs w:val="24"/>
              </w:rPr>
              <w:t>Exposure Survey</w:t>
            </w:r>
          </w:p>
        </w:tc>
        <w:tc>
          <w:tcPr>
            <w:tcW w:w="1635" w:type="dxa"/>
            <w:tcBorders>
              <w:top w:val="single" w:sz="8" w:space="0" w:color="auto"/>
              <w:left w:val="nil"/>
              <w:bottom w:val="single" w:sz="8" w:space="0" w:color="auto"/>
              <w:right w:val="single" w:sz="8" w:space="0" w:color="auto"/>
            </w:tcBorders>
            <w:shd w:val="clear" w:color="auto" w:fill="B3CBD7"/>
            <w:tcMar>
              <w:left w:w="108" w:type="dxa"/>
              <w:right w:w="108" w:type="dxa"/>
            </w:tcMar>
            <w:vAlign w:val="center"/>
          </w:tcPr>
          <w:p w:rsidR="5829B2CD" w:rsidRPr="003C7060" w:rsidP="5829B2CD" w14:paraId="7BDE2D61" w14:textId="57397316">
            <w:pPr>
              <w:jc w:val="center"/>
              <w:rPr>
                <w:rFonts w:asciiTheme="minorHAnsi" w:hAnsiTheme="minorHAnsi" w:cstheme="minorHAnsi"/>
              </w:rPr>
            </w:pPr>
            <w:r w:rsidRPr="003C7060">
              <w:rPr>
                <w:rFonts w:asciiTheme="minorHAnsi" w:hAnsiTheme="minorHAnsi" w:cstheme="minorHAnsi"/>
                <w:b/>
                <w:bCs/>
                <w:color w:val="000000" w:themeColor="text1"/>
                <w:sz w:val="24"/>
                <w:szCs w:val="24"/>
              </w:rPr>
              <w:t>Participation Survey</w:t>
            </w:r>
          </w:p>
        </w:tc>
        <w:tc>
          <w:tcPr>
            <w:tcW w:w="1480" w:type="dxa"/>
            <w:vMerge w:val="restart"/>
            <w:tcBorders>
              <w:top w:val="single" w:sz="8" w:space="0" w:color="auto"/>
              <w:left w:val="single" w:sz="8" w:space="0" w:color="auto"/>
              <w:bottom w:val="nil"/>
              <w:right w:val="single" w:sz="8" w:space="0" w:color="auto"/>
            </w:tcBorders>
            <w:shd w:val="clear" w:color="auto" w:fill="B3CBD7"/>
            <w:tcMar>
              <w:left w:w="108" w:type="dxa"/>
              <w:right w:w="108" w:type="dxa"/>
            </w:tcMar>
            <w:vAlign w:val="center"/>
          </w:tcPr>
          <w:p w:rsidR="5829B2CD" w:rsidRPr="003C7060" w:rsidP="5829B2CD" w14:paraId="6D8599AB" w14:textId="6AAD4BA7">
            <w:pPr>
              <w:jc w:val="center"/>
              <w:rPr>
                <w:rFonts w:asciiTheme="minorHAnsi" w:hAnsiTheme="minorHAnsi" w:cstheme="minorHAnsi"/>
              </w:rPr>
            </w:pPr>
            <w:r w:rsidRPr="003C7060">
              <w:rPr>
                <w:rFonts w:asciiTheme="minorHAnsi" w:hAnsiTheme="minorHAnsi" w:cstheme="minorHAnsi"/>
                <w:b/>
                <w:bCs/>
                <w:color w:val="000000" w:themeColor="text1"/>
                <w:sz w:val="24"/>
                <w:szCs w:val="24"/>
              </w:rPr>
              <w:t>TOTAL</w:t>
            </w:r>
          </w:p>
        </w:tc>
      </w:tr>
      <w:tr w14:paraId="24306FA0" w14:textId="77777777" w:rsidTr="5829B2CD">
        <w:tblPrEx>
          <w:tblW w:w="0" w:type="auto"/>
          <w:tblInd w:w="240" w:type="dxa"/>
          <w:tblLayout w:type="fixed"/>
          <w:tblLook w:val="04A0"/>
        </w:tblPrEx>
        <w:trPr>
          <w:trHeight w:val="600"/>
        </w:trPr>
        <w:tc>
          <w:tcPr>
            <w:tcW w:w="1545" w:type="dxa"/>
            <w:vMerge/>
            <w:tcBorders>
              <w:left w:val="single" w:sz="0" w:space="0" w:color="auto"/>
              <w:right w:val="single" w:sz="0" w:space="0" w:color="auto"/>
            </w:tcBorders>
            <w:vAlign w:val="center"/>
          </w:tcPr>
          <w:p w:rsidR="00D6601F" w:rsidRPr="003C7060" w14:paraId="6C3296F8" w14:textId="77777777">
            <w:pPr>
              <w:rPr>
                <w:rFonts w:asciiTheme="minorHAnsi" w:hAnsiTheme="minorHAnsi" w:cstheme="minorHAnsi"/>
              </w:rPr>
            </w:pPr>
          </w:p>
        </w:tc>
        <w:tc>
          <w:tcPr>
            <w:tcW w:w="1308" w:type="dxa"/>
            <w:tcBorders>
              <w:top w:val="single" w:sz="8" w:space="0" w:color="auto"/>
              <w:left w:val="nil"/>
              <w:bottom w:val="single" w:sz="8" w:space="0" w:color="auto"/>
              <w:right w:val="single" w:sz="8" w:space="0" w:color="000000" w:themeColor="text1"/>
            </w:tcBorders>
            <w:shd w:val="clear" w:color="auto" w:fill="B3CBD7"/>
            <w:tcMar>
              <w:left w:w="108" w:type="dxa"/>
              <w:right w:w="108" w:type="dxa"/>
            </w:tcMar>
            <w:vAlign w:val="center"/>
          </w:tcPr>
          <w:p w:rsidR="5829B2CD" w:rsidRPr="003C7060" w:rsidP="5829B2CD" w14:paraId="46F89849" w14:textId="22637CA4">
            <w:pPr>
              <w:jc w:val="center"/>
              <w:rPr>
                <w:rFonts w:asciiTheme="minorHAnsi" w:hAnsiTheme="minorHAnsi" w:cstheme="minorHAnsi"/>
              </w:rPr>
            </w:pPr>
            <w:r w:rsidRPr="003C7060">
              <w:rPr>
                <w:rFonts w:asciiTheme="minorHAnsi" w:hAnsiTheme="minorHAnsi" w:cstheme="minorHAnsi"/>
                <w:b/>
                <w:bCs/>
                <w:color w:val="000000" w:themeColor="text1"/>
                <w:sz w:val="24"/>
                <w:szCs w:val="24"/>
              </w:rPr>
              <w:t xml:space="preserve">Registration Lists </w:t>
            </w:r>
          </w:p>
        </w:tc>
        <w:tc>
          <w:tcPr>
            <w:tcW w:w="1530" w:type="dxa"/>
            <w:tcBorders>
              <w:top w:val="nil"/>
              <w:left w:val="single" w:sz="8" w:space="0" w:color="auto"/>
              <w:bottom w:val="single" w:sz="8" w:space="0" w:color="auto"/>
              <w:right w:val="single" w:sz="8" w:space="0" w:color="auto"/>
            </w:tcBorders>
            <w:shd w:val="clear" w:color="auto" w:fill="B3CBD7"/>
            <w:tcMar>
              <w:left w:w="108" w:type="dxa"/>
              <w:right w:w="108" w:type="dxa"/>
            </w:tcMar>
            <w:vAlign w:val="center"/>
          </w:tcPr>
          <w:p w:rsidR="5829B2CD" w:rsidRPr="003C7060" w:rsidP="5829B2CD" w14:paraId="19D957B0" w14:textId="42BB529A">
            <w:pPr>
              <w:jc w:val="center"/>
              <w:rPr>
                <w:rFonts w:asciiTheme="minorHAnsi" w:hAnsiTheme="minorHAnsi" w:cstheme="minorHAnsi"/>
              </w:rPr>
            </w:pPr>
            <w:r w:rsidRPr="003C7060">
              <w:rPr>
                <w:rFonts w:asciiTheme="minorHAnsi" w:hAnsiTheme="minorHAnsi" w:cstheme="minorHAnsi"/>
                <w:b/>
                <w:bCs/>
                <w:color w:val="000000" w:themeColor="text1"/>
                <w:sz w:val="24"/>
                <w:szCs w:val="24"/>
              </w:rPr>
              <w:t>ABS Sample</w:t>
            </w:r>
          </w:p>
        </w:tc>
        <w:tc>
          <w:tcPr>
            <w:tcW w:w="1965" w:type="dxa"/>
            <w:tcBorders>
              <w:top w:val="nil"/>
              <w:left w:val="single" w:sz="8" w:space="0" w:color="auto"/>
              <w:bottom w:val="single" w:sz="8" w:space="0" w:color="auto"/>
              <w:right w:val="single" w:sz="8" w:space="0" w:color="000000" w:themeColor="text1"/>
            </w:tcBorders>
            <w:shd w:val="clear" w:color="auto" w:fill="B3CBD7"/>
            <w:tcMar>
              <w:left w:w="108" w:type="dxa"/>
              <w:right w:w="108" w:type="dxa"/>
            </w:tcMar>
            <w:vAlign w:val="center"/>
          </w:tcPr>
          <w:p w:rsidR="5829B2CD" w:rsidRPr="003C7060" w:rsidP="5829B2CD" w14:paraId="247F505B" w14:textId="1B295043">
            <w:pPr>
              <w:jc w:val="center"/>
              <w:rPr>
                <w:rFonts w:asciiTheme="minorHAnsi" w:hAnsiTheme="minorHAnsi" w:cstheme="minorHAnsi"/>
              </w:rPr>
            </w:pPr>
            <w:r w:rsidRPr="003C7060">
              <w:rPr>
                <w:rFonts w:asciiTheme="minorHAnsi" w:hAnsiTheme="minorHAnsi" w:cstheme="minorHAnsi"/>
                <w:b/>
                <w:bCs/>
                <w:color w:val="000000" w:themeColor="text1"/>
                <w:sz w:val="24"/>
                <w:szCs w:val="24"/>
              </w:rPr>
              <w:t>Nonprobability Panels</w:t>
            </w:r>
          </w:p>
        </w:tc>
        <w:tc>
          <w:tcPr>
            <w:tcW w:w="1635" w:type="dxa"/>
            <w:tcBorders>
              <w:top w:val="single" w:sz="8" w:space="0" w:color="auto"/>
              <w:left w:val="single" w:sz="8" w:space="0" w:color="auto"/>
              <w:bottom w:val="single" w:sz="8" w:space="0" w:color="auto"/>
              <w:right w:val="single" w:sz="8" w:space="0" w:color="auto"/>
            </w:tcBorders>
            <w:shd w:val="clear" w:color="auto" w:fill="B3CBD7"/>
            <w:tcMar>
              <w:left w:w="108" w:type="dxa"/>
              <w:right w:w="108" w:type="dxa"/>
            </w:tcMar>
            <w:vAlign w:val="center"/>
          </w:tcPr>
          <w:p w:rsidR="5829B2CD" w:rsidRPr="003C7060" w:rsidP="5829B2CD" w14:paraId="60EE9AEB" w14:textId="2D5478B0">
            <w:pPr>
              <w:jc w:val="center"/>
              <w:rPr>
                <w:rFonts w:asciiTheme="minorHAnsi" w:hAnsiTheme="minorHAnsi" w:cstheme="minorHAnsi"/>
              </w:rPr>
            </w:pPr>
            <w:r w:rsidRPr="003C7060">
              <w:rPr>
                <w:rFonts w:asciiTheme="minorHAnsi" w:hAnsiTheme="minorHAnsi" w:cstheme="minorHAnsi"/>
                <w:b/>
                <w:bCs/>
                <w:color w:val="000000" w:themeColor="text1"/>
                <w:sz w:val="24"/>
                <w:szCs w:val="24"/>
              </w:rPr>
              <w:t>AmeriSpeak</w:t>
            </w:r>
          </w:p>
          <w:p w:rsidR="5829B2CD" w:rsidRPr="003C7060" w:rsidP="5829B2CD" w14:paraId="1BA510AD" w14:textId="30D5F2EE">
            <w:pPr>
              <w:jc w:val="center"/>
              <w:rPr>
                <w:rFonts w:asciiTheme="minorHAnsi" w:hAnsiTheme="minorHAnsi" w:cstheme="minorHAnsi"/>
              </w:rPr>
            </w:pPr>
            <w:r w:rsidRPr="003C7060">
              <w:rPr>
                <w:rFonts w:asciiTheme="minorHAnsi" w:hAnsiTheme="minorHAnsi" w:cstheme="minorHAnsi"/>
                <w:b/>
                <w:bCs/>
                <w:color w:val="000000" w:themeColor="text1"/>
                <w:sz w:val="24"/>
                <w:szCs w:val="24"/>
              </w:rPr>
              <w:t>Panel</w:t>
            </w:r>
          </w:p>
        </w:tc>
        <w:tc>
          <w:tcPr>
            <w:tcW w:w="1480" w:type="dxa"/>
            <w:vMerge/>
            <w:tcBorders>
              <w:left w:val="single" w:sz="0" w:space="0" w:color="auto"/>
              <w:right w:val="single" w:sz="0" w:space="0" w:color="auto"/>
            </w:tcBorders>
            <w:vAlign w:val="center"/>
          </w:tcPr>
          <w:p w:rsidR="00D6601F" w:rsidRPr="003C7060" w14:paraId="4D9B91A2" w14:textId="77777777">
            <w:pPr>
              <w:rPr>
                <w:rFonts w:asciiTheme="minorHAnsi" w:hAnsiTheme="minorHAnsi" w:cstheme="minorHAnsi"/>
              </w:rPr>
            </w:pPr>
          </w:p>
        </w:tc>
      </w:tr>
      <w:tr w14:paraId="1735B3F9" w14:textId="77777777" w:rsidTr="5829B2CD">
        <w:tblPrEx>
          <w:tblW w:w="0" w:type="auto"/>
          <w:tblInd w:w="240" w:type="dxa"/>
          <w:tblLayout w:type="fixed"/>
          <w:tblLook w:val="04A0"/>
        </w:tblPrEx>
        <w:trPr>
          <w:trHeight w:val="345"/>
        </w:trPr>
        <w:tc>
          <w:tcPr>
            <w:tcW w:w="1545" w:type="dxa"/>
            <w:tcBorders>
              <w:top w:val="nil"/>
              <w:left w:val="single" w:sz="8" w:space="0" w:color="auto"/>
              <w:bottom w:val="single" w:sz="8" w:space="0" w:color="auto"/>
              <w:right w:val="single" w:sz="8" w:space="0" w:color="auto"/>
            </w:tcBorders>
            <w:shd w:val="clear" w:color="auto" w:fill="DEDAD7"/>
            <w:tcMar>
              <w:left w:w="108" w:type="dxa"/>
              <w:right w:w="108" w:type="dxa"/>
            </w:tcMar>
            <w:vAlign w:val="center"/>
          </w:tcPr>
          <w:p w:rsidR="5829B2CD" w:rsidRPr="003C7060" w:rsidP="5829B2CD" w14:paraId="3C69284B" w14:textId="7947BBF7">
            <w:pPr>
              <w:rPr>
                <w:rFonts w:asciiTheme="minorHAnsi" w:hAnsiTheme="minorHAnsi" w:cstheme="minorHAnsi"/>
              </w:rPr>
            </w:pPr>
            <w:r w:rsidRPr="003C7060">
              <w:rPr>
                <w:rFonts w:asciiTheme="minorHAnsi" w:hAnsiTheme="minorHAnsi" w:cstheme="minorHAnsi"/>
                <w:color w:val="000000" w:themeColor="text1"/>
                <w:sz w:val="24"/>
                <w:szCs w:val="24"/>
              </w:rPr>
              <w:t>Initial Contacts</w:t>
            </w:r>
          </w:p>
        </w:tc>
        <w:tc>
          <w:tcPr>
            <w:tcW w:w="1308" w:type="dxa"/>
            <w:tcBorders>
              <w:top w:val="single" w:sz="8" w:space="0" w:color="auto"/>
              <w:left w:val="single" w:sz="8" w:space="0" w:color="auto"/>
              <w:bottom w:val="single" w:sz="8" w:space="0" w:color="auto"/>
              <w:right w:val="single" w:sz="8" w:space="0" w:color="auto"/>
            </w:tcBorders>
            <w:tcMar>
              <w:left w:w="108" w:type="dxa"/>
              <w:right w:w="108" w:type="dxa"/>
            </w:tcMar>
          </w:tcPr>
          <w:p w:rsidR="5829B2CD" w:rsidRPr="003C7060" w:rsidP="5829B2CD" w14:paraId="4279DC62" w14:textId="4927D094">
            <w:pPr>
              <w:jc w:val="right"/>
              <w:rPr>
                <w:rFonts w:asciiTheme="minorHAnsi" w:hAnsiTheme="minorHAnsi" w:cstheme="minorHAnsi"/>
              </w:rPr>
            </w:pPr>
            <w:r w:rsidRPr="003C7060">
              <w:rPr>
                <w:rFonts w:asciiTheme="minorHAnsi" w:hAnsiTheme="minorHAnsi" w:cstheme="minorHAnsi"/>
                <w:sz w:val="24"/>
                <w:szCs w:val="24"/>
              </w:rPr>
              <w:t>128,066</w:t>
            </w:r>
          </w:p>
        </w:tc>
        <w:tc>
          <w:tcPr>
            <w:tcW w:w="1530" w:type="dxa"/>
            <w:tcBorders>
              <w:top w:val="single" w:sz="8" w:space="0" w:color="auto"/>
              <w:left w:val="single" w:sz="8" w:space="0" w:color="auto"/>
              <w:bottom w:val="single" w:sz="8" w:space="0" w:color="auto"/>
              <w:right w:val="single" w:sz="8" w:space="0" w:color="auto"/>
            </w:tcBorders>
            <w:tcMar>
              <w:left w:w="108" w:type="dxa"/>
              <w:right w:w="108" w:type="dxa"/>
            </w:tcMar>
          </w:tcPr>
          <w:p w:rsidR="5829B2CD" w:rsidRPr="003C7060" w:rsidP="5829B2CD" w14:paraId="2EEF312B" w14:textId="27E254E3">
            <w:pPr>
              <w:jc w:val="right"/>
              <w:rPr>
                <w:rFonts w:asciiTheme="minorHAnsi" w:hAnsiTheme="minorHAnsi" w:cstheme="minorHAnsi"/>
              </w:rPr>
            </w:pPr>
            <w:r w:rsidRPr="003C7060">
              <w:rPr>
                <w:rFonts w:asciiTheme="minorHAnsi" w:hAnsiTheme="minorHAnsi" w:cstheme="minorHAnsi"/>
                <w:sz w:val="24"/>
                <w:szCs w:val="24"/>
              </w:rPr>
              <w:t>154,276</w:t>
            </w:r>
          </w:p>
        </w:tc>
        <w:tc>
          <w:tcPr>
            <w:tcW w:w="1965" w:type="dxa"/>
            <w:tcBorders>
              <w:top w:val="single" w:sz="8" w:space="0" w:color="auto"/>
              <w:left w:val="single" w:sz="8" w:space="0" w:color="auto"/>
              <w:bottom w:val="single" w:sz="8" w:space="0" w:color="auto"/>
              <w:right w:val="single" w:sz="8" w:space="0" w:color="auto"/>
            </w:tcBorders>
            <w:tcMar>
              <w:left w:w="108" w:type="dxa"/>
              <w:right w:w="108" w:type="dxa"/>
            </w:tcMar>
          </w:tcPr>
          <w:p w:rsidR="5829B2CD" w:rsidRPr="003C7060" w:rsidP="5829B2CD" w14:paraId="304C029A" w14:textId="47946064">
            <w:pPr>
              <w:jc w:val="right"/>
              <w:rPr>
                <w:rFonts w:asciiTheme="minorHAnsi" w:hAnsiTheme="minorHAnsi" w:cstheme="minorHAnsi"/>
              </w:rPr>
            </w:pPr>
            <w:r w:rsidRPr="003C7060">
              <w:rPr>
                <w:rFonts w:asciiTheme="minorHAnsi" w:hAnsiTheme="minorHAnsi" w:cstheme="minorHAnsi"/>
                <w:color w:val="000000" w:themeColor="text1"/>
                <w:sz w:val="24"/>
                <w:szCs w:val="24"/>
              </w:rPr>
              <w:t>NA</w:t>
            </w:r>
          </w:p>
        </w:tc>
        <w:tc>
          <w:tcPr>
            <w:tcW w:w="1635" w:type="dxa"/>
            <w:tcBorders>
              <w:top w:val="single" w:sz="8" w:space="0" w:color="auto"/>
              <w:left w:val="single" w:sz="8" w:space="0" w:color="auto"/>
              <w:bottom w:val="single" w:sz="8" w:space="0" w:color="auto"/>
              <w:right w:val="single" w:sz="8" w:space="0" w:color="auto"/>
            </w:tcBorders>
            <w:tcMar>
              <w:left w:w="108" w:type="dxa"/>
              <w:right w:w="108" w:type="dxa"/>
            </w:tcMar>
          </w:tcPr>
          <w:p w:rsidR="5829B2CD" w:rsidRPr="003C7060" w:rsidP="5829B2CD" w14:paraId="2AD2F9A8" w14:textId="203262D2">
            <w:pPr>
              <w:jc w:val="right"/>
              <w:rPr>
                <w:rFonts w:asciiTheme="minorHAnsi" w:hAnsiTheme="minorHAnsi" w:cstheme="minorHAnsi"/>
              </w:rPr>
            </w:pPr>
            <w:r w:rsidRPr="003C7060">
              <w:rPr>
                <w:rFonts w:asciiTheme="minorHAnsi" w:hAnsiTheme="minorHAnsi" w:cstheme="minorHAnsi"/>
                <w:color w:val="000000" w:themeColor="text1"/>
                <w:sz w:val="24"/>
                <w:szCs w:val="24"/>
              </w:rPr>
              <w:t xml:space="preserve">10,667 </w:t>
            </w:r>
          </w:p>
        </w:tc>
        <w:tc>
          <w:tcPr>
            <w:tcW w:w="1480" w:type="dxa"/>
            <w:tcBorders>
              <w:top w:val="nil"/>
              <w:left w:val="single" w:sz="8" w:space="0" w:color="auto"/>
              <w:bottom w:val="single" w:sz="8" w:space="0" w:color="auto"/>
              <w:right w:val="single" w:sz="8" w:space="0" w:color="auto"/>
            </w:tcBorders>
            <w:tcMar>
              <w:left w:w="108" w:type="dxa"/>
              <w:right w:w="108" w:type="dxa"/>
            </w:tcMar>
          </w:tcPr>
          <w:p w:rsidR="5829B2CD" w:rsidRPr="003C7060" w:rsidP="5829B2CD" w14:paraId="7BBBA07A" w14:textId="71D77972">
            <w:pPr>
              <w:jc w:val="right"/>
              <w:rPr>
                <w:rFonts w:asciiTheme="minorHAnsi" w:hAnsiTheme="minorHAnsi" w:cstheme="minorHAnsi"/>
              </w:rPr>
            </w:pPr>
            <w:r w:rsidRPr="003C7060">
              <w:rPr>
                <w:rFonts w:asciiTheme="minorHAnsi" w:hAnsiTheme="minorHAnsi" w:cstheme="minorHAnsi"/>
                <w:color w:val="000000" w:themeColor="text1"/>
                <w:sz w:val="24"/>
                <w:szCs w:val="24"/>
              </w:rPr>
              <w:t xml:space="preserve">293,009 </w:t>
            </w:r>
          </w:p>
        </w:tc>
      </w:tr>
      <w:tr w14:paraId="68AA2EB7" w14:textId="77777777" w:rsidTr="5829B2CD">
        <w:tblPrEx>
          <w:tblW w:w="0" w:type="auto"/>
          <w:tblInd w:w="240" w:type="dxa"/>
          <w:tblLayout w:type="fixed"/>
          <w:tblLook w:val="04A0"/>
        </w:tblPrEx>
        <w:trPr>
          <w:trHeight w:val="255"/>
        </w:trPr>
        <w:tc>
          <w:tcPr>
            <w:tcW w:w="1545" w:type="dxa"/>
            <w:tcBorders>
              <w:top w:val="single" w:sz="8" w:space="0" w:color="auto"/>
              <w:left w:val="single" w:sz="8" w:space="0" w:color="auto"/>
              <w:bottom w:val="single" w:sz="8" w:space="0" w:color="auto"/>
              <w:right w:val="single" w:sz="8" w:space="0" w:color="auto"/>
            </w:tcBorders>
            <w:shd w:val="clear" w:color="auto" w:fill="DEDAD7"/>
            <w:tcMar>
              <w:left w:w="108" w:type="dxa"/>
              <w:right w:w="108" w:type="dxa"/>
            </w:tcMar>
            <w:vAlign w:val="center"/>
          </w:tcPr>
          <w:p w:rsidR="5829B2CD" w:rsidRPr="003C7060" w:rsidP="5829B2CD" w14:paraId="0502481F" w14:textId="3BA36DE8">
            <w:pPr>
              <w:rPr>
                <w:rFonts w:asciiTheme="minorHAnsi" w:hAnsiTheme="minorHAnsi" w:cstheme="minorHAnsi"/>
              </w:rPr>
            </w:pPr>
            <w:r w:rsidRPr="003C7060">
              <w:rPr>
                <w:rFonts w:asciiTheme="minorHAnsi" w:hAnsiTheme="minorHAnsi" w:cstheme="minorHAnsi"/>
                <w:color w:val="000000" w:themeColor="text1"/>
                <w:sz w:val="24"/>
                <w:szCs w:val="24"/>
              </w:rPr>
              <w:t>Response Rate</w:t>
            </w:r>
          </w:p>
        </w:tc>
        <w:tc>
          <w:tcPr>
            <w:tcW w:w="1308" w:type="dxa"/>
            <w:tcBorders>
              <w:top w:val="single" w:sz="8" w:space="0" w:color="auto"/>
              <w:left w:val="single" w:sz="8" w:space="0" w:color="auto"/>
              <w:bottom w:val="single" w:sz="8" w:space="0" w:color="auto"/>
              <w:right w:val="single" w:sz="8" w:space="0" w:color="auto"/>
            </w:tcBorders>
            <w:tcMar>
              <w:left w:w="108" w:type="dxa"/>
              <w:right w:w="108" w:type="dxa"/>
            </w:tcMar>
          </w:tcPr>
          <w:p w:rsidR="5829B2CD" w:rsidRPr="003C7060" w:rsidP="5829B2CD" w14:paraId="00E9CB5E" w14:textId="436E3B67">
            <w:pPr>
              <w:jc w:val="right"/>
              <w:rPr>
                <w:rFonts w:asciiTheme="minorHAnsi" w:hAnsiTheme="minorHAnsi" w:cstheme="minorHAnsi"/>
              </w:rPr>
            </w:pPr>
            <w:r w:rsidRPr="003C7060">
              <w:rPr>
                <w:rFonts w:asciiTheme="minorHAnsi" w:hAnsiTheme="minorHAnsi" w:cstheme="minorHAnsi"/>
                <w:sz w:val="24"/>
                <w:szCs w:val="24"/>
              </w:rPr>
              <w:t>27%</w:t>
            </w:r>
          </w:p>
        </w:tc>
        <w:tc>
          <w:tcPr>
            <w:tcW w:w="1530" w:type="dxa"/>
            <w:tcBorders>
              <w:top w:val="single" w:sz="8" w:space="0" w:color="auto"/>
              <w:left w:val="single" w:sz="8" w:space="0" w:color="auto"/>
              <w:bottom w:val="single" w:sz="8" w:space="0" w:color="auto"/>
              <w:right w:val="single" w:sz="8" w:space="0" w:color="auto"/>
            </w:tcBorders>
            <w:tcMar>
              <w:left w:w="108" w:type="dxa"/>
              <w:right w:w="108" w:type="dxa"/>
            </w:tcMar>
          </w:tcPr>
          <w:p w:rsidR="5829B2CD" w:rsidRPr="003C7060" w:rsidP="5829B2CD" w14:paraId="233B9EDB" w14:textId="582ED6F5">
            <w:pPr>
              <w:jc w:val="right"/>
              <w:rPr>
                <w:rFonts w:asciiTheme="minorHAnsi" w:hAnsiTheme="minorHAnsi" w:cstheme="minorHAnsi"/>
              </w:rPr>
            </w:pPr>
            <w:r w:rsidRPr="003C7060">
              <w:rPr>
                <w:rFonts w:asciiTheme="minorHAnsi" w:hAnsiTheme="minorHAnsi" w:cstheme="minorHAnsi"/>
                <w:sz w:val="24"/>
                <w:szCs w:val="24"/>
              </w:rPr>
              <w:t>13%</w:t>
            </w:r>
          </w:p>
        </w:tc>
        <w:tc>
          <w:tcPr>
            <w:tcW w:w="1965" w:type="dxa"/>
            <w:tcBorders>
              <w:top w:val="single" w:sz="8" w:space="0" w:color="auto"/>
              <w:left w:val="single" w:sz="8" w:space="0" w:color="auto"/>
              <w:bottom w:val="single" w:sz="8" w:space="0" w:color="auto"/>
              <w:right w:val="single" w:sz="8" w:space="0" w:color="auto"/>
            </w:tcBorders>
            <w:tcMar>
              <w:left w:w="108" w:type="dxa"/>
              <w:right w:w="108" w:type="dxa"/>
            </w:tcMar>
          </w:tcPr>
          <w:p w:rsidR="5829B2CD" w:rsidRPr="003C7060" w:rsidP="5829B2CD" w14:paraId="117340BD" w14:textId="4A0D65EB">
            <w:pPr>
              <w:jc w:val="right"/>
              <w:rPr>
                <w:rFonts w:asciiTheme="minorHAnsi" w:hAnsiTheme="minorHAnsi" w:cstheme="minorHAnsi"/>
              </w:rPr>
            </w:pPr>
            <w:r w:rsidRPr="003C7060">
              <w:rPr>
                <w:rFonts w:asciiTheme="minorHAnsi" w:hAnsiTheme="minorHAnsi" w:cstheme="minorHAnsi"/>
                <w:color w:val="000000" w:themeColor="text1"/>
                <w:sz w:val="24"/>
                <w:szCs w:val="24"/>
              </w:rPr>
              <w:t>NA</w:t>
            </w:r>
          </w:p>
        </w:tc>
        <w:tc>
          <w:tcPr>
            <w:tcW w:w="1635" w:type="dxa"/>
            <w:tcBorders>
              <w:top w:val="single" w:sz="8" w:space="0" w:color="auto"/>
              <w:left w:val="single" w:sz="8" w:space="0" w:color="auto"/>
              <w:bottom w:val="single" w:sz="8" w:space="0" w:color="auto"/>
              <w:right w:val="single" w:sz="8" w:space="0" w:color="auto"/>
            </w:tcBorders>
            <w:tcMar>
              <w:left w:w="108" w:type="dxa"/>
              <w:right w:w="108" w:type="dxa"/>
            </w:tcMar>
          </w:tcPr>
          <w:p w:rsidR="5829B2CD" w:rsidRPr="003C7060" w:rsidP="5829B2CD" w14:paraId="5E5ABB3A" w14:textId="1FEEF3CC">
            <w:pPr>
              <w:jc w:val="right"/>
              <w:rPr>
                <w:rFonts w:asciiTheme="minorHAnsi" w:hAnsiTheme="minorHAnsi" w:cstheme="minorHAnsi"/>
              </w:rPr>
            </w:pPr>
            <w:r w:rsidRPr="003C7060">
              <w:rPr>
                <w:rFonts w:asciiTheme="minorHAnsi" w:hAnsiTheme="minorHAnsi" w:cstheme="minorHAnsi"/>
                <w:color w:val="000000" w:themeColor="text1"/>
                <w:sz w:val="24"/>
                <w:szCs w:val="24"/>
              </w:rPr>
              <w:t xml:space="preserve">75% </w:t>
            </w:r>
          </w:p>
        </w:tc>
        <w:tc>
          <w:tcPr>
            <w:tcW w:w="1480" w:type="dxa"/>
            <w:tcBorders>
              <w:top w:val="single" w:sz="8" w:space="0" w:color="auto"/>
              <w:left w:val="single" w:sz="8" w:space="0" w:color="auto"/>
              <w:bottom w:val="single" w:sz="8" w:space="0" w:color="auto"/>
              <w:right w:val="single" w:sz="8" w:space="0" w:color="auto"/>
            </w:tcBorders>
            <w:tcMar>
              <w:left w:w="108" w:type="dxa"/>
              <w:right w:w="108" w:type="dxa"/>
            </w:tcMar>
          </w:tcPr>
          <w:p w:rsidR="5829B2CD" w:rsidRPr="003C7060" w:rsidP="5829B2CD" w14:paraId="54389D21" w14:textId="7D7D7080">
            <w:pPr>
              <w:jc w:val="right"/>
              <w:rPr>
                <w:rFonts w:asciiTheme="minorHAnsi" w:hAnsiTheme="minorHAnsi" w:cstheme="minorHAnsi"/>
              </w:rPr>
            </w:pPr>
            <w:r w:rsidRPr="003C7060">
              <w:rPr>
                <w:rFonts w:asciiTheme="minorHAnsi" w:hAnsiTheme="minorHAnsi" w:cstheme="minorHAnsi"/>
                <w:color w:val="000000" w:themeColor="text1"/>
                <w:sz w:val="24"/>
                <w:szCs w:val="24"/>
              </w:rPr>
              <w:t xml:space="preserve"> </w:t>
            </w:r>
          </w:p>
        </w:tc>
      </w:tr>
      <w:tr w14:paraId="47FF1C71" w14:textId="77777777" w:rsidTr="5829B2CD">
        <w:tblPrEx>
          <w:tblW w:w="0" w:type="auto"/>
          <w:tblInd w:w="240" w:type="dxa"/>
          <w:tblLayout w:type="fixed"/>
          <w:tblLook w:val="04A0"/>
        </w:tblPrEx>
        <w:trPr>
          <w:trHeight w:val="210"/>
        </w:trPr>
        <w:tc>
          <w:tcPr>
            <w:tcW w:w="1545" w:type="dxa"/>
            <w:tcBorders>
              <w:top w:val="single" w:sz="8" w:space="0" w:color="auto"/>
              <w:left w:val="single" w:sz="8" w:space="0" w:color="auto"/>
              <w:bottom w:val="single" w:sz="8" w:space="0" w:color="auto"/>
              <w:right w:val="single" w:sz="8" w:space="0" w:color="auto"/>
            </w:tcBorders>
            <w:shd w:val="clear" w:color="auto" w:fill="DEDAD7"/>
            <w:tcMar>
              <w:left w:w="108" w:type="dxa"/>
              <w:right w:w="108" w:type="dxa"/>
            </w:tcMar>
            <w:vAlign w:val="center"/>
          </w:tcPr>
          <w:p w:rsidR="5829B2CD" w:rsidRPr="003C7060" w:rsidP="5829B2CD" w14:paraId="64B2FF54" w14:textId="47946929">
            <w:pPr>
              <w:rPr>
                <w:rFonts w:asciiTheme="minorHAnsi" w:hAnsiTheme="minorHAnsi" w:cstheme="minorHAnsi"/>
              </w:rPr>
            </w:pPr>
            <w:r w:rsidRPr="003C7060">
              <w:rPr>
                <w:rFonts w:asciiTheme="minorHAnsi" w:hAnsiTheme="minorHAnsi" w:cstheme="minorHAnsi"/>
                <w:color w:val="000000" w:themeColor="text1"/>
                <w:sz w:val="24"/>
                <w:szCs w:val="24"/>
              </w:rPr>
              <w:t>Completed Screeners</w:t>
            </w:r>
          </w:p>
        </w:tc>
        <w:tc>
          <w:tcPr>
            <w:tcW w:w="1308" w:type="dxa"/>
            <w:tcBorders>
              <w:top w:val="single" w:sz="8" w:space="0" w:color="auto"/>
              <w:left w:val="single" w:sz="8" w:space="0" w:color="auto"/>
              <w:bottom w:val="single" w:sz="8" w:space="0" w:color="auto"/>
              <w:right w:val="single" w:sz="8" w:space="0" w:color="auto"/>
            </w:tcBorders>
            <w:tcMar>
              <w:left w:w="108" w:type="dxa"/>
              <w:right w:w="108" w:type="dxa"/>
            </w:tcMar>
          </w:tcPr>
          <w:p w:rsidR="5829B2CD" w:rsidRPr="003C7060" w:rsidP="5829B2CD" w14:paraId="1C545474" w14:textId="5AEE9299">
            <w:pPr>
              <w:jc w:val="right"/>
              <w:rPr>
                <w:rFonts w:asciiTheme="minorHAnsi" w:hAnsiTheme="minorHAnsi" w:cstheme="minorHAnsi"/>
              </w:rPr>
            </w:pPr>
            <w:r w:rsidRPr="003C7060">
              <w:rPr>
                <w:rFonts w:asciiTheme="minorHAnsi" w:hAnsiTheme="minorHAnsi" w:cstheme="minorHAnsi"/>
                <w:sz w:val="24"/>
                <w:szCs w:val="24"/>
              </w:rPr>
              <w:t>34,578</w:t>
            </w:r>
          </w:p>
        </w:tc>
        <w:tc>
          <w:tcPr>
            <w:tcW w:w="1530" w:type="dxa"/>
            <w:tcBorders>
              <w:top w:val="single" w:sz="8" w:space="0" w:color="auto"/>
              <w:left w:val="single" w:sz="8" w:space="0" w:color="auto"/>
              <w:bottom w:val="single" w:sz="8" w:space="0" w:color="auto"/>
              <w:right w:val="single" w:sz="8" w:space="0" w:color="auto"/>
            </w:tcBorders>
            <w:tcMar>
              <w:left w:w="108" w:type="dxa"/>
              <w:right w:w="108" w:type="dxa"/>
            </w:tcMar>
          </w:tcPr>
          <w:p w:rsidR="5829B2CD" w:rsidRPr="003C7060" w:rsidP="5829B2CD" w14:paraId="03FA1D17" w14:textId="349D9EB0">
            <w:pPr>
              <w:jc w:val="right"/>
              <w:rPr>
                <w:rFonts w:asciiTheme="minorHAnsi" w:hAnsiTheme="minorHAnsi" w:cstheme="minorHAnsi"/>
              </w:rPr>
            </w:pPr>
            <w:r w:rsidRPr="003C7060">
              <w:rPr>
                <w:rFonts w:asciiTheme="minorHAnsi" w:hAnsiTheme="minorHAnsi" w:cstheme="minorHAnsi"/>
                <w:sz w:val="24"/>
                <w:szCs w:val="24"/>
              </w:rPr>
              <w:t>19,285</w:t>
            </w:r>
          </w:p>
        </w:tc>
        <w:tc>
          <w:tcPr>
            <w:tcW w:w="1965" w:type="dxa"/>
            <w:tcBorders>
              <w:top w:val="single" w:sz="8" w:space="0" w:color="auto"/>
              <w:left w:val="single" w:sz="8" w:space="0" w:color="auto"/>
              <w:bottom w:val="single" w:sz="8" w:space="0" w:color="auto"/>
              <w:right w:val="single" w:sz="8" w:space="0" w:color="auto"/>
            </w:tcBorders>
            <w:tcMar>
              <w:left w:w="108" w:type="dxa"/>
              <w:right w:w="108" w:type="dxa"/>
            </w:tcMar>
          </w:tcPr>
          <w:p w:rsidR="5829B2CD" w:rsidRPr="003C7060" w:rsidP="5829B2CD" w14:paraId="28FFF050" w14:textId="1806CAD9">
            <w:pPr>
              <w:jc w:val="right"/>
              <w:rPr>
                <w:rFonts w:asciiTheme="minorHAnsi" w:hAnsiTheme="minorHAnsi" w:cstheme="minorHAnsi"/>
              </w:rPr>
            </w:pPr>
            <w:r w:rsidRPr="003C7060">
              <w:rPr>
                <w:rFonts w:asciiTheme="minorHAnsi" w:hAnsiTheme="minorHAnsi" w:cstheme="minorHAnsi"/>
                <w:color w:val="000000" w:themeColor="text1"/>
                <w:sz w:val="24"/>
                <w:szCs w:val="24"/>
              </w:rPr>
              <w:t>64,000</w:t>
            </w:r>
          </w:p>
        </w:tc>
        <w:tc>
          <w:tcPr>
            <w:tcW w:w="1635" w:type="dxa"/>
            <w:tcBorders>
              <w:top w:val="single" w:sz="8" w:space="0" w:color="auto"/>
              <w:left w:val="single" w:sz="8" w:space="0" w:color="auto"/>
              <w:bottom w:val="single" w:sz="8" w:space="0" w:color="auto"/>
              <w:right w:val="single" w:sz="8" w:space="0" w:color="auto"/>
            </w:tcBorders>
            <w:tcMar>
              <w:left w:w="108" w:type="dxa"/>
              <w:right w:w="108" w:type="dxa"/>
            </w:tcMar>
          </w:tcPr>
          <w:p w:rsidR="5829B2CD" w:rsidRPr="003C7060" w:rsidP="5829B2CD" w14:paraId="4523D239" w14:textId="36D979AE">
            <w:pPr>
              <w:jc w:val="right"/>
              <w:rPr>
                <w:rFonts w:asciiTheme="minorHAnsi" w:hAnsiTheme="minorHAnsi" w:cstheme="minorHAnsi"/>
              </w:rPr>
            </w:pPr>
            <w:r w:rsidRPr="003C7060">
              <w:rPr>
                <w:rFonts w:asciiTheme="minorHAnsi" w:hAnsiTheme="minorHAnsi" w:cstheme="minorHAnsi"/>
                <w:color w:val="000000" w:themeColor="text1"/>
                <w:sz w:val="24"/>
                <w:szCs w:val="24"/>
              </w:rPr>
              <w:t>8,000</w:t>
            </w:r>
          </w:p>
        </w:tc>
        <w:tc>
          <w:tcPr>
            <w:tcW w:w="1480" w:type="dxa"/>
            <w:tcBorders>
              <w:top w:val="single" w:sz="8" w:space="0" w:color="auto"/>
              <w:left w:val="single" w:sz="8" w:space="0" w:color="auto"/>
              <w:bottom w:val="single" w:sz="8" w:space="0" w:color="auto"/>
              <w:right w:val="single" w:sz="8" w:space="0" w:color="auto"/>
            </w:tcBorders>
            <w:tcMar>
              <w:left w:w="108" w:type="dxa"/>
              <w:right w:w="108" w:type="dxa"/>
            </w:tcMar>
          </w:tcPr>
          <w:p w:rsidR="5829B2CD" w:rsidRPr="003C7060" w:rsidP="5829B2CD" w14:paraId="5D7A9C82" w14:textId="24C75CCB">
            <w:pPr>
              <w:jc w:val="right"/>
              <w:rPr>
                <w:rFonts w:asciiTheme="minorHAnsi" w:hAnsiTheme="minorHAnsi" w:cstheme="minorHAnsi"/>
              </w:rPr>
            </w:pPr>
            <w:r w:rsidRPr="003C7060">
              <w:rPr>
                <w:rFonts w:asciiTheme="minorHAnsi" w:hAnsiTheme="minorHAnsi" w:cstheme="minorHAnsi"/>
                <w:color w:val="000000" w:themeColor="text1"/>
                <w:sz w:val="24"/>
                <w:szCs w:val="24"/>
              </w:rPr>
              <w:t>125,863</w:t>
            </w:r>
          </w:p>
        </w:tc>
      </w:tr>
      <w:tr w14:paraId="16938C74" w14:textId="77777777" w:rsidTr="5829B2CD">
        <w:tblPrEx>
          <w:tblW w:w="0" w:type="auto"/>
          <w:tblInd w:w="240" w:type="dxa"/>
          <w:tblLayout w:type="fixed"/>
          <w:tblLook w:val="04A0"/>
        </w:tblPrEx>
        <w:trPr>
          <w:trHeight w:val="195"/>
        </w:trPr>
        <w:tc>
          <w:tcPr>
            <w:tcW w:w="1545" w:type="dxa"/>
            <w:tcBorders>
              <w:top w:val="single" w:sz="8" w:space="0" w:color="auto"/>
              <w:left w:val="single" w:sz="8" w:space="0" w:color="auto"/>
              <w:bottom w:val="single" w:sz="8" w:space="0" w:color="auto"/>
              <w:right w:val="single" w:sz="8" w:space="0" w:color="auto"/>
            </w:tcBorders>
            <w:shd w:val="clear" w:color="auto" w:fill="DEDAD7"/>
            <w:tcMar>
              <w:left w:w="108" w:type="dxa"/>
              <w:right w:w="108" w:type="dxa"/>
            </w:tcMar>
            <w:vAlign w:val="center"/>
          </w:tcPr>
          <w:p w:rsidR="5829B2CD" w:rsidRPr="003C7060" w:rsidP="5829B2CD" w14:paraId="5C208C0A" w14:textId="6F2B9FA6">
            <w:pPr>
              <w:rPr>
                <w:rFonts w:asciiTheme="minorHAnsi" w:hAnsiTheme="minorHAnsi" w:cstheme="minorHAnsi"/>
              </w:rPr>
            </w:pPr>
            <w:r w:rsidRPr="003C7060">
              <w:rPr>
                <w:rFonts w:asciiTheme="minorHAnsi" w:hAnsiTheme="minorHAnsi" w:cstheme="minorHAnsi"/>
                <w:color w:val="000000" w:themeColor="text1"/>
                <w:sz w:val="24"/>
                <w:szCs w:val="24"/>
              </w:rPr>
              <w:t>Eligibility Rate</w:t>
            </w:r>
          </w:p>
        </w:tc>
        <w:tc>
          <w:tcPr>
            <w:tcW w:w="1308" w:type="dxa"/>
            <w:tcBorders>
              <w:top w:val="single" w:sz="8" w:space="0" w:color="auto"/>
              <w:left w:val="single" w:sz="8" w:space="0" w:color="auto"/>
              <w:bottom w:val="single" w:sz="8" w:space="0" w:color="auto"/>
              <w:right w:val="single" w:sz="8" w:space="0" w:color="auto"/>
            </w:tcBorders>
            <w:tcMar>
              <w:left w:w="108" w:type="dxa"/>
              <w:right w:w="108" w:type="dxa"/>
            </w:tcMar>
          </w:tcPr>
          <w:p w:rsidR="5829B2CD" w:rsidRPr="003C7060" w:rsidP="5829B2CD" w14:paraId="08D8329D" w14:textId="71AFECA3">
            <w:pPr>
              <w:jc w:val="right"/>
              <w:rPr>
                <w:rFonts w:asciiTheme="minorHAnsi" w:hAnsiTheme="minorHAnsi" w:cstheme="minorHAnsi"/>
              </w:rPr>
            </w:pPr>
            <w:r w:rsidRPr="003C7060">
              <w:rPr>
                <w:rFonts w:asciiTheme="minorHAnsi" w:hAnsiTheme="minorHAnsi" w:cstheme="minorHAnsi"/>
                <w:sz w:val="24"/>
                <w:szCs w:val="24"/>
              </w:rPr>
              <w:t>87%</w:t>
            </w:r>
          </w:p>
        </w:tc>
        <w:tc>
          <w:tcPr>
            <w:tcW w:w="1530" w:type="dxa"/>
            <w:tcBorders>
              <w:top w:val="single" w:sz="8" w:space="0" w:color="auto"/>
              <w:left w:val="single" w:sz="8" w:space="0" w:color="auto"/>
              <w:bottom w:val="single" w:sz="8" w:space="0" w:color="auto"/>
              <w:right w:val="single" w:sz="8" w:space="0" w:color="auto"/>
            </w:tcBorders>
            <w:tcMar>
              <w:left w:w="108" w:type="dxa"/>
              <w:right w:w="108" w:type="dxa"/>
            </w:tcMar>
          </w:tcPr>
          <w:p w:rsidR="5829B2CD" w:rsidRPr="003C7060" w:rsidP="5829B2CD" w14:paraId="44FB4527" w14:textId="5C2FB406">
            <w:pPr>
              <w:jc w:val="right"/>
              <w:rPr>
                <w:rFonts w:asciiTheme="minorHAnsi" w:hAnsiTheme="minorHAnsi" w:cstheme="minorHAnsi"/>
              </w:rPr>
            </w:pPr>
            <w:r w:rsidRPr="003C7060">
              <w:rPr>
                <w:rFonts w:asciiTheme="minorHAnsi" w:hAnsiTheme="minorHAnsi" w:cstheme="minorHAnsi"/>
                <w:sz w:val="24"/>
                <w:szCs w:val="24"/>
              </w:rPr>
              <w:t>24%</w:t>
            </w:r>
          </w:p>
        </w:tc>
        <w:tc>
          <w:tcPr>
            <w:tcW w:w="1965" w:type="dxa"/>
            <w:tcBorders>
              <w:top w:val="single" w:sz="8" w:space="0" w:color="auto"/>
              <w:left w:val="single" w:sz="8" w:space="0" w:color="auto"/>
              <w:bottom w:val="single" w:sz="8" w:space="0" w:color="auto"/>
              <w:right w:val="single" w:sz="8" w:space="0" w:color="auto"/>
            </w:tcBorders>
            <w:tcMar>
              <w:left w:w="108" w:type="dxa"/>
              <w:right w:w="108" w:type="dxa"/>
            </w:tcMar>
          </w:tcPr>
          <w:p w:rsidR="5829B2CD" w:rsidRPr="003C7060" w:rsidP="5829B2CD" w14:paraId="1BAFB744" w14:textId="14E8226A">
            <w:pPr>
              <w:jc w:val="right"/>
              <w:rPr>
                <w:rFonts w:asciiTheme="minorHAnsi" w:hAnsiTheme="minorHAnsi" w:cstheme="minorHAnsi"/>
              </w:rPr>
            </w:pPr>
            <w:r w:rsidRPr="003C7060">
              <w:rPr>
                <w:rFonts w:asciiTheme="minorHAnsi" w:hAnsiTheme="minorHAnsi" w:cstheme="minorHAnsi"/>
                <w:color w:val="000000" w:themeColor="text1"/>
                <w:sz w:val="24"/>
                <w:szCs w:val="24"/>
              </w:rPr>
              <w:t>12%</w:t>
            </w:r>
          </w:p>
        </w:tc>
        <w:tc>
          <w:tcPr>
            <w:tcW w:w="1635" w:type="dxa"/>
            <w:tcBorders>
              <w:top w:val="single" w:sz="8" w:space="0" w:color="auto"/>
              <w:left w:val="single" w:sz="8" w:space="0" w:color="auto"/>
              <w:bottom w:val="single" w:sz="8" w:space="0" w:color="auto"/>
              <w:right w:val="single" w:sz="8" w:space="0" w:color="auto"/>
            </w:tcBorders>
            <w:tcMar>
              <w:left w:w="108" w:type="dxa"/>
              <w:right w:w="108" w:type="dxa"/>
            </w:tcMar>
          </w:tcPr>
          <w:p w:rsidR="5829B2CD" w:rsidRPr="003C7060" w:rsidP="5829B2CD" w14:paraId="6121E065" w14:textId="2EECFEFD">
            <w:pPr>
              <w:jc w:val="right"/>
              <w:rPr>
                <w:rFonts w:asciiTheme="minorHAnsi" w:hAnsiTheme="minorHAnsi" w:cstheme="minorHAnsi"/>
              </w:rPr>
            </w:pPr>
            <w:r w:rsidRPr="003C7060">
              <w:rPr>
                <w:rFonts w:asciiTheme="minorHAnsi" w:hAnsiTheme="minorHAnsi" w:cstheme="minorHAnsi"/>
                <w:color w:val="000000" w:themeColor="text1"/>
                <w:sz w:val="24"/>
                <w:szCs w:val="24"/>
              </w:rPr>
              <w:t>100%</w:t>
            </w:r>
          </w:p>
        </w:tc>
        <w:tc>
          <w:tcPr>
            <w:tcW w:w="1480" w:type="dxa"/>
            <w:tcBorders>
              <w:top w:val="single" w:sz="8" w:space="0" w:color="auto"/>
              <w:left w:val="single" w:sz="8" w:space="0" w:color="auto"/>
              <w:bottom w:val="single" w:sz="8" w:space="0" w:color="auto"/>
              <w:right w:val="single" w:sz="8" w:space="0" w:color="auto"/>
            </w:tcBorders>
            <w:tcMar>
              <w:left w:w="108" w:type="dxa"/>
              <w:right w:w="108" w:type="dxa"/>
            </w:tcMar>
          </w:tcPr>
          <w:p w:rsidR="5829B2CD" w:rsidRPr="003C7060" w:rsidP="5829B2CD" w14:paraId="3D2CE268" w14:textId="409E819D">
            <w:pPr>
              <w:jc w:val="right"/>
              <w:rPr>
                <w:rFonts w:asciiTheme="minorHAnsi" w:hAnsiTheme="minorHAnsi" w:cstheme="minorHAnsi"/>
              </w:rPr>
            </w:pPr>
            <w:r w:rsidRPr="003C7060">
              <w:rPr>
                <w:rFonts w:asciiTheme="minorHAnsi" w:hAnsiTheme="minorHAnsi" w:cstheme="minorHAnsi"/>
                <w:color w:val="000000" w:themeColor="text1"/>
                <w:sz w:val="24"/>
                <w:szCs w:val="24"/>
              </w:rPr>
              <w:t xml:space="preserve"> </w:t>
            </w:r>
          </w:p>
        </w:tc>
      </w:tr>
      <w:tr w14:paraId="2A20B2F7" w14:textId="77777777" w:rsidTr="5829B2CD">
        <w:tblPrEx>
          <w:tblW w:w="0" w:type="auto"/>
          <w:tblInd w:w="240" w:type="dxa"/>
          <w:tblLayout w:type="fixed"/>
          <w:tblLook w:val="04A0"/>
        </w:tblPrEx>
        <w:trPr>
          <w:trHeight w:val="165"/>
        </w:trPr>
        <w:tc>
          <w:tcPr>
            <w:tcW w:w="1545" w:type="dxa"/>
            <w:tcBorders>
              <w:top w:val="single" w:sz="8" w:space="0" w:color="auto"/>
              <w:left w:val="single" w:sz="8" w:space="0" w:color="auto"/>
              <w:bottom w:val="single" w:sz="8" w:space="0" w:color="auto"/>
              <w:right w:val="single" w:sz="8" w:space="0" w:color="auto"/>
            </w:tcBorders>
            <w:shd w:val="clear" w:color="auto" w:fill="DEDAD7"/>
            <w:tcMar>
              <w:left w:w="108" w:type="dxa"/>
              <w:right w:w="108" w:type="dxa"/>
            </w:tcMar>
            <w:vAlign w:val="center"/>
          </w:tcPr>
          <w:p w:rsidR="5829B2CD" w:rsidRPr="003C7060" w:rsidP="5829B2CD" w14:paraId="3AF801A8" w14:textId="6FA32973">
            <w:pPr>
              <w:rPr>
                <w:rFonts w:asciiTheme="minorHAnsi" w:hAnsiTheme="minorHAnsi" w:cstheme="minorHAnsi"/>
              </w:rPr>
            </w:pPr>
            <w:r w:rsidRPr="003C7060">
              <w:rPr>
                <w:rFonts w:asciiTheme="minorHAnsi" w:hAnsiTheme="minorHAnsi" w:cstheme="minorHAnsi"/>
                <w:color w:val="000000" w:themeColor="text1"/>
                <w:sz w:val="24"/>
                <w:szCs w:val="24"/>
              </w:rPr>
              <w:t xml:space="preserve">Completed Surveys </w:t>
            </w:r>
          </w:p>
        </w:tc>
        <w:tc>
          <w:tcPr>
            <w:tcW w:w="1308" w:type="dxa"/>
            <w:tcBorders>
              <w:top w:val="single" w:sz="8" w:space="0" w:color="auto"/>
              <w:left w:val="single" w:sz="8" w:space="0" w:color="auto"/>
              <w:bottom w:val="single" w:sz="8" w:space="0" w:color="auto"/>
              <w:right w:val="single" w:sz="8" w:space="0" w:color="auto"/>
            </w:tcBorders>
            <w:tcMar>
              <w:left w:w="108" w:type="dxa"/>
              <w:right w:w="108" w:type="dxa"/>
            </w:tcMar>
          </w:tcPr>
          <w:p w:rsidR="5829B2CD" w:rsidRPr="003C7060" w:rsidP="5829B2CD" w14:paraId="6983EFF9" w14:textId="58D59A6E">
            <w:pPr>
              <w:jc w:val="right"/>
              <w:rPr>
                <w:rFonts w:asciiTheme="minorHAnsi" w:hAnsiTheme="minorHAnsi" w:cstheme="minorHAnsi"/>
              </w:rPr>
            </w:pPr>
            <w:r w:rsidRPr="003C7060">
              <w:rPr>
                <w:rFonts w:asciiTheme="minorHAnsi" w:hAnsiTheme="minorHAnsi" w:cstheme="minorHAnsi"/>
                <w:color w:val="000000" w:themeColor="text1"/>
                <w:sz w:val="24"/>
                <w:szCs w:val="24"/>
              </w:rPr>
              <w:t>30,000</w:t>
            </w:r>
          </w:p>
        </w:tc>
        <w:tc>
          <w:tcPr>
            <w:tcW w:w="1530" w:type="dxa"/>
            <w:tcBorders>
              <w:top w:val="single" w:sz="8" w:space="0" w:color="auto"/>
              <w:left w:val="single" w:sz="8" w:space="0" w:color="auto"/>
              <w:bottom w:val="single" w:sz="8" w:space="0" w:color="auto"/>
              <w:right w:val="single" w:sz="8" w:space="0" w:color="auto"/>
            </w:tcBorders>
            <w:tcMar>
              <w:left w:w="108" w:type="dxa"/>
              <w:right w:w="108" w:type="dxa"/>
            </w:tcMar>
          </w:tcPr>
          <w:p w:rsidR="5829B2CD" w:rsidRPr="003C7060" w:rsidP="5829B2CD" w14:paraId="1FC1E0E4" w14:textId="525BFDB0">
            <w:pPr>
              <w:jc w:val="right"/>
              <w:rPr>
                <w:rFonts w:asciiTheme="minorHAnsi" w:hAnsiTheme="minorHAnsi" w:cstheme="minorHAnsi"/>
              </w:rPr>
            </w:pPr>
            <w:r w:rsidRPr="003C7060">
              <w:rPr>
                <w:rFonts w:asciiTheme="minorHAnsi" w:hAnsiTheme="minorHAnsi" w:cstheme="minorHAnsi"/>
                <w:color w:val="000000" w:themeColor="text1"/>
                <w:sz w:val="24"/>
                <w:szCs w:val="24"/>
              </w:rPr>
              <w:t>4,600</w:t>
            </w:r>
          </w:p>
        </w:tc>
        <w:tc>
          <w:tcPr>
            <w:tcW w:w="1965" w:type="dxa"/>
            <w:tcBorders>
              <w:top w:val="single" w:sz="8" w:space="0" w:color="auto"/>
              <w:left w:val="single" w:sz="8" w:space="0" w:color="auto"/>
              <w:bottom w:val="single" w:sz="8" w:space="0" w:color="auto"/>
              <w:right w:val="single" w:sz="8" w:space="0" w:color="auto"/>
            </w:tcBorders>
            <w:tcMar>
              <w:left w:w="108" w:type="dxa"/>
              <w:right w:w="108" w:type="dxa"/>
            </w:tcMar>
          </w:tcPr>
          <w:p w:rsidR="5829B2CD" w:rsidRPr="003C7060" w:rsidP="5829B2CD" w14:paraId="5580A132" w14:textId="5FFD9471">
            <w:pPr>
              <w:jc w:val="right"/>
              <w:rPr>
                <w:rFonts w:asciiTheme="minorHAnsi" w:hAnsiTheme="minorHAnsi" w:cstheme="minorHAnsi"/>
              </w:rPr>
            </w:pPr>
            <w:r w:rsidRPr="003C7060">
              <w:rPr>
                <w:rFonts w:asciiTheme="minorHAnsi" w:hAnsiTheme="minorHAnsi" w:cstheme="minorHAnsi"/>
                <w:color w:val="000000" w:themeColor="text1"/>
                <w:sz w:val="24"/>
                <w:szCs w:val="24"/>
              </w:rPr>
              <w:t>7,800</w:t>
            </w:r>
          </w:p>
        </w:tc>
        <w:tc>
          <w:tcPr>
            <w:tcW w:w="1635" w:type="dxa"/>
            <w:tcBorders>
              <w:top w:val="single" w:sz="8" w:space="0" w:color="auto"/>
              <w:left w:val="single" w:sz="8" w:space="0" w:color="auto"/>
              <w:bottom w:val="single" w:sz="8" w:space="0" w:color="auto"/>
              <w:right w:val="single" w:sz="8" w:space="0" w:color="auto"/>
            </w:tcBorders>
            <w:tcMar>
              <w:left w:w="108" w:type="dxa"/>
              <w:right w:w="108" w:type="dxa"/>
            </w:tcMar>
          </w:tcPr>
          <w:p w:rsidR="5829B2CD" w:rsidRPr="003C7060" w:rsidP="5829B2CD" w14:paraId="0C61A163" w14:textId="4599BC6D">
            <w:pPr>
              <w:jc w:val="right"/>
              <w:rPr>
                <w:rFonts w:asciiTheme="minorHAnsi" w:hAnsiTheme="minorHAnsi" w:cstheme="minorHAnsi"/>
              </w:rPr>
            </w:pPr>
            <w:r w:rsidRPr="003C7060">
              <w:rPr>
                <w:rFonts w:asciiTheme="minorHAnsi" w:hAnsiTheme="minorHAnsi" w:cstheme="minorHAnsi"/>
                <w:color w:val="000000" w:themeColor="text1"/>
                <w:sz w:val="24"/>
                <w:szCs w:val="24"/>
              </w:rPr>
              <w:t>8,000</w:t>
            </w:r>
          </w:p>
        </w:tc>
        <w:tc>
          <w:tcPr>
            <w:tcW w:w="1480" w:type="dxa"/>
            <w:tcBorders>
              <w:top w:val="single" w:sz="8" w:space="0" w:color="auto"/>
              <w:left w:val="single" w:sz="8" w:space="0" w:color="auto"/>
              <w:bottom w:val="single" w:sz="8" w:space="0" w:color="auto"/>
              <w:right w:val="single" w:sz="8" w:space="0" w:color="auto"/>
            </w:tcBorders>
            <w:tcMar>
              <w:left w:w="108" w:type="dxa"/>
              <w:right w:w="108" w:type="dxa"/>
            </w:tcMar>
          </w:tcPr>
          <w:p w:rsidR="5829B2CD" w:rsidRPr="003C7060" w:rsidP="5829B2CD" w14:paraId="58C0BB6A" w14:textId="0C070B70">
            <w:pPr>
              <w:jc w:val="right"/>
              <w:rPr>
                <w:rFonts w:asciiTheme="minorHAnsi" w:hAnsiTheme="minorHAnsi" w:cstheme="minorHAnsi"/>
              </w:rPr>
            </w:pPr>
            <w:r w:rsidRPr="003C7060">
              <w:rPr>
                <w:rFonts w:asciiTheme="minorHAnsi" w:hAnsiTheme="minorHAnsi" w:cstheme="minorHAnsi"/>
                <w:color w:val="000000" w:themeColor="text1"/>
                <w:sz w:val="24"/>
                <w:szCs w:val="24"/>
              </w:rPr>
              <w:t xml:space="preserve">50,400 </w:t>
            </w:r>
          </w:p>
        </w:tc>
      </w:tr>
      <w:tr w14:paraId="3895CD9A" w14:textId="77777777" w:rsidTr="5829B2CD">
        <w:tblPrEx>
          <w:tblW w:w="0" w:type="auto"/>
          <w:tblInd w:w="240" w:type="dxa"/>
          <w:tblLayout w:type="fixed"/>
          <w:tblLook w:val="04A0"/>
        </w:tblPrEx>
        <w:trPr>
          <w:trHeight w:val="60"/>
        </w:trPr>
        <w:tc>
          <w:tcPr>
            <w:tcW w:w="1545" w:type="dxa"/>
            <w:tcBorders>
              <w:top w:val="single" w:sz="8" w:space="0" w:color="auto"/>
              <w:left w:val="single" w:sz="8" w:space="0" w:color="auto"/>
              <w:bottom w:val="single" w:sz="8" w:space="0" w:color="auto"/>
              <w:right w:val="single" w:sz="8" w:space="0" w:color="auto"/>
            </w:tcBorders>
            <w:shd w:val="clear" w:color="auto" w:fill="DEDAD7"/>
            <w:tcMar>
              <w:left w:w="108" w:type="dxa"/>
              <w:right w:w="108" w:type="dxa"/>
            </w:tcMar>
            <w:vAlign w:val="center"/>
          </w:tcPr>
          <w:p w:rsidR="5829B2CD" w:rsidRPr="003C7060" w:rsidP="5829B2CD" w14:paraId="7080E906" w14:textId="29CE0C70">
            <w:pPr>
              <w:rPr>
                <w:rFonts w:asciiTheme="minorHAnsi" w:hAnsiTheme="minorHAnsi" w:cstheme="minorHAnsi"/>
              </w:rPr>
            </w:pPr>
            <w:r w:rsidRPr="003C7060">
              <w:rPr>
                <w:rFonts w:asciiTheme="minorHAnsi" w:hAnsiTheme="minorHAnsi" w:cstheme="minorHAnsi"/>
                <w:color w:val="000000" w:themeColor="text1"/>
                <w:sz w:val="24"/>
                <w:szCs w:val="24"/>
              </w:rPr>
              <w:t>Survey Duration (min)</w:t>
            </w:r>
          </w:p>
        </w:tc>
        <w:tc>
          <w:tcPr>
            <w:tcW w:w="4803" w:type="dxa"/>
            <w:gridSpan w:val="3"/>
            <w:tcBorders>
              <w:top w:val="single" w:sz="8" w:space="0" w:color="auto"/>
              <w:left w:val="single" w:sz="8" w:space="0" w:color="auto"/>
              <w:bottom w:val="single" w:sz="12" w:space="0" w:color="000000" w:themeColor="text1"/>
              <w:right w:val="single" w:sz="8" w:space="0" w:color="auto"/>
            </w:tcBorders>
            <w:tcMar>
              <w:left w:w="108" w:type="dxa"/>
              <w:right w:w="108" w:type="dxa"/>
            </w:tcMar>
            <w:vAlign w:val="center"/>
          </w:tcPr>
          <w:p w:rsidR="5829B2CD" w:rsidRPr="003C7060" w:rsidP="5829B2CD" w14:paraId="2DE42126" w14:textId="1C27CB3A">
            <w:pPr>
              <w:jc w:val="right"/>
              <w:rPr>
                <w:rFonts w:asciiTheme="minorHAnsi" w:hAnsiTheme="minorHAnsi" w:cstheme="minorHAnsi"/>
                <w:color w:val="000000" w:themeColor="text1"/>
                <w:sz w:val="24"/>
                <w:szCs w:val="24"/>
              </w:rPr>
            </w:pPr>
            <w:r w:rsidRPr="003C7060">
              <w:rPr>
                <w:rFonts w:asciiTheme="minorHAnsi" w:hAnsiTheme="minorHAnsi" w:cstheme="minorHAnsi"/>
                <w:color w:val="000000" w:themeColor="text1"/>
                <w:sz w:val="24"/>
                <w:szCs w:val="24"/>
              </w:rPr>
              <w:t>Screeners Only: 1</w:t>
            </w:r>
            <w:r w:rsidRPr="003C7060" w:rsidR="282C7077">
              <w:rPr>
                <w:rFonts w:asciiTheme="minorHAnsi" w:hAnsiTheme="minorHAnsi" w:cstheme="minorHAnsi"/>
                <w:color w:val="000000" w:themeColor="text1"/>
                <w:sz w:val="24"/>
                <w:szCs w:val="24"/>
              </w:rPr>
              <w:t>; C</w:t>
            </w:r>
            <w:r w:rsidRPr="003C7060">
              <w:rPr>
                <w:rFonts w:asciiTheme="minorHAnsi" w:hAnsiTheme="minorHAnsi" w:cstheme="minorHAnsi"/>
                <w:color w:val="000000" w:themeColor="text1"/>
                <w:sz w:val="24"/>
                <w:szCs w:val="24"/>
              </w:rPr>
              <w:t>ompleted Survey:14</w:t>
            </w:r>
            <w:r w:rsidRPr="003C7060" w:rsidR="3297B971">
              <w:rPr>
                <w:rFonts w:asciiTheme="minorHAnsi" w:hAnsiTheme="minorHAnsi" w:cstheme="minorHAnsi"/>
                <w:color w:val="000000" w:themeColor="text1"/>
                <w:sz w:val="24"/>
                <w:szCs w:val="24"/>
              </w:rPr>
              <w:t xml:space="preserve">. </w:t>
            </w:r>
            <w:r w:rsidRPr="003C7060" w:rsidR="3297B971">
              <w:rPr>
                <w:rFonts w:asciiTheme="minorHAnsi" w:hAnsiTheme="minorHAnsi" w:cstheme="minorHAnsi"/>
                <w:b/>
                <w:bCs/>
                <w:color w:val="000000" w:themeColor="text1"/>
                <w:sz w:val="24"/>
                <w:szCs w:val="24"/>
              </w:rPr>
              <w:t>Total: 15</w:t>
            </w:r>
          </w:p>
        </w:tc>
        <w:tc>
          <w:tcPr>
            <w:tcW w:w="1635" w:type="dxa"/>
            <w:tcBorders>
              <w:top w:val="single" w:sz="8" w:space="0" w:color="auto"/>
              <w:left w:val="nil"/>
              <w:bottom w:val="single" w:sz="12" w:space="0" w:color="000000" w:themeColor="text1"/>
              <w:right w:val="single" w:sz="8" w:space="0" w:color="auto"/>
            </w:tcBorders>
            <w:tcMar>
              <w:left w:w="108" w:type="dxa"/>
              <w:right w:w="108" w:type="dxa"/>
            </w:tcMar>
            <w:vAlign w:val="center"/>
          </w:tcPr>
          <w:p w:rsidR="5829B2CD" w:rsidRPr="003C7060" w:rsidP="5829B2CD" w14:paraId="79260604" w14:textId="7B54C8A5">
            <w:pPr>
              <w:jc w:val="right"/>
              <w:rPr>
                <w:rFonts w:asciiTheme="minorHAnsi" w:hAnsiTheme="minorHAnsi" w:cstheme="minorHAnsi"/>
              </w:rPr>
            </w:pPr>
            <w:r w:rsidRPr="003C7060">
              <w:rPr>
                <w:rFonts w:asciiTheme="minorHAnsi" w:hAnsiTheme="minorHAnsi" w:cstheme="minorHAnsi"/>
                <w:color w:val="000000" w:themeColor="text1"/>
                <w:sz w:val="24"/>
                <w:szCs w:val="24"/>
              </w:rPr>
              <w:t>30</w:t>
            </w:r>
          </w:p>
        </w:tc>
        <w:tc>
          <w:tcPr>
            <w:tcW w:w="1480" w:type="dxa"/>
            <w:tcBorders>
              <w:top w:val="single" w:sz="8" w:space="0" w:color="auto"/>
              <w:left w:val="single" w:sz="8" w:space="0" w:color="auto"/>
              <w:bottom w:val="single" w:sz="12" w:space="0" w:color="000000" w:themeColor="text1"/>
              <w:right w:val="single" w:sz="8" w:space="0" w:color="auto"/>
            </w:tcBorders>
            <w:tcMar>
              <w:left w:w="108" w:type="dxa"/>
              <w:right w:w="108" w:type="dxa"/>
            </w:tcMar>
            <w:vAlign w:val="center"/>
          </w:tcPr>
          <w:p w:rsidR="5829B2CD" w:rsidRPr="003C7060" w:rsidP="5829B2CD" w14:paraId="0E4D021B" w14:textId="0E7FC613">
            <w:pPr>
              <w:jc w:val="right"/>
              <w:rPr>
                <w:rFonts w:asciiTheme="minorHAnsi" w:hAnsiTheme="minorHAnsi" w:cstheme="minorHAnsi"/>
              </w:rPr>
            </w:pPr>
            <w:r w:rsidRPr="003C7060">
              <w:rPr>
                <w:rFonts w:asciiTheme="minorHAnsi" w:hAnsiTheme="minorHAnsi" w:cstheme="minorHAnsi"/>
                <w:color w:val="000000" w:themeColor="text1"/>
                <w:sz w:val="24"/>
                <w:szCs w:val="24"/>
              </w:rPr>
              <w:t xml:space="preserve"> </w:t>
            </w:r>
          </w:p>
        </w:tc>
      </w:tr>
      <w:tr w14:paraId="2E760B13" w14:textId="77777777" w:rsidTr="5829B2CD">
        <w:tblPrEx>
          <w:tblW w:w="0" w:type="auto"/>
          <w:tblInd w:w="240" w:type="dxa"/>
          <w:tblLayout w:type="fixed"/>
          <w:tblLook w:val="04A0"/>
        </w:tblPrEx>
        <w:trPr>
          <w:trHeight w:val="240"/>
        </w:trPr>
        <w:tc>
          <w:tcPr>
            <w:tcW w:w="1545" w:type="dxa"/>
            <w:tcBorders>
              <w:top w:val="single" w:sz="8" w:space="0" w:color="auto"/>
              <w:left w:val="single" w:sz="8" w:space="0" w:color="auto"/>
              <w:bottom w:val="single" w:sz="8" w:space="0" w:color="auto"/>
              <w:right w:val="single" w:sz="8" w:space="0" w:color="auto"/>
            </w:tcBorders>
            <w:shd w:val="clear" w:color="auto" w:fill="DEDAD7"/>
            <w:tcMar>
              <w:left w:w="108" w:type="dxa"/>
              <w:right w:w="108" w:type="dxa"/>
            </w:tcMar>
            <w:vAlign w:val="center"/>
          </w:tcPr>
          <w:p w:rsidR="5829B2CD" w:rsidRPr="003C7060" w:rsidP="5829B2CD" w14:paraId="027170FD" w14:textId="55FF5FD8">
            <w:pPr>
              <w:rPr>
                <w:rFonts w:asciiTheme="minorHAnsi" w:hAnsiTheme="minorHAnsi" w:cstheme="minorHAnsi"/>
              </w:rPr>
            </w:pPr>
            <w:r w:rsidRPr="003C7060">
              <w:rPr>
                <w:rFonts w:asciiTheme="minorHAnsi" w:hAnsiTheme="minorHAnsi" w:cstheme="minorHAnsi"/>
                <w:color w:val="000000" w:themeColor="text1"/>
                <w:sz w:val="24"/>
                <w:szCs w:val="24"/>
              </w:rPr>
              <w:t xml:space="preserve">Annual </w:t>
            </w:r>
            <w:r w:rsidRPr="003C7060">
              <w:rPr>
                <w:rFonts w:asciiTheme="minorHAnsi" w:hAnsiTheme="minorHAnsi" w:cstheme="minorHAnsi"/>
                <w:color w:val="000000" w:themeColor="text1"/>
                <w:sz w:val="24"/>
                <w:szCs w:val="24"/>
              </w:rPr>
              <w:t>Burden (</w:t>
            </w:r>
            <w:r w:rsidRPr="003C7060">
              <w:rPr>
                <w:rFonts w:asciiTheme="minorHAnsi" w:hAnsiTheme="minorHAnsi" w:cstheme="minorHAnsi"/>
                <w:color w:val="000000" w:themeColor="text1"/>
                <w:sz w:val="24"/>
                <w:szCs w:val="24"/>
              </w:rPr>
              <w:t>hrs</w:t>
            </w:r>
            <w:r w:rsidRPr="003C7060">
              <w:rPr>
                <w:rFonts w:asciiTheme="minorHAnsi" w:hAnsiTheme="minorHAnsi" w:cstheme="minorHAnsi"/>
                <w:color w:val="000000" w:themeColor="text1"/>
                <w:sz w:val="24"/>
                <w:szCs w:val="24"/>
              </w:rPr>
              <w:t>)</w:t>
            </w:r>
          </w:p>
        </w:tc>
        <w:tc>
          <w:tcPr>
            <w:tcW w:w="1308" w:type="dxa"/>
            <w:tcBorders>
              <w:top w:val="single" w:sz="12" w:space="0" w:color="000000" w:themeColor="text1"/>
              <w:left w:val="single" w:sz="8" w:space="0" w:color="auto"/>
              <w:bottom w:val="single" w:sz="8" w:space="0" w:color="auto"/>
              <w:right w:val="single" w:sz="8" w:space="0" w:color="auto"/>
            </w:tcBorders>
            <w:tcMar>
              <w:left w:w="108" w:type="dxa"/>
              <w:right w:w="108" w:type="dxa"/>
            </w:tcMar>
            <w:vAlign w:val="center"/>
          </w:tcPr>
          <w:p w:rsidR="5829B2CD" w:rsidRPr="003C7060" w:rsidP="5829B2CD" w14:paraId="4C318ABC" w14:textId="0E63811D">
            <w:pPr>
              <w:jc w:val="right"/>
              <w:rPr>
                <w:rFonts w:asciiTheme="minorHAnsi" w:hAnsiTheme="minorHAnsi" w:cstheme="minorHAnsi"/>
              </w:rPr>
            </w:pPr>
            <w:r w:rsidRPr="003C7060">
              <w:rPr>
                <w:rFonts w:asciiTheme="minorHAnsi" w:hAnsiTheme="minorHAnsi" w:cstheme="minorHAnsi"/>
                <w:color w:val="000000" w:themeColor="text1"/>
                <w:sz w:val="24"/>
                <w:szCs w:val="24"/>
              </w:rPr>
              <w:t>7,076</w:t>
            </w:r>
          </w:p>
        </w:tc>
        <w:tc>
          <w:tcPr>
            <w:tcW w:w="1530" w:type="dxa"/>
            <w:tcBorders>
              <w:top w:val="single" w:sz="12" w:space="0" w:color="000000" w:themeColor="text1"/>
              <w:left w:val="single" w:sz="8" w:space="0" w:color="auto"/>
              <w:bottom w:val="single" w:sz="8" w:space="0" w:color="auto"/>
              <w:right w:val="single" w:sz="8" w:space="0" w:color="auto"/>
            </w:tcBorders>
            <w:tcMar>
              <w:left w:w="108" w:type="dxa"/>
              <w:right w:w="108" w:type="dxa"/>
            </w:tcMar>
            <w:vAlign w:val="center"/>
          </w:tcPr>
          <w:p w:rsidR="5829B2CD" w:rsidRPr="003C7060" w:rsidP="5829B2CD" w14:paraId="7DA4FEB7" w14:textId="4D8901FD">
            <w:pPr>
              <w:jc w:val="right"/>
              <w:rPr>
                <w:rFonts w:asciiTheme="minorHAnsi" w:hAnsiTheme="minorHAnsi" w:cstheme="minorHAnsi"/>
              </w:rPr>
            </w:pPr>
            <w:r w:rsidRPr="003C7060">
              <w:rPr>
                <w:rFonts w:asciiTheme="minorHAnsi" w:hAnsiTheme="minorHAnsi" w:cstheme="minorHAnsi"/>
                <w:color w:val="000000" w:themeColor="text1"/>
                <w:sz w:val="24"/>
                <w:szCs w:val="24"/>
              </w:rPr>
              <w:t>1,318</w:t>
            </w:r>
          </w:p>
        </w:tc>
        <w:tc>
          <w:tcPr>
            <w:tcW w:w="1965" w:type="dxa"/>
            <w:tcBorders>
              <w:top w:val="single" w:sz="12" w:space="0" w:color="000000" w:themeColor="text1"/>
              <w:left w:val="single" w:sz="8" w:space="0" w:color="auto"/>
              <w:bottom w:val="single" w:sz="8" w:space="0" w:color="auto"/>
              <w:right w:val="single" w:sz="8" w:space="0" w:color="auto"/>
            </w:tcBorders>
            <w:tcMar>
              <w:left w:w="108" w:type="dxa"/>
              <w:right w:w="108" w:type="dxa"/>
            </w:tcMar>
            <w:vAlign w:val="center"/>
          </w:tcPr>
          <w:p w:rsidR="5829B2CD" w:rsidRPr="003C7060" w:rsidP="5829B2CD" w14:paraId="7B751D61" w14:textId="14C0D1F3">
            <w:pPr>
              <w:jc w:val="right"/>
              <w:rPr>
                <w:rFonts w:asciiTheme="minorHAnsi" w:hAnsiTheme="minorHAnsi" w:cstheme="minorHAnsi"/>
              </w:rPr>
            </w:pPr>
            <w:r w:rsidRPr="003C7060">
              <w:rPr>
                <w:rFonts w:asciiTheme="minorHAnsi" w:hAnsiTheme="minorHAnsi" w:cstheme="minorHAnsi"/>
                <w:color w:val="000000" w:themeColor="text1"/>
                <w:sz w:val="24"/>
                <w:szCs w:val="24"/>
              </w:rPr>
              <w:t>2,757</w:t>
            </w:r>
          </w:p>
        </w:tc>
        <w:tc>
          <w:tcPr>
            <w:tcW w:w="1635" w:type="dxa"/>
            <w:tcBorders>
              <w:top w:val="single" w:sz="12" w:space="0" w:color="000000" w:themeColor="text1"/>
              <w:left w:val="single" w:sz="8" w:space="0" w:color="auto"/>
              <w:bottom w:val="single" w:sz="8" w:space="0" w:color="auto"/>
              <w:right w:val="single" w:sz="8" w:space="0" w:color="auto"/>
            </w:tcBorders>
            <w:tcMar>
              <w:left w:w="108" w:type="dxa"/>
              <w:right w:w="108" w:type="dxa"/>
            </w:tcMar>
            <w:vAlign w:val="center"/>
          </w:tcPr>
          <w:p w:rsidR="5829B2CD" w:rsidRPr="003C7060" w:rsidP="5829B2CD" w14:paraId="2017EE39" w14:textId="4DA76EAB">
            <w:pPr>
              <w:jc w:val="right"/>
              <w:rPr>
                <w:rFonts w:asciiTheme="minorHAnsi" w:hAnsiTheme="minorHAnsi" w:cstheme="minorHAnsi"/>
              </w:rPr>
            </w:pPr>
            <w:r w:rsidRPr="003C7060">
              <w:rPr>
                <w:rFonts w:asciiTheme="minorHAnsi" w:hAnsiTheme="minorHAnsi" w:cstheme="minorHAnsi"/>
                <w:color w:val="000000" w:themeColor="text1"/>
                <w:sz w:val="24"/>
                <w:szCs w:val="24"/>
              </w:rPr>
              <w:t>4,000</w:t>
            </w:r>
          </w:p>
        </w:tc>
        <w:tc>
          <w:tcPr>
            <w:tcW w:w="1480" w:type="dxa"/>
            <w:tcBorders>
              <w:top w:val="single" w:sz="12" w:space="0" w:color="000000" w:themeColor="text1"/>
              <w:left w:val="single" w:sz="8" w:space="0" w:color="auto"/>
              <w:bottom w:val="single" w:sz="8" w:space="0" w:color="auto"/>
              <w:right w:val="single" w:sz="8" w:space="0" w:color="auto"/>
            </w:tcBorders>
            <w:tcMar>
              <w:left w:w="108" w:type="dxa"/>
              <w:right w:w="108" w:type="dxa"/>
            </w:tcMar>
            <w:vAlign w:val="center"/>
          </w:tcPr>
          <w:p w:rsidR="5829B2CD" w:rsidRPr="003C7060" w:rsidP="5829B2CD" w14:paraId="3BFB5D85" w14:textId="1AD76D52">
            <w:pPr>
              <w:jc w:val="right"/>
              <w:rPr>
                <w:rFonts w:asciiTheme="minorHAnsi" w:hAnsiTheme="minorHAnsi" w:cstheme="minorHAnsi"/>
              </w:rPr>
            </w:pPr>
            <w:r w:rsidRPr="003C7060">
              <w:rPr>
                <w:rFonts w:asciiTheme="minorHAnsi" w:hAnsiTheme="minorHAnsi" w:cstheme="minorHAnsi"/>
                <w:color w:val="000000" w:themeColor="text1"/>
                <w:sz w:val="24"/>
                <w:szCs w:val="24"/>
              </w:rPr>
              <w:t>15,151</w:t>
            </w:r>
          </w:p>
        </w:tc>
      </w:tr>
    </w:tbl>
    <w:p w:rsidR="00FE67BE" w:rsidRPr="003C7060" w:rsidP="5829B2CD" w14:paraId="2ACBF3E2" w14:textId="1795C611">
      <w:pPr>
        <w:rPr>
          <w:rFonts w:asciiTheme="minorHAnsi" w:hAnsiTheme="minorHAnsi" w:cstheme="minorHAnsi"/>
          <w:sz w:val="24"/>
          <w:szCs w:val="24"/>
        </w:rPr>
      </w:pPr>
    </w:p>
    <w:p w:rsidR="009C2D55" w:rsidRPr="003C7060" w:rsidP="7E33775C" w14:paraId="33A3B2A8" w14:textId="77777777">
      <w:pPr>
        <w:pStyle w:val="ListParagraph"/>
        <w:numPr>
          <w:ilvl w:val="1"/>
          <w:numId w:val="4"/>
        </w:numPr>
        <w:tabs>
          <w:tab w:val="left" w:pos="1751"/>
        </w:tabs>
        <w:ind w:left="1751" w:hanging="300"/>
        <w:rPr>
          <w:rFonts w:asciiTheme="minorHAnsi" w:hAnsiTheme="minorHAnsi" w:cstheme="minorHAnsi"/>
          <w:sz w:val="24"/>
          <w:szCs w:val="24"/>
        </w:rPr>
      </w:pPr>
      <w:r w:rsidRPr="003C7060">
        <w:rPr>
          <w:rFonts w:asciiTheme="minorHAnsi" w:hAnsiTheme="minorHAnsi" w:cstheme="minorHAnsi"/>
          <w:sz w:val="24"/>
          <w:szCs w:val="24"/>
          <w:u w:val="single"/>
        </w:rPr>
        <w:t>Labor</w:t>
      </w:r>
      <w:r w:rsidRPr="003C7060">
        <w:rPr>
          <w:rFonts w:asciiTheme="minorHAnsi" w:hAnsiTheme="minorHAnsi" w:cstheme="minorHAnsi"/>
          <w:spacing w:val="-4"/>
          <w:sz w:val="24"/>
          <w:szCs w:val="24"/>
          <w:u w:val="single"/>
        </w:rPr>
        <w:t xml:space="preserve"> </w:t>
      </w:r>
      <w:r w:rsidRPr="003C7060">
        <w:rPr>
          <w:rFonts w:asciiTheme="minorHAnsi" w:hAnsiTheme="minorHAnsi" w:cstheme="minorHAnsi"/>
          <w:sz w:val="24"/>
          <w:szCs w:val="24"/>
          <w:u w:val="single"/>
        </w:rPr>
        <w:t>Cost of</w:t>
      </w:r>
      <w:r w:rsidRPr="003C7060">
        <w:rPr>
          <w:rFonts w:asciiTheme="minorHAnsi" w:hAnsiTheme="minorHAnsi" w:cstheme="minorHAnsi"/>
          <w:spacing w:val="-9"/>
          <w:sz w:val="24"/>
          <w:szCs w:val="24"/>
          <w:u w:val="single"/>
        </w:rPr>
        <w:t xml:space="preserve"> </w:t>
      </w:r>
      <w:r w:rsidRPr="003C7060">
        <w:rPr>
          <w:rFonts w:asciiTheme="minorHAnsi" w:hAnsiTheme="minorHAnsi" w:cstheme="minorHAnsi"/>
          <w:sz w:val="24"/>
          <w:szCs w:val="24"/>
          <w:u w:val="single"/>
        </w:rPr>
        <w:t>Respondent</w:t>
      </w:r>
      <w:r w:rsidRPr="003C7060">
        <w:rPr>
          <w:rFonts w:asciiTheme="minorHAnsi" w:hAnsiTheme="minorHAnsi" w:cstheme="minorHAnsi"/>
          <w:spacing w:val="-5"/>
          <w:sz w:val="24"/>
          <w:szCs w:val="24"/>
          <w:u w:val="single"/>
        </w:rPr>
        <w:t xml:space="preserve"> </w:t>
      </w:r>
      <w:r w:rsidRPr="003C7060">
        <w:rPr>
          <w:rFonts w:asciiTheme="minorHAnsi" w:hAnsiTheme="minorHAnsi" w:cstheme="minorHAnsi"/>
          <w:spacing w:val="-2"/>
          <w:sz w:val="24"/>
          <w:szCs w:val="24"/>
          <w:u w:val="single"/>
        </w:rPr>
        <w:t>Burden</w:t>
      </w:r>
    </w:p>
    <w:p w:rsidR="009C2D55" w:rsidRPr="003C7060" w:rsidP="7E33775C" w14:paraId="2A09AB8D" w14:textId="77777777">
      <w:pPr>
        <w:pStyle w:val="BodyText"/>
        <w:spacing w:before="4"/>
        <w:rPr>
          <w:rFonts w:asciiTheme="minorHAnsi" w:hAnsiTheme="minorHAnsi" w:cstheme="minorHAnsi"/>
          <w:sz w:val="17"/>
          <w:szCs w:val="17"/>
        </w:rPr>
      </w:pPr>
    </w:p>
    <w:p w:rsidR="576CABE1" w:rsidRPr="003C7060" w:rsidP="5829B2CD" w14:paraId="17D8241D" w14:textId="3DDA0A00">
      <w:pPr>
        <w:ind w:firstLine="720"/>
        <w:rPr>
          <w:rFonts w:asciiTheme="minorHAnsi" w:hAnsiTheme="minorHAnsi" w:cstheme="minorHAnsi"/>
        </w:rPr>
      </w:pPr>
      <w:r w:rsidRPr="003C7060">
        <w:rPr>
          <w:rFonts w:asciiTheme="minorHAnsi" w:hAnsiTheme="minorHAnsi" w:cstheme="minorHAnsi"/>
          <w:sz w:val="24"/>
          <w:szCs w:val="24"/>
        </w:rPr>
        <w:t>Using the 2024 U.S. minimum wage rate of $12 an hour, the time needed to complete the survey is expected to cost $181,812 across all respondents.</w:t>
      </w:r>
    </w:p>
    <w:p w:rsidR="009C2D55" w:rsidRPr="003C7060" w:rsidP="7E33775C" w14:paraId="3ADEB0BA" w14:textId="77777777">
      <w:pPr>
        <w:pStyle w:val="BodyText"/>
        <w:rPr>
          <w:rFonts w:asciiTheme="minorHAnsi" w:hAnsiTheme="minorHAnsi" w:cstheme="minorHAnsi"/>
          <w:sz w:val="25"/>
          <w:szCs w:val="25"/>
        </w:rPr>
      </w:pPr>
    </w:p>
    <w:p w:rsidR="009C2D55" w:rsidRPr="003C7060" w:rsidP="7E33775C" w14:paraId="0C2EA990" w14:textId="77777777">
      <w:pPr>
        <w:pStyle w:val="ListParagraph"/>
        <w:numPr>
          <w:ilvl w:val="0"/>
          <w:numId w:val="4"/>
        </w:numPr>
        <w:tabs>
          <w:tab w:val="left" w:pos="1421"/>
        </w:tabs>
        <w:ind w:left="1421" w:hanging="420"/>
        <w:rPr>
          <w:rFonts w:asciiTheme="minorHAnsi" w:hAnsiTheme="minorHAnsi" w:cstheme="minorHAnsi"/>
          <w:sz w:val="24"/>
          <w:szCs w:val="24"/>
        </w:rPr>
      </w:pPr>
      <w:r w:rsidRPr="003C7060">
        <w:rPr>
          <w:rFonts w:asciiTheme="minorHAnsi" w:hAnsiTheme="minorHAnsi" w:cstheme="minorHAnsi"/>
          <w:sz w:val="24"/>
          <w:szCs w:val="24"/>
          <w:u w:val="single"/>
        </w:rPr>
        <w:t>Respondent</w:t>
      </w:r>
      <w:r w:rsidRPr="003C7060">
        <w:rPr>
          <w:rFonts w:asciiTheme="minorHAnsi" w:hAnsiTheme="minorHAnsi" w:cstheme="minorHAnsi"/>
          <w:spacing w:val="-4"/>
          <w:sz w:val="24"/>
          <w:szCs w:val="24"/>
          <w:u w:val="single"/>
        </w:rPr>
        <w:t xml:space="preserve"> </w:t>
      </w:r>
      <w:r w:rsidRPr="003C7060">
        <w:rPr>
          <w:rFonts w:asciiTheme="minorHAnsi" w:hAnsiTheme="minorHAnsi" w:cstheme="minorHAnsi"/>
          <w:sz w:val="24"/>
          <w:szCs w:val="24"/>
          <w:u w:val="single"/>
        </w:rPr>
        <w:t>Costs Other</w:t>
      </w:r>
      <w:r w:rsidRPr="003C7060">
        <w:rPr>
          <w:rFonts w:asciiTheme="minorHAnsi" w:hAnsiTheme="minorHAnsi" w:cstheme="minorHAnsi"/>
          <w:spacing w:val="-2"/>
          <w:sz w:val="24"/>
          <w:szCs w:val="24"/>
          <w:u w:val="single"/>
        </w:rPr>
        <w:t xml:space="preserve"> </w:t>
      </w:r>
      <w:r w:rsidRPr="003C7060">
        <w:rPr>
          <w:rFonts w:asciiTheme="minorHAnsi" w:hAnsiTheme="minorHAnsi" w:cstheme="minorHAnsi"/>
          <w:sz w:val="24"/>
          <w:szCs w:val="24"/>
          <w:u w:val="single"/>
        </w:rPr>
        <w:t>Than</w:t>
      </w:r>
      <w:r w:rsidRPr="003C7060">
        <w:rPr>
          <w:rFonts w:asciiTheme="minorHAnsi" w:hAnsiTheme="minorHAnsi" w:cstheme="minorHAnsi"/>
          <w:spacing w:val="-7"/>
          <w:sz w:val="24"/>
          <w:szCs w:val="24"/>
          <w:u w:val="single"/>
        </w:rPr>
        <w:t xml:space="preserve"> </w:t>
      </w:r>
      <w:r w:rsidRPr="003C7060">
        <w:rPr>
          <w:rFonts w:asciiTheme="minorHAnsi" w:hAnsiTheme="minorHAnsi" w:cstheme="minorHAnsi"/>
          <w:sz w:val="24"/>
          <w:szCs w:val="24"/>
          <w:u w:val="single"/>
        </w:rPr>
        <w:t>Burden</w:t>
      </w:r>
      <w:r w:rsidRPr="003C7060">
        <w:rPr>
          <w:rFonts w:asciiTheme="minorHAnsi" w:hAnsiTheme="minorHAnsi" w:cstheme="minorHAnsi"/>
          <w:spacing w:val="-7"/>
          <w:sz w:val="24"/>
          <w:szCs w:val="24"/>
          <w:u w:val="single"/>
        </w:rPr>
        <w:t xml:space="preserve"> </w:t>
      </w:r>
      <w:r w:rsidRPr="003C7060">
        <w:rPr>
          <w:rFonts w:asciiTheme="minorHAnsi" w:hAnsiTheme="minorHAnsi" w:cstheme="minorHAnsi"/>
          <w:sz w:val="24"/>
          <w:szCs w:val="24"/>
          <w:u w:val="single"/>
        </w:rPr>
        <w:t>Hour</w:t>
      </w:r>
      <w:r w:rsidRPr="003C7060">
        <w:rPr>
          <w:rFonts w:asciiTheme="minorHAnsi" w:hAnsiTheme="minorHAnsi" w:cstheme="minorHAnsi"/>
          <w:spacing w:val="-1"/>
          <w:sz w:val="24"/>
          <w:szCs w:val="24"/>
          <w:u w:val="single"/>
        </w:rPr>
        <w:t xml:space="preserve"> </w:t>
      </w:r>
      <w:r w:rsidRPr="003C7060">
        <w:rPr>
          <w:rFonts w:asciiTheme="minorHAnsi" w:hAnsiTheme="minorHAnsi" w:cstheme="minorHAnsi"/>
          <w:spacing w:val="-4"/>
          <w:sz w:val="24"/>
          <w:szCs w:val="24"/>
          <w:u w:val="single"/>
        </w:rPr>
        <w:t>Costs</w:t>
      </w:r>
    </w:p>
    <w:p w:rsidR="00372197" w:rsidRPr="003C7060" w:rsidP="7E33775C" w14:paraId="45B1AD6E" w14:textId="77777777">
      <w:pPr>
        <w:rPr>
          <w:rFonts w:asciiTheme="minorHAnsi" w:hAnsiTheme="minorHAnsi" w:cstheme="minorHAnsi"/>
          <w:sz w:val="24"/>
          <w:szCs w:val="24"/>
        </w:rPr>
      </w:pPr>
    </w:p>
    <w:p w:rsidR="00372197" w:rsidRPr="003C7060" w:rsidP="7E33775C" w14:paraId="006161D0" w14:textId="0F583338">
      <w:pPr>
        <w:rPr>
          <w:rFonts w:asciiTheme="minorHAnsi" w:hAnsiTheme="minorHAnsi" w:cstheme="minorHAnsi"/>
          <w:sz w:val="24"/>
          <w:szCs w:val="24"/>
        </w:rPr>
      </w:pPr>
      <w:r w:rsidRPr="003C7060">
        <w:rPr>
          <w:rFonts w:asciiTheme="minorHAnsi" w:hAnsiTheme="minorHAnsi" w:cstheme="minorHAnsi"/>
          <w:sz w:val="24"/>
          <w:szCs w:val="24"/>
        </w:rPr>
        <w:t>There are no costs to respondents for participating in this survey other than their time.</w:t>
      </w:r>
    </w:p>
    <w:p w:rsidR="009C2D55" w:rsidRPr="003C7060" w:rsidP="7E33775C" w14:paraId="0BF4F60A" w14:textId="77777777">
      <w:pPr>
        <w:pStyle w:val="BodyText"/>
        <w:rPr>
          <w:rFonts w:asciiTheme="minorHAnsi" w:hAnsiTheme="minorHAnsi" w:cstheme="minorHAnsi"/>
        </w:rPr>
      </w:pPr>
    </w:p>
    <w:p w:rsidR="009C2D55" w:rsidRPr="003C7060" w:rsidP="7E33775C" w14:paraId="4F8F9DEC" w14:textId="77777777">
      <w:pPr>
        <w:pStyle w:val="ListParagraph"/>
        <w:numPr>
          <w:ilvl w:val="0"/>
          <w:numId w:val="4"/>
        </w:numPr>
        <w:tabs>
          <w:tab w:val="left" w:pos="1421"/>
        </w:tabs>
        <w:ind w:left="1421" w:hanging="420"/>
        <w:rPr>
          <w:rFonts w:asciiTheme="minorHAnsi" w:hAnsiTheme="minorHAnsi" w:cstheme="minorHAnsi"/>
          <w:sz w:val="24"/>
          <w:szCs w:val="24"/>
        </w:rPr>
      </w:pPr>
      <w:r w:rsidRPr="003C7060">
        <w:rPr>
          <w:rFonts w:asciiTheme="minorHAnsi" w:hAnsiTheme="minorHAnsi" w:cstheme="minorHAnsi"/>
          <w:sz w:val="24"/>
          <w:szCs w:val="24"/>
          <w:u w:val="single"/>
        </w:rPr>
        <w:t>Cost</w:t>
      </w:r>
      <w:r w:rsidRPr="003C7060">
        <w:rPr>
          <w:rFonts w:asciiTheme="minorHAnsi" w:hAnsiTheme="minorHAnsi" w:cstheme="minorHAnsi"/>
          <w:spacing w:val="-3"/>
          <w:sz w:val="24"/>
          <w:szCs w:val="24"/>
          <w:u w:val="single"/>
        </w:rPr>
        <w:t xml:space="preserve"> </w:t>
      </w:r>
      <w:r w:rsidRPr="003C7060">
        <w:rPr>
          <w:rFonts w:asciiTheme="minorHAnsi" w:hAnsiTheme="minorHAnsi" w:cstheme="minorHAnsi"/>
          <w:sz w:val="24"/>
          <w:szCs w:val="24"/>
          <w:u w:val="single"/>
        </w:rPr>
        <w:t>to</w:t>
      </w:r>
      <w:r w:rsidRPr="003C7060">
        <w:rPr>
          <w:rFonts w:asciiTheme="minorHAnsi" w:hAnsiTheme="minorHAnsi" w:cstheme="minorHAnsi"/>
          <w:spacing w:val="-1"/>
          <w:sz w:val="24"/>
          <w:szCs w:val="24"/>
          <w:u w:val="single"/>
        </w:rPr>
        <w:t xml:space="preserve"> </w:t>
      </w:r>
      <w:r w:rsidRPr="003C7060">
        <w:rPr>
          <w:rFonts w:asciiTheme="minorHAnsi" w:hAnsiTheme="minorHAnsi" w:cstheme="minorHAnsi"/>
          <w:sz w:val="24"/>
          <w:szCs w:val="24"/>
          <w:u w:val="single"/>
        </w:rPr>
        <w:t>the</w:t>
      </w:r>
      <w:r w:rsidRPr="003C7060">
        <w:rPr>
          <w:rFonts w:asciiTheme="minorHAnsi" w:hAnsiTheme="minorHAnsi" w:cstheme="minorHAnsi"/>
          <w:spacing w:val="-2"/>
          <w:sz w:val="24"/>
          <w:szCs w:val="24"/>
          <w:u w:val="single"/>
        </w:rPr>
        <w:t xml:space="preserve"> </w:t>
      </w:r>
      <w:r w:rsidRPr="003C7060">
        <w:rPr>
          <w:rFonts w:asciiTheme="minorHAnsi" w:hAnsiTheme="minorHAnsi" w:cstheme="minorHAnsi"/>
          <w:sz w:val="24"/>
          <w:szCs w:val="24"/>
          <w:u w:val="single"/>
        </w:rPr>
        <w:t>Federal</w:t>
      </w:r>
      <w:r w:rsidRPr="003C7060">
        <w:rPr>
          <w:rFonts w:asciiTheme="minorHAnsi" w:hAnsiTheme="minorHAnsi" w:cstheme="minorHAnsi"/>
          <w:spacing w:val="-7"/>
          <w:sz w:val="24"/>
          <w:szCs w:val="24"/>
          <w:u w:val="single"/>
        </w:rPr>
        <w:t xml:space="preserve"> </w:t>
      </w:r>
      <w:r w:rsidRPr="003C7060">
        <w:rPr>
          <w:rFonts w:asciiTheme="minorHAnsi" w:hAnsiTheme="minorHAnsi" w:cstheme="minorHAnsi"/>
          <w:spacing w:val="-2"/>
          <w:sz w:val="24"/>
          <w:szCs w:val="24"/>
          <w:u w:val="single"/>
        </w:rPr>
        <w:t>Government</w:t>
      </w:r>
    </w:p>
    <w:p w:rsidR="009C2D55" w:rsidRPr="003C7060" w:rsidP="7E33775C" w14:paraId="2B6683D2" w14:textId="77777777">
      <w:pPr>
        <w:pStyle w:val="BodyText"/>
        <w:spacing w:before="7"/>
        <w:rPr>
          <w:rFonts w:asciiTheme="minorHAnsi" w:hAnsiTheme="minorHAnsi" w:cstheme="minorHAnsi"/>
          <w:sz w:val="23"/>
          <w:szCs w:val="23"/>
        </w:rPr>
      </w:pPr>
    </w:p>
    <w:p w:rsidR="00042572" w:rsidRPr="003C7060" w:rsidP="7E33775C" w14:paraId="4043531D" w14:textId="2E58877C">
      <w:pPr>
        <w:ind w:firstLine="720"/>
        <w:rPr>
          <w:rFonts w:asciiTheme="minorHAnsi" w:hAnsiTheme="minorHAnsi" w:cstheme="minorHAnsi"/>
          <w:sz w:val="24"/>
          <w:szCs w:val="24"/>
        </w:rPr>
      </w:pPr>
      <w:r w:rsidRPr="003C7060">
        <w:rPr>
          <w:rFonts w:asciiTheme="minorHAnsi" w:hAnsiTheme="minorHAnsi" w:cstheme="minorHAnsi"/>
          <w:sz w:val="24"/>
          <w:szCs w:val="24"/>
        </w:rPr>
        <w:t xml:space="preserve">Under </w:t>
      </w:r>
      <w:r w:rsidRPr="003C7060" w:rsidR="00766A6D">
        <w:rPr>
          <w:rFonts w:asciiTheme="minorHAnsi" w:hAnsiTheme="minorHAnsi" w:cstheme="minorHAnsi"/>
          <w:sz w:val="24"/>
          <w:szCs w:val="24"/>
        </w:rPr>
        <w:t>S</w:t>
      </w:r>
      <w:r w:rsidRPr="003C7060">
        <w:rPr>
          <w:rFonts w:asciiTheme="minorHAnsi" w:hAnsiTheme="minorHAnsi" w:cstheme="minorHAnsi"/>
          <w:sz w:val="24"/>
          <w:szCs w:val="24"/>
        </w:rPr>
        <w:t>ection</w:t>
      </w:r>
      <w:r w:rsidRPr="003C7060" w:rsidR="00766A6D">
        <w:rPr>
          <w:rFonts w:asciiTheme="minorHAnsi" w:hAnsiTheme="minorHAnsi" w:cstheme="minorHAnsi"/>
          <w:sz w:val="24"/>
          <w:szCs w:val="24"/>
        </w:rPr>
        <w:t xml:space="preserve"> </w:t>
      </w:r>
      <w:r w:rsidRPr="003C7060">
        <w:rPr>
          <w:rFonts w:asciiTheme="minorHAnsi" w:hAnsiTheme="minorHAnsi" w:cstheme="minorHAnsi"/>
          <w:sz w:val="24"/>
          <w:szCs w:val="24"/>
        </w:rPr>
        <w:t>13106(c) of 46 U.S.C., funding is made available for payment of expenses of the USCG for activities directly related to coordinating and carrying out national recreational boating safety programs. In September 2023, Cooperative Agreement 70Z02323MO0001688 was awarded to NORC, enabling them to conduct the 2026 surveys. The estimated cost for the five-year contract as set forth in the solicitation was $7,500,00, resulting in an average annual cost of $1,500,000.</w:t>
      </w:r>
    </w:p>
    <w:p w:rsidR="00042572" w:rsidRPr="003C7060" w:rsidP="7E33775C" w14:paraId="654C6ECB" w14:textId="77777777">
      <w:pPr>
        <w:pStyle w:val="BodyText"/>
        <w:spacing w:before="7"/>
        <w:rPr>
          <w:rFonts w:asciiTheme="minorHAnsi" w:hAnsiTheme="minorHAnsi" w:cstheme="minorHAnsi"/>
          <w:sz w:val="23"/>
          <w:szCs w:val="23"/>
        </w:rPr>
      </w:pPr>
    </w:p>
    <w:p w:rsidR="00766A6D" w:rsidRPr="003C7060" w:rsidP="7E33775C" w14:paraId="545E9C44" w14:textId="14A64646">
      <w:pPr>
        <w:pStyle w:val="ListParagraph"/>
        <w:numPr>
          <w:ilvl w:val="0"/>
          <w:numId w:val="4"/>
        </w:numPr>
        <w:tabs>
          <w:tab w:val="left" w:pos="1421"/>
        </w:tabs>
        <w:ind w:left="1421" w:hanging="420"/>
        <w:rPr>
          <w:rFonts w:asciiTheme="minorHAnsi" w:hAnsiTheme="minorHAnsi" w:cstheme="minorHAnsi"/>
          <w:sz w:val="24"/>
          <w:szCs w:val="24"/>
          <w:u w:val="single"/>
        </w:rPr>
      </w:pPr>
      <w:r w:rsidRPr="003C7060">
        <w:rPr>
          <w:rFonts w:asciiTheme="minorHAnsi" w:hAnsiTheme="minorHAnsi" w:cstheme="minorHAnsi"/>
          <w:sz w:val="24"/>
          <w:szCs w:val="24"/>
          <w:u w:val="single"/>
        </w:rPr>
        <w:t xml:space="preserve"> </w:t>
      </w:r>
      <w:r w:rsidRPr="003C7060" w:rsidR="3AF4C3AE">
        <w:rPr>
          <w:rFonts w:asciiTheme="minorHAnsi" w:hAnsiTheme="minorHAnsi" w:cstheme="minorHAnsi"/>
          <w:sz w:val="24"/>
          <w:szCs w:val="24"/>
          <w:u w:val="single"/>
        </w:rPr>
        <w:t>Reasons for Change in Burden</w:t>
      </w:r>
    </w:p>
    <w:p w:rsidR="00913AC6" w:rsidRPr="003C7060" w:rsidP="7E33775C" w14:paraId="2337BDE8" w14:textId="15ED74E3">
      <w:pPr>
        <w:ind w:firstLine="720"/>
        <w:rPr>
          <w:rFonts w:asciiTheme="minorHAnsi" w:hAnsiTheme="minorHAnsi" w:cstheme="minorHAnsi"/>
          <w:sz w:val="24"/>
          <w:szCs w:val="24"/>
        </w:rPr>
      </w:pPr>
      <w:r w:rsidRPr="003C7060">
        <w:rPr>
          <w:rFonts w:asciiTheme="minorHAnsi" w:hAnsiTheme="minorHAnsi" w:cstheme="minorHAnsi"/>
        </w:rPr>
        <w:br/>
      </w:r>
      <w:r w:rsidRPr="003C7060">
        <w:rPr>
          <w:rFonts w:asciiTheme="minorHAnsi" w:hAnsiTheme="minorHAnsi" w:cstheme="minorHAnsi"/>
        </w:rPr>
        <w:tab/>
      </w:r>
      <w:r w:rsidRPr="003C7060" w:rsidR="164C3D54">
        <w:rPr>
          <w:rFonts w:asciiTheme="minorHAnsi" w:hAnsiTheme="minorHAnsi" w:cstheme="minorHAnsi"/>
          <w:sz w:val="24"/>
          <w:szCs w:val="24"/>
        </w:rPr>
        <w:t xml:space="preserve">The total approved responses in December 2015 </w:t>
      </w:r>
      <w:r w:rsidRPr="003C7060" w:rsidR="164C3D54">
        <w:rPr>
          <w:rFonts w:asciiTheme="minorHAnsi" w:hAnsiTheme="minorHAnsi" w:cstheme="minorHAnsi"/>
          <w:sz w:val="24"/>
          <w:szCs w:val="24"/>
        </w:rPr>
        <w:t>was</w:t>
      </w:r>
      <w:r w:rsidRPr="003C7060" w:rsidR="164C3D54">
        <w:rPr>
          <w:rFonts w:asciiTheme="minorHAnsi" w:hAnsiTheme="minorHAnsi" w:cstheme="minorHAnsi"/>
          <w:sz w:val="24"/>
          <w:szCs w:val="24"/>
        </w:rPr>
        <w:t xml:space="preserve"> 169,020. </w:t>
      </w:r>
      <w:r w:rsidRPr="003C7060" w:rsidR="4666DBE4">
        <w:rPr>
          <w:rFonts w:asciiTheme="minorHAnsi" w:hAnsiTheme="minorHAnsi" w:cstheme="minorHAnsi"/>
          <w:sz w:val="24"/>
          <w:szCs w:val="24"/>
        </w:rPr>
        <w:t xml:space="preserve">The total requested responses for this information collection </w:t>
      </w:r>
      <w:r w:rsidRPr="003C7060" w:rsidR="7DCF93E9">
        <w:rPr>
          <w:rFonts w:asciiTheme="minorHAnsi" w:hAnsiTheme="minorHAnsi" w:cstheme="minorHAnsi"/>
          <w:sz w:val="24"/>
          <w:szCs w:val="24"/>
        </w:rPr>
        <w:t>are</w:t>
      </w:r>
      <w:r w:rsidRPr="003C7060" w:rsidR="5D650408">
        <w:rPr>
          <w:rFonts w:asciiTheme="minorHAnsi" w:hAnsiTheme="minorHAnsi" w:cstheme="minorHAnsi"/>
          <w:sz w:val="24"/>
          <w:szCs w:val="24"/>
        </w:rPr>
        <w:t xml:space="preserve"> </w:t>
      </w:r>
      <w:r w:rsidRPr="003C7060" w:rsidR="5769ECFE">
        <w:rPr>
          <w:rFonts w:asciiTheme="minorHAnsi" w:hAnsiTheme="minorHAnsi" w:cstheme="minorHAnsi"/>
          <w:sz w:val="24"/>
          <w:szCs w:val="24"/>
        </w:rPr>
        <w:t>125,863</w:t>
      </w:r>
      <w:r w:rsidRPr="003C7060" w:rsidR="131290B1">
        <w:rPr>
          <w:rFonts w:asciiTheme="minorHAnsi" w:hAnsiTheme="minorHAnsi" w:cstheme="minorHAnsi"/>
          <w:sz w:val="24"/>
          <w:szCs w:val="24"/>
        </w:rPr>
        <w:t xml:space="preserve">. </w:t>
      </w:r>
      <w:r w:rsidRPr="003C7060" w:rsidR="39309ACE">
        <w:rPr>
          <w:rFonts w:asciiTheme="minorHAnsi" w:hAnsiTheme="minorHAnsi" w:cstheme="minorHAnsi"/>
          <w:sz w:val="24"/>
          <w:szCs w:val="24"/>
        </w:rPr>
        <w:t>The last information collection accounted for</w:t>
      </w:r>
      <w:r w:rsidRPr="003C7060" w:rsidR="18C5F0DB">
        <w:rPr>
          <w:rFonts w:asciiTheme="minorHAnsi" w:hAnsiTheme="minorHAnsi" w:cstheme="minorHAnsi"/>
          <w:sz w:val="24"/>
          <w:szCs w:val="24"/>
        </w:rPr>
        <w:t xml:space="preserve"> a mixed-mode collection</w:t>
      </w:r>
      <w:r w:rsidRPr="003C7060" w:rsidR="1EBA824C">
        <w:rPr>
          <w:rFonts w:asciiTheme="minorHAnsi" w:hAnsiTheme="minorHAnsi" w:cstheme="minorHAnsi"/>
          <w:sz w:val="24"/>
          <w:szCs w:val="24"/>
        </w:rPr>
        <w:t xml:space="preserve"> comprising of mainly mail and telephone completes</w:t>
      </w:r>
      <w:r w:rsidRPr="003C7060" w:rsidR="18C5F0DB">
        <w:rPr>
          <w:rFonts w:asciiTheme="minorHAnsi" w:hAnsiTheme="minorHAnsi" w:cstheme="minorHAnsi"/>
          <w:sz w:val="24"/>
          <w:szCs w:val="24"/>
        </w:rPr>
        <w:t xml:space="preserve">. This information collection </w:t>
      </w:r>
      <w:r w:rsidRPr="003C7060" w:rsidR="3CCF4A9B">
        <w:rPr>
          <w:rFonts w:asciiTheme="minorHAnsi" w:hAnsiTheme="minorHAnsi" w:cstheme="minorHAnsi"/>
          <w:sz w:val="24"/>
          <w:szCs w:val="24"/>
        </w:rPr>
        <w:t xml:space="preserve">accounts for changes in technology to a fully web </w:t>
      </w:r>
      <w:r w:rsidRPr="003C7060" w:rsidR="7DCF93E9">
        <w:rPr>
          <w:rFonts w:asciiTheme="minorHAnsi" w:hAnsiTheme="minorHAnsi" w:cstheme="minorHAnsi"/>
          <w:sz w:val="24"/>
          <w:szCs w:val="24"/>
        </w:rPr>
        <w:t>enabled survey</w:t>
      </w:r>
      <w:r w:rsidRPr="003C7060" w:rsidR="760BE590">
        <w:rPr>
          <w:rFonts w:asciiTheme="minorHAnsi" w:hAnsiTheme="minorHAnsi" w:cstheme="minorHAnsi"/>
          <w:sz w:val="24"/>
          <w:szCs w:val="24"/>
        </w:rPr>
        <w:t xml:space="preserve"> with some respondents opting for a phone or mail complete option</w:t>
      </w:r>
      <w:r w:rsidRPr="003C7060" w:rsidR="3CCF4A9B">
        <w:rPr>
          <w:rFonts w:asciiTheme="minorHAnsi" w:hAnsiTheme="minorHAnsi" w:cstheme="minorHAnsi"/>
          <w:sz w:val="24"/>
          <w:szCs w:val="24"/>
        </w:rPr>
        <w:t>.</w:t>
      </w:r>
    </w:p>
    <w:p w:rsidR="009C2D55" w:rsidRPr="003C7060" w:rsidP="7E33775C" w14:paraId="5BF73A8D" w14:textId="77777777">
      <w:pPr>
        <w:pStyle w:val="BodyText"/>
        <w:rPr>
          <w:rFonts w:asciiTheme="minorHAnsi" w:hAnsiTheme="minorHAnsi" w:cstheme="minorHAnsi"/>
        </w:rPr>
      </w:pPr>
    </w:p>
    <w:p w:rsidR="009C2D55" w:rsidRPr="003C7060" w:rsidP="7E33775C" w14:paraId="368E2677" w14:textId="77777777">
      <w:pPr>
        <w:pStyle w:val="ListParagraph"/>
        <w:numPr>
          <w:ilvl w:val="0"/>
          <w:numId w:val="4"/>
        </w:numPr>
        <w:tabs>
          <w:tab w:val="left" w:pos="1421"/>
        </w:tabs>
        <w:spacing w:before="1"/>
        <w:ind w:left="1421" w:hanging="420"/>
        <w:rPr>
          <w:rFonts w:asciiTheme="minorHAnsi" w:hAnsiTheme="minorHAnsi" w:cstheme="minorHAnsi"/>
          <w:sz w:val="24"/>
          <w:szCs w:val="24"/>
        </w:rPr>
      </w:pPr>
      <w:r w:rsidRPr="003C7060">
        <w:rPr>
          <w:rFonts w:asciiTheme="minorHAnsi" w:hAnsiTheme="minorHAnsi" w:cstheme="minorHAnsi"/>
          <w:sz w:val="24"/>
          <w:szCs w:val="24"/>
          <w:u w:val="single"/>
        </w:rPr>
        <w:t>Publication of</w:t>
      </w:r>
      <w:r w:rsidRPr="003C7060">
        <w:rPr>
          <w:rFonts w:asciiTheme="minorHAnsi" w:hAnsiTheme="minorHAnsi" w:cstheme="minorHAnsi"/>
          <w:spacing w:val="-8"/>
          <w:sz w:val="24"/>
          <w:szCs w:val="24"/>
          <w:u w:val="single"/>
        </w:rPr>
        <w:t xml:space="preserve"> </w:t>
      </w:r>
      <w:r w:rsidRPr="003C7060">
        <w:rPr>
          <w:rFonts w:asciiTheme="minorHAnsi" w:hAnsiTheme="minorHAnsi" w:cstheme="minorHAnsi"/>
          <w:spacing w:val="-2"/>
          <w:sz w:val="24"/>
          <w:szCs w:val="24"/>
          <w:u w:val="single"/>
        </w:rPr>
        <w:t>Results</w:t>
      </w:r>
    </w:p>
    <w:p w:rsidR="002C5BF3" w:rsidRPr="003C7060" w:rsidP="7E33775C" w14:paraId="7AB0E482" w14:textId="77777777">
      <w:pPr>
        <w:pStyle w:val="Heading3"/>
        <w:spacing w:line="240" w:lineRule="auto"/>
        <w:rPr>
          <w:rFonts w:asciiTheme="minorHAnsi" w:hAnsiTheme="minorHAnsi" w:cstheme="minorHAnsi"/>
          <w:color w:val="auto"/>
          <w:sz w:val="24"/>
          <w:szCs w:val="24"/>
        </w:rPr>
      </w:pPr>
      <w:bookmarkStart w:id="13" w:name="_Toc172540689"/>
      <w:r w:rsidRPr="003C7060">
        <w:rPr>
          <w:rFonts w:asciiTheme="minorHAnsi" w:hAnsiTheme="minorHAnsi" w:cstheme="minorHAnsi"/>
          <w:color w:val="auto"/>
          <w:sz w:val="24"/>
          <w:szCs w:val="24"/>
        </w:rPr>
        <w:t>Tabulation Plans</w:t>
      </w:r>
      <w:bookmarkEnd w:id="13"/>
    </w:p>
    <w:p w:rsidR="002C5BF3" w:rsidRPr="003C7060" w:rsidP="7E33775C" w14:paraId="6F3B5798" w14:textId="77777777">
      <w:pPr>
        <w:rPr>
          <w:rFonts w:asciiTheme="minorHAnsi" w:hAnsiTheme="minorHAnsi" w:cstheme="minorHAnsi"/>
          <w:sz w:val="24"/>
          <w:szCs w:val="24"/>
        </w:rPr>
      </w:pPr>
      <w:r w:rsidRPr="003C7060">
        <w:rPr>
          <w:rFonts w:asciiTheme="minorHAnsi" w:hAnsiTheme="minorHAnsi" w:cstheme="minorHAnsi"/>
          <w:sz w:val="24"/>
          <w:szCs w:val="24"/>
        </w:rPr>
        <w:t>NORC will use advanced statistical software such as SAS or R to generate frequencies of responses and cross-tabulations on key variables using weighted data. Fundamental measures for observation include:</w:t>
      </w:r>
    </w:p>
    <w:p w:rsidR="002C5BF3" w:rsidRPr="003C7060" w:rsidP="7E33775C" w14:paraId="529C5289" w14:textId="77777777">
      <w:pPr>
        <w:pStyle w:val="ListParagraph"/>
        <w:numPr>
          <w:ilvl w:val="0"/>
          <w:numId w:val="6"/>
        </w:numPr>
        <w:rPr>
          <w:rFonts w:asciiTheme="minorHAnsi" w:hAnsiTheme="minorHAnsi" w:cstheme="minorHAnsi"/>
          <w:sz w:val="24"/>
          <w:szCs w:val="24"/>
        </w:rPr>
      </w:pPr>
      <w:r w:rsidRPr="003C7060">
        <w:rPr>
          <w:rFonts w:asciiTheme="minorHAnsi" w:hAnsiTheme="minorHAnsi" w:cstheme="minorHAnsi"/>
          <w:sz w:val="24"/>
          <w:szCs w:val="24"/>
        </w:rPr>
        <w:t>Numbers and characteristics of boating participants (i.e., boat owners and non-owners</w:t>
      </w:r>
      <w:r w:rsidRPr="003C7060">
        <w:rPr>
          <w:rFonts w:asciiTheme="minorHAnsi" w:hAnsiTheme="minorHAnsi" w:cstheme="minorHAnsi"/>
          <w:sz w:val="24"/>
          <w:szCs w:val="24"/>
        </w:rPr>
        <w:t>);</w:t>
      </w:r>
    </w:p>
    <w:p w:rsidR="002C5BF3" w:rsidRPr="003C7060" w:rsidP="7E33775C" w14:paraId="52173666" w14:textId="77777777">
      <w:pPr>
        <w:pStyle w:val="ListParagraph"/>
        <w:numPr>
          <w:ilvl w:val="0"/>
          <w:numId w:val="6"/>
        </w:numPr>
        <w:rPr>
          <w:rFonts w:asciiTheme="minorHAnsi" w:hAnsiTheme="minorHAnsi" w:cstheme="minorHAnsi"/>
          <w:sz w:val="24"/>
          <w:szCs w:val="24"/>
        </w:rPr>
      </w:pPr>
      <w:r w:rsidRPr="003C7060">
        <w:rPr>
          <w:rFonts w:asciiTheme="minorHAnsi" w:hAnsiTheme="minorHAnsi" w:cstheme="minorHAnsi"/>
          <w:sz w:val="24"/>
          <w:szCs w:val="24"/>
        </w:rPr>
        <w:t xml:space="preserve">Exposure rates (i.e., boating trips, “boat hours”) and </w:t>
      </w:r>
      <w:r w:rsidRPr="003C7060">
        <w:rPr>
          <w:rFonts w:asciiTheme="minorHAnsi" w:hAnsiTheme="minorHAnsi" w:cstheme="minorHAnsi"/>
          <w:sz w:val="24"/>
          <w:szCs w:val="24"/>
        </w:rPr>
        <w:t>behaviors;</w:t>
      </w:r>
    </w:p>
    <w:p w:rsidR="002C5BF3" w:rsidRPr="003C7060" w:rsidP="7E33775C" w14:paraId="5F8EBEB8" w14:textId="77777777">
      <w:pPr>
        <w:pStyle w:val="ListParagraph"/>
        <w:numPr>
          <w:ilvl w:val="0"/>
          <w:numId w:val="6"/>
        </w:numPr>
        <w:rPr>
          <w:rFonts w:asciiTheme="minorHAnsi" w:hAnsiTheme="minorHAnsi" w:cstheme="minorHAnsi"/>
          <w:sz w:val="24"/>
          <w:szCs w:val="24"/>
        </w:rPr>
      </w:pPr>
      <w:r w:rsidRPr="003C7060">
        <w:rPr>
          <w:rFonts w:asciiTheme="minorHAnsi" w:hAnsiTheme="minorHAnsi" w:cstheme="minorHAnsi"/>
          <w:sz w:val="24"/>
          <w:szCs w:val="24"/>
        </w:rPr>
        <w:t>Numbers and types of boats (i.e., registered, documented, unregistered); and</w:t>
      </w:r>
    </w:p>
    <w:p w:rsidR="002C5BF3" w:rsidRPr="003C7060" w:rsidP="7E33775C" w14:paraId="0237869E" w14:textId="77777777">
      <w:pPr>
        <w:pStyle w:val="ListParagraph"/>
        <w:numPr>
          <w:ilvl w:val="0"/>
          <w:numId w:val="6"/>
        </w:numPr>
        <w:rPr>
          <w:rFonts w:asciiTheme="minorHAnsi" w:hAnsiTheme="minorHAnsi" w:cstheme="minorHAnsi"/>
          <w:sz w:val="24"/>
          <w:szCs w:val="24"/>
        </w:rPr>
      </w:pPr>
      <w:r w:rsidRPr="003C7060">
        <w:rPr>
          <w:rFonts w:asciiTheme="minorHAnsi" w:hAnsiTheme="minorHAnsi" w:cstheme="minorHAnsi"/>
          <w:sz w:val="24"/>
          <w:szCs w:val="24"/>
        </w:rPr>
        <w:t>Number of boats with various types of safety equipment</w:t>
      </w:r>
    </w:p>
    <w:p w:rsidR="002C5BF3" w:rsidRPr="003C7060" w:rsidP="7E33775C" w14:paraId="273412D9" w14:textId="77777777">
      <w:pPr>
        <w:pStyle w:val="Heading3"/>
        <w:spacing w:line="240" w:lineRule="auto"/>
        <w:rPr>
          <w:rFonts w:asciiTheme="minorHAnsi" w:hAnsiTheme="minorHAnsi" w:cstheme="minorHAnsi"/>
          <w:color w:val="auto"/>
          <w:sz w:val="24"/>
          <w:szCs w:val="24"/>
        </w:rPr>
      </w:pPr>
      <w:bookmarkStart w:id="14" w:name="_Toc172540690"/>
      <w:r w:rsidRPr="003C7060">
        <w:rPr>
          <w:rFonts w:asciiTheme="minorHAnsi" w:hAnsiTheme="minorHAnsi" w:cstheme="minorHAnsi"/>
          <w:color w:val="auto"/>
          <w:sz w:val="24"/>
          <w:szCs w:val="24"/>
        </w:rPr>
        <w:t>Time Schedule for the Project</w:t>
      </w:r>
      <w:bookmarkEnd w:id="14"/>
    </w:p>
    <w:p w:rsidR="002C5BF3" w:rsidRPr="003C7060" w:rsidP="7E33775C" w14:paraId="13C3D233" w14:textId="77777777">
      <w:pPr>
        <w:ind w:firstLine="720"/>
        <w:rPr>
          <w:rFonts w:asciiTheme="minorHAnsi" w:hAnsiTheme="minorHAnsi" w:cstheme="minorHAnsi"/>
          <w:sz w:val="24"/>
          <w:szCs w:val="24"/>
        </w:rPr>
      </w:pPr>
      <w:r w:rsidRPr="003C7060">
        <w:rPr>
          <w:rFonts w:asciiTheme="minorHAnsi" w:hAnsiTheme="minorHAnsi" w:cstheme="minorHAnsi"/>
          <w:sz w:val="24"/>
          <w:szCs w:val="24"/>
        </w:rPr>
        <w:t xml:space="preserve">The Exposure Survey will proceed monthly during the survey year starting in February 2026 asking about boat trips in January 2026 and ending in January 2027 asking about boat trips in December 2026. The Participation Survey will include three waves of data collection in 2026 </w:t>
      </w:r>
      <w:bookmarkStart w:id="15" w:name="OLE_LINK42"/>
      <w:r w:rsidRPr="003C7060">
        <w:rPr>
          <w:rFonts w:asciiTheme="minorHAnsi" w:hAnsiTheme="minorHAnsi" w:cstheme="minorHAnsi"/>
          <w:sz w:val="24"/>
          <w:szCs w:val="24"/>
        </w:rPr>
        <w:t>taking place in May 2026, September 2026, and January 2027</w:t>
      </w:r>
      <w:bookmarkEnd w:id="15"/>
      <w:r w:rsidRPr="003C7060">
        <w:rPr>
          <w:rFonts w:asciiTheme="minorHAnsi" w:hAnsiTheme="minorHAnsi" w:cstheme="minorHAnsi"/>
          <w:sz w:val="24"/>
          <w:szCs w:val="24"/>
        </w:rPr>
        <w:t xml:space="preserve">. </w:t>
      </w:r>
    </w:p>
    <w:p w:rsidR="002C5BF3" w:rsidRPr="003C7060" w:rsidP="7E33775C" w14:paraId="5A639DF5" w14:textId="77777777">
      <w:pPr>
        <w:ind w:firstLine="720"/>
        <w:rPr>
          <w:rFonts w:asciiTheme="minorHAnsi" w:hAnsiTheme="minorHAnsi" w:cstheme="minorHAnsi"/>
          <w:sz w:val="24"/>
          <w:szCs w:val="24"/>
        </w:rPr>
      </w:pPr>
      <w:r w:rsidRPr="003C7060">
        <w:rPr>
          <w:rFonts w:asciiTheme="minorHAnsi" w:hAnsiTheme="minorHAnsi" w:cstheme="minorHAnsi"/>
          <w:sz w:val="24"/>
          <w:szCs w:val="24"/>
        </w:rPr>
        <w:t xml:space="preserve">NORC will deliver national, regional, and statewide estimates of recreational boats, boating households, boaters, boating exposures, boating practices, and boating activities in September 2027. The USCG will disseminate these findings in January 2028. </w:t>
      </w:r>
    </w:p>
    <w:p w:rsidR="009C2D55" w:rsidRPr="003C7060" w:rsidP="7E33775C" w14:paraId="2B7B7AEC" w14:textId="77777777">
      <w:pPr>
        <w:pStyle w:val="BodyText"/>
        <w:spacing w:before="7"/>
        <w:rPr>
          <w:rFonts w:asciiTheme="minorHAnsi" w:hAnsiTheme="minorHAnsi" w:cstheme="minorHAnsi"/>
          <w:sz w:val="23"/>
          <w:szCs w:val="23"/>
        </w:rPr>
      </w:pPr>
    </w:p>
    <w:p w:rsidR="009C2D55" w:rsidRPr="003C7060" w:rsidP="7E33775C" w14:paraId="3B2789E0" w14:textId="77777777">
      <w:pPr>
        <w:pStyle w:val="ListParagraph"/>
        <w:numPr>
          <w:ilvl w:val="0"/>
          <w:numId w:val="4"/>
        </w:numPr>
        <w:tabs>
          <w:tab w:val="left" w:pos="1421"/>
        </w:tabs>
        <w:ind w:left="1421" w:hanging="420"/>
        <w:rPr>
          <w:rFonts w:asciiTheme="minorHAnsi" w:hAnsiTheme="minorHAnsi" w:cstheme="minorHAnsi"/>
          <w:sz w:val="24"/>
          <w:szCs w:val="24"/>
        </w:rPr>
      </w:pPr>
      <w:r w:rsidRPr="003C7060">
        <w:rPr>
          <w:rFonts w:asciiTheme="minorHAnsi" w:hAnsiTheme="minorHAnsi" w:cstheme="minorHAnsi"/>
          <w:sz w:val="24"/>
          <w:szCs w:val="24"/>
          <w:u w:val="single"/>
        </w:rPr>
        <w:t>Non-Display</w:t>
      </w:r>
      <w:r w:rsidRPr="003C7060">
        <w:rPr>
          <w:rFonts w:asciiTheme="minorHAnsi" w:hAnsiTheme="minorHAnsi" w:cstheme="minorHAnsi"/>
          <w:spacing w:val="-2"/>
          <w:sz w:val="24"/>
          <w:szCs w:val="24"/>
          <w:u w:val="single"/>
        </w:rPr>
        <w:t xml:space="preserve"> </w:t>
      </w:r>
      <w:r w:rsidRPr="003C7060">
        <w:rPr>
          <w:rFonts w:asciiTheme="minorHAnsi" w:hAnsiTheme="minorHAnsi" w:cstheme="minorHAnsi"/>
          <w:sz w:val="24"/>
          <w:szCs w:val="24"/>
          <w:u w:val="single"/>
        </w:rPr>
        <w:t>of</w:t>
      </w:r>
      <w:r w:rsidRPr="003C7060">
        <w:rPr>
          <w:rFonts w:asciiTheme="minorHAnsi" w:hAnsiTheme="minorHAnsi" w:cstheme="minorHAnsi"/>
          <w:spacing w:val="-7"/>
          <w:sz w:val="24"/>
          <w:szCs w:val="24"/>
          <w:u w:val="single"/>
        </w:rPr>
        <w:t xml:space="preserve"> </w:t>
      </w:r>
      <w:r w:rsidRPr="003C7060">
        <w:rPr>
          <w:rFonts w:asciiTheme="minorHAnsi" w:hAnsiTheme="minorHAnsi" w:cstheme="minorHAnsi"/>
          <w:sz w:val="24"/>
          <w:szCs w:val="24"/>
          <w:u w:val="single"/>
        </w:rPr>
        <w:t>OMB</w:t>
      </w:r>
      <w:r w:rsidRPr="003C7060">
        <w:rPr>
          <w:rFonts w:asciiTheme="minorHAnsi" w:hAnsiTheme="minorHAnsi" w:cstheme="minorHAnsi"/>
          <w:spacing w:val="-1"/>
          <w:sz w:val="24"/>
          <w:szCs w:val="24"/>
          <w:u w:val="single"/>
        </w:rPr>
        <w:t xml:space="preserve"> </w:t>
      </w:r>
      <w:r w:rsidRPr="003C7060">
        <w:rPr>
          <w:rFonts w:asciiTheme="minorHAnsi" w:hAnsiTheme="minorHAnsi" w:cstheme="minorHAnsi"/>
          <w:sz w:val="24"/>
          <w:szCs w:val="24"/>
          <w:u w:val="single"/>
        </w:rPr>
        <w:t>Expiration</w:t>
      </w:r>
      <w:r w:rsidRPr="003C7060">
        <w:rPr>
          <w:rFonts w:asciiTheme="minorHAnsi" w:hAnsiTheme="minorHAnsi" w:cstheme="minorHAnsi"/>
          <w:spacing w:val="-6"/>
          <w:sz w:val="24"/>
          <w:szCs w:val="24"/>
          <w:u w:val="single"/>
        </w:rPr>
        <w:t xml:space="preserve"> </w:t>
      </w:r>
      <w:r w:rsidRPr="003C7060">
        <w:rPr>
          <w:rFonts w:asciiTheme="minorHAnsi" w:hAnsiTheme="minorHAnsi" w:cstheme="minorHAnsi"/>
          <w:spacing w:val="-4"/>
          <w:sz w:val="24"/>
          <w:szCs w:val="24"/>
          <w:u w:val="single"/>
        </w:rPr>
        <w:t>Date</w:t>
      </w:r>
    </w:p>
    <w:p w:rsidR="009C2D55" w:rsidRPr="003C7060" w:rsidP="7E33775C" w14:paraId="76E11D8E" w14:textId="77777777">
      <w:pPr>
        <w:pStyle w:val="BodyText"/>
        <w:spacing w:before="8"/>
        <w:rPr>
          <w:rFonts w:asciiTheme="minorHAnsi" w:hAnsiTheme="minorHAnsi" w:cstheme="minorHAnsi"/>
          <w:sz w:val="17"/>
          <w:szCs w:val="17"/>
        </w:rPr>
      </w:pPr>
    </w:p>
    <w:p w:rsidR="00527E5F" w:rsidRPr="003C7060" w:rsidP="7E33775C" w14:paraId="465F9F3F" w14:textId="75F2C72B">
      <w:pPr>
        <w:ind w:firstLine="720"/>
        <w:rPr>
          <w:rFonts w:asciiTheme="minorHAnsi" w:hAnsiTheme="minorHAnsi" w:cstheme="minorHAnsi"/>
          <w:sz w:val="24"/>
          <w:szCs w:val="24"/>
        </w:rPr>
      </w:pPr>
      <w:r w:rsidRPr="003C7060">
        <w:rPr>
          <w:rFonts w:asciiTheme="minorHAnsi" w:hAnsiTheme="minorHAnsi" w:cstheme="minorHAnsi"/>
          <w:sz w:val="24"/>
          <w:szCs w:val="24"/>
        </w:rPr>
        <w:t>We are not seeking such approval. The OMB number will appear in appropriate Paperwork Reduction Act disclosure information.</w:t>
      </w:r>
    </w:p>
    <w:p w:rsidR="009C2D55" w:rsidRPr="003C7060" w:rsidP="7E33775C" w14:paraId="36C8045C" w14:textId="77777777">
      <w:pPr>
        <w:pStyle w:val="BodyText"/>
        <w:rPr>
          <w:rFonts w:asciiTheme="minorHAnsi" w:hAnsiTheme="minorHAnsi" w:cstheme="minorHAnsi"/>
        </w:rPr>
      </w:pPr>
    </w:p>
    <w:p w:rsidR="009C2D55" w:rsidRPr="003C7060" w:rsidP="7E33775C" w14:paraId="325C020F" w14:textId="77777777">
      <w:pPr>
        <w:pStyle w:val="ListParagraph"/>
        <w:numPr>
          <w:ilvl w:val="0"/>
          <w:numId w:val="4"/>
        </w:numPr>
        <w:tabs>
          <w:tab w:val="left" w:pos="1421"/>
        </w:tabs>
        <w:ind w:left="1421" w:hanging="420"/>
        <w:rPr>
          <w:rFonts w:asciiTheme="minorHAnsi" w:hAnsiTheme="minorHAnsi" w:cstheme="minorHAnsi"/>
          <w:sz w:val="24"/>
          <w:szCs w:val="24"/>
        </w:rPr>
      </w:pPr>
      <w:r w:rsidRPr="003C7060">
        <w:rPr>
          <w:rFonts w:asciiTheme="minorHAnsi" w:hAnsiTheme="minorHAnsi" w:cstheme="minorHAnsi"/>
          <w:sz w:val="24"/>
          <w:szCs w:val="24"/>
          <w:u w:val="single"/>
        </w:rPr>
        <w:t>Exceptions</w:t>
      </w:r>
      <w:r w:rsidRPr="003C7060">
        <w:rPr>
          <w:rFonts w:asciiTheme="minorHAnsi" w:hAnsiTheme="minorHAnsi" w:cstheme="minorHAnsi"/>
          <w:spacing w:val="-1"/>
          <w:sz w:val="24"/>
          <w:szCs w:val="24"/>
          <w:u w:val="single"/>
        </w:rPr>
        <w:t xml:space="preserve"> </w:t>
      </w:r>
      <w:r w:rsidRPr="003C7060">
        <w:rPr>
          <w:rFonts w:asciiTheme="minorHAnsi" w:hAnsiTheme="minorHAnsi" w:cstheme="minorHAnsi"/>
          <w:sz w:val="24"/>
          <w:szCs w:val="24"/>
          <w:u w:val="single"/>
        </w:rPr>
        <w:t>to</w:t>
      </w:r>
      <w:r w:rsidRPr="003C7060">
        <w:rPr>
          <w:rFonts w:asciiTheme="minorHAnsi" w:hAnsiTheme="minorHAnsi" w:cstheme="minorHAnsi"/>
          <w:spacing w:val="-4"/>
          <w:sz w:val="24"/>
          <w:szCs w:val="24"/>
          <w:u w:val="single"/>
        </w:rPr>
        <w:t xml:space="preserve"> </w:t>
      </w:r>
      <w:r w:rsidRPr="003C7060">
        <w:rPr>
          <w:rFonts w:asciiTheme="minorHAnsi" w:hAnsiTheme="minorHAnsi" w:cstheme="minorHAnsi"/>
          <w:sz w:val="24"/>
          <w:szCs w:val="24"/>
          <w:u w:val="single"/>
        </w:rPr>
        <w:t>"Certification for</w:t>
      </w:r>
      <w:r w:rsidRPr="003C7060">
        <w:rPr>
          <w:rFonts w:asciiTheme="minorHAnsi" w:hAnsiTheme="minorHAnsi" w:cstheme="minorHAnsi"/>
          <w:spacing w:val="-4"/>
          <w:sz w:val="24"/>
          <w:szCs w:val="24"/>
          <w:u w:val="single"/>
        </w:rPr>
        <w:t xml:space="preserve"> </w:t>
      </w:r>
      <w:r w:rsidRPr="003C7060">
        <w:rPr>
          <w:rFonts w:asciiTheme="minorHAnsi" w:hAnsiTheme="minorHAnsi" w:cstheme="minorHAnsi"/>
          <w:sz w:val="24"/>
          <w:szCs w:val="24"/>
          <w:u w:val="single"/>
        </w:rPr>
        <w:t>Paperwork</w:t>
      </w:r>
      <w:r w:rsidRPr="003C7060">
        <w:rPr>
          <w:rFonts w:asciiTheme="minorHAnsi" w:hAnsiTheme="minorHAnsi" w:cstheme="minorHAnsi"/>
          <w:spacing w:val="-9"/>
          <w:sz w:val="24"/>
          <w:szCs w:val="24"/>
          <w:u w:val="single"/>
        </w:rPr>
        <w:t xml:space="preserve"> </w:t>
      </w:r>
      <w:r w:rsidRPr="003C7060">
        <w:rPr>
          <w:rFonts w:asciiTheme="minorHAnsi" w:hAnsiTheme="minorHAnsi" w:cstheme="minorHAnsi"/>
          <w:sz w:val="24"/>
          <w:szCs w:val="24"/>
          <w:u w:val="single"/>
        </w:rPr>
        <w:t>Reduction</w:t>
      </w:r>
      <w:r w:rsidRPr="003C7060">
        <w:rPr>
          <w:rFonts w:asciiTheme="minorHAnsi" w:hAnsiTheme="minorHAnsi" w:cstheme="minorHAnsi"/>
          <w:spacing w:val="-9"/>
          <w:sz w:val="24"/>
          <w:szCs w:val="24"/>
          <w:u w:val="single"/>
        </w:rPr>
        <w:t xml:space="preserve"> </w:t>
      </w:r>
      <w:r w:rsidRPr="003C7060">
        <w:rPr>
          <w:rFonts w:asciiTheme="minorHAnsi" w:hAnsiTheme="minorHAnsi" w:cstheme="minorHAnsi"/>
          <w:spacing w:val="-2"/>
          <w:sz w:val="24"/>
          <w:szCs w:val="24"/>
          <w:u w:val="single"/>
        </w:rPr>
        <w:t>Submissions"</w:t>
      </w:r>
    </w:p>
    <w:p w:rsidR="009C2D55" w:rsidRPr="003C7060" w:rsidP="7E33775C" w14:paraId="0EC7BB9D" w14:textId="77777777">
      <w:pPr>
        <w:pStyle w:val="BodyText"/>
        <w:spacing w:before="4"/>
        <w:rPr>
          <w:rFonts w:asciiTheme="minorHAnsi" w:hAnsiTheme="minorHAnsi" w:cstheme="minorHAnsi"/>
          <w:sz w:val="17"/>
          <w:szCs w:val="17"/>
        </w:rPr>
      </w:pPr>
    </w:p>
    <w:p w:rsidR="00527E5F" w:rsidRPr="003C7060" w:rsidP="7E33775C" w14:paraId="43EDD508" w14:textId="1D82DBCF">
      <w:pPr>
        <w:rPr>
          <w:rFonts w:asciiTheme="minorHAnsi" w:hAnsiTheme="minorHAnsi" w:cstheme="minorHAnsi"/>
          <w:sz w:val="24"/>
          <w:szCs w:val="24"/>
        </w:rPr>
      </w:pPr>
      <w:r w:rsidRPr="003C7060">
        <w:rPr>
          <w:rFonts w:asciiTheme="minorHAnsi" w:hAnsiTheme="minorHAnsi" w:cstheme="minorHAnsi"/>
          <w:sz w:val="24"/>
          <w:szCs w:val="24"/>
        </w:rPr>
        <w:t>There are no exceptions to the certification statement.</w:t>
      </w:r>
    </w:p>
    <w:p w:rsidR="00390BE3" w:rsidRPr="003C7060" w:rsidP="7E33775C" w14:paraId="6730BB82" w14:textId="2E71A676">
      <w:pPr>
        <w:pStyle w:val="BodyText"/>
        <w:spacing w:before="4"/>
        <w:rPr>
          <w:rFonts w:asciiTheme="minorHAnsi" w:hAnsiTheme="minorHAnsi" w:cstheme="minorHAnsi"/>
          <w:sz w:val="17"/>
          <w:szCs w:val="17"/>
        </w:rPr>
      </w:pPr>
    </w:p>
    <w:p w:rsidR="00390BE3" w:rsidRPr="003C7060" w:rsidP="7E33775C" w14:paraId="590BB80F" w14:textId="77777777">
      <w:pPr>
        <w:rPr>
          <w:rFonts w:asciiTheme="minorHAnsi" w:hAnsiTheme="minorHAnsi" w:cstheme="minorHAnsi"/>
          <w:sz w:val="17"/>
          <w:szCs w:val="17"/>
        </w:rPr>
      </w:pPr>
      <w:r w:rsidRPr="003C7060">
        <w:rPr>
          <w:rFonts w:asciiTheme="minorHAnsi" w:hAnsiTheme="minorHAnsi" w:cstheme="minorHAnsi"/>
          <w:sz w:val="17"/>
          <w:szCs w:val="17"/>
        </w:rPr>
        <w:br w:type="page"/>
      </w:r>
    </w:p>
    <w:p w:rsidR="00390BE3" w:rsidRPr="003C7060" w:rsidP="7E33775C" w14:paraId="10B0059C" w14:textId="5B0C23F6">
      <w:pPr>
        <w:pStyle w:val="BodyText"/>
        <w:spacing w:before="4"/>
        <w:rPr>
          <w:rFonts w:asciiTheme="minorHAnsi" w:hAnsiTheme="minorHAnsi" w:cstheme="minorHAnsi"/>
          <w:b/>
          <w:bCs/>
          <w:u w:val="single"/>
        </w:rPr>
      </w:pPr>
      <w:r w:rsidRPr="003C7060">
        <w:rPr>
          <w:rFonts w:asciiTheme="minorHAnsi" w:hAnsiTheme="minorHAnsi" w:cstheme="minorHAnsi"/>
          <w:b/>
          <w:bCs/>
          <w:u w:val="single"/>
        </w:rPr>
        <w:t>Works Cited</w:t>
      </w:r>
      <w:r w:rsidRPr="003C7060">
        <w:rPr>
          <w:rFonts w:asciiTheme="minorHAnsi" w:hAnsiTheme="minorHAnsi" w:cstheme="minorHAnsi"/>
        </w:rPr>
        <w:br/>
      </w:r>
    </w:p>
    <w:p w:rsidR="009C2D55" w:rsidRPr="003C7060" w:rsidP="7E33775C" w14:paraId="43B5BF1D" w14:textId="3699173B">
      <w:pPr>
        <w:pStyle w:val="BodyText"/>
        <w:spacing w:before="4"/>
        <w:rPr>
          <w:rFonts w:asciiTheme="minorHAnsi" w:hAnsiTheme="minorHAnsi" w:cstheme="minorHAnsi"/>
        </w:rPr>
      </w:pPr>
      <w:r w:rsidRPr="003C7060">
        <w:rPr>
          <w:rFonts w:asciiTheme="minorHAnsi" w:hAnsiTheme="minorHAnsi" w:cstheme="minorHAnsi"/>
        </w:rPr>
        <w:t>Dillman, D. A., Smyth, J. D., &amp; Christian, L. M. (2014). Internet, phone, mail, and mixed-mode surveys: The tailored design method. John Wiley &amp; Sons. </w:t>
      </w:r>
    </w:p>
    <w:p w:rsidR="00390BE3" w:rsidRPr="003C7060" w:rsidP="7E33775C" w14:paraId="1C9286E4" w14:textId="43395295">
      <w:pPr>
        <w:pStyle w:val="BodyText"/>
        <w:spacing w:before="4"/>
        <w:rPr>
          <w:rFonts w:asciiTheme="minorHAnsi" w:hAnsiTheme="minorHAnsi" w:cstheme="minorHAnsi"/>
        </w:rPr>
      </w:pPr>
    </w:p>
    <w:p w:rsidR="3E9B9333" w:rsidRPr="003C7060" w:rsidP="7E33775C" w14:paraId="3CD21217" w14:textId="6D5B32A2">
      <w:pPr>
        <w:pStyle w:val="BodyText"/>
        <w:spacing w:before="4"/>
        <w:rPr>
          <w:rFonts w:asciiTheme="minorHAnsi" w:hAnsiTheme="minorHAnsi" w:cstheme="minorHAnsi"/>
        </w:rPr>
      </w:pPr>
      <w:r w:rsidRPr="003C7060">
        <w:rPr>
          <w:rFonts w:asciiTheme="minorHAnsi" w:hAnsiTheme="minorHAnsi" w:cstheme="minorHAnsi"/>
        </w:rPr>
        <w:t>Duffy, et al. (2020) National Recreational Boating Safety Survey Final Methodology Report. RTI International. March 2020.</w:t>
      </w:r>
    </w:p>
    <w:p w:rsidR="7E33775C" w:rsidRPr="003C7060" w:rsidP="7E33775C" w14:paraId="076EF347" w14:textId="2F9931BC">
      <w:pPr>
        <w:pStyle w:val="BodyText"/>
        <w:spacing w:before="4"/>
        <w:rPr>
          <w:rFonts w:asciiTheme="minorHAnsi" w:hAnsiTheme="minorHAnsi" w:cstheme="minorHAnsi"/>
        </w:rPr>
      </w:pPr>
    </w:p>
    <w:p w:rsidR="00E10649" w:rsidRPr="003C7060" w:rsidP="7E33775C" w14:paraId="14304078" w14:textId="6D3F99BC">
      <w:pPr>
        <w:pStyle w:val="BodyText"/>
        <w:spacing w:before="4"/>
        <w:rPr>
          <w:rFonts w:asciiTheme="minorHAnsi" w:hAnsiTheme="minorHAnsi" w:cstheme="minorHAnsi"/>
        </w:rPr>
      </w:pPr>
      <w:r w:rsidRPr="003C7060">
        <w:rPr>
          <w:rFonts w:asciiTheme="minorHAnsi" w:hAnsiTheme="minorHAnsi" w:cstheme="minorHAnsi"/>
        </w:rPr>
        <w:t xml:space="preserve">Evans Policy Innovation Collaborative. Non-Motorized Boating Fatalities in Washington – December 2022. Accessed at </w:t>
      </w:r>
      <w:hyperlink r:id="rId8">
        <w:r w:rsidRPr="003C7060">
          <w:rPr>
            <w:rStyle w:val="Hyperlink"/>
            <w:rFonts w:asciiTheme="minorHAnsi" w:hAnsiTheme="minorHAnsi" w:cstheme="minorHAnsi"/>
          </w:rPr>
          <w:t>uwnetid.sharepoint.com/sites/</w:t>
        </w:r>
        <w:r w:rsidRPr="003C7060">
          <w:rPr>
            <w:rStyle w:val="Hyperlink"/>
            <w:rFonts w:asciiTheme="minorHAnsi" w:hAnsiTheme="minorHAnsi" w:cstheme="minorHAnsi"/>
          </w:rPr>
          <w:t>evans</w:t>
        </w:r>
        <w:r w:rsidRPr="003C7060">
          <w:rPr>
            <w:rStyle w:val="Hyperlink"/>
            <w:rFonts w:asciiTheme="minorHAnsi" w:hAnsiTheme="minorHAnsi" w:cstheme="minorHAnsi"/>
          </w:rPr>
          <w:t>-public/Shared Documents/Forms/AllItems.aspx?id=%2Fsites%2Fevans-public%2FShared Documents%2FEPIC%2FBoating%2FNon-MotorizedBoatingWA_FinalReport%2Epdf&amp;parent=%2Fsites%2Fevans-public%2FShared Documents%2FEPIC%2FBoating&amp;p=</w:t>
        </w:r>
        <w:r w:rsidRPr="003C7060">
          <w:rPr>
            <w:rStyle w:val="Hyperlink"/>
            <w:rFonts w:asciiTheme="minorHAnsi" w:hAnsiTheme="minorHAnsi" w:cstheme="minorHAnsi"/>
          </w:rPr>
          <w:t>true&amp;ga</w:t>
        </w:r>
        <w:r w:rsidRPr="003C7060">
          <w:rPr>
            <w:rStyle w:val="Hyperlink"/>
            <w:rFonts w:asciiTheme="minorHAnsi" w:hAnsiTheme="minorHAnsi" w:cstheme="minorHAnsi"/>
          </w:rPr>
          <w:t>=1</w:t>
        </w:r>
      </w:hyperlink>
    </w:p>
    <w:p w:rsidR="00E10649" w:rsidRPr="003C7060" w:rsidP="7E33775C" w14:paraId="3F92F1B5" w14:textId="77777777">
      <w:pPr>
        <w:pStyle w:val="BodyText"/>
        <w:spacing w:before="4"/>
        <w:rPr>
          <w:rFonts w:asciiTheme="minorHAnsi" w:hAnsiTheme="minorHAnsi" w:cstheme="minorHAnsi"/>
        </w:rPr>
      </w:pPr>
    </w:p>
    <w:p w:rsidR="002B672E" w:rsidRPr="003C7060" w:rsidP="7E33775C" w14:paraId="755E2BD8" w14:textId="46C10B3A">
      <w:pPr>
        <w:pStyle w:val="BodyText"/>
        <w:spacing w:before="4"/>
        <w:rPr>
          <w:rFonts w:asciiTheme="minorHAnsi" w:hAnsiTheme="minorHAnsi" w:cstheme="minorHAnsi"/>
        </w:rPr>
      </w:pPr>
      <w:r w:rsidRPr="003C7060">
        <w:rPr>
          <w:rFonts w:asciiTheme="minorHAnsi" w:hAnsiTheme="minorHAnsi" w:cstheme="minorHAnsi"/>
        </w:rPr>
        <w:t>Government Accountability Office (202</w:t>
      </w:r>
      <w:r w:rsidRPr="003C7060" w:rsidR="00D0616D">
        <w:rPr>
          <w:rFonts w:asciiTheme="minorHAnsi" w:hAnsiTheme="minorHAnsi" w:cstheme="minorHAnsi"/>
        </w:rPr>
        <w:t>2</w:t>
      </w:r>
      <w:r w:rsidRPr="003C7060">
        <w:rPr>
          <w:rFonts w:asciiTheme="minorHAnsi" w:hAnsiTheme="minorHAnsi" w:cstheme="minorHAnsi"/>
        </w:rPr>
        <w:t xml:space="preserve">). </w:t>
      </w:r>
      <w:r w:rsidRPr="003C7060" w:rsidR="00D0616D">
        <w:rPr>
          <w:rFonts w:asciiTheme="minorHAnsi" w:hAnsiTheme="minorHAnsi" w:cstheme="minorHAnsi"/>
          <w:i/>
          <w:iCs/>
        </w:rPr>
        <w:t xml:space="preserve">Recreational Boating: How Vessel Users Contribute to and Benefit from a Federal Trust Fund. </w:t>
      </w:r>
      <w:r w:rsidRPr="003C7060" w:rsidR="00D0616D">
        <w:rPr>
          <w:rFonts w:asciiTheme="minorHAnsi" w:hAnsiTheme="minorHAnsi" w:cstheme="minorHAnsi"/>
        </w:rPr>
        <w:t xml:space="preserve">Report to Congressional Committees. Accessed at </w:t>
      </w:r>
      <w:hyperlink r:id="rId9">
        <w:r w:rsidRPr="003C7060" w:rsidR="00D0616D">
          <w:rPr>
            <w:rStyle w:val="Hyperlink"/>
            <w:rFonts w:asciiTheme="minorHAnsi" w:hAnsiTheme="minorHAnsi" w:cstheme="minorHAnsi"/>
          </w:rPr>
          <w:t>https://www.gao.gov/assets/gao-23-105729.pdf</w:t>
        </w:r>
      </w:hyperlink>
    </w:p>
    <w:p w:rsidR="002B672E" w:rsidRPr="003C7060" w:rsidP="7E33775C" w14:paraId="7BFFF1EB" w14:textId="77777777">
      <w:pPr>
        <w:pStyle w:val="BodyText"/>
        <w:spacing w:before="4"/>
        <w:rPr>
          <w:rFonts w:asciiTheme="minorHAnsi" w:hAnsiTheme="minorHAnsi" w:cstheme="minorHAnsi"/>
        </w:rPr>
      </w:pPr>
    </w:p>
    <w:p w:rsidR="00CD411D" w:rsidRPr="003C7060" w:rsidP="7E33775C" w14:paraId="520DE04F" w14:textId="33455974">
      <w:pPr>
        <w:pStyle w:val="BodyText"/>
        <w:spacing w:before="4"/>
        <w:rPr>
          <w:rFonts w:asciiTheme="minorHAnsi" w:hAnsiTheme="minorHAnsi" w:cstheme="minorHAnsi"/>
        </w:rPr>
      </w:pPr>
      <w:r w:rsidRPr="003C7060">
        <w:rPr>
          <w:rFonts w:asciiTheme="minorHAnsi" w:hAnsiTheme="minorHAnsi" w:cstheme="minorHAnsi"/>
        </w:rPr>
        <w:t xml:space="preserve">National Association of State Boating Law Administrators (2023). NRBSS Stakeholder Engagement Session. Accessed at </w:t>
      </w:r>
      <w:hyperlink r:id="rId10">
        <w:r w:rsidRPr="003C7060" w:rsidR="00985065">
          <w:rPr>
            <w:rStyle w:val="Hyperlink"/>
            <w:rFonts w:asciiTheme="minorHAnsi" w:hAnsiTheme="minorHAnsi" w:cstheme="minorHAnsi"/>
          </w:rPr>
          <w:t>https://higherlogicdownload.s3.amazonaws.com/NASBLA/76594a34-f3a1-4916-95ac-1e9c872170cc/UploadedImages/advocacy/committees/ERAC/NRBSS_Stakeholder_Meeting_12122023_w_speaker_notes_poll_and_open_question_results.pdf</w:t>
        </w:r>
      </w:hyperlink>
      <w:r w:rsidRPr="003C7060" w:rsidR="00985065">
        <w:rPr>
          <w:rFonts w:asciiTheme="minorHAnsi" w:hAnsiTheme="minorHAnsi" w:cstheme="minorHAnsi"/>
        </w:rPr>
        <w:t xml:space="preserve"> </w:t>
      </w:r>
    </w:p>
    <w:p w:rsidR="00CD411D" w:rsidRPr="003C7060" w:rsidP="7E33775C" w14:paraId="6856119D" w14:textId="77777777">
      <w:pPr>
        <w:pStyle w:val="BodyText"/>
        <w:spacing w:before="4"/>
        <w:rPr>
          <w:rFonts w:asciiTheme="minorHAnsi" w:hAnsiTheme="minorHAnsi" w:cstheme="minorHAnsi"/>
        </w:rPr>
      </w:pPr>
    </w:p>
    <w:p w:rsidR="00390BE3" w:rsidRPr="003C7060" w:rsidP="7E33775C" w14:paraId="083CE4CB" w14:textId="79630F7C">
      <w:pPr>
        <w:pStyle w:val="BodyText"/>
        <w:spacing w:before="4"/>
        <w:rPr>
          <w:rFonts w:asciiTheme="minorHAnsi" w:hAnsiTheme="minorHAnsi" w:cstheme="minorHAnsi"/>
        </w:rPr>
      </w:pPr>
      <w:r w:rsidRPr="003C7060">
        <w:rPr>
          <w:rFonts w:asciiTheme="minorHAnsi" w:hAnsiTheme="minorHAnsi" w:cstheme="minorHAnsi"/>
        </w:rPr>
        <w:t>Stanley, M., Roycroft, J., Amaya, A., Dever, J. A., &amp; Srivastav, A. (2020). The Effectiveness of Incentives on Completion Rates, Data Quality, and Nonresponse Bias in a Probability-based Internet Panel Survey. </w:t>
      </w:r>
      <w:r w:rsidRPr="003C7060">
        <w:rPr>
          <w:rFonts w:asciiTheme="minorHAnsi" w:hAnsiTheme="minorHAnsi" w:cstheme="minorHAnsi"/>
          <w:i/>
          <w:iCs/>
        </w:rPr>
        <w:t>Field Methods</w:t>
      </w:r>
      <w:r w:rsidRPr="003C7060">
        <w:rPr>
          <w:rFonts w:asciiTheme="minorHAnsi" w:hAnsiTheme="minorHAnsi" w:cstheme="minorHAnsi"/>
        </w:rPr>
        <w:t>, </w:t>
      </w:r>
      <w:r w:rsidRPr="003C7060">
        <w:rPr>
          <w:rFonts w:asciiTheme="minorHAnsi" w:hAnsiTheme="minorHAnsi" w:cstheme="minorHAnsi"/>
          <w:i/>
          <w:iCs/>
        </w:rPr>
        <w:t>32</w:t>
      </w:r>
      <w:r w:rsidRPr="003C7060">
        <w:rPr>
          <w:rFonts w:asciiTheme="minorHAnsi" w:hAnsiTheme="minorHAnsi" w:cstheme="minorHAnsi"/>
        </w:rPr>
        <w:t>(2), 159-179.  </w:t>
      </w:r>
    </w:p>
    <w:p w:rsidR="00390BE3" w:rsidRPr="003C7060" w:rsidP="7E33775C" w14:paraId="34944182" w14:textId="77777777">
      <w:pPr>
        <w:pStyle w:val="BodyText"/>
        <w:spacing w:before="4"/>
        <w:rPr>
          <w:rFonts w:asciiTheme="minorHAnsi" w:hAnsiTheme="minorHAnsi" w:cstheme="minorHAnsi"/>
        </w:rPr>
      </w:pPr>
    </w:p>
    <w:p w:rsidR="00FF6BD6" w:rsidRPr="003C7060" w:rsidP="7E33775C" w14:paraId="79EDB497" w14:textId="09C18099">
      <w:pPr>
        <w:pStyle w:val="BodyText"/>
        <w:spacing w:before="4"/>
        <w:rPr>
          <w:rFonts w:asciiTheme="minorHAnsi" w:hAnsiTheme="minorHAnsi" w:cstheme="minorHAnsi"/>
        </w:rPr>
      </w:pPr>
      <w:r w:rsidRPr="003C7060">
        <w:rPr>
          <w:rFonts w:asciiTheme="minorHAnsi" w:hAnsiTheme="minorHAnsi" w:cstheme="minorHAnsi"/>
        </w:rPr>
        <w:t xml:space="preserve">United States Coast Guard (2023). </w:t>
      </w:r>
      <w:r w:rsidRPr="003C7060">
        <w:rPr>
          <w:rFonts w:asciiTheme="minorHAnsi" w:hAnsiTheme="minorHAnsi" w:cstheme="minorHAnsi"/>
        </w:rPr>
        <w:t xml:space="preserve">2023 Recreational Boating Statistics, COMDTPUB P16754.37. </w:t>
      </w:r>
      <w:r w:rsidRPr="003C7060" w:rsidR="008B76D8">
        <w:rPr>
          <w:rFonts w:asciiTheme="minorHAnsi" w:hAnsiTheme="minorHAnsi" w:cstheme="minorHAnsi"/>
        </w:rPr>
        <w:t xml:space="preserve">Accessed at </w:t>
      </w:r>
      <w:hyperlink r:id="rId11">
        <w:r w:rsidRPr="003C7060" w:rsidR="008B76D8">
          <w:rPr>
            <w:rStyle w:val="Hyperlink"/>
            <w:rFonts w:asciiTheme="minorHAnsi" w:hAnsiTheme="minorHAnsi" w:cstheme="minorHAnsi"/>
          </w:rPr>
          <w:t>https://uscgboating.org/library/accident-statistics/Recreational-Boating-Statistics-2023-Ch1.pdf</w:t>
        </w:r>
      </w:hyperlink>
      <w:r w:rsidRPr="003C7060" w:rsidR="008B76D8">
        <w:rPr>
          <w:rFonts w:asciiTheme="minorHAnsi" w:hAnsiTheme="minorHAnsi" w:cstheme="minorHAnsi"/>
        </w:rPr>
        <w:t xml:space="preserve"> </w:t>
      </w:r>
    </w:p>
    <w:p w:rsidR="00FF6BD6" w:rsidRPr="003C7060" w:rsidP="7E33775C" w14:paraId="228BAF20" w14:textId="77777777">
      <w:pPr>
        <w:rPr>
          <w:rFonts w:asciiTheme="minorHAnsi" w:hAnsiTheme="minorHAnsi" w:cstheme="minorHAnsi"/>
          <w:sz w:val="24"/>
          <w:szCs w:val="24"/>
        </w:rPr>
      </w:pPr>
      <w:r w:rsidRPr="003C7060">
        <w:rPr>
          <w:rFonts w:asciiTheme="minorHAnsi" w:hAnsiTheme="minorHAnsi" w:cstheme="minorHAnsi"/>
        </w:rPr>
        <w:br w:type="page"/>
      </w:r>
    </w:p>
    <w:p w:rsidR="00CF0953" w:rsidRPr="003C7060" w:rsidP="7E33775C" w14:paraId="2F5886E6" w14:textId="4155CA6B">
      <w:pPr>
        <w:pStyle w:val="BodyText"/>
        <w:spacing w:before="4"/>
        <w:rPr>
          <w:rFonts w:asciiTheme="minorHAnsi" w:hAnsiTheme="minorHAnsi" w:cstheme="minorHAnsi"/>
          <w:b/>
          <w:bCs/>
        </w:rPr>
      </w:pPr>
      <w:r w:rsidRPr="003C7060">
        <w:rPr>
          <w:rFonts w:asciiTheme="minorHAnsi" w:hAnsiTheme="minorHAnsi" w:cstheme="minorHAnsi"/>
          <w:b/>
          <w:bCs/>
        </w:rPr>
        <w:t xml:space="preserve">Appendix 1: </w:t>
      </w:r>
      <w:r w:rsidRPr="003C7060">
        <w:rPr>
          <w:rFonts w:asciiTheme="minorHAnsi" w:hAnsiTheme="minorHAnsi" w:cstheme="minorHAnsi"/>
          <w:b/>
          <w:bCs/>
        </w:rPr>
        <w:t>Title 46, Subtitle II, Part I, Chapter 131, §13102:</w:t>
      </w:r>
      <w:r w:rsidRPr="003C7060" w:rsidR="2E90D2A1">
        <w:rPr>
          <w:rFonts w:asciiTheme="minorHAnsi" w:hAnsiTheme="minorHAnsi" w:cstheme="minorHAnsi"/>
          <w:b/>
          <w:bCs/>
        </w:rPr>
        <w:t xml:space="preserve"> </w:t>
      </w:r>
      <w:r w:rsidRPr="003C7060">
        <w:rPr>
          <w:rFonts w:asciiTheme="minorHAnsi" w:hAnsiTheme="minorHAnsi" w:cstheme="minorHAnsi"/>
          <w:b/>
          <w:bCs/>
        </w:rPr>
        <w:t>State recreational boating safety programs </w:t>
      </w:r>
    </w:p>
    <w:p w:rsidR="00CF0953" w:rsidRPr="003C7060" w:rsidP="7E33775C" w14:paraId="1EDBC04D" w14:textId="77777777">
      <w:pPr>
        <w:pStyle w:val="BodyText"/>
        <w:spacing w:before="4"/>
        <w:rPr>
          <w:rFonts w:asciiTheme="minorHAnsi" w:hAnsiTheme="minorHAnsi" w:cstheme="minorHAnsi"/>
        </w:rPr>
      </w:pPr>
    </w:p>
    <w:p w:rsidR="00CF0953" w:rsidRPr="003C7060" w:rsidP="7E33775C" w14:paraId="723C011D" w14:textId="2FBF5E69">
      <w:pPr>
        <w:pStyle w:val="BodyText"/>
        <w:spacing w:before="4"/>
        <w:rPr>
          <w:rFonts w:asciiTheme="minorHAnsi" w:hAnsiTheme="minorHAnsi" w:cstheme="minorHAnsi"/>
        </w:rPr>
      </w:pPr>
      <w:r w:rsidRPr="003C7060">
        <w:rPr>
          <w:rFonts w:asciiTheme="minorHAnsi" w:hAnsiTheme="minorHAnsi" w:cstheme="minorHAnsi"/>
        </w:rPr>
        <w:t>(a) To encourage greater State participation and uniformity in boating safety efforts, and particularly to permit the States to assume the greater share of boating safety education, assistance, and enforcement activities, the Secretary shall carry out a national recreational boating safety program. Under this program, the Secretary shall make contracts with, and allocate and distribute amounts to, eligible States to assist them in developing, carrying out, and financing State recreational boating safety programs  </w:t>
      </w:r>
      <w:r w:rsidRPr="003C7060">
        <w:rPr>
          <w:rFonts w:asciiTheme="minorHAnsi" w:hAnsiTheme="minorHAnsi" w:cstheme="minorHAnsi"/>
        </w:rPr>
        <w:br/>
      </w:r>
    </w:p>
    <w:p w:rsidR="00CF0953" w:rsidRPr="003C7060" w:rsidP="7E33775C" w14:paraId="0303B465" w14:textId="5B95B769">
      <w:pPr>
        <w:pStyle w:val="BodyText"/>
        <w:spacing w:before="4"/>
        <w:rPr>
          <w:rFonts w:asciiTheme="minorHAnsi" w:hAnsiTheme="minorHAnsi" w:cstheme="minorHAnsi"/>
        </w:rPr>
      </w:pPr>
      <w:r w:rsidRPr="003C7060">
        <w:rPr>
          <w:rFonts w:asciiTheme="minorHAnsi" w:hAnsiTheme="minorHAnsi" w:cstheme="minorHAnsi"/>
        </w:rPr>
        <w:t>(b) The Secretary shall establish guidelines and standards for the program. In doing so, the Secretary—  </w:t>
      </w:r>
      <w:r w:rsidRPr="003C7060">
        <w:rPr>
          <w:rFonts w:asciiTheme="minorHAnsi" w:hAnsiTheme="minorHAnsi" w:cstheme="minorHAnsi"/>
        </w:rPr>
        <w:br/>
      </w:r>
    </w:p>
    <w:p w:rsidR="00CF0953" w:rsidRPr="003C7060" w:rsidP="7E33775C" w14:paraId="402C27BC" w14:textId="1F969128">
      <w:pPr>
        <w:pStyle w:val="BodyText"/>
        <w:spacing w:before="4"/>
        <w:ind w:left="720"/>
        <w:rPr>
          <w:rFonts w:asciiTheme="minorHAnsi" w:hAnsiTheme="minorHAnsi" w:cstheme="minorHAnsi"/>
        </w:rPr>
      </w:pPr>
      <w:r w:rsidRPr="003C7060">
        <w:rPr>
          <w:rFonts w:asciiTheme="minorHAnsi" w:hAnsiTheme="minorHAnsi" w:cstheme="minorHAnsi"/>
        </w:rPr>
        <w:t>(1) shall consider, among other things, factors affecting recreational boating safety by contributing to overcrowding and congestion of waterways, such as the increasing number of recreational vessels operating on those waterways and their geographic distribution, the availability and geographic distribution of recreational boating facilities in and among applying States, and State marine casualty and fatality statistics for recreational vessels;  </w:t>
      </w:r>
      <w:r w:rsidRPr="003C7060">
        <w:rPr>
          <w:rFonts w:asciiTheme="minorHAnsi" w:hAnsiTheme="minorHAnsi" w:cstheme="minorHAnsi"/>
        </w:rPr>
        <w:br/>
      </w:r>
    </w:p>
    <w:p w:rsidR="00CF0953" w:rsidRPr="003C7060" w:rsidP="7E33775C" w14:paraId="78FD351B" w14:textId="6E4B654C">
      <w:pPr>
        <w:pStyle w:val="BodyText"/>
        <w:spacing w:before="4"/>
        <w:ind w:left="720"/>
        <w:rPr>
          <w:rFonts w:asciiTheme="minorHAnsi" w:hAnsiTheme="minorHAnsi" w:cstheme="minorHAnsi"/>
        </w:rPr>
      </w:pPr>
      <w:r w:rsidRPr="003C7060">
        <w:rPr>
          <w:rFonts w:asciiTheme="minorHAnsi" w:hAnsiTheme="minorHAnsi" w:cstheme="minorHAnsi"/>
        </w:rPr>
        <w:t>(2) shall consult with the Secretary of the Interior to minimize duplication with the purposes and expenditures of the Land and Water Conservation Fund Act of 1965 (16 U.S.C. 460l–4—460l–11) the Federal Aid in Sport Fish Restoration Act of 1950 (16 U.S.C. 777–777k), and with the guidelines developed under those Acts; and  </w:t>
      </w:r>
      <w:r w:rsidRPr="003C7060">
        <w:rPr>
          <w:rFonts w:asciiTheme="minorHAnsi" w:hAnsiTheme="minorHAnsi" w:cstheme="minorHAnsi"/>
        </w:rPr>
        <w:br/>
      </w:r>
    </w:p>
    <w:p w:rsidR="00CF0953" w:rsidRPr="003C7060" w:rsidP="7E33775C" w14:paraId="24EB4D8A" w14:textId="5D7A1689">
      <w:pPr>
        <w:pStyle w:val="BodyText"/>
        <w:spacing w:before="4"/>
        <w:ind w:left="720"/>
        <w:rPr>
          <w:rFonts w:asciiTheme="minorHAnsi" w:hAnsiTheme="minorHAnsi" w:cstheme="minorHAnsi"/>
        </w:rPr>
      </w:pPr>
      <w:r w:rsidRPr="003C7060">
        <w:rPr>
          <w:rFonts w:asciiTheme="minorHAnsi" w:hAnsiTheme="minorHAnsi" w:cstheme="minorHAnsi"/>
        </w:rPr>
        <w:t>(3) shall maintain environmental standards consistent with the Coastal Zone Management Act of 1972 (16 U.S.C. 1451–1464) and other laws and policies of the United States intended to safeguard the ecological and esthetic quality of the waters and wetlands of the United States.  </w:t>
      </w:r>
      <w:r w:rsidRPr="003C7060">
        <w:rPr>
          <w:rFonts w:asciiTheme="minorHAnsi" w:hAnsiTheme="minorHAnsi" w:cstheme="minorHAnsi"/>
        </w:rPr>
        <w:br/>
      </w:r>
    </w:p>
    <w:p w:rsidR="00CF0953" w:rsidRPr="003C7060" w:rsidP="7E33775C" w14:paraId="720A5D01" w14:textId="77777777">
      <w:pPr>
        <w:pStyle w:val="BodyText"/>
        <w:spacing w:before="4"/>
        <w:rPr>
          <w:rFonts w:asciiTheme="minorHAnsi" w:hAnsiTheme="minorHAnsi" w:cstheme="minorHAnsi"/>
        </w:rPr>
      </w:pPr>
      <w:r w:rsidRPr="003C7060">
        <w:rPr>
          <w:rFonts w:asciiTheme="minorHAnsi" w:hAnsiTheme="minorHAnsi" w:cstheme="minorHAnsi"/>
        </w:rPr>
        <w:t>(c) A State whose recreational boating safety program has been approved by the Secretary is eligible for allocation and distribution of amounts under this chapter to assist that State in developing, carrying out, and financing its program. Matching amounts shall be allocated and distributed among eligible States by the Secretary as provided by section 13104 of this title.  </w:t>
      </w:r>
    </w:p>
    <w:p w:rsidR="00390BE3" w:rsidRPr="003C7060" w:rsidP="7E33775C" w14:paraId="383EA2CA" w14:textId="129EE035">
      <w:pPr>
        <w:pStyle w:val="BodyText"/>
        <w:spacing w:before="4"/>
        <w:rPr>
          <w:rFonts w:asciiTheme="minorHAnsi" w:hAnsiTheme="minorHAnsi" w:cstheme="minorHAnsi"/>
        </w:rPr>
      </w:pPr>
    </w:p>
    <w:p w:rsidR="00EB5E48" w:rsidRPr="003C7060" w:rsidP="5829B2CD" w14:paraId="1EE7115B" w14:textId="6B3BCA34">
      <w:pPr>
        <w:spacing w:before="240"/>
        <w:rPr>
          <w:rFonts w:asciiTheme="minorHAnsi" w:hAnsiTheme="minorHAnsi" w:cstheme="minorHAnsi"/>
        </w:rPr>
      </w:pPr>
      <w:r w:rsidRPr="003C7060">
        <w:rPr>
          <w:rFonts w:asciiTheme="minorHAnsi" w:hAnsiTheme="minorHAnsi" w:cstheme="minorHAnsi"/>
          <w:sz w:val="24"/>
          <w:szCs w:val="24"/>
          <w:u w:val="single"/>
        </w:rPr>
        <w:t>46 USC §13107. Authorization of appropriations</w:t>
      </w:r>
    </w:p>
    <w:p w:rsidR="00EB5E48" w:rsidRPr="003C7060" w:rsidP="5829B2CD" w14:paraId="141C29D5" w14:textId="367CF7BC">
      <w:pPr>
        <w:spacing w:before="240"/>
        <w:rPr>
          <w:rFonts w:asciiTheme="minorHAnsi" w:hAnsiTheme="minorHAnsi" w:cstheme="minorHAnsi"/>
        </w:rPr>
      </w:pPr>
      <w:r w:rsidRPr="003C7060">
        <w:rPr>
          <w:rFonts w:asciiTheme="minorHAnsi" w:hAnsiTheme="minorHAnsi" w:cstheme="minorHAnsi"/>
          <w:sz w:val="24"/>
          <w:szCs w:val="24"/>
        </w:rPr>
        <w:t>(c)(B) Of the amounts used by the Secretary each fiscal year under subparagraph (A)—</w:t>
      </w:r>
    </w:p>
    <w:p w:rsidR="00EB5E48" w:rsidRPr="003C7060" w:rsidP="5829B2CD" w14:paraId="26C50CC9" w14:textId="617AAC73">
      <w:pPr>
        <w:spacing w:before="240"/>
        <w:rPr>
          <w:rFonts w:asciiTheme="minorHAnsi" w:hAnsiTheme="minorHAnsi" w:cstheme="minorHAnsi"/>
        </w:rPr>
      </w:pPr>
      <w:r w:rsidRPr="003C7060">
        <w:rPr>
          <w:rFonts w:asciiTheme="minorHAnsi" w:hAnsiTheme="minorHAnsi" w:cstheme="minorHAnsi"/>
          <w:sz w:val="24"/>
          <w:szCs w:val="24"/>
        </w:rPr>
        <w:t>(ii) not more than $1,500,000 is available to conduct by grant or contract a survey of levels of recreational boating participation and related matters in the United States.</w:t>
      </w:r>
    </w:p>
    <w:p w:rsidR="00EB5E48" w:rsidRPr="003C7060" w:rsidP="7E33775C" w14:paraId="045E3EAB" w14:textId="31B5E49F">
      <w:pPr>
        <w:pStyle w:val="BodyText"/>
        <w:spacing w:before="4"/>
        <w:rPr>
          <w:rFonts w:asciiTheme="minorHAnsi" w:hAnsiTheme="minorHAnsi" w:cstheme="minorHAnsi"/>
        </w:rPr>
      </w:pPr>
    </w:p>
    <w:p w:rsidR="00EB5E48" w:rsidRPr="003C7060" w:rsidP="7E33775C" w14:paraId="6B631D0C" w14:textId="77777777">
      <w:pPr>
        <w:rPr>
          <w:rFonts w:asciiTheme="minorHAnsi" w:hAnsiTheme="minorHAnsi" w:cstheme="minorHAnsi"/>
          <w:sz w:val="24"/>
          <w:szCs w:val="24"/>
        </w:rPr>
      </w:pPr>
      <w:r w:rsidRPr="003C7060">
        <w:rPr>
          <w:rFonts w:asciiTheme="minorHAnsi" w:hAnsiTheme="minorHAnsi" w:cstheme="minorHAnsi"/>
        </w:rPr>
        <w:br w:type="page"/>
      </w:r>
    </w:p>
    <w:p w:rsidR="002200FC" w:rsidRPr="003C7060" w:rsidP="002200FC" w14:paraId="4C2F22F6" w14:textId="45F87EEF">
      <w:pPr>
        <w:pStyle w:val="BodyText"/>
        <w:spacing w:before="4"/>
        <w:rPr>
          <w:rFonts w:asciiTheme="minorHAnsi" w:hAnsiTheme="minorHAnsi" w:cstheme="minorHAnsi"/>
          <w:b/>
          <w:bCs/>
        </w:rPr>
      </w:pPr>
      <w:r w:rsidRPr="003C7060">
        <w:rPr>
          <w:rFonts w:asciiTheme="minorHAnsi" w:hAnsiTheme="minorHAnsi" w:cstheme="minorHAnsi"/>
          <w:b/>
          <w:bCs/>
        </w:rPr>
        <w:t>Appendix 2: 2018 National Recreational Boating Safety Survey Non-Response Bias Analysis </w:t>
      </w:r>
    </w:p>
    <w:p w:rsidR="00624483" w:rsidRPr="003C7060" w:rsidP="7E33775C" w14:paraId="1171B728" w14:textId="4C105621">
      <w:pPr>
        <w:pStyle w:val="BodyText"/>
        <w:spacing w:before="4"/>
        <w:rPr>
          <w:rFonts w:asciiTheme="minorHAnsi" w:hAnsiTheme="minorHAnsi" w:cstheme="minorHAnsi"/>
          <w:b/>
          <w:bCs/>
        </w:rPr>
      </w:pPr>
      <w:r w:rsidRPr="003C7060">
        <w:rPr>
          <w:rFonts w:asciiTheme="minorHAnsi" w:hAnsiTheme="minorHAnsi" w:cstheme="minorHAnsi"/>
          <w:b/>
          <w:bCs/>
          <w:noProof/>
        </w:rPr>
        <w:drawing>
          <wp:inline distT="0" distB="0" distL="0" distR="0">
            <wp:extent cx="6057900" cy="7839710"/>
            <wp:effectExtent l="0" t="0" r="0" b="8890"/>
            <wp:docPr id="405421952"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421952" name="Picture 1" descr="Text, letter&#10;&#10;Description automatically generated"/>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57900" cy="7839710"/>
                    </a:xfrm>
                    <a:prstGeom prst="rect">
                      <a:avLst/>
                    </a:prstGeom>
                  </pic:spPr>
                </pic:pic>
              </a:graphicData>
            </a:graphic>
          </wp:inline>
        </w:drawing>
      </w:r>
      <w:r w:rsidRPr="003C7060">
        <w:rPr>
          <w:rFonts w:asciiTheme="minorHAnsi" w:hAnsiTheme="minorHAnsi" w:cstheme="minorHAnsi"/>
          <w:b/>
          <w:bCs/>
          <w:noProof/>
        </w:rPr>
        <w:drawing>
          <wp:inline distT="0" distB="0" distL="0" distR="0">
            <wp:extent cx="6057900" cy="7839710"/>
            <wp:effectExtent l="0" t="0" r="0" b="8890"/>
            <wp:docPr id="1533057405"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057405" name="Picture 2" descr="Chart, line chart&#10;&#10;Description automatically generated"/>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57900" cy="7839710"/>
                    </a:xfrm>
                    <a:prstGeom prst="rect">
                      <a:avLst/>
                    </a:prstGeom>
                  </pic:spPr>
                </pic:pic>
              </a:graphicData>
            </a:graphic>
          </wp:inline>
        </w:drawing>
      </w:r>
      <w:r w:rsidRPr="003C7060">
        <w:rPr>
          <w:rFonts w:asciiTheme="minorHAnsi" w:hAnsiTheme="minorHAnsi" w:cstheme="minorHAnsi"/>
          <w:b/>
          <w:bCs/>
          <w:noProof/>
        </w:rPr>
        <w:drawing>
          <wp:inline distT="0" distB="0" distL="0" distR="0">
            <wp:extent cx="6057900" cy="7839710"/>
            <wp:effectExtent l="0" t="0" r="0" b="8890"/>
            <wp:docPr id="979541437"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41437" name="Picture 3" descr="Table&#10;&#10;Description automatically generated"/>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57900" cy="7839710"/>
                    </a:xfrm>
                    <a:prstGeom prst="rect">
                      <a:avLst/>
                    </a:prstGeom>
                  </pic:spPr>
                </pic:pic>
              </a:graphicData>
            </a:graphic>
          </wp:inline>
        </w:drawing>
      </w:r>
      <w:r w:rsidRPr="003C7060">
        <w:rPr>
          <w:rFonts w:asciiTheme="minorHAnsi" w:hAnsiTheme="minorHAnsi" w:cstheme="minorHAnsi"/>
          <w:b/>
          <w:bCs/>
          <w:noProof/>
        </w:rPr>
        <w:drawing>
          <wp:inline distT="0" distB="0" distL="0" distR="0">
            <wp:extent cx="6057900" cy="7839710"/>
            <wp:effectExtent l="0" t="0" r="0" b="8890"/>
            <wp:docPr id="415469180"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69180" name="Picture 4" descr="Table&#10;&#10;Description automatically generated"/>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57900" cy="7839710"/>
                    </a:xfrm>
                    <a:prstGeom prst="rect">
                      <a:avLst/>
                    </a:prstGeom>
                  </pic:spPr>
                </pic:pic>
              </a:graphicData>
            </a:graphic>
          </wp:inline>
        </w:drawing>
      </w:r>
    </w:p>
    <w:sectPr>
      <w:headerReference w:type="default" r:id="rId16"/>
      <w:pgSz w:w="12240" w:h="15840"/>
      <w:pgMar w:top="1820" w:right="1360" w:bottom="1240" w:left="1340" w:header="0" w:footer="1054"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180"/>
      <w:gridCol w:w="3180"/>
      <w:gridCol w:w="3180"/>
    </w:tblGrid>
    <w:tr w14:paraId="15CE0FE8" w14:textId="77777777" w:rsidTr="1BE76A18">
      <w:tblPrEx>
        <w:tblW w:w="0" w:type="auto"/>
        <w:tblLayout w:type="fixed"/>
        <w:tblLook w:val="06A0"/>
      </w:tblPrEx>
      <w:trPr>
        <w:trHeight w:val="300"/>
      </w:trPr>
      <w:tc>
        <w:tcPr>
          <w:tcW w:w="3180" w:type="dxa"/>
        </w:tcPr>
        <w:p w:rsidR="1BE76A18" w:rsidP="1BE76A18" w14:paraId="69A04554" w14:textId="7DFD1D03">
          <w:pPr>
            <w:pStyle w:val="Header"/>
            <w:ind w:left="-115"/>
          </w:pPr>
        </w:p>
      </w:tc>
      <w:tc>
        <w:tcPr>
          <w:tcW w:w="3180" w:type="dxa"/>
        </w:tcPr>
        <w:p w:rsidR="1BE76A18" w:rsidP="1BE76A18" w14:paraId="45784191" w14:textId="1E5EC858">
          <w:pPr>
            <w:pStyle w:val="Header"/>
            <w:jc w:val="center"/>
          </w:pPr>
        </w:p>
      </w:tc>
      <w:tc>
        <w:tcPr>
          <w:tcW w:w="3180" w:type="dxa"/>
        </w:tcPr>
        <w:p w:rsidR="1BE76A18" w:rsidP="1BE76A18" w14:paraId="36451845" w14:textId="154BA553">
          <w:pPr>
            <w:pStyle w:val="Header"/>
            <w:ind w:right="-115"/>
            <w:jc w:val="right"/>
          </w:pPr>
        </w:p>
      </w:tc>
    </w:tr>
  </w:tbl>
  <w:p w:rsidR="1BE76A18" w:rsidP="1BE76A18" w14:paraId="4B7BE6C8" w14:textId="7A7E8E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202618E0"/>
    <w:multiLevelType w:val="hybridMultilevel"/>
    <w:tmpl w:val="FADC72D6"/>
    <w:lvl w:ilvl="0">
      <w:start w:val="1"/>
      <w:numFmt w:val="decimal"/>
      <w:lvlText w:val="%1."/>
      <w:lvlJc w:val="left"/>
      <w:pPr>
        <w:ind w:left="1301" w:hanging="300"/>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lowerLetter"/>
      <w:lvlText w:val="%2."/>
      <w:lvlJc w:val="left"/>
      <w:pPr>
        <w:ind w:left="100" w:hanging="285"/>
      </w:pPr>
      <w:rPr>
        <w:rFonts w:ascii="Times New Roman" w:eastAsia="Times New Roman" w:hAnsi="Times New Roman" w:cs="Times New Roman" w:hint="default"/>
        <w:b w:val="0"/>
        <w:bCs w:val="0"/>
        <w:i w:val="0"/>
        <w:iCs w:val="0"/>
        <w:spacing w:val="-2"/>
        <w:w w:val="100"/>
        <w:sz w:val="24"/>
        <w:szCs w:val="24"/>
        <w:lang w:val="en-US" w:eastAsia="en-US" w:bidi="ar-SA"/>
      </w:rPr>
    </w:lvl>
    <w:lvl w:ilvl="2">
      <w:start w:val="0"/>
      <w:numFmt w:val="bullet"/>
      <w:lvlText w:val="•"/>
      <w:lvlJc w:val="left"/>
      <w:pPr>
        <w:ind w:left="1740" w:hanging="285"/>
      </w:pPr>
      <w:rPr>
        <w:rFonts w:hint="default"/>
        <w:lang w:val="en-US" w:eastAsia="en-US" w:bidi="ar-SA"/>
      </w:rPr>
    </w:lvl>
    <w:lvl w:ilvl="3">
      <w:start w:val="0"/>
      <w:numFmt w:val="bullet"/>
      <w:lvlText w:val="•"/>
      <w:lvlJc w:val="left"/>
      <w:pPr>
        <w:ind w:left="2715" w:hanging="285"/>
      </w:pPr>
      <w:rPr>
        <w:rFonts w:hint="default"/>
        <w:lang w:val="en-US" w:eastAsia="en-US" w:bidi="ar-SA"/>
      </w:rPr>
    </w:lvl>
    <w:lvl w:ilvl="4">
      <w:start w:val="0"/>
      <w:numFmt w:val="bullet"/>
      <w:lvlText w:val="•"/>
      <w:lvlJc w:val="left"/>
      <w:pPr>
        <w:ind w:left="3690" w:hanging="285"/>
      </w:pPr>
      <w:rPr>
        <w:rFonts w:hint="default"/>
        <w:lang w:val="en-US" w:eastAsia="en-US" w:bidi="ar-SA"/>
      </w:rPr>
    </w:lvl>
    <w:lvl w:ilvl="5">
      <w:start w:val="0"/>
      <w:numFmt w:val="bullet"/>
      <w:lvlText w:val="•"/>
      <w:lvlJc w:val="left"/>
      <w:pPr>
        <w:ind w:left="4665" w:hanging="285"/>
      </w:pPr>
      <w:rPr>
        <w:rFonts w:hint="default"/>
        <w:lang w:val="en-US" w:eastAsia="en-US" w:bidi="ar-SA"/>
      </w:rPr>
    </w:lvl>
    <w:lvl w:ilvl="6">
      <w:start w:val="0"/>
      <w:numFmt w:val="bullet"/>
      <w:lvlText w:val="•"/>
      <w:lvlJc w:val="left"/>
      <w:pPr>
        <w:ind w:left="5640" w:hanging="285"/>
      </w:pPr>
      <w:rPr>
        <w:rFonts w:hint="default"/>
        <w:lang w:val="en-US" w:eastAsia="en-US" w:bidi="ar-SA"/>
      </w:rPr>
    </w:lvl>
    <w:lvl w:ilvl="7">
      <w:start w:val="0"/>
      <w:numFmt w:val="bullet"/>
      <w:lvlText w:val="•"/>
      <w:lvlJc w:val="left"/>
      <w:pPr>
        <w:ind w:left="6615" w:hanging="285"/>
      </w:pPr>
      <w:rPr>
        <w:rFonts w:hint="default"/>
        <w:lang w:val="en-US" w:eastAsia="en-US" w:bidi="ar-SA"/>
      </w:rPr>
    </w:lvl>
    <w:lvl w:ilvl="8">
      <w:start w:val="0"/>
      <w:numFmt w:val="bullet"/>
      <w:lvlText w:val="•"/>
      <w:lvlJc w:val="left"/>
      <w:pPr>
        <w:ind w:left="7590" w:hanging="285"/>
      </w:pPr>
      <w:rPr>
        <w:rFonts w:hint="default"/>
        <w:lang w:val="en-US" w:eastAsia="en-US" w:bidi="ar-SA"/>
      </w:rPr>
    </w:lvl>
  </w:abstractNum>
  <w:abstractNum w:abstractNumId="1">
    <w:nsid w:val="225DCDE4"/>
    <w:multiLevelType w:val="hybridMultilevel"/>
    <w:tmpl w:val="8C7CE5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2E8247D4"/>
    <w:multiLevelType w:val="hybridMultilevel"/>
    <w:tmpl w:val="96D63B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31431C73"/>
    <w:multiLevelType w:val="hybridMultilevel"/>
    <w:tmpl w:val="ABC8B0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3DC748BB"/>
    <w:multiLevelType w:val="hybridMultilevel"/>
    <w:tmpl w:val="F95E2E6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54712D67"/>
    <w:multiLevelType w:val="hybridMultilevel"/>
    <w:tmpl w:val="09DC82E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16cid:durableId="1289897447">
    <w:abstractNumId w:val="3"/>
  </w:num>
  <w:num w:numId="2" w16cid:durableId="1237011434">
    <w:abstractNumId w:val="2"/>
  </w:num>
  <w:num w:numId="3" w16cid:durableId="995844737">
    <w:abstractNumId w:val="1"/>
  </w:num>
  <w:num w:numId="4" w16cid:durableId="1970822733">
    <w:abstractNumId w:val="0"/>
  </w:num>
  <w:num w:numId="5" w16cid:durableId="1312977415">
    <w:abstractNumId w:val="5"/>
  </w:num>
  <w:num w:numId="6" w16cid:durableId="6558860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D55"/>
    <w:rsid w:val="00042572"/>
    <w:rsid w:val="0005355B"/>
    <w:rsid w:val="000B4494"/>
    <w:rsid w:val="000B6630"/>
    <w:rsid w:val="000D7A8B"/>
    <w:rsid w:val="000F19DE"/>
    <w:rsid w:val="0010635C"/>
    <w:rsid w:val="00170FA5"/>
    <w:rsid w:val="00170FF9"/>
    <w:rsid w:val="00176945"/>
    <w:rsid w:val="001906A5"/>
    <w:rsid w:val="00196446"/>
    <w:rsid w:val="001A5EEE"/>
    <w:rsid w:val="00201CE9"/>
    <w:rsid w:val="002200FC"/>
    <w:rsid w:val="00232846"/>
    <w:rsid w:val="002638FC"/>
    <w:rsid w:val="00265774"/>
    <w:rsid w:val="002B672E"/>
    <w:rsid w:val="002C5BF3"/>
    <w:rsid w:val="002E3159"/>
    <w:rsid w:val="002E55D2"/>
    <w:rsid w:val="002F1CEE"/>
    <w:rsid w:val="00372197"/>
    <w:rsid w:val="00390BE3"/>
    <w:rsid w:val="003C7060"/>
    <w:rsid w:val="003E0256"/>
    <w:rsid w:val="003E7510"/>
    <w:rsid w:val="003E7C79"/>
    <w:rsid w:val="004336B7"/>
    <w:rsid w:val="00437069"/>
    <w:rsid w:val="00477DBC"/>
    <w:rsid w:val="004E2758"/>
    <w:rsid w:val="004F2EC4"/>
    <w:rsid w:val="00515B7E"/>
    <w:rsid w:val="00515FAA"/>
    <w:rsid w:val="0052084D"/>
    <w:rsid w:val="005236E5"/>
    <w:rsid w:val="00527E5F"/>
    <w:rsid w:val="00564FDF"/>
    <w:rsid w:val="005B2D69"/>
    <w:rsid w:val="005E1A8C"/>
    <w:rsid w:val="005E4675"/>
    <w:rsid w:val="005F1671"/>
    <w:rsid w:val="005F35B5"/>
    <w:rsid w:val="0061791F"/>
    <w:rsid w:val="00624483"/>
    <w:rsid w:val="00662E35"/>
    <w:rsid w:val="006851EB"/>
    <w:rsid w:val="006934A2"/>
    <w:rsid w:val="006A41EA"/>
    <w:rsid w:val="006F474C"/>
    <w:rsid w:val="0072324C"/>
    <w:rsid w:val="00766A6D"/>
    <w:rsid w:val="007834A3"/>
    <w:rsid w:val="007C2217"/>
    <w:rsid w:val="007D1684"/>
    <w:rsid w:val="007F31B6"/>
    <w:rsid w:val="00822055"/>
    <w:rsid w:val="008358BD"/>
    <w:rsid w:val="00886472"/>
    <w:rsid w:val="008B46BE"/>
    <w:rsid w:val="008B76D8"/>
    <w:rsid w:val="00913AC6"/>
    <w:rsid w:val="009179E2"/>
    <w:rsid w:val="00944AE7"/>
    <w:rsid w:val="00954744"/>
    <w:rsid w:val="00985065"/>
    <w:rsid w:val="009C2D55"/>
    <w:rsid w:val="009C519F"/>
    <w:rsid w:val="009F23AB"/>
    <w:rsid w:val="00A143E2"/>
    <w:rsid w:val="00A17F6A"/>
    <w:rsid w:val="00A22681"/>
    <w:rsid w:val="00A50803"/>
    <w:rsid w:val="00A64E80"/>
    <w:rsid w:val="00AB3546"/>
    <w:rsid w:val="00AD4B71"/>
    <w:rsid w:val="00AF32D3"/>
    <w:rsid w:val="00B03E0C"/>
    <w:rsid w:val="00B06706"/>
    <w:rsid w:val="00B1497B"/>
    <w:rsid w:val="00B202FB"/>
    <w:rsid w:val="00B50BF5"/>
    <w:rsid w:val="00B53D6D"/>
    <w:rsid w:val="00B73D6C"/>
    <w:rsid w:val="00B96CD7"/>
    <w:rsid w:val="00C30F0C"/>
    <w:rsid w:val="00C76612"/>
    <w:rsid w:val="00CD411D"/>
    <w:rsid w:val="00CD5EFC"/>
    <w:rsid w:val="00CE2051"/>
    <w:rsid w:val="00CE3C13"/>
    <w:rsid w:val="00CF0953"/>
    <w:rsid w:val="00D0616D"/>
    <w:rsid w:val="00D152D6"/>
    <w:rsid w:val="00D33218"/>
    <w:rsid w:val="00D6601F"/>
    <w:rsid w:val="00D90C82"/>
    <w:rsid w:val="00DB27A4"/>
    <w:rsid w:val="00E076B7"/>
    <w:rsid w:val="00E10649"/>
    <w:rsid w:val="00E16870"/>
    <w:rsid w:val="00EB5E48"/>
    <w:rsid w:val="00F02983"/>
    <w:rsid w:val="00F3202F"/>
    <w:rsid w:val="00F46C1C"/>
    <w:rsid w:val="00FA1D8D"/>
    <w:rsid w:val="00FD6DCC"/>
    <w:rsid w:val="00FE67BE"/>
    <w:rsid w:val="00FF6BD6"/>
    <w:rsid w:val="01398264"/>
    <w:rsid w:val="022C7B53"/>
    <w:rsid w:val="024505ED"/>
    <w:rsid w:val="0342528F"/>
    <w:rsid w:val="04A71AA4"/>
    <w:rsid w:val="052FAEE4"/>
    <w:rsid w:val="05890D13"/>
    <w:rsid w:val="05FCE11C"/>
    <w:rsid w:val="063F9B23"/>
    <w:rsid w:val="06A66B44"/>
    <w:rsid w:val="077D2F74"/>
    <w:rsid w:val="07BFF23D"/>
    <w:rsid w:val="08980460"/>
    <w:rsid w:val="08D0F072"/>
    <w:rsid w:val="09EB60C3"/>
    <w:rsid w:val="0ABFAEFC"/>
    <w:rsid w:val="0AFE1C18"/>
    <w:rsid w:val="0BCBA3B9"/>
    <w:rsid w:val="0D2B6FA0"/>
    <w:rsid w:val="0D87333B"/>
    <w:rsid w:val="0E8E9E33"/>
    <w:rsid w:val="106088ED"/>
    <w:rsid w:val="11218D94"/>
    <w:rsid w:val="11407DAA"/>
    <w:rsid w:val="117E2F30"/>
    <w:rsid w:val="11EE8F1C"/>
    <w:rsid w:val="122D57FB"/>
    <w:rsid w:val="131290B1"/>
    <w:rsid w:val="136143BF"/>
    <w:rsid w:val="13A689E5"/>
    <w:rsid w:val="13F2EA47"/>
    <w:rsid w:val="143A36D0"/>
    <w:rsid w:val="154A3F0D"/>
    <w:rsid w:val="15C9D497"/>
    <w:rsid w:val="164C3D54"/>
    <w:rsid w:val="16B594D7"/>
    <w:rsid w:val="1767715B"/>
    <w:rsid w:val="18225B53"/>
    <w:rsid w:val="183CD147"/>
    <w:rsid w:val="186102BE"/>
    <w:rsid w:val="1897F4CA"/>
    <w:rsid w:val="18C5F0DB"/>
    <w:rsid w:val="19408BF3"/>
    <w:rsid w:val="1A33843D"/>
    <w:rsid w:val="1BE76A18"/>
    <w:rsid w:val="1C03C7C7"/>
    <w:rsid w:val="1DD292A6"/>
    <w:rsid w:val="1EBA824C"/>
    <w:rsid w:val="1F201C84"/>
    <w:rsid w:val="1F7FA27D"/>
    <w:rsid w:val="20C1638E"/>
    <w:rsid w:val="2131CDAA"/>
    <w:rsid w:val="2408B13B"/>
    <w:rsid w:val="240E689C"/>
    <w:rsid w:val="250C8745"/>
    <w:rsid w:val="257ED43A"/>
    <w:rsid w:val="2580F039"/>
    <w:rsid w:val="25E5A928"/>
    <w:rsid w:val="2636979E"/>
    <w:rsid w:val="268588E4"/>
    <w:rsid w:val="27AE3BE6"/>
    <w:rsid w:val="28083F9D"/>
    <w:rsid w:val="282C7077"/>
    <w:rsid w:val="2AC24AAD"/>
    <w:rsid w:val="2B8F5203"/>
    <w:rsid w:val="2C5EB10D"/>
    <w:rsid w:val="2CB12BD5"/>
    <w:rsid w:val="2D623FDF"/>
    <w:rsid w:val="2DC7CE60"/>
    <w:rsid w:val="2E5DE084"/>
    <w:rsid w:val="2E90D2A1"/>
    <w:rsid w:val="2F541EDB"/>
    <w:rsid w:val="2F7694A1"/>
    <w:rsid w:val="2FED15AC"/>
    <w:rsid w:val="300EB590"/>
    <w:rsid w:val="309AFD91"/>
    <w:rsid w:val="3165D692"/>
    <w:rsid w:val="31FBEE70"/>
    <w:rsid w:val="326D9482"/>
    <w:rsid w:val="3297B971"/>
    <w:rsid w:val="32C5B1F0"/>
    <w:rsid w:val="35792327"/>
    <w:rsid w:val="36839864"/>
    <w:rsid w:val="36ACD6DE"/>
    <w:rsid w:val="372BC583"/>
    <w:rsid w:val="378FB0E9"/>
    <w:rsid w:val="384ED58E"/>
    <w:rsid w:val="38A376E8"/>
    <w:rsid w:val="38CD4715"/>
    <w:rsid w:val="39309ACE"/>
    <w:rsid w:val="3AF4C3AE"/>
    <w:rsid w:val="3B26CFB5"/>
    <w:rsid w:val="3BA1AD2E"/>
    <w:rsid w:val="3BA25A8C"/>
    <w:rsid w:val="3BC952ED"/>
    <w:rsid w:val="3C2C8C20"/>
    <w:rsid w:val="3C9CB307"/>
    <w:rsid w:val="3CCF4A9B"/>
    <w:rsid w:val="3CE7B948"/>
    <w:rsid w:val="3E9B178C"/>
    <w:rsid w:val="3E9B9333"/>
    <w:rsid w:val="3ED0E801"/>
    <w:rsid w:val="3EDCE5FF"/>
    <w:rsid w:val="3F03C5B7"/>
    <w:rsid w:val="3F5F6174"/>
    <w:rsid w:val="3F622125"/>
    <w:rsid w:val="3F83C813"/>
    <w:rsid w:val="3FACD6A8"/>
    <w:rsid w:val="3FB30F99"/>
    <w:rsid w:val="400C44BE"/>
    <w:rsid w:val="41469506"/>
    <w:rsid w:val="41CF30E1"/>
    <w:rsid w:val="41DC5FA4"/>
    <w:rsid w:val="4333F6F0"/>
    <w:rsid w:val="434EA815"/>
    <w:rsid w:val="44020DBE"/>
    <w:rsid w:val="4443F891"/>
    <w:rsid w:val="44A410FA"/>
    <w:rsid w:val="46619F39"/>
    <w:rsid w:val="466645EC"/>
    <w:rsid w:val="4666DBE4"/>
    <w:rsid w:val="471DF91D"/>
    <w:rsid w:val="4734CF9D"/>
    <w:rsid w:val="484438E1"/>
    <w:rsid w:val="489A91BC"/>
    <w:rsid w:val="49638818"/>
    <w:rsid w:val="4996A6FF"/>
    <w:rsid w:val="4AE2288A"/>
    <w:rsid w:val="4BA32566"/>
    <w:rsid w:val="4C02CECA"/>
    <w:rsid w:val="4C258304"/>
    <w:rsid w:val="4C8F0A3C"/>
    <w:rsid w:val="4C959F1D"/>
    <w:rsid w:val="4CBEE350"/>
    <w:rsid w:val="4CD88421"/>
    <w:rsid w:val="4D7D0130"/>
    <w:rsid w:val="4DB664D4"/>
    <w:rsid w:val="4DE30D8A"/>
    <w:rsid w:val="4E45F6EE"/>
    <w:rsid w:val="503786A0"/>
    <w:rsid w:val="5132FB61"/>
    <w:rsid w:val="51526336"/>
    <w:rsid w:val="527A4D31"/>
    <w:rsid w:val="52F5BED6"/>
    <w:rsid w:val="52F98A98"/>
    <w:rsid w:val="53F9C4A1"/>
    <w:rsid w:val="554F8A19"/>
    <w:rsid w:val="55EDEC32"/>
    <w:rsid w:val="5638D1A1"/>
    <w:rsid w:val="5643A099"/>
    <w:rsid w:val="56F43B8B"/>
    <w:rsid w:val="5769ECFE"/>
    <w:rsid w:val="576CABE1"/>
    <w:rsid w:val="57831395"/>
    <w:rsid w:val="57A70D67"/>
    <w:rsid w:val="57C658AF"/>
    <w:rsid w:val="5829B2CD"/>
    <w:rsid w:val="58ABAAE1"/>
    <w:rsid w:val="58DF9F1B"/>
    <w:rsid w:val="5974B922"/>
    <w:rsid w:val="5B0AAF21"/>
    <w:rsid w:val="5B438545"/>
    <w:rsid w:val="5BAB4B32"/>
    <w:rsid w:val="5BB80334"/>
    <w:rsid w:val="5D650408"/>
    <w:rsid w:val="5DF60CBE"/>
    <w:rsid w:val="5E3154E9"/>
    <w:rsid w:val="5E3EC4A5"/>
    <w:rsid w:val="5E6F60E7"/>
    <w:rsid w:val="5F90DEB2"/>
    <w:rsid w:val="5FE21E5A"/>
    <w:rsid w:val="60073ACE"/>
    <w:rsid w:val="60CDE17B"/>
    <w:rsid w:val="61994436"/>
    <w:rsid w:val="61A3D1EA"/>
    <w:rsid w:val="6213ED19"/>
    <w:rsid w:val="62F2ACB4"/>
    <w:rsid w:val="639FB3D2"/>
    <w:rsid w:val="63BF07AA"/>
    <w:rsid w:val="645325E1"/>
    <w:rsid w:val="653BC19E"/>
    <w:rsid w:val="65BD6EC1"/>
    <w:rsid w:val="66135480"/>
    <w:rsid w:val="6692241F"/>
    <w:rsid w:val="66B14C5E"/>
    <w:rsid w:val="672F7D69"/>
    <w:rsid w:val="680336E5"/>
    <w:rsid w:val="689CEEE8"/>
    <w:rsid w:val="696B6B0A"/>
    <w:rsid w:val="6A463B92"/>
    <w:rsid w:val="6A67BEB5"/>
    <w:rsid w:val="6A9D1464"/>
    <w:rsid w:val="6AC0655D"/>
    <w:rsid w:val="6C6FCE67"/>
    <w:rsid w:val="6CC3025B"/>
    <w:rsid w:val="6D00DE6A"/>
    <w:rsid w:val="6DF480AF"/>
    <w:rsid w:val="6E1CFB44"/>
    <w:rsid w:val="6F991399"/>
    <w:rsid w:val="6FDC8624"/>
    <w:rsid w:val="703B94BF"/>
    <w:rsid w:val="703F4AC2"/>
    <w:rsid w:val="71FFD9A8"/>
    <w:rsid w:val="72B3DCA5"/>
    <w:rsid w:val="73306F7E"/>
    <w:rsid w:val="73AD7B7B"/>
    <w:rsid w:val="744466FC"/>
    <w:rsid w:val="7564AAC8"/>
    <w:rsid w:val="75BF0D44"/>
    <w:rsid w:val="75EFE574"/>
    <w:rsid w:val="760BE590"/>
    <w:rsid w:val="764B50C9"/>
    <w:rsid w:val="7731D8D3"/>
    <w:rsid w:val="77530D52"/>
    <w:rsid w:val="778B019A"/>
    <w:rsid w:val="7816D23C"/>
    <w:rsid w:val="7848E620"/>
    <w:rsid w:val="78930627"/>
    <w:rsid w:val="78941697"/>
    <w:rsid w:val="78AAC210"/>
    <w:rsid w:val="792367B0"/>
    <w:rsid w:val="79628746"/>
    <w:rsid w:val="796A6759"/>
    <w:rsid w:val="79D30CFD"/>
    <w:rsid w:val="7A821A66"/>
    <w:rsid w:val="7BFC0C19"/>
    <w:rsid w:val="7BFD3433"/>
    <w:rsid w:val="7C1B15FF"/>
    <w:rsid w:val="7C2D1C66"/>
    <w:rsid w:val="7CCD5B00"/>
    <w:rsid w:val="7CDC36B4"/>
    <w:rsid w:val="7D5C42C6"/>
    <w:rsid w:val="7DCF93E9"/>
    <w:rsid w:val="7DEE3472"/>
    <w:rsid w:val="7E33775C"/>
    <w:rsid w:val="7F83612C"/>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15BA85A8"/>
  <w15:docId w15:val="{10F04CD0-0528-4E81-AF94-869D279EF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3">
    <w:name w:val="heading 3"/>
    <w:basedOn w:val="Normal"/>
    <w:next w:val="Normal"/>
    <w:link w:val="Heading3Char"/>
    <w:uiPriority w:val="9"/>
    <w:unhideWhenUsed/>
    <w:qFormat/>
    <w:rsid w:val="00886472"/>
    <w:pPr>
      <w:keepNext/>
      <w:keepLines/>
      <w:widowControl/>
      <w:autoSpaceDE/>
      <w:autoSpaceDN/>
      <w:spacing w:before="200" w:line="276" w:lineRule="auto"/>
      <w:outlineLvl w:val="2"/>
    </w:pPr>
    <w:rPr>
      <w:rFonts w:ascii="Cambria" w:hAnsi="Cambria"/>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90"/>
      <w:ind w:left="2381" w:right="2368"/>
      <w:jc w:val="center"/>
    </w:pPr>
    <w:rPr>
      <w:b/>
      <w:bCs/>
      <w:sz w:val="24"/>
      <w:szCs w:val="24"/>
      <w:u w:val="single" w:color="000000"/>
    </w:rPr>
  </w:style>
  <w:style w:type="paragraph" w:styleId="ListParagraph">
    <w:name w:val="List Paragraph"/>
    <w:basedOn w:val="Normal"/>
    <w:uiPriority w:val="34"/>
    <w:qFormat/>
    <w:pPr>
      <w:ind w:left="1301" w:hanging="300"/>
    </w:pPr>
  </w:style>
  <w:style w:type="paragraph" w:customStyle="1" w:styleId="TableParagraph">
    <w:name w:val="Table Paragraph"/>
    <w:basedOn w:val="Normal"/>
    <w:uiPriority w:val="1"/>
    <w:qFormat/>
  </w:style>
  <w:style w:type="character" w:styleId="CommentReference">
    <w:name w:val="annotation reference"/>
    <w:uiPriority w:val="99"/>
    <w:semiHidden/>
    <w:unhideWhenUsed/>
    <w:rsid w:val="00B73D6C"/>
    <w:rPr>
      <w:sz w:val="16"/>
      <w:szCs w:val="16"/>
    </w:rPr>
  </w:style>
  <w:style w:type="paragraph" w:styleId="CommentText">
    <w:name w:val="annotation text"/>
    <w:basedOn w:val="Normal"/>
    <w:link w:val="CommentTextChar"/>
    <w:uiPriority w:val="99"/>
    <w:unhideWhenUsed/>
    <w:rsid w:val="00B73D6C"/>
    <w:pPr>
      <w:widowControl/>
      <w:autoSpaceDE/>
      <w:autoSpaceDN/>
      <w:spacing w:after="200"/>
    </w:pPr>
    <w:rPr>
      <w:rFonts w:ascii="Calibri" w:eastAsia="Calibri" w:hAnsi="Calibri"/>
      <w:sz w:val="20"/>
      <w:szCs w:val="20"/>
    </w:rPr>
  </w:style>
  <w:style w:type="character" w:customStyle="1" w:styleId="CommentTextChar">
    <w:name w:val="Comment Text Char"/>
    <w:basedOn w:val="DefaultParagraphFont"/>
    <w:link w:val="CommentText"/>
    <w:uiPriority w:val="99"/>
    <w:rsid w:val="00B73D6C"/>
    <w:rPr>
      <w:rFonts w:ascii="Calibri" w:eastAsia="Calibri" w:hAnsi="Calibri" w:cs="Times New Roman"/>
      <w:sz w:val="20"/>
      <w:szCs w:val="20"/>
    </w:rPr>
  </w:style>
  <w:style w:type="character" w:customStyle="1" w:styleId="Heading3Char">
    <w:name w:val="Heading 3 Char"/>
    <w:basedOn w:val="DefaultParagraphFont"/>
    <w:link w:val="Heading3"/>
    <w:uiPriority w:val="9"/>
    <w:rsid w:val="00886472"/>
    <w:rPr>
      <w:rFonts w:ascii="Cambria" w:eastAsia="Times New Roman" w:hAnsi="Cambria" w:cs="Times New Roman"/>
      <w:bCs/>
      <w:color w:val="4F81BD"/>
    </w:rPr>
  </w:style>
  <w:style w:type="paragraph" w:styleId="Header">
    <w:name w:val="header"/>
    <w:basedOn w:val="Normal"/>
    <w:link w:val="HeaderChar"/>
    <w:uiPriority w:val="99"/>
    <w:semiHidden/>
    <w:unhideWhenUsed/>
    <w:rsid w:val="00201CE9"/>
    <w:pPr>
      <w:tabs>
        <w:tab w:val="center" w:pos="4680"/>
        <w:tab w:val="right" w:pos="9360"/>
      </w:tabs>
    </w:pPr>
  </w:style>
  <w:style w:type="character" w:customStyle="1" w:styleId="HeaderChar">
    <w:name w:val="Header Char"/>
    <w:basedOn w:val="DefaultParagraphFont"/>
    <w:link w:val="Header"/>
    <w:uiPriority w:val="99"/>
    <w:semiHidden/>
    <w:rsid w:val="00201CE9"/>
    <w:rPr>
      <w:rFonts w:ascii="Times New Roman" w:eastAsia="Times New Roman" w:hAnsi="Times New Roman" w:cs="Times New Roman"/>
    </w:rPr>
  </w:style>
  <w:style w:type="paragraph" w:styleId="Footer">
    <w:name w:val="footer"/>
    <w:basedOn w:val="Normal"/>
    <w:link w:val="FooterChar"/>
    <w:uiPriority w:val="99"/>
    <w:semiHidden/>
    <w:unhideWhenUsed/>
    <w:rsid w:val="00201CE9"/>
    <w:pPr>
      <w:tabs>
        <w:tab w:val="center" w:pos="4680"/>
        <w:tab w:val="right" w:pos="9360"/>
      </w:tabs>
    </w:pPr>
  </w:style>
  <w:style w:type="character" w:customStyle="1" w:styleId="FooterChar">
    <w:name w:val="Footer Char"/>
    <w:basedOn w:val="DefaultParagraphFont"/>
    <w:link w:val="Footer"/>
    <w:uiPriority w:val="99"/>
    <w:semiHidden/>
    <w:rsid w:val="00201CE9"/>
    <w:rPr>
      <w:rFonts w:ascii="Times New Roman" w:eastAsia="Times New Roman" w:hAnsi="Times New Roman" w:cs="Times New Roman"/>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8B76D8"/>
    <w:rPr>
      <w:color w:val="0000FF" w:themeColor="hyperlink"/>
      <w:u w:val="single"/>
    </w:rPr>
  </w:style>
  <w:style w:type="character" w:styleId="UnresolvedMention">
    <w:name w:val="Unresolved Mention"/>
    <w:basedOn w:val="DefaultParagraphFont"/>
    <w:uiPriority w:val="99"/>
    <w:semiHidden/>
    <w:unhideWhenUsed/>
    <w:rsid w:val="008B76D8"/>
    <w:rPr>
      <w:color w:val="605E5C"/>
      <w:shd w:val="clear" w:color="auto" w:fill="E1DFDD"/>
    </w:rPr>
  </w:style>
  <w:style w:type="paragraph" w:styleId="Revision">
    <w:name w:val="Revision"/>
    <w:hidden/>
    <w:uiPriority w:val="99"/>
    <w:semiHidden/>
    <w:rsid w:val="004F2EC4"/>
    <w:pPr>
      <w:widowControl/>
      <w:autoSpaceDE/>
      <w:autoSpaceDN/>
    </w:pPr>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5B2D69"/>
    <w:pPr>
      <w:widowControl w:val="0"/>
      <w:autoSpaceDE w:val="0"/>
      <w:autoSpaceDN w:val="0"/>
      <w:spacing w:after="0"/>
    </w:pPr>
    <w:rPr>
      <w:rFonts w:ascii="Times New Roman" w:eastAsia="Times New Roman" w:hAnsi="Times New Roman"/>
      <w:b/>
      <w:bCs/>
    </w:rPr>
  </w:style>
  <w:style w:type="character" w:customStyle="1" w:styleId="CommentSubjectChar">
    <w:name w:val="Comment Subject Char"/>
    <w:basedOn w:val="CommentTextChar"/>
    <w:link w:val="CommentSubject"/>
    <w:uiPriority w:val="99"/>
    <w:semiHidden/>
    <w:rsid w:val="005B2D69"/>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higherlogicdownload.s3.amazonaws.com/NASBLA/76594a34-f3a1-4916-95ac-1e9c872170cc/UploadedImages/advocacy/committees/ERAC/NRBSS_Stakeholder_Meeting_12122023_w_speaker_notes_poll_and_open_question_results.pdf" TargetMode="External" /><Relationship Id="rId11" Type="http://schemas.openxmlformats.org/officeDocument/2006/relationships/hyperlink" Target="https://uscgboating.org/library/accident-statistics/Recreational-Boating-Statistics-2023-Ch1.pdf" TargetMode="External" /><Relationship Id="rId12" Type="http://schemas.openxmlformats.org/officeDocument/2006/relationships/image" Target="media/image1.jpeg" /><Relationship Id="rId13" Type="http://schemas.openxmlformats.org/officeDocument/2006/relationships/image" Target="media/image2.jpeg" /><Relationship Id="rId14" Type="http://schemas.openxmlformats.org/officeDocument/2006/relationships/image" Target="media/image3.jpeg" /><Relationship Id="rId15" Type="http://schemas.openxmlformats.org/officeDocument/2006/relationships/image" Target="media/image4.jpeg" /><Relationship Id="rId16" Type="http://schemas.openxmlformats.org/officeDocument/2006/relationships/header" Target="header1.xml" /><Relationship Id="rId17" Type="http://schemas.openxmlformats.org/officeDocument/2006/relationships/theme" Target="theme/theme1.xml" /><Relationship Id="rId18" Type="http://schemas.openxmlformats.org/officeDocument/2006/relationships/numbering" Target="numbering.xm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hyperlink" Target="https://www.nasbla.org/nasblamain/lighthouse/get-equipped/boating-survey" TargetMode="External" /><Relationship Id="rId8" Type="http://schemas.openxmlformats.org/officeDocument/2006/relationships/hyperlink" Target="https://uwnetid.sharepoint.com/sites/evans-public/Shared%20Documents/Forms/AllItems.aspx?id=%2Fsites%2Fevans%2Dpublic%2FShared%20Documents%2FEPIC%2FBoating%2FNon%2DMotorizedBoatingWA%5FFinalReport%2Epdf&amp;parent=%2Fsites%2Fevans%2Dpublic%2FShared%20Documents%2FEPIC%2FBoating&amp;p=true&amp;ga=1" TargetMode="External" /><Relationship Id="rId9" Type="http://schemas.openxmlformats.org/officeDocument/2006/relationships/hyperlink" Target="https://www.gao.gov/assets/gao-23-105729.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effd29d-3d83-492b-abeb-6a60f8050097">
      <Terms xmlns="http://schemas.microsoft.com/office/infopath/2007/PartnerControls"/>
    </lcf76f155ced4ddcb4097134ff3c332f>
    <TaxCatchAll xmlns="b1e4ba85-4e1b-4ec4-b0c0-d5612799726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9C8C08C7CBE55469814C23F91E5BEF1" ma:contentTypeVersion="12" ma:contentTypeDescription="Create a new document." ma:contentTypeScope="" ma:versionID="e61023aaaf78dce3d64ef80457f55008">
  <xsd:schema xmlns:xsd="http://www.w3.org/2001/XMLSchema" xmlns:xs="http://www.w3.org/2001/XMLSchema" xmlns:p="http://schemas.microsoft.com/office/2006/metadata/properties" xmlns:ns2="4effd29d-3d83-492b-abeb-6a60f8050097" xmlns:ns3="b1e4ba85-4e1b-4ec4-b0c0-d5612799726b" targetNamespace="http://schemas.microsoft.com/office/2006/metadata/properties" ma:root="true" ma:fieldsID="ef78e2cb3998d84dd194e7b39e7c70f1" ns2:_="" ns3:_="">
    <xsd:import namespace="4effd29d-3d83-492b-abeb-6a60f8050097"/>
    <xsd:import namespace="b1e4ba85-4e1b-4ec4-b0c0-d5612799726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ffd29d-3d83-492b-abeb-6a60f80500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0711c0e-4245-4ab7-b236-62d0b6835c8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e4ba85-4e1b-4ec4-b0c0-d5612799726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dd8d39f-6ce4-47d7-a5d9-3ff74af7e3e2}" ma:internalName="TaxCatchAll" ma:showField="CatchAllData" ma:web="b1e4ba85-4e1b-4ec4-b0c0-d561279972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CF8ABF-4FC5-4BE6-8A15-6653D8118DDA}">
  <ds:schemaRefs>
    <ds:schemaRef ds:uri="http://schemas.microsoft.com/office/2006/metadata/properties"/>
    <ds:schemaRef ds:uri="http://schemas.microsoft.com/office/infopath/2007/PartnerControls"/>
    <ds:schemaRef ds:uri="http://schemas.microsoft.com/office/2006/documentManagement/types"/>
    <ds:schemaRef ds:uri="4f27b1a7-e240-4783-b4d9-c0abd50e92b6"/>
    <ds:schemaRef ds:uri="http://www.w3.org/XML/1998/namespace"/>
    <ds:schemaRef ds:uri="http://purl.org/dc/dcmitype/"/>
    <ds:schemaRef ds:uri="http://purl.org/dc/elements/1.1/"/>
    <ds:schemaRef ds:uri="http://purl.org/dc/terms/"/>
    <ds:schemaRef ds:uri="http://schemas.openxmlformats.org/package/2006/metadata/core-properties"/>
    <ds:schemaRef ds:uri="ec982078-58fc-43d5-97a5-a7b933997b7d"/>
    <ds:schemaRef ds:uri="4effd29d-3d83-492b-abeb-6a60f8050097"/>
    <ds:schemaRef ds:uri="b1e4ba85-4e1b-4ec4-b0c0-d5612799726b"/>
  </ds:schemaRefs>
</ds:datastoreItem>
</file>

<file path=customXml/itemProps2.xml><?xml version="1.0" encoding="utf-8"?>
<ds:datastoreItem xmlns:ds="http://schemas.openxmlformats.org/officeDocument/2006/customXml" ds:itemID="{ECA0A11F-23C0-4CA6-B600-3047C5BC3261}">
  <ds:schemaRefs>
    <ds:schemaRef ds:uri="http://schemas.microsoft.com/sharepoint/v3/contenttype/forms"/>
  </ds:schemaRefs>
</ds:datastoreItem>
</file>

<file path=customXml/itemProps3.xml><?xml version="1.0" encoding="utf-8"?>
<ds:datastoreItem xmlns:ds="http://schemas.openxmlformats.org/officeDocument/2006/customXml" ds:itemID="{1FFB9212-CDF0-410A-BF94-3A4CB605DF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ffd29d-3d83-492b-abeb-6a60f8050097"/>
    <ds:schemaRef ds:uri="b1e4ba85-4e1b-4ec4-b0c0-d561279972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4256</Words>
  <Characters>24263</Characters>
  <Application>Microsoft Office Word</Application>
  <DocSecurity>0</DocSecurity>
  <Lines>202</Lines>
  <Paragraphs>56</Paragraphs>
  <ScaleCrop>false</ScaleCrop>
  <Company/>
  <LinksUpToDate>false</LinksUpToDate>
  <CharactersWithSpaces>28463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WALSH, CHRISTINA</dc:creator>
  <cp:lastModifiedBy>Craig, Albert L CIV USCG COMDT (USA)</cp:lastModifiedBy>
  <cp:revision>2</cp:revision>
  <dcterms:created xsi:type="dcterms:W3CDTF">2025-03-12T17:03:00Z</dcterms:created>
  <dcterms:modified xsi:type="dcterms:W3CDTF">2025-03-12T17:03:00Z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0x01010039C8C08C7CBE55469814C23F91E5BEF1</vt:lpwstr>
  </property>
  <property fmtid="{D5CDD505-2E9C-101B-9397-08002B2CF9AE}" pid="3" name="Created">
    <vt:filetime>2023-11-16T00:00:00Z</vt:filetime>
  </property>
  <property fmtid="{D5CDD505-2E9C-101B-9397-08002B2CF9AE}" pid="4" name="LastSaved">
    <vt:filetime>2023-11-16T00:00:00Z</vt:filetime>
  </property>
  <property fmtid="{D5CDD505-2E9C-101B-9397-08002B2CF9AE}" pid="5" name="MediaServiceImageTags">
    <vt:lpwstr/>
  </property>
  <property fmtid="{D5CDD505-2E9C-101B-9397-08002B2CF9AE}" pid="6" name="MSIP_Label_a2eef23d-2e95-4428-9a3c-2526d95b164a_ActionId">
    <vt:lpwstr>327f3d3f-1f72-4412-9f50-30278561d03a</vt:lpwstr>
  </property>
  <property fmtid="{D5CDD505-2E9C-101B-9397-08002B2CF9AE}" pid="7" name="MSIP_Label_a2eef23d-2e95-4428-9a3c-2526d95b164a_ContentBits">
    <vt:lpwstr>0</vt:lpwstr>
  </property>
  <property fmtid="{D5CDD505-2E9C-101B-9397-08002B2CF9AE}" pid="8" name="MSIP_Label_a2eef23d-2e95-4428-9a3c-2526d95b164a_Enabled">
    <vt:lpwstr>true</vt:lpwstr>
  </property>
  <property fmtid="{D5CDD505-2E9C-101B-9397-08002B2CF9AE}" pid="9" name="MSIP_Label_a2eef23d-2e95-4428-9a3c-2526d95b164a_Method">
    <vt:lpwstr>Standard</vt:lpwstr>
  </property>
  <property fmtid="{D5CDD505-2E9C-101B-9397-08002B2CF9AE}" pid="10" name="MSIP_Label_a2eef23d-2e95-4428-9a3c-2526d95b164a_Name">
    <vt:lpwstr>For Official Use Only (FOUO)</vt:lpwstr>
  </property>
  <property fmtid="{D5CDD505-2E9C-101B-9397-08002B2CF9AE}" pid="11" name="MSIP_Label_a2eef23d-2e95-4428-9a3c-2526d95b164a_SetDate">
    <vt:lpwstr>2023-11-16T17:07:54Z</vt:lpwstr>
  </property>
  <property fmtid="{D5CDD505-2E9C-101B-9397-08002B2CF9AE}" pid="12" name="MSIP_Label_a2eef23d-2e95-4428-9a3c-2526d95b164a_SiteId">
    <vt:lpwstr>3ccde76c-946d-4a12-bb7a-fc9d0842354a</vt:lpwstr>
  </property>
</Properties>
</file>