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66E8A" w:rsidP="00866E8A" w14:paraId="59CE8959" w14:textId="3912861B">
      <w:pPr>
        <w:jc w:val="center"/>
        <w:rPr>
          <w:rFonts w:ascii="Times New Roman" w:hAnsi="Times New Roman"/>
          <w:szCs w:val="24"/>
        </w:rPr>
      </w:pPr>
    </w:p>
    <w:p w:rsidR="00866E8A" w:rsidRPr="003E0020" w:rsidP="00866E8A" w14:paraId="0B8656FB" w14:textId="3BC398ED">
      <w:pPr>
        <w:jc w:val="center"/>
        <w:rPr>
          <w:rFonts w:ascii="Times New Roman" w:hAnsi="Times New Roman"/>
          <w:szCs w:val="24"/>
        </w:rPr>
      </w:pPr>
      <w:r w:rsidRPr="003E0020">
        <w:rPr>
          <w:rFonts w:ascii="Times New Roman" w:hAnsi="Times New Roman"/>
          <w:szCs w:val="24"/>
        </w:rPr>
        <w:t>REL West Toolkit Efficacy Evaluation</w:t>
      </w:r>
    </w:p>
    <w:p w:rsidR="00866E8A" w:rsidP="00AD381B" w14:paraId="245C7F24" w14:textId="77777777">
      <w:pPr>
        <w:pStyle w:val="Heading1"/>
        <w:rPr>
          <w:sz w:val="24"/>
          <w:szCs w:val="24"/>
        </w:rPr>
      </w:pPr>
    </w:p>
    <w:p w:rsidR="00043C32" w:rsidRPr="00AD381B" w:rsidP="00AD381B" w14:paraId="7AD273C5" w14:textId="5589D927">
      <w:pPr>
        <w:pStyle w:val="Heading1"/>
        <w:rPr>
          <w:sz w:val="24"/>
          <w:szCs w:val="24"/>
        </w:rPr>
      </w:pPr>
      <w:r w:rsidRPr="00AD381B">
        <w:rPr>
          <w:sz w:val="24"/>
          <w:szCs w:val="24"/>
        </w:rPr>
        <w:t>SUPPORTING STATEMENT</w:t>
      </w:r>
    </w:p>
    <w:p w:rsidR="00043C32" w:rsidP="00AD381B" w14:paraId="7AD273C6" w14:textId="17FAF469">
      <w:pPr>
        <w:pStyle w:val="Heading1"/>
        <w:rPr>
          <w:sz w:val="24"/>
          <w:szCs w:val="24"/>
        </w:rPr>
      </w:pPr>
      <w:r w:rsidRPr="003E0020">
        <w:rPr>
          <w:sz w:val="24"/>
          <w:szCs w:val="24"/>
        </w:rPr>
        <w:t>FOR PAPERWORK REDUCTION ACT SUBMISSION</w:t>
      </w:r>
    </w:p>
    <w:p w:rsidR="003E0020" w:rsidP="003E0020" w14:paraId="117F1DE3" w14:textId="54AA5AB7"/>
    <w:p w:rsidR="003E0020" w:rsidP="003E0020" w14:paraId="266702BD" w14:textId="30C0B126">
      <w:pPr>
        <w:jc w:val="center"/>
        <w:rPr>
          <w:rFonts w:ascii="Times New Roman" w:hAnsi="Times New Roman"/>
        </w:rPr>
      </w:pPr>
      <w:r w:rsidRPr="003E0020">
        <w:rPr>
          <w:rFonts w:ascii="Times New Roman" w:hAnsi="Times New Roman"/>
        </w:rPr>
        <w:t xml:space="preserve">PART </w:t>
      </w:r>
      <w:r w:rsidR="00E40487">
        <w:rPr>
          <w:rFonts w:ascii="Times New Roman" w:hAnsi="Times New Roman"/>
        </w:rPr>
        <w:t>B</w:t>
      </w:r>
      <w:r w:rsidRPr="003E0020">
        <w:rPr>
          <w:rFonts w:ascii="Times New Roman" w:hAnsi="Times New Roman"/>
        </w:rPr>
        <w:t xml:space="preserve">: </w:t>
      </w:r>
      <w:r w:rsidRPr="00A63000" w:rsidR="00A63000">
        <w:rPr>
          <w:rFonts w:ascii="Times New Roman" w:hAnsi="Times New Roman"/>
        </w:rPr>
        <w:t>Collection of Information Employing Statistical Methods</w:t>
      </w:r>
    </w:p>
    <w:p w:rsidR="00866E8A" w:rsidP="003E0020" w14:paraId="0D94F8AF" w14:textId="2715073A">
      <w:pPr>
        <w:jc w:val="center"/>
        <w:rPr>
          <w:rFonts w:ascii="Times New Roman" w:hAnsi="Times New Roman"/>
        </w:rPr>
      </w:pPr>
    </w:p>
    <w:p w:rsidR="00866E8A" w:rsidP="003E0020" w14:paraId="6CC2F1A4" w14:textId="69F8453C">
      <w:pPr>
        <w:jc w:val="center"/>
        <w:rPr>
          <w:rFonts w:ascii="Times New Roman" w:hAnsi="Times New Roman"/>
        </w:rPr>
      </w:pPr>
      <w:r>
        <w:rPr>
          <w:rFonts w:ascii="Times New Roman" w:hAnsi="Times New Roman"/>
        </w:rPr>
        <w:t>April</w:t>
      </w:r>
      <w:r>
        <w:rPr>
          <w:rFonts w:ascii="Times New Roman" w:hAnsi="Times New Roman"/>
        </w:rPr>
        <w:t xml:space="preserve"> 202</w:t>
      </w:r>
      <w:r>
        <w:rPr>
          <w:rFonts w:ascii="Times New Roman" w:hAnsi="Times New Roman"/>
        </w:rPr>
        <w:t>3</w:t>
      </w:r>
    </w:p>
    <w:p w:rsidR="00866E8A" w:rsidP="003E0020" w14:paraId="643DBF6F" w14:textId="52DC99AA">
      <w:pPr>
        <w:jc w:val="center"/>
        <w:rPr>
          <w:rFonts w:ascii="Times New Roman" w:hAnsi="Times New Roman"/>
        </w:rPr>
      </w:pPr>
    </w:p>
    <w:p w:rsidR="00DD64DC" w:rsidP="003E0020" w14:paraId="73FFE0E0" w14:textId="3A62F493">
      <w:pPr>
        <w:jc w:val="center"/>
        <w:rPr>
          <w:rFonts w:ascii="Times New Roman" w:hAnsi="Times New Roman"/>
        </w:rPr>
      </w:pPr>
    </w:p>
    <w:p w:rsidR="00DD64DC" w:rsidP="009C014C" w14:paraId="5A1C2512" w14:textId="22E0DE9E">
      <w:pPr>
        <w:jc w:val="center"/>
        <w:rPr>
          <w:rFonts w:ascii="Times New Roman" w:hAnsi="Times New Roman"/>
        </w:rPr>
      </w:pPr>
      <w:r>
        <w:rPr>
          <w:rFonts w:ascii="Times New Roman" w:hAnsi="Times New Roman"/>
        </w:rPr>
        <w:t>Submitted to:</w:t>
      </w:r>
    </w:p>
    <w:p w:rsidR="009C014C" w:rsidRPr="009C014C" w:rsidP="009C014C" w14:paraId="65625DF5" w14:textId="77777777">
      <w:pPr>
        <w:jc w:val="center"/>
        <w:rPr>
          <w:rFonts w:ascii="Times New Roman" w:hAnsi="Times New Roman"/>
        </w:rPr>
      </w:pPr>
      <w:r w:rsidRPr="009C014C">
        <w:rPr>
          <w:rFonts w:ascii="Times New Roman" w:hAnsi="Times New Roman"/>
        </w:rPr>
        <w:t>Institute of Education Sciences</w:t>
      </w:r>
    </w:p>
    <w:p w:rsidR="009C014C" w:rsidRPr="009C014C" w:rsidP="009C014C" w14:paraId="09BB7ABD" w14:textId="77777777">
      <w:pPr>
        <w:jc w:val="center"/>
        <w:rPr>
          <w:rFonts w:ascii="Times New Roman" w:hAnsi="Times New Roman"/>
        </w:rPr>
      </w:pPr>
      <w:r w:rsidRPr="009C014C">
        <w:rPr>
          <w:rFonts w:ascii="Times New Roman" w:hAnsi="Times New Roman"/>
        </w:rPr>
        <w:t>U.S. Department of Education</w:t>
      </w:r>
    </w:p>
    <w:p w:rsidR="00866E8A" w:rsidP="003E0020" w14:paraId="23A5FDCA" w14:textId="3205F9FD">
      <w:pPr>
        <w:jc w:val="center"/>
        <w:rPr>
          <w:rFonts w:ascii="Times New Roman" w:hAnsi="Times New Roman"/>
        </w:rPr>
      </w:pPr>
    </w:p>
    <w:p w:rsidR="00866E8A" w:rsidP="003E0020" w14:paraId="2A541CF4" w14:textId="2F76248D">
      <w:pPr>
        <w:jc w:val="center"/>
        <w:rPr>
          <w:rFonts w:ascii="Times New Roman" w:hAnsi="Times New Roman"/>
        </w:rPr>
      </w:pPr>
      <w:r>
        <w:rPr>
          <w:rFonts w:ascii="Times New Roman" w:hAnsi="Times New Roman"/>
        </w:rPr>
        <w:t>Submitted by:</w:t>
      </w:r>
    </w:p>
    <w:p w:rsidR="009C014C" w:rsidP="003E0020" w14:paraId="62650325" w14:textId="7B769FB5">
      <w:pPr>
        <w:jc w:val="center"/>
        <w:rPr>
          <w:rFonts w:ascii="Times New Roman" w:hAnsi="Times New Roman"/>
        </w:rPr>
      </w:pPr>
      <w:r>
        <w:rPr>
          <w:rFonts w:ascii="Times New Roman" w:hAnsi="Times New Roman"/>
        </w:rPr>
        <w:t>RAND Corporation</w:t>
      </w:r>
    </w:p>
    <w:p w:rsidR="009C014C" w:rsidP="003E0020" w14:paraId="10D9D8C5" w14:textId="4156D7D9">
      <w:pPr>
        <w:jc w:val="center"/>
        <w:rPr>
          <w:rFonts w:ascii="Times New Roman" w:hAnsi="Times New Roman"/>
        </w:rPr>
      </w:pPr>
      <w:r>
        <w:rPr>
          <w:rFonts w:ascii="Times New Roman" w:hAnsi="Times New Roman"/>
        </w:rPr>
        <w:t>1200 South Hayes Street</w:t>
      </w:r>
    </w:p>
    <w:p w:rsidR="009C014C" w:rsidP="003E0020" w14:paraId="3BA36A03" w14:textId="06B86D17">
      <w:pPr>
        <w:jc w:val="center"/>
        <w:rPr>
          <w:rFonts w:ascii="Times New Roman" w:hAnsi="Times New Roman"/>
        </w:rPr>
      </w:pPr>
      <w:r>
        <w:rPr>
          <w:rFonts w:ascii="Times New Roman" w:hAnsi="Times New Roman"/>
        </w:rPr>
        <w:t>Arlington, VA 22202</w:t>
      </w:r>
    </w:p>
    <w:p w:rsidR="00D32D9C" w:rsidP="003E0020" w14:paraId="6C3DBD08" w14:textId="16D00C90">
      <w:pPr>
        <w:jc w:val="center"/>
        <w:rPr>
          <w:rFonts w:ascii="Times New Roman" w:hAnsi="Times New Roman"/>
        </w:rPr>
      </w:pPr>
      <w:r>
        <w:rPr>
          <w:rFonts w:ascii="Times New Roman" w:hAnsi="Times New Roman"/>
        </w:rPr>
        <w:t>(703) 413-1100</w:t>
      </w:r>
    </w:p>
    <w:p w:rsidR="00866E8A" w:rsidP="003E0020" w14:paraId="070F6631" w14:textId="74D01C45">
      <w:pPr>
        <w:jc w:val="center"/>
        <w:rPr>
          <w:rFonts w:ascii="Times New Roman" w:hAnsi="Times New Roman"/>
        </w:rPr>
      </w:pPr>
    </w:p>
    <w:p w:rsidR="00866E8A" w:rsidP="003E0020" w14:paraId="6ED9854A" w14:textId="29DB5C66">
      <w:pPr>
        <w:jc w:val="center"/>
        <w:rPr>
          <w:rFonts w:ascii="Times New Roman" w:hAnsi="Times New Roman"/>
        </w:rPr>
      </w:pPr>
    </w:p>
    <w:p w:rsidR="00866E8A" w:rsidP="003E0020" w14:paraId="5F7479EA" w14:textId="1275DD14">
      <w:pPr>
        <w:jc w:val="center"/>
        <w:rPr>
          <w:rFonts w:ascii="Times New Roman" w:hAnsi="Times New Roman"/>
        </w:rPr>
      </w:pPr>
    </w:p>
    <w:p w:rsidR="00866E8A" w:rsidP="003E0020" w14:paraId="4EAEFE4A" w14:textId="2AB0AE01">
      <w:pPr>
        <w:jc w:val="center"/>
        <w:rPr>
          <w:rFonts w:ascii="Times New Roman" w:hAnsi="Times New Roman"/>
        </w:rPr>
      </w:pPr>
    </w:p>
    <w:p w:rsidR="00D32D9C" w:rsidP="003E0020" w14:paraId="571016A8" w14:textId="1F421103">
      <w:pPr>
        <w:jc w:val="center"/>
        <w:rPr>
          <w:rFonts w:ascii="Times New Roman" w:hAnsi="Times New Roman"/>
        </w:rPr>
      </w:pPr>
    </w:p>
    <w:p w:rsidR="00D32D9C" w:rsidP="003E0020" w14:paraId="44935BBC" w14:textId="64330540">
      <w:pPr>
        <w:jc w:val="center"/>
        <w:rPr>
          <w:rFonts w:ascii="Times New Roman" w:hAnsi="Times New Roman"/>
        </w:rPr>
      </w:pPr>
    </w:p>
    <w:p w:rsidR="00D32D9C" w:rsidP="003E0020" w14:paraId="145D4CCF" w14:textId="5A584B88">
      <w:pPr>
        <w:jc w:val="center"/>
        <w:rPr>
          <w:rFonts w:ascii="Times New Roman" w:hAnsi="Times New Roman"/>
        </w:rPr>
      </w:pPr>
    </w:p>
    <w:p w:rsidR="00D32D9C" w:rsidP="003E0020" w14:paraId="0856924D" w14:textId="7C374B0B">
      <w:pPr>
        <w:jc w:val="center"/>
        <w:rPr>
          <w:rFonts w:ascii="Times New Roman" w:hAnsi="Times New Roman"/>
        </w:rPr>
      </w:pPr>
    </w:p>
    <w:p w:rsidR="00D32D9C" w:rsidP="003E0020" w14:paraId="7046D23D" w14:textId="67FC6811">
      <w:pPr>
        <w:jc w:val="center"/>
        <w:rPr>
          <w:rFonts w:ascii="Times New Roman" w:hAnsi="Times New Roman"/>
        </w:rPr>
      </w:pPr>
    </w:p>
    <w:p w:rsidR="00D32D9C" w:rsidP="003E0020" w14:paraId="59314265" w14:textId="51CCFDF3">
      <w:pPr>
        <w:jc w:val="center"/>
        <w:rPr>
          <w:rFonts w:ascii="Times New Roman" w:hAnsi="Times New Roman"/>
        </w:rPr>
      </w:pPr>
    </w:p>
    <w:p w:rsidR="00D32D9C" w:rsidP="003E0020" w14:paraId="40372446" w14:textId="1E7778D5">
      <w:pPr>
        <w:jc w:val="center"/>
        <w:rPr>
          <w:rFonts w:ascii="Times New Roman" w:hAnsi="Times New Roman"/>
        </w:rPr>
      </w:pPr>
    </w:p>
    <w:p w:rsidR="00D32D9C" w:rsidP="003E0020" w14:paraId="68635054" w14:textId="450D9542">
      <w:pPr>
        <w:jc w:val="center"/>
        <w:rPr>
          <w:rFonts w:ascii="Times New Roman" w:hAnsi="Times New Roman"/>
        </w:rPr>
      </w:pPr>
    </w:p>
    <w:p w:rsidR="00D32D9C" w:rsidP="003E0020" w14:paraId="3523F0A6" w14:textId="3ED3EAD2">
      <w:pPr>
        <w:jc w:val="center"/>
        <w:rPr>
          <w:rFonts w:ascii="Times New Roman" w:hAnsi="Times New Roman"/>
        </w:rPr>
      </w:pPr>
    </w:p>
    <w:p w:rsidR="00D32D9C" w:rsidP="003E0020" w14:paraId="62E43DF3" w14:textId="69296DF0">
      <w:pPr>
        <w:jc w:val="center"/>
        <w:rPr>
          <w:rFonts w:ascii="Times New Roman" w:hAnsi="Times New Roman"/>
        </w:rPr>
      </w:pPr>
    </w:p>
    <w:p w:rsidR="00D32D9C" w:rsidP="003E0020" w14:paraId="756B8825" w14:textId="3952EC3A">
      <w:pPr>
        <w:jc w:val="center"/>
        <w:rPr>
          <w:rFonts w:ascii="Times New Roman" w:hAnsi="Times New Roman"/>
        </w:rPr>
      </w:pPr>
    </w:p>
    <w:p w:rsidR="00D32D9C" w:rsidP="003E0020" w14:paraId="3D3D3F6B" w14:textId="71B6B73F">
      <w:pPr>
        <w:jc w:val="center"/>
        <w:rPr>
          <w:rFonts w:ascii="Times New Roman" w:hAnsi="Times New Roman"/>
        </w:rPr>
      </w:pPr>
    </w:p>
    <w:p w:rsidR="00D32D9C" w:rsidP="003E0020" w14:paraId="09A0E1C1" w14:textId="7C0151F2">
      <w:pPr>
        <w:jc w:val="center"/>
        <w:rPr>
          <w:rFonts w:ascii="Times New Roman" w:hAnsi="Times New Roman"/>
        </w:rPr>
      </w:pPr>
    </w:p>
    <w:p w:rsidR="00D32D9C" w:rsidP="003E0020" w14:paraId="59B1B0E4" w14:textId="10DBFDF6">
      <w:pPr>
        <w:jc w:val="center"/>
        <w:rPr>
          <w:rFonts w:ascii="Times New Roman" w:hAnsi="Times New Roman"/>
        </w:rPr>
      </w:pPr>
    </w:p>
    <w:p w:rsidR="00D32D9C" w:rsidP="003E0020" w14:paraId="62AA85C1" w14:textId="42DA3094">
      <w:pPr>
        <w:jc w:val="center"/>
        <w:rPr>
          <w:rFonts w:ascii="Times New Roman" w:hAnsi="Times New Roman"/>
        </w:rPr>
      </w:pPr>
    </w:p>
    <w:p w:rsidR="00D32D9C" w:rsidP="003E0020" w14:paraId="47867415" w14:textId="0C202D10">
      <w:pPr>
        <w:jc w:val="center"/>
        <w:rPr>
          <w:rFonts w:ascii="Times New Roman" w:hAnsi="Times New Roman"/>
        </w:rPr>
      </w:pPr>
    </w:p>
    <w:p w:rsidR="00D32D9C" w:rsidP="003E0020" w14:paraId="496D73B6" w14:textId="06FCF01A">
      <w:pPr>
        <w:jc w:val="center"/>
        <w:rPr>
          <w:rFonts w:ascii="Times New Roman" w:hAnsi="Times New Roman"/>
        </w:rPr>
      </w:pPr>
    </w:p>
    <w:p w:rsidR="00D32D9C" w:rsidP="003E0020" w14:paraId="3093C6E6" w14:textId="30423AE6">
      <w:pPr>
        <w:jc w:val="center"/>
        <w:rPr>
          <w:rFonts w:ascii="Times New Roman" w:hAnsi="Times New Roman"/>
        </w:rPr>
      </w:pPr>
    </w:p>
    <w:p w:rsidR="00D32D9C" w:rsidP="003E0020" w14:paraId="77DA5F1F" w14:textId="0F8012BD">
      <w:pPr>
        <w:jc w:val="center"/>
        <w:rPr>
          <w:rFonts w:ascii="Times New Roman" w:hAnsi="Times New Roman"/>
        </w:rPr>
      </w:pPr>
    </w:p>
    <w:p w:rsidR="00D32D9C" w:rsidP="003E0020" w14:paraId="3F5B947B" w14:textId="375C18E3">
      <w:pPr>
        <w:jc w:val="center"/>
        <w:rPr>
          <w:rFonts w:ascii="Times New Roman" w:hAnsi="Times New Roman"/>
        </w:rPr>
      </w:pPr>
    </w:p>
    <w:p w:rsidR="00D32D9C" w:rsidP="003E0020" w14:paraId="63338D03" w14:textId="4BB5900B">
      <w:pPr>
        <w:jc w:val="center"/>
        <w:rPr>
          <w:rFonts w:ascii="Times New Roman" w:hAnsi="Times New Roman"/>
        </w:rPr>
      </w:pPr>
    </w:p>
    <w:p w:rsidR="00D32D9C" w:rsidP="003E0020" w14:paraId="0F63DBAD" w14:textId="77777777">
      <w:pPr>
        <w:jc w:val="center"/>
        <w:rPr>
          <w:rFonts w:ascii="Times New Roman" w:hAnsi="Times New Roman"/>
        </w:rPr>
      </w:pPr>
    </w:p>
    <w:p w:rsidR="00D32D9C" w:rsidRPr="00AD381B" w:rsidP="00D32D9C" w14:paraId="377F17BE" w14:textId="77777777">
      <w:pPr>
        <w:pStyle w:val="Header"/>
        <w:rPr>
          <w:rFonts w:ascii="Times New Roman" w:hAnsi="Times New Roman"/>
          <w:color w:val="FFFFFF" w:themeColor="background1"/>
          <w:szCs w:val="24"/>
        </w:rPr>
      </w:pPr>
      <w:r w:rsidRPr="00C875E8">
        <w:rPr>
          <w:rFonts w:ascii="Times New Roman" w:hAnsi="Times New Roman"/>
          <w:szCs w:val="24"/>
        </w:rPr>
        <w:t>Tracking and OMB Number: (XX) XXXX-XXXX</w:t>
      </w:r>
    </w:p>
    <w:p w:rsidR="00D32D9C" w:rsidRPr="00AD381B" w:rsidP="00D32D9C" w14:paraId="21BEAAF1" w14:textId="6C5FFF81">
      <w:pPr>
        <w:pStyle w:val="Header"/>
        <w:rPr>
          <w:rFonts w:ascii="Times New Roman" w:hAnsi="Times New Roman"/>
          <w:color w:val="FFFFFF" w:themeColor="background1"/>
          <w:szCs w:val="24"/>
        </w:rPr>
      </w:pPr>
      <w:r w:rsidRPr="00C875E8">
        <w:rPr>
          <w:rFonts w:ascii="Times New Roman" w:hAnsi="Times New Roman"/>
          <w:szCs w:val="24"/>
        </w:rPr>
        <w:t xml:space="preserve">Revised: </w:t>
      </w:r>
      <w:r w:rsidR="00FB4F10">
        <w:rPr>
          <w:rFonts w:ascii="Times New Roman" w:hAnsi="Times New Roman"/>
          <w:szCs w:val="24"/>
        </w:rPr>
        <w:t>03/22/2023</w:t>
      </w:r>
    </w:p>
    <w:p w:rsidR="00866E8A" w:rsidP="003E0020" w14:paraId="7B2F8B55" w14:textId="0B83A625">
      <w:pPr>
        <w:jc w:val="center"/>
        <w:rPr>
          <w:rFonts w:ascii="Times New Roman" w:hAnsi="Times New Roman"/>
        </w:rPr>
      </w:pPr>
    </w:p>
    <w:p w:rsidR="00B55DA5" w:rsidP="00B55DA5" w14:paraId="77B82415" w14:textId="5614290B">
      <w:pPr>
        <w:pStyle w:val="Heading2"/>
        <w:jc w:val="left"/>
      </w:pPr>
      <w:r>
        <w:t>Overview</w:t>
      </w:r>
    </w:p>
    <w:p w:rsidR="00B55DA5" w:rsidRPr="00B55DA5" w:rsidP="00B55DA5" w14:paraId="5E776CB3" w14:textId="77777777"/>
    <w:p w:rsidR="003768D7" w:rsidP="000001B0" w14:paraId="7277A0D9" w14:textId="7C6FA3FD">
      <w:pPr>
        <w:pStyle w:val="Heading1"/>
        <w:jc w:val="left"/>
        <w:rPr>
          <w:sz w:val="24"/>
          <w:szCs w:val="24"/>
        </w:rPr>
      </w:pPr>
      <w:r w:rsidRPr="007C6E32">
        <w:rPr>
          <w:sz w:val="24"/>
          <w:szCs w:val="24"/>
        </w:rPr>
        <w:t>The U.S. Department of Education (ED)</w:t>
      </w:r>
      <w:r w:rsidR="0000143D">
        <w:rPr>
          <w:sz w:val="24"/>
          <w:szCs w:val="24"/>
        </w:rPr>
        <w:t xml:space="preserve">, </w:t>
      </w:r>
      <w:r w:rsidRPr="0000143D" w:rsidR="0000143D">
        <w:rPr>
          <w:sz w:val="24"/>
          <w:szCs w:val="24"/>
        </w:rPr>
        <w:t xml:space="preserve">through its Institute of Education Sciences (IES), </w:t>
      </w:r>
      <w:r w:rsidRPr="007C6E32">
        <w:rPr>
          <w:sz w:val="24"/>
          <w:szCs w:val="24"/>
        </w:rPr>
        <w:t xml:space="preserve"> requests clearance for the recruitment materials and data collection protocols under the OMB clearance agreement (OMB Number </w:t>
      </w:r>
      <w:r w:rsidR="007C6E32">
        <w:rPr>
          <w:sz w:val="24"/>
          <w:szCs w:val="24"/>
        </w:rPr>
        <w:t>(XX) XXXX-XXXX</w:t>
      </w:r>
      <w:r w:rsidRPr="007C6E32">
        <w:rPr>
          <w:sz w:val="24"/>
          <w:szCs w:val="24"/>
        </w:rPr>
        <w:t xml:space="preserve">) for activities related to the Regional Educational Laboratory </w:t>
      </w:r>
      <w:r w:rsidR="007C6E32">
        <w:rPr>
          <w:sz w:val="24"/>
          <w:szCs w:val="24"/>
        </w:rPr>
        <w:t xml:space="preserve">West </w:t>
      </w:r>
      <w:r w:rsidRPr="007C6E32">
        <w:rPr>
          <w:sz w:val="24"/>
          <w:szCs w:val="24"/>
        </w:rPr>
        <w:t>Program (REL</w:t>
      </w:r>
      <w:r w:rsidR="007C6E32">
        <w:rPr>
          <w:sz w:val="24"/>
          <w:szCs w:val="24"/>
        </w:rPr>
        <w:t>West</w:t>
      </w:r>
      <w:r w:rsidRPr="007C6E32">
        <w:rPr>
          <w:sz w:val="24"/>
          <w:szCs w:val="24"/>
        </w:rPr>
        <w:t>).</w:t>
      </w:r>
    </w:p>
    <w:p w:rsidR="00E06A0F" w:rsidP="00E06A0F" w14:paraId="60239BF8" w14:textId="51236A89"/>
    <w:p w:rsidR="001C1D94" w:rsidP="001C1D94" w14:paraId="27CB6E24" w14:textId="62AB27DA">
      <w:pPr>
        <w:rPr>
          <w:rFonts w:ascii="Times New Roman" w:hAnsi="Times New Roman"/>
        </w:rPr>
      </w:pPr>
      <w:r w:rsidRPr="001C1D94">
        <w:rPr>
          <w:rFonts w:ascii="Times New Roman" w:hAnsi="Times New Roman"/>
        </w:rPr>
        <w:t xml:space="preserve">Elementary-grade students in U.S. public schools continue to struggle with reading comprehension, with only 35 percent of 4th-grade students performing at or above proficient on NAEP scores in reading (Hussar et al., 2020). To address this problem in earlier grades, when schools begin reading comprehension instruction, the REL West toolkit development team is developing a toolkit to support teachers in implementing evidence-based instructional strategies to improve reading comprehension among students in grades K–3. The toolkit is based on the </w:t>
      </w:r>
      <w:r w:rsidRPr="008D2F2C">
        <w:rPr>
          <w:rFonts w:ascii="Times New Roman" w:hAnsi="Times New Roman"/>
          <w:i/>
          <w:iCs/>
        </w:rPr>
        <w:t>Improving Reading Comprehension in Kindergarten Through 3rd Grade</w:t>
      </w:r>
      <w:r w:rsidRPr="001C1D94">
        <w:rPr>
          <w:rFonts w:ascii="Times New Roman" w:hAnsi="Times New Roman"/>
        </w:rPr>
        <w:t xml:space="preserve"> </w:t>
      </w:r>
      <w:r w:rsidR="0000143D">
        <w:rPr>
          <w:rFonts w:ascii="Times New Roman" w:hAnsi="Times New Roman"/>
        </w:rPr>
        <w:t xml:space="preserve">IES </w:t>
      </w:r>
      <w:r w:rsidRPr="001C1D94">
        <w:rPr>
          <w:rFonts w:ascii="Times New Roman" w:hAnsi="Times New Roman"/>
        </w:rPr>
        <w:t xml:space="preserve">practice guide </w:t>
      </w:r>
      <w:r w:rsidR="00972927">
        <w:rPr>
          <w:rFonts w:ascii="Times New Roman" w:hAnsi="Times New Roman"/>
        </w:rPr>
        <w:t xml:space="preserve">(Shanahan et al., 2010) </w:t>
      </w:r>
      <w:r w:rsidRPr="001C1D94">
        <w:rPr>
          <w:rFonts w:ascii="Times New Roman" w:hAnsi="Times New Roman"/>
        </w:rPr>
        <w:t>and is being developed in collaboration with state and district partners in Arizona.</w:t>
      </w:r>
    </w:p>
    <w:p w:rsidR="001C1D94" w:rsidRPr="001C1D94" w:rsidP="001C1D94" w14:paraId="77BFE444" w14:textId="77777777">
      <w:pPr>
        <w:rPr>
          <w:rFonts w:ascii="Times New Roman" w:hAnsi="Times New Roman"/>
        </w:rPr>
      </w:pPr>
    </w:p>
    <w:p w:rsidR="00E06A0F" w:rsidRPr="001C1D94" w:rsidP="001C1D94" w14:paraId="56BAE3C2" w14:textId="766D1FBE">
      <w:pPr>
        <w:rPr>
          <w:rFonts w:ascii="Times New Roman" w:hAnsi="Times New Roman"/>
        </w:rPr>
      </w:pPr>
      <w:r w:rsidRPr="001C1D94">
        <w:rPr>
          <w:rFonts w:ascii="Times New Roman" w:hAnsi="Times New Roman"/>
        </w:rPr>
        <w:t xml:space="preserve">The REL West toolkit evaluation team is </w:t>
      </w:r>
      <w:r w:rsidR="008D2F2C">
        <w:rPr>
          <w:rFonts w:ascii="Times New Roman" w:hAnsi="Times New Roman"/>
        </w:rPr>
        <w:t>requesting clearance to conduct</w:t>
      </w:r>
      <w:r w:rsidRPr="001C1D94">
        <w:rPr>
          <w:rFonts w:ascii="Times New Roman" w:hAnsi="Times New Roman"/>
        </w:rPr>
        <w:t xml:space="preserve"> an independent evaluation that will assess the efficacy and cost-effectiveness of the school-based professional development resources included in the toolkit. The evaluation will also assess how teachers and facilitators implement the toolkit to provide context for the efficacy findings and guidance to improve the toolkit and its future use. The evaluation will take place in 70 schools across six districts in Arizona and focus on K–3 reading comprehension for all students. </w:t>
      </w:r>
    </w:p>
    <w:p w:rsidR="003768D7" w:rsidP="003768D7" w14:paraId="6B2F996E" w14:textId="77777777">
      <w:pPr>
        <w:pStyle w:val="Heading2"/>
        <w:jc w:val="left"/>
      </w:pPr>
      <w:bookmarkStart w:id="0" w:name="_Toc396221630"/>
    </w:p>
    <w:p w:rsidR="003768D7" w:rsidP="003768D7" w14:paraId="72629C57" w14:textId="5116768F">
      <w:pPr>
        <w:pStyle w:val="Heading2"/>
        <w:jc w:val="left"/>
      </w:pPr>
      <w:r>
        <w:t>B</w:t>
      </w:r>
      <w:r w:rsidRPr="00E12728">
        <w:t xml:space="preserve">1.  </w:t>
      </w:r>
      <w:bookmarkEnd w:id="0"/>
      <w:r>
        <w:t>Respondent Universe and Sample Design</w:t>
      </w:r>
    </w:p>
    <w:p w:rsidR="009B2667" w:rsidP="009B2667" w14:paraId="6E0AF973" w14:textId="3610B5DA"/>
    <w:p w:rsidR="008F2C40" w:rsidP="008F2C40" w14:paraId="6C77964D" w14:textId="674C2BA6">
      <w:pPr>
        <w:rPr>
          <w:rFonts w:ascii="Times New Roman" w:hAnsi="Times New Roman"/>
        </w:rPr>
      </w:pPr>
      <w:r w:rsidRPr="008F2C40">
        <w:rPr>
          <w:rFonts w:ascii="Times New Roman" w:hAnsi="Times New Roman"/>
        </w:rPr>
        <w:t xml:space="preserve">The evaluation will </w:t>
      </w:r>
      <w:r w:rsidR="00B41182">
        <w:rPr>
          <w:rFonts w:ascii="Times New Roman" w:hAnsi="Times New Roman"/>
        </w:rPr>
        <w:t xml:space="preserve">employ a </w:t>
      </w:r>
      <w:r w:rsidRPr="00FE560A" w:rsidR="00FE560A">
        <w:rPr>
          <w:rFonts w:ascii="Times New Roman" w:hAnsi="Times New Roman"/>
        </w:rPr>
        <w:t xml:space="preserve">school-level, cluster-randomized controlled </w:t>
      </w:r>
      <w:r w:rsidR="00FE560A">
        <w:rPr>
          <w:rFonts w:ascii="Times New Roman" w:hAnsi="Times New Roman"/>
        </w:rPr>
        <w:t xml:space="preserve">design, and </w:t>
      </w:r>
      <w:r w:rsidRPr="008F2C40">
        <w:rPr>
          <w:rFonts w:ascii="Times New Roman" w:hAnsi="Times New Roman"/>
        </w:rPr>
        <w:t>take place in six districts in the state of Arizona.</w:t>
      </w:r>
      <w:r w:rsidRPr="008F2C40">
        <w:rPr>
          <w:rFonts w:ascii="Times New Roman" w:hAnsi="Times New Roman"/>
          <w:vertAlign w:val="superscript"/>
        </w:rPr>
        <w:t xml:space="preserve"> </w:t>
      </w:r>
      <w:r w:rsidRPr="008F2C40">
        <w:rPr>
          <w:rFonts w:ascii="Times New Roman" w:hAnsi="Times New Roman"/>
        </w:rPr>
        <w:t xml:space="preserve">The evaluation will examine the impact of the toolkit on student reading comprehension for all students in grades K–3 in study schools. In addition, evaluating the toolkit’s impact on Hispanic/Latinx students—50 percent of the student population in the state’s 25 largest districts—provides an opportunity to assess how this toolkit may improve early literacy in this historically underserved population. </w:t>
      </w:r>
    </w:p>
    <w:p w:rsidR="00B41182" w:rsidRPr="008F2C40" w:rsidP="008F2C40" w14:paraId="7C53C72D" w14:textId="77777777">
      <w:pPr>
        <w:rPr>
          <w:rFonts w:ascii="Times New Roman" w:hAnsi="Times New Roman"/>
        </w:rPr>
      </w:pPr>
    </w:p>
    <w:p w:rsidR="00740739" w:rsidP="00740739" w14:paraId="3F282CCB" w14:textId="12E2DC68">
      <w:pPr>
        <w:rPr>
          <w:rFonts w:ascii="Times New Roman" w:hAnsi="Times New Roman"/>
        </w:rPr>
      </w:pPr>
      <w:r w:rsidRPr="008F2C40">
        <w:rPr>
          <w:rFonts w:ascii="Times New Roman" w:hAnsi="Times New Roman"/>
        </w:rPr>
        <w:t xml:space="preserve">For recruitment purposes, the toolkit evaluation team will prioritize school districts that have at least 10 elementary schools, with at least 50 percent of Hispanic/Latinx students in the school. Using 2018 </w:t>
      </w:r>
      <w:bookmarkStart w:id="1" w:name="_Hlk67571990"/>
      <w:r w:rsidRPr="008F2C40">
        <w:rPr>
          <w:rFonts w:ascii="Times New Roman" w:hAnsi="Times New Roman"/>
        </w:rPr>
        <w:t xml:space="preserve">Common Core of Data (CCD) </w:t>
      </w:r>
      <w:bookmarkEnd w:id="1"/>
      <w:r w:rsidRPr="008F2C40">
        <w:rPr>
          <w:rFonts w:ascii="Times New Roman" w:hAnsi="Times New Roman"/>
        </w:rPr>
        <w:t xml:space="preserve">and publicly available Arizona Department of Education (ADE) data, the team has identified 25 districts that meet these criteria; the team anticipates needing 6 districts to participate in the study. The team will restrict the universe of schools to public, non-charter schools with at least two </w:t>
      </w:r>
      <w:bookmarkStart w:id="2" w:name="_Hlk67572011"/>
      <w:r w:rsidRPr="008F2C40">
        <w:rPr>
          <w:rFonts w:ascii="Times New Roman" w:hAnsi="Times New Roman"/>
        </w:rPr>
        <w:t xml:space="preserve">full-time equivalent (FTE) </w:t>
      </w:r>
      <w:bookmarkEnd w:id="2"/>
      <w:r w:rsidRPr="008F2C40">
        <w:rPr>
          <w:rFonts w:ascii="Times New Roman" w:hAnsi="Times New Roman"/>
        </w:rPr>
        <w:t>teachers and at least two classes in each grade, grades K–3. The school must also have a staff member who can serve as the toolkit facilitator in the school; we anticipate this will be a site-based coach or teacher leader, but the exact title may differ by district and school. Within schools, the sample will include all K–3 regular classroom teachers (</w:t>
      </w:r>
      <w:r w:rsidRPr="008F2C40">
        <w:rPr>
          <w:rFonts w:ascii="Times New Roman" w:hAnsi="Times New Roman"/>
          <w:i/>
          <w:iCs/>
        </w:rPr>
        <w:t>N</w:t>
      </w:r>
      <w:r w:rsidRPr="008F2C40">
        <w:rPr>
          <w:rFonts w:ascii="Times New Roman" w:hAnsi="Times New Roman"/>
        </w:rPr>
        <w:t xml:space="preserve"> </w:t>
      </w:r>
      <m:oMath>
        <m:r>
          <w:rPr>
            <w:rFonts w:ascii="Cambria Math" w:hAnsi="Cambria Math"/>
          </w:rPr>
          <m:t>≈</m:t>
        </m:r>
      </m:oMath>
      <w:r w:rsidRPr="008F2C40">
        <w:rPr>
          <w:rFonts w:ascii="Times New Roman" w:hAnsi="Times New Roman"/>
        </w:rPr>
        <w:t xml:space="preserve"> 720) and their students (</w:t>
      </w:r>
      <w:r w:rsidRPr="008F2C40">
        <w:rPr>
          <w:rFonts w:ascii="Times New Roman" w:hAnsi="Times New Roman"/>
          <w:i/>
          <w:iCs/>
        </w:rPr>
        <w:t>N</w:t>
      </w:r>
      <w:r w:rsidRPr="008F2C40">
        <w:rPr>
          <w:rFonts w:ascii="Times New Roman" w:hAnsi="Times New Roman"/>
        </w:rPr>
        <w:t xml:space="preserve"> </w:t>
      </w:r>
      <m:oMath>
        <m:r>
          <w:rPr>
            <w:rFonts w:ascii="Cambria Math" w:hAnsi="Cambria Math"/>
          </w:rPr>
          <m:t>≈</m:t>
        </m:r>
      </m:oMath>
      <w:r w:rsidRPr="008F2C40">
        <w:rPr>
          <w:rFonts w:ascii="Times New Roman" w:hAnsi="Times New Roman"/>
        </w:rPr>
        <w:t xml:space="preserve"> 9,000); </w:t>
      </w:r>
      <w:r w:rsidRPr="008F2C40">
        <w:rPr>
          <w:rFonts w:ascii="Times New Roman" w:hAnsi="Times New Roman"/>
        </w:rPr>
        <w:t>principals and facilitators in 70 schools; and 12 district administrators and professional development coordinators.</w:t>
      </w:r>
    </w:p>
    <w:p w:rsidR="00A15360" w:rsidP="00740739" w14:paraId="242E3C14" w14:textId="1CC38AE2">
      <w:pPr>
        <w:rPr>
          <w:rFonts w:ascii="Times New Roman" w:hAnsi="Times New Roman"/>
        </w:rPr>
      </w:pPr>
    </w:p>
    <w:p w:rsidR="00A15360" w:rsidP="00740739" w14:paraId="14B3BBBF" w14:textId="0A77647B">
      <w:pPr>
        <w:rPr>
          <w:rFonts w:ascii="Times New Roman" w:hAnsi="Times New Roman"/>
        </w:rPr>
      </w:pPr>
      <w:r>
        <w:rPr>
          <w:rFonts w:ascii="Times New Roman" w:hAnsi="Times New Roman"/>
        </w:rPr>
        <w:t>Table B.1 shows the sample sizes and expected response rates for each level of data collection.</w:t>
      </w:r>
    </w:p>
    <w:p w:rsidR="00AF55BF" w:rsidP="00740739" w14:paraId="21567A5C" w14:textId="77777777">
      <w:pPr>
        <w:rPr>
          <w:rFonts w:ascii="Times New Roman" w:hAnsi="Times New Roman"/>
        </w:rPr>
      </w:pPr>
    </w:p>
    <w:tbl>
      <w:tblPr>
        <w:tblStyle w:val="TableGrid"/>
        <w:tblW w:w="7470" w:type="dxa"/>
        <w:tblInd w:w="625" w:type="dxa"/>
        <w:tblLook w:val="04A0"/>
      </w:tblPr>
      <w:tblGrid>
        <w:gridCol w:w="2700"/>
        <w:gridCol w:w="2250"/>
        <w:gridCol w:w="2520"/>
      </w:tblGrid>
      <w:tr w14:paraId="4CA39917" w14:textId="77777777" w:rsidTr="001B1066">
        <w:tblPrEx>
          <w:tblW w:w="7470" w:type="dxa"/>
          <w:tblInd w:w="625" w:type="dxa"/>
          <w:tblLook w:val="04A0"/>
        </w:tblPrEx>
        <w:tc>
          <w:tcPr>
            <w:tcW w:w="2700" w:type="dxa"/>
          </w:tcPr>
          <w:p w:rsidR="00AF55BF" w:rsidRPr="001B1066" w:rsidP="00E97D7B" w14:paraId="6D3CE901" w14:textId="02AAFBF1">
            <w:pPr>
              <w:jc w:val="center"/>
              <w:rPr>
                <w:rFonts w:ascii="Times New Roman" w:hAnsi="Times New Roman"/>
                <w:b/>
                <w:bCs/>
                <w:sz w:val="20"/>
              </w:rPr>
            </w:pPr>
            <w:r w:rsidRPr="001B1066">
              <w:rPr>
                <w:rFonts w:ascii="Times New Roman" w:hAnsi="Times New Roman"/>
                <w:b/>
                <w:bCs/>
                <w:sz w:val="20"/>
              </w:rPr>
              <w:t>Level of Sample</w:t>
            </w:r>
          </w:p>
        </w:tc>
        <w:tc>
          <w:tcPr>
            <w:tcW w:w="2250" w:type="dxa"/>
          </w:tcPr>
          <w:p w:rsidR="00AF55BF" w:rsidRPr="001B1066" w:rsidP="00E97D7B" w14:paraId="54C3C45F" w14:textId="51FB122A">
            <w:pPr>
              <w:jc w:val="center"/>
              <w:rPr>
                <w:rFonts w:ascii="Times New Roman" w:hAnsi="Times New Roman"/>
                <w:b/>
                <w:bCs/>
                <w:sz w:val="20"/>
              </w:rPr>
            </w:pPr>
            <w:r w:rsidRPr="001B1066">
              <w:rPr>
                <w:rFonts w:ascii="Times New Roman" w:hAnsi="Times New Roman"/>
                <w:b/>
                <w:bCs/>
                <w:sz w:val="20"/>
              </w:rPr>
              <w:t>Sample Size</w:t>
            </w:r>
          </w:p>
        </w:tc>
        <w:tc>
          <w:tcPr>
            <w:tcW w:w="2520" w:type="dxa"/>
          </w:tcPr>
          <w:p w:rsidR="00AF55BF" w:rsidRPr="001B1066" w:rsidP="00E97D7B" w14:paraId="755157D6" w14:textId="1F86E6A8">
            <w:pPr>
              <w:jc w:val="center"/>
              <w:rPr>
                <w:rFonts w:ascii="Times New Roman" w:hAnsi="Times New Roman"/>
                <w:b/>
                <w:bCs/>
                <w:sz w:val="20"/>
              </w:rPr>
            </w:pPr>
            <w:r w:rsidRPr="001B1066">
              <w:rPr>
                <w:rFonts w:ascii="Times New Roman" w:hAnsi="Times New Roman"/>
                <w:b/>
                <w:bCs/>
                <w:sz w:val="20"/>
              </w:rPr>
              <w:t>Response rate</w:t>
            </w:r>
          </w:p>
        </w:tc>
      </w:tr>
      <w:tr w14:paraId="7DE38DF6" w14:textId="77777777" w:rsidTr="001B1066">
        <w:tblPrEx>
          <w:tblW w:w="7470" w:type="dxa"/>
          <w:tblInd w:w="625" w:type="dxa"/>
          <w:tblLook w:val="04A0"/>
        </w:tblPrEx>
        <w:tc>
          <w:tcPr>
            <w:tcW w:w="2700" w:type="dxa"/>
          </w:tcPr>
          <w:p w:rsidR="00AF55BF" w:rsidRPr="001B1066" w:rsidP="00740739" w14:paraId="3B34D402" w14:textId="11F6C2D9">
            <w:pPr>
              <w:rPr>
                <w:rFonts w:ascii="Times New Roman" w:hAnsi="Times New Roman"/>
                <w:sz w:val="20"/>
              </w:rPr>
            </w:pPr>
            <w:r w:rsidRPr="001B1066">
              <w:rPr>
                <w:rFonts w:ascii="Times New Roman" w:hAnsi="Times New Roman"/>
                <w:sz w:val="20"/>
              </w:rPr>
              <w:t>District</w:t>
            </w:r>
          </w:p>
        </w:tc>
        <w:tc>
          <w:tcPr>
            <w:tcW w:w="2250" w:type="dxa"/>
          </w:tcPr>
          <w:p w:rsidR="00AF55BF" w:rsidRPr="001B1066" w:rsidP="00E97D7B" w14:paraId="74B62398" w14:textId="5BEB640F">
            <w:pPr>
              <w:jc w:val="center"/>
              <w:rPr>
                <w:rFonts w:ascii="Times New Roman" w:hAnsi="Times New Roman"/>
                <w:sz w:val="20"/>
              </w:rPr>
            </w:pPr>
            <w:r>
              <w:rPr>
                <w:rFonts w:ascii="Times New Roman" w:hAnsi="Times New Roman"/>
                <w:sz w:val="20"/>
              </w:rPr>
              <w:t>12</w:t>
            </w:r>
          </w:p>
        </w:tc>
        <w:tc>
          <w:tcPr>
            <w:tcW w:w="2520" w:type="dxa"/>
          </w:tcPr>
          <w:p w:rsidR="00AF55BF" w:rsidRPr="001B1066" w:rsidP="00E97D7B" w14:paraId="0A807A61" w14:textId="5FCCAE0C">
            <w:pPr>
              <w:jc w:val="center"/>
              <w:rPr>
                <w:rFonts w:ascii="Times New Roman" w:hAnsi="Times New Roman"/>
                <w:sz w:val="20"/>
              </w:rPr>
            </w:pPr>
            <w:r w:rsidRPr="001B1066">
              <w:rPr>
                <w:rFonts w:ascii="Times New Roman" w:hAnsi="Times New Roman"/>
                <w:sz w:val="20"/>
              </w:rPr>
              <w:t>100%</w:t>
            </w:r>
          </w:p>
        </w:tc>
      </w:tr>
      <w:tr w14:paraId="0D9F0990" w14:textId="77777777" w:rsidTr="001B1066">
        <w:tblPrEx>
          <w:tblW w:w="7470" w:type="dxa"/>
          <w:tblInd w:w="625" w:type="dxa"/>
          <w:tblLook w:val="04A0"/>
        </w:tblPrEx>
        <w:tc>
          <w:tcPr>
            <w:tcW w:w="2700" w:type="dxa"/>
          </w:tcPr>
          <w:p w:rsidR="00AF55BF" w:rsidRPr="001B1066" w:rsidP="00740739" w14:paraId="1DCA1573" w14:textId="5E580452">
            <w:pPr>
              <w:rPr>
                <w:rFonts w:ascii="Times New Roman" w:hAnsi="Times New Roman"/>
                <w:sz w:val="20"/>
              </w:rPr>
            </w:pPr>
            <w:r w:rsidRPr="001B1066">
              <w:rPr>
                <w:rFonts w:ascii="Times New Roman" w:hAnsi="Times New Roman"/>
                <w:sz w:val="20"/>
              </w:rPr>
              <w:t>School/School Leader</w:t>
            </w:r>
          </w:p>
        </w:tc>
        <w:tc>
          <w:tcPr>
            <w:tcW w:w="2250" w:type="dxa"/>
          </w:tcPr>
          <w:p w:rsidR="00AF55BF" w:rsidRPr="001B1066" w:rsidP="00E97D7B" w14:paraId="6CA592A6" w14:textId="4351F565">
            <w:pPr>
              <w:jc w:val="center"/>
              <w:rPr>
                <w:rFonts w:ascii="Times New Roman" w:hAnsi="Times New Roman"/>
                <w:sz w:val="20"/>
              </w:rPr>
            </w:pPr>
            <w:r w:rsidRPr="001B1066">
              <w:rPr>
                <w:rFonts w:ascii="Times New Roman" w:hAnsi="Times New Roman"/>
                <w:sz w:val="20"/>
              </w:rPr>
              <w:t>70</w:t>
            </w:r>
          </w:p>
        </w:tc>
        <w:tc>
          <w:tcPr>
            <w:tcW w:w="2520" w:type="dxa"/>
          </w:tcPr>
          <w:p w:rsidR="00AF55BF" w:rsidRPr="001B1066" w:rsidP="00E97D7B" w14:paraId="26F7DB26" w14:textId="1C7B9AEB">
            <w:pPr>
              <w:jc w:val="center"/>
              <w:rPr>
                <w:rFonts w:ascii="Times New Roman" w:hAnsi="Times New Roman"/>
                <w:sz w:val="20"/>
              </w:rPr>
            </w:pPr>
            <w:r w:rsidRPr="001B1066">
              <w:rPr>
                <w:rFonts w:ascii="Times New Roman" w:hAnsi="Times New Roman"/>
                <w:sz w:val="20"/>
              </w:rPr>
              <w:t>100%</w:t>
            </w:r>
          </w:p>
        </w:tc>
      </w:tr>
      <w:tr w14:paraId="7AD1A245" w14:textId="77777777" w:rsidTr="001B1066">
        <w:tblPrEx>
          <w:tblW w:w="7470" w:type="dxa"/>
          <w:tblInd w:w="625" w:type="dxa"/>
          <w:tblLook w:val="04A0"/>
        </w:tblPrEx>
        <w:tc>
          <w:tcPr>
            <w:tcW w:w="2700" w:type="dxa"/>
          </w:tcPr>
          <w:p w:rsidR="00AF55BF" w:rsidRPr="001B1066" w:rsidP="00740739" w14:paraId="293E9B1A" w14:textId="0A533141">
            <w:pPr>
              <w:rPr>
                <w:rFonts w:ascii="Times New Roman" w:hAnsi="Times New Roman"/>
                <w:sz w:val="20"/>
              </w:rPr>
            </w:pPr>
            <w:r w:rsidRPr="001B1066">
              <w:rPr>
                <w:rFonts w:ascii="Times New Roman" w:hAnsi="Times New Roman"/>
                <w:sz w:val="20"/>
              </w:rPr>
              <w:t>Teacher</w:t>
            </w:r>
          </w:p>
        </w:tc>
        <w:tc>
          <w:tcPr>
            <w:tcW w:w="2250" w:type="dxa"/>
          </w:tcPr>
          <w:p w:rsidR="00AF55BF" w:rsidRPr="001B1066" w:rsidP="00E97D7B" w14:paraId="61D0FA5A" w14:textId="2A29A5F1">
            <w:pPr>
              <w:jc w:val="center"/>
              <w:rPr>
                <w:rFonts w:ascii="Times New Roman" w:hAnsi="Times New Roman"/>
                <w:sz w:val="20"/>
              </w:rPr>
            </w:pPr>
            <w:r w:rsidRPr="001B1066">
              <w:rPr>
                <w:rFonts w:ascii="Times New Roman" w:hAnsi="Times New Roman"/>
                <w:sz w:val="20"/>
              </w:rPr>
              <w:t>720</w:t>
            </w:r>
          </w:p>
        </w:tc>
        <w:tc>
          <w:tcPr>
            <w:tcW w:w="2520" w:type="dxa"/>
          </w:tcPr>
          <w:p w:rsidR="00AF55BF" w:rsidRPr="001B1066" w:rsidP="00E97D7B" w14:paraId="29213A98" w14:textId="6BF73B45">
            <w:pPr>
              <w:jc w:val="center"/>
              <w:rPr>
                <w:rFonts w:ascii="Times New Roman" w:hAnsi="Times New Roman"/>
                <w:sz w:val="20"/>
              </w:rPr>
            </w:pPr>
            <w:r w:rsidRPr="001B1066">
              <w:rPr>
                <w:rFonts w:ascii="Times New Roman" w:hAnsi="Times New Roman"/>
                <w:sz w:val="20"/>
              </w:rPr>
              <w:t xml:space="preserve">85% </w:t>
            </w:r>
          </w:p>
        </w:tc>
      </w:tr>
      <w:tr w14:paraId="25C2E839" w14:textId="77777777" w:rsidTr="001B1066">
        <w:tblPrEx>
          <w:tblW w:w="7470" w:type="dxa"/>
          <w:tblInd w:w="625" w:type="dxa"/>
          <w:tblLook w:val="04A0"/>
        </w:tblPrEx>
        <w:tc>
          <w:tcPr>
            <w:tcW w:w="2700" w:type="dxa"/>
          </w:tcPr>
          <w:p w:rsidR="00AF55BF" w:rsidRPr="001B1066" w:rsidP="00740739" w14:paraId="574B3517" w14:textId="6CD7F280">
            <w:pPr>
              <w:rPr>
                <w:rFonts w:ascii="Times New Roman" w:hAnsi="Times New Roman"/>
                <w:sz w:val="20"/>
              </w:rPr>
            </w:pPr>
            <w:r w:rsidRPr="001B1066">
              <w:rPr>
                <w:rFonts w:ascii="Times New Roman" w:hAnsi="Times New Roman"/>
                <w:sz w:val="20"/>
              </w:rPr>
              <w:t>Student</w:t>
            </w:r>
          </w:p>
        </w:tc>
        <w:tc>
          <w:tcPr>
            <w:tcW w:w="2250" w:type="dxa"/>
          </w:tcPr>
          <w:p w:rsidR="00AF55BF" w:rsidRPr="001B1066" w:rsidP="00E97D7B" w14:paraId="7B408F4A" w14:textId="58DD6EF8">
            <w:pPr>
              <w:jc w:val="center"/>
              <w:rPr>
                <w:rFonts w:ascii="Times New Roman" w:hAnsi="Times New Roman"/>
                <w:sz w:val="20"/>
              </w:rPr>
            </w:pPr>
            <w:r w:rsidRPr="001B1066">
              <w:rPr>
                <w:rFonts w:ascii="Times New Roman" w:hAnsi="Times New Roman"/>
                <w:sz w:val="20"/>
              </w:rPr>
              <w:t>9,000</w:t>
            </w:r>
          </w:p>
        </w:tc>
        <w:tc>
          <w:tcPr>
            <w:tcW w:w="2520" w:type="dxa"/>
          </w:tcPr>
          <w:p w:rsidR="00AF55BF" w:rsidRPr="001B1066" w:rsidP="00E97D7B" w14:paraId="76C60536" w14:textId="706A70E2">
            <w:pPr>
              <w:jc w:val="center"/>
              <w:rPr>
                <w:rFonts w:ascii="Times New Roman" w:hAnsi="Times New Roman"/>
                <w:sz w:val="20"/>
              </w:rPr>
            </w:pPr>
            <w:r>
              <w:rPr>
                <w:rFonts w:ascii="Times New Roman" w:hAnsi="Times New Roman"/>
                <w:sz w:val="20"/>
              </w:rPr>
              <w:t>85</w:t>
            </w:r>
            <w:r w:rsidRPr="001B1066" w:rsidR="00331F03">
              <w:rPr>
                <w:rFonts w:ascii="Times New Roman" w:hAnsi="Times New Roman"/>
                <w:sz w:val="20"/>
              </w:rPr>
              <w:t>%</w:t>
            </w:r>
          </w:p>
        </w:tc>
      </w:tr>
    </w:tbl>
    <w:p w:rsidR="00A15360" w:rsidP="00740739" w14:paraId="75C0F054" w14:textId="77777777">
      <w:pPr>
        <w:rPr>
          <w:rFonts w:ascii="Times New Roman" w:hAnsi="Times New Roman"/>
          <w:vertAlign w:val="superscript"/>
        </w:rPr>
      </w:pPr>
    </w:p>
    <w:p w:rsidR="001253A9" w:rsidP="001253A9" w14:paraId="7816B048" w14:textId="46B1DC29">
      <w:pPr>
        <w:pStyle w:val="Heading2"/>
        <w:jc w:val="left"/>
      </w:pPr>
      <w:r>
        <w:t>B</w:t>
      </w:r>
      <w:r>
        <w:t>2</w:t>
      </w:r>
      <w:r w:rsidRPr="00E12728">
        <w:t xml:space="preserve">.  </w:t>
      </w:r>
      <w:r w:rsidR="00DB753C">
        <w:t>Information Collection Procedures</w:t>
      </w:r>
    </w:p>
    <w:p w:rsidR="001253A9" w:rsidRPr="00F20AF9" w:rsidP="001E0121" w14:paraId="10B39D2E" w14:textId="3FB226FC">
      <w:pPr>
        <w:rPr>
          <w:rFonts w:ascii="Times New Roman" w:hAnsi="Times New Roman"/>
        </w:rPr>
      </w:pPr>
    </w:p>
    <w:p w:rsidR="00F40C12" w:rsidRPr="000E3F8E" w:rsidP="00125E7C" w14:paraId="2997A7E4" w14:textId="3C04F25C">
      <w:pPr>
        <w:pStyle w:val="ListParagraph"/>
        <w:numPr>
          <w:ilvl w:val="0"/>
          <w:numId w:val="10"/>
        </w:numPr>
        <w:suppressAutoHyphens/>
        <w:rPr>
          <w:rFonts w:ascii="Times New Roman" w:hAnsi="Times New Roman"/>
          <w:b/>
        </w:rPr>
      </w:pPr>
      <w:r w:rsidRPr="000E3F8E">
        <w:rPr>
          <w:rFonts w:ascii="Times New Roman" w:hAnsi="Times New Roman"/>
          <w:b/>
        </w:rPr>
        <w:t>Notification of the Sample and Recruitment</w:t>
      </w:r>
    </w:p>
    <w:p w:rsidR="002A0235" w:rsidP="002A0235" w14:paraId="24D27F67" w14:textId="5BCF12F6">
      <w:pPr>
        <w:suppressAutoHyphens/>
        <w:ind w:left="60"/>
        <w:rPr>
          <w:rFonts w:ascii="Times New Roman" w:hAnsi="Times New Roman"/>
          <w:bCs/>
        </w:rPr>
      </w:pPr>
    </w:p>
    <w:p w:rsidR="00214EEE" w:rsidP="00214EEE" w14:paraId="2B06D4C3" w14:textId="0DE8A9C2">
      <w:pPr>
        <w:suppressAutoHyphens/>
        <w:ind w:left="60"/>
        <w:rPr>
          <w:rFonts w:ascii="Times New Roman" w:hAnsi="Times New Roman"/>
          <w:bCs/>
        </w:rPr>
      </w:pPr>
      <w:r w:rsidRPr="00214EEE">
        <w:rPr>
          <w:rFonts w:ascii="Times New Roman" w:hAnsi="Times New Roman"/>
          <w:bCs/>
        </w:rPr>
        <w:t>The A</w:t>
      </w:r>
      <w:r w:rsidR="00E075CD">
        <w:rPr>
          <w:rFonts w:ascii="Times New Roman" w:hAnsi="Times New Roman"/>
          <w:bCs/>
        </w:rPr>
        <w:t>rizon</w:t>
      </w:r>
      <w:r w:rsidR="0049356B">
        <w:rPr>
          <w:rFonts w:ascii="Times New Roman" w:hAnsi="Times New Roman"/>
          <w:bCs/>
        </w:rPr>
        <w:t>a</w:t>
      </w:r>
      <w:r w:rsidR="00E075CD">
        <w:rPr>
          <w:rFonts w:ascii="Times New Roman" w:hAnsi="Times New Roman"/>
          <w:bCs/>
        </w:rPr>
        <w:t xml:space="preserve"> </w:t>
      </w:r>
      <w:r w:rsidRPr="00214EEE">
        <w:rPr>
          <w:rFonts w:ascii="Times New Roman" w:hAnsi="Times New Roman"/>
          <w:bCs/>
        </w:rPr>
        <w:t>D</w:t>
      </w:r>
      <w:r w:rsidR="00E075CD">
        <w:rPr>
          <w:rFonts w:ascii="Times New Roman" w:hAnsi="Times New Roman"/>
          <w:bCs/>
        </w:rPr>
        <w:t xml:space="preserve">epartment of </w:t>
      </w:r>
      <w:r w:rsidRPr="00214EEE">
        <w:rPr>
          <w:rFonts w:ascii="Times New Roman" w:hAnsi="Times New Roman"/>
          <w:bCs/>
        </w:rPr>
        <w:t>E</w:t>
      </w:r>
      <w:r w:rsidR="00E075CD">
        <w:rPr>
          <w:rFonts w:ascii="Times New Roman" w:hAnsi="Times New Roman"/>
          <w:bCs/>
        </w:rPr>
        <w:t>ducation</w:t>
      </w:r>
      <w:r w:rsidRPr="00214EEE">
        <w:rPr>
          <w:rFonts w:ascii="Times New Roman" w:hAnsi="Times New Roman"/>
          <w:bCs/>
        </w:rPr>
        <w:t xml:space="preserve"> </w:t>
      </w:r>
      <w:r w:rsidR="00E075CD">
        <w:rPr>
          <w:rFonts w:ascii="Times New Roman" w:hAnsi="Times New Roman"/>
          <w:bCs/>
        </w:rPr>
        <w:t xml:space="preserve">(ADE) </w:t>
      </w:r>
      <w:r w:rsidRPr="00214EEE">
        <w:rPr>
          <w:rFonts w:ascii="Times New Roman" w:hAnsi="Times New Roman"/>
          <w:bCs/>
        </w:rPr>
        <w:t xml:space="preserve">will help connect the evaluation team to districts, and the team will leverage REL West’s established relationships throughout the state to set up the first meetings. ADE will make initial contact with district leaders, through phone calls or emails, to ask them to look at the study communications. Researchers will follow up within a day with informational materials and schedule a time to meet. In the district call, the toolkit and the study will be described to district leaders and their questions will be answered. District leaders will also be asked to describe district-specific benefits and challenges of participating in the study. If district leaders are interested in participating, the evaluation team will ask for their help contacting schools and their ideas for how the study might be a fit for their schools. </w:t>
      </w:r>
    </w:p>
    <w:p w:rsidR="00E075CD" w:rsidRPr="00214EEE" w:rsidP="00214EEE" w14:paraId="6FC45B30" w14:textId="77777777">
      <w:pPr>
        <w:suppressAutoHyphens/>
        <w:ind w:left="60"/>
        <w:rPr>
          <w:rFonts w:ascii="Times New Roman" w:hAnsi="Times New Roman"/>
          <w:bCs/>
        </w:rPr>
      </w:pPr>
    </w:p>
    <w:p w:rsidR="00214EEE" w:rsidRPr="00214EEE" w:rsidP="00214EEE" w14:paraId="401CF75C" w14:textId="31A6D562">
      <w:pPr>
        <w:suppressAutoHyphens/>
        <w:ind w:left="60"/>
        <w:rPr>
          <w:rFonts w:ascii="Times New Roman" w:hAnsi="Times New Roman"/>
          <w:bCs/>
        </w:rPr>
      </w:pPr>
      <w:r w:rsidRPr="00214EEE">
        <w:rPr>
          <w:rFonts w:ascii="Times New Roman" w:hAnsi="Times New Roman"/>
          <w:bCs/>
        </w:rPr>
        <w:t>Upon district agreement, the team will reach out to school principals. District leaders will be asked by the evaluation team to hold information meetings for principals. The researchers will then email each school an information package and schedule a school-specific conversation with the principal. If the school principal is interested, staff Q&amp;A meetings by school will be held, and informational webinars across schools, to provide information directly to teachers and facilitators and to hear their thoughts.</w:t>
      </w:r>
    </w:p>
    <w:p w:rsidR="00E075CD" w:rsidP="00214EEE" w14:paraId="0B4745EB" w14:textId="77777777">
      <w:pPr>
        <w:suppressAutoHyphens/>
        <w:ind w:left="60"/>
        <w:rPr>
          <w:rFonts w:ascii="Times New Roman" w:hAnsi="Times New Roman"/>
          <w:bCs/>
        </w:rPr>
      </w:pPr>
    </w:p>
    <w:p w:rsidR="002A0235" w:rsidP="00E075CD" w14:paraId="32175297" w14:textId="6E390D6C">
      <w:pPr>
        <w:suppressAutoHyphens/>
        <w:ind w:left="60"/>
        <w:rPr>
          <w:rFonts w:ascii="Times New Roman" w:hAnsi="Times New Roman"/>
          <w:bCs/>
        </w:rPr>
      </w:pPr>
      <w:r w:rsidRPr="00214EEE">
        <w:rPr>
          <w:rFonts w:ascii="Times New Roman" w:hAnsi="Times New Roman"/>
          <w:bCs/>
        </w:rPr>
        <w:t xml:space="preserve">Researchers on the team will ask school principals, facilitators, and teachers to review and sign a brief consent statement prior to random assignment indicating that they understand the intervention and the study and will participate to the best of their ability, regardless of the condition to which they are assigned. This is a non-binding agreement. Schools in the study will be included if the principal, the facilitator, and at least one-half of the teachers in each grade make this commitment, and if the district does not require active consent from students/parents for participation in the study. </w:t>
      </w:r>
      <w:r w:rsidR="00D554B6">
        <w:rPr>
          <w:rFonts w:ascii="Times New Roman" w:hAnsi="Times New Roman"/>
          <w:bCs/>
        </w:rPr>
        <w:t>Recruitment materials that will be used for this study are included in Appendix A.</w:t>
      </w:r>
    </w:p>
    <w:p w:rsidR="008D446E" w:rsidP="00E075CD" w14:paraId="1DC4E691" w14:textId="25CE05BF">
      <w:pPr>
        <w:suppressAutoHyphens/>
        <w:ind w:left="60"/>
        <w:rPr>
          <w:rFonts w:ascii="Times New Roman" w:hAnsi="Times New Roman"/>
          <w:bCs/>
        </w:rPr>
      </w:pPr>
    </w:p>
    <w:p w:rsidR="008D446E" w:rsidP="00E075CD" w14:paraId="6BBF2549" w14:textId="45A6C5D3">
      <w:pPr>
        <w:suppressAutoHyphens/>
        <w:ind w:left="60"/>
        <w:rPr>
          <w:rFonts w:ascii="Times New Roman" w:hAnsi="Times New Roman"/>
          <w:bCs/>
        </w:rPr>
      </w:pPr>
      <w:r>
        <w:rPr>
          <w:rFonts w:ascii="Times New Roman" w:hAnsi="Times New Roman"/>
          <w:bCs/>
        </w:rPr>
        <w:t xml:space="preserve">Primary data collection recruitment will occur in schools that consent to be part of the study.  </w:t>
      </w:r>
      <w:r w:rsidRPr="000A6E79" w:rsidR="000A6E79">
        <w:rPr>
          <w:rFonts w:ascii="Times New Roman" w:hAnsi="Times New Roman"/>
          <w:bCs/>
        </w:rPr>
        <w:t>Each round of data collection will include an initial outreach and three follow-up emails for participants who have not completed the consent form. Data collection communication email texts are included in Appendix B.</w:t>
      </w:r>
    </w:p>
    <w:p w:rsidR="002A0235" w:rsidP="002A0235" w14:paraId="76F97A20" w14:textId="77777777">
      <w:pPr>
        <w:suppressAutoHyphens/>
        <w:ind w:left="60"/>
        <w:rPr>
          <w:rFonts w:ascii="Times New Roman" w:hAnsi="Times New Roman"/>
          <w:bCs/>
        </w:rPr>
      </w:pPr>
    </w:p>
    <w:p w:rsidR="003E0309" w:rsidP="002A0235" w14:paraId="558DA3CA" w14:textId="5AF67163">
      <w:pPr>
        <w:suppressAutoHyphens/>
        <w:ind w:left="60"/>
        <w:rPr>
          <w:rFonts w:ascii="Times New Roman" w:hAnsi="Times New Roman"/>
          <w:bCs/>
        </w:rPr>
      </w:pPr>
      <w:r>
        <w:rPr>
          <w:rFonts w:ascii="Times New Roman" w:hAnsi="Times New Roman"/>
          <w:bCs/>
        </w:rPr>
        <w:t>A</w:t>
      </w:r>
      <w:r w:rsidR="00A933DD">
        <w:rPr>
          <w:rFonts w:ascii="Times New Roman" w:hAnsi="Times New Roman"/>
          <w:bCs/>
        </w:rPr>
        <w:t xml:space="preserve">ctive consent </w:t>
      </w:r>
      <w:r>
        <w:rPr>
          <w:rFonts w:ascii="Times New Roman" w:hAnsi="Times New Roman"/>
          <w:bCs/>
        </w:rPr>
        <w:t xml:space="preserve">for </w:t>
      </w:r>
      <w:r>
        <w:rPr>
          <w:rFonts w:ascii="Times New Roman" w:hAnsi="Times New Roman"/>
          <w:bCs/>
        </w:rPr>
        <w:t>the this</w:t>
      </w:r>
      <w:r>
        <w:rPr>
          <w:rFonts w:ascii="Times New Roman" w:hAnsi="Times New Roman"/>
          <w:bCs/>
        </w:rPr>
        <w:t xml:space="preserve"> research is not </w:t>
      </w:r>
      <w:r w:rsidR="00A933DD">
        <w:rPr>
          <w:rFonts w:ascii="Times New Roman" w:hAnsi="Times New Roman"/>
          <w:bCs/>
        </w:rPr>
        <w:t>required by the district</w:t>
      </w:r>
      <w:r>
        <w:rPr>
          <w:rFonts w:ascii="Times New Roman" w:hAnsi="Times New Roman"/>
          <w:bCs/>
        </w:rPr>
        <w:t>. Also, t</w:t>
      </w:r>
      <w:r w:rsidR="00A933DD">
        <w:rPr>
          <w:rFonts w:ascii="Times New Roman" w:hAnsi="Times New Roman"/>
          <w:bCs/>
        </w:rPr>
        <w:t xml:space="preserve">he </w:t>
      </w:r>
      <w:r w:rsidRPr="00A933DD" w:rsidR="00A933DD">
        <w:rPr>
          <w:rFonts w:ascii="Times New Roman" w:hAnsi="Times New Roman"/>
          <w:bCs/>
        </w:rPr>
        <w:t xml:space="preserve">IRB has determined </w:t>
      </w:r>
      <w:r w:rsidR="00A933DD">
        <w:rPr>
          <w:rFonts w:ascii="Times New Roman" w:hAnsi="Times New Roman"/>
          <w:bCs/>
        </w:rPr>
        <w:t xml:space="preserve">that passive consent is </w:t>
      </w:r>
      <w:r w:rsidR="00A933DD">
        <w:rPr>
          <w:rFonts w:ascii="Times New Roman" w:hAnsi="Times New Roman"/>
          <w:bCs/>
        </w:rPr>
        <w:t>acceptable</w:t>
      </w:r>
      <w:r w:rsidR="00A933DD">
        <w:rPr>
          <w:rFonts w:ascii="Times New Roman" w:hAnsi="Times New Roman"/>
          <w:bCs/>
        </w:rPr>
        <w:t xml:space="preserve"> and </w:t>
      </w:r>
      <w:r w:rsidRPr="00A933DD" w:rsidR="00A933DD">
        <w:rPr>
          <w:rFonts w:ascii="Times New Roman" w:hAnsi="Times New Roman"/>
          <w:bCs/>
        </w:rPr>
        <w:t>the research is exempt</w:t>
      </w:r>
      <w:r w:rsidR="00A933DD">
        <w:rPr>
          <w:rFonts w:ascii="Times New Roman" w:hAnsi="Times New Roman"/>
          <w:bCs/>
        </w:rPr>
        <w:t>,</w:t>
      </w:r>
      <w:r w:rsidRPr="00A933DD" w:rsidR="00A933DD">
        <w:rPr>
          <w:rFonts w:ascii="Times New Roman" w:hAnsi="Times New Roman"/>
          <w:bCs/>
        </w:rPr>
        <w:t xml:space="preserve"> because it involves established educational settings and involves normal educational practices (i.e., professional development) that are not likely to adversely impacts students' opportunities to learn required educational content. Also, requiring active consent increases burden on parents and c</w:t>
      </w:r>
      <w:r>
        <w:rPr>
          <w:rFonts w:ascii="Times New Roman" w:hAnsi="Times New Roman"/>
          <w:bCs/>
        </w:rPr>
        <w:t>ould</w:t>
      </w:r>
      <w:r w:rsidRPr="00A933DD" w:rsidR="00A933DD">
        <w:rPr>
          <w:rFonts w:ascii="Times New Roman" w:hAnsi="Times New Roman"/>
          <w:bCs/>
        </w:rPr>
        <w:t xml:space="preserve"> jeopardize sample size (and by extension, the study’s ability to detect significant effects if the intervention has a truly positive impact on student outcomes)</w:t>
      </w:r>
      <w:r w:rsidR="00A933DD">
        <w:rPr>
          <w:rFonts w:ascii="Times New Roman" w:hAnsi="Times New Roman"/>
          <w:bCs/>
        </w:rPr>
        <w:t>.</w:t>
      </w:r>
    </w:p>
    <w:p w:rsidR="00A933DD" w:rsidRPr="002A0235" w:rsidP="002A0235" w14:paraId="12800727" w14:textId="77777777">
      <w:pPr>
        <w:suppressAutoHyphens/>
        <w:ind w:left="60"/>
        <w:rPr>
          <w:rFonts w:ascii="Times New Roman" w:hAnsi="Times New Roman"/>
          <w:bCs/>
        </w:rPr>
      </w:pPr>
    </w:p>
    <w:p w:rsidR="00E4585F" w:rsidRPr="00E075CD" w:rsidP="00125E7C" w14:paraId="44F206D2" w14:textId="1751772E">
      <w:pPr>
        <w:pStyle w:val="ListParagraph"/>
        <w:numPr>
          <w:ilvl w:val="0"/>
          <w:numId w:val="10"/>
        </w:numPr>
        <w:suppressAutoHyphens/>
        <w:rPr>
          <w:rFonts w:ascii="Times New Roman" w:hAnsi="Times New Roman"/>
          <w:b/>
        </w:rPr>
      </w:pPr>
      <w:r w:rsidRPr="00E075CD">
        <w:rPr>
          <w:rFonts w:ascii="Times New Roman" w:hAnsi="Times New Roman"/>
          <w:b/>
        </w:rPr>
        <w:t>Statistical Methodology for Stratification and Sample Selection</w:t>
      </w:r>
    </w:p>
    <w:p w:rsidR="00E075CD" w:rsidP="00E075CD" w14:paraId="167EB43F" w14:textId="55D65598">
      <w:pPr>
        <w:suppressAutoHyphens/>
        <w:ind w:left="60"/>
        <w:rPr>
          <w:rFonts w:ascii="Times New Roman" w:hAnsi="Times New Roman"/>
          <w:bCs/>
        </w:rPr>
      </w:pPr>
    </w:p>
    <w:p w:rsidR="00E075CD" w:rsidP="00E075CD" w14:paraId="1A9E96BE" w14:textId="382EE75A">
      <w:pPr>
        <w:suppressAutoHyphens/>
        <w:ind w:left="60"/>
        <w:rPr>
          <w:rFonts w:ascii="Times New Roman" w:hAnsi="Times New Roman"/>
        </w:rPr>
      </w:pPr>
      <w:r>
        <w:rPr>
          <w:rFonts w:ascii="Times New Roman" w:hAnsi="Times New Roman"/>
          <w:bCs/>
        </w:rPr>
        <w:t>The evaluation team will recruit districts</w:t>
      </w:r>
      <w:r w:rsidR="00BB4E06">
        <w:rPr>
          <w:rFonts w:ascii="Times New Roman" w:hAnsi="Times New Roman"/>
          <w:bCs/>
        </w:rPr>
        <w:t xml:space="preserve"> in Arizona</w:t>
      </w:r>
      <w:r w:rsidR="00FD314E">
        <w:rPr>
          <w:rFonts w:ascii="Times New Roman" w:hAnsi="Times New Roman"/>
          <w:bCs/>
        </w:rPr>
        <w:t xml:space="preserve"> that meet the criteria of having</w:t>
      </w:r>
      <w:r w:rsidR="00891310">
        <w:rPr>
          <w:rFonts w:ascii="Times New Roman" w:hAnsi="Times New Roman"/>
          <w:bCs/>
        </w:rPr>
        <w:t xml:space="preserve"> an average of</w:t>
      </w:r>
      <w:r w:rsidR="00FD314E">
        <w:rPr>
          <w:rFonts w:ascii="Times New Roman" w:hAnsi="Times New Roman"/>
          <w:bCs/>
        </w:rPr>
        <w:t xml:space="preserve"> at least 50% </w:t>
      </w:r>
      <w:r w:rsidRPr="008F2C40" w:rsidR="00FD314E">
        <w:rPr>
          <w:rFonts w:ascii="Times New Roman" w:hAnsi="Times New Roman"/>
        </w:rPr>
        <w:t xml:space="preserve">Hispanic/Latinx students </w:t>
      </w:r>
      <w:r w:rsidR="00891310">
        <w:rPr>
          <w:rFonts w:ascii="Times New Roman" w:hAnsi="Times New Roman"/>
        </w:rPr>
        <w:t xml:space="preserve">in each school </w:t>
      </w:r>
      <w:r>
        <w:rPr>
          <w:rFonts w:ascii="Times New Roman" w:hAnsi="Times New Roman"/>
          <w:bCs/>
        </w:rPr>
        <w:t xml:space="preserve">until 6 districts have agreed to participate in the study. Within each district, </w:t>
      </w:r>
      <w:r w:rsidR="00FD314E">
        <w:rPr>
          <w:rFonts w:ascii="Times New Roman" w:hAnsi="Times New Roman"/>
          <w:bCs/>
        </w:rPr>
        <w:t xml:space="preserve">the recruitment will target all elementary schools that have </w:t>
      </w:r>
      <w:r w:rsidRPr="008F2C40" w:rsidR="00FD314E">
        <w:rPr>
          <w:rFonts w:ascii="Times New Roman" w:hAnsi="Times New Roman"/>
        </w:rPr>
        <w:t>at least two full-time equivalent (FTE) teachers and at least two classes in each grade, grades K–3</w:t>
      </w:r>
      <w:r w:rsidR="00891310">
        <w:rPr>
          <w:rFonts w:ascii="Times New Roman" w:hAnsi="Times New Roman"/>
        </w:rPr>
        <w:t xml:space="preserve">.  Schools will be recruited until </w:t>
      </w:r>
      <w:r w:rsidR="00E96CFB">
        <w:rPr>
          <w:rFonts w:ascii="Times New Roman" w:hAnsi="Times New Roman"/>
        </w:rPr>
        <w:t>70 schools have agreed to participate. All teachers who teach reading instruction to students in grades K-3 will be recruited for the study</w:t>
      </w:r>
      <w:r w:rsidR="009630A7">
        <w:rPr>
          <w:rFonts w:ascii="Times New Roman" w:hAnsi="Times New Roman"/>
        </w:rPr>
        <w:t>, with the expected sample size of 720 teachers</w:t>
      </w:r>
      <w:r w:rsidR="00E96CFB">
        <w:rPr>
          <w:rFonts w:ascii="Times New Roman" w:hAnsi="Times New Roman"/>
        </w:rPr>
        <w:t xml:space="preserve">. </w:t>
      </w:r>
    </w:p>
    <w:p w:rsidR="00280214" w:rsidP="00E075CD" w14:paraId="69CC33A5" w14:textId="59E62B0A">
      <w:pPr>
        <w:suppressAutoHyphens/>
        <w:ind w:left="60"/>
        <w:rPr>
          <w:rFonts w:ascii="Times New Roman" w:hAnsi="Times New Roman"/>
        </w:rPr>
      </w:pPr>
    </w:p>
    <w:p w:rsidR="003C0726" w:rsidP="00A26813" w14:paraId="472BEE46" w14:textId="77777777">
      <w:pPr>
        <w:suppressAutoHyphens/>
        <w:ind w:left="60"/>
        <w:rPr>
          <w:rFonts w:ascii="Times New Roman" w:hAnsi="Times New Roman"/>
        </w:rPr>
      </w:pPr>
      <w:r w:rsidRPr="00A26813">
        <w:rPr>
          <w:rFonts w:ascii="Times New Roman" w:hAnsi="Times New Roman"/>
        </w:rPr>
        <w:t>Because the toolkit, centering on teacher knowledge and use of the five practice guide recommendations for improving students’ reading comprehension, is designed to be used as part of a school’s approach to improve literacy instruction by all K–3 teachers within a school, the evaluation team proposes using the school as the unit of assignment. This level of assignment has multiple methodological benefits, including removing the within-school threat of diffusion of the toolkit use and crossovers. Random assignment will take place in April 2024—immediately after recruitment closes and administrative data baseline student achievement scores and characteristics has been collecte</w:t>
      </w:r>
      <w:r>
        <w:rPr>
          <w:rFonts w:ascii="Times New Roman" w:hAnsi="Times New Roman"/>
        </w:rPr>
        <w:t>d.</w:t>
      </w:r>
    </w:p>
    <w:p w:rsidR="003C0726" w:rsidP="00A26813" w14:paraId="490F0000" w14:textId="77777777">
      <w:pPr>
        <w:suppressAutoHyphens/>
        <w:ind w:left="60"/>
        <w:rPr>
          <w:rFonts w:ascii="Times New Roman" w:hAnsi="Times New Roman"/>
        </w:rPr>
      </w:pPr>
    </w:p>
    <w:p w:rsidR="00A26813" w:rsidP="00A26813" w14:paraId="77AEAE1B" w14:textId="7459EDC0">
      <w:pPr>
        <w:suppressAutoHyphens/>
        <w:ind w:left="60"/>
        <w:rPr>
          <w:rFonts w:ascii="Times New Roman" w:hAnsi="Times New Roman"/>
        </w:rPr>
      </w:pPr>
      <w:r>
        <w:rPr>
          <w:rFonts w:ascii="Times New Roman" w:hAnsi="Times New Roman"/>
        </w:rPr>
        <w:t xml:space="preserve">The study will use </w:t>
      </w:r>
      <w:r w:rsidRPr="00A26813">
        <w:rPr>
          <w:rFonts w:ascii="Times New Roman" w:hAnsi="Times New Roman"/>
        </w:rPr>
        <w:t>a rerandomization process (Morgan &amp; Rubin, 2012)</w:t>
      </w:r>
      <w:r>
        <w:rPr>
          <w:rFonts w:ascii="Times New Roman" w:hAnsi="Times New Roman"/>
        </w:rPr>
        <w:t xml:space="preserve"> to assign schools to treatment or control group status</w:t>
      </w:r>
      <w:r w:rsidRPr="00A26813">
        <w:rPr>
          <w:rFonts w:ascii="Times New Roman" w:hAnsi="Times New Roman"/>
        </w:rPr>
        <w:t>.</w:t>
      </w:r>
      <w:r>
        <w:rPr>
          <w:rFonts w:ascii="Times New Roman" w:hAnsi="Times New Roman"/>
        </w:rPr>
        <w:t xml:space="preserve"> </w:t>
      </w:r>
      <w:r w:rsidRPr="00A26813">
        <w:rPr>
          <w:rFonts w:ascii="Times New Roman" w:hAnsi="Times New Roman"/>
        </w:rPr>
        <w:t>Rerandomization is an iterative process that seeks to find the optimized allocation to treatment and control conditions that balances baseline characteristics, based on a pre-specified criterion that defines the level of imbalance. It relies on the availability of covariate information at the design stage of the experiment. The benefit of rerandomization is that it improves covariate balance and leads to more precise estimates of the treatment effect (</w:t>
      </w:r>
      <w:bookmarkStart w:id="3" w:name="_Hlk67573367"/>
      <w:r w:rsidRPr="00A26813">
        <w:rPr>
          <w:rFonts w:ascii="Times New Roman" w:hAnsi="Times New Roman"/>
        </w:rPr>
        <w:t>Morgan &amp; Rubin, 2012</w:t>
      </w:r>
      <w:bookmarkEnd w:id="3"/>
      <w:r w:rsidRPr="00A26813">
        <w:rPr>
          <w:rFonts w:ascii="Times New Roman" w:hAnsi="Times New Roman"/>
        </w:rPr>
        <w:t xml:space="preserve">). For this study, the toolkit evaluation team will identify covariates to use for rerandomization and will set an empirical threshold for the group differences for acceptable randomization prior to assigning units to conditions. The rerandomization procedure will then continue to rerandomize until the empirical threshold for acceptable differences is met. Potential covariates to be included in this model include school average reading comprehension scores by grade level (measured at baseline before random assignment), school average demographic composition (e.g., percent of Hispanic/Latinx and Black students), school average special education students, school average English learner students, and school average teacher first-year retention rates. Before proceeding with rerandomization, the study team will conduct simulations to examine the extent to which a simple random assignment is likely to result in imbalanced covariates using the baseline data gathered from school districts. If based on 1,000 simulations of simple randomization we find that at least 1 of the covariates has a difference </w:t>
      </w:r>
      <w:r w:rsidRPr="00A26813">
        <w:rPr>
          <w:rFonts w:ascii="Times New Roman" w:hAnsi="Times New Roman"/>
        </w:rPr>
        <w:t>between treatment and comparison groups of 0.20 standard deviations, then we will proceed with rerandomization.</w:t>
      </w:r>
    </w:p>
    <w:p w:rsidR="00A26813" w:rsidP="00A26813" w14:paraId="395576D2" w14:textId="77777777">
      <w:pPr>
        <w:suppressAutoHyphens/>
        <w:ind w:left="60"/>
        <w:rPr>
          <w:rFonts w:ascii="Times New Roman" w:hAnsi="Times New Roman"/>
        </w:rPr>
      </w:pPr>
    </w:p>
    <w:p w:rsidR="00A26813" w:rsidRPr="00A26813" w:rsidP="00A26813" w14:paraId="1ED48963" w14:textId="035A46A9">
      <w:pPr>
        <w:suppressAutoHyphens/>
        <w:ind w:left="60"/>
        <w:rPr>
          <w:rFonts w:ascii="Times New Roman" w:hAnsi="Times New Roman"/>
        </w:rPr>
      </w:pPr>
      <w:r w:rsidRPr="00A26813">
        <w:rPr>
          <w:rFonts w:ascii="Times New Roman" w:hAnsi="Times New Roman"/>
        </w:rPr>
        <w:t>The timing of random assignment will take place to allow for facilitator training starting in June 2024, and teacher training in August 2024, and is therefore embedded in regular summer training activities. Plans for random assignment will be communicated with district and school officials early in the recruitment process to ensure buy-in and randomization assignments will be carefully documented. To maintain the integrity of the random assignment, all analysis of data will account for these procedures, as described below.</w:t>
      </w:r>
    </w:p>
    <w:p w:rsidR="00E96CFB" w:rsidRPr="00E075CD" w:rsidP="00E075CD" w14:paraId="70034608" w14:textId="77777777">
      <w:pPr>
        <w:suppressAutoHyphens/>
        <w:ind w:left="60"/>
        <w:rPr>
          <w:rFonts w:ascii="Times New Roman" w:hAnsi="Times New Roman"/>
          <w:bCs/>
        </w:rPr>
      </w:pPr>
    </w:p>
    <w:p w:rsidR="00E4585F" w:rsidRPr="000469D3" w:rsidP="00125E7C" w14:paraId="2B55DA88" w14:textId="3902E240">
      <w:pPr>
        <w:pStyle w:val="ListParagraph"/>
        <w:numPr>
          <w:ilvl w:val="0"/>
          <w:numId w:val="10"/>
        </w:numPr>
        <w:suppressAutoHyphens/>
        <w:rPr>
          <w:rFonts w:ascii="Times New Roman" w:hAnsi="Times New Roman"/>
          <w:b/>
        </w:rPr>
      </w:pPr>
      <w:r w:rsidRPr="000469D3">
        <w:rPr>
          <w:rFonts w:ascii="Times New Roman" w:hAnsi="Times New Roman"/>
          <w:b/>
        </w:rPr>
        <w:t>Estimation Procedures</w:t>
      </w:r>
    </w:p>
    <w:p w:rsidR="003C0726" w:rsidP="003C0726" w14:paraId="3EAE82B3" w14:textId="59C03C31">
      <w:pPr>
        <w:suppressAutoHyphens/>
        <w:rPr>
          <w:rFonts w:ascii="Times New Roman" w:hAnsi="Times New Roman"/>
          <w:bCs/>
        </w:rPr>
      </w:pPr>
    </w:p>
    <w:p w:rsidR="000469D3" w:rsidP="000469D3" w14:paraId="0F36B29F" w14:textId="2AF71F38">
      <w:pPr>
        <w:suppressAutoHyphens/>
        <w:rPr>
          <w:rFonts w:ascii="Times New Roman" w:hAnsi="Times New Roman"/>
          <w:bCs/>
        </w:rPr>
      </w:pPr>
      <w:r w:rsidRPr="000469D3">
        <w:rPr>
          <w:rFonts w:ascii="Times New Roman" w:hAnsi="Times New Roman"/>
          <w:bCs/>
        </w:rPr>
        <w:t>Because outcomes are measured at the student or teacher level and each is nested within schools, the evaluation team will use hierarchical linear models to compare student and teacher outcomes at schools randomly assigned to the treatment group to student and teacher outcomes at schools randomly assigned to the control group (business as usual). Error terms within a group will not be statistically independent because of nesting in schools. Hierarchical linear modeling accounts for the statistical dependence of the error terms and, with other things equal, produces unbiased estimates of the impacts and standard errors (</w:t>
      </w:r>
      <w:bookmarkStart w:id="4" w:name="_Hlk67575645"/>
      <w:r w:rsidRPr="000469D3">
        <w:rPr>
          <w:rFonts w:ascii="Times New Roman" w:hAnsi="Times New Roman"/>
          <w:bCs/>
        </w:rPr>
        <w:t>Raudenbush</w:t>
      </w:r>
      <w:r w:rsidRPr="000469D3">
        <w:rPr>
          <w:rFonts w:ascii="Times New Roman" w:hAnsi="Times New Roman"/>
          <w:bCs/>
        </w:rPr>
        <w:t xml:space="preserve"> &amp; Bryk, 2002</w:t>
      </w:r>
      <w:bookmarkEnd w:id="4"/>
      <w:r w:rsidRPr="000469D3">
        <w:rPr>
          <w:rFonts w:ascii="Times New Roman" w:hAnsi="Times New Roman"/>
          <w:bCs/>
        </w:rPr>
        <w:t xml:space="preserve">; </w:t>
      </w:r>
      <w:bookmarkStart w:id="5" w:name="_Hlk67575653"/>
      <w:r w:rsidRPr="000469D3">
        <w:rPr>
          <w:rFonts w:ascii="Times New Roman" w:hAnsi="Times New Roman"/>
          <w:bCs/>
        </w:rPr>
        <w:t>Shadish</w:t>
      </w:r>
      <w:r w:rsidRPr="000469D3">
        <w:rPr>
          <w:rFonts w:ascii="Times New Roman" w:hAnsi="Times New Roman"/>
          <w:bCs/>
        </w:rPr>
        <w:t xml:space="preserve"> et al., 2002</w:t>
      </w:r>
      <w:bookmarkEnd w:id="5"/>
      <w:r w:rsidRPr="000469D3">
        <w:rPr>
          <w:rFonts w:ascii="Times New Roman" w:hAnsi="Times New Roman"/>
          <w:bCs/>
        </w:rPr>
        <w:t>). The evaluation team will estimate the Intent-To-Treat (ITT) effect for RQ1 and RQ2 in a two-level model, with students at Level 1 and schools at Level 2. Because the school is the level of assignment, the treatment indicator is at Level 2. The team will estimate the effect of the toolkit on teachers who used it for RQ3 with a Complier Average Causal Effect (CACE) analysis. A two-level model to estimate the effect of the toolkit on teacher knowledge and teacher practices (RQ4) will be used, with teachers at Level 1 and schools at Level 2, and again with the treatment indicator at Level 2. For binary teacher outcomes, a hierarchical generalized linear model with a logistic link function will be used.</w:t>
      </w:r>
    </w:p>
    <w:p w:rsidR="00901C38" w:rsidRPr="000469D3" w:rsidP="000469D3" w14:paraId="65757903" w14:textId="77777777">
      <w:pPr>
        <w:suppressAutoHyphens/>
        <w:rPr>
          <w:rFonts w:ascii="Times New Roman" w:hAnsi="Times New Roman"/>
          <w:bCs/>
        </w:rPr>
      </w:pPr>
    </w:p>
    <w:p w:rsidR="000469D3" w:rsidRPr="000469D3" w:rsidP="000469D3" w14:paraId="63F453AE" w14:textId="77777777">
      <w:pPr>
        <w:suppressAutoHyphens/>
        <w:rPr>
          <w:rFonts w:ascii="Times New Roman" w:hAnsi="Times New Roman"/>
          <w:bCs/>
        </w:rPr>
      </w:pPr>
      <w:bookmarkStart w:id="6" w:name="_Toc381190270"/>
      <w:r w:rsidRPr="000469D3">
        <w:rPr>
          <w:rFonts w:ascii="Times New Roman" w:hAnsi="Times New Roman"/>
          <w:b/>
          <w:bCs/>
          <w:i/>
          <w:iCs/>
        </w:rPr>
        <w:t>Continuous Student Outcomes</w:t>
      </w:r>
      <w:r w:rsidRPr="000469D3">
        <w:rPr>
          <w:rFonts w:ascii="Times New Roman" w:hAnsi="Times New Roman"/>
          <w:b/>
          <w:bCs/>
        </w:rPr>
        <w:t>.</w:t>
      </w:r>
      <w:r w:rsidRPr="000469D3">
        <w:rPr>
          <w:rFonts w:ascii="Times New Roman" w:hAnsi="Times New Roman"/>
          <w:bCs/>
        </w:rPr>
        <w:t xml:space="preserve"> Student assessment outcomes will be modeled with a two-level hierarchical model. Because schools are randomly assigned to the treatment group, the treatment effect is included in Level 2 (i.e., the school level) of the model. The team will calculate the ITT effect of the toolkit, relative to business as usual, on student outcomes. The two-level model for continuous student outcomes is given by:</w:t>
      </w:r>
    </w:p>
    <w:p w:rsidR="001B66CC" w:rsidP="001B66CC" w14:paraId="083F122B" w14:textId="77777777">
      <w:pPr>
        <w:suppressAutoHyphens/>
        <w:ind w:firstLine="360"/>
        <w:rPr>
          <w:rFonts w:ascii="Times New Roman" w:hAnsi="Times New Roman"/>
          <w:bCs/>
        </w:rPr>
      </w:pPr>
    </w:p>
    <w:p w:rsidR="000469D3" w:rsidRPr="000469D3" w:rsidP="001B66CC" w14:paraId="2F3B15C6" w14:textId="30354FB1">
      <w:pPr>
        <w:suppressAutoHyphens/>
        <w:ind w:firstLine="360"/>
        <w:rPr>
          <w:rFonts w:ascii="Times New Roman" w:hAnsi="Times New Roman"/>
          <w:bCs/>
        </w:rPr>
      </w:pPr>
      <w:r w:rsidRPr="000469D3">
        <w:rPr>
          <w:rFonts w:ascii="Times New Roman" w:hAnsi="Times New Roman"/>
          <w:bCs/>
        </w:rPr>
        <w:t xml:space="preserve">Level 1 (students):    </w:t>
      </w:r>
      <m:oMath>
        <m:sSub>
          <m:sSubPr>
            <m:ctrlPr>
              <w:rPr>
                <w:rFonts w:ascii="Cambria Math" w:hAnsi="Cambria Math"/>
                <w:bCs/>
                <w:i/>
              </w:rPr>
            </m:ctrlPr>
          </m:sSubPr>
          <m:e>
            <m:r>
              <w:rPr>
                <w:rFonts w:ascii="Cambria Math" w:hAnsi="Cambria Math"/>
              </w:rPr>
              <m:t>Y</m:t>
            </m:r>
          </m:e>
          <m:sub>
            <m:r>
              <w:rPr>
                <w:rFonts w:ascii="Cambria Math" w:hAnsi="Cambria Math"/>
              </w:rPr>
              <m:t>ij</m:t>
            </m:r>
          </m:sub>
        </m:sSub>
        <m:r>
          <w:rPr>
            <w:rFonts w:ascii="Cambria Math" w:hAnsi="Cambria Math"/>
          </w:rPr>
          <m:t>=</m:t>
        </m:r>
        <m:sSub>
          <m:sSubPr>
            <m:ctrlPr>
              <w:rPr>
                <w:rFonts w:ascii="Cambria Math" w:hAnsi="Cambria Math"/>
                <w:bCs/>
                <w:i/>
              </w:rPr>
            </m:ctrlPr>
          </m:sSubPr>
          <m:e>
            <m:r>
              <w:rPr>
                <w:rFonts w:ascii="Cambria Math" w:hAnsi="Cambria Math"/>
              </w:rPr>
              <m:t>π</m:t>
            </m:r>
          </m:e>
          <m:sub>
            <m:r>
              <w:rPr>
                <w:rFonts w:ascii="Cambria Math" w:hAnsi="Cambria Math"/>
              </w:rPr>
              <m:t>0j</m:t>
            </m:r>
          </m:sub>
        </m:sSub>
        <m:r>
          <w:rPr>
            <w:rFonts w:ascii="Cambria Math" w:hAnsi="Cambria Math"/>
          </w:rPr>
          <m:t>+</m:t>
        </m:r>
        <m:sSub>
          <m:sSubPr>
            <m:ctrlPr>
              <w:rPr>
                <w:rFonts w:ascii="Cambria Math" w:hAnsi="Cambria Math"/>
                <w:bCs/>
                <w:i/>
              </w:rPr>
            </m:ctrlPr>
          </m:sSubPr>
          <m:e>
            <m:r>
              <w:rPr>
                <w:rFonts w:ascii="Cambria Math" w:hAnsi="Cambria Math"/>
              </w:rPr>
              <m:t>π</m:t>
            </m:r>
          </m:e>
          <m:sub>
            <m:r>
              <w:rPr>
                <w:rFonts w:ascii="Cambria Math" w:hAnsi="Cambria Math"/>
              </w:rPr>
              <m:t>01j</m:t>
            </m:r>
          </m:sub>
        </m:sSub>
        <m:sSub>
          <m:sSubPr>
            <m:ctrlPr>
              <w:rPr>
                <w:rFonts w:ascii="Cambria Math" w:hAnsi="Cambria Math"/>
                <w:bCs/>
                <w:i/>
              </w:rPr>
            </m:ctrlPr>
          </m:sSubPr>
          <m:e>
            <m:r>
              <w:rPr>
                <w:rFonts w:ascii="Cambria Math" w:hAnsi="Cambria Math"/>
              </w:rPr>
              <m:t>PriorAch</m:t>
            </m:r>
          </m:e>
          <m:sub>
            <m:r>
              <w:rPr>
                <w:rFonts w:ascii="Cambria Math" w:hAnsi="Cambria Math"/>
              </w:rPr>
              <m:t>ij</m:t>
            </m:r>
          </m:sub>
        </m:sSub>
        <m:r>
          <w:rPr>
            <w:rFonts w:ascii="Cambria Math" w:hAnsi="Cambria Math"/>
          </w:rPr>
          <m:t xml:space="preserve">+ </m:t>
        </m:r>
        <m:nary>
          <m:naryPr>
            <m:chr m:val="∑"/>
            <m:limLoc m:val="undOvr"/>
            <m:ctrlPr>
              <w:rPr>
                <w:rFonts w:ascii="Cambria Math" w:hAnsi="Cambria Math"/>
                <w:bCs/>
                <w:i/>
              </w:rPr>
            </m:ctrlPr>
          </m:naryPr>
          <m:sub>
            <m:r>
              <w:rPr>
                <w:rFonts w:ascii="Cambria Math" w:hAnsi="Cambria Math"/>
              </w:rPr>
              <m:t>p=2</m:t>
            </m:r>
          </m:sub>
          <m:sup>
            <m:r>
              <w:rPr>
                <w:rFonts w:ascii="Cambria Math" w:hAnsi="Cambria Math"/>
              </w:rPr>
              <m:t>P</m:t>
            </m:r>
          </m:sup>
          <m:e>
            <m:sSub>
              <m:sSubPr>
                <m:ctrlPr>
                  <w:rPr>
                    <w:rFonts w:ascii="Cambria Math" w:hAnsi="Cambria Math"/>
                    <w:bCs/>
                    <w:i/>
                  </w:rPr>
                </m:ctrlPr>
              </m:sSubPr>
              <m:e>
                <m:r>
                  <w:rPr>
                    <w:rFonts w:ascii="Cambria Math" w:hAnsi="Cambria Math"/>
                  </w:rPr>
                  <m:t>π</m:t>
                </m:r>
              </m:e>
              <m:sub>
                <m:r>
                  <w:rPr>
                    <w:rFonts w:ascii="Cambria Math" w:hAnsi="Cambria Math"/>
                  </w:rPr>
                  <m:t>pj</m:t>
                </m:r>
              </m:sub>
            </m:sSub>
            <m:d>
              <m:dPr>
                <m:ctrlPr>
                  <w:rPr>
                    <w:rFonts w:ascii="Cambria Math" w:hAnsi="Cambria Math"/>
                    <w:bCs/>
                    <w:i/>
                  </w:rPr>
                </m:ctrlPr>
              </m:dPr>
              <m:e>
                <m:sSub>
                  <m:sSubPr>
                    <m:ctrlPr>
                      <w:rPr>
                        <w:rFonts w:ascii="Cambria Math" w:hAnsi="Cambria Math"/>
                        <w:bCs/>
                        <w:i/>
                      </w:rPr>
                    </m:ctrlPr>
                  </m:sSubPr>
                  <m:e>
                    <m:r>
                      <w:rPr>
                        <w:rFonts w:ascii="Cambria Math" w:hAnsi="Cambria Math"/>
                      </w:rPr>
                      <m:t>a</m:t>
                    </m:r>
                  </m:e>
                  <m:sub>
                    <m:r>
                      <w:rPr>
                        <w:rFonts w:ascii="Cambria Math" w:hAnsi="Cambria Math"/>
                      </w:rPr>
                      <m:t>pij</m:t>
                    </m:r>
                  </m:sub>
                </m:sSub>
                <m:r>
                  <w:rPr>
                    <w:rFonts w:ascii="Cambria Math" w:hAnsi="Cambria Math"/>
                  </w:rPr>
                  <m:t>-</m:t>
                </m:r>
                <m:sSub>
                  <m:sSubPr>
                    <m:ctrlPr>
                      <w:rPr>
                        <w:rFonts w:ascii="Cambria Math" w:hAnsi="Cambria Math"/>
                        <w:bCs/>
                        <w:i/>
                      </w:rPr>
                    </m:ctrlPr>
                  </m:sSubPr>
                  <m:e>
                    <m:acc>
                      <m:accPr>
                        <m:chr m:val="̅"/>
                        <m:ctrlPr>
                          <w:rPr>
                            <w:rFonts w:ascii="Cambria Math" w:hAnsi="Cambria Math"/>
                            <w:bCs/>
                            <w:i/>
                          </w:rPr>
                        </m:ctrlPr>
                      </m:accPr>
                      <m:e>
                        <m:r>
                          <w:rPr>
                            <w:rFonts w:ascii="Cambria Math" w:hAnsi="Cambria Math"/>
                          </w:rPr>
                          <m:t>a</m:t>
                        </m:r>
                      </m:e>
                    </m:acc>
                  </m:e>
                  <m:sub>
                    <m:r>
                      <w:rPr>
                        <w:rFonts w:ascii="Cambria Math" w:hAnsi="Cambria Math"/>
                      </w:rPr>
                      <m:t>p.j</m:t>
                    </m:r>
                  </m:sub>
                </m:sSub>
              </m:e>
            </m:d>
          </m:e>
        </m:nary>
        <m:r>
          <w:rPr>
            <w:rFonts w:ascii="Cambria Math" w:hAnsi="Cambria Math"/>
          </w:rPr>
          <m:t>+</m:t>
        </m:r>
        <m:sSub>
          <m:sSubPr>
            <m:ctrlPr>
              <w:rPr>
                <w:rFonts w:ascii="Cambria Math" w:hAnsi="Cambria Math"/>
                <w:bCs/>
                <w:i/>
              </w:rPr>
            </m:ctrlPr>
          </m:sSubPr>
          <m:e>
            <m:r>
              <w:rPr>
                <w:rFonts w:ascii="Cambria Math" w:hAnsi="Cambria Math"/>
              </w:rPr>
              <m:t>ε</m:t>
            </m:r>
          </m:e>
          <m:sub>
            <m:r>
              <w:rPr>
                <w:rFonts w:ascii="Cambria Math" w:hAnsi="Cambria Math"/>
              </w:rPr>
              <m:t>ij</m:t>
            </m:r>
          </m:sub>
        </m:sSub>
      </m:oMath>
      <w:r w:rsidRPr="000469D3">
        <w:rPr>
          <w:rFonts w:ascii="Times New Roman" w:hAnsi="Times New Roman"/>
          <w:bCs/>
        </w:rPr>
        <w:t xml:space="preserve">   </w:t>
      </w:r>
      <w:r w:rsidR="001B66CC">
        <w:rPr>
          <w:rFonts w:ascii="Times New Roman" w:hAnsi="Times New Roman"/>
          <w:bCs/>
        </w:rPr>
        <w:t xml:space="preserve">         </w:t>
      </w:r>
      <w:r w:rsidRPr="000469D3">
        <w:rPr>
          <w:rFonts w:ascii="Times New Roman" w:hAnsi="Times New Roman"/>
          <w:bCs/>
        </w:rPr>
        <w:t>(1a)</w:t>
      </w:r>
    </w:p>
    <w:p w:rsidR="000469D3" w:rsidRPr="000469D3" w:rsidP="001B66CC" w14:paraId="08BF256C" w14:textId="5831396E">
      <w:pPr>
        <w:suppressAutoHyphens/>
        <w:ind w:firstLine="360"/>
        <w:rPr>
          <w:rFonts w:ascii="Times New Roman" w:hAnsi="Times New Roman"/>
          <w:bCs/>
        </w:rPr>
      </w:pPr>
      <w:r w:rsidRPr="000469D3">
        <w:rPr>
          <w:rFonts w:ascii="Times New Roman" w:hAnsi="Times New Roman"/>
          <w:bCs/>
        </w:rPr>
        <w:t xml:space="preserve">Level 2 (schools):      </w:t>
      </w:r>
      <m:oMath>
        <m:sSub>
          <m:sSubPr>
            <m:ctrlPr>
              <w:rPr>
                <w:rFonts w:ascii="Cambria Math" w:hAnsi="Cambria Math"/>
                <w:bCs/>
                <w:i/>
              </w:rPr>
            </m:ctrlPr>
          </m:sSubPr>
          <m:e>
            <m:r>
              <w:rPr>
                <w:rFonts w:ascii="Cambria Math" w:hAnsi="Cambria Math"/>
              </w:rPr>
              <m:t>π</m:t>
            </m:r>
          </m:e>
          <m:sub>
            <m:r>
              <w:rPr>
                <w:rFonts w:ascii="Cambria Math" w:hAnsi="Cambria Math"/>
              </w:rPr>
              <m:t>0j</m:t>
            </m:r>
          </m:sub>
        </m:sSub>
        <m:r>
          <w:rPr>
            <w:rFonts w:ascii="Cambria Math" w:hAnsi="Cambria Math"/>
          </w:rPr>
          <m:t>=</m:t>
        </m:r>
        <m:sSub>
          <m:sSubPr>
            <m:ctrlPr>
              <w:rPr>
                <w:rFonts w:ascii="Cambria Math" w:hAnsi="Cambria Math"/>
                <w:bCs/>
                <w:i/>
              </w:rPr>
            </m:ctrlPr>
          </m:sSubPr>
          <m:e>
            <m:r>
              <w:rPr>
                <w:rFonts w:ascii="Cambria Math" w:hAnsi="Cambria Math"/>
              </w:rPr>
              <m:t>β</m:t>
            </m:r>
          </m:e>
          <m:sub>
            <m:r>
              <w:rPr>
                <w:rFonts w:ascii="Cambria Math" w:hAnsi="Cambria Math"/>
              </w:rPr>
              <m:t>00</m:t>
            </m:r>
          </m:sub>
        </m:sSub>
        <m:r>
          <w:rPr>
            <w:rFonts w:ascii="Cambria Math" w:hAnsi="Cambria Math"/>
          </w:rPr>
          <m:t>+</m:t>
        </m:r>
        <m:sSub>
          <m:sSubPr>
            <m:ctrlPr>
              <w:rPr>
                <w:rFonts w:ascii="Cambria Math" w:hAnsi="Cambria Math"/>
                <w:bCs/>
                <w:i/>
              </w:rPr>
            </m:ctrlPr>
          </m:sSubPr>
          <m:e>
            <m:r>
              <w:rPr>
                <w:rFonts w:ascii="Cambria Math" w:hAnsi="Cambria Math"/>
              </w:rPr>
              <m:t>β</m:t>
            </m:r>
          </m:e>
          <m:sub>
            <m:r>
              <w:rPr>
                <w:rFonts w:ascii="Cambria Math" w:hAnsi="Cambria Math"/>
              </w:rPr>
              <m:t>01</m:t>
            </m:r>
          </m:sub>
        </m:sSub>
        <m:sSub>
          <m:sSubPr>
            <m:ctrlPr>
              <w:rPr>
                <w:rFonts w:ascii="Cambria Math" w:hAnsi="Cambria Math"/>
                <w:bCs/>
                <w:i/>
              </w:rPr>
            </m:ctrlPr>
          </m:sSubPr>
          <m:e>
            <m:r>
              <w:rPr>
                <w:rFonts w:ascii="Cambria Math" w:hAnsi="Cambria Math"/>
              </w:rPr>
              <m:t>Treat</m:t>
            </m:r>
          </m:e>
          <m:sub>
            <m:r>
              <w:rPr>
                <w:rFonts w:ascii="Cambria Math" w:hAnsi="Cambria Math"/>
              </w:rPr>
              <m:t>j</m:t>
            </m:r>
          </m:sub>
        </m:sSub>
        <m:r>
          <w:rPr>
            <w:rFonts w:ascii="Cambria Math" w:hAnsi="Cambria Math"/>
          </w:rPr>
          <m:t xml:space="preserve">+ </m:t>
        </m:r>
        <m:nary>
          <m:naryPr>
            <m:chr m:val="∑"/>
            <m:limLoc m:val="undOvr"/>
            <m:ctrlPr>
              <w:rPr>
                <w:rFonts w:ascii="Cambria Math" w:hAnsi="Cambria Math"/>
                <w:b/>
                <w:bCs/>
                <w:i/>
              </w:rPr>
            </m:ctrlPr>
          </m:naryPr>
          <m:sub>
            <m:r>
              <m:rPr>
                <m:sty m:val="bi"/>
              </m:rPr>
              <w:rPr>
                <w:rFonts w:ascii="Cambria Math" w:hAnsi="Cambria Math"/>
              </w:rPr>
              <m:t>p=2</m:t>
            </m:r>
          </m:sub>
          <m:sup>
            <m:r>
              <m:rPr>
                <m:sty m:val="bi"/>
              </m:rPr>
              <w:rPr>
                <w:rFonts w:ascii="Cambria Math" w:hAnsi="Cambria Math"/>
              </w:rPr>
              <m:t>P</m:t>
            </m:r>
          </m:sup>
          <m:e>
            <m:sSub>
              <m:sSubPr>
                <m:ctrlPr>
                  <w:rPr>
                    <w:rFonts w:ascii="Cambria Math" w:hAnsi="Cambria Math"/>
                    <w:bCs/>
                    <w:i/>
                  </w:rPr>
                </m:ctrlPr>
              </m:sSubPr>
              <m:e>
                <m:r>
                  <w:rPr>
                    <w:rFonts w:ascii="Cambria Math" w:hAnsi="Cambria Math"/>
                  </w:rPr>
                  <m:t>β</m:t>
                </m:r>
              </m:e>
              <m:sub>
                <m:r>
                  <w:rPr>
                    <w:rFonts w:ascii="Cambria Math" w:hAnsi="Cambria Math"/>
                  </w:rPr>
                  <m:t>0p</m:t>
                </m:r>
              </m:sub>
            </m:sSub>
          </m:e>
        </m:nary>
        <m:sSub>
          <m:sSubPr>
            <m:ctrlPr>
              <w:rPr>
                <w:rFonts w:ascii="Cambria Math" w:hAnsi="Cambria Math"/>
                <w:bCs/>
                <w:i/>
              </w:rPr>
            </m:ctrlPr>
          </m:sSubPr>
          <m:e>
            <m:r>
              <w:rPr>
                <w:rFonts w:ascii="Cambria Math" w:hAnsi="Cambria Math"/>
              </w:rPr>
              <m:t>X</m:t>
            </m:r>
          </m:e>
          <m:sub>
            <m:r>
              <w:rPr>
                <w:rFonts w:ascii="Cambria Math" w:hAnsi="Cambria Math"/>
              </w:rPr>
              <m:t>pj</m:t>
            </m:r>
          </m:sub>
        </m:sSub>
        <m:r>
          <w:rPr>
            <w:rFonts w:ascii="Cambria Math" w:hAnsi="Cambria Math"/>
          </w:rPr>
          <m:t>+</m:t>
        </m:r>
        <m:nary>
          <m:naryPr>
            <m:chr m:val="∑"/>
            <m:limLoc m:val="undOvr"/>
            <m:ctrlPr>
              <w:rPr>
                <w:rFonts w:ascii="Cambria Math" w:hAnsi="Cambria Math"/>
                <w:b/>
                <w:bCs/>
                <w:i/>
              </w:rPr>
            </m:ctrlPr>
          </m:naryPr>
          <m:sub>
            <m:r>
              <m:rPr>
                <m:sty m:val="bi"/>
              </m:rPr>
              <w:rPr>
                <w:rFonts w:ascii="Cambria Math" w:hAnsi="Cambria Math"/>
              </w:rPr>
              <m:t>q=P+1</m:t>
            </m:r>
          </m:sub>
          <m:sup>
            <m:r>
              <m:rPr>
                <m:sty m:val="bi"/>
              </m:rPr>
              <w:rPr>
                <w:rFonts w:ascii="Cambria Math" w:hAnsi="Cambria Math"/>
              </w:rPr>
              <m:t>Q</m:t>
            </m:r>
          </m:sup>
          <m:e>
            <m:sSub>
              <m:sSubPr>
                <m:ctrlPr>
                  <w:rPr>
                    <w:rFonts w:ascii="Cambria Math" w:hAnsi="Cambria Math"/>
                    <w:bCs/>
                    <w:i/>
                  </w:rPr>
                </m:ctrlPr>
              </m:sSubPr>
              <m:e>
                <m:r>
                  <w:rPr>
                    <w:rFonts w:ascii="Cambria Math" w:hAnsi="Cambria Math"/>
                  </w:rPr>
                  <m:t>β</m:t>
                </m:r>
              </m:e>
              <m:sub>
                <m:r>
                  <w:rPr>
                    <w:rFonts w:ascii="Cambria Math" w:hAnsi="Cambria Math"/>
                  </w:rPr>
                  <m:t>0q</m:t>
                </m:r>
              </m:sub>
            </m:sSub>
          </m:e>
        </m:nary>
        <m:sSub>
          <m:sSubPr>
            <m:ctrlPr>
              <w:rPr>
                <w:rFonts w:ascii="Cambria Math" w:hAnsi="Cambria Math"/>
                <w:bCs/>
                <w:i/>
              </w:rPr>
            </m:ctrlPr>
          </m:sSubPr>
          <m:e>
            <m:r>
              <w:rPr>
                <w:rFonts w:ascii="Cambria Math" w:hAnsi="Cambria Math"/>
              </w:rPr>
              <m:t>D</m:t>
            </m:r>
          </m:e>
          <m:sub>
            <m:r>
              <w:rPr>
                <w:rFonts w:ascii="Cambria Math" w:hAnsi="Cambria Math"/>
              </w:rPr>
              <m:t>qj</m:t>
            </m:r>
          </m:sub>
        </m:sSub>
        <m:r>
          <w:rPr>
            <w:rFonts w:ascii="Cambria Math" w:hAnsi="Cambria Math"/>
          </w:rPr>
          <m:t>+</m:t>
        </m:r>
        <m:sSub>
          <m:sSubPr>
            <m:ctrlPr>
              <w:rPr>
                <w:rFonts w:ascii="Cambria Math" w:hAnsi="Cambria Math"/>
                <w:bCs/>
                <w:i/>
              </w:rPr>
            </m:ctrlPr>
          </m:sSubPr>
          <m:e>
            <m:r>
              <w:rPr>
                <w:rFonts w:ascii="Cambria Math" w:hAnsi="Cambria Math"/>
              </w:rPr>
              <m:t>ω</m:t>
            </m:r>
          </m:e>
          <m:sub>
            <m:r>
              <w:rPr>
                <w:rFonts w:ascii="Cambria Math" w:hAnsi="Cambria Math"/>
              </w:rPr>
              <m:t>0j</m:t>
            </m:r>
          </m:sub>
        </m:sSub>
      </m:oMath>
      <w:r w:rsidRPr="000469D3">
        <w:rPr>
          <w:rFonts w:ascii="Times New Roman" w:hAnsi="Times New Roman"/>
          <w:bCs/>
        </w:rPr>
        <w:t xml:space="preserve">  (1b)</w:t>
      </w:r>
    </w:p>
    <w:p w:rsidR="000469D3" w:rsidRPr="000469D3" w:rsidP="000469D3" w14:paraId="280B6791" w14:textId="5C0FDEB0">
      <w:pPr>
        <w:suppressAutoHyphens/>
        <w:rPr>
          <w:rFonts w:ascii="Times New Roman" w:hAnsi="Times New Roman"/>
          <w:bCs/>
        </w:rPr>
      </w:pPr>
      <w:r w:rsidRPr="000469D3">
        <w:rPr>
          <w:rFonts w:ascii="Times New Roman" w:hAnsi="Times New Roman"/>
          <w:bCs/>
        </w:rPr>
        <w:t xml:space="preserve">     </w:t>
      </w:r>
      <w:r w:rsidR="00590772">
        <w:rPr>
          <w:rFonts w:ascii="Times New Roman" w:hAnsi="Times New Roman"/>
          <w:bCs/>
        </w:rPr>
        <w:t xml:space="preserve">                                  </w:t>
      </w:r>
      <w:r w:rsidRPr="000469D3">
        <w:rPr>
          <w:rFonts w:ascii="Times New Roman" w:hAnsi="Times New Roman"/>
          <w:bCs/>
        </w:rPr>
        <w:t xml:space="preserve">  </w:t>
      </w:r>
      <m:oMath>
        <m:sSub>
          <m:sSubPr>
            <m:ctrlPr>
              <w:rPr>
                <w:rFonts w:ascii="Cambria Math" w:hAnsi="Cambria Math"/>
                <w:bCs/>
                <w:i/>
              </w:rPr>
            </m:ctrlPr>
          </m:sSubPr>
          <m:e>
            <m:r>
              <w:rPr>
                <w:rFonts w:ascii="Cambria Math" w:hAnsi="Cambria Math"/>
              </w:rPr>
              <m:t>π</m:t>
            </m:r>
          </m:e>
          <m:sub>
            <m:r>
              <w:rPr>
                <w:rFonts w:ascii="Cambria Math" w:hAnsi="Cambria Math"/>
              </w:rPr>
              <m:t>pj</m:t>
            </m:r>
          </m:sub>
        </m:sSub>
        <m:r>
          <w:rPr>
            <w:rFonts w:ascii="Cambria Math" w:hAnsi="Cambria Math"/>
          </w:rPr>
          <m:t>=</m:t>
        </m:r>
        <m:sSub>
          <m:sSubPr>
            <m:ctrlPr>
              <w:rPr>
                <w:rFonts w:ascii="Cambria Math" w:hAnsi="Cambria Math"/>
                <w:bCs/>
                <w:i/>
              </w:rPr>
            </m:ctrlPr>
          </m:sSubPr>
          <m:e>
            <m:r>
              <w:rPr>
                <w:rFonts w:ascii="Cambria Math" w:hAnsi="Cambria Math"/>
              </w:rPr>
              <m:t>β</m:t>
            </m:r>
          </m:e>
          <m:sub>
            <m:r>
              <w:rPr>
                <w:rFonts w:ascii="Cambria Math" w:hAnsi="Cambria Math"/>
              </w:rPr>
              <m:t>p0</m:t>
            </m:r>
          </m:sub>
        </m:sSub>
      </m:oMath>
      <w:r w:rsidRPr="000469D3">
        <w:rPr>
          <w:rFonts w:ascii="Times New Roman" w:hAnsi="Times New Roman"/>
          <w:bCs/>
        </w:rPr>
        <w:t xml:space="preserve"> , </w:t>
      </w:r>
      <w:r w:rsidRPr="000469D3">
        <w:rPr>
          <w:rFonts w:ascii="Times New Roman" w:hAnsi="Times New Roman"/>
          <w:bCs/>
          <w:i/>
          <w:iCs/>
        </w:rPr>
        <w:t>p = 1, . . ., P</w:t>
      </w:r>
      <w:r w:rsidRPr="000469D3">
        <w:rPr>
          <w:rFonts w:ascii="Times New Roman" w:hAnsi="Times New Roman"/>
          <w:bCs/>
        </w:rPr>
        <w:t xml:space="preserve">  </w:t>
      </w:r>
      <w:r w:rsidRPr="000469D3">
        <w:rPr>
          <w:rFonts w:ascii="Times New Roman" w:hAnsi="Times New Roman"/>
          <w:bCs/>
        </w:rPr>
        <w:tab/>
      </w:r>
      <w:r w:rsidRPr="000469D3">
        <w:rPr>
          <w:rFonts w:ascii="Times New Roman" w:hAnsi="Times New Roman"/>
          <w:bCs/>
        </w:rPr>
        <w:tab/>
        <w:t xml:space="preserve">         </w:t>
      </w:r>
      <w:r w:rsidR="00A2248B">
        <w:rPr>
          <w:rFonts w:ascii="Times New Roman" w:hAnsi="Times New Roman"/>
          <w:bCs/>
        </w:rPr>
        <w:t xml:space="preserve">                                            </w:t>
      </w:r>
      <w:r w:rsidRPr="000469D3">
        <w:rPr>
          <w:rFonts w:ascii="Times New Roman" w:hAnsi="Times New Roman"/>
          <w:bCs/>
        </w:rPr>
        <w:t>(1c)</w:t>
      </w:r>
    </w:p>
    <w:p w:rsidR="001B66CC" w:rsidP="000469D3" w14:paraId="1FCA5541" w14:textId="77777777">
      <w:pPr>
        <w:suppressAutoHyphens/>
        <w:rPr>
          <w:rFonts w:ascii="Times New Roman" w:hAnsi="Times New Roman"/>
          <w:bCs/>
        </w:rPr>
      </w:pPr>
    </w:p>
    <w:p w:rsidR="000469D3" w:rsidP="000469D3" w14:paraId="5890FC84" w14:textId="54024D2F">
      <w:pPr>
        <w:suppressAutoHyphens/>
        <w:rPr>
          <w:rFonts w:ascii="Times New Roman" w:hAnsi="Times New Roman"/>
          <w:bCs/>
        </w:rPr>
      </w:pPr>
      <w:r w:rsidRPr="000469D3">
        <w:rPr>
          <w:rFonts w:ascii="Times New Roman" w:hAnsi="Times New Roman"/>
          <w:bCs/>
        </w:rPr>
        <w:t xml:space="preserve">where </w:t>
      </w:r>
      <m:oMath>
        <m:sSub>
          <m:sSubPr>
            <m:ctrlPr>
              <w:rPr>
                <w:rFonts w:ascii="Cambria Math" w:hAnsi="Cambria Math"/>
                <w:bCs/>
                <w:i/>
              </w:rPr>
            </m:ctrlPr>
          </m:sSubPr>
          <m:e>
            <m:r>
              <w:rPr>
                <w:rFonts w:ascii="Cambria Math" w:hAnsi="Cambria Math"/>
              </w:rPr>
              <m:t>Y</m:t>
            </m:r>
          </m:e>
          <m:sub>
            <m:r>
              <w:rPr>
                <w:rFonts w:ascii="Cambria Math" w:hAnsi="Cambria Math"/>
              </w:rPr>
              <m:t>ij</m:t>
            </m:r>
          </m:sub>
        </m:sSub>
      </m:oMath>
      <w:r w:rsidRPr="000469D3">
        <w:rPr>
          <w:rFonts w:ascii="Times New Roman" w:hAnsi="Times New Roman"/>
          <w:bCs/>
        </w:rPr>
        <w:t xml:space="preserve"> is the student assessment for student </w:t>
      </w:r>
      <w:r w:rsidRPr="000469D3">
        <w:rPr>
          <w:rFonts w:ascii="Times New Roman" w:hAnsi="Times New Roman"/>
          <w:bCs/>
          <w:i/>
        </w:rPr>
        <w:t>i</w:t>
      </w:r>
      <w:r w:rsidRPr="000469D3">
        <w:rPr>
          <w:rFonts w:ascii="Times New Roman" w:hAnsi="Times New Roman"/>
          <w:bCs/>
        </w:rPr>
        <w:t xml:space="preserve"> in school </w:t>
      </w:r>
      <w:r w:rsidRPr="000469D3">
        <w:rPr>
          <w:rFonts w:ascii="Times New Roman" w:hAnsi="Times New Roman"/>
          <w:bCs/>
          <w:i/>
        </w:rPr>
        <w:t>j</w:t>
      </w:r>
      <w:r w:rsidRPr="000469D3">
        <w:rPr>
          <w:rFonts w:ascii="Times New Roman" w:hAnsi="Times New Roman"/>
          <w:bCs/>
        </w:rPr>
        <w:t xml:space="preserve"> at follow-up period, and </w:t>
      </w:r>
      <m:oMath>
        <m:sSub>
          <m:sSubPr>
            <m:ctrlPr>
              <w:rPr>
                <w:rFonts w:ascii="Cambria Math" w:hAnsi="Cambria Math"/>
                <w:bCs/>
                <w:i/>
              </w:rPr>
            </m:ctrlPr>
          </m:sSubPr>
          <m:e>
            <m:r>
              <w:rPr>
                <w:rFonts w:ascii="Cambria Math" w:hAnsi="Cambria Math"/>
              </w:rPr>
              <m:t>PriorAch</m:t>
            </m:r>
          </m:e>
          <m:sub>
            <m:r>
              <w:rPr>
                <w:rFonts w:ascii="Cambria Math" w:hAnsi="Cambria Math"/>
              </w:rPr>
              <m:t>ij</m:t>
            </m:r>
          </m:sub>
        </m:sSub>
      </m:oMath>
      <w:r w:rsidRPr="000469D3">
        <w:rPr>
          <w:rFonts w:ascii="Times New Roman" w:hAnsi="Times New Roman"/>
          <w:bCs/>
        </w:rPr>
        <w:t xml:space="preserve">is the student’s baseline score on an assessment of the same subject for student </w:t>
      </w:r>
      <w:r w:rsidRPr="000469D3">
        <w:rPr>
          <w:rFonts w:ascii="Times New Roman" w:hAnsi="Times New Roman"/>
          <w:bCs/>
          <w:i/>
        </w:rPr>
        <w:t>i</w:t>
      </w:r>
      <w:r w:rsidRPr="000469D3">
        <w:rPr>
          <w:rFonts w:ascii="Times New Roman" w:hAnsi="Times New Roman"/>
          <w:bCs/>
        </w:rPr>
        <w:t xml:space="preserve"> in school </w:t>
      </w:r>
      <w:r w:rsidRPr="000469D3">
        <w:rPr>
          <w:rFonts w:ascii="Times New Roman" w:hAnsi="Times New Roman"/>
          <w:bCs/>
          <w:i/>
        </w:rPr>
        <w:t>j</w:t>
      </w:r>
      <w:r w:rsidRPr="000469D3">
        <w:rPr>
          <w:rFonts w:ascii="Times New Roman" w:hAnsi="Times New Roman"/>
          <w:bCs/>
        </w:rPr>
        <w:t xml:space="preserve"> in the previous time period. The term </w:t>
      </w:r>
      <m:oMath>
        <m:sSub>
          <m:sSubPr>
            <m:ctrlPr>
              <w:rPr>
                <w:rFonts w:ascii="Cambria Math" w:hAnsi="Cambria Math"/>
                <w:bCs/>
                <w:i/>
              </w:rPr>
            </m:ctrlPr>
          </m:sSubPr>
          <m:e>
            <m:r>
              <w:rPr>
                <w:rFonts w:ascii="Cambria Math" w:hAnsi="Cambria Math"/>
              </w:rPr>
              <m:t>a</m:t>
            </m:r>
          </m:e>
          <m:sub>
            <m:r>
              <w:rPr>
                <w:rFonts w:ascii="Cambria Math" w:hAnsi="Cambria Math"/>
              </w:rPr>
              <m:t>pij</m:t>
            </m:r>
          </m:sub>
        </m:sSub>
      </m:oMath>
      <w:r w:rsidRPr="000469D3">
        <w:rPr>
          <w:rFonts w:ascii="Times New Roman" w:hAnsi="Times New Roman"/>
          <w:bCs/>
        </w:rPr>
        <w:t xml:space="preserve"> are student variables that influence the outcome of interest measured at baseline, such as FRPL eligibility, race, ethnicity, gender, English learner status, IEP status, age, and an indicator for student grade level, and </w:t>
      </w:r>
      <m:oMath>
        <m:sSub>
          <m:sSubPr>
            <m:ctrlPr>
              <w:rPr>
                <w:rFonts w:ascii="Cambria Math" w:hAnsi="Cambria Math"/>
                <w:bCs/>
                <w:i/>
              </w:rPr>
            </m:ctrlPr>
          </m:sSubPr>
          <m:e>
            <m:acc>
              <m:accPr>
                <m:chr m:val="̅"/>
                <m:ctrlPr>
                  <w:rPr>
                    <w:rFonts w:ascii="Cambria Math" w:hAnsi="Cambria Math"/>
                    <w:bCs/>
                    <w:i/>
                  </w:rPr>
                </m:ctrlPr>
              </m:accPr>
              <m:e>
                <m:r>
                  <w:rPr>
                    <w:rFonts w:ascii="Cambria Math" w:hAnsi="Cambria Math"/>
                  </w:rPr>
                  <m:t>a</m:t>
                </m:r>
              </m:e>
            </m:acc>
          </m:e>
          <m:sub>
            <m:r>
              <w:rPr>
                <w:rFonts w:ascii="Cambria Math" w:hAnsi="Cambria Math"/>
              </w:rPr>
              <m:t>p.j</m:t>
            </m:r>
          </m:sub>
        </m:sSub>
      </m:oMath>
      <w:r w:rsidRPr="000469D3">
        <w:rPr>
          <w:rFonts w:ascii="Times New Roman" w:hAnsi="Times New Roman"/>
          <w:bCs/>
        </w:rPr>
        <w:t xml:space="preserve"> is the school-level average of the student variable. The term  </w:t>
      </w:r>
      <m:oMath>
        <m:sSub>
          <m:sSubPr>
            <m:ctrlPr>
              <w:rPr>
                <w:rFonts w:ascii="Cambria Math" w:hAnsi="Cambria Math"/>
                <w:bCs/>
                <w:i/>
              </w:rPr>
            </m:ctrlPr>
          </m:sSubPr>
          <m:e>
            <m:r>
              <w:rPr>
                <w:rFonts w:ascii="Cambria Math" w:hAnsi="Cambria Math"/>
              </w:rPr>
              <m:t>Treat</m:t>
            </m:r>
          </m:e>
          <m:sub>
            <m:r>
              <w:rPr>
                <w:rFonts w:ascii="Cambria Math" w:hAnsi="Cambria Math"/>
              </w:rPr>
              <m:t>j</m:t>
            </m:r>
          </m:sub>
        </m:sSub>
      </m:oMath>
      <w:r w:rsidRPr="000469D3">
        <w:rPr>
          <w:rFonts w:ascii="Times New Roman" w:hAnsi="Times New Roman"/>
          <w:bCs/>
        </w:rPr>
        <w:t xml:space="preserve"> is an indicator variable taking a value of 1 for treatment-group schools and 0 for control-group schools. The term  </w:t>
      </w:r>
      <m:oMath>
        <m:sSub>
          <m:sSubPr>
            <m:ctrlPr>
              <w:rPr>
                <w:rFonts w:ascii="Cambria Math" w:hAnsi="Cambria Math"/>
                <w:bCs/>
                <w:i/>
              </w:rPr>
            </m:ctrlPr>
          </m:sSubPr>
          <m:e>
            <m:r>
              <w:rPr>
                <w:rFonts w:ascii="Cambria Math" w:hAnsi="Cambria Math"/>
              </w:rPr>
              <m:t>X</m:t>
            </m:r>
          </m:e>
          <m:sub>
            <m:r>
              <w:rPr>
                <w:rFonts w:ascii="Cambria Math" w:hAnsi="Cambria Math"/>
              </w:rPr>
              <m:t>pj</m:t>
            </m:r>
          </m:sub>
        </m:sSub>
      </m:oMath>
      <w:r w:rsidRPr="000469D3">
        <w:rPr>
          <w:rFonts w:ascii="Times New Roman" w:hAnsi="Times New Roman"/>
          <w:bCs/>
        </w:rPr>
        <w:t xml:space="preserve"> are school-</w:t>
      </w:r>
      <w:r w:rsidRPr="000469D3">
        <w:rPr>
          <w:rFonts w:ascii="Times New Roman" w:hAnsi="Times New Roman"/>
          <w:bCs/>
        </w:rPr>
        <w:t>level covariates (</w:t>
      </w:r>
      <w:r w:rsidRPr="000469D3">
        <w:rPr>
          <w:rFonts w:ascii="Times New Roman" w:hAnsi="Times New Roman"/>
          <w:bCs/>
          <w:i/>
        </w:rPr>
        <w:t>p = 2, . . ., P</w:t>
      </w:r>
      <w:r w:rsidRPr="000469D3">
        <w:rPr>
          <w:rFonts w:ascii="Times New Roman" w:hAnsi="Times New Roman"/>
          <w:bCs/>
        </w:rPr>
        <w:t xml:space="preserve">), including outcome measures collected at baseline and school characteristics. School characteristics will include school-level average reading achievement scores from the prior year (based on benchmark or standardized state assessments), the demographic composition of the school, school enrollment, and any other relevant measures available from data sources measured at baseline (e.g., principal experience or school professional development opportunities). </w:t>
      </w:r>
      <m:oMath>
        <m:sSub>
          <m:sSubPr>
            <m:ctrlPr>
              <w:rPr>
                <w:rFonts w:ascii="Cambria Math" w:hAnsi="Cambria Math"/>
                <w:bCs/>
                <w:i/>
              </w:rPr>
            </m:ctrlPr>
          </m:sSubPr>
          <m:e>
            <m:r>
              <w:rPr>
                <w:rFonts w:ascii="Cambria Math" w:hAnsi="Cambria Math"/>
              </w:rPr>
              <m:t>D</m:t>
            </m:r>
          </m:e>
          <m:sub>
            <m:r>
              <w:rPr>
                <w:rFonts w:ascii="Cambria Math" w:hAnsi="Cambria Math"/>
              </w:rPr>
              <m:t>pj</m:t>
            </m:r>
          </m:sub>
        </m:sSub>
      </m:oMath>
      <w:r w:rsidRPr="000469D3">
        <w:rPr>
          <w:rFonts w:ascii="Times New Roman" w:hAnsi="Times New Roman"/>
          <w:bCs/>
        </w:rPr>
        <w:t xml:space="preserve"> are district fixed effect indicators, which will be entered as K -1 dummy variables, where K is the number of districts. The error term in Equation 1a, </w:t>
      </w:r>
      <m:oMath>
        <m:sSub>
          <m:sSubPr>
            <m:ctrlPr>
              <w:rPr>
                <w:rFonts w:ascii="Cambria Math" w:hAnsi="Cambria Math"/>
                <w:bCs/>
                <w:i/>
              </w:rPr>
            </m:ctrlPr>
          </m:sSubPr>
          <m:e>
            <m:r>
              <w:rPr>
                <w:rFonts w:ascii="Cambria Math" w:hAnsi="Cambria Math"/>
              </w:rPr>
              <m:t>ε</m:t>
            </m:r>
          </m:e>
          <m:sub>
            <m:r>
              <w:rPr>
                <w:rFonts w:ascii="Cambria Math" w:hAnsi="Cambria Math"/>
              </w:rPr>
              <m:t>ij</m:t>
            </m:r>
          </m:sub>
        </m:sSub>
      </m:oMath>
      <w:r w:rsidRPr="000469D3">
        <w:rPr>
          <w:rFonts w:ascii="Times New Roman" w:hAnsi="Times New Roman"/>
          <w:bCs/>
        </w:rPr>
        <w:t xml:space="preserve">, is assumed to be distributed </w:t>
      </w:r>
      <m:oMath>
        <m:r>
          <m:rPr>
            <m:sty m:val="p"/>
          </m:rPr>
          <w:rPr>
            <w:rFonts w:ascii="Cambria Math" w:hAnsi="Cambria Math"/>
          </w:rPr>
          <m:t>Ν(0,</m:t>
        </m:r>
        <m:sSup>
          <m:sSupPr>
            <m:ctrlPr>
              <w:rPr>
                <w:rFonts w:ascii="Cambria Math" w:hAnsi="Cambria Math"/>
                <w:bCs/>
              </w:rPr>
            </m:ctrlPr>
          </m:sSupPr>
          <m:e>
            <m:r>
              <m:rPr>
                <m:sty m:val="p"/>
              </m:rPr>
              <w:rPr>
                <w:rFonts w:ascii="Cambria Math" w:hAnsi="Cambria Math"/>
              </w:rPr>
              <m:t>σ</m:t>
            </m:r>
          </m:e>
          <m:sup>
            <m:r>
              <w:rPr>
                <w:rFonts w:ascii="Cambria Math" w:hAnsi="Cambria Math"/>
              </w:rPr>
              <m:t>2</m:t>
            </m:r>
          </m:sup>
        </m:sSup>
        <m:r>
          <w:rPr>
            <w:rFonts w:ascii="Cambria Math" w:hAnsi="Cambria Math"/>
          </w:rPr>
          <m:t>)</m:t>
        </m:r>
      </m:oMath>
      <w:r w:rsidRPr="000469D3">
        <w:rPr>
          <w:rFonts w:ascii="Times New Roman" w:hAnsi="Times New Roman"/>
          <w:bCs/>
        </w:rPr>
        <w:t xml:space="preserve">, and the error term in Equation 1b, </w:t>
      </w:r>
      <m:oMath>
        <m:sSub>
          <m:sSubPr>
            <m:ctrlPr>
              <w:rPr>
                <w:rFonts w:ascii="Cambria Math" w:hAnsi="Cambria Math"/>
                <w:bCs/>
                <w:i/>
              </w:rPr>
            </m:ctrlPr>
          </m:sSubPr>
          <m:e>
            <m:r>
              <w:rPr>
                <w:rFonts w:ascii="Cambria Math" w:hAnsi="Cambria Math"/>
              </w:rPr>
              <m:t>ω</m:t>
            </m:r>
          </m:e>
          <m:sub>
            <m:r>
              <w:rPr>
                <w:rFonts w:ascii="Cambria Math" w:hAnsi="Cambria Math"/>
              </w:rPr>
              <m:t>0j</m:t>
            </m:r>
          </m:sub>
        </m:sSub>
      </m:oMath>
      <w:r w:rsidRPr="000469D3">
        <w:rPr>
          <w:rFonts w:ascii="Times New Roman" w:hAnsi="Times New Roman"/>
          <w:bCs/>
        </w:rPr>
        <w:t xml:space="preserve">, is assumed to be distributed </w:t>
      </w:r>
      <m:oMath>
        <m:r>
          <m:rPr>
            <m:sty m:val="p"/>
          </m:rPr>
          <w:rPr>
            <w:rFonts w:ascii="Cambria Math" w:hAnsi="Cambria Math"/>
          </w:rPr>
          <m:t>Ν(0,</m:t>
        </m:r>
        <m:sSup>
          <m:sSupPr>
            <m:ctrlPr>
              <w:rPr>
                <w:rFonts w:ascii="Cambria Math" w:hAnsi="Cambria Math"/>
                <w:bCs/>
              </w:rPr>
            </m:ctrlPr>
          </m:sSupPr>
          <m:e>
            <m:r>
              <m:rPr>
                <m:sty m:val="p"/>
              </m:rPr>
              <w:rPr>
                <w:rFonts w:ascii="Cambria Math" w:hAnsi="Cambria Math"/>
              </w:rPr>
              <m:t>τ</m:t>
            </m:r>
          </m:e>
          <m:sup>
            <m:r>
              <w:rPr>
                <w:rFonts w:ascii="Cambria Math" w:hAnsi="Cambria Math"/>
              </w:rPr>
              <m:t>2</m:t>
            </m:r>
          </m:sup>
        </m:sSup>
        <m:r>
          <w:rPr>
            <w:rFonts w:ascii="Cambria Math" w:hAnsi="Cambria Math"/>
          </w:rPr>
          <m:t>)</m:t>
        </m:r>
      </m:oMath>
      <w:r w:rsidRPr="000469D3">
        <w:rPr>
          <w:rFonts w:ascii="Times New Roman" w:hAnsi="Times New Roman"/>
          <w:bCs/>
        </w:rPr>
        <w:t xml:space="preserve">. Covariates in the Level 1 model are centered at the school mean, so student-level parameters are estimated using within-school variation. </w:t>
      </w:r>
    </w:p>
    <w:p w:rsidR="001B66CC" w:rsidRPr="000469D3" w:rsidP="000469D3" w14:paraId="42C4C790" w14:textId="77777777">
      <w:pPr>
        <w:suppressAutoHyphens/>
        <w:rPr>
          <w:rFonts w:ascii="Times New Roman" w:hAnsi="Times New Roman"/>
          <w:bCs/>
        </w:rPr>
      </w:pPr>
    </w:p>
    <w:p w:rsidR="00D34FC4" w:rsidP="000469D3" w14:paraId="0BF35B68" w14:textId="77777777">
      <w:pPr>
        <w:suppressAutoHyphens/>
        <w:rPr>
          <w:rFonts w:ascii="Times New Roman" w:hAnsi="Times New Roman"/>
          <w:bCs/>
        </w:rPr>
      </w:pPr>
      <w:r w:rsidRPr="000469D3">
        <w:rPr>
          <w:rFonts w:ascii="Times New Roman" w:hAnsi="Times New Roman"/>
          <w:bCs/>
        </w:rPr>
        <w:t xml:space="preserve">Students in grades K–2 in 2023/24 will take a benchmark assessment, administered by the reading teacher per state requirements, and standardized scale scores from this assessment will be considered as the baseline. </w:t>
      </w:r>
    </w:p>
    <w:p w:rsidR="00690D11" w:rsidP="00D34FC4" w14:paraId="16B2A0F3" w14:textId="77777777">
      <w:pPr>
        <w:pStyle w:val="ListParagraph"/>
        <w:numPr>
          <w:ilvl w:val="0"/>
          <w:numId w:val="12"/>
        </w:numPr>
        <w:suppressAutoHyphens/>
        <w:rPr>
          <w:rFonts w:ascii="Times New Roman" w:hAnsi="Times New Roman"/>
          <w:bCs/>
        </w:rPr>
      </w:pPr>
      <w:r w:rsidRPr="00B52307">
        <w:rPr>
          <w:rFonts w:ascii="Times New Roman" w:hAnsi="Times New Roman"/>
          <w:bCs/>
        </w:rPr>
        <w:t xml:space="preserve">For students who are in grades 1 and 2, the baseline assessment will be the January 2024 assessment, with the September 2024 or May 2023 assessment as a backup if the January 2024 assessment is missing. </w:t>
      </w:r>
    </w:p>
    <w:p w:rsidR="00690D11" w:rsidP="00D34FC4" w14:paraId="61F70909" w14:textId="77777777">
      <w:pPr>
        <w:pStyle w:val="ListParagraph"/>
        <w:numPr>
          <w:ilvl w:val="0"/>
          <w:numId w:val="12"/>
        </w:numPr>
        <w:suppressAutoHyphens/>
        <w:rPr>
          <w:rFonts w:ascii="Times New Roman" w:hAnsi="Times New Roman"/>
          <w:bCs/>
        </w:rPr>
      </w:pPr>
      <w:r w:rsidRPr="00B52307">
        <w:rPr>
          <w:rFonts w:ascii="Times New Roman" w:hAnsi="Times New Roman"/>
          <w:bCs/>
        </w:rPr>
        <w:t xml:space="preserve">For students who start Kindergarten in fall 2024 or students who join the sample in grades 1, 2, and 3 in the fall of 2024, their September 2024 benchmark assessment will be considered as the baseline measure, using the scale score, if available, or the proficiency rate, if necessary. </w:t>
      </w:r>
    </w:p>
    <w:p w:rsidR="000469D3" w:rsidRPr="00B52307" w:rsidP="00690D11" w14:paraId="4D3441CC" w14:textId="6914E737">
      <w:pPr>
        <w:suppressAutoHyphens/>
        <w:rPr>
          <w:rFonts w:ascii="Times New Roman" w:hAnsi="Times New Roman"/>
          <w:bCs/>
        </w:rPr>
      </w:pPr>
      <w:r w:rsidRPr="00B52307">
        <w:rPr>
          <w:rFonts w:ascii="Times New Roman" w:hAnsi="Times New Roman"/>
          <w:bCs/>
        </w:rPr>
        <w:t xml:space="preserve">The evaluation team will standardize assessment scores within grade level and type of assessment. The parameters of interest in this model, as well as the ones described below, will be estimated using standard methods and statistical software. The previously described models will be estimated jointly for all grade levels for all students, and then again jointly for all grade levels for only Hispanic/Latinx students. In exploratory analyses, researchers will estimate the models separately by grade level for all students and for Hispanic/Latinx students. </w:t>
      </w:r>
    </w:p>
    <w:p w:rsidR="001B66CC" w:rsidRPr="000469D3" w:rsidP="000469D3" w14:paraId="0439135D" w14:textId="77777777">
      <w:pPr>
        <w:suppressAutoHyphens/>
        <w:rPr>
          <w:rFonts w:ascii="Times New Roman" w:hAnsi="Times New Roman"/>
          <w:bCs/>
        </w:rPr>
      </w:pPr>
    </w:p>
    <w:p w:rsidR="000469D3" w:rsidP="000469D3" w14:paraId="68CD13E3" w14:textId="1CA882B2">
      <w:pPr>
        <w:suppressAutoHyphens/>
        <w:rPr>
          <w:rFonts w:ascii="Times New Roman" w:hAnsi="Times New Roman"/>
          <w:bCs/>
        </w:rPr>
      </w:pPr>
      <w:r w:rsidRPr="000469D3">
        <w:rPr>
          <w:rFonts w:ascii="Times New Roman" w:hAnsi="Times New Roman"/>
          <w:b/>
          <w:bCs/>
          <w:i/>
          <w:iCs/>
        </w:rPr>
        <w:t>Complier Average Causal Effect Estimate (CACE).</w:t>
      </w:r>
      <w:r w:rsidRPr="000469D3">
        <w:rPr>
          <w:rFonts w:ascii="Times New Roman" w:hAnsi="Times New Roman"/>
          <w:b/>
          <w:bCs/>
        </w:rPr>
        <w:t xml:space="preserve"> </w:t>
      </w:r>
      <w:r w:rsidRPr="000469D3">
        <w:rPr>
          <w:rFonts w:ascii="Times New Roman" w:hAnsi="Times New Roman"/>
          <w:bCs/>
        </w:rPr>
        <w:t>Because use of the toolkit is optional, a difference between random assignment to the toolkit and the actual use of the toolkit (uptake) may be observed. To examine the effect of students’ receipt of instruction using the toolkit on reading achievement for all students (RQ3), the team will estimate a two-stage least squares (2SLS) model:</w:t>
      </w:r>
    </w:p>
    <w:p w:rsidR="001B66CC" w:rsidRPr="000469D3" w:rsidP="000469D3" w14:paraId="07AAAB14" w14:textId="77777777">
      <w:pPr>
        <w:suppressAutoHyphens/>
        <w:rPr>
          <w:rFonts w:ascii="Times New Roman" w:hAnsi="Times New Roman"/>
          <w:bCs/>
        </w:rPr>
      </w:pPr>
    </w:p>
    <w:p w:rsidR="000469D3" w:rsidRPr="000469D3" w:rsidP="001B66CC" w14:paraId="1E80D112" w14:textId="304DF725">
      <w:pPr>
        <w:suppressAutoHyphens/>
        <w:ind w:left="720" w:firstLine="720"/>
        <w:rPr>
          <w:rFonts w:ascii="Times New Roman" w:hAnsi="Times New Roman"/>
          <w:bCs/>
        </w:rPr>
      </w:pPr>
      <m:oMath>
        <m:sSub>
          <m:sSubPr>
            <m:ctrlPr>
              <w:rPr>
                <w:rFonts w:ascii="Cambria Math" w:hAnsi="Cambria Math"/>
                <w:bCs/>
                <w:i/>
              </w:rPr>
            </m:ctrlPr>
          </m:sSubPr>
          <m:e>
            <m:r>
              <w:rPr>
                <w:rFonts w:ascii="Cambria Math" w:hAnsi="Cambria Math"/>
              </w:rPr>
              <m:t>Z</m:t>
            </m:r>
          </m:e>
          <m:sub>
            <m:r>
              <w:rPr>
                <w:rFonts w:ascii="Cambria Math" w:hAnsi="Cambria Math"/>
              </w:rPr>
              <m:t>ips</m:t>
            </m:r>
          </m:sub>
        </m:sSub>
        <m:r>
          <w:rPr>
            <w:rFonts w:ascii="Cambria Math" w:hAnsi="Cambria Math"/>
          </w:rPr>
          <m:t>=</m:t>
        </m:r>
        <m:r>
          <w:rPr>
            <w:rFonts w:ascii="Cambria Math" w:hAnsi="Cambria Math"/>
          </w:rPr>
          <m:t>ϕ</m:t>
        </m:r>
        <m:sSub>
          <m:sSubPr>
            <m:ctrlPr>
              <w:rPr>
                <w:rFonts w:ascii="Cambria Math" w:hAnsi="Cambria Math"/>
                <w:bCs/>
                <w:i/>
              </w:rPr>
            </m:ctrlPr>
          </m:sSubPr>
          <m:e>
            <m:r>
              <w:rPr>
                <w:rFonts w:ascii="Cambria Math" w:hAnsi="Cambria Math"/>
              </w:rPr>
              <m:t>Treat</m:t>
            </m:r>
          </m:e>
          <m:sub>
            <m:r>
              <w:rPr>
                <w:rFonts w:ascii="Cambria Math" w:hAnsi="Cambria Math"/>
              </w:rPr>
              <m:t>s</m:t>
            </m:r>
          </m:sub>
        </m:sSub>
        <m:r>
          <w:rPr>
            <w:rFonts w:ascii="Cambria Math" w:hAnsi="Cambria Math"/>
          </w:rPr>
          <m:t>+</m:t>
        </m:r>
        <m:acc>
          <m:accPr>
            <m:chr m:val="̃"/>
            <m:ctrlPr>
              <w:rPr>
                <w:rFonts w:ascii="Cambria Math" w:hAnsi="Cambria Math"/>
                <w:bCs/>
                <w:i/>
              </w:rPr>
            </m:ctrlPr>
          </m:accPr>
          <m:e>
            <m:r>
              <w:rPr>
                <w:rFonts w:ascii="Cambria Math" w:hAnsi="Cambria Math"/>
              </w:rPr>
              <m:t>β</m:t>
            </m:r>
          </m:e>
        </m:acc>
        <m:sSub>
          <m:sSubPr>
            <m:ctrlPr>
              <w:rPr>
                <w:rFonts w:ascii="Cambria Math" w:hAnsi="Cambria Math"/>
                <w:bCs/>
                <w:i/>
              </w:rPr>
            </m:ctrlPr>
          </m:sSubPr>
          <m:e>
            <m:r>
              <w:rPr>
                <w:rFonts w:ascii="Cambria Math" w:hAnsi="Cambria Math"/>
              </w:rPr>
              <m:t>(</m:t>
            </m:r>
            <m:r>
              <w:rPr>
                <w:rFonts w:ascii="Cambria Math" w:hAnsi="Cambria Math"/>
              </w:rPr>
              <m:t>X</m:t>
            </m:r>
          </m:e>
          <m:sub>
            <m:r>
              <w:rPr>
                <w:rFonts w:ascii="Cambria Math" w:hAnsi="Cambria Math"/>
              </w:rPr>
              <m:t>ips</m:t>
            </m:r>
          </m:sub>
        </m:sSub>
        <m:r>
          <w:rPr>
            <w:rFonts w:ascii="Cambria Math" w:hAnsi="Cambria Math"/>
          </w:rPr>
          <m:t>-</m:t>
        </m:r>
        <m:sSub>
          <m:sSubPr>
            <m:ctrlPr>
              <w:rPr>
                <w:rFonts w:ascii="Cambria Math" w:hAnsi="Cambria Math"/>
                <w:bCs/>
                <w:i/>
              </w:rPr>
            </m:ctrlPr>
          </m:sSubPr>
          <m:e>
            <m:acc>
              <m:accPr>
                <m:chr m:val="̅"/>
                <m:ctrlPr>
                  <w:rPr>
                    <w:rFonts w:ascii="Cambria Math" w:hAnsi="Cambria Math"/>
                    <w:bCs/>
                    <w:i/>
                  </w:rPr>
                </m:ctrlPr>
              </m:accPr>
              <m:e>
                <m:r>
                  <w:rPr>
                    <w:rFonts w:ascii="Cambria Math" w:hAnsi="Cambria Math"/>
                  </w:rPr>
                  <m:t>X</m:t>
                </m:r>
              </m:e>
            </m:acc>
          </m:e>
          <m:sub>
            <m:r>
              <w:rPr>
                <w:rFonts w:ascii="Cambria Math" w:hAnsi="Cambria Math"/>
              </w:rPr>
              <m:t>s</m:t>
            </m:r>
          </m:sub>
        </m:sSub>
        <m:r>
          <w:rPr>
            <w:rFonts w:ascii="Cambria Math" w:hAnsi="Cambria Math"/>
          </w:rPr>
          <m:t>)+</m:t>
        </m:r>
        <m:sSub>
          <m:sSubPr>
            <m:ctrlPr>
              <w:rPr>
                <w:rFonts w:ascii="Cambria Math" w:hAnsi="Cambria Math"/>
                <w:bCs/>
                <w:i/>
              </w:rPr>
            </m:ctrlPr>
          </m:sSubPr>
          <m:e>
            <m:r>
              <w:rPr>
                <w:rFonts w:ascii="Cambria Math" w:hAnsi="Cambria Math"/>
              </w:rPr>
              <m:t>μ</m:t>
            </m:r>
          </m:e>
          <m:sub>
            <m:r>
              <w:rPr>
                <w:rFonts w:ascii="Cambria Math" w:hAnsi="Cambria Math"/>
              </w:rPr>
              <m:t>ips</m:t>
            </m:r>
          </m:sub>
        </m:sSub>
      </m:oMath>
      <w:r w:rsidRPr="000469D3">
        <w:rPr>
          <w:rFonts w:ascii="Times New Roman" w:hAnsi="Times New Roman"/>
          <w:bCs/>
        </w:rPr>
        <w:t xml:space="preserve">                                    (2)</w:t>
      </w:r>
    </w:p>
    <w:p w:rsidR="000469D3" w:rsidRPr="000469D3" w:rsidP="001B66CC" w14:paraId="4EE15EB4" w14:textId="7474AA67">
      <w:pPr>
        <w:suppressAutoHyphens/>
        <w:ind w:left="720" w:firstLine="720"/>
        <w:rPr>
          <w:rFonts w:ascii="Times New Roman" w:hAnsi="Times New Roman"/>
          <w:bCs/>
        </w:rPr>
      </w:pPr>
      <m:oMath>
        <m:sSub>
          <m:sSubPr>
            <m:ctrlPr>
              <w:rPr>
                <w:rFonts w:ascii="Cambria Math" w:hAnsi="Cambria Math"/>
                <w:bCs/>
                <w:i/>
              </w:rPr>
            </m:ctrlPr>
          </m:sSubPr>
          <m:e>
            <m:r>
              <w:rPr>
                <w:rFonts w:ascii="Cambria Math" w:hAnsi="Cambria Math"/>
              </w:rPr>
              <m:t>Y</m:t>
            </m:r>
          </m:e>
          <m:sub>
            <m:r>
              <w:rPr>
                <w:rFonts w:ascii="Cambria Math" w:hAnsi="Cambria Math"/>
              </w:rPr>
              <m:t>ips</m:t>
            </m:r>
          </m:sub>
        </m:sSub>
        <m:r>
          <w:rPr>
            <w:rFonts w:ascii="Cambria Math" w:hAnsi="Cambria Math"/>
          </w:rPr>
          <m:t>=</m:t>
        </m:r>
        <m:r>
          <w:rPr>
            <w:rFonts w:ascii="Cambria Math" w:hAnsi="Cambria Math"/>
          </w:rPr>
          <m:t>δ</m:t>
        </m:r>
        <m:acc>
          <m:accPr>
            <m:ctrlPr>
              <w:rPr>
                <w:rFonts w:ascii="Cambria Math" w:hAnsi="Cambria Math"/>
                <w:bCs/>
                <w:i/>
              </w:rPr>
            </m:ctrlPr>
          </m:accPr>
          <m:e>
            <m:sSub>
              <m:sSubPr>
                <m:ctrlPr>
                  <w:rPr>
                    <w:rFonts w:ascii="Cambria Math" w:hAnsi="Cambria Math"/>
                    <w:bCs/>
                    <w:i/>
                  </w:rPr>
                </m:ctrlPr>
              </m:sSubPr>
              <m:e>
                <m:r>
                  <w:rPr>
                    <w:rFonts w:ascii="Cambria Math" w:hAnsi="Cambria Math"/>
                  </w:rPr>
                  <m:t>Z</m:t>
                </m:r>
              </m:e>
              <m:sub>
                <m:r>
                  <w:rPr>
                    <w:rFonts w:ascii="Cambria Math" w:hAnsi="Cambria Math"/>
                  </w:rPr>
                  <m:t>ips</m:t>
                </m:r>
              </m:sub>
            </m:sSub>
          </m:e>
        </m:acc>
        <m:r>
          <w:rPr>
            <w:rFonts w:ascii="Cambria Math" w:hAnsi="Cambria Math"/>
          </w:rPr>
          <m:t>+</m:t>
        </m:r>
        <m:sSub>
          <m:sSubPr>
            <m:ctrlPr>
              <w:rPr>
                <w:rFonts w:ascii="Cambria Math" w:hAnsi="Cambria Math"/>
                <w:bCs/>
                <w:i/>
              </w:rPr>
            </m:ctrlPr>
          </m:sSubPr>
          <m:e>
            <m:r>
              <w:rPr>
                <w:rFonts w:ascii="Cambria Math" w:hAnsi="Cambria Math"/>
              </w:rPr>
              <m:t>β</m:t>
            </m:r>
            <m:r>
              <w:rPr>
                <w:rFonts w:ascii="Cambria Math" w:hAnsi="Cambria Math"/>
              </w:rPr>
              <m:t>(</m:t>
            </m:r>
            <m:r>
              <w:rPr>
                <w:rFonts w:ascii="Cambria Math" w:hAnsi="Cambria Math"/>
              </w:rPr>
              <m:t>X</m:t>
            </m:r>
          </m:e>
          <m:sub>
            <m:r>
              <w:rPr>
                <w:rFonts w:ascii="Cambria Math" w:hAnsi="Cambria Math"/>
              </w:rPr>
              <m:t>ips</m:t>
            </m:r>
          </m:sub>
        </m:sSub>
        <m:r>
          <w:rPr>
            <w:rFonts w:ascii="Cambria Math" w:hAnsi="Cambria Math"/>
          </w:rPr>
          <m:t>-</m:t>
        </m:r>
        <m:sSub>
          <m:sSubPr>
            <m:ctrlPr>
              <w:rPr>
                <w:rFonts w:ascii="Cambria Math" w:hAnsi="Cambria Math"/>
                <w:bCs/>
                <w:i/>
              </w:rPr>
            </m:ctrlPr>
          </m:sSubPr>
          <m:e>
            <m:acc>
              <m:accPr>
                <m:chr m:val="̅"/>
                <m:ctrlPr>
                  <w:rPr>
                    <w:rFonts w:ascii="Cambria Math" w:hAnsi="Cambria Math"/>
                    <w:bCs/>
                    <w:i/>
                  </w:rPr>
                </m:ctrlPr>
              </m:accPr>
              <m:e>
                <m:r>
                  <w:rPr>
                    <w:rFonts w:ascii="Cambria Math" w:hAnsi="Cambria Math"/>
                  </w:rPr>
                  <m:t>X</m:t>
                </m:r>
              </m:e>
            </m:acc>
          </m:e>
          <m:sub>
            <m:r>
              <w:rPr>
                <w:rFonts w:ascii="Cambria Math" w:hAnsi="Cambria Math"/>
              </w:rPr>
              <m:t>s</m:t>
            </m:r>
          </m:sub>
        </m:sSub>
        <m:r>
          <w:rPr>
            <w:rFonts w:ascii="Cambria Math" w:hAnsi="Cambria Math"/>
          </w:rPr>
          <m:t>)+</m:t>
        </m:r>
        <m:sSub>
          <m:sSubPr>
            <m:ctrlPr>
              <w:rPr>
                <w:rFonts w:ascii="Cambria Math" w:hAnsi="Cambria Math"/>
                <w:bCs/>
                <w:i/>
              </w:rPr>
            </m:ctrlPr>
          </m:sSubPr>
          <m:e>
            <m:r>
              <w:rPr>
                <w:rFonts w:ascii="Cambria Math" w:hAnsi="Cambria Math"/>
              </w:rPr>
              <m:t>ϵ</m:t>
            </m:r>
          </m:e>
          <m:sub>
            <m:r>
              <w:rPr>
                <w:rFonts w:ascii="Cambria Math" w:hAnsi="Cambria Math"/>
              </w:rPr>
              <m:t>ip</m:t>
            </m:r>
            <m:r>
              <w:rPr>
                <w:rFonts w:ascii="Cambria Math" w:hAnsi="Cambria Math"/>
              </w:rPr>
              <m:t>s</m:t>
            </m:r>
          </m:sub>
        </m:sSub>
      </m:oMath>
      <w:r w:rsidRPr="000469D3">
        <w:rPr>
          <w:rFonts w:ascii="Times New Roman" w:hAnsi="Times New Roman"/>
          <w:bCs/>
        </w:rPr>
        <w:t xml:space="preserve">                                           (3) </w:t>
      </w:r>
    </w:p>
    <w:p w:rsidR="001B66CC" w:rsidP="000469D3" w14:paraId="5658D2BE" w14:textId="77777777">
      <w:pPr>
        <w:suppressAutoHyphens/>
        <w:rPr>
          <w:rFonts w:ascii="Times New Roman" w:hAnsi="Times New Roman"/>
          <w:bCs/>
        </w:rPr>
      </w:pPr>
    </w:p>
    <w:p w:rsidR="000469D3" w:rsidP="000469D3" w14:paraId="36FAFDF3" w14:textId="3A891603">
      <w:pPr>
        <w:suppressAutoHyphens/>
        <w:rPr>
          <w:rFonts w:ascii="Times New Roman" w:hAnsi="Times New Roman"/>
          <w:bCs/>
        </w:rPr>
      </w:pPr>
      <w:r w:rsidRPr="000469D3">
        <w:rPr>
          <w:rFonts w:ascii="Times New Roman" w:hAnsi="Times New Roman"/>
          <w:bCs/>
        </w:rPr>
        <w:t xml:space="preserve">In this model, </w:t>
      </w:r>
      <m:oMath>
        <m:sSub>
          <m:sSubPr>
            <m:ctrlPr>
              <w:rPr>
                <w:rFonts w:ascii="Cambria Math" w:hAnsi="Cambria Math"/>
                <w:bCs/>
                <w:i/>
              </w:rPr>
            </m:ctrlPr>
          </m:sSubPr>
          <m:e>
            <m:r>
              <w:rPr>
                <w:rFonts w:ascii="Cambria Math" w:hAnsi="Cambria Math"/>
              </w:rPr>
              <m:t>Z</m:t>
            </m:r>
          </m:e>
          <m:sub>
            <m:r>
              <w:rPr>
                <w:rFonts w:ascii="Cambria Math" w:hAnsi="Cambria Math"/>
              </w:rPr>
              <m:t>ips</m:t>
            </m:r>
          </m:sub>
        </m:sSub>
      </m:oMath>
      <w:r w:rsidRPr="000469D3">
        <w:rPr>
          <w:rFonts w:ascii="Times New Roman" w:hAnsi="Times New Roman"/>
          <w:bCs/>
        </w:rPr>
        <w:t xml:space="preserve"> is a binary indicator of whether student </w:t>
      </w:r>
      <w:r w:rsidRPr="000469D3">
        <w:rPr>
          <w:rFonts w:ascii="Times New Roman" w:hAnsi="Times New Roman"/>
          <w:bCs/>
          <w:i/>
          <w:iCs/>
        </w:rPr>
        <w:t>i</w:t>
      </w:r>
      <w:r w:rsidRPr="000469D3">
        <w:rPr>
          <w:rFonts w:ascii="Times New Roman" w:hAnsi="Times New Roman"/>
          <w:bCs/>
        </w:rPr>
        <w:t xml:space="preserve"> with teacher </w:t>
      </w:r>
      <w:r w:rsidRPr="000469D3">
        <w:rPr>
          <w:rFonts w:ascii="Times New Roman" w:hAnsi="Times New Roman"/>
          <w:bCs/>
          <w:i/>
        </w:rPr>
        <w:t>p</w:t>
      </w:r>
      <w:r w:rsidRPr="000469D3">
        <w:rPr>
          <w:rFonts w:ascii="Times New Roman" w:hAnsi="Times New Roman"/>
          <w:bCs/>
        </w:rPr>
        <w:t xml:space="preserve"> in school </w:t>
      </w:r>
      <w:r w:rsidRPr="000469D3">
        <w:rPr>
          <w:rFonts w:ascii="Times New Roman" w:hAnsi="Times New Roman"/>
          <w:bCs/>
          <w:i/>
        </w:rPr>
        <w:t>s</w:t>
      </w:r>
      <w:r w:rsidRPr="000469D3">
        <w:rPr>
          <w:rFonts w:ascii="Times New Roman" w:hAnsi="Times New Roman"/>
          <w:bCs/>
        </w:rPr>
        <w:t xml:space="preserve"> received instruction using the toolkit; </w:t>
      </w:r>
      <m:oMath>
        <m:sSub>
          <m:sSubPr>
            <m:ctrlPr>
              <w:rPr>
                <w:rFonts w:ascii="Cambria Math" w:hAnsi="Cambria Math"/>
                <w:bCs/>
                <w:i/>
              </w:rPr>
            </m:ctrlPr>
          </m:sSubPr>
          <m:e>
            <m:r>
              <w:rPr>
                <w:rFonts w:ascii="Cambria Math" w:hAnsi="Cambria Math"/>
              </w:rPr>
              <m:t>X</m:t>
            </m:r>
          </m:e>
          <m:sub>
            <m:r>
              <w:rPr>
                <w:rFonts w:ascii="Cambria Math" w:hAnsi="Cambria Math"/>
              </w:rPr>
              <m:t>ips</m:t>
            </m:r>
          </m:sub>
        </m:sSub>
      </m:oMath>
      <w:r w:rsidRPr="000469D3">
        <w:rPr>
          <w:rFonts w:ascii="Times New Roman" w:hAnsi="Times New Roman"/>
          <w:bCs/>
        </w:rPr>
        <w:t xml:space="preserve"> represents student characteristics measured at baseline, including prior year test scores on the same subject test, FRPL eligibility, race, ethnicity, gender, English learner status, IEP status, age, and an indicator for student grade level; </w:t>
      </w:r>
      <m:oMath>
        <m:sSub>
          <m:sSubPr>
            <m:ctrlPr>
              <w:rPr>
                <w:rFonts w:ascii="Cambria Math" w:hAnsi="Cambria Math"/>
                <w:bCs/>
                <w:i/>
              </w:rPr>
            </m:ctrlPr>
          </m:sSubPr>
          <m:e>
            <m:r>
              <w:rPr>
                <w:rFonts w:ascii="Cambria Math" w:hAnsi="Cambria Math"/>
              </w:rPr>
              <m:t>Treat</m:t>
            </m:r>
          </m:e>
          <m:sub>
            <m:r>
              <w:rPr>
                <w:rFonts w:ascii="Cambria Math" w:hAnsi="Cambria Math"/>
              </w:rPr>
              <m:t>s</m:t>
            </m:r>
          </m:sub>
        </m:sSub>
      </m:oMath>
      <w:r w:rsidRPr="000469D3">
        <w:rPr>
          <w:rFonts w:ascii="Times New Roman" w:hAnsi="Times New Roman"/>
          <w:bCs/>
        </w:rPr>
        <w:t xml:space="preserve"> is an indicator for the school being assigned to the treatment group, and </w:t>
      </w:r>
      <m:oMath>
        <m:acc>
          <m:accPr>
            <m:ctrlPr>
              <w:rPr>
                <w:rFonts w:ascii="Cambria Math" w:hAnsi="Cambria Math"/>
                <w:bCs/>
                <w:i/>
              </w:rPr>
            </m:ctrlPr>
          </m:accPr>
          <m:e>
            <m:sSub>
              <m:sSubPr>
                <m:ctrlPr>
                  <w:rPr>
                    <w:rFonts w:ascii="Cambria Math" w:hAnsi="Cambria Math"/>
                    <w:bCs/>
                    <w:i/>
                  </w:rPr>
                </m:ctrlPr>
              </m:sSubPr>
              <m:e>
                <m:r>
                  <w:rPr>
                    <w:rFonts w:ascii="Cambria Math" w:hAnsi="Cambria Math"/>
                  </w:rPr>
                  <m:t>Z</m:t>
                </m:r>
              </m:e>
              <m:sub>
                <m:r>
                  <w:rPr>
                    <w:rFonts w:ascii="Cambria Math" w:hAnsi="Cambria Math"/>
                  </w:rPr>
                  <m:t>ips</m:t>
                </m:r>
              </m:sub>
            </m:sSub>
          </m:e>
        </m:acc>
      </m:oMath>
      <w:r w:rsidRPr="000469D3">
        <w:rPr>
          <w:rFonts w:ascii="Times New Roman" w:hAnsi="Times New Roman"/>
          <w:bCs/>
        </w:rPr>
        <w:t xml:space="preserve"> is the receipt of instruction using the toolkit, calculated from equation (2). The coefficient of interest is </w:t>
      </w:r>
      <m:oMath>
        <m:r>
          <w:rPr>
            <w:rFonts w:ascii="Cambria Math" w:hAnsi="Cambria Math"/>
          </w:rPr>
          <m:t>δ</m:t>
        </m:r>
      </m:oMath>
      <w:r w:rsidRPr="000469D3">
        <w:rPr>
          <w:rFonts w:ascii="Times New Roman" w:hAnsi="Times New Roman"/>
          <w:bCs/>
        </w:rPr>
        <w:t>, which is the CACE estimate. The indicator for take-up (</w:t>
      </w:r>
      <m:oMath>
        <m:sSub>
          <m:sSubPr>
            <m:ctrlPr>
              <w:rPr>
                <w:rFonts w:ascii="Cambria Math" w:hAnsi="Cambria Math"/>
                <w:bCs/>
                <w:i/>
              </w:rPr>
            </m:ctrlPr>
          </m:sSubPr>
          <m:e>
            <m:r>
              <w:rPr>
                <w:rFonts w:ascii="Cambria Math" w:hAnsi="Cambria Math"/>
              </w:rPr>
              <m:t>Z</m:t>
            </m:r>
          </m:e>
          <m:sub>
            <m:r>
              <w:rPr>
                <w:rFonts w:ascii="Cambria Math" w:hAnsi="Cambria Math"/>
              </w:rPr>
              <m:t>ips</m:t>
            </m:r>
          </m:sub>
        </m:sSub>
      </m:oMath>
      <w:r w:rsidRPr="000469D3">
        <w:rPr>
          <w:rFonts w:ascii="Times New Roman" w:hAnsi="Times New Roman"/>
          <w:bCs/>
        </w:rPr>
        <w:t xml:space="preserve">) will be defined as 1 if the student attended school with their teacher for at least 85 percent of the school year combined with if the teacher </w:t>
      </w:r>
      <w:r w:rsidRPr="000469D3">
        <w:rPr>
          <w:rFonts w:ascii="Times New Roman" w:hAnsi="Times New Roman"/>
          <w:bCs/>
        </w:rPr>
        <w:t xml:space="preserve">met a pre-set threshold on a measure of implementation, described in more detail below in the implementation section. Specifically, as indicated in Table 5 below, there are teacher-level measures of implementation, with a 0–1 score for each measure. For the CACE analysis, the evaluation team will average the scores from the 5 measures and create the indicator </w:t>
      </w:r>
      <m:oMath>
        <m:sSub>
          <m:sSubPr>
            <m:ctrlPr>
              <w:rPr>
                <w:rFonts w:ascii="Cambria Math" w:hAnsi="Cambria Math"/>
                <w:bCs/>
                <w:i/>
              </w:rPr>
            </m:ctrlPr>
          </m:sSubPr>
          <m:e>
            <m:r>
              <w:rPr>
                <w:rFonts w:ascii="Cambria Math" w:hAnsi="Cambria Math"/>
              </w:rPr>
              <m:t>Z</m:t>
            </m:r>
          </m:e>
          <m:sub>
            <m:r>
              <w:rPr>
                <w:rFonts w:ascii="Cambria Math" w:hAnsi="Cambria Math"/>
              </w:rPr>
              <m:t>ps</m:t>
            </m:r>
          </m:sub>
        </m:sSub>
      </m:oMath>
      <w:r w:rsidRPr="000469D3">
        <w:rPr>
          <w:rFonts w:ascii="Times New Roman" w:hAnsi="Times New Roman"/>
          <w:bCs/>
        </w:rPr>
        <w:t xml:space="preserve"> as equal to 1 if the average of the five scores is at least 0.8 and the student attended the school with this teacher for at least 85 percent of the school year.  Our estimation method is aligned with W</w:t>
      </w:r>
      <w:r w:rsidR="000D1310">
        <w:rPr>
          <w:rFonts w:ascii="Times New Roman" w:hAnsi="Times New Roman"/>
          <w:bCs/>
        </w:rPr>
        <w:t xml:space="preserve">hat </w:t>
      </w:r>
      <w:r w:rsidRPr="000469D3">
        <w:rPr>
          <w:rFonts w:ascii="Times New Roman" w:hAnsi="Times New Roman"/>
          <w:bCs/>
        </w:rPr>
        <w:t>W</w:t>
      </w:r>
      <w:r w:rsidR="000D1310">
        <w:rPr>
          <w:rFonts w:ascii="Times New Roman" w:hAnsi="Times New Roman"/>
          <w:bCs/>
        </w:rPr>
        <w:t xml:space="preserve">orks </w:t>
      </w:r>
      <w:r w:rsidRPr="000469D3">
        <w:rPr>
          <w:rFonts w:ascii="Times New Roman" w:hAnsi="Times New Roman"/>
          <w:bCs/>
        </w:rPr>
        <w:t>C</w:t>
      </w:r>
      <w:r w:rsidR="000D1310">
        <w:rPr>
          <w:rFonts w:ascii="Times New Roman" w:hAnsi="Times New Roman"/>
          <w:bCs/>
        </w:rPr>
        <w:t>learinghouse (WWC)</w:t>
      </w:r>
      <w:r w:rsidRPr="000469D3">
        <w:rPr>
          <w:rFonts w:ascii="Times New Roman" w:hAnsi="Times New Roman"/>
          <w:bCs/>
        </w:rPr>
        <w:t xml:space="preserve"> standards on individual RCT designs, and follows the strategy proposed in Schochet and Chiang (2009), which raises concerns about CACE estimation in the cluster RCT setting. In particular, the covariates in equation 3 will be the same as the covariates used in equation 2. Researchers on the team will report the F-statistic from the first stage regression to demonstrate that the instrument had sufficient strength. Attrition levels for the treatment and comparison groups will be reported, and baseline equivalence of the analysis sample, if necessary due to high attrition. We will also explore the level of non-compliance and consider using maximum likelihood estimators developed for this context (Jo et al., 2008).</w:t>
      </w:r>
    </w:p>
    <w:p w:rsidR="00F74CDB" w:rsidRPr="000469D3" w:rsidP="000469D3" w14:paraId="0BD6E05E" w14:textId="77777777">
      <w:pPr>
        <w:suppressAutoHyphens/>
        <w:rPr>
          <w:rFonts w:ascii="Times New Roman" w:hAnsi="Times New Roman"/>
          <w:bCs/>
        </w:rPr>
      </w:pPr>
    </w:p>
    <w:p w:rsidR="000469D3" w:rsidP="000469D3" w14:paraId="55ED35F5" w14:textId="4D6A2D4C">
      <w:pPr>
        <w:suppressAutoHyphens/>
        <w:rPr>
          <w:rFonts w:ascii="Times New Roman" w:hAnsi="Times New Roman"/>
          <w:bCs/>
        </w:rPr>
      </w:pPr>
      <w:r w:rsidRPr="000469D3">
        <w:rPr>
          <w:rFonts w:ascii="Times New Roman" w:hAnsi="Times New Roman"/>
          <w:b/>
          <w:bCs/>
          <w:i/>
          <w:iCs/>
        </w:rPr>
        <w:t>Continuous Teacher Outcomes</w:t>
      </w:r>
      <w:bookmarkEnd w:id="6"/>
      <w:r w:rsidRPr="000469D3">
        <w:rPr>
          <w:rFonts w:ascii="Times New Roman" w:hAnsi="Times New Roman"/>
          <w:b/>
          <w:bCs/>
        </w:rPr>
        <w:t>.</w:t>
      </w:r>
      <w:r w:rsidRPr="000469D3">
        <w:rPr>
          <w:rFonts w:ascii="Times New Roman" w:hAnsi="Times New Roman"/>
          <w:bCs/>
        </w:rPr>
        <w:t xml:space="preserve"> ITT impacts on continuous teacher outcomes will also be modeled using the two-level hierarchical model in Equation 1, with teachers nested within schools and the treatment variable modeled at the school level. This model is similar to the student model, except that teacher characteristics will be included at Level 1. These characteristics include teacher experience, teacher demographics, and teacher access to professional development. Outcomes for these models include the percentage of correct responses on the teacher pedagogical content knowledge assessment from the teacher survey and an index of teacher practices from the teacher logs (RQ4). These outcome measures will be constructed according to directions by the measure developers.</w:t>
      </w:r>
    </w:p>
    <w:p w:rsidR="00F74CDB" w:rsidRPr="000469D3" w:rsidP="000469D3" w14:paraId="7D588A75" w14:textId="77777777">
      <w:pPr>
        <w:suppressAutoHyphens/>
        <w:rPr>
          <w:rFonts w:ascii="Times New Roman" w:hAnsi="Times New Roman"/>
          <w:bCs/>
        </w:rPr>
      </w:pPr>
    </w:p>
    <w:p w:rsidR="000469D3" w:rsidP="000469D3" w14:paraId="083BDA50" w14:textId="48C4A024">
      <w:pPr>
        <w:suppressAutoHyphens/>
        <w:rPr>
          <w:rFonts w:ascii="Times New Roman" w:hAnsi="Times New Roman"/>
          <w:bCs/>
        </w:rPr>
      </w:pPr>
      <w:bookmarkStart w:id="7" w:name="_Toc381190273"/>
      <w:r w:rsidRPr="000469D3">
        <w:rPr>
          <w:rFonts w:ascii="Times New Roman" w:hAnsi="Times New Roman"/>
          <w:b/>
          <w:bCs/>
          <w:i/>
          <w:iCs/>
        </w:rPr>
        <w:t>Binary Teacher Outcomes</w:t>
      </w:r>
      <w:bookmarkEnd w:id="7"/>
      <w:r w:rsidRPr="000469D3">
        <w:rPr>
          <w:rFonts w:ascii="Times New Roman" w:hAnsi="Times New Roman"/>
          <w:b/>
          <w:bCs/>
        </w:rPr>
        <w:t xml:space="preserve">. </w:t>
      </w:r>
      <w:r w:rsidRPr="000469D3">
        <w:rPr>
          <w:rFonts w:ascii="Times New Roman" w:hAnsi="Times New Roman"/>
          <w:bCs/>
        </w:rPr>
        <w:t xml:space="preserve">Some teacher-level outcomes may be coded as indicators (e.g., an indicator for whether the teacher uses a particular practice for RQ4). For teacher dichotomous outcomes, the evaluation team will use a logit link function to transform the dependent variable into the odds of achieving an outcome, such that </w:t>
      </w:r>
      <m:oMath>
        <m:sSub>
          <m:sSubPr>
            <m:ctrlPr>
              <w:rPr>
                <w:rFonts w:ascii="Cambria Math" w:hAnsi="Cambria Math"/>
                <w:bCs/>
              </w:rPr>
            </m:ctrlPr>
          </m:sSubPr>
          <m:e>
            <m:r>
              <w:rPr>
                <w:rFonts w:ascii="Cambria Math" w:hAnsi="Cambria Math"/>
              </w:rPr>
              <m:t>Y</m:t>
            </m:r>
          </m:e>
          <m:sub>
            <m:r>
              <w:rPr>
                <w:rFonts w:ascii="Cambria Math" w:hAnsi="Cambria Math"/>
              </w:rPr>
              <m:t>ijt</m:t>
            </m:r>
          </m:sub>
        </m:sSub>
      </m:oMath>
      <w:r w:rsidRPr="000469D3">
        <w:rPr>
          <w:rFonts w:ascii="Times New Roman" w:hAnsi="Times New Roman"/>
          <w:bCs/>
        </w:rPr>
        <w:t xml:space="preserve"> is replaced with </w:t>
      </w:r>
      <m:oMath>
        <m:r>
          <w:rPr>
            <w:rFonts w:ascii="Cambria Math" w:hAnsi="Cambria Math"/>
          </w:rPr>
          <m:t>log</m:t>
        </m:r>
        <m:d>
          <m:dPr>
            <m:ctrlPr>
              <w:rPr>
                <w:rFonts w:ascii="Cambria Math" w:hAnsi="Cambria Math"/>
                <w:bCs/>
              </w:rPr>
            </m:ctrlPr>
          </m:dPr>
          <m:e>
            <m:f>
              <m:fPr>
                <m:ctrlPr>
                  <w:rPr>
                    <w:rFonts w:ascii="Cambria Math" w:hAnsi="Cambria Math"/>
                    <w:bCs/>
                  </w:rPr>
                </m:ctrlPr>
              </m:fPr>
              <m:num>
                <m:sSub>
                  <m:sSubPr>
                    <m:ctrlPr>
                      <w:rPr>
                        <w:rFonts w:ascii="Cambria Math" w:hAnsi="Cambria Math"/>
                        <w:bCs/>
                      </w:rPr>
                    </m:ctrlPr>
                  </m:sSubPr>
                  <m:e>
                    <m:r>
                      <w:rPr>
                        <w:rFonts w:ascii="Cambria Math" w:hAnsi="Cambria Math"/>
                      </w:rPr>
                      <m:t>φ</m:t>
                    </m:r>
                  </m:e>
                  <m:sub>
                    <m:r>
                      <w:rPr>
                        <w:rFonts w:ascii="Cambria Math" w:hAnsi="Cambria Math"/>
                      </w:rPr>
                      <m:t>ij</m:t>
                    </m:r>
                  </m:sub>
                </m:sSub>
              </m:num>
              <m:den>
                <m:r>
                  <m:rPr>
                    <m:sty m:val="p"/>
                  </m:rPr>
                  <w:rPr>
                    <w:rFonts w:ascii="Cambria Math" w:hAnsi="Cambria Math"/>
                  </w:rPr>
                  <m:t>1-</m:t>
                </m:r>
                <m:sSub>
                  <m:sSubPr>
                    <m:ctrlPr>
                      <w:rPr>
                        <w:rFonts w:ascii="Cambria Math" w:hAnsi="Cambria Math"/>
                        <w:bCs/>
                      </w:rPr>
                    </m:ctrlPr>
                  </m:sSubPr>
                  <m:e>
                    <m:r>
                      <w:rPr>
                        <w:rFonts w:ascii="Cambria Math" w:hAnsi="Cambria Math"/>
                      </w:rPr>
                      <m:t>φ</m:t>
                    </m:r>
                  </m:e>
                  <m:sub>
                    <m:r>
                      <w:rPr>
                        <w:rFonts w:ascii="Cambria Math" w:hAnsi="Cambria Math"/>
                      </w:rPr>
                      <m:t>ij</m:t>
                    </m:r>
                  </m:sub>
                </m:sSub>
                <m:r>
                  <m:rPr>
                    <m:sty m:val="p"/>
                  </m:rPr>
                  <w:rPr>
                    <w:rFonts w:ascii="Cambria Math" w:hAnsi="Cambria Math"/>
                  </w:rPr>
                  <m:t xml:space="preserve"> </m:t>
                </m:r>
              </m:den>
            </m:f>
          </m:e>
        </m:d>
      </m:oMath>
      <w:r w:rsidRPr="000469D3">
        <w:rPr>
          <w:rFonts w:ascii="Times New Roman" w:hAnsi="Times New Roman"/>
          <w:bCs/>
        </w:rPr>
        <w:t xml:space="preserve"> in Equation 1a, where </w:t>
      </w:r>
      <m:oMath>
        <m:sSub>
          <m:sSubPr>
            <m:ctrlPr>
              <w:rPr>
                <w:rFonts w:ascii="Cambria Math" w:hAnsi="Cambria Math"/>
                <w:bCs/>
              </w:rPr>
            </m:ctrlPr>
          </m:sSubPr>
          <m:e>
            <m:r>
              <w:rPr>
                <w:rFonts w:ascii="Cambria Math" w:hAnsi="Cambria Math"/>
              </w:rPr>
              <m:t>φ</m:t>
            </m:r>
          </m:e>
          <m:sub>
            <m:r>
              <w:rPr>
                <w:rFonts w:ascii="Cambria Math" w:hAnsi="Cambria Math"/>
              </w:rPr>
              <m:t>ij</m:t>
            </m:r>
          </m:sub>
        </m:sSub>
      </m:oMath>
      <w:r w:rsidRPr="000469D3">
        <w:rPr>
          <w:rFonts w:ascii="Times New Roman" w:hAnsi="Times New Roman"/>
          <w:bCs/>
        </w:rPr>
        <w:t xml:space="preserve"> is the probability of success. The covariates and the parameters of the binary model are defined similarly to the continuous teacher outcome model described in the previous section. The </w:t>
      </w:r>
      <m:oMath>
        <m:sSub>
          <m:sSubPr>
            <m:ctrlPr>
              <w:rPr>
                <w:rFonts w:ascii="Cambria Math" w:hAnsi="Cambria Math"/>
                <w:bCs/>
              </w:rPr>
            </m:ctrlPr>
          </m:sSubPr>
          <m:e>
            <m:r>
              <w:rPr>
                <w:rFonts w:ascii="Cambria Math" w:hAnsi="Cambria Math"/>
              </w:rPr>
              <m:t>β</m:t>
            </m:r>
          </m:e>
          <m:sub>
            <m:r>
              <m:rPr>
                <m:sty m:val="p"/>
              </m:rPr>
              <w:rPr>
                <w:rFonts w:ascii="Cambria Math" w:hAnsi="Cambria Math"/>
              </w:rPr>
              <m:t>01</m:t>
            </m:r>
          </m:sub>
        </m:sSub>
      </m:oMath>
      <w:r w:rsidRPr="000469D3">
        <w:rPr>
          <w:rFonts w:ascii="Times New Roman" w:hAnsi="Times New Roman"/>
          <w:bCs/>
        </w:rPr>
        <w:t xml:space="preserve"> coefficient measures the impact of the toolkit on the log-odds of success for the teacher outcome.</w:t>
      </w:r>
    </w:p>
    <w:p w:rsidR="00F74CDB" w:rsidRPr="000469D3" w:rsidP="000469D3" w14:paraId="3A4065D0" w14:textId="77777777">
      <w:pPr>
        <w:suppressAutoHyphens/>
        <w:rPr>
          <w:rFonts w:ascii="Times New Roman" w:hAnsi="Times New Roman"/>
          <w:bCs/>
        </w:rPr>
      </w:pPr>
    </w:p>
    <w:p w:rsidR="000469D3" w:rsidP="000469D3" w14:paraId="7B32EE86" w14:textId="32B480D8">
      <w:pPr>
        <w:suppressAutoHyphens/>
        <w:rPr>
          <w:rFonts w:ascii="Times New Roman" w:hAnsi="Times New Roman"/>
          <w:bCs/>
        </w:rPr>
      </w:pPr>
      <w:r w:rsidRPr="000469D3">
        <w:rPr>
          <w:rFonts w:ascii="Times New Roman" w:hAnsi="Times New Roman"/>
          <w:b/>
          <w:bCs/>
          <w:i/>
          <w:iCs/>
        </w:rPr>
        <w:t>Mediator Analysis</w:t>
      </w:r>
      <w:r w:rsidRPr="000469D3">
        <w:rPr>
          <w:rFonts w:ascii="Times New Roman" w:hAnsi="Times New Roman"/>
          <w:b/>
          <w:bCs/>
        </w:rPr>
        <w:t xml:space="preserve">. </w:t>
      </w:r>
      <w:r w:rsidRPr="000469D3">
        <w:rPr>
          <w:rFonts w:ascii="Times New Roman" w:hAnsi="Times New Roman"/>
          <w:bCs/>
        </w:rPr>
        <w:t xml:space="preserve">To conduct a mediator analysis (RQ5), the team will follow </w:t>
      </w:r>
      <w:bookmarkStart w:id="8" w:name="_Hlk67576745"/>
      <w:r w:rsidRPr="000469D3">
        <w:rPr>
          <w:rFonts w:ascii="Times New Roman" w:hAnsi="Times New Roman"/>
          <w:bCs/>
        </w:rPr>
        <w:t>Baron and Kenny (1986)</w:t>
      </w:r>
      <w:bookmarkEnd w:id="8"/>
      <w:r w:rsidRPr="000469D3">
        <w:rPr>
          <w:rFonts w:ascii="Times New Roman" w:hAnsi="Times New Roman"/>
          <w:bCs/>
        </w:rPr>
        <w:t xml:space="preserve"> and examine whether there is a direct relationship between the intervention (the toolkit) and the mediator (e.g., teacher knowledge). If there is a statistically significant relationship, the mediator will be included as one of the covariates in the main impact regression, and the team will examine the extent to which this changes the relationship between the effect of the toolkit on student reading test scores for each grade level, separately for the full sample and for Hispanic/Latinx students. For example, this post random assignment variable in the model will be included, and if the estimated treatment coefficient decreases in absolute magnitude, then that provides evidence that this variable is among the pathways through which the impact occurs, and therefore the variable is a mediator.</w:t>
      </w:r>
    </w:p>
    <w:p w:rsidR="00F74CDB" w:rsidRPr="000469D3" w:rsidP="000469D3" w14:paraId="51BFBF80" w14:textId="77777777">
      <w:pPr>
        <w:suppressAutoHyphens/>
        <w:rPr>
          <w:rFonts w:ascii="Times New Roman" w:hAnsi="Times New Roman"/>
          <w:bCs/>
        </w:rPr>
      </w:pPr>
    </w:p>
    <w:p w:rsidR="000469D3" w:rsidRPr="000469D3" w:rsidP="000469D3" w14:paraId="6BF5851C" w14:textId="77777777">
      <w:pPr>
        <w:suppressAutoHyphens/>
        <w:rPr>
          <w:rFonts w:ascii="Times New Roman" w:hAnsi="Times New Roman"/>
          <w:bCs/>
        </w:rPr>
      </w:pPr>
      <w:bookmarkStart w:id="9" w:name="_Toc381190277"/>
      <w:r w:rsidRPr="000469D3">
        <w:rPr>
          <w:rFonts w:ascii="Times New Roman" w:hAnsi="Times New Roman"/>
          <w:b/>
          <w:bCs/>
          <w:i/>
          <w:iCs/>
        </w:rPr>
        <w:t>Sensitivity Analyses</w:t>
      </w:r>
      <w:bookmarkEnd w:id="9"/>
      <w:r w:rsidRPr="000469D3">
        <w:rPr>
          <w:rFonts w:ascii="Times New Roman" w:hAnsi="Times New Roman"/>
          <w:b/>
          <w:bCs/>
        </w:rPr>
        <w:t xml:space="preserve">. </w:t>
      </w:r>
      <w:r w:rsidRPr="000469D3">
        <w:rPr>
          <w:rFonts w:ascii="Times New Roman" w:hAnsi="Times New Roman"/>
          <w:bCs/>
        </w:rPr>
        <w:t xml:space="preserve">Sensitivity analyses will be conducted to test the extent to which the evaluation team’s estimates are driven by model assumptions. The results of these analyses will be summarized in a report, and more detailed results will be displayed in appendices. In particular, the research team will examine whether the inclusion of school indicators (fixed effects), as opposed to school characteristics, changes the coefficient estimates for the treatment effect. The team will also estimate models where district fixed effects are replaced with continuous district characteristics. </w:t>
      </w:r>
    </w:p>
    <w:p w:rsidR="00F74CDB" w:rsidP="000469D3" w14:paraId="78C74B67" w14:textId="77777777">
      <w:pPr>
        <w:suppressAutoHyphens/>
        <w:rPr>
          <w:rFonts w:ascii="Times New Roman" w:hAnsi="Times New Roman"/>
          <w:b/>
          <w:bCs/>
          <w:i/>
          <w:iCs/>
        </w:rPr>
      </w:pPr>
    </w:p>
    <w:p w:rsidR="000469D3" w:rsidRPr="000469D3" w:rsidP="000469D3" w14:paraId="45007BE2" w14:textId="442273F5">
      <w:pPr>
        <w:suppressAutoHyphens/>
        <w:rPr>
          <w:rFonts w:ascii="Times New Roman" w:hAnsi="Times New Roman"/>
          <w:bCs/>
        </w:rPr>
      </w:pPr>
      <w:r w:rsidRPr="000469D3">
        <w:rPr>
          <w:rFonts w:ascii="Times New Roman" w:hAnsi="Times New Roman"/>
          <w:b/>
          <w:bCs/>
          <w:i/>
          <w:iCs/>
        </w:rPr>
        <w:t>Strategies for Correcting for Multiple Hypothesis Testing</w:t>
      </w:r>
      <w:r w:rsidRPr="000469D3">
        <w:rPr>
          <w:rFonts w:ascii="Times New Roman" w:hAnsi="Times New Roman"/>
          <w:b/>
          <w:bCs/>
        </w:rPr>
        <w:t>.</w:t>
      </w:r>
      <w:r w:rsidRPr="000469D3">
        <w:rPr>
          <w:rFonts w:ascii="Times New Roman" w:hAnsi="Times New Roman"/>
          <w:bCs/>
        </w:rPr>
        <w:t xml:space="preserve"> The proposed analysis does not require correction for multiple hypothesis testing, as it includes only one confirmatory analysis comparison within the reading comprehension domain (treatment vs. control outcome for all students).</w:t>
      </w:r>
    </w:p>
    <w:p w:rsidR="006A2AC8" w:rsidP="000469D3" w14:paraId="725417C8" w14:textId="27701EFC">
      <w:pPr>
        <w:suppressAutoHyphens/>
        <w:rPr>
          <w:rFonts w:ascii="Times New Roman" w:hAnsi="Times New Roman"/>
          <w:bCs/>
        </w:rPr>
      </w:pPr>
    </w:p>
    <w:p w:rsidR="006A2AC8" w:rsidP="006A2AC8" w14:paraId="7963C498" w14:textId="33AD2465">
      <w:pPr>
        <w:suppressAutoHyphens/>
        <w:rPr>
          <w:rFonts w:ascii="Times New Roman" w:hAnsi="Times New Roman"/>
          <w:bCs/>
        </w:rPr>
      </w:pPr>
      <w:r w:rsidRPr="006A2AC8">
        <w:rPr>
          <w:rFonts w:ascii="Times New Roman" w:hAnsi="Times New Roman"/>
          <w:b/>
          <w:bCs/>
          <w:i/>
          <w:iCs/>
        </w:rPr>
        <w:t xml:space="preserve">Implementation Fidelity. </w:t>
      </w:r>
      <w:r w:rsidRPr="006A2AC8">
        <w:rPr>
          <w:rFonts w:ascii="Times New Roman" w:hAnsi="Times New Roman"/>
          <w:bCs/>
        </w:rPr>
        <w:t xml:space="preserve">To assess fidelity at the program level (6a), the evaluation team will construct quantitative indicators of the extent to which the intended activities were carried out and individual teachers and facilitators participated in the intervention. These analyses will culminate in a program-level rating of whether the program was implemented with fidelity overall, by facilitators, and by teachers. This evaluation will examine implementation of the key school-based components of the toolkit, which are hypothesized as the primary mechanism for improving teacher knowledge, instruction, and student reading comprehension outcomes. The </w:t>
      </w:r>
      <w:r w:rsidRPr="006A2AC8">
        <w:rPr>
          <w:rFonts w:ascii="Times New Roman" w:hAnsi="Times New Roman"/>
        </w:rPr>
        <w:t>key components</w:t>
      </w:r>
      <w:r w:rsidRPr="006A2AC8">
        <w:rPr>
          <w:rFonts w:ascii="Times New Roman" w:hAnsi="Times New Roman"/>
          <w:bCs/>
        </w:rPr>
        <w:t xml:space="preserve"> of the toolkit intervention—integrating both activities and materials—are planning, learning, and institutionalizing. Because these are three distinct phases of implementation, the evaluation team will look at implementation for each of these three components, constructing separate measures for planning, learning, and institutionalizing.</w:t>
      </w:r>
    </w:p>
    <w:p w:rsidR="00DE2B22" w:rsidP="006A2AC8" w14:paraId="145A1122" w14:textId="5E50020B">
      <w:pPr>
        <w:suppressAutoHyphens/>
        <w:rPr>
          <w:rFonts w:ascii="Times New Roman" w:hAnsi="Times New Roman"/>
          <w:bCs/>
        </w:rPr>
      </w:pPr>
    </w:p>
    <w:p w:rsidR="00DE2B22" w:rsidP="00DE2B22" w14:paraId="4B0144E6" w14:textId="3A797848">
      <w:pPr>
        <w:suppressAutoHyphens/>
        <w:rPr>
          <w:rFonts w:ascii="Times New Roman" w:hAnsi="Times New Roman"/>
          <w:bCs/>
        </w:rPr>
      </w:pPr>
      <w:r>
        <w:rPr>
          <w:rFonts w:ascii="Times New Roman" w:hAnsi="Times New Roman"/>
          <w:b/>
          <w:bCs/>
          <w:i/>
          <w:iCs/>
        </w:rPr>
        <w:t xml:space="preserve">Implementation </w:t>
      </w:r>
      <w:r w:rsidRPr="00DE2B22">
        <w:rPr>
          <w:rFonts w:ascii="Times New Roman" w:hAnsi="Times New Roman"/>
          <w:b/>
          <w:bCs/>
          <w:i/>
          <w:iCs/>
        </w:rPr>
        <w:t>Treatment Contrast.</w:t>
      </w:r>
      <w:r w:rsidRPr="00DE2B22">
        <w:rPr>
          <w:rFonts w:ascii="Times New Roman" w:hAnsi="Times New Roman"/>
          <w:bCs/>
        </w:rPr>
        <w:t xml:space="preserve"> To discern treatment contrasts between intervention and control group teachers (6b), the research team will conduct descriptive analysis of use of toolkit-like activities. The evaluation team will conduct descriptive analysis of teacher survey items on professional learning experiences. Items are asked of toolkit teachers about the toolkit and, separately, about non-toolkit activities. Parallel items are asked of control group teachers about any relevant professional learning activities. The structure facilitates analysis of treatment contrast for RQ6b by allowing the analysts to combine toolkit and non-toolkit activities for treatment teachers in contrast to all relevant activities for control teachers. </w:t>
      </w:r>
    </w:p>
    <w:p w:rsidR="00730F15" w:rsidP="00DE2B22" w14:paraId="61084403" w14:textId="14F55185">
      <w:pPr>
        <w:suppressAutoHyphens/>
        <w:rPr>
          <w:rFonts w:ascii="Times New Roman" w:hAnsi="Times New Roman"/>
          <w:bCs/>
        </w:rPr>
      </w:pPr>
    </w:p>
    <w:p w:rsidR="00B77767" w:rsidRPr="00B77767" w:rsidP="00B77767" w14:paraId="3280DC52" w14:textId="751EC873">
      <w:pPr>
        <w:suppressAutoHyphens/>
        <w:rPr>
          <w:rFonts w:ascii="Times New Roman" w:hAnsi="Times New Roman"/>
          <w:bCs/>
        </w:rPr>
      </w:pPr>
      <w:r w:rsidRPr="00AC6414">
        <w:rPr>
          <w:rFonts w:ascii="Times New Roman" w:hAnsi="Times New Roman"/>
          <w:b/>
          <w:bCs/>
          <w:i/>
          <w:iCs/>
        </w:rPr>
        <w:t>Implementation Challenges.</w:t>
      </w:r>
      <w:r w:rsidRPr="00AC6414">
        <w:rPr>
          <w:rFonts w:ascii="Times New Roman" w:hAnsi="Times New Roman"/>
          <w:bCs/>
        </w:rPr>
        <w:t xml:space="preserve"> To identify challenges for completing toolkit activities (6c), the evaluation team will collect and analyze data from teachers, school leaders and facilitators, and district leaders. </w:t>
      </w:r>
      <w:r w:rsidRPr="00432CF2" w:rsidR="00432CF2">
        <w:rPr>
          <w:rFonts w:ascii="Times New Roman" w:hAnsi="Times New Roman"/>
          <w:bCs/>
        </w:rPr>
        <w:t>The evaluation team will report the average percent of teachers in the sample who disagree strongly or somewhat that leaders encourage participation in the toolkit professional development. The threshold for identifying a factor (school leader support in this example) as a challenge is that more than 50 percent of treatment teachers in the sample disagree with this statement.</w:t>
      </w:r>
      <w:r>
        <w:rPr>
          <w:rFonts w:ascii="Times New Roman" w:hAnsi="Times New Roman"/>
          <w:bCs/>
        </w:rPr>
        <w:t xml:space="preserve"> </w:t>
      </w:r>
      <w:r w:rsidRPr="00F976AF" w:rsidR="00F976AF">
        <w:rPr>
          <w:rFonts w:ascii="Times New Roman" w:hAnsi="Times New Roman"/>
          <w:bCs/>
        </w:rPr>
        <w:t>Similarly, the school leader and facilitator survey asks questions about potential challenges for toolkit implementation,</w:t>
      </w:r>
      <w:r w:rsidR="00F976AF">
        <w:rPr>
          <w:rFonts w:ascii="Times New Roman" w:hAnsi="Times New Roman"/>
          <w:bCs/>
        </w:rPr>
        <w:t xml:space="preserve"> and these will be summarizes. T</w:t>
      </w:r>
      <w:r w:rsidRPr="00B77767">
        <w:rPr>
          <w:rFonts w:ascii="Times New Roman" w:hAnsi="Times New Roman"/>
          <w:bCs/>
        </w:rPr>
        <w:t xml:space="preserve">he district interview protocol has some closed-ended questions about potential implementation challenges, which will be analyzed as the questions above. In addition, the district interview has five open-ended questions about alignment with district policies, supports, challenges, and facilitators. The </w:t>
      </w:r>
      <w:r w:rsidRPr="00B77767">
        <w:rPr>
          <w:rFonts w:ascii="Times New Roman" w:hAnsi="Times New Roman"/>
          <w:bCs/>
        </w:rPr>
        <w:t>evaluation team will analyze these responses qualitatively, coding each interview in Dedoose and developing analytic summaries for the most commonly occurring challenges and supports.</w:t>
      </w:r>
    </w:p>
    <w:p w:rsidR="003C0726" w:rsidRPr="003C0726" w:rsidP="003C0726" w14:paraId="260171AA" w14:textId="77777777">
      <w:pPr>
        <w:suppressAutoHyphens/>
        <w:rPr>
          <w:rFonts w:ascii="Times New Roman" w:hAnsi="Times New Roman"/>
          <w:bCs/>
        </w:rPr>
      </w:pPr>
    </w:p>
    <w:p w:rsidR="00E72D3D" w:rsidRPr="00951B36" w:rsidP="00125E7C" w14:paraId="1D5E80D6" w14:textId="0C170789">
      <w:pPr>
        <w:pStyle w:val="ListParagraph"/>
        <w:numPr>
          <w:ilvl w:val="0"/>
          <w:numId w:val="10"/>
        </w:numPr>
        <w:suppressAutoHyphens/>
        <w:rPr>
          <w:rFonts w:ascii="Times New Roman" w:hAnsi="Times New Roman"/>
          <w:b/>
        </w:rPr>
      </w:pPr>
      <w:r w:rsidRPr="00951B36">
        <w:rPr>
          <w:rFonts w:ascii="Times New Roman" w:hAnsi="Times New Roman"/>
          <w:b/>
        </w:rPr>
        <w:t>Degree of Accuracy Needed</w:t>
      </w:r>
    </w:p>
    <w:p w:rsidR="00951B36" w:rsidP="00951B36" w14:paraId="6A88D8AD" w14:textId="2CED3A65">
      <w:pPr>
        <w:suppressAutoHyphens/>
        <w:rPr>
          <w:rFonts w:ascii="Times New Roman" w:hAnsi="Times New Roman"/>
          <w:bCs/>
        </w:rPr>
      </w:pPr>
    </w:p>
    <w:p w:rsidR="00951B36" w:rsidP="00951B36" w14:paraId="23E60CA9" w14:textId="1569BB95">
      <w:pPr>
        <w:suppressAutoHyphens/>
        <w:rPr>
          <w:rFonts w:ascii="Times New Roman" w:hAnsi="Times New Roman"/>
          <w:bCs/>
        </w:rPr>
      </w:pPr>
      <w:r w:rsidRPr="00951B36">
        <w:rPr>
          <w:rFonts w:ascii="Times New Roman" w:hAnsi="Times New Roman"/>
          <w:bCs/>
        </w:rPr>
        <w:t xml:space="preserve">The evaluation team used NCES’s Elementary/Secondary Information System to identify Arizona elementary schools and district sizes. The team used the </w:t>
      </w:r>
      <w:r w:rsidRPr="00951B36">
        <w:rPr>
          <w:rFonts w:ascii="Times New Roman" w:hAnsi="Times New Roman"/>
          <w:bCs/>
        </w:rPr>
        <w:t>PowerUp</w:t>
      </w:r>
      <w:r w:rsidRPr="00951B36">
        <w:rPr>
          <w:rFonts w:ascii="Times New Roman" w:hAnsi="Times New Roman"/>
          <w:bCs/>
        </w:rPr>
        <w:t xml:space="preserve">! tool to calculate the </w:t>
      </w:r>
      <w:r w:rsidRPr="00951B36">
        <w:rPr>
          <w:rFonts w:ascii="Times New Roman" w:hAnsi="Times New Roman"/>
          <w:bCs/>
          <w:u w:val="single"/>
        </w:rPr>
        <w:t>number of schools required for the study</w:t>
      </w:r>
      <w:r w:rsidRPr="00951B36">
        <w:rPr>
          <w:rFonts w:ascii="Times New Roman" w:hAnsi="Times New Roman"/>
          <w:bCs/>
        </w:rPr>
        <w:t xml:space="preserve"> to have an 80 percent chance of detecting, as statistically significant, an effect size (ES) of 0.15 standard deviations in student achievement scores (Dong &amp; Maynard, 2013). This effect size is conservative compared to those found in prior studies of lower elementary school reading interventions (Gersten et al., 2010: ES = 0.77; </w:t>
      </w:r>
      <w:bookmarkStart w:id="10" w:name="_Hlk67572308"/>
      <w:r w:rsidRPr="00951B36">
        <w:rPr>
          <w:rFonts w:ascii="Times New Roman" w:hAnsi="Times New Roman"/>
          <w:bCs/>
        </w:rPr>
        <w:t xml:space="preserve">Knezek </w:t>
      </w:r>
      <w:bookmarkEnd w:id="10"/>
      <w:r w:rsidRPr="00951B36">
        <w:rPr>
          <w:rFonts w:ascii="Times New Roman" w:hAnsi="Times New Roman"/>
          <w:bCs/>
        </w:rPr>
        <w:t xml:space="preserve">&amp; Christensen, 2007: ES = 0.30; </w:t>
      </w:r>
      <w:bookmarkStart w:id="11" w:name="_Hlk67572323"/>
      <w:r w:rsidRPr="00951B36">
        <w:rPr>
          <w:rFonts w:ascii="Times New Roman" w:hAnsi="Times New Roman"/>
          <w:bCs/>
        </w:rPr>
        <w:t>Vernon-Feagans et al., 2012</w:t>
      </w:r>
      <w:bookmarkEnd w:id="11"/>
      <w:r w:rsidRPr="00951B36">
        <w:rPr>
          <w:rFonts w:ascii="Times New Roman" w:hAnsi="Times New Roman"/>
          <w:bCs/>
        </w:rPr>
        <w:t>: ES =  0.25), and is supported by a meta-analysis (</w:t>
      </w:r>
      <w:bookmarkStart w:id="12" w:name="_Hlk67572332"/>
      <w:r w:rsidRPr="00951B36">
        <w:rPr>
          <w:rFonts w:ascii="Times New Roman" w:hAnsi="Times New Roman"/>
          <w:bCs/>
        </w:rPr>
        <w:t>Didion et al., 2020</w:t>
      </w:r>
      <w:bookmarkEnd w:id="12"/>
      <w:r w:rsidRPr="00951B36">
        <w:rPr>
          <w:rFonts w:ascii="Times New Roman" w:hAnsi="Times New Roman"/>
          <w:bCs/>
        </w:rPr>
        <w:t>) of studies of the impact of professional development on student achievement (i.e., for 21 RCT studies reviewed, Hedges’ g = 0.18, p &lt; .05, and a 95% confidence interval of [0.07, 0.29]). The analysis for RQ2 assumes a two-level model (with students nested in schools).</w:t>
      </w:r>
      <w:r w:rsidRPr="00951B36">
        <w:rPr>
          <w:rFonts w:ascii="Times New Roman" w:hAnsi="Times New Roman"/>
          <w:bCs/>
          <w:vertAlign w:val="superscript"/>
        </w:rPr>
        <w:t xml:space="preserve"> </w:t>
      </w:r>
      <w:r w:rsidRPr="00951B36">
        <w:rPr>
          <w:rFonts w:ascii="Times New Roman" w:hAnsi="Times New Roman"/>
          <w:bCs/>
        </w:rPr>
        <w:t>The research team assumes a school-level ICC of 0.15, and the team also assumes the proportion of variance in outcome between schools and students (R2) to be 0.7 for reading achievement</w:t>
      </w:r>
      <w:r w:rsidR="0077473C">
        <w:rPr>
          <w:rFonts w:ascii="Times New Roman" w:hAnsi="Times New Roman"/>
          <w:bCs/>
        </w:rPr>
        <w:t xml:space="preserve"> (</w:t>
      </w:r>
      <w:r w:rsidRPr="0077473C" w:rsidR="0077473C">
        <w:rPr>
          <w:rFonts w:ascii="Times New Roman" w:hAnsi="Times New Roman"/>
          <w:bCs/>
        </w:rPr>
        <w:t>Hedges and Hedberg</w:t>
      </w:r>
      <w:r w:rsidR="0077473C">
        <w:rPr>
          <w:rFonts w:ascii="Times New Roman" w:hAnsi="Times New Roman"/>
          <w:bCs/>
        </w:rPr>
        <w:t>,</w:t>
      </w:r>
      <w:r w:rsidRPr="0077473C" w:rsidR="0077473C">
        <w:rPr>
          <w:rFonts w:ascii="Times New Roman" w:hAnsi="Times New Roman"/>
          <w:bCs/>
        </w:rPr>
        <w:t>2013</w:t>
      </w:r>
      <w:r w:rsidR="0077473C">
        <w:rPr>
          <w:rFonts w:ascii="Times New Roman" w:hAnsi="Times New Roman"/>
          <w:bCs/>
        </w:rPr>
        <w:t>)</w:t>
      </w:r>
      <w:r w:rsidRPr="00951B36">
        <w:rPr>
          <w:rFonts w:ascii="Times New Roman" w:hAnsi="Times New Roman"/>
          <w:bCs/>
        </w:rPr>
        <w:t>. Using data on Arizona elementary schools from the 2018 CCD, the evaluation team assumes a harmonic mean of 200 eligible students (grades K–3) and 100 eligible Hispanic/Latinx students per school. Using schools as the unit of assignment, assumptions about the number of Hispanic/Latinx students per school, and a target effect size that has substantive importance and is reasonable to expect, the team anticipates needing a sample of 70 schools across six districts</w:t>
      </w:r>
      <w:r w:rsidR="0082312F">
        <w:rPr>
          <w:rFonts w:ascii="Times New Roman" w:hAnsi="Times New Roman"/>
          <w:bCs/>
        </w:rPr>
        <w:t>.</w:t>
      </w:r>
    </w:p>
    <w:p w:rsidR="00951B36" w:rsidRPr="00951B36" w:rsidP="00951B36" w14:paraId="07173B97" w14:textId="77777777">
      <w:pPr>
        <w:suppressAutoHyphens/>
        <w:rPr>
          <w:rFonts w:ascii="Times New Roman" w:hAnsi="Times New Roman"/>
          <w:bCs/>
        </w:rPr>
      </w:pPr>
    </w:p>
    <w:p w:rsidR="00D0692C" w:rsidRPr="003D60DC" w:rsidP="00125E7C" w14:paraId="3B5C2602" w14:textId="14B6FDCB">
      <w:pPr>
        <w:pStyle w:val="ListParagraph"/>
        <w:numPr>
          <w:ilvl w:val="0"/>
          <w:numId w:val="10"/>
        </w:numPr>
        <w:suppressAutoHyphens/>
        <w:rPr>
          <w:rFonts w:ascii="Times New Roman" w:hAnsi="Times New Roman"/>
          <w:b/>
        </w:rPr>
      </w:pPr>
      <w:r w:rsidRPr="003D60DC">
        <w:rPr>
          <w:rFonts w:ascii="Times New Roman" w:hAnsi="Times New Roman"/>
          <w:b/>
        </w:rPr>
        <w:t>Unusual Problems Requiring Specialized Sampling Procedures</w:t>
      </w:r>
    </w:p>
    <w:p w:rsidR="003D60DC" w:rsidP="003D60DC" w14:paraId="7E361F18" w14:textId="01EDFAE8">
      <w:pPr>
        <w:suppressAutoHyphens/>
        <w:rPr>
          <w:rFonts w:ascii="Times New Roman" w:hAnsi="Times New Roman"/>
          <w:bCs/>
        </w:rPr>
      </w:pPr>
    </w:p>
    <w:p w:rsidR="003D60DC" w:rsidP="003D60DC" w14:paraId="184508B7" w14:textId="66F194E6">
      <w:pPr>
        <w:suppressAutoHyphens/>
        <w:rPr>
          <w:rFonts w:ascii="Times New Roman" w:hAnsi="Times New Roman"/>
          <w:bCs/>
        </w:rPr>
      </w:pPr>
      <w:r w:rsidRPr="003D60DC">
        <w:rPr>
          <w:rFonts w:ascii="Times New Roman" w:hAnsi="Times New Roman"/>
          <w:bCs/>
        </w:rPr>
        <w:t>There are no unusual problems requiring specialized sampling procedures.</w:t>
      </w:r>
    </w:p>
    <w:p w:rsidR="00B52307" w:rsidP="003D60DC" w14:paraId="5CEA3024" w14:textId="7AEBE21B">
      <w:pPr>
        <w:suppressAutoHyphens/>
        <w:rPr>
          <w:rFonts w:ascii="Times New Roman" w:hAnsi="Times New Roman"/>
          <w:bCs/>
        </w:rPr>
      </w:pPr>
    </w:p>
    <w:p w:rsidR="00B52307" w:rsidP="00B52307" w14:paraId="6809A85D" w14:textId="63EABE64">
      <w:pPr>
        <w:pStyle w:val="ListParagraph"/>
        <w:numPr>
          <w:ilvl w:val="0"/>
          <w:numId w:val="10"/>
        </w:numPr>
        <w:suppressAutoHyphens/>
        <w:rPr>
          <w:rFonts w:ascii="Times New Roman" w:hAnsi="Times New Roman"/>
          <w:b/>
        </w:rPr>
      </w:pPr>
      <w:r w:rsidRPr="00B52307">
        <w:rPr>
          <w:rFonts w:ascii="Times New Roman" w:hAnsi="Times New Roman"/>
          <w:b/>
        </w:rPr>
        <w:t>Use of Periodic (less than annual) Data Collection to Reduce Burden</w:t>
      </w:r>
    </w:p>
    <w:p w:rsidR="00B52307" w:rsidP="00B52307" w14:paraId="4F31E73F" w14:textId="0F76CED8">
      <w:pPr>
        <w:suppressAutoHyphens/>
        <w:rPr>
          <w:rFonts w:ascii="Times New Roman" w:hAnsi="Times New Roman"/>
          <w:b/>
        </w:rPr>
      </w:pPr>
    </w:p>
    <w:p w:rsidR="00B52307" w:rsidRPr="00CA6D4B" w:rsidP="00CA6D4B" w14:paraId="5BE9E5D8" w14:textId="4F072F47">
      <w:pPr>
        <w:suppressAutoHyphens/>
        <w:rPr>
          <w:rFonts w:ascii="Times New Roman" w:hAnsi="Times New Roman"/>
          <w:bCs/>
        </w:rPr>
      </w:pPr>
      <w:r w:rsidRPr="00CA6D4B">
        <w:rPr>
          <w:rFonts w:ascii="Times New Roman" w:hAnsi="Times New Roman"/>
          <w:bCs/>
        </w:rPr>
        <w:t>This project</w:t>
      </w:r>
      <w:r>
        <w:rPr>
          <w:rFonts w:ascii="Times New Roman" w:hAnsi="Times New Roman"/>
          <w:bCs/>
        </w:rPr>
        <w:t xml:space="preserve"> will collect data one time for recruitment. Outcome data will need to be collected more frequently than annually because the evaluation is occurring within one school year, and some measures will need to be assessed in September and June of the same year. A longer period between data collection would make it difficult for the study team to meet the requirements for the efficacy study (by preventing baseline and follow up data collection in the timeframe necessary for the evaluation).</w:t>
      </w:r>
    </w:p>
    <w:p w:rsidR="00B52307" w:rsidRPr="003D60DC" w:rsidP="003D60DC" w14:paraId="464E26FC" w14:textId="77777777">
      <w:pPr>
        <w:suppressAutoHyphens/>
        <w:rPr>
          <w:rFonts w:ascii="Times New Roman" w:hAnsi="Times New Roman"/>
          <w:bCs/>
        </w:rPr>
      </w:pPr>
    </w:p>
    <w:p w:rsidR="00F40C12" w:rsidRPr="00F20AF9" w:rsidP="00241D49" w14:paraId="396A5ED3" w14:textId="77777777">
      <w:pPr>
        <w:suppressAutoHyphens/>
        <w:rPr>
          <w:rFonts w:ascii="Times New Roman" w:hAnsi="Times New Roman"/>
          <w:bCs/>
          <w:webHidden/>
        </w:rPr>
      </w:pPr>
    </w:p>
    <w:p w:rsidR="006F0AAA" w:rsidP="006F0AAA" w14:paraId="5B893167" w14:textId="135C1B08">
      <w:pPr>
        <w:pStyle w:val="Heading2"/>
        <w:jc w:val="left"/>
      </w:pPr>
      <w:r>
        <w:t>B</w:t>
      </w:r>
      <w:r w:rsidR="00CE413B">
        <w:t>3</w:t>
      </w:r>
      <w:r w:rsidRPr="00E12728">
        <w:t xml:space="preserve">.  </w:t>
      </w:r>
      <w:r w:rsidR="009F6B26">
        <w:t>Methods for Maximizing the Response Rate</w:t>
      </w:r>
    </w:p>
    <w:p w:rsidR="00CE64B3" w:rsidRPr="005866C1" w:rsidP="0069640A" w14:paraId="5C67D2AB" w14:textId="41CB41ED">
      <w:pPr>
        <w:suppressAutoHyphens/>
        <w:spacing w:line="240" w:lineRule="exact"/>
        <w:rPr>
          <w:rFonts w:ascii="Times New Roman" w:hAnsi="Times New Roman"/>
          <w:b/>
          <w:webHidden/>
        </w:rPr>
      </w:pPr>
    </w:p>
    <w:p w:rsidR="005866C1" w:rsidRPr="005866C1" w:rsidP="005866C1" w14:paraId="21BFAA8C" w14:textId="557DD8E0">
      <w:pPr>
        <w:suppressAutoHyphens/>
        <w:rPr>
          <w:rFonts w:ascii="Times New Roman" w:hAnsi="Times New Roman"/>
          <w:bCs/>
        </w:rPr>
      </w:pPr>
      <w:r>
        <w:rPr>
          <w:rFonts w:ascii="Times New Roman" w:hAnsi="Times New Roman"/>
          <w:bCs/>
        </w:rPr>
        <w:t>The evaluation team</w:t>
      </w:r>
      <w:r w:rsidRPr="005866C1">
        <w:rPr>
          <w:rFonts w:ascii="Times New Roman" w:hAnsi="Times New Roman"/>
          <w:bCs/>
        </w:rPr>
        <w:t xml:space="preserve"> is committed to obtaining complete data for this evaluation. A large share of the impact analysis question for the evaluation relies heavily on administrative data. ED’s contractor anticipates a </w:t>
      </w:r>
      <w:r w:rsidR="0095370B">
        <w:rPr>
          <w:rFonts w:ascii="Times New Roman" w:hAnsi="Times New Roman"/>
          <w:bCs/>
        </w:rPr>
        <w:t>100</w:t>
      </w:r>
      <w:r w:rsidRPr="005866C1">
        <w:rPr>
          <w:rFonts w:ascii="Times New Roman" w:hAnsi="Times New Roman"/>
          <w:bCs/>
        </w:rPr>
        <w:t xml:space="preserve">-percent response rate from </w:t>
      </w:r>
      <w:r w:rsidR="0095370B">
        <w:rPr>
          <w:rFonts w:ascii="Times New Roman" w:hAnsi="Times New Roman"/>
          <w:bCs/>
        </w:rPr>
        <w:t>Arizona districts</w:t>
      </w:r>
      <w:r w:rsidRPr="005866C1">
        <w:rPr>
          <w:rFonts w:ascii="Times New Roman" w:hAnsi="Times New Roman"/>
          <w:bCs/>
        </w:rPr>
        <w:t xml:space="preserve"> on teacher and principal measures in the administrative data</w:t>
      </w:r>
      <w:r w:rsidR="00686E78">
        <w:rPr>
          <w:rFonts w:ascii="Times New Roman" w:hAnsi="Times New Roman"/>
          <w:bCs/>
        </w:rPr>
        <w:t xml:space="preserve">, and </w:t>
      </w:r>
      <w:r w:rsidRPr="005866C1" w:rsidR="00686E78">
        <w:rPr>
          <w:rFonts w:ascii="Times New Roman" w:hAnsi="Times New Roman"/>
          <w:bCs/>
        </w:rPr>
        <w:t>a</w:t>
      </w:r>
      <w:r w:rsidR="00686E78">
        <w:rPr>
          <w:rFonts w:ascii="Times New Roman" w:hAnsi="Times New Roman"/>
          <w:bCs/>
        </w:rPr>
        <w:t>n 85</w:t>
      </w:r>
      <w:r w:rsidRPr="005866C1" w:rsidR="00686E78">
        <w:rPr>
          <w:rFonts w:ascii="Times New Roman" w:hAnsi="Times New Roman"/>
          <w:bCs/>
        </w:rPr>
        <w:t xml:space="preserve">-percent response rate from </w:t>
      </w:r>
      <w:r w:rsidR="00686E78">
        <w:rPr>
          <w:rFonts w:ascii="Times New Roman" w:hAnsi="Times New Roman"/>
          <w:bCs/>
        </w:rPr>
        <w:t>Arizona districts</w:t>
      </w:r>
      <w:r w:rsidRPr="005866C1" w:rsidR="00686E78">
        <w:rPr>
          <w:rFonts w:ascii="Times New Roman" w:hAnsi="Times New Roman"/>
          <w:bCs/>
        </w:rPr>
        <w:t xml:space="preserve"> on </w:t>
      </w:r>
      <w:r w:rsidR="00686E78">
        <w:rPr>
          <w:rFonts w:ascii="Times New Roman" w:hAnsi="Times New Roman"/>
          <w:bCs/>
        </w:rPr>
        <w:t xml:space="preserve">students </w:t>
      </w:r>
      <w:r w:rsidRPr="005866C1" w:rsidR="00686E78">
        <w:rPr>
          <w:rFonts w:ascii="Times New Roman" w:hAnsi="Times New Roman"/>
          <w:bCs/>
        </w:rPr>
        <w:t>measures in the administrative data</w:t>
      </w:r>
      <w:r w:rsidRPr="005866C1">
        <w:rPr>
          <w:rFonts w:ascii="Times New Roman" w:hAnsi="Times New Roman"/>
          <w:bCs/>
        </w:rPr>
        <w:t xml:space="preserve">. A key to achieving complete administrative data is tracking the data components from </w:t>
      </w:r>
      <w:r w:rsidR="0095370B">
        <w:rPr>
          <w:rFonts w:ascii="Times New Roman" w:hAnsi="Times New Roman"/>
          <w:bCs/>
        </w:rPr>
        <w:t>each district</w:t>
      </w:r>
      <w:r w:rsidRPr="005866C1">
        <w:rPr>
          <w:rFonts w:ascii="Times New Roman" w:hAnsi="Times New Roman"/>
          <w:bCs/>
        </w:rPr>
        <w:t xml:space="preserve"> with e-mail and telephone contact to the </w:t>
      </w:r>
      <w:r w:rsidRPr="005866C1">
        <w:rPr>
          <w:rFonts w:ascii="Times New Roman" w:hAnsi="Times New Roman"/>
          <w:bCs/>
        </w:rPr>
        <w:t xml:space="preserve">appropriate parties to resolve issues of missing or delayed data files. All administrative data files will be reviewed for consistency and completeness. If a data file has too many missing values or if an instrument in the implementation study has too few items completed to be counted as a response, </w:t>
      </w:r>
      <w:r w:rsidR="0095370B">
        <w:rPr>
          <w:rFonts w:ascii="Times New Roman" w:hAnsi="Times New Roman"/>
          <w:bCs/>
        </w:rPr>
        <w:t>the evaluation team</w:t>
      </w:r>
      <w:r w:rsidRPr="005866C1">
        <w:rPr>
          <w:rFonts w:ascii="Times New Roman" w:hAnsi="Times New Roman"/>
          <w:bCs/>
        </w:rPr>
        <w:t xml:space="preserve"> will seek to obtain more complete responses by e-mail or phone.</w:t>
      </w:r>
    </w:p>
    <w:p w:rsidR="005866C1" w:rsidRPr="005866C1" w:rsidP="005866C1" w14:paraId="50FE74FB" w14:textId="77777777">
      <w:pPr>
        <w:suppressAutoHyphens/>
        <w:rPr>
          <w:rFonts w:ascii="Times New Roman" w:hAnsi="Times New Roman"/>
          <w:bCs/>
        </w:rPr>
      </w:pPr>
    </w:p>
    <w:p w:rsidR="005866C1" w:rsidP="005866C1" w14:paraId="4CDA9CE5" w14:textId="631F1E87">
      <w:pPr>
        <w:suppressAutoHyphens/>
        <w:rPr>
          <w:rFonts w:ascii="Times New Roman" w:hAnsi="Times New Roman"/>
          <w:bCs/>
        </w:rPr>
      </w:pPr>
      <w:r w:rsidRPr="005866C1">
        <w:rPr>
          <w:rFonts w:ascii="Times New Roman" w:hAnsi="Times New Roman"/>
          <w:bCs/>
        </w:rPr>
        <w:t xml:space="preserve">Based on its prior experience with administering surveys to principals and teachers in a variety of schools, districts, and states, </w:t>
      </w:r>
      <w:r w:rsidR="00A513D0">
        <w:rPr>
          <w:rFonts w:ascii="Times New Roman" w:hAnsi="Times New Roman"/>
          <w:bCs/>
        </w:rPr>
        <w:t>the evaluation team</w:t>
      </w:r>
      <w:r w:rsidRPr="005866C1">
        <w:rPr>
          <w:rFonts w:ascii="Times New Roman" w:hAnsi="Times New Roman"/>
          <w:bCs/>
        </w:rPr>
        <w:t xml:space="preserve"> expects the response rate for the baseline survey to be at 85 percent for those principals</w:t>
      </w:r>
      <w:r w:rsidR="00A513D0">
        <w:rPr>
          <w:rFonts w:ascii="Times New Roman" w:hAnsi="Times New Roman"/>
          <w:bCs/>
        </w:rPr>
        <w:t>/facilitators</w:t>
      </w:r>
      <w:r w:rsidRPr="005866C1">
        <w:rPr>
          <w:rFonts w:ascii="Times New Roman" w:hAnsi="Times New Roman"/>
          <w:bCs/>
        </w:rPr>
        <w:t xml:space="preserve"> and teachers who consent to participate in the study. We will contact non-responding </w:t>
      </w:r>
      <w:r w:rsidR="00A513D0">
        <w:rPr>
          <w:rFonts w:ascii="Times New Roman" w:hAnsi="Times New Roman"/>
          <w:bCs/>
        </w:rPr>
        <w:t>school staff members</w:t>
      </w:r>
      <w:r w:rsidRPr="005866C1">
        <w:rPr>
          <w:rFonts w:ascii="Times New Roman" w:hAnsi="Times New Roman"/>
          <w:bCs/>
        </w:rPr>
        <w:t xml:space="preserve"> up to four times to encourage participation. Three follow-up email reminders will be sent to individual respondents in the event that responses are not obtained for Web-based surveys. </w:t>
      </w:r>
      <w:r w:rsidR="00CA07DE">
        <w:rPr>
          <w:rFonts w:ascii="Times New Roman" w:hAnsi="Times New Roman"/>
          <w:bCs/>
        </w:rPr>
        <w:t xml:space="preserve">The evaluation team will consider </w:t>
      </w:r>
      <w:r w:rsidRPr="00CA07DE" w:rsidR="00CA07DE">
        <w:rPr>
          <w:rFonts w:ascii="Times New Roman" w:hAnsi="Times New Roman"/>
          <w:bCs/>
        </w:rPr>
        <w:t>other modes of follow-up including reminder letters and reminder phone calls</w:t>
      </w:r>
      <w:r w:rsidR="00CA07DE">
        <w:rPr>
          <w:rFonts w:ascii="Times New Roman" w:hAnsi="Times New Roman"/>
          <w:bCs/>
        </w:rPr>
        <w:t xml:space="preserve"> if response rates are below expectation</w:t>
      </w:r>
      <w:r w:rsidRPr="00CA07DE" w:rsidR="00CA07DE">
        <w:rPr>
          <w:rFonts w:ascii="Times New Roman" w:hAnsi="Times New Roman"/>
          <w:bCs/>
        </w:rPr>
        <w:t>.</w:t>
      </w:r>
      <w:r w:rsidR="00CA07DE">
        <w:rPr>
          <w:rFonts w:ascii="Times New Roman" w:hAnsi="Times New Roman"/>
          <w:bCs/>
        </w:rPr>
        <w:t xml:space="preserve"> </w:t>
      </w:r>
    </w:p>
    <w:p w:rsidR="00A513D0" w:rsidRPr="005866C1" w:rsidP="005866C1" w14:paraId="1A20DE29" w14:textId="77777777">
      <w:pPr>
        <w:suppressAutoHyphens/>
        <w:rPr>
          <w:rFonts w:ascii="Times New Roman" w:hAnsi="Times New Roman"/>
          <w:bCs/>
        </w:rPr>
      </w:pPr>
    </w:p>
    <w:p w:rsidR="008A6369" w:rsidP="005866C1" w14:paraId="04DBBDBF" w14:textId="0C80D16C">
      <w:pPr>
        <w:suppressAutoHyphens/>
        <w:rPr>
          <w:rFonts w:ascii="Times New Roman" w:hAnsi="Times New Roman"/>
          <w:bCs/>
        </w:rPr>
      </w:pPr>
      <w:r w:rsidRPr="005866C1">
        <w:rPr>
          <w:rFonts w:ascii="Times New Roman" w:hAnsi="Times New Roman"/>
          <w:bCs/>
        </w:rPr>
        <w:t xml:space="preserve">In addition, a number of steps will be taken to maximize response rates. For example, sampled respondents will receive advance communications explaining the study, introducing the REL </w:t>
      </w:r>
      <w:r w:rsidR="00976621">
        <w:rPr>
          <w:rFonts w:ascii="Times New Roman" w:hAnsi="Times New Roman"/>
          <w:bCs/>
        </w:rPr>
        <w:t>West</w:t>
      </w:r>
      <w:r w:rsidRPr="005866C1">
        <w:rPr>
          <w:rFonts w:ascii="Times New Roman" w:hAnsi="Times New Roman"/>
          <w:bCs/>
        </w:rPr>
        <w:t xml:space="preserve">, provide an assurance of confidentiality, and encourage them to participate as a way to help </w:t>
      </w:r>
      <w:r>
        <w:rPr>
          <w:rFonts w:ascii="Times New Roman" w:hAnsi="Times New Roman"/>
          <w:bCs/>
        </w:rPr>
        <w:t>refine the toolkit</w:t>
      </w:r>
      <w:r w:rsidRPr="005866C1">
        <w:rPr>
          <w:rFonts w:ascii="Times New Roman" w:hAnsi="Times New Roman"/>
          <w:bCs/>
        </w:rPr>
        <w:t xml:space="preserve">. Respondents also will be given a contact number to reach </w:t>
      </w:r>
      <w:r>
        <w:rPr>
          <w:rFonts w:ascii="Times New Roman" w:hAnsi="Times New Roman"/>
          <w:bCs/>
        </w:rPr>
        <w:t>the evaluation team</w:t>
      </w:r>
      <w:r w:rsidRPr="005866C1">
        <w:rPr>
          <w:rFonts w:ascii="Times New Roman" w:hAnsi="Times New Roman"/>
          <w:bCs/>
        </w:rPr>
        <w:t xml:space="preserve"> with questions. </w:t>
      </w:r>
    </w:p>
    <w:p w:rsidR="008A6369" w:rsidP="005866C1" w14:paraId="29E5D987" w14:textId="77777777">
      <w:pPr>
        <w:suppressAutoHyphens/>
        <w:rPr>
          <w:rFonts w:ascii="Times New Roman" w:hAnsi="Times New Roman"/>
          <w:bCs/>
        </w:rPr>
      </w:pPr>
    </w:p>
    <w:p w:rsidR="005866C1" w:rsidP="005866C1" w14:paraId="79C1E39D" w14:textId="373977E3">
      <w:pPr>
        <w:suppressAutoHyphens/>
        <w:rPr>
          <w:rFonts w:ascii="Times New Roman" w:hAnsi="Times New Roman"/>
          <w:bCs/>
        </w:rPr>
      </w:pPr>
      <w:r w:rsidRPr="005866C1">
        <w:rPr>
          <w:rFonts w:ascii="Times New Roman" w:hAnsi="Times New Roman"/>
          <w:bCs/>
        </w:rPr>
        <w:t>Finally, respondents will receive an incentive for participating in the study</w:t>
      </w:r>
      <w:r w:rsidRPr="008A6369" w:rsidR="008A6369">
        <w:rPr>
          <w:rFonts w:ascii="Times New Roman" w:hAnsi="Times New Roman"/>
          <w:bCs/>
        </w:rPr>
        <w:t xml:space="preserve">: $30 per teacher survey, $50 per school leader or facilitator survey, and $75 per two-week round of logs, to be provided at the end of each round of data collection. A maximum of $210 in gift cards will be provided to each participant as compensation. In addition, </w:t>
      </w:r>
      <w:r w:rsidR="008A6369">
        <w:rPr>
          <w:rFonts w:ascii="Times New Roman" w:hAnsi="Times New Roman"/>
          <w:bCs/>
        </w:rPr>
        <w:t xml:space="preserve">to ensure responses from control school, </w:t>
      </w:r>
      <w:r w:rsidRPr="008A6369" w:rsidR="008A6369">
        <w:rPr>
          <w:rFonts w:ascii="Times New Roman" w:hAnsi="Times New Roman"/>
          <w:bCs/>
        </w:rPr>
        <w:t xml:space="preserve">schools randomly assigned to </w:t>
      </w:r>
      <w:r w:rsidR="008A6369">
        <w:rPr>
          <w:rFonts w:ascii="Times New Roman" w:hAnsi="Times New Roman"/>
          <w:bCs/>
        </w:rPr>
        <w:t>this group</w:t>
      </w:r>
      <w:r w:rsidRPr="008A6369" w:rsidR="008A6369">
        <w:rPr>
          <w:rFonts w:ascii="Times New Roman" w:hAnsi="Times New Roman"/>
          <w:bCs/>
        </w:rPr>
        <w:t xml:space="preserve"> will receive $2,500 to be used on activities unrelated to the intervention.</w:t>
      </w:r>
    </w:p>
    <w:p w:rsidR="008A6369" w:rsidRPr="005866C1" w:rsidP="005866C1" w14:paraId="32B91D47" w14:textId="77777777">
      <w:pPr>
        <w:suppressAutoHyphens/>
        <w:rPr>
          <w:rFonts w:ascii="Times New Roman" w:hAnsi="Times New Roman"/>
          <w:bCs/>
        </w:rPr>
      </w:pPr>
    </w:p>
    <w:p w:rsidR="00712A44" w:rsidRPr="00E32010" w:rsidP="00495396" w14:paraId="2DAD0787" w14:textId="14278795">
      <w:pPr>
        <w:suppressAutoHyphens/>
        <w:rPr>
          <w:rFonts w:ascii="Times New Roman" w:hAnsi="Times New Roman"/>
          <w:bCs/>
          <w:webHidden/>
        </w:rPr>
      </w:pPr>
      <w:r>
        <w:rPr>
          <w:rFonts w:ascii="Times New Roman" w:hAnsi="Times New Roman"/>
          <w:bCs/>
        </w:rPr>
        <w:t xml:space="preserve">The evaluation team has multiple strategies to deal with missing data due to non-response. </w:t>
      </w:r>
      <w:r w:rsidRPr="000469D3" w:rsidR="008A6369">
        <w:rPr>
          <w:rFonts w:ascii="Times New Roman" w:hAnsi="Times New Roman"/>
          <w:bCs/>
        </w:rPr>
        <w:t>Prior to starting the analyses, the evaluation team will examine the extent of missing data overall and by treatment group. Starting from the WWC options for dealing with missing data, researchers on the team will use appropriate analytic methods to account for missing data and will consider options such as complete case analyses with regression adjustment, maximum likelihood methods, or non-response weights. Implementation of the approach will follow requirements such as using one of the WWC acceptable approaches and assessing the analysis sample for low attrition before applying the acceptable missing data approach. The most recent statistical literature will also be considered to examine other additional methods. If such methods are necessary, results using data not adjusted for missingness will also be included in an appendix for the report.</w:t>
      </w:r>
    </w:p>
    <w:p w:rsidR="00CE64B3" w:rsidRPr="0069640A" w:rsidP="0069640A" w14:paraId="11B4EEC3" w14:textId="77777777">
      <w:pPr>
        <w:suppressAutoHyphens/>
        <w:spacing w:line="240" w:lineRule="exact"/>
        <w:rPr>
          <w:rFonts w:ascii="Times New Roman" w:hAnsi="Times New Roman"/>
          <w:szCs w:val="24"/>
        </w:rPr>
      </w:pPr>
    </w:p>
    <w:p w:rsidR="00495396" w:rsidP="00495396" w14:paraId="42728D4F" w14:textId="14E50864">
      <w:pPr>
        <w:pStyle w:val="Heading2"/>
        <w:jc w:val="left"/>
      </w:pPr>
      <w:r>
        <w:t>B</w:t>
      </w:r>
      <w:r>
        <w:t>4</w:t>
      </w:r>
      <w:r w:rsidRPr="00E12728">
        <w:t xml:space="preserve">.  </w:t>
      </w:r>
      <w:r w:rsidR="00B0128C">
        <w:t>Test of Procedures</w:t>
      </w:r>
    </w:p>
    <w:p w:rsidR="00992C29" w:rsidP="00495396" w14:paraId="5F19AACD" w14:textId="24CB6FE8">
      <w:pPr>
        <w:pStyle w:val="ListParagraph"/>
        <w:suppressAutoHyphens/>
        <w:spacing w:line="240" w:lineRule="exact"/>
        <w:ind w:left="0"/>
        <w:contextualSpacing w:val="0"/>
        <w:rPr>
          <w:rFonts w:ascii="Times New Roman" w:hAnsi="Times New Roman"/>
          <w:szCs w:val="24"/>
        </w:rPr>
      </w:pPr>
    </w:p>
    <w:p w:rsidR="007423DB" w:rsidP="007423DB" w14:paraId="2B90CB82" w14:textId="3D760D1E">
      <w:pPr>
        <w:pStyle w:val="ListParagraph"/>
        <w:suppressAutoHyphens/>
        <w:ind w:left="0"/>
        <w:contextualSpacing w:val="0"/>
        <w:rPr>
          <w:rFonts w:ascii="Times New Roman" w:hAnsi="Times New Roman"/>
          <w:szCs w:val="24"/>
        </w:rPr>
      </w:pPr>
      <w:r>
        <w:rPr>
          <w:rFonts w:ascii="Times New Roman" w:hAnsi="Times New Roman"/>
          <w:szCs w:val="24"/>
        </w:rPr>
        <w:t xml:space="preserve">The student outcome measures </w:t>
      </w:r>
      <w:r w:rsidR="00510B63">
        <w:rPr>
          <w:rFonts w:ascii="Times New Roman" w:hAnsi="Times New Roman"/>
          <w:szCs w:val="24"/>
        </w:rPr>
        <w:t xml:space="preserve">used to analyze the impact of the toolkit </w:t>
      </w:r>
      <w:r w:rsidR="00F82A5D">
        <w:rPr>
          <w:rFonts w:ascii="Times New Roman" w:hAnsi="Times New Roman"/>
          <w:szCs w:val="24"/>
        </w:rPr>
        <w:t xml:space="preserve">will be one of four benchmark reading assessments that </w:t>
      </w:r>
      <w:r w:rsidR="00C31130">
        <w:rPr>
          <w:rFonts w:ascii="Times New Roman" w:hAnsi="Times New Roman"/>
          <w:szCs w:val="24"/>
        </w:rPr>
        <w:t>were selected by ADE</w:t>
      </w:r>
      <w:r w:rsidRPr="00C31130" w:rsidR="00C31130">
        <w:rPr>
          <w:rFonts w:ascii="Times New Roman" w:hAnsi="Times New Roman"/>
          <w:szCs w:val="24"/>
        </w:rPr>
        <w:t>, all of which have demonstrated validity and reliability</w:t>
      </w:r>
      <w:r w:rsidR="00F82A5D">
        <w:rPr>
          <w:rFonts w:ascii="Times New Roman" w:hAnsi="Times New Roman"/>
          <w:szCs w:val="24"/>
        </w:rPr>
        <w:t xml:space="preserve">, and will not require pretesting. Teacher survey instruments and teacher practice logs will use </w:t>
      </w:r>
      <w:r w:rsidR="00D91520">
        <w:rPr>
          <w:rFonts w:ascii="Times New Roman" w:hAnsi="Times New Roman"/>
          <w:szCs w:val="24"/>
        </w:rPr>
        <w:t>valid and reliable</w:t>
      </w:r>
      <w:r w:rsidR="00422ECD">
        <w:rPr>
          <w:rFonts w:ascii="Times New Roman" w:hAnsi="Times New Roman"/>
          <w:szCs w:val="24"/>
        </w:rPr>
        <w:t xml:space="preserve"> measures, where feasible, but will include new items. These instruments will be pilot tested in </w:t>
      </w:r>
      <w:r w:rsidR="00E55423">
        <w:rPr>
          <w:rFonts w:ascii="Times New Roman" w:hAnsi="Times New Roman"/>
          <w:szCs w:val="24"/>
        </w:rPr>
        <w:t xml:space="preserve">Fall </w:t>
      </w:r>
      <w:r w:rsidR="00422ECD">
        <w:rPr>
          <w:rFonts w:ascii="Times New Roman" w:hAnsi="Times New Roman"/>
          <w:szCs w:val="24"/>
        </w:rPr>
        <w:t>2023</w:t>
      </w:r>
      <w:r w:rsidR="00E55423">
        <w:rPr>
          <w:rFonts w:ascii="Times New Roman" w:hAnsi="Times New Roman"/>
          <w:szCs w:val="24"/>
        </w:rPr>
        <w:t>, during the usability testing of the toolkit</w:t>
      </w:r>
      <w:r w:rsidR="00422ECD">
        <w:rPr>
          <w:rFonts w:ascii="Times New Roman" w:hAnsi="Times New Roman"/>
          <w:szCs w:val="24"/>
        </w:rPr>
        <w:t>.</w:t>
      </w:r>
      <w:r w:rsidR="00E55423">
        <w:rPr>
          <w:rFonts w:ascii="Times New Roman" w:hAnsi="Times New Roman"/>
          <w:szCs w:val="24"/>
        </w:rPr>
        <w:t xml:space="preserve"> We </w:t>
      </w:r>
      <w:r w:rsidR="00E55423">
        <w:rPr>
          <w:rFonts w:ascii="Times New Roman" w:hAnsi="Times New Roman"/>
          <w:szCs w:val="24"/>
        </w:rPr>
        <w:t xml:space="preserve">expect only minor changes based on the pilot test, given that many of the scales in the instruments we </w:t>
      </w:r>
      <w:r w:rsidR="00710D2D">
        <w:rPr>
          <w:rFonts w:ascii="Times New Roman" w:hAnsi="Times New Roman"/>
          <w:szCs w:val="24"/>
        </w:rPr>
        <w:t xml:space="preserve">will </w:t>
      </w:r>
      <w:r w:rsidR="00E55423">
        <w:rPr>
          <w:rFonts w:ascii="Times New Roman" w:hAnsi="Times New Roman"/>
          <w:szCs w:val="24"/>
        </w:rPr>
        <w:t>pilot have been validated externally.</w:t>
      </w:r>
      <w:r w:rsidR="00F66DA5">
        <w:rPr>
          <w:rFonts w:ascii="Times New Roman" w:hAnsi="Times New Roman"/>
          <w:szCs w:val="24"/>
        </w:rPr>
        <w:t xml:space="preserve"> District interview protocols will also be pilot tested, but with less than 9 respondents. The instruments are included in Appendix </w:t>
      </w:r>
      <w:r w:rsidR="00B52307">
        <w:rPr>
          <w:rFonts w:ascii="Times New Roman" w:hAnsi="Times New Roman"/>
          <w:szCs w:val="24"/>
        </w:rPr>
        <w:t>C</w:t>
      </w:r>
      <w:r w:rsidR="00F66DA5">
        <w:rPr>
          <w:rFonts w:ascii="Times New Roman" w:hAnsi="Times New Roman"/>
          <w:szCs w:val="24"/>
        </w:rPr>
        <w:t>.</w:t>
      </w:r>
    </w:p>
    <w:p w:rsidR="005F00B3" w:rsidP="007423DB" w14:paraId="56AB2B23" w14:textId="7FA2B886">
      <w:pPr>
        <w:pStyle w:val="ListParagraph"/>
        <w:suppressAutoHyphens/>
        <w:ind w:left="0"/>
        <w:contextualSpacing w:val="0"/>
        <w:rPr>
          <w:rFonts w:ascii="Times New Roman" w:hAnsi="Times New Roman"/>
          <w:szCs w:val="24"/>
        </w:rPr>
      </w:pPr>
    </w:p>
    <w:p w:rsidR="005F00B3" w:rsidP="005F00B3" w14:paraId="009FE206" w14:textId="4E6D37B5">
      <w:pPr>
        <w:pStyle w:val="Heading2"/>
        <w:jc w:val="left"/>
      </w:pPr>
      <w:bookmarkStart w:id="13" w:name="_Hlk114233606"/>
      <w:r>
        <w:t>B</w:t>
      </w:r>
      <w:r>
        <w:t>5</w:t>
      </w:r>
      <w:r w:rsidRPr="00E12728">
        <w:t xml:space="preserve">.  </w:t>
      </w:r>
      <w:r>
        <w:t>Methods to Minimizing Burden on Small Entities</w:t>
      </w:r>
      <w:bookmarkEnd w:id="13"/>
    </w:p>
    <w:p w:rsidR="005F00B3" w:rsidP="007423DB" w14:paraId="208DF294" w14:textId="73C1B72E">
      <w:pPr>
        <w:pStyle w:val="ListParagraph"/>
        <w:suppressAutoHyphens/>
        <w:ind w:left="0"/>
        <w:contextualSpacing w:val="0"/>
        <w:rPr>
          <w:rFonts w:ascii="Times New Roman" w:hAnsi="Times New Roman"/>
          <w:szCs w:val="24"/>
        </w:rPr>
      </w:pPr>
    </w:p>
    <w:p w:rsidR="00874202" w:rsidRPr="00874202" w:rsidP="00874202" w14:paraId="42444253" w14:textId="77777777">
      <w:pPr>
        <w:pStyle w:val="ListParagraph"/>
        <w:tabs>
          <w:tab w:val="left" w:pos="-720"/>
        </w:tabs>
        <w:suppressAutoHyphens/>
        <w:ind w:left="0"/>
        <w:rPr>
          <w:rFonts w:ascii="Times New Roman" w:hAnsi="Times New Roman"/>
          <w:szCs w:val="24"/>
        </w:rPr>
      </w:pPr>
      <w:r w:rsidRPr="00874202">
        <w:rPr>
          <w:rFonts w:ascii="Times New Roman" w:hAnsi="Times New Roman"/>
          <w:szCs w:val="24"/>
        </w:rPr>
        <w:t>The individuals consulted on the statistical aspects of the design include:</w:t>
      </w:r>
    </w:p>
    <w:p w:rsidR="00AD381B" w:rsidP="00874202" w14:paraId="7AD273CF" w14:textId="161B9D14">
      <w:pPr>
        <w:pStyle w:val="ListParagraph"/>
        <w:tabs>
          <w:tab w:val="left" w:pos="-720"/>
        </w:tabs>
        <w:suppressAutoHyphens/>
        <w:ind w:left="0"/>
        <w:contextualSpacing w:val="0"/>
        <w:rPr>
          <w:rFonts w:ascii="Times New Roman" w:hAnsi="Times New Roman"/>
          <w:szCs w:val="24"/>
        </w:rPr>
      </w:pPr>
    </w:p>
    <w:p w:rsidR="00874202" w:rsidP="00874202" w14:paraId="3C65CFAC" w14:textId="262FFA3C">
      <w:pPr>
        <w:pStyle w:val="ListParagraph"/>
        <w:tabs>
          <w:tab w:val="left" w:pos="-720"/>
        </w:tabs>
        <w:suppressAutoHyphens/>
        <w:ind w:left="0"/>
        <w:contextualSpacing w:val="0"/>
        <w:rPr>
          <w:rFonts w:ascii="Times New Roman" w:hAnsi="Times New Roman"/>
          <w:szCs w:val="24"/>
        </w:rPr>
      </w:pPr>
      <w:r>
        <w:rPr>
          <w:rFonts w:ascii="Times New Roman" w:hAnsi="Times New Roman"/>
          <w:szCs w:val="24"/>
        </w:rPr>
        <w:t>Herb Turner, President and Principal Scientist, Analytica</w:t>
      </w:r>
      <w:r w:rsidR="009341F8">
        <w:rPr>
          <w:rFonts w:ascii="Times New Roman" w:hAnsi="Times New Roman"/>
          <w:szCs w:val="24"/>
        </w:rPr>
        <w:t>; (215) 808-8808</w:t>
      </w:r>
      <w:r w:rsidR="00A821BB">
        <w:rPr>
          <w:rFonts w:ascii="Times New Roman" w:hAnsi="Times New Roman"/>
          <w:szCs w:val="24"/>
        </w:rPr>
        <w:t xml:space="preserve">; </w:t>
      </w:r>
      <w:hyperlink r:id="rId8" w:history="1">
        <w:r w:rsidRPr="00221C7C" w:rsidR="00A821BB">
          <w:rPr>
            <w:rStyle w:val="Hyperlink"/>
            <w:rFonts w:ascii="Times New Roman" w:hAnsi="Times New Roman"/>
            <w:szCs w:val="24"/>
          </w:rPr>
          <w:t>herb@analytica-inc.com</w:t>
        </w:r>
      </w:hyperlink>
    </w:p>
    <w:p w:rsidR="00A821BB" w:rsidP="00874202" w14:paraId="1CB1AA19" w14:textId="7DBB38EF">
      <w:pPr>
        <w:pStyle w:val="ListParagraph"/>
        <w:tabs>
          <w:tab w:val="left" w:pos="-720"/>
        </w:tabs>
        <w:suppressAutoHyphens/>
        <w:ind w:left="0"/>
        <w:contextualSpacing w:val="0"/>
        <w:rPr>
          <w:rFonts w:ascii="Times New Roman" w:hAnsi="Times New Roman"/>
          <w:szCs w:val="24"/>
        </w:rPr>
      </w:pPr>
    </w:p>
    <w:p w:rsidR="007325F3" w:rsidP="00874202" w14:paraId="12843744" w14:textId="7548EAB7">
      <w:pPr>
        <w:pStyle w:val="ListParagraph"/>
        <w:tabs>
          <w:tab w:val="left" w:pos="-720"/>
        </w:tabs>
        <w:suppressAutoHyphens/>
        <w:ind w:left="0"/>
        <w:contextualSpacing w:val="0"/>
        <w:rPr>
          <w:rFonts w:ascii="Times New Roman" w:hAnsi="Times New Roman"/>
          <w:szCs w:val="24"/>
        </w:rPr>
      </w:pPr>
    </w:p>
    <w:p w:rsidR="007325F3" w:rsidP="007325F3" w14:paraId="1CDEE65A" w14:textId="77777777">
      <w:pPr>
        <w:pStyle w:val="Heading2"/>
        <w:jc w:val="left"/>
      </w:pPr>
      <w:r>
        <w:t>References</w:t>
      </w:r>
    </w:p>
    <w:p w:rsidR="007325F3" w:rsidP="00874202" w14:paraId="4079D4A0" w14:textId="153612B3">
      <w:pPr>
        <w:pStyle w:val="ListParagraph"/>
        <w:tabs>
          <w:tab w:val="left" w:pos="-720"/>
        </w:tabs>
        <w:suppressAutoHyphens/>
        <w:ind w:left="0"/>
        <w:contextualSpacing w:val="0"/>
        <w:rPr>
          <w:rFonts w:ascii="Times New Roman" w:hAnsi="Times New Roman"/>
          <w:szCs w:val="24"/>
        </w:rPr>
      </w:pPr>
    </w:p>
    <w:p w:rsidR="00D739FC" w:rsidP="00874202" w14:paraId="56782A47" w14:textId="5AFACA0C">
      <w:pPr>
        <w:pStyle w:val="ListParagraph"/>
        <w:tabs>
          <w:tab w:val="left" w:pos="-720"/>
        </w:tabs>
        <w:suppressAutoHyphens/>
        <w:ind w:left="0"/>
        <w:contextualSpacing w:val="0"/>
        <w:rPr>
          <w:rFonts w:ascii="Times New Roman" w:hAnsi="Times New Roman"/>
          <w:szCs w:val="24"/>
        </w:rPr>
      </w:pPr>
    </w:p>
    <w:p w:rsidR="0026026D" w:rsidP="0026026D" w14:paraId="195C7C36" w14:textId="59C644C1">
      <w:pPr>
        <w:autoSpaceDE w:val="0"/>
        <w:autoSpaceDN w:val="0"/>
        <w:adjustRightInd w:val="0"/>
        <w:ind w:left="720" w:hanging="720"/>
        <w:rPr>
          <w:rFonts w:ascii="Times New Roman" w:hAnsi="Times New Roman"/>
          <w:szCs w:val="24"/>
        </w:rPr>
      </w:pPr>
      <w:r w:rsidRPr="001A3942">
        <w:rPr>
          <w:rFonts w:ascii="Times New Roman" w:hAnsi="Times New Roman"/>
          <w:szCs w:val="24"/>
        </w:rPr>
        <w:t>Baron, R. M., &amp; Kenny, D. A. (1986). The moderator–mediator variable distinction in social psychological research: Conceptual, strategic, and statistical considerations. </w:t>
      </w:r>
      <w:r w:rsidRPr="001A3942">
        <w:rPr>
          <w:rFonts w:ascii="Times New Roman" w:hAnsi="Times New Roman"/>
          <w:i/>
          <w:iCs/>
          <w:szCs w:val="24"/>
        </w:rPr>
        <w:t>Journal of Personality and Social Psychology, 5,</w:t>
      </w:r>
      <w:r w:rsidRPr="001A3942">
        <w:rPr>
          <w:rFonts w:ascii="Times New Roman" w:hAnsi="Times New Roman"/>
          <w:szCs w:val="24"/>
        </w:rPr>
        <w:t> 1173–1182.</w:t>
      </w:r>
    </w:p>
    <w:p w:rsidR="00B52462" w:rsidRPr="001A3942" w:rsidP="0026026D" w14:paraId="2648809F" w14:textId="77777777">
      <w:pPr>
        <w:autoSpaceDE w:val="0"/>
        <w:autoSpaceDN w:val="0"/>
        <w:adjustRightInd w:val="0"/>
        <w:ind w:left="720" w:hanging="720"/>
        <w:rPr>
          <w:rFonts w:ascii="Times New Roman" w:hAnsi="Times New Roman"/>
          <w:szCs w:val="24"/>
        </w:rPr>
      </w:pPr>
    </w:p>
    <w:p w:rsidR="0026026D" w:rsidP="0026026D" w14:paraId="0C15D526" w14:textId="467B2BCD">
      <w:pPr>
        <w:autoSpaceDE w:val="0"/>
        <w:autoSpaceDN w:val="0"/>
        <w:adjustRightInd w:val="0"/>
        <w:ind w:left="720" w:hanging="720"/>
        <w:rPr>
          <w:rFonts w:ascii="Times New Roman" w:hAnsi="Times New Roman"/>
          <w:szCs w:val="24"/>
        </w:rPr>
      </w:pPr>
      <w:r w:rsidRPr="001A3942">
        <w:rPr>
          <w:rFonts w:ascii="Times New Roman" w:hAnsi="Times New Roman"/>
          <w:szCs w:val="24"/>
        </w:rPr>
        <w:t xml:space="preserve">Didion, L., Toste, J. R., &amp; </w:t>
      </w:r>
      <w:r w:rsidRPr="001A3942">
        <w:rPr>
          <w:rFonts w:ascii="Times New Roman" w:hAnsi="Times New Roman"/>
          <w:szCs w:val="24"/>
        </w:rPr>
        <w:t>Filderman</w:t>
      </w:r>
      <w:r w:rsidRPr="001A3942">
        <w:rPr>
          <w:rFonts w:ascii="Times New Roman" w:hAnsi="Times New Roman"/>
          <w:szCs w:val="24"/>
        </w:rPr>
        <w:t xml:space="preserve">, M. J. (2020). Teacher professional development and student reading achievement: A meta-analytic review of the effects. </w:t>
      </w:r>
      <w:r w:rsidRPr="001A3942">
        <w:rPr>
          <w:rFonts w:ascii="Times New Roman" w:hAnsi="Times New Roman"/>
          <w:i/>
          <w:iCs/>
          <w:szCs w:val="24"/>
        </w:rPr>
        <w:t>Journal of Research on Educational Effectiveness, 13</w:t>
      </w:r>
      <w:r w:rsidRPr="001A3942">
        <w:rPr>
          <w:rFonts w:ascii="Times New Roman" w:hAnsi="Times New Roman"/>
          <w:szCs w:val="24"/>
        </w:rPr>
        <w:t>(1), 29–66. doi:10.1080/19345747.2019.1670884</w:t>
      </w:r>
    </w:p>
    <w:p w:rsidR="00B52462" w:rsidRPr="001A3942" w:rsidP="0026026D" w14:paraId="7E4C41B8" w14:textId="77777777">
      <w:pPr>
        <w:autoSpaceDE w:val="0"/>
        <w:autoSpaceDN w:val="0"/>
        <w:adjustRightInd w:val="0"/>
        <w:ind w:left="720" w:hanging="720"/>
        <w:rPr>
          <w:rFonts w:ascii="Times New Roman" w:hAnsi="Times New Roman"/>
          <w:szCs w:val="24"/>
        </w:rPr>
      </w:pPr>
    </w:p>
    <w:p w:rsidR="0026026D" w:rsidRPr="001A3942" w:rsidP="0026026D" w14:paraId="3C9EC8C1" w14:textId="77777777">
      <w:pPr>
        <w:autoSpaceDE w:val="0"/>
        <w:autoSpaceDN w:val="0"/>
        <w:adjustRightInd w:val="0"/>
        <w:spacing w:after="160"/>
        <w:ind w:left="720" w:hanging="720"/>
        <w:rPr>
          <w:rFonts w:ascii="Times New Roman" w:hAnsi="Times New Roman"/>
          <w:color w:val="222222"/>
          <w:szCs w:val="24"/>
          <w:shd w:val="clear" w:color="auto" w:fill="FFFFFF"/>
        </w:rPr>
      </w:pPr>
      <w:r w:rsidRPr="001A3942">
        <w:rPr>
          <w:rFonts w:ascii="Times New Roman" w:hAnsi="Times New Roman"/>
          <w:szCs w:val="24"/>
        </w:rPr>
        <w:t xml:space="preserve">Dong, N., &amp; Maynard, R. (2013). </w:t>
      </w:r>
      <w:r w:rsidRPr="001A3942">
        <w:rPr>
          <w:rFonts w:ascii="Times New Roman" w:hAnsi="Times New Roman"/>
          <w:szCs w:val="24"/>
        </w:rPr>
        <w:t>PowerUp</w:t>
      </w:r>
      <w:r w:rsidRPr="001A3942">
        <w:rPr>
          <w:rFonts w:ascii="Times New Roman" w:hAnsi="Times New Roman"/>
          <w:szCs w:val="24"/>
        </w:rPr>
        <w:t xml:space="preserve">!: A tool for calculating minimum detectable effect sizes and minimum required sample sizes for experimental and quasi-experimental design studies. </w:t>
      </w:r>
      <w:r w:rsidRPr="001A3942">
        <w:rPr>
          <w:rFonts w:ascii="Times New Roman" w:hAnsi="Times New Roman"/>
          <w:i/>
          <w:iCs/>
          <w:szCs w:val="24"/>
        </w:rPr>
        <w:t>Journal of Research on Educational Effectiveness, 6</w:t>
      </w:r>
      <w:r w:rsidRPr="001A3942">
        <w:rPr>
          <w:rFonts w:ascii="Times New Roman" w:hAnsi="Times New Roman"/>
          <w:szCs w:val="24"/>
        </w:rPr>
        <w:t>(1), 24–67. doi:10.1080/19345747.2012.673143</w:t>
      </w:r>
    </w:p>
    <w:p w:rsidR="0026026D" w:rsidRPr="001A3942" w:rsidP="0026026D" w14:paraId="32886590" w14:textId="77777777">
      <w:pPr>
        <w:autoSpaceDE w:val="0"/>
        <w:autoSpaceDN w:val="0"/>
        <w:adjustRightInd w:val="0"/>
        <w:ind w:left="720" w:hanging="720"/>
        <w:rPr>
          <w:rFonts w:ascii="Times New Roman" w:hAnsi="Times New Roman"/>
          <w:szCs w:val="24"/>
        </w:rPr>
      </w:pPr>
      <w:r w:rsidRPr="001A3942">
        <w:rPr>
          <w:rFonts w:ascii="Times New Roman" w:hAnsi="Times New Roman"/>
          <w:szCs w:val="24"/>
        </w:rPr>
        <w:t xml:space="preserve">Gersten, R., </w:t>
      </w:r>
      <w:r w:rsidRPr="001A3942">
        <w:rPr>
          <w:rFonts w:ascii="Times New Roman" w:hAnsi="Times New Roman"/>
          <w:szCs w:val="24"/>
        </w:rPr>
        <w:t>Dimino</w:t>
      </w:r>
      <w:r w:rsidRPr="001A3942">
        <w:rPr>
          <w:rFonts w:ascii="Times New Roman" w:hAnsi="Times New Roman"/>
          <w:szCs w:val="24"/>
        </w:rPr>
        <w:t>, J., Jayanthi, M., Kim, J. S., &amp; Santoro, L. E. (2010). Teacher study group: Impact of the professional development model on reading instruction and student outcomes in first grade classrooms. </w:t>
      </w:r>
      <w:r w:rsidRPr="001A3942">
        <w:rPr>
          <w:rFonts w:ascii="Times New Roman" w:hAnsi="Times New Roman"/>
          <w:i/>
          <w:iCs/>
          <w:szCs w:val="24"/>
        </w:rPr>
        <w:t>American Educational Research Journal, 47</w:t>
      </w:r>
      <w:r w:rsidRPr="001A3942">
        <w:rPr>
          <w:rFonts w:ascii="Times New Roman" w:hAnsi="Times New Roman"/>
          <w:szCs w:val="24"/>
        </w:rPr>
        <w:t>(3), 694–739.</w:t>
      </w:r>
    </w:p>
    <w:p w:rsidR="004310E8" w:rsidP="0026026D" w14:paraId="2892F2E7" w14:textId="77777777">
      <w:pPr>
        <w:autoSpaceDE w:val="0"/>
        <w:autoSpaceDN w:val="0"/>
        <w:adjustRightInd w:val="0"/>
        <w:ind w:left="720" w:hanging="720"/>
        <w:rPr>
          <w:rFonts w:ascii="Times New Roman" w:hAnsi="Times New Roman"/>
          <w:szCs w:val="24"/>
        </w:rPr>
      </w:pPr>
      <w:r w:rsidRPr="004310E8">
        <w:rPr>
          <w:rFonts w:ascii="Times New Roman" w:hAnsi="Times New Roman"/>
          <w:szCs w:val="24"/>
        </w:rPr>
        <w:t>Hedges, L. V., &amp; Hedberg, E. C. (2013). Intraclass correlations and covariate outcome correlations for planning two-and three-level cluster-randomized experiments in education. </w:t>
      </w:r>
      <w:r w:rsidRPr="004310E8">
        <w:rPr>
          <w:rFonts w:ascii="Times New Roman" w:hAnsi="Times New Roman"/>
          <w:i/>
          <w:iCs/>
          <w:szCs w:val="24"/>
        </w:rPr>
        <w:t>Evaluation Review</w:t>
      </w:r>
      <w:r w:rsidRPr="004310E8">
        <w:rPr>
          <w:rFonts w:ascii="Times New Roman" w:hAnsi="Times New Roman"/>
          <w:szCs w:val="24"/>
        </w:rPr>
        <w:t>, </w:t>
      </w:r>
      <w:r w:rsidRPr="004310E8">
        <w:rPr>
          <w:rFonts w:ascii="Times New Roman" w:hAnsi="Times New Roman"/>
          <w:i/>
          <w:iCs/>
          <w:szCs w:val="24"/>
        </w:rPr>
        <w:t>37</w:t>
      </w:r>
      <w:r w:rsidRPr="004310E8">
        <w:rPr>
          <w:rFonts w:ascii="Times New Roman" w:hAnsi="Times New Roman"/>
          <w:szCs w:val="24"/>
        </w:rPr>
        <w:t>(6), 445-489.</w:t>
      </w:r>
    </w:p>
    <w:p w:rsidR="004310E8" w:rsidP="0026026D" w14:paraId="67C3F5B5" w14:textId="77777777">
      <w:pPr>
        <w:autoSpaceDE w:val="0"/>
        <w:autoSpaceDN w:val="0"/>
        <w:adjustRightInd w:val="0"/>
        <w:ind w:left="720" w:hanging="720"/>
        <w:rPr>
          <w:rFonts w:ascii="Times New Roman" w:hAnsi="Times New Roman"/>
          <w:szCs w:val="24"/>
        </w:rPr>
      </w:pPr>
    </w:p>
    <w:p w:rsidR="0026026D" w:rsidP="0026026D" w14:paraId="4A5DB1B3" w14:textId="63B61C89">
      <w:pPr>
        <w:autoSpaceDE w:val="0"/>
        <w:autoSpaceDN w:val="0"/>
        <w:adjustRightInd w:val="0"/>
        <w:ind w:left="720" w:hanging="720"/>
        <w:rPr>
          <w:rStyle w:val="Hyperlink"/>
          <w:rFonts w:ascii="Times New Roman" w:hAnsi="Times New Roman"/>
          <w:szCs w:val="24"/>
        </w:rPr>
      </w:pPr>
      <w:r w:rsidRPr="001A3942">
        <w:rPr>
          <w:rFonts w:ascii="Times New Roman" w:hAnsi="Times New Roman"/>
          <w:szCs w:val="24"/>
        </w:rPr>
        <w:t xml:space="preserve">Hussar, B., Zhang, J., Hein, S., Wang, K., Roberts, A., Cui, J., &amp; Smith, M. (2020). </w:t>
      </w:r>
      <w:r w:rsidRPr="001A3942">
        <w:rPr>
          <w:rFonts w:ascii="Times New Roman" w:hAnsi="Times New Roman"/>
          <w:i/>
          <w:iCs/>
          <w:szCs w:val="24"/>
        </w:rPr>
        <w:t>The conditions of education 2020</w:t>
      </w:r>
      <w:r w:rsidRPr="001A3942">
        <w:rPr>
          <w:rFonts w:ascii="Times New Roman" w:hAnsi="Times New Roman"/>
          <w:szCs w:val="24"/>
        </w:rPr>
        <w:t xml:space="preserve">. Washington, DC: Retrieved from </w:t>
      </w:r>
      <w:hyperlink r:id="rId9" w:history="1">
        <w:r w:rsidRPr="001A3942">
          <w:rPr>
            <w:rStyle w:val="Hyperlink"/>
            <w:rFonts w:ascii="Times New Roman" w:hAnsi="Times New Roman"/>
            <w:szCs w:val="24"/>
          </w:rPr>
          <w:t>https://nces.ed.gov/pubs2020/2020144.pdf</w:t>
        </w:r>
      </w:hyperlink>
    </w:p>
    <w:p w:rsidR="004310E8" w:rsidRPr="001A3942" w:rsidP="0026026D" w14:paraId="5C71904E" w14:textId="77777777">
      <w:pPr>
        <w:autoSpaceDE w:val="0"/>
        <w:autoSpaceDN w:val="0"/>
        <w:adjustRightInd w:val="0"/>
        <w:ind w:left="720" w:hanging="720"/>
        <w:rPr>
          <w:rFonts w:ascii="Times New Roman" w:hAnsi="Times New Roman"/>
          <w:szCs w:val="24"/>
        </w:rPr>
      </w:pPr>
    </w:p>
    <w:p w:rsidR="0026026D" w:rsidRPr="001A3942" w:rsidP="0026026D" w14:paraId="0776EAA9" w14:textId="77777777">
      <w:pPr>
        <w:autoSpaceDE w:val="0"/>
        <w:autoSpaceDN w:val="0"/>
        <w:adjustRightInd w:val="0"/>
        <w:spacing w:after="160"/>
        <w:ind w:left="720" w:hanging="720"/>
        <w:rPr>
          <w:rFonts w:ascii="Times New Roman" w:hAnsi="Times New Roman"/>
          <w:szCs w:val="24"/>
        </w:rPr>
      </w:pPr>
      <w:r w:rsidRPr="001A3942">
        <w:rPr>
          <w:rFonts w:ascii="Times New Roman" w:hAnsi="Times New Roman"/>
          <w:szCs w:val="24"/>
        </w:rPr>
        <w:t xml:space="preserve">Jo, B., </w:t>
      </w:r>
      <w:r w:rsidRPr="001A3942">
        <w:rPr>
          <w:rFonts w:ascii="Times New Roman" w:hAnsi="Times New Roman"/>
          <w:szCs w:val="24"/>
        </w:rPr>
        <w:t>Asparouhov</w:t>
      </w:r>
      <w:r w:rsidRPr="001A3942">
        <w:rPr>
          <w:rFonts w:ascii="Times New Roman" w:hAnsi="Times New Roman"/>
          <w:szCs w:val="24"/>
        </w:rPr>
        <w:t xml:space="preserve">, T., </w:t>
      </w:r>
      <w:r w:rsidRPr="001A3942">
        <w:rPr>
          <w:rFonts w:ascii="Times New Roman" w:hAnsi="Times New Roman"/>
          <w:szCs w:val="24"/>
        </w:rPr>
        <w:t>Muthén</w:t>
      </w:r>
      <w:r w:rsidRPr="001A3942">
        <w:rPr>
          <w:rFonts w:ascii="Times New Roman" w:hAnsi="Times New Roman"/>
          <w:szCs w:val="24"/>
        </w:rPr>
        <w:t xml:space="preserve">, B. O., </w:t>
      </w:r>
      <w:r w:rsidRPr="001A3942">
        <w:rPr>
          <w:rFonts w:ascii="Times New Roman" w:hAnsi="Times New Roman"/>
          <w:szCs w:val="24"/>
        </w:rPr>
        <w:t>Ialongo</w:t>
      </w:r>
      <w:r w:rsidRPr="001A3942">
        <w:rPr>
          <w:rFonts w:ascii="Times New Roman" w:hAnsi="Times New Roman"/>
          <w:szCs w:val="24"/>
        </w:rPr>
        <w:t xml:space="preserve">, N. S., &amp; Brown, C. H. (2008). Cluster randomized trials with treatment noncompliance. </w:t>
      </w:r>
      <w:r w:rsidRPr="001A3942">
        <w:rPr>
          <w:rFonts w:ascii="Times New Roman" w:hAnsi="Times New Roman"/>
          <w:i/>
          <w:iCs/>
          <w:szCs w:val="24"/>
        </w:rPr>
        <w:t>Psychological Methods</w:t>
      </w:r>
      <w:r w:rsidRPr="001A3942">
        <w:rPr>
          <w:rFonts w:ascii="Times New Roman" w:hAnsi="Times New Roman"/>
          <w:szCs w:val="24"/>
        </w:rPr>
        <w:t xml:space="preserve">, </w:t>
      </w:r>
      <w:r w:rsidRPr="001A3942">
        <w:rPr>
          <w:rFonts w:ascii="Times New Roman" w:hAnsi="Times New Roman"/>
          <w:i/>
          <w:iCs/>
          <w:szCs w:val="24"/>
        </w:rPr>
        <w:t>13</w:t>
      </w:r>
      <w:r w:rsidRPr="001A3942">
        <w:rPr>
          <w:rFonts w:ascii="Times New Roman" w:hAnsi="Times New Roman"/>
          <w:szCs w:val="24"/>
        </w:rPr>
        <w:t>(1), 1–18. doi: 10.1037/1082-989X.13.1.1</w:t>
      </w:r>
    </w:p>
    <w:p w:rsidR="0026026D" w:rsidP="0026026D" w14:paraId="78150592" w14:textId="0BB9E6B1">
      <w:pPr>
        <w:autoSpaceDE w:val="0"/>
        <w:autoSpaceDN w:val="0"/>
        <w:adjustRightInd w:val="0"/>
        <w:ind w:left="720" w:hanging="720"/>
        <w:rPr>
          <w:rFonts w:ascii="Times New Roman" w:hAnsi="Times New Roman"/>
          <w:szCs w:val="24"/>
        </w:rPr>
      </w:pPr>
      <w:r w:rsidRPr="001A3942">
        <w:rPr>
          <w:rFonts w:ascii="Times New Roman" w:hAnsi="Times New Roman"/>
          <w:szCs w:val="24"/>
        </w:rPr>
        <w:t xml:space="preserve">Knezek, G., &amp; Christensen, R. (2007). Effect of technology-based programs on first- and second-grade reading achievement. </w:t>
      </w:r>
      <w:r w:rsidRPr="001A3942">
        <w:rPr>
          <w:rFonts w:ascii="Times New Roman" w:hAnsi="Times New Roman"/>
          <w:i/>
          <w:iCs/>
          <w:szCs w:val="24"/>
        </w:rPr>
        <w:t>Computers in the Schools, 24</w:t>
      </w:r>
      <w:r w:rsidRPr="001A3942">
        <w:rPr>
          <w:rFonts w:ascii="Times New Roman" w:hAnsi="Times New Roman"/>
          <w:szCs w:val="24"/>
        </w:rPr>
        <w:t>(3-4), 23–41. doi:10.1300/J025v24n03_03</w:t>
      </w:r>
    </w:p>
    <w:p w:rsidR="004310E8" w:rsidRPr="001A3942" w:rsidP="0026026D" w14:paraId="75D3CC6B" w14:textId="77777777">
      <w:pPr>
        <w:autoSpaceDE w:val="0"/>
        <w:autoSpaceDN w:val="0"/>
        <w:adjustRightInd w:val="0"/>
        <w:ind w:left="720" w:hanging="720"/>
        <w:rPr>
          <w:rFonts w:ascii="Times New Roman" w:hAnsi="Times New Roman"/>
          <w:szCs w:val="24"/>
        </w:rPr>
      </w:pPr>
    </w:p>
    <w:p w:rsidR="0026026D" w:rsidRPr="001A3942" w:rsidP="0026026D" w14:paraId="5983AA5F" w14:textId="77777777">
      <w:pPr>
        <w:autoSpaceDE w:val="0"/>
        <w:autoSpaceDN w:val="0"/>
        <w:adjustRightInd w:val="0"/>
        <w:spacing w:after="160"/>
        <w:ind w:left="720" w:hanging="720"/>
        <w:rPr>
          <w:rFonts w:ascii="Times New Roman" w:hAnsi="Times New Roman"/>
          <w:szCs w:val="24"/>
        </w:rPr>
      </w:pPr>
      <w:r w:rsidRPr="001A3942">
        <w:rPr>
          <w:rFonts w:ascii="Times New Roman" w:hAnsi="Times New Roman"/>
          <w:szCs w:val="24"/>
        </w:rPr>
        <w:t xml:space="preserve">Morgan, K. L., &amp; Rubin, D. B. (2012). Rerandomization to improve covariate balance in experiments. </w:t>
      </w:r>
      <w:r w:rsidRPr="001A3942">
        <w:rPr>
          <w:rFonts w:ascii="Times New Roman" w:hAnsi="Times New Roman"/>
          <w:i/>
          <w:iCs/>
          <w:szCs w:val="24"/>
        </w:rPr>
        <w:t>Annals of Statistics, 40</w:t>
      </w:r>
      <w:r w:rsidRPr="001A3942">
        <w:rPr>
          <w:rFonts w:ascii="Times New Roman" w:hAnsi="Times New Roman"/>
          <w:szCs w:val="24"/>
        </w:rPr>
        <w:t xml:space="preserve">(2), 1263–1282. </w:t>
      </w:r>
    </w:p>
    <w:p w:rsidR="00B52462" w:rsidP="0026026D" w14:paraId="20D9ACC8" w14:textId="77777777">
      <w:pPr>
        <w:autoSpaceDE w:val="0"/>
        <w:autoSpaceDN w:val="0"/>
        <w:adjustRightInd w:val="0"/>
        <w:rPr>
          <w:rFonts w:ascii="Times New Roman" w:hAnsi="Times New Roman"/>
          <w:bCs/>
          <w:i/>
          <w:iCs/>
          <w:szCs w:val="24"/>
        </w:rPr>
      </w:pPr>
      <w:r w:rsidRPr="00B52462">
        <w:rPr>
          <w:rFonts w:ascii="Times New Roman" w:hAnsi="Times New Roman"/>
          <w:bCs/>
          <w:szCs w:val="24"/>
        </w:rPr>
        <w:t>Raudenbush</w:t>
      </w:r>
      <w:r w:rsidRPr="00B52462">
        <w:rPr>
          <w:rFonts w:ascii="Times New Roman" w:hAnsi="Times New Roman"/>
          <w:bCs/>
          <w:szCs w:val="24"/>
        </w:rPr>
        <w:t>, S. W., &amp; Bryk, A. S. (2002). </w:t>
      </w:r>
      <w:r w:rsidRPr="00B52462">
        <w:rPr>
          <w:rFonts w:ascii="Times New Roman" w:hAnsi="Times New Roman"/>
          <w:bCs/>
          <w:i/>
          <w:iCs/>
          <w:szCs w:val="24"/>
        </w:rPr>
        <w:t>Hierarchical linear models: Applications and data</w:t>
      </w:r>
      <w:r>
        <w:rPr>
          <w:rFonts w:ascii="Times New Roman" w:hAnsi="Times New Roman"/>
          <w:bCs/>
          <w:i/>
          <w:iCs/>
          <w:szCs w:val="24"/>
        </w:rPr>
        <w:t>\</w:t>
      </w:r>
    </w:p>
    <w:p w:rsidR="0026026D" w:rsidRPr="001A3942" w:rsidP="00B52462" w14:paraId="2B2BF3ED" w14:textId="05802A0B">
      <w:pPr>
        <w:autoSpaceDE w:val="0"/>
        <w:autoSpaceDN w:val="0"/>
        <w:adjustRightInd w:val="0"/>
        <w:ind w:firstLine="720"/>
        <w:rPr>
          <w:rFonts w:ascii="Times New Roman" w:hAnsi="Times New Roman"/>
          <w:bCs/>
          <w:szCs w:val="24"/>
        </w:rPr>
      </w:pPr>
      <w:r w:rsidRPr="00B52462">
        <w:rPr>
          <w:rFonts w:ascii="Times New Roman" w:hAnsi="Times New Roman"/>
          <w:bCs/>
          <w:i/>
          <w:iCs/>
          <w:szCs w:val="24"/>
        </w:rPr>
        <w:t>analysis methods</w:t>
      </w:r>
      <w:r w:rsidRPr="00B52462">
        <w:rPr>
          <w:rFonts w:ascii="Times New Roman" w:hAnsi="Times New Roman"/>
          <w:bCs/>
          <w:szCs w:val="24"/>
        </w:rPr>
        <w:t xml:space="preserve"> (Vol. 1). </w:t>
      </w:r>
      <w:r>
        <w:rPr>
          <w:rFonts w:ascii="Times New Roman" w:hAnsi="Times New Roman"/>
          <w:bCs/>
          <w:szCs w:val="24"/>
        </w:rPr>
        <w:t>S</w:t>
      </w:r>
      <w:r w:rsidRPr="00B52462">
        <w:rPr>
          <w:rFonts w:ascii="Times New Roman" w:hAnsi="Times New Roman"/>
          <w:bCs/>
          <w:szCs w:val="24"/>
        </w:rPr>
        <w:t>age</w:t>
      </w:r>
      <w:r>
        <w:rPr>
          <w:rFonts w:ascii="Times New Roman" w:hAnsi="Times New Roman"/>
          <w:bCs/>
          <w:szCs w:val="24"/>
        </w:rPr>
        <w:t xml:space="preserve"> Publications</w:t>
      </w:r>
      <w:r w:rsidRPr="00B52462">
        <w:rPr>
          <w:rFonts w:ascii="Times New Roman" w:hAnsi="Times New Roman"/>
          <w:bCs/>
          <w:szCs w:val="24"/>
        </w:rPr>
        <w:t>.</w:t>
      </w:r>
    </w:p>
    <w:p w:rsidR="001A3942" w:rsidRPr="001A3942" w:rsidP="0026026D" w14:paraId="4990D630" w14:textId="77777777">
      <w:pPr>
        <w:autoSpaceDE w:val="0"/>
        <w:autoSpaceDN w:val="0"/>
        <w:adjustRightInd w:val="0"/>
        <w:rPr>
          <w:rFonts w:ascii="Times New Roman" w:hAnsi="Times New Roman"/>
          <w:bCs/>
          <w:szCs w:val="24"/>
        </w:rPr>
      </w:pPr>
    </w:p>
    <w:p w:rsidR="0026026D" w:rsidP="0026026D" w14:paraId="503996C6" w14:textId="5475C0A9">
      <w:pPr>
        <w:ind w:left="720" w:hanging="720"/>
        <w:rPr>
          <w:rStyle w:val="Hyperlink"/>
          <w:rFonts w:ascii="Times New Roman" w:hAnsi="Times New Roman"/>
          <w:szCs w:val="24"/>
        </w:rPr>
      </w:pPr>
      <w:r w:rsidRPr="001A3942">
        <w:rPr>
          <w:rFonts w:ascii="Times New Roman" w:hAnsi="Times New Roman"/>
          <w:szCs w:val="24"/>
        </w:rPr>
        <w:t xml:space="preserve">Schochet, P. Z., &amp; Chiang, H. (2009). </w:t>
      </w:r>
      <w:r w:rsidRPr="001A3942">
        <w:rPr>
          <w:rFonts w:ascii="Times New Roman" w:hAnsi="Times New Roman"/>
          <w:i/>
          <w:iCs/>
          <w:szCs w:val="24"/>
        </w:rPr>
        <w:t>Technical methods report: Estimation and identification of the complier average causal effect parameter in education RCTs</w:t>
      </w:r>
      <w:r w:rsidRPr="001A3942">
        <w:rPr>
          <w:rFonts w:ascii="Times New Roman" w:hAnsi="Times New Roman"/>
          <w:szCs w:val="24"/>
        </w:rPr>
        <w:t xml:space="preserve"> (NCEE 2009-4040). Washington, DC: National Center for Education Evaluation and Regional Assistance, Institute of Education Sciences, U.S. Department of Education. Retrieved from</w:t>
      </w:r>
      <w:r w:rsidRPr="001A3942">
        <w:rPr>
          <w:rFonts w:ascii="Times New Roman" w:hAnsi="Times New Roman"/>
          <w:szCs w:val="24"/>
        </w:rPr>
        <w:br/>
      </w:r>
      <w:hyperlink r:id="rId10" w:history="1">
        <w:r w:rsidRPr="001A3942">
          <w:rPr>
            <w:rStyle w:val="Hyperlink"/>
            <w:rFonts w:ascii="Times New Roman" w:hAnsi="Times New Roman"/>
            <w:szCs w:val="24"/>
          </w:rPr>
          <w:t>https://ies.ed.gov/ncee/pdf/20094040.pdf</w:t>
        </w:r>
      </w:hyperlink>
    </w:p>
    <w:p w:rsidR="001A3942" w:rsidRPr="001A3942" w:rsidP="0026026D" w14:paraId="446CE956" w14:textId="77777777">
      <w:pPr>
        <w:ind w:left="720" w:hanging="720"/>
        <w:rPr>
          <w:rFonts w:ascii="Times New Roman" w:hAnsi="Times New Roman"/>
          <w:szCs w:val="24"/>
        </w:rPr>
      </w:pPr>
    </w:p>
    <w:p w:rsidR="00C76C03" w:rsidP="0026026D" w14:paraId="6ABF8D63" w14:textId="77777777">
      <w:pPr>
        <w:spacing w:after="160"/>
        <w:ind w:left="720" w:hanging="720"/>
        <w:rPr>
          <w:rFonts w:ascii="Times New Roman" w:hAnsi="Times New Roman"/>
          <w:bCs/>
          <w:szCs w:val="24"/>
        </w:rPr>
      </w:pPr>
      <w:r w:rsidRPr="00C76C03">
        <w:rPr>
          <w:rFonts w:ascii="Times New Roman" w:hAnsi="Times New Roman"/>
          <w:bCs/>
          <w:szCs w:val="24"/>
        </w:rPr>
        <w:t>Shadish</w:t>
      </w:r>
      <w:r w:rsidRPr="00C76C03">
        <w:rPr>
          <w:rFonts w:ascii="Times New Roman" w:hAnsi="Times New Roman"/>
          <w:bCs/>
          <w:szCs w:val="24"/>
        </w:rPr>
        <w:t>, W. R., Cook, T. D., &amp; Campbell, D. T. (2002). </w:t>
      </w:r>
      <w:r w:rsidRPr="00C76C03">
        <w:rPr>
          <w:rFonts w:ascii="Times New Roman" w:hAnsi="Times New Roman"/>
          <w:bCs/>
          <w:i/>
          <w:iCs/>
          <w:szCs w:val="24"/>
        </w:rPr>
        <w:t>Experimental and quasi-experimental designs for generalized causal inference</w:t>
      </w:r>
      <w:r w:rsidRPr="00C76C03">
        <w:rPr>
          <w:rFonts w:ascii="Times New Roman" w:hAnsi="Times New Roman"/>
          <w:bCs/>
          <w:szCs w:val="24"/>
        </w:rPr>
        <w:t>. Houghton, Mifflin and Company.</w:t>
      </w:r>
    </w:p>
    <w:p w:rsidR="0026026D" w:rsidRPr="001A3942" w:rsidP="0026026D" w14:paraId="36F00FFA" w14:textId="16A59E88">
      <w:pPr>
        <w:spacing w:after="160"/>
        <w:ind w:left="720" w:hanging="720"/>
        <w:rPr>
          <w:rFonts w:ascii="Times New Roman" w:hAnsi="Times New Roman"/>
          <w:szCs w:val="24"/>
        </w:rPr>
      </w:pPr>
      <w:r w:rsidRPr="001A3942">
        <w:rPr>
          <w:rFonts w:ascii="Times New Roman" w:hAnsi="Times New Roman"/>
          <w:szCs w:val="24"/>
        </w:rPr>
        <w:t xml:space="preserve">Shanahan, T., Callison, K., Carriere, C., Duke, N. K., Pearson, P. D., Schatschneider, C., &amp; Torgesen, J. (2010). </w:t>
      </w:r>
      <w:r w:rsidRPr="001A3942">
        <w:rPr>
          <w:rFonts w:ascii="Times New Roman" w:hAnsi="Times New Roman"/>
          <w:i/>
          <w:iCs/>
          <w:szCs w:val="24"/>
        </w:rPr>
        <w:t xml:space="preserve">Improving reading comprehension in kindergarten through 3rd grade: A practice guide </w:t>
      </w:r>
      <w:r w:rsidRPr="001A3942">
        <w:rPr>
          <w:rFonts w:ascii="Times New Roman" w:hAnsi="Times New Roman"/>
          <w:szCs w:val="24"/>
        </w:rPr>
        <w:t>(NCEE 2010-4038). Washington, DC: National Center for Education Evaluation and Regional Assistance, Institute of Education Sciences, U.S. Department of Education. Retrieved from whatworks.ed.gov/publications/practiceguides</w:t>
      </w:r>
    </w:p>
    <w:p w:rsidR="0026026D" w:rsidRPr="001A3942" w:rsidP="0026026D" w14:paraId="32A1BDF7" w14:textId="77777777">
      <w:pPr>
        <w:autoSpaceDE w:val="0"/>
        <w:autoSpaceDN w:val="0"/>
        <w:adjustRightInd w:val="0"/>
        <w:spacing w:after="160"/>
        <w:ind w:left="720" w:hanging="720"/>
        <w:rPr>
          <w:rFonts w:ascii="Times New Roman" w:hAnsi="Times New Roman"/>
          <w:szCs w:val="24"/>
        </w:rPr>
      </w:pPr>
      <w:r w:rsidRPr="001A3942">
        <w:rPr>
          <w:rFonts w:ascii="Times New Roman" w:hAnsi="Times New Roman"/>
          <w:szCs w:val="24"/>
        </w:rPr>
        <w:t xml:space="preserve">Vernon-Feagans, L., </w:t>
      </w:r>
      <w:r w:rsidRPr="001A3942">
        <w:rPr>
          <w:rFonts w:ascii="Times New Roman" w:hAnsi="Times New Roman"/>
          <w:szCs w:val="24"/>
        </w:rPr>
        <w:t>Kainz</w:t>
      </w:r>
      <w:r w:rsidRPr="001A3942">
        <w:rPr>
          <w:rFonts w:ascii="Times New Roman" w:hAnsi="Times New Roman"/>
          <w:szCs w:val="24"/>
        </w:rPr>
        <w:t xml:space="preserve">, K., </w:t>
      </w:r>
      <w:r w:rsidRPr="001A3942">
        <w:rPr>
          <w:rFonts w:ascii="Times New Roman" w:hAnsi="Times New Roman"/>
          <w:szCs w:val="24"/>
        </w:rPr>
        <w:t>Amendum</w:t>
      </w:r>
      <w:r w:rsidRPr="001A3942">
        <w:rPr>
          <w:rFonts w:ascii="Times New Roman" w:hAnsi="Times New Roman"/>
          <w:szCs w:val="24"/>
        </w:rPr>
        <w:t xml:space="preserve">, S., Ginsberg, M., Wood, T., &amp; Bock, A. (2012). Targeted reading intervention: A coaching model to help classroom teachers with struggling readers. </w:t>
      </w:r>
      <w:r w:rsidRPr="001A3942">
        <w:rPr>
          <w:rFonts w:ascii="Times New Roman" w:hAnsi="Times New Roman"/>
          <w:i/>
          <w:iCs/>
          <w:szCs w:val="24"/>
        </w:rPr>
        <w:t>Learning Disability Quarterly, 35</w:t>
      </w:r>
      <w:r w:rsidRPr="001A3942">
        <w:rPr>
          <w:rFonts w:ascii="Times New Roman" w:hAnsi="Times New Roman"/>
          <w:szCs w:val="24"/>
        </w:rPr>
        <w:t>(2), 102–114. doi:10.1177/0731948711434048</w:t>
      </w:r>
    </w:p>
    <w:p w:rsidR="00D739FC" w:rsidRPr="001A3942" w:rsidP="00874202" w14:paraId="6226098C" w14:textId="68491BDF">
      <w:pPr>
        <w:pStyle w:val="ListParagraph"/>
        <w:tabs>
          <w:tab w:val="left" w:pos="-720"/>
        </w:tabs>
        <w:suppressAutoHyphens/>
        <w:ind w:left="0"/>
        <w:contextualSpacing w:val="0"/>
        <w:rPr>
          <w:rFonts w:ascii="Times New Roman" w:hAnsi="Times New Roman"/>
          <w:szCs w:val="24"/>
        </w:rPr>
      </w:pPr>
    </w:p>
    <w:p w:rsidR="00D739FC" w:rsidRPr="001A3942" w:rsidP="00874202" w14:paraId="57BF15F3" w14:textId="58B9E03F">
      <w:pPr>
        <w:pStyle w:val="ListParagraph"/>
        <w:tabs>
          <w:tab w:val="left" w:pos="-720"/>
        </w:tabs>
        <w:suppressAutoHyphens/>
        <w:ind w:left="0"/>
        <w:contextualSpacing w:val="0"/>
        <w:rPr>
          <w:rFonts w:ascii="Times New Roman" w:hAnsi="Times New Roman"/>
          <w:szCs w:val="24"/>
        </w:rPr>
      </w:pPr>
    </w:p>
    <w:p w:rsidR="00D739FC" w:rsidRPr="001A3942" w:rsidP="00874202" w14:paraId="6DDCA9F9" w14:textId="4571B489">
      <w:pPr>
        <w:pStyle w:val="ListParagraph"/>
        <w:tabs>
          <w:tab w:val="left" w:pos="-720"/>
        </w:tabs>
        <w:suppressAutoHyphens/>
        <w:ind w:left="0"/>
        <w:contextualSpacing w:val="0"/>
        <w:rPr>
          <w:rFonts w:ascii="Times New Roman" w:hAnsi="Times New Roman"/>
          <w:szCs w:val="24"/>
        </w:rPr>
      </w:pPr>
    </w:p>
    <w:p w:rsidR="00D739FC" w:rsidP="00874202" w14:paraId="3627C802" w14:textId="2F30BF35">
      <w:pPr>
        <w:pStyle w:val="ListParagraph"/>
        <w:tabs>
          <w:tab w:val="left" w:pos="-720"/>
        </w:tabs>
        <w:suppressAutoHyphens/>
        <w:ind w:left="0"/>
        <w:contextualSpacing w:val="0"/>
        <w:rPr>
          <w:rFonts w:ascii="Times New Roman" w:hAnsi="Times New Roman"/>
          <w:szCs w:val="24"/>
        </w:rPr>
      </w:pPr>
    </w:p>
    <w:p w:rsidR="00D739FC" w:rsidP="00874202" w14:paraId="7C241CDB" w14:textId="1073FE24">
      <w:pPr>
        <w:pStyle w:val="ListParagraph"/>
        <w:tabs>
          <w:tab w:val="left" w:pos="-720"/>
        </w:tabs>
        <w:suppressAutoHyphens/>
        <w:ind w:left="0"/>
        <w:contextualSpacing w:val="0"/>
        <w:rPr>
          <w:rFonts w:ascii="Times New Roman" w:hAnsi="Times New Roman"/>
          <w:szCs w:val="24"/>
        </w:rPr>
      </w:pPr>
    </w:p>
    <w:p w:rsidR="00D739FC" w:rsidP="00874202" w14:paraId="4CE952DD" w14:textId="2E1CD36F">
      <w:pPr>
        <w:pStyle w:val="ListParagraph"/>
        <w:tabs>
          <w:tab w:val="left" w:pos="-720"/>
        </w:tabs>
        <w:suppressAutoHyphens/>
        <w:ind w:left="0"/>
        <w:contextualSpacing w:val="0"/>
        <w:rPr>
          <w:rFonts w:ascii="Times New Roman" w:hAnsi="Times New Roman"/>
          <w:szCs w:val="24"/>
        </w:rPr>
      </w:pPr>
    </w:p>
    <w:p w:rsidR="00D739FC" w:rsidP="00874202" w14:paraId="22E8196D" w14:textId="3D2424BE">
      <w:pPr>
        <w:pStyle w:val="ListParagraph"/>
        <w:tabs>
          <w:tab w:val="left" w:pos="-720"/>
        </w:tabs>
        <w:suppressAutoHyphens/>
        <w:ind w:left="0"/>
        <w:contextualSpacing w:val="0"/>
        <w:rPr>
          <w:rFonts w:ascii="Times New Roman" w:hAnsi="Times New Roman"/>
          <w:szCs w:val="24"/>
        </w:rPr>
      </w:pPr>
    </w:p>
    <w:p w:rsidR="00D739FC" w:rsidP="00874202" w14:paraId="2EA26511" w14:textId="270C0110">
      <w:pPr>
        <w:pStyle w:val="ListParagraph"/>
        <w:tabs>
          <w:tab w:val="left" w:pos="-720"/>
        </w:tabs>
        <w:suppressAutoHyphens/>
        <w:ind w:left="0"/>
        <w:contextualSpacing w:val="0"/>
        <w:rPr>
          <w:rFonts w:ascii="Times New Roman" w:hAnsi="Times New Roman"/>
          <w:szCs w:val="24"/>
        </w:rPr>
      </w:pPr>
    </w:p>
    <w:p w:rsidR="00D739FC" w:rsidP="00874202" w14:paraId="12918C05" w14:textId="74B5610C">
      <w:pPr>
        <w:pStyle w:val="ListParagraph"/>
        <w:tabs>
          <w:tab w:val="left" w:pos="-720"/>
        </w:tabs>
        <w:suppressAutoHyphens/>
        <w:ind w:left="0"/>
        <w:contextualSpacing w:val="0"/>
        <w:rPr>
          <w:rFonts w:ascii="Times New Roman" w:hAnsi="Times New Roman"/>
          <w:szCs w:val="24"/>
        </w:rPr>
      </w:pPr>
    </w:p>
    <w:p w:rsidR="00D739FC" w:rsidP="00874202" w14:paraId="6D590344" w14:textId="0ADF35ED">
      <w:pPr>
        <w:pStyle w:val="ListParagraph"/>
        <w:tabs>
          <w:tab w:val="left" w:pos="-720"/>
        </w:tabs>
        <w:suppressAutoHyphens/>
        <w:ind w:left="0"/>
        <w:contextualSpacing w:val="0"/>
        <w:rPr>
          <w:rFonts w:ascii="Times New Roman" w:hAnsi="Times New Roman"/>
          <w:szCs w:val="24"/>
        </w:rPr>
      </w:pPr>
    </w:p>
    <w:p w:rsidR="00D739FC" w:rsidP="00874202" w14:paraId="30248011" w14:textId="0351E425">
      <w:pPr>
        <w:pStyle w:val="ListParagraph"/>
        <w:tabs>
          <w:tab w:val="left" w:pos="-720"/>
        </w:tabs>
        <w:suppressAutoHyphens/>
        <w:ind w:left="0"/>
        <w:contextualSpacing w:val="0"/>
        <w:rPr>
          <w:rFonts w:ascii="Times New Roman" w:hAnsi="Times New Roman"/>
          <w:szCs w:val="24"/>
        </w:rPr>
      </w:pPr>
    </w:p>
    <w:p w:rsidR="00D739FC" w:rsidP="00874202" w14:paraId="77AA1C5B" w14:textId="540EC2C0">
      <w:pPr>
        <w:pStyle w:val="ListParagraph"/>
        <w:tabs>
          <w:tab w:val="left" w:pos="-720"/>
        </w:tabs>
        <w:suppressAutoHyphens/>
        <w:ind w:left="0"/>
        <w:contextualSpacing w:val="0"/>
        <w:rPr>
          <w:rFonts w:ascii="Times New Roman" w:hAnsi="Times New Roman"/>
          <w:szCs w:val="24"/>
        </w:rPr>
      </w:pPr>
    </w:p>
    <w:p w:rsidR="00D739FC" w:rsidP="00874202" w14:paraId="55521BB0" w14:textId="49FD03E8">
      <w:pPr>
        <w:pStyle w:val="ListParagraph"/>
        <w:tabs>
          <w:tab w:val="left" w:pos="-720"/>
        </w:tabs>
        <w:suppressAutoHyphens/>
        <w:ind w:left="0"/>
        <w:contextualSpacing w:val="0"/>
        <w:rPr>
          <w:rFonts w:ascii="Times New Roman" w:hAnsi="Times New Roman"/>
          <w:szCs w:val="24"/>
        </w:rPr>
      </w:pPr>
    </w:p>
    <w:p w:rsidR="00D739FC" w:rsidP="00874202" w14:paraId="0A8BB460" w14:textId="2C93793A">
      <w:pPr>
        <w:pStyle w:val="ListParagraph"/>
        <w:tabs>
          <w:tab w:val="left" w:pos="-720"/>
        </w:tabs>
        <w:suppressAutoHyphens/>
        <w:ind w:left="0"/>
        <w:contextualSpacing w:val="0"/>
        <w:rPr>
          <w:rFonts w:ascii="Times New Roman" w:hAnsi="Times New Roman"/>
          <w:szCs w:val="24"/>
        </w:rPr>
      </w:pPr>
    </w:p>
    <w:p w:rsidR="00D739FC" w:rsidP="00874202" w14:paraId="309E824F" w14:textId="4BF9DB2D">
      <w:pPr>
        <w:pStyle w:val="ListParagraph"/>
        <w:tabs>
          <w:tab w:val="left" w:pos="-720"/>
        </w:tabs>
        <w:suppressAutoHyphens/>
        <w:ind w:left="0"/>
        <w:contextualSpacing w:val="0"/>
        <w:rPr>
          <w:rFonts w:ascii="Times New Roman" w:hAnsi="Times New Roman"/>
          <w:szCs w:val="24"/>
        </w:rPr>
      </w:pPr>
    </w:p>
    <w:p w:rsidR="00D739FC" w:rsidP="00874202" w14:paraId="4B5A3C51" w14:textId="5FC8C9A3">
      <w:pPr>
        <w:pStyle w:val="ListParagraph"/>
        <w:tabs>
          <w:tab w:val="left" w:pos="-720"/>
        </w:tabs>
        <w:suppressAutoHyphens/>
        <w:ind w:left="0"/>
        <w:contextualSpacing w:val="0"/>
        <w:rPr>
          <w:rFonts w:ascii="Times New Roman" w:hAnsi="Times New Roman"/>
          <w:szCs w:val="24"/>
        </w:rPr>
      </w:pPr>
    </w:p>
    <w:p w:rsidR="00D739FC" w:rsidP="00874202" w14:paraId="34EC66BB" w14:textId="6C2DD8B7">
      <w:pPr>
        <w:pStyle w:val="ListParagraph"/>
        <w:tabs>
          <w:tab w:val="left" w:pos="-720"/>
        </w:tabs>
        <w:suppressAutoHyphens/>
        <w:ind w:left="0"/>
        <w:contextualSpacing w:val="0"/>
        <w:rPr>
          <w:rFonts w:ascii="Times New Roman" w:hAnsi="Times New Roman"/>
          <w:szCs w:val="24"/>
        </w:rPr>
      </w:pPr>
    </w:p>
    <w:p w:rsidR="00D739FC" w:rsidP="00874202" w14:paraId="35DFDAF1" w14:textId="67DF3022">
      <w:pPr>
        <w:pStyle w:val="ListParagraph"/>
        <w:tabs>
          <w:tab w:val="left" w:pos="-720"/>
        </w:tabs>
        <w:suppressAutoHyphens/>
        <w:ind w:left="0"/>
        <w:contextualSpacing w:val="0"/>
        <w:rPr>
          <w:rFonts w:ascii="Times New Roman" w:hAnsi="Times New Roman"/>
          <w:szCs w:val="24"/>
        </w:rPr>
      </w:pPr>
    </w:p>
    <w:p w:rsidR="00D739FC" w:rsidP="00874202" w14:paraId="7846675C" w14:textId="3FF81A8D">
      <w:pPr>
        <w:pStyle w:val="ListParagraph"/>
        <w:tabs>
          <w:tab w:val="left" w:pos="-720"/>
        </w:tabs>
        <w:suppressAutoHyphens/>
        <w:ind w:left="0"/>
        <w:contextualSpacing w:val="0"/>
        <w:rPr>
          <w:rFonts w:ascii="Times New Roman" w:hAnsi="Times New Roman"/>
          <w:szCs w:val="24"/>
        </w:rPr>
      </w:pPr>
    </w:p>
    <w:p w:rsidR="00D739FC" w:rsidP="00874202" w14:paraId="2C1F5CE1" w14:textId="4A3AEC6B">
      <w:pPr>
        <w:pStyle w:val="ListParagraph"/>
        <w:tabs>
          <w:tab w:val="left" w:pos="-720"/>
        </w:tabs>
        <w:suppressAutoHyphens/>
        <w:ind w:left="0"/>
        <w:contextualSpacing w:val="0"/>
        <w:rPr>
          <w:rFonts w:ascii="Times New Roman" w:hAnsi="Times New Roman"/>
          <w:szCs w:val="24"/>
        </w:rPr>
      </w:pPr>
    </w:p>
    <w:p w:rsidR="00D739FC" w:rsidP="00874202" w14:paraId="518CA60D" w14:textId="1BCB311E">
      <w:pPr>
        <w:pStyle w:val="ListParagraph"/>
        <w:tabs>
          <w:tab w:val="left" w:pos="-720"/>
        </w:tabs>
        <w:suppressAutoHyphens/>
        <w:ind w:left="0"/>
        <w:contextualSpacing w:val="0"/>
        <w:rPr>
          <w:rFonts w:ascii="Times New Roman" w:hAnsi="Times New Roman"/>
          <w:szCs w:val="24"/>
        </w:rPr>
      </w:pPr>
    </w:p>
    <w:p w:rsidR="00D739FC" w:rsidP="00874202" w14:paraId="5D28110E" w14:textId="65233906">
      <w:pPr>
        <w:pStyle w:val="ListParagraph"/>
        <w:tabs>
          <w:tab w:val="left" w:pos="-720"/>
        </w:tabs>
        <w:suppressAutoHyphens/>
        <w:ind w:left="0"/>
        <w:contextualSpacing w:val="0"/>
        <w:rPr>
          <w:rFonts w:ascii="Times New Roman" w:hAnsi="Times New Roman"/>
          <w:szCs w:val="24"/>
        </w:rPr>
      </w:pPr>
    </w:p>
    <w:p w:rsidR="00D739FC" w:rsidP="00874202" w14:paraId="134F8D73" w14:textId="6DF22853">
      <w:pPr>
        <w:pStyle w:val="ListParagraph"/>
        <w:tabs>
          <w:tab w:val="left" w:pos="-720"/>
        </w:tabs>
        <w:suppressAutoHyphens/>
        <w:ind w:left="0"/>
        <w:contextualSpacing w:val="0"/>
        <w:rPr>
          <w:rFonts w:ascii="Times New Roman" w:hAnsi="Times New Roman"/>
          <w:szCs w:val="24"/>
        </w:rPr>
      </w:pPr>
    </w:p>
    <w:p w:rsidR="00D739FC" w:rsidP="00874202" w14:paraId="7E01F727" w14:textId="5D8D1D2A">
      <w:pPr>
        <w:pStyle w:val="ListParagraph"/>
        <w:tabs>
          <w:tab w:val="left" w:pos="-720"/>
        </w:tabs>
        <w:suppressAutoHyphens/>
        <w:ind w:left="0"/>
        <w:contextualSpacing w:val="0"/>
        <w:rPr>
          <w:rFonts w:ascii="Times New Roman" w:hAnsi="Times New Roman"/>
          <w:szCs w:val="24"/>
        </w:rPr>
      </w:pPr>
    </w:p>
    <w:p w:rsidR="00B52307" w:rsidP="00874202" w14:paraId="09A4C4CE" w14:textId="5B39D828">
      <w:pPr>
        <w:pStyle w:val="ListParagraph"/>
        <w:tabs>
          <w:tab w:val="left" w:pos="-720"/>
        </w:tabs>
        <w:suppressAutoHyphens/>
        <w:ind w:left="0"/>
        <w:contextualSpacing w:val="0"/>
        <w:rPr>
          <w:rFonts w:ascii="Times New Roman" w:hAnsi="Times New Roman"/>
          <w:szCs w:val="24"/>
        </w:rPr>
      </w:pPr>
    </w:p>
    <w:p w:rsidR="00B52307" w:rsidP="00874202" w14:paraId="552656F7" w14:textId="5CCB473F">
      <w:pPr>
        <w:pStyle w:val="ListParagraph"/>
        <w:tabs>
          <w:tab w:val="left" w:pos="-720"/>
        </w:tabs>
        <w:suppressAutoHyphens/>
        <w:ind w:left="0"/>
        <w:contextualSpacing w:val="0"/>
        <w:rPr>
          <w:rFonts w:ascii="Times New Roman" w:hAnsi="Times New Roman"/>
          <w:szCs w:val="24"/>
        </w:rPr>
      </w:pPr>
    </w:p>
    <w:p w:rsidR="00B52307" w:rsidP="00874202" w14:paraId="7D792A07" w14:textId="694978F1">
      <w:pPr>
        <w:pStyle w:val="ListParagraph"/>
        <w:tabs>
          <w:tab w:val="left" w:pos="-720"/>
        </w:tabs>
        <w:suppressAutoHyphens/>
        <w:ind w:left="0"/>
        <w:contextualSpacing w:val="0"/>
        <w:rPr>
          <w:rFonts w:ascii="Times New Roman" w:hAnsi="Times New Roman"/>
          <w:szCs w:val="24"/>
        </w:rPr>
      </w:pPr>
    </w:p>
    <w:p w:rsidR="00B52307" w:rsidP="00874202" w14:paraId="42B1AB0A" w14:textId="77777777">
      <w:pPr>
        <w:pStyle w:val="ListParagraph"/>
        <w:tabs>
          <w:tab w:val="left" w:pos="-720"/>
        </w:tabs>
        <w:suppressAutoHyphens/>
        <w:ind w:left="0"/>
        <w:contextualSpacing w:val="0"/>
        <w:rPr>
          <w:rFonts w:ascii="Times New Roman" w:hAnsi="Times New Roman"/>
          <w:szCs w:val="24"/>
        </w:rPr>
      </w:pPr>
    </w:p>
    <w:p w:rsidR="00D739FC" w:rsidP="00874202" w14:paraId="683CFD04" w14:textId="06C373E6">
      <w:pPr>
        <w:pStyle w:val="ListParagraph"/>
        <w:tabs>
          <w:tab w:val="left" w:pos="-720"/>
        </w:tabs>
        <w:suppressAutoHyphens/>
        <w:ind w:left="0"/>
        <w:contextualSpacing w:val="0"/>
        <w:rPr>
          <w:rFonts w:ascii="Times New Roman" w:hAnsi="Times New Roman"/>
          <w:szCs w:val="24"/>
        </w:rPr>
      </w:pPr>
    </w:p>
    <w:p w:rsidR="00D739FC" w:rsidP="00874202" w14:paraId="1341F22F" w14:textId="63F4AE51">
      <w:pPr>
        <w:pStyle w:val="ListParagraph"/>
        <w:tabs>
          <w:tab w:val="left" w:pos="-720"/>
        </w:tabs>
        <w:suppressAutoHyphens/>
        <w:ind w:left="0"/>
        <w:contextualSpacing w:val="0"/>
        <w:rPr>
          <w:rFonts w:ascii="Times New Roman" w:hAnsi="Times New Roman"/>
          <w:szCs w:val="24"/>
        </w:rPr>
      </w:pPr>
    </w:p>
    <w:p w:rsidR="00D739FC" w:rsidP="00874202" w14:paraId="3CD050F0" w14:textId="1EBDD62A">
      <w:pPr>
        <w:pStyle w:val="ListParagraph"/>
        <w:tabs>
          <w:tab w:val="left" w:pos="-720"/>
        </w:tabs>
        <w:suppressAutoHyphens/>
        <w:ind w:left="0"/>
        <w:contextualSpacing w:val="0"/>
        <w:rPr>
          <w:rFonts w:ascii="Times New Roman" w:hAnsi="Times New Roman"/>
          <w:szCs w:val="24"/>
        </w:rPr>
      </w:pPr>
    </w:p>
    <w:p w:rsidR="00D739FC" w:rsidP="00874202" w14:paraId="73CDCDF7" w14:textId="39636C39">
      <w:pPr>
        <w:pStyle w:val="ListParagraph"/>
        <w:tabs>
          <w:tab w:val="left" w:pos="-720"/>
        </w:tabs>
        <w:suppressAutoHyphens/>
        <w:ind w:left="0"/>
        <w:contextualSpacing w:val="0"/>
        <w:rPr>
          <w:rFonts w:ascii="Times New Roman" w:hAnsi="Times New Roman"/>
          <w:szCs w:val="24"/>
        </w:rPr>
      </w:pPr>
    </w:p>
    <w:p w:rsidR="00D739FC" w:rsidP="00D739FC" w14:paraId="641E8459" w14:textId="3C40813E">
      <w:pPr>
        <w:pStyle w:val="Heading2"/>
        <w:jc w:val="left"/>
      </w:pPr>
      <w:r>
        <w:t>Appendix A – Recruitment Materials</w:t>
      </w:r>
    </w:p>
    <w:p w:rsidR="00D739FC" w:rsidRPr="00D739FC" w:rsidP="00D739FC" w14:paraId="11AAFA66" w14:textId="77777777"/>
    <w:p w:rsidR="00D739FC" w:rsidRPr="00D739FC" w:rsidP="00D739FC" w14:paraId="01C82A3F" w14:textId="77777777">
      <w:pPr>
        <w:pStyle w:val="ListParagraph"/>
        <w:numPr>
          <w:ilvl w:val="0"/>
          <w:numId w:val="11"/>
        </w:numPr>
        <w:tabs>
          <w:tab w:val="left" w:pos="-720"/>
        </w:tabs>
        <w:contextualSpacing w:val="0"/>
        <w:rPr>
          <w:rFonts w:ascii="Times New Roman" w:hAnsi="Times New Roman"/>
          <w:szCs w:val="24"/>
        </w:rPr>
      </w:pPr>
      <w:r w:rsidRPr="00D739FC">
        <w:rPr>
          <w:rFonts w:ascii="Times New Roman" w:hAnsi="Times New Roman"/>
          <w:szCs w:val="24"/>
        </w:rPr>
        <w:t xml:space="preserve">Appendix A1 – </w:t>
      </w:r>
      <w:bookmarkStart w:id="14" w:name="_Hlk101348657"/>
      <w:r w:rsidRPr="00D739FC">
        <w:rPr>
          <w:rFonts w:ascii="Times New Roman" w:hAnsi="Times New Roman"/>
          <w:szCs w:val="24"/>
        </w:rPr>
        <w:t>Preliminary Letters to District Leaders, School Leaders, and Teachers</w:t>
      </w:r>
      <w:bookmarkEnd w:id="14"/>
    </w:p>
    <w:p w:rsidR="00D739FC" w:rsidRPr="00D739FC" w:rsidP="00D739FC" w14:paraId="7709532E" w14:textId="77777777">
      <w:pPr>
        <w:pStyle w:val="ListParagraph"/>
        <w:numPr>
          <w:ilvl w:val="0"/>
          <w:numId w:val="11"/>
        </w:numPr>
        <w:tabs>
          <w:tab w:val="left" w:pos="-720"/>
        </w:tabs>
        <w:contextualSpacing w:val="0"/>
        <w:rPr>
          <w:rFonts w:ascii="Times New Roman" w:hAnsi="Times New Roman"/>
          <w:szCs w:val="24"/>
        </w:rPr>
      </w:pPr>
      <w:r w:rsidRPr="00D739FC">
        <w:rPr>
          <w:rFonts w:ascii="Times New Roman" w:hAnsi="Times New Roman"/>
          <w:szCs w:val="24"/>
        </w:rPr>
        <w:t>Appendix A2 – District Recruitment Emails and Phone Call Talking Points</w:t>
      </w:r>
    </w:p>
    <w:p w:rsidR="00D739FC" w:rsidRPr="00D739FC" w:rsidP="00D739FC" w14:paraId="3BC8F091" w14:textId="77777777">
      <w:pPr>
        <w:pStyle w:val="ListParagraph"/>
        <w:numPr>
          <w:ilvl w:val="0"/>
          <w:numId w:val="11"/>
        </w:numPr>
        <w:tabs>
          <w:tab w:val="left" w:pos="-720"/>
        </w:tabs>
        <w:contextualSpacing w:val="0"/>
        <w:rPr>
          <w:rFonts w:ascii="Times New Roman" w:hAnsi="Times New Roman"/>
          <w:szCs w:val="24"/>
        </w:rPr>
      </w:pPr>
      <w:r w:rsidRPr="00D739FC">
        <w:rPr>
          <w:rFonts w:ascii="Times New Roman" w:hAnsi="Times New Roman"/>
          <w:szCs w:val="24"/>
        </w:rPr>
        <w:t>Appendix A3 – School Leader Recruitment Emails, Phone Call Talking Points, and Agendas for Information Session and Webinar</w:t>
      </w:r>
    </w:p>
    <w:p w:rsidR="00D739FC" w:rsidRPr="00D739FC" w:rsidP="00D739FC" w14:paraId="26C1C7F7" w14:textId="77777777">
      <w:pPr>
        <w:pStyle w:val="ListParagraph"/>
        <w:numPr>
          <w:ilvl w:val="0"/>
          <w:numId w:val="11"/>
        </w:numPr>
        <w:tabs>
          <w:tab w:val="left" w:pos="-720"/>
        </w:tabs>
        <w:contextualSpacing w:val="0"/>
        <w:rPr>
          <w:rFonts w:ascii="Times New Roman" w:hAnsi="Times New Roman"/>
          <w:szCs w:val="24"/>
        </w:rPr>
      </w:pPr>
      <w:r w:rsidRPr="00D739FC">
        <w:rPr>
          <w:rFonts w:ascii="Times New Roman" w:hAnsi="Times New Roman"/>
          <w:szCs w:val="24"/>
        </w:rPr>
        <w:t>Appendix A4 – Teacher Recruitment Emails</w:t>
      </w:r>
    </w:p>
    <w:p w:rsidR="00D739FC" w:rsidP="00D739FC" w14:paraId="732107AC" w14:textId="1035D580">
      <w:pPr>
        <w:pStyle w:val="ListParagraph"/>
        <w:numPr>
          <w:ilvl w:val="0"/>
          <w:numId w:val="11"/>
        </w:numPr>
        <w:tabs>
          <w:tab w:val="left" w:pos="-720"/>
        </w:tabs>
        <w:contextualSpacing w:val="0"/>
        <w:rPr>
          <w:rFonts w:ascii="Times New Roman" w:hAnsi="Times New Roman"/>
          <w:szCs w:val="24"/>
        </w:rPr>
      </w:pPr>
      <w:r w:rsidRPr="00D739FC">
        <w:rPr>
          <w:rFonts w:ascii="Times New Roman" w:hAnsi="Times New Roman"/>
          <w:szCs w:val="24"/>
        </w:rPr>
        <w:t>Appendix A5 – Frequently Asked Questions</w:t>
      </w:r>
    </w:p>
    <w:p w:rsidR="005D15CE" w:rsidP="005D15CE" w14:paraId="7C4C484B" w14:textId="2477C927">
      <w:pPr>
        <w:pStyle w:val="ListParagraph"/>
        <w:tabs>
          <w:tab w:val="left" w:pos="-720"/>
        </w:tabs>
        <w:contextualSpacing w:val="0"/>
        <w:rPr>
          <w:rFonts w:ascii="Times New Roman" w:hAnsi="Times New Roman"/>
          <w:szCs w:val="24"/>
        </w:rPr>
      </w:pPr>
    </w:p>
    <w:p w:rsidR="005D15CE" w:rsidP="005D15CE" w14:paraId="226CA8EC" w14:textId="3D9931B6">
      <w:pPr>
        <w:pStyle w:val="ListParagraph"/>
        <w:tabs>
          <w:tab w:val="left" w:pos="-720"/>
        </w:tabs>
        <w:contextualSpacing w:val="0"/>
        <w:rPr>
          <w:rFonts w:ascii="Times New Roman" w:hAnsi="Times New Roman"/>
          <w:szCs w:val="24"/>
        </w:rPr>
      </w:pPr>
    </w:p>
    <w:p w:rsidR="005D15CE" w:rsidP="005D15CE" w14:paraId="3914F400" w14:textId="73E17884">
      <w:pPr>
        <w:pStyle w:val="ListParagraph"/>
        <w:tabs>
          <w:tab w:val="left" w:pos="-720"/>
        </w:tabs>
        <w:contextualSpacing w:val="0"/>
        <w:rPr>
          <w:rFonts w:ascii="Times New Roman" w:hAnsi="Times New Roman"/>
          <w:szCs w:val="24"/>
        </w:rPr>
      </w:pPr>
    </w:p>
    <w:p w:rsidR="005D15CE" w:rsidP="005D15CE" w14:paraId="2BD95BF6" w14:textId="4CA9B785">
      <w:pPr>
        <w:pStyle w:val="ListParagraph"/>
        <w:tabs>
          <w:tab w:val="left" w:pos="-720"/>
        </w:tabs>
        <w:contextualSpacing w:val="0"/>
        <w:rPr>
          <w:rFonts w:ascii="Times New Roman" w:hAnsi="Times New Roman"/>
          <w:szCs w:val="24"/>
        </w:rPr>
      </w:pPr>
    </w:p>
    <w:p w:rsidR="005D15CE" w:rsidP="005D15CE" w14:paraId="25F24A47" w14:textId="5B183AEA">
      <w:pPr>
        <w:pStyle w:val="ListParagraph"/>
        <w:tabs>
          <w:tab w:val="left" w:pos="-720"/>
        </w:tabs>
        <w:contextualSpacing w:val="0"/>
        <w:rPr>
          <w:rFonts w:ascii="Times New Roman" w:hAnsi="Times New Roman"/>
          <w:szCs w:val="24"/>
        </w:rPr>
      </w:pPr>
    </w:p>
    <w:p w:rsidR="005D15CE" w:rsidP="005D15CE" w14:paraId="4B991AE5" w14:textId="4BA98EA5">
      <w:pPr>
        <w:pStyle w:val="ListParagraph"/>
        <w:tabs>
          <w:tab w:val="left" w:pos="-720"/>
        </w:tabs>
        <w:contextualSpacing w:val="0"/>
        <w:rPr>
          <w:rFonts w:ascii="Times New Roman" w:hAnsi="Times New Roman"/>
          <w:szCs w:val="24"/>
        </w:rPr>
      </w:pPr>
    </w:p>
    <w:p w:rsidR="005D15CE" w:rsidP="005D15CE" w14:paraId="42D22669" w14:textId="13185527">
      <w:pPr>
        <w:pStyle w:val="ListParagraph"/>
        <w:tabs>
          <w:tab w:val="left" w:pos="-720"/>
        </w:tabs>
        <w:contextualSpacing w:val="0"/>
        <w:rPr>
          <w:rFonts w:ascii="Times New Roman" w:hAnsi="Times New Roman"/>
          <w:szCs w:val="24"/>
        </w:rPr>
      </w:pPr>
    </w:p>
    <w:p w:rsidR="005D15CE" w:rsidP="005D15CE" w14:paraId="278765D4" w14:textId="105A3363">
      <w:pPr>
        <w:pStyle w:val="ListParagraph"/>
        <w:tabs>
          <w:tab w:val="left" w:pos="-720"/>
        </w:tabs>
        <w:contextualSpacing w:val="0"/>
        <w:rPr>
          <w:rFonts w:ascii="Times New Roman" w:hAnsi="Times New Roman"/>
          <w:szCs w:val="24"/>
        </w:rPr>
      </w:pPr>
    </w:p>
    <w:p w:rsidR="005D15CE" w:rsidP="005D15CE" w14:paraId="6F72075F" w14:textId="0491C060">
      <w:pPr>
        <w:pStyle w:val="ListParagraph"/>
        <w:tabs>
          <w:tab w:val="left" w:pos="-720"/>
        </w:tabs>
        <w:contextualSpacing w:val="0"/>
        <w:rPr>
          <w:rFonts w:ascii="Times New Roman" w:hAnsi="Times New Roman"/>
          <w:szCs w:val="24"/>
        </w:rPr>
      </w:pPr>
    </w:p>
    <w:p w:rsidR="005D15CE" w:rsidP="005D15CE" w14:paraId="668DD5E6" w14:textId="6A53CD24">
      <w:pPr>
        <w:pStyle w:val="ListParagraph"/>
        <w:tabs>
          <w:tab w:val="left" w:pos="-720"/>
        </w:tabs>
        <w:contextualSpacing w:val="0"/>
        <w:rPr>
          <w:rFonts w:ascii="Times New Roman" w:hAnsi="Times New Roman"/>
          <w:szCs w:val="24"/>
        </w:rPr>
      </w:pPr>
    </w:p>
    <w:p w:rsidR="005D15CE" w:rsidP="005D15CE" w14:paraId="2BF1D032" w14:textId="76CCDA23">
      <w:pPr>
        <w:pStyle w:val="ListParagraph"/>
        <w:tabs>
          <w:tab w:val="left" w:pos="-720"/>
        </w:tabs>
        <w:contextualSpacing w:val="0"/>
        <w:rPr>
          <w:rFonts w:ascii="Times New Roman" w:hAnsi="Times New Roman"/>
          <w:szCs w:val="24"/>
        </w:rPr>
      </w:pPr>
    </w:p>
    <w:p w:rsidR="005D15CE" w:rsidP="005D15CE" w14:paraId="2BD977F6" w14:textId="50DBECF6">
      <w:pPr>
        <w:pStyle w:val="ListParagraph"/>
        <w:tabs>
          <w:tab w:val="left" w:pos="-720"/>
        </w:tabs>
        <w:contextualSpacing w:val="0"/>
        <w:rPr>
          <w:rFonts w:ascii="Times New Roman" w:hAnsi="Times New Roman"/>
          <w:szCs w:val="24"/>
        </w:rPr>
      </w:pPr>
    </w:p>
    <w:p w:rsidR="005D15CE" w:rsidP="005D15CE" w14:paraId="201E75FB" w14:textId="4BA0E524">
      <w:pPr>
        <w:pStyle w:val="ListParagraph"/>
        <w:tabs>
          <w:tab w:val="left" w:pos="-720"/>
        </w:tabs>
        <w:contextualSpacing w:val="0"/>
        <w:rPr>
          <w:rFonts w:ascii="Times New Roman" w:hAnsi="Times New Roman"/>
          <w:szCs w:val="24"/>
        </w:rPr>
      </w:pPr>
    </w:p>
    <w:p w:rsidR="005D15CE" w:rsidP="005D15CE" w14:paraId="76837070" w14:textId="2B7D7B24">
      <w:pPr>
        <w:pStyle w:val="ListParagraph"/>
        <w:tabs>
          <w:tab w:val="left" w:pos="-720"/>
        </w:tabs>
        <w:contextualSpacing w:val="0"/>
        <w:rPr>
          <w:rFonts w:ascii="Times New Roman" w:hAnsi="Times New Roman"/>
          <w:szCs w:val="24"/>
        </w:rPr>
      </w:pPr>
    </w:p>
    <w:p w:rsidR="005D15CE" w:rsidP="005D15CE" w14:paraId="07E9D0B3" w14:textId="2FF8147B">
      <w:pPr>
        <w:pStyle w:val="ListParagraph"/>
        <w:tabs>
          <w:tab w:val="left" w:pos="-720"/>
        </w:tabs>
        <w:contextualSpacing w:val="0"/>
        <w:rPr>
          <w:rFonts w:ascii="Times New Roman" w:hAnsi="Times New Roman"/>
          <w:szCs w:val="24"/>
        </w:rPr>
      </w:pPr>
    </w:p>
    <w:p w:rsidR="005D15CE" w:rsidP="005D15CE" w14:paraId="5B368807" w14:textId="560D4A1C">
      <w:pPr>
        <w:pStyle w:val="ListParagraph"/>
        <w:tabs>
          <w:tab w:val="left" w:pos="-720"/>
        </w:tabs>
        <w:contextualSpacing w:val="0"/>
        <w:rPr>
          <w:rFonts w:ascii="Times New Roman" w:hAnsi="Times New Roman"/>
          <w:szCs w:val="24"/>
        </w:rPr>
      </w:pPr>
    </w:p>
    <w:p w:rsidR="005D15CE" w:rsidP="005D15CE" w14:paraId="56E0FEA5" w14:textId="1095DE0E">
      <w:pPr>
        <w:pStyle w:val="ListParagraph"/>
        <w:tabs>
          <w:tab w:val="left" w:pos="-720"/>
        </w:tabs>
        <w:contextualSpacing w:val="0"/>
        <w:rPr>
          <w:rFonts w:ascii="Times New Roman" w:hAnsi="Times New Roman"/>
          <w:szCs w:val="24"/>
        </w:rPr>
      </w:pPr>
    </w:p>
    <w:p w:rsidR="005D15CE" w:rsidP="005D15CE" w14:paraId="607477F4" w14:textId="6F2AC6AC">
      <w:pPr>
        <w:pStyle w:val="ListParagraph"/>
        <w:tabs>
          <w:tab w:val="left" w:pos="-720"/>
        </w:tabs>
        <w:contextualSpacing w:val="0"/>
        <w:rPr>
          <w:rFonts w:ascii="Times New Roman" w:hAnsi="Times New Roman"/>
          <w:szCs w:val="24"/>
        </w:rPr>
      </w:pPr>
    </w:p>
    <w:p w:rsidR="005D15CE" w:rsidP="005D15CE" w14:paraId="57149810" w14:textId="4C1A8716">
      <w:pPr>
        <w:pStyle w:val="ListParagraph"/>
        <w:tabs>
          <w:tab w:val="left" w:pos="-720"/>
        </w:tabs>
        <w:contextualSpacing w:val="0"/>
        <w:rPr>
          <w:rFonts w:ascii="Times New Roman" w:hAnsi="Times New Roman"/>
          <w:szCs w:val="24"/>
        </w:rPr>
      </w:pPr>
    </w:p>
    <w:p w:rsidR="005D15CE" w:rsidP="005D15CE" w14:paraId="30BD38B3" w14:textId="6634FF78">
      <w:pPr>
        <w:pStyle w:val="ListParagraph"/>
        <w:tabs>
          <w:tab w:val="left" w:pos="-720"/>
        </w:tabs>
        <w:contextualSpacing w:val="0"/>
        <w:rPr>
          <w:rFonts w:ascii="Times New Roman" w:hAnsi="Times New Roman"/>
          <w:szCs w:val="24"/>
        </w:rPr>
      </w:pPr>
    </w:p>
    <w:p w:rsidR="005D15CE" w:rsidP="005D15CE" w14:paraId="1A3993A2" w14:textId="2DE17D0D">
      <w:pPr>
        <w:pStyle w:val="ListParagraph"/>
        <w:tabs>
          <w:tab w:val="left" w:pos="-720"/>
        </w:tabs>
        <w:contextualSpacing w:val="0"/>
        <w:rPr>
          <w:rFonts w:ascii="Times New Roman" w:hAnsi="Times New Roman"/>
          <w:szCs w:val="24"/>
        </w:rPr>
      </w:pPr>
    </w:p>
    <w:p w:rsidR="005D15CE" w:rsidP="005D15CE" w14:paraId="3E873556" w14:textId="6416075F">
      <w:pPr>
        <w:pStyle w:val="ListParagraph"/>
        <w:tabs>
          <w:tab w:val="left" w:pos="-720"/>
        </w:tabs>
        <w:contextualSpacing w:val="0"/>
        <w:rPr>
          <w:rFonts w:ascii="Times New Roman" w:hAnsi="Times New Roman"/>
          <w:szCs w:val="24"/>
        </w:rPr>
      </w:pPr>
    </w:p>
    <w:p w:rsidR="005D15CE" w:rsidP="005D15CE" w14:paraId="3C25AD44" w14:textId="0C74D6CF">
      <w:pPr>
        <w:pStyle w:val="ListParagraph"/>
        <w:tabs>
          <w:tab w:val="left" w:pos="-720"/>
        </w:tabs>
        <w:contextualSpacing w:val="0"/>
        <w:rPr>
          <w:rFonts w:ascii="Times New Roman" w:hAnsi="Times New Roman"/>
          <w:szCs w:val="24"/>
        </w:rPr>
      </w:pPr>
    </w:p>
    <w:p w:rsidR="005D15CE" w:rsidP="005D15CE" w14:paraId="79617326" w14:textId="2A8B8299">
      <w:pPr>
        <w:pStyle w:val="ListParagraph"/>
        <w:tabs>
          <w:tab w:val="left" w:pos="-720"/>
        </w:tabs>
        <w:contextualSpacing w:val="0"/>
        <w:rPr>
          <w:rFonts w:ascii="Times New Roman" w:hAnsi="Times New Roman"/>
          <w:szCs w:val="24"/>
        </w:rPr>
      </w:pPr>
    </w:p>
    <w:p w:rsidR="005D15CE" w:rsidP="005D15CE" w14:paraId="451E02EB" w14:textId="2B62DB52">
      <w:pPr>
        <w:pStyle w:val="ListParagraph"/>
        <w:tabs>
          <w:tab w:val="left" w:pos="-720"/>
        </w:tabs>
        <w:contextualSpacing w:val="0"/>
        <w:rPr>
          <w:rFonts w:ascii="Times New Roman" w:hAnsi="Times New Roman"/>
          <w:szCs w:val="24"/>
        </w:rPr>
      </w:pPr>
    </w:p>
    <w:p w:rsidR="005D15CE" w:rsidP="005D15CE" w14:paraId="0A84AC7D" w14:textId="1ED9E6C4">
      <w:pPr>
        <w:pStyle w:val="ListParagraph"/>
        <w:tabs>
          <w:tab w:val="left" w:pos="-720"/>
        </w:tabs>
        <w:contextualSpacing w:val="0"/>
        <w:rPr>
          <w:rFonts w:ascii="Times New Roman" w:hAnsi="Times New Roman"/>
          <w:szCs w:val="24"/>
        </w:rPr>
      </w:pPr>
    </w:p>
    <w:p w:rsidR="005D15CE" w:rsidP="005D15CE" w14:paraId="2876BF40" w14:textId="6E93D01E">
      <w:pPr>
        <w:pStyle w:val="ListParagraph"/>
        <w:tabs>
          <w:tab w:val="left" w:pos="-720"/>
        </w:tabs>
        <w:contextualSpacing w:val="0"/>
        <w:rPr>
          <w:rFonts w:ascii="Times New Roman" w:hAnsi="Times New Roman"/>
          <w:szCs w:val="24"/>
        </w:rPr>
      </w:pPr>
    </w:p>
    <w:p w:rsidR="005D15CE" w:rsidP="005D15CE" w14:paraId="37A3EEE2" w14:textId="271021CE">
      <w:pPr>
        <w:pStyle w:val="ListParagraph"/>
        <w:tabs>
          <w:tab w:val="left" w:pos="-720"/>
        </w:tabs>
        <w:contextualSpacing w:val="0"/>
        <w:rPr>
          <w:rFonts w:ascii="Times New Roman" w:hAnsi="Times New Roman"/>
          <w:szCs w:val="24"/>
        </w:rPr>
      </w:pPr>
    </w:p>
    <w:p w:rsidR="005D15CE" w:rsidP="005D15CE" w14:paraId="30ED9D2D" w14:textId="26B389D0">
      <w:pPr>
        <w:pStyle w:val="ListParagraph"/>
        <w:tabs>
          <w:tab w:val="left" w:pos="-720"/>
        </w:tabs>
        <w:contextualSpacing w:val="0"/>
        <w:rPr>
          <w:rFonts w:ascii="Times New Roman" w:hAnsi="Times New Roman"/>
          <w:szCs w:val="24"/>
        </w:rPr>
      </w:pPr>
    </w:p>
    <w:p w:rsidR="005D15CE" w:rsidP="005D15CE" w14:paraId="50BAA875" w14:textId="23DD7DAD">
      <w:pPr>
        <w:pStyle w:val="ListParagraph"/>
        <w:tabs>
          <w:tab w:val="left" w:pos="-720"/>
        </w:tabs>
        <w:contextualSpacing w:val="0"/>
        <w:rPr>
          <w:rFonts w:ascii="Times New Roman" w:hAnsi="Times New Roman"/>
          <w:szCs w:val="24"/>
        </w:rPr>
      </w:pPr>
    </w:p>
    <w:p w:rsidR="005D15CE" w:rsidP="005D15CE" w14:paraId="032B2247" w14:textId="28CEBBC3">
      <w:pPr>
        <w:pStyle w:val="ListParagraph"/>
        <w:tabs>
          <w:tab w:val="left" w:pos="-720"/>
        </w:tabs>
        <w:contextualSpacing w:val="0"/>
        <w:rPr>
          <w:rFonts w:ascii="Times New Roman" w:hAnsi="Times New Roman"/>
          <w:szCs w:val="24"/>
        </w:rPr>
      </w:pPr>
    </w:p>
    <w:p w:rsidR="005D15CE" w:rsidP="005D15CE" w14:paraId="1E05E3A3" w14:textId="62FAACBE">
      <w:pPr>
        <w:pStyle w:val="ListParagraph"/>
        <w:tabs>
          <w:tab w:val="left" w:pos="-720"/>
        </w:tabs>
        <w:contextualSpacing w:val="0"/>
        <w:rPr>
          <w:rFonts w:ascii="Times New Roman" w:hAnsi="Times New Roman"/>
          <w:szCs w:val="24"/>
        </w:rPr>
      </w:pPr>
    </w:p>
    <w:p w:rsidR="005D15CE" w:rsidP="005D15CE" w14:paraId="45C1EEA2" w14:textId="198AF400">
      <w:pPr>
        <w:pStyle w:val="ListParagraph"/>
        <w:tabs>
          <w:tab w:val="left" w:pos="-720"/>
        </w:tabs>
        <w:contextualSpacing w:val="0"/>
        <w:rPr>
          <w:rFonts w:ascii="Times New Roman" w:hAnsi="Times New Roman"/>
          <w:szCs w:val="24"/>
        </w:rPr>
      </w:pPr>
    </w:p>
    <w:p w:rsidR="009C0FE9" w:rsidP="005D15CE" w14:paraId="02BF6B09" w14:textId="77777777">
      <w:pPr>
        <w:pStyle w:val="ListParagraph"/>
        <w:tabs>
          <w:tab w:val="left" w:pos="-720"/>
        </w:tabs>
        <w:contextualSpacing w:val="0"/>
        <w:rPr>
          <w:rFonts w:ascii="Times New Roman" w:hAnsi="Times New Roman"/>
          <w:szCs w:val="24"/>
        </w:rPr>
      </w:pPr>
    </w:p>
    <w:p w:rsidR="005D15CE" w:rsidP="005D15CE" w14:paraId="7D3B8308" w14:textId="6F1EC3E3">
      <w:pPr>
        <w:pStyle w:val="ListParagraph"/>
        <w:tabs>
          <w:tab w:val="left" w:pos="-720"/>
        </w:tabs>
        <w:contextualSpacing w:val="0"/>
        <w:rPr>
          <w:rFonts w:ascii="Times New Roman" w:hAnsi="Times New Roman"/>
          <w:szCs w:val="24"/>
        </w:rPr>
      </w:pPr>
    </w:p>
    <w:p w:rsidR="005D15CE" w:rsidP="005D15CE" w14:paraId="0A4DD095" w14:textId="66479402">
      <w:pPr>
        <w:pStyle w:val="ListParagraph"/>
        <w:tabs>
          <w:tab w:val="left" w:pos="-720"/>
        </w:tabs>
        <w:contextualSpacing w:val="0"/>
        <w:rPr>
          <w:rFonts w:ascii="Times New Roman" w:hAnsi="Times New Roman"/>
          <w:szCs w:val="24"/>
        </w:rPr>
      </w:pPr>
    </w:p>
    <w:p w:rsidR="005D15CE" w:rsidP="005D15CE" w14:paraId="6305ED30" w14:textId="756929D1">
      <w:pPr>
        <w:pStyle w:val="ListParagraph"/>
        <w:tabs>
          <w:tab w:val="left" w:pos="-720"/>
        </w:tabs>
        <w:contextualSpacing w:val="0"/>
        <w:rPr>
          <w:rFonts w:ascii="Times New Roman" w:hAnsi="Times New Roman"/>
          <w:szCs w:val="24"/>
        </w:rPr>
      </w:pPr>
    </w:p>
    <w:p w:rsidR="005D15CE" w:rsidP="005D15CE" w14:paraId="5E763FE5" w14:textId="797E0F87">
      <w:pPr>
        <w:pStyle w:val="ListParagraph"/>
        <w:tabs>
          <w:tab w:val="left" w:pos="-720"/>
        </w:tabs>
        <w:contextualSpacing w:val="0"/>
        <w:rPr>
          <w:rFonts w:ascii="Times New Roman" w:hAnsi="Times New Roman"/>
          <w:szCs w:val="24"/>
        </w:rPr>
      </w:pPr>
    </w:p>
    <w:p w:rsidR="005D15CE" w:rsidP="005D15CE" w14:paraId="307615B0" w14:textId="1757C757">
      <w:pPr>
        <w:pStyle w:val="Heading2"/>
        <w:jc w:val="left"/>
      </w:pPr>
      <w:r>
        <w:t xml:space="preserve">Appendix B – </w:t>
      </w:r>
      <w:r w:rsidR="009C0FE9">
        <w:t>Data Collection Communication Materials</w:t>
      </w:r>
    </w:p>
    <w:p w:rsidR="005D15CE" w:rsidRPr="005D15CE" w:rsidP="005D15CE" w14:paraId="527D7866" w14:textId="77777777">
      <w:pPr>
        <w:tabs>
          <w:tab w:val="left" w:pos="-720"/>
        </w:tabs>
        <w:rPr>
          <w:rFonts w:ascii="Times New Roman" w:hAnsi="Times New Roman"/>
          <w:szCs w:val="24"/>
        </w:rPr>
      </w:pPr>
    </w:p>
    <w:p w:rsidR="005D15CE" w:rsidRPr="005D15CE" w:rsidP="005D15CE" w14:paraId="4CDDE922" w14:textId="77D8C7FF">
      <w:pPr>
        <w:pStyle w:val="ListParagraph"/>
        <w:numPr>
          <w:ilvl w:val="0"/>
          <w:numId w:val="11"/>
        </w:numPr>
        <w:tabs>
          <w:tab w:val="left" w:pos="-720"/>
        </w:tabs>
        <w:rPr>
          <w:rFonts w:ascii="Times New Roman" w:hAnsi="Times New Roman"/>
          <w:szCs w:val="24"/>
        </w:rPr>
      </w:pPr>
      <w:r w:rsidRPr="005D15CE">
        <w:rPr>
          <w:rFonts w:ascii="Times New Roman" w:hAnsi="Times New Roman"/>
          <w:szCs w:val="24"/>
        </w:rPr>
        <w:t>Appendix B1 – District Leader Interview Email &amp; Follow-Ups</w:t>
      </w:r>
    </w:p>
    <w:p w:rsidR="005D15CE" w:rsidRPr="005D15CE" w:rsidP="005D15CE" w14:paraId="78458B93" w14:textId="77777777">
      <w:pPr>
        <w:pStyle w:val="ListParagraph"/>
        <w:numPr>
          <w:ilvl w:val="0"/>
          <w:numId w:val="11"/>
        </w:numPr>
        <w:tabs>
          <w:tab w:val="left" w:pos="-720"/>
        </w:tabs>
        <w:rPr>
          <w:rFonts w:ascii="Times New Roman" w:hAnsi="Times New Roman"/>
          <w:szCs w:val="24"/>
        </w:rPr>
      </w:pPr>
      <w:r w:rsidRPr="005D15CE">
        <w:rPr>
          <w:rFonts w:ascii="Times New Roman" w:hAnsi="Times New Roman"/>
          <w:szCs w:val="24"/>
        </w:rPr>
        <w:t>Appendix B2 – School Leader Data Collection Email &amp; Follow-Ups</w:t>
      </w:r>
    </w:p>
    <w:p w:rsidR="005D15CE" w:rsidRPr="005D15CE" w:rsidP="005D15CE" w14:paraId="1F087885" w14:textId="77777777">
      <w:pPr>
        <w:pStyle w:val="ListParagraph"/>
        <w:numPr>
          <w:ilvl w:val="0"/>
          <w:numId w:val="11"/>
        </w:numPr>
        <w:tabs>
          <w:tab w:val="left" w:pos="-720"/>
        </w:tabs>
        <w:rPr>
          <w:rFonts w:ascii="Times New Roman" w:hAnsi="Times New Roman"/>
          <w:szCs w:val="24"/>
        </w:rPr>
      </w:pPr>
      <w:r w:rsidRPr="005D15CE">
        <w:rPr>
          <w:rFonts w:ascii="Times New Roman" w:hAnsi="Times New Roman"/>
          <w:szCs w:val="24"/>
        </w:rPr>
        <w:t>Appendix B3 – Teacher Data Collection Email &amp; Follow-Ups</w:t>
      </w:r>
    </w:p>
    <w:p w:rsidR="005D15CE" w:rsidRPr="00D739FC" w:rsidP="005D15CE" w14:paraId="632DC5A0" w14:textId="77777777">
      <w:pPr>
        <w:pStyle w:val="ListParagraph"/>
        <w:tabs>
          <w:tab w:val="left" w:pos="-720"/>
        </w:tabs>
        <w:contextualSpacing w:val="0"/>
        <w:rPr>
          <w:rFonts w:ascii="Times New Roman" w:hAnsi="Times New Roman"/>
          <w:szCs w:val="24"/>
        </w:rPr>
      </w:pPr>
    </w:p>
    <w:p w:rsidR="00D739FC" w:rsidP="00874202" w14:paraId="0C2C9AC5" w14:textId="0479F33E">
      <w:pPr>
        <w:pStyle w:val="ListParagraph"/>
        <w:tabs>
          <w:tab w:val="left" w:pos="-720"/>
        </w:tabs>
        <w:suppressAutoHyphens/>
        <w:ind w:left="0"/>
        <w:contextualSpacing w:val="0"/>
        <w:rPr>
          <w:rFonts w:ascii="Times New Roman" w:hAnsi="Times New Roman"/>
          <w:szCs w:val="24"/>
        </w:rPr>
      </w:pPr>
    </w:p>
    <w:p w:rsidR="009C0FE9" w:rsidP="00874202" w14:paraId="55754321" w14:textId="0E9D1CE7">
      <w:pPr>
        <w:pStyle w:val="ListParagraph"/>
        <w:tabs>
          <w:tab w:val="left" w:pos="-720"/>
        </w:tabs>
        <w:suppressAutoHyphens/>
        <w:ind w:left="0"/>
        <w:contextualSpacing w:val="0"/>
        <w:rPr>
          <w:rFonts w:ascii="Times New Roman" w:hAnsi="Times New Roman"/>
          <w:szCs w:val="24"/>
        </w:rPr>
      </w:pPr>
    </w:p>
    <w:p w:rsidR="009C0FE9" w:rsidP="00874202" w14:paraId="3C6A7EE5" w14:textId="5C92DAC6">
      <w:pPr>
        <w:pStyle w:val="ListParagraph"/>
        <w:tabs>
          <w:tab w:val="left" w:pos="-720"/>
        </w:tabs>
        <w:suppressAutoHyphens/>
        <w:ind w:left="0"/>
        <w:contextualSpacing w:val="0"/>
        <w:rPr>
          <w:rFonts w:ascii="Times New Roman" w:hAnsi="Times New Roman"/>
          <w:szCs w:val="24"/>
        </w:rPr>
      </w:pPr>
    </w:p>
    <w:p w:rsidR="009C0FE9" w:rsidP="00874202" w14:paraId="08DFD7FE" w14:textId="0E6DDAA2">
      <w:pPr>
        <w:pStyle w:val="ListParagraph"/>
        <w:tabs>
          <w:tab w:val="left" w:pos="-720"/>
        </w:tabs>
        <w:suppressAutoHyphens/>
        <w:ind w:left="0"/>
        <w:contextualSpacing w:val="0"/>
        <w:rPr>
          <w:rFonts w:ascii="Times New Roman" w:hAnsi="Times New Roman"/>
          <w:szCs w:val="24"/>
        </w:rPr>
      </w:pPr>
    </w:p>
    <w:p w:rsidR="009C0FE9" w:rsidP="00874202" w14:paraId="27692489" w14:textId="07AB71A4">
      <w:pPr>
        <w:pStyle w:val="ListParagraph"/>
        <w:tabs>
          <w:tab w:val="left" w:pos="-720"/>
        </w:tabs>
        <w:suppressAutoHyphens/>
        <w:ind w:left="0"/>
        <w:contextualSpacing w:val="0"/>
        <w:rPr>
          <w:rFonts w:ascii="Times New Roman" w:hAnsi="Times New Roman"/>
          <w:szCs w:val="24"/>
        </w:rPr>
      </w:pPr>
    </w:p>
    <w:p w:rsidR="009C0FE9" w:rsidP="00874202" w14:paraId="57335A32" w14:textId="68182427">
      <w:pPr>
        <w:pStyle w:val="ListParagraph"/>
        <w:tabs>
          <w:tab w:val="left" w:pos="-720"/>
        </w:tabs>
        <w:suppressAutoHyphens/>
        <w:ind w:left="0"/>
        <w:contextualSpacing w:val="0"/>
        <w:rPr>
          <w:rFonts w:ascii="Times New Roman" w:hAnsi="Times New Roman"/>
          <w:szCs w:val="24"/>
        </w:rPr>
      </w:pPr>
    </w:p>
    <w:p w:rsidR="009C0FE9" w:rsidP="00874202" w14:paraId="012FCCE8" w14:textId="21D48081">
      <w:pPr>
        <w:pStyle w:val="ListParagraph"/>
        <w:tabs>
          <w:tab w:val="left" w:pos="-720"/>
        </w:tabs>
        <w:suppressAutoHyphens/>
        <w:ind w:left="0"/>
        <w:contextualSpacing w:val="0"/>
        <w:rPr>
          <w:rFonts w:ascii="Times New Roman" w:hAnsi="Times New Roman"/>
          <w:szCs w:val="24"/>
        </w:rPr>
      </w:pPr>
    </w:p>
    <w:p w:rsidR="009C0FE9" w:rsidP="00874202" w14:paraId="70528C62" w14:textId="29E087CC">
      <w:pPr>
        <w:pStyle w:val="ListParagraph"/>
        <w:tabs>
          <w:tab w:val="left" w:pos="-720"/>
        </w:tabs>
        <w:suppressAutoHyphens/>
        <w:ind w:left="0"/>
        <w:contextualSpacing w:val="0"/>
        <w:rPr>
          <w:rFonts w:ascii="Times New Roman" w:hAnsi="Times New Roman"/>
          <w:szCs w:val="24"/>
        </w:rPr>
      </w:pPr>
    </w:p>
    <w:p w:rsidR="009C0FE9" w:rsidP="00874202" w14:paraId="25C66677" w14:textId="4755B667">
      <w:pPr>
        <w:pStyle w:val="ListParagraph"/>
        <w:tabs>
          <w:tab w:val="left" w:pos="-720"/>
        </w:tabs>
        <w:suppressAutoHyphens/>
        <w:ind w:left="0"/>
        <w:contextualSpacing w:val="0"/>
        <w:rPr>
          <w:rFonts w:ascii="Times New Roman" w:hAnsi="Times New Roman"/>
          <w:szCs w:val="24"/>
        </w:rPr>
      </w:pPr>
    </w:p>
    <w:p w:rsidR="009C0FE9" w:rsidP="00874202" w14:paraId="3E4358B9" w14:textId="38AF79BD">
      <w:pPr>
        <w:pStyle w:val="ListParagraph"/>
        <w:tabs>
          <w:tab w:val="left" w:pos="-720"/>
        </w:tabs>
        <w:suppressAutoHyphens/>
        <w:ind w:left="0"/>
        <w:contextualSpacing w:val="0"/>
        <w:rPr>
          <w:rFonts w:ascii="Times New Roman" w:hAnsi="Times New Roman"/>
          <w:szCs w:val="24"/>
        </w:rPr>
      </w:pPr>
    </w:p>
    <w:p w:rsidR="009C0FE9" w:rsidP="00874202" w14:paraId="3EDE1AE8" w14:textId="69BB088D">
      <w:pPr>
        <w:pStyle w:val="ListParagraph"/>
        <w:tabs>
          <w:tab w:val="left" w:pos="-720"/>
        </w:tabs>
        <w:suppressAutoHyphens/>
        <w:ind w:left="0"/>
        <w:contextualSpacing w:val="0"/>
        <w:rPr>
          <w:rFonts w:ascii="Times New Roman" w:hAnsi="Times New Roman"/>
          <w:szCs w:val="24"/>
        </w:rPr>
      </w:pPr>
    </w:p>
    <w:p w:rsidR="009C0FE9" w:rsidP="00874202" w14:paraId="4743F3FF" w14:textId="14F45142">
      <w:pPr>
        <w:pStyle w:val="ListParagraph"/>
        <w:tabs>
          <w:tab w:val="left" w:pos="-720"/>
        </w:tabs>
        <w:suppressAutoHyphens/>
        <w:ind w:left="0"/>
        <w:contextualSpacing w:val="0"/>
        <w:rPr>
          <w:rFonts w:ascii="Times New Roman" w:hAnsi="Times New Roman"/>
          <w:szCs w:val="24"/>
        </w:rPr>
      </w:pPr>
    </w:p>
    <w:p w:rsidR="009C0FE9" w:rsidP="00874202" w14:paraId="7BDE1FB9" w14:textId="1373F8BE">
      <w:pPr>
        <w:pStyle w:val="ListParagraph"/>
        <w:tabs>
          <w:tab w:val="left" w:pos="-720"/>
        </w:tabs>
        <w:suppressAutoHyphens/>
        <w:ind w:left="0"/>
        <w:contextualSpacing w:val="0"/>
        <w:rPr>
          <w:rFonts w:ascii="Times New Roman" w:hAnsi="Times New Roman"/>
          <w:szCs w:val="24"/>
        </w:rPr>
      </w:pPr>
    </w:p>
    <w:p w:rsidR="009C0FE9" w:rsidP="00874202" w14:paraId="631A404D" w14:textId="0121BB6B">
      <w:pPr>
        <w:pStyle w:val="ListParagraph"/>
        <w:tabs>
          <w:tab w:val="left" w:pos="-720"/>
        </w:tabs>
        <w:suppressAutoHyphens/>
        <w:ind w:left="0"/>
        <w:contextualSpacing w:val="0"/>
        <w:rPr>
          <w:rFonts w:ascii="Times New Roman" w:hAnsi="Times New Roman"/>
          <w:szCs w:val="24"/>
        </w:rPr>
      </w:pPr>
    </w:p>
    <w:p w:rsidR="009C0FE9" w:rsidP="00874202" w14:paraId="061FAB80" w14:textId="080306C0">
      <w:pPr>
        <w:pStyle w:val="ListParagraph"/>
        <w:tabs>
          <w:tab w:val="left" w:pos="-720"/>
        </w:tabs>
        <w:suppressAutoHyphens/>
        <w:ind w:left="0"/>
        <w:contextualSpacing w:val="0"/>
        <w:rPr>
          <w:rFonts w:ascii="Times New Roman" w:hAnsi="Times New Roman"/>
          <w:szCs w:val="24"/>
        </w:rPr>
      </w:pPr>
    </w:p>
    <w:p w:rsidR="009C0FE9" w:rsidP="00874202" w14:paraId="7726AA07" w14:textId="2155CAE8">
      <w:pPr>
        <w:pStyle w:val="ListParagraph"/>
        <w:tabs>
          <w:tab w:val="left" w:pos="-720"/>
        </w:tabs>
        <w:suppressAutoHyphens/>
        <w:ind w:left="0"/>
        <w:contextualSpacing w:val="0"/>
        <w:rPr>
          <w:rFonts w:ascii="Times New Roman" w:hAnsi="Times New Roman"/>
          <w:szCs w:val="24"/>
        </w:rPr>
      </w:pPr>
    </w:p>
    <w:p w:rsidR="009C0FE9" w:rsidP="00874202" w14:paraId="7355F5C7" w14:textId="43C2C8C8">
      <w:pPr>
        <w:pStyle w:val="ListParagraph"/>
        <w:tabs>
          <w:tab w:val="left" w:pos="-720"/>
        </w:tabs>
        <w:suppressAutoHyphens/>
        <w:ind w:left="0"/>
        <w:contextualSpacing w:val="0"/>
        <w:rPr>
          <w:rFonts w:ascii="Times New Roman" w:hAnsi="Times New Roman"/>
          <w:szCs w:val="24"/>
        </w:rPr>
      </w:pPr>
    </w:p>
    <w:p w:rsidR="009C0FE9" w:rsidP="00874202" w14:paraId="229D734E" w14:textId="0D5D383A">
      <w:pPr>
        <w:pStyle w:val="ListParagraph"/>
        <w:tabs>
          <w:tab w:val="left" w:pos="-720"/>
        </w:tabs>
        <w:suppressAutoHyphens/>
        <w:ind w:left="0"/>
        <w:contextualSpacing w:val="0"/>
        <w:rPr>
          <w:rFonts w:ascii="Times New Roman" w:hAnsi="Times New Roman"/>
          <w:szCs w:val="24"/>
        </w:rPr>
      </w:pPr>
    </w:p>
    <w:p w:rsidR="009C0FE9" w:rsidP="00874202" w14:paraId="4C42C816" w14:textId="3902C49E">
      <w:pPr>
        <w:pStyle w:val="ListParagraph"/>
        <w:tabs>
          <w:tab w:val="left" w:pos="-720"/>
        </w:tabs>
        <w:suppressAutoHyphens/>
        <w:ind w:left="0"/>
        <w:contextualSpacing w:val="0"/>
        <w:rPr>
          <w:rFonts w:ascii="Times New Roman" w:hAnsi="Times New Roman"/>
          <w:szCs w:val="24"/>
        </w:rPr>
      </w:pPr>
    </w:p>
    <w:p w:rsidR="009C0FE9" w:rsidP="00874202" w14:paraId="3A3DA5F5" w14:textId="6A14898F">
      <w:pPr>
        <w:pStyle w:val="ListParagraph"/>
        <w:tabs>
          <w:tab w:val="left" w:pos="-720"/>
        </w:tabs>
        <w:suppressAutoHyphens/>
        <w:ind w:left="0"/>
        <w:contextualSpacing w:val="0"/>
        <w:rPr>
          <w:rFonts w:ascii="Times New Roman" w:hAnsi="Times New Roman"/>
          <w:szCs w:val="24"/>
        </w:rPr>
      </w:pPr>
    </w:p>
    <w:p w:rsidR="009C0FE9" w:rsidP="00874202" w14:paraId="30EE1FD2" w14:textId="3A479235">
      <w:pPr>
        <w:pStyle w:val="ListParagraph"/>
        <w:tabs>
          <w:tab w:val="left" w:pos="-720"/>
        </w:tabs>
        <w:suppressAutoHyphens/>
        <w:ind w:left="0"/>
        <w:contextualSpacing w:val="0"/>
        <w:rPr>
          <w:rFonts w:ascii="Times New Roman" w:hAnsi="Times New Roman"/>
          <w:szCs w:val="24"/>
        </w:rPr>
      </w:pPr>
    </w:p>
    <w:p w:rsidR="009C0FE9" w:rsidP="00874202" w14:paraId="66C0C9B4" w14:textId="0D06DF0D">
      <w:pPr>
        <w:pStyle w:val="ListParagraph"/>
        <w:tabs>
          <w:tab w:val="left" w:pos="-720"/>
        </w:tabs>
        <w:suppressAutoHyphens/>
        <w:ind w:left="0"/>
        <w:contextualSpacing w:val="0"/>
        <w:rPr>
          <w:rFonts w:ascii="Times New Roman" w:hAnsi="Times New Roman"/>
          <w:szCs w:val="24"/>
        </w:rPr>
      </w:pPr>
    </w:p>
    <w:p w:rsidR="009C0FE9" w:rsidP="00874202" w14:paraId="5BA7B556" w14:textId="4BE4863F">
      <w:pPr>
        <w:pStyle w:val="ListParagraph"/>
        <w:tabs>
          <w:tab w:val="left" w:pos="-720"/>
        </w:tabs>
        <w:suppressAutoHyphens/>
        <w:ind w:left="0"/>
        <w:contextualSpacing w:val="0"/>
        <w:rPr>
          <w:rFonts w:ascii="Times New Roman" w:hAnsi="Times New Roman"/>
          <w:szCs w:val="24"/>
        </w:rPr>
      </w:pPr>
    </w:p>
    <w:p w:rsidR="009C0FE9" w:rsidP="00874202" w14:paraId="18FF0F35" w14:textId="0BF72273">
      <w:pPr>
        <w:pStyle w:val="ListParagraph"/>
        <w:tabs>
          <w:tab w:val="left" w:pos="-720"/>
        </w:tabs>
        <w:suppressAutoHyphens/>
        <w:ind w:left="0"/>
        <w:contextualSpacing w:val="0"/>
        <w:rPr>
          <w:rFonts w:ascii="Times New Roman" w:hAnsi="Times New Roman"/>
          <w:szCs w:val="24"/>
        </w:rPr>
      </w:pPr>
    </w:p>
    <w:p w:rsidR="009C0FE9" w:rsidP="00874202" w14:paraId="22F1401D" w14:textId="1C356411">
      <w:pPr>
        <w:pStyle w:val="ListParagraph"/>
        <w:tabs>
          <w:tab w:val="left" w:pos="-720"/>
        </w:tabs>
        <w:suppressAutoHyphens/>
        <w:ind w:left="0"/>
        <w:contextualSpacing w:val="0"/>
        <w:rPr>
          <w:rFonts w:ascii="Times New Roman" w:hAnsi="Times New Roman"/>
          <w:szCs w:val="24"/>
        </w:rPr>
      </w:pPr>
    </w:p>
    <w:p w:rsidR="009C0FE9" w:rsidP="00874202" w14:paraId="474C973F" w14:textId="60533921">
      <w:pPr>
        <w:pStyle w:val="ListParagraph"/>
        <w:tabs>
          <w:tab w:val="left" w:pos="-720"/>
        </w:tabs>
        <w:suppressAutoHyphens/>
        <w:ind w:left="0"/>
        <w:contextualSpacing w:val="0"/>
        <w:rPr>
          <w:rFonts w:ascii="Times New Roman" w:hAnsi="Times New Roman"/>
          <w:szCs w:val="24"/>
        </w:rPr>
      </w:pPr>
    </w:p>
    <w:p w:rsidR="009C0FE9" w:rsidP="00874202" w14:paraId="73C3A0BE" w14:textId="32FA9F99">
      <w:pPr>
        <w:pStyle w:val="ListParagraph"/>
        <w:tabs>
          <w:tab w:val="left" w:pos="-720"/>
        </w:tabs>
        <w:suppressAutoHyphens/>
        <w:ind w:left="0"/>
        <w:contextualSpacing w:val="0"/>
        <w:rPr>
          <w:rFonts w:ascii="Times New Roman" w:hAnsi="Times New Roman"/>
          <w:szCs w:val="24"/>
        </w:rPr>
      </w:pPr>
    </w:p>
    <w:p w:rsidR="009C0FE9" w:rsidP="00874202" w14:paraId="53C96CC0" w14:textId="715DD61E">
      <w:pPr>
        <w:pStyle w:val="ListParagraph"/>
        <w:tabs>
          <w:tab w:val="left" w:pos="-720"/>
        </w:tabs>
        <w:suppressAutoHyphens/>
        <w:ind w:left="0"/>
        <w:contextualSpacing w:val="0"/>
        <w:rPr>
          <w:rFonts w:ascii="Times New Roman" w:hAnsi="Times New Roman"/>
          <w:szCs w:val="24"/>
        </w:rPr>
      </w:pPr>
    </w:p>
    <w:p w:rsidR="009C0FE9" w:rsidP="00874202" w14:paraId="37EC2AF8" w14:textId="7A393F7C">
      <w:pPr>
        <w:pStyle w:val="ListParagraph"/>
        <w:tabs>
          <w:tab w:val="left" w:pos="-720"/>
        </w:tabs>
        <w:suppressAutoHyphens/>
        <w:ind w:left="0"/>
        <w:contextualSpacing w:val="0"/>
        <w:rPr>
          <w:rFonts w:ascii="Times New Roman" w:hAnsi="Times New Roman"/>
          <w:szCs w:val="24"/>
        </w:rPr>
      </w:pPr>
    </w:p>
    <w:p w:rsidR="009C0FE9" w:rsidP="00874202" w14:paraId="01457E9F" w14:textId="621755ED">
      <w:pPr>
        <w:pStyle w:val="ListParagraph"/>
        <w:tabs>
          <w:tab w:val="left" w:pos="-720"/>
        </w:tabs>
        <w:suppressAutoHyphens/>
        <w:ind w:left="0"/>
        <w:contextualSpacing w:val="0"/>
        <w:rPr>
          <w:rFonts w:ascii="Times New Roman" w:hAnsi="Times New Roman"/>
          <w:szCs w:val="24"/>
        </w:rPr>
      </w:pPr>
    </w:p>
    <w:p w:rsidR="009C0FE9" w:rsidP="00874202" w14:paraId="34485FD5" w14:textId="5791418C">
      <w:pPr>
        <w:pStyle w:val="ListParagraph"/>
        <w:tabs>
          <w:tab w:val="left" w:pos="-720"/>
        </w:tabs>
        <w:suppressAutoHyphens/>
        <w:ind w:left="0"/>
        <w:contextualSpacing w:val="0"/>
        <w:rPr>
          <w:rFonts w:ascii="Times New Roman" w:hAnsi="Times New Roman"/>
          <w:szCs w:val="24"/>
        </w:rPr>
      </w:pPr>
    </w:p>
    <w:p w:rsidR="009C0FE9" w:rsidP="00874202" w14:paraId="7A8C8986" w14:textId="7C84C892">
      <w:pPr>
        <w:pStyle w:val="ListParagraph"/>
        <w:tabs>
          <w:tab w:val="left" w:pos="-720"/>
        </w:tabs>
        <w:suppressAutoHyphens/>
        <w:ind w:left="0"/>
        <w:contextualSpacing w:val="0"/>
        <w:rPr>
          <w:rFonts w:ascii="Times New Roman" w:hAnsi="Times New Roman"/>
          <w:szCs w:val="24"/>
        </w:rPr>
      </w:pPr>
    </w:p>
    <w:p w:rsidR="009C0FE9" w:rsidP="00874202" w14:paraId="0D0F82A7" w14:textId="2713ECA7">
      <w:pPr>
        <w:pStyle w:val="ListParagraph"/>
        <w:tabs>
          <w:tab w:val="left" w:pos="-720"/>
        </w:tabs>
        <w:suppressAutoHyphens/>
        <w:ind w:left="0"/>
        <w:contextualSpacing w:val="0"/>
        <w:rPr>
          <w:rFonts w:ascii="Times New Roman" w:hAnsi="Times New Roman"/>
          <w:szCs w:val="24"/>
        </w:rPr>
      </w:pPr>
    </w:p>
    <w:p w:rsidR="009C0FE9" w:rsidP="00874202" w14:paraId="426A8E0C" w14:textId="0CD831DD">
      <w:pPr>
        <w:pStyle w:val="ListParagraph"/>
        <w:tabs>
          <w:tab w:val="left" w:pos="-720"/>
        </w:tabs>
        <w:suppressAutoHyphens/>
        <w:ind w:left="0"/>
        <w:contextualSpacing w:val="0"/>
        <w:rPr>
          <w:rFonts w:ascii="Times New Roman" w:hAnsi="Times New Roman"/>
          <w:szCs w:val="24"/>
        </w:rPr>
      </w:pPr>
    </w:p>
    <w:p w:rsidR="009C0FE9" w:rsidP="00874202" w14:paraId="5CFD940B" w14:textId="07256302">
      <w:pPr>
        <w:pStyle w:val="ListParagraph"/>
        <w:tabs>
          <w:tab w:val="left" w:pos="-720"/>
        </w:tabs>
        <w:suppressAutoHyphens/>
        <w:ind w:left="0"/>
        <w:contextualSpacing w:val="0"/>
        <w:rPr>
          <w:rFonts w:ascii="Times New Roman" w:hAnsi="Times New Roman"/>
          <w:szCs w:val="24"/>
        </w:rPr>
      </w:pPr>
    </w:p>
    <w:p w:rsidR="009C0FE9" w:rsidP="00874202" w14:paraId="4054049D" w14:textId="7241E069">
      <w:pPr>
        <w:pStyle w:val="ListParagraph"/>
        <w:tabs>
          <w:tab w:val="left" w:pos="-720"/>
        </w:tabs>
        <w:suppressAutoHyphens/>
        <w:ind w:left="0"/>
        <w:contextualSpacing w:val="0"/>
        <w:rPr>
          <w:rFonts w:ascii="Times New Roman" w:hAnsi="Times New Roman"/>
          <w:szCs w:val="24"/>
        </w:rPr>
      </w:pPr>
    </w:p>
    <w:p w:rsidR="009C0FE9" w:rsidP="00874202" w14:paraId="644B1321" w14:textId="2F29C3EA">
      <w:pPr>
        <w:pStyle w:val="ListParagraph"/>
        <w:tabs>
          <w:tab w:val="left" w:pos="-720"/>
        </w:tabs>
        <w:suppressAutoHyphens/>
        <w:ind w:left="0"/>
        <w:contextualSpacing w:val="0"/>
        <w:rPr>
          <w:rFonts w:ascii="Times New Roman" w:hAnsi="Times New Roman"/>
          <w:szCs w:val="24"/>
        </w:rPr>
      </w:pPr>
    </w:p>
    <w:p w:rsidR="009C0FE9" w:rsidP="00874202" w14:paraId="704DA333" w14:textId="6D7AC865">
      <w:pPr>
        <w:pStyle w:val="ListParagraph"/>
        <w:tabs>
          <w:tab w:val="left" w:pos="-720"/>
        </w:tabs>
        <w:suppressAutoHyphens/>
        <w:ind w:left="0"/>
        <w:contextualSpacing w:val="0"/>
        <w:rPr>
          <w:rFonts w:ascii="Times New Roman" w:hAnsi="Times New Roman"/>
          <w:szCs w:val="24"/>
        </w:rPr>
      </w:pPr>
    </w:p>
    <w:p w:rsidR="009C0FE9" w:rsidP="00874202" w14:paraId="1A66C80D" w14:textId="741549DA">
      <w:pPr>
        <w:pStyle w:val="ListParagraph"/>
        <w:tabs>
          <w:tab w:val="left" w:pos="-720"/>
        </w:tabs>
        <w:suppressAutoHyphens/>
        <w:ind w:left="0"/>
        <w:contextualSpacing w:val="0"/>
        <w:rPr>
          <w:rFonts w:ascii="Times New Roman" w:hAnsi="Times New Roman"/>
          <w:szCs w:val="24"/>
        </w:rPr>
      </w:pPr>
    </w:p>
    <w:p w:rsidR="009C0FE9" w:rsidP="00874202" w14:paraId="6FBF13B3" w14:textId="10639C43">
      <w:pPr>
        <w:pStyle w:val="ListParagraph"/>
        <w:tabs>
          <w:tab w:val="left" w:pos="-720"/>
        </w:tabs>
        <w:suppressAutoHyphens/>
        <w:ind w:left="0"/>
        <w:contextualSpacing w:val="0"/>
        <w:rPr>
          <w:rFonts w:ascii="Times New Roman" w:hAnsi="Times New Roman"/>
          <w:szCs w:val="24"/>
        </w:rPr>
      </w:pPr>
    </w:p>
    <w:p w:rsidR="009C0FE9" w:rsidP="009C0FE9" w14:paraId="5DA51A3D" w14:textId="74066005">
      <w:pPr>
        <w:pStyle w:val="Heading2"/>
        <w:jc w:val="left"/>
      </w:pPr>
      <w:r>
        <w:t>Appendix C – Primary Data Collection Instruments</w:t>
      </w:r>
    </w:p>
    <w:p w:rsidR="009C0FE9" w:rsidRPr="009C0FE9" w:rsidP="009C0FE9" w14:paraId="542D2A35" w14:textId="77777777">
      <w:pPr>
        <w:tabs>
          <w:tab w:val="left" w:pos="-720"/>
        </w:tabs>
        <w:rPr>
          <w:rFonts w:ascii="Times New Roman" w:hAnsi="Times New Roman"/>
          <w:szCs w:val="24"/>
        </w:rPr>
      </w:pPr>
    </w:p>
    <w:p w:rsidR="009C0FE9" w:rsidRPr="009C0FE9" w:rsidP="009C0FE9" w14:paraId="327BCC67" w14:textId="597E0FB3">
      <w:pPr>
        <w:pStyle w:val="ListParagraph"/>
        <w:numPr>
          <w:ilvl w:val="0"/>
          <w:numId w:val="11"/>
        </w:numPr>
        <w:tabs>
          <w:tab w:val="left" w:pos="-720"/>
        </w:tabs>
        <w:contextualSpacing w:val="0"/>
        <w:rPr>
          <w:rFonts w:ascii="Times New Roman" w:hAnsi="Times New Roman"/>
          <w:szCs w:val="24"/>
        </w:rPr>
      </w:pPr>
      <w:r w:rsidRPr="009C0FE9">
        <w:rPr>
          <w:rFonts w:ascii="Times New Roman" w:hAnsi="Times New Roman"/>
          <w:szCs w:val="24"/>
        </w:rPr>
        <w:t>Appendix C1 – Teacher Surveys</w:t>
      </w:r>
    </w:p>
    <w:p w:rsidR="009C0FE9" w:rsidRPr="009C0FE9" w:rsidP="009C0FE9" w14:paraId="525D5692" w14:textId="77777777">
      <w:pPr>
        <w:pStyle w:val="ListParagraph"/>
        <w:numPr>
          <w:ilvl w:val="0"/>
          <w:numId w:val="11"/>
        </w:numPr>
        <w:tabs>
          <w:tab w:val="left" w:pos="-720"/>
        </w:tabs>
        <w:contextualSpacing w:val="0"/>
        <w:rPr>
          <w:rFonts w:ascii="Times New Roman" w:hAnsi="Times New Roman"/>
          <w:szCs w:val="24"/>
        </w:rPr>
      </w:pPr>
      <w:r w:rsidRPr="009C0FE9">
        <w:rPr>
          <w:rFonts w:ascii="Times New Roman" w:hAnsi="Times New Roman"/>
          <w:szCs w:val="24"/>
        </w:rPr>
        <w:t>Appendix C2 – Teacher Log</w:t>
      </w:r>
    </w:p>
    <w:p w:rsidR="009C0FE9" w:rsidRPr="009C0FE9" w:rsidP="009C0FE9" w14:paraId="61CEFFFF" w14:textId="77777777">
      <w:pPr>
        <w:pStyle w:val="ListParagraph"/>
        <w:numPr>
          <w:ilvl w:val="0"/>
          <w:numId w:val="11"/>
        </w:numPr>
        <w:tabs>
          <w:tab w:val="left" w:pos="-720"/>
        </w:tabs>
        <w:contextualSpacing w:val="0"/>
        <w:rPr>
          <w:rFonts w:ascii="Times New Roman" w:hAnsi="Times New Roman"/>
          <w:szCs w:val="24"/>
        </w:rPr>
      </w:pPr>
      <w:r w:rsidRPr="009C0FE9">
        <w:rPr>
          <w:rFonts w:ascii="Times New Roman" w:hAnsi="Times New Roman"/>
          <w:szCs w:val="24"/>
        </w:rPr>
        <w:t>Appendix C3 – School Leader and Facilitator Survey</w:t>
      </w:r>
    </w:p>
    <w:p w:rsidR="009C0FE9" w:rsidRPr="009C0FE9" w:rsidP="009C0FE9" w14:paraId="5D3FB51F" w14:textId="77777777">
      <w:pPr>
        <w:pStyle w:val="ListParagraph"/>
        <w:numPr>
          <w:ilvl w:val="0"/>
          <w:numId w:val="11"/>
        </w:numPr>
        <w:tabs>
          <w:tab w:val="left" w:pos="-720"/>
        </w:tabs>
        <w:contextualSpacing w:val="0"/>
        <w:rPr>
          <w:rFonts w:ascii="Times New Roman" w:hAnsi="Times New Roman"/>
          <w:szCs w:val="24"/>
        </w:rPr>
      </w:pPr>
      <w:r w:rsidRPr="009C0FE9">
        <w:rPr>
          <w:rFonts w:ascii="Times New Roman" w:hAnsi="Times New Roman"/>
          <w:szCs w:val="24"/>
        </w:rPr>
        <w:t>Appendix C4 – District Interview Protocol</w:t>
      </w:r>
    </w:p>
    <w:p w:rsidR="009C0FE9" w:rsidRPr="009C0FE9" w:rsidP="009C0FE9" w14:paraId="70145E25" w14:textId="77777777">
      <w:pPr>
        <w:pStyle w:val="ListParagraph"/>
        <w:tabs>
          <w:tab w:val="left" w:pos="-720"/>
        </w:tabs>
        <w:rPr>
          <w:rFonts w:ascii="Times New Roman" w:hAnsi="Times New Roman"/>
          <w:szCs w:val="24"/>
        </w:rPr>
      </w:pPr>
    </w:p>
    <w:p w:rsidR="009C0FE9" w:rsidP="00874202" w14:paraId="586E6EE9" w14:textId="1FA1BFCE">
      <w:pPr>
        <w:pStyle w:val="ListParagraph"/>
        <w:tabs>
          <w:tab w:val="left" w:pos="-720"/>
        </w:tabs>
        <w:suppressAutoHyphens/>
        <w:ind w:left="0"/>
        <w:contextualSpacing w:val="0"/>
        <w:rPr>
          <w:rFonts w:ascii="Times New Roman" w:hAnsi="Times New Roman"/>
          <w:szCs w:val="24"/>
        </w:rPr>
      </w:pPr>
    </w:p>
    <w:p w:rsidR="009C0FE9" w:rsidP="00874202" w14:paraId="1B480F8A" w14:textId="77777777">
      <w:pPr>
        <w:pStyle w:val="ListParagraph"/>
        <w:tabs>
          <w:tab w:val="left" w:pos="-720"/>
        </w:tabs>
        <w:suppressAutoHyphens/>
        <w:ind w:left="0"/>
        <w:contextualSpacing w:val="0"/>
        <w:rPr>
          <w:rFonts w:ascii="Times New Roman" w:hAnsi="Times New Roman"/>
          <w:szCs w:val="24"/>
        </w:rPr>
      </w:pPr>
    </w:p>
    <w:sectPr w:rsidSect="00043C32">
      <w:footerReference w:type="default" r:id="rId11"/>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7AD27489" w14:textId="77777777">
    <w:pPr>
      <w:spacing w:before="140" w:line="100" w:lineRule="exact"/>
      <w:rPr>
        <w:sz w:val="10"/>
      </w:rPr>
    </w:pPr>
  </w:p>
  <w:p w:rsidR="00386054" w14:paraId="7AD2748A" w14:textId="77777777">
    <w:pPr>
      <w:tabs>
        <w:tab w:val="left" w:pos="0"/>
      </w:tabs>
      <w:suppressAutoHyphens/>
    </w:pPr>
  </w:p>
  <w:p w:rsidR="00386054" w14:paraId="7AD2748B"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7AD2748F"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15BC7F19"/>
    <w:multiLevelType w:val="hybridMultilevel"/>
    <w:tmpl w:val="4A0E6A6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1EBD6CCB"/>
    <w:multiLevelType w:val="hybridMultilevel"/>
    <w:tmpl w:val="FB00D998"/>
    <w:lvl w:ilvl="0">
      <w:start w:val="1"/>
      <w:numFmt w:val="lowerLetter"/>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3">
    <w:nsid w:val="3C037488"/>
    <w:multiLevelType w:val="hybridMultilevel"/>
    <w:tmpl w:val="6C88FB82"/>
    <w:lvl w:ilvl="0">
      <w:start w:val="1"/>
      <w:numFmt w:val="upperLetter"/>
      <w:lvlText w:val="%1."/>
      <w:lvlJc w:val="left"/>
      <w:pPr>
        <w:ind w:left="770" w:hanging="41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FD80FED"/>
    <w:multiLevelType w:val="hybridMultilevel"/>
    <w:tmpl w:val="4582F39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7">
    <w:nsid w:val="51690211"/>
    <w:multiLevelType w:val="hybridMultilevel"/>
    <w:tmpl w:val="F3F487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AD86280"/>
    <w:multiLevelType w:val="hybridMultilevel"/>
    <w:tmpl w:val="FB00D998"/>
    <w:lvl w:ilvl="0">
      <w:start w:val="1"/>
      <w:numFmt w:val="lowerLetter"/>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9">
    <w:nsid w:val="5FA5793D"/>
    <w:multiLevelType w:val="hybridMultilevel"/>
    <w:tmpl w:val="B7F0EB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7A26E27"/>
    <w:multiLevelType w:val="hybridMultilevel"/>
    <w:tmpl w:val="15469C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65401506">
    <w:abstractNumId w:val="0"/>
  </w:num>
  <w:num w:numId="2" w16cid:durableId="2076930542">
    <w:abstractNumId w:val="6"/>
  </w:num>
  <w:num w:numId="3" w16cid:durableId="2026976988">
    <w:abstractNumId w:val="5"/>
  </w:num>
  <w:num w:numId="4" w16cid:durableId="179009056">
    <w:abstractNumId w:val="11"/>
  </w:num>
  <w:num w:numId="5" w16cid:durableId="748229542">
    <w:abstractNumId w:val="12"/>
  </w:num>
  <w:num w:numId="6" w16cid:durableId="1264264875">
    <w:abstractNumId w:val="3"/>
  </w:num>
  <w:num w:numId="7" w16cid:durableId="2031369414">
    <w:abstractNumId w:val="4"/>
  </w:num>
  <w:num w:numId="8" w16cid:durableId="1136752950">
    <w:abstractNumId w:val="1"/>
  </w:num>
  <w:num w:numId="9" w16cid:durableId="924338314">
    <w:abstractNumId w:val="7"/>
  </w:num>
  <w:num w:numId="10" w16cid:durableId="876160033">
    <w:abstractNumId w:val="2"/>
  </w:num>
  <w:num w:numId="11" w16cid:durableId="2046100073">
    <w:abstractNumId w:val="9"/>
  </w:num>
  <w:num w:numId="12" w16cid:durableId="313334831">
    <w:abstractNumId w:val="10"/>
  </w:num>
  <w:num w:numId="13" w16cid:durableId="4744476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01B0"/>
    <w:rsid w:val="0000143D"/>
    <w:rsid w:val="00010D85"/>
    <w:rsid w:val="000219CE"/>
    <w:rsid w:val="00035ED5"/>
    <w:rsid w:val="0004196F"/>
    <w:rsid w:val="00043C32"/>
    <w:rsid w:val="000446F5"/>
    <w:rsid w:val="000448CC"/>
    <w:rsid w:val="000469D3"/>
    <w:rsid w:val="00052194"/>
    <w:rsid w:val="00057F7C"/>
    <w:rsid w:val="00091E2F"/>
    <w:rsid w:val="00093017"/>
    <w:rsid w:val="000A6E79"/>
    <w:rsid w:val="000B0D6E"/>
    <w:rsid w:val="000B3BC5"/>
    <w:rsid w:val="000C0062"/>
    <w:rsid w:val="000D1310"/>
    <w:rsid w:val="000D52CE"/>
    <w:rsid w:val="000E3F8E"/>
    <w:rsid w:val="001017C7"/>
    <w:rsid w:val="00106D4A"/>
    <w:rsid w:val="001253A9"/>
    <w:rsid w:val="00125E7C"/>
    <w:rsid w:val="0012732A"/>
    <w:rsid w:val="00142D20"/>
    <w:rsid w:val="00150C52"/>
    <w:rsid w:val="0015226D"/>
    <w:rsid w:val="001552F0"/>
    <w:rsid w:val="00161518"/>
    <w:rsid w:val="001824F3"/>
    <w:rsid w:val="00184195"/>
    <w:rsid w:val="001A3942"/>
    <w:rsid w:val="001A6AE0"/>
    <w:rsid w:val="001B1066"/>
    <w:rsid w:val="001B4C49"/>
    <w:rsid w:val="001B66CC"/>
    <w:rsid w:val="001C1D94"/>
    <w:rsid w:val="001C437F"/>
    <w:rsid w:val="001C73C0"/>
    <w:rsid w:val="001E0121"/>
    <w:rsid w:val="001E79BD"/>
    <w:rsid w:val="001F0AF4"/>
    <w:rsid w:val="00205E01"/>
    <w:rsid w:val="00212F08"/>
    <w:rsid w:val="00214EEE"/>
    <w:rsid w:val="00216C2E"/>
    <w:rsid w:val="00221C7C"/>
    <w:rsid w:val="002225CC"/>
    <w:rsid w:val="002230F9"/>
    <w:rsid w:val="00224A3B"/>
    <w:rsid w:val="00232AE1"/>
    <w:rsid w:val="00236CB4"/>
    <w:rsid w:val="00240A39"/>
    <w:rsid w:val="00241D49"/>
    <w:rsid w:val="00246FE9"/>
    <w:rsid w:val="00250100"/>
    <w:rsid w:val="002528E7"/>
    <w:rsid w:val="00253657"/>
    <w:rsid w:val="0026026D"/>
    <w:rsid w:val="00262A69"/>
    <w:rsid w:val="00270AF7"/>
    <w:rsid w:val="00280214"/>
    <w:rsid w:val="00292859"/>
    <w:rsid w:val="0029704C"/>
    <w:rsid w:val="002A0235"/>
    <w:rsid w:val="002A3221"/>
    <w:rsid w:val="002B1AA2"/>
    <w:rsid w:val="002B3471"/>
    <w:rsid w:val="002C2345"/>
    <w:rsid w:val="002C3520"/>
    <w:rsid w:val="002C7C46"/>
    <w:rsid w:val="002E14E0"/>
    <w:rsid w:val="002E3064"/>
    <w:rsid w:val="002E5684"/>
    <w:rsid w:val="002F338A"/>
    <w:rsid w:val="002F55E5"/>
    <w:rsid w:val="003014C1"/>
    <w:rsid w:val="00310602"/>
    <w:rsid w:val="00311E29"/>
    <w:rsid w:val="003133A2"/>
    <w:rsid w:val="00314625"/>
    <w:rsid w:val="0032078A"/>
    <w:rsid w:val="00321BED"/>
    <w:rsid w:val="0032539E"/>
    <w:rsid w:val="0033039B"/>
    <w:rsid w:val="0033094F"/>
    <w:rsid w:val="00331F03"/>
    <w:rsid w:val="00343266"/>
    <w:rsid w:val="003454D0"/>
    <w:rsid w:val="00351D8F"/>
    <w:rsid w:val="00354526"/>
    <w:rsid w:val="00365D67"/>
    <w:rsid w:val="00367646"/>
    <w:rsid w:val="00372F5E"/>
    <w:rsid w:val="003768D7"/>
    <w:rsid w:val="003775CB"/>
    <w:rsid w:val="00386054"/>
    <w:rsid w:val="003860E4"/>
    <w:rsid w:val="003B1545"/>
    <w:rsid w:val="003B7343"/>
    <w:rsid w:val="003C0726"/>
    <w:rsid w:val="003C366B"/>
    <w:rsid w:val="003D2227"/>
    <w:rsid w:val="003D60DC"/>
    <w:rsid w:val="003E0020"/>
    <w:rsid w:val="003E0309"/>
    <w:rsid w:val="00401E0F"/>
    <w:rsid w:val="00412915"/>
    <w:rsid w:val="004153F4"/>
    <w:rsid w:val="00422ECD"/>
    <w:rsid w:val="004310E8"/>
    <w:rsid w:val="00432CF2"/>
    <w:rsid w:val="00442E07"/>
    <w:rsid w:val="00453BEB"/>
    <w:rsid w:val="0045428D"/>
    <w:rsid w:val="00461B4C"/>
    <w:rsid w:val="00480778"/>
    <w:rsid w:val="00483C97"/>
    <w:rsid w:val="00485FEB"/>
    <w:rsid w:val="0049356B"/>
    <w:rsid w:val="00495396"/>
    <w:rsid w:val="004A67D7"/>
    <w:rsid w:val="004B1AE8"/>
    <w:rsid w:val="004B202E"/>
    <w:rsid w:val="004B504B"/>
    <w:rsid w:val="004C6706"/>
    <w:rsid w:val="004D05C1"/>
    <w:rsid w:val="004D6CBF"/>
    <w:rsid w:val="004E2D8B"/>
    <w:rsid w:val="00507064"/>
    <w:rsid w:val="005108C6"/>
    <w:rsid w:val="00510B63"/>
    <w:rsid w:val="005146C9"/>
    <w:rsid w:val="0052073E"/>
    <w:rsid w:val="00523FA6"/>
    <w:rsid w:val="005310DA"/>
    <w:rsid w:val="00534B4A"/>
    <w:rsid w:val="00537DB3"/>
    <w:rsid w:val="005463E3"/>
    <w:rsid w:val="0055451E"/>
    <w:rsid w:val="00575A44"/>
    <w:rsid w:val="00581C11"/>
    <w:rsid w:val="005866C1"/>
    <w:rsid w:val="00586CDB"/>
    <w:rsid w:val="00590772"/>
    <w:rsid w:val="0059710E"/>
    <w:rsid w:val="005D15CE"/>
    <w:rsid w:val="005F00B3"/>
    <w:rsid w:val="00610AD1"/>
    <w:rsid w:val="00614262"/>
    <w:rsid w:val="006216B3"/>
    <w:rsid w:val="00623381"/>
    <w:rsid w:val="00626A2B"/>
    <w:rsid w:val="00627758"/>
    <w:rsid w:val="00633A7C"/>
    <w:rsid w:val="0065105B"/>
    <w:rsid w:val="0065363A"/>
    <w:rsid w:val="006637AA"/>
    <w:rsid w:val="00677843"/>
    <w:rsid w:val="00677CE0"/>
    <w:rsid w:val="006855A8"/>
    <w:rsid w:val="0068562B"/>
    <w:rsid w:val="0068567A"/>
    <w:rsid w:val="00686E78"/>
    <w:rsid w:val="00690D11"/>
    <w:rsid w:val="006921A2"/>
    <w:rsid w:val="00692B98"/>
    <w:rsid w:val="00693A66"/>
    <w:rsid w:val="0069640A"/>
    <w:rsid w:val="006A292A"/>
    <w:rsid w:val="006A2AC8"/>
    <w:rsid w:val="006A38F7"/>
    <w:rsid w:val="006A4EBB"/>
    <w:rsid w:val="006B4172"/>
    <w:rsid w:val="006B5034"/>
    <w:rsid w:val="006C4E75"/>
    <w:rsid w:val="006D1B41"/>
    <w:rsid w:val="006E2074"/>
    <w:rsid w:val="006F0AAA"/>
    <w:rsid w:val="00702AE3"/>
    <w:rsid w:val="00710D2D"/>
    <w:rsid w:val="00712A44"/>
    <w:rsid w:val="00730F15"/>
    <w:rsid w:val="007325F3"/>
    <w:rsid w:val="0073324B"/>
    <w:rsid w:val="00740739"/>
    <w:rsid w:val="007423DB"/>
    <w:rsid w:val="00755D99"/>
    <w:rsid w:val="00756FD3"/>
    <w:rsid w:val="00757C12"/>
    <w:rsid w:val="00764A86"/>
    <w:rsid w:val="00764A9C"/>
    <w:rsid w:val="00765392"/>
    <w:rsid w:val="0077473C"/>
    <w:rsid w:val="00783464"/>
    <w:rsid w:val="00790E3E"/>
    <w:rsid w:val="007B525D"/>
    <w:rsid w:val="007B64B8"/>
    <w:rsid w:val="007C0A4C"/>
    <w:rsid w:val="007C2FD0"/>
    <w:rsid w:val="007C6E32"/>
    <w:rsid w:val="007F6104"/>
    <w:rsid w:val="007F7EFE"/>
    <w:rsid w:val="008002B8"/>
    <w:rsid w:val="00800D30"/>
    <w:rsid w:val="00807D1A"/>
    <w:rsid w:val="00817CE2"/>
    <w:rsid w:val="0082312F"/>
    <w:rsid w:val="008277A1"/>
    <w:rsid w:val="00830307"/>
    <w:rsid w:val="00835661"/>
    <w:rsid w:val="00836AB4"/>
    <w:rsid w:val="00850CCB"/>
    <w:rsid w:val="00865150"/>
    <w:rsid w:val="008652B8"/>
    <w:rsid w:val="00866E8A"/>
    <w:rsid w:val="00874202"/>
    <w:rsid w:val="00874EFE"/>
    <w:rsid w:val="00875BB5"/>
    <w:rsid w:val="00882126"/>
    <w:rsid w:val="00891310"/>
    <w:rsid w:val="008933F1"/>
    <w:rsid w:val="00894C14"/>
    <w:rsid w:val="0089728A"/>
    <w:rsid w:val="008A2C21"/>
    <w:rsid w:val="008A4D4D"/>
    <w:rsid w:val="008A6369"/>
    <w:rsid w:val="008B3B98"/>
    <w:rsid w:val="008B6DCF"/>
    <w:rsid w:val="008D0601"/>
    <w:rsid w:val="008D1F11"/>
    <w:rsid w:val="008D2F2C"/>
    <w:rsid w:val="008D446E"/>
    <w:rsid w:val="008D7BDC"/>
    <w:rsid w:val="008E5919"/>
    <w:rsid w:val="008F2C40"/>
    <w:rsid w:val="008F6DE8"/>
    <w:rsid w:val="008F7714"/>
    <w:rsid w:val="00901C38"/>
    <w:rsid w:val="00903B54"/>
    <w:rsid w:val="00905951"/>
    <w:rsid w:val="009078ED"/>
    <w:rsid w:val="00912D2C"/>
    <w:rsid w:val="00916EE4"/>
    <w:rsid w:val="00920F63"/>
    <w:rsid w:val="009243F3"/>
    <w:rsid w:val="0093366B"/>
    <w:rsid w:val="00934185"/>
    <w:rsid w:val="009341F8"/>
    <w:rsid w:val="00946126"/>
    <w:rsid w:val="00951B36"/>
    <w:rsid w:val="00952DF9"/>
    <w:rsid w:val="0095370B"/>
    <w:rsid w:val="0095421D"/>
    <w:rsid w:val="0095489E"/>
    <w:rsid w:val="00960C86"/>
    <w:rsid w:val="009630A7"/>
    <w:rsid w:val="009716E6"/>
    <w:rsid w:val="00972927"/>
    <w:rsid w:val="00976621"/>
    <w:rsid w:val="009767AF"/>
    <w:rsid w:val="00981F58"/>
    <w:rsid w:val="00986D0A"/>
    <w:rsid w:val="00992C29"/>
    <w:rsid w:val="009A3A52"/>
    <w:rsid w:val="009B1554"/>
    <w:rsid w:val="009B2667"/>
    <w:rsid w:val="009B6958"/>
    <w:rsid w:val="009C014C"/>
    <w:rsid w:val="009C0FE9"/>
    <w:rsid w:val="009D0CA2"/>
    <w:rsid w:val="009D36ED"/>
    <w:rsid w:val="009D5216"/>
    <w:rsid w:val="009D69AD"/>
    <w:rsid w:val="009D6CFC"/>
    <w:rsid w:val="009E3E86"/>
    <w:rsid w:val="009E4186"/>
    <w:rsid w:val="009E5507"/>
    <w:rsid w:val="009F228F"/>
    <w:rsid w:val="009F6B26"/>
    <w:rsid w:val="00A118A2"/>
    <w:rsid w:val="00A13589"/>
    <w:rsid w:val="00A15360"/>
    <w:rsid w:val="00A2248B"/>
    <w:rsid w:val="00A23F26"/>
    <w:rsid w:val="00A26813"/>
    <w:rsid w:val="00A352EA"/>
    <w:rsid w:val="00A4001C"/>
    <w:rsid w:val="00A40AAB"/>
    <w:rsid w:val="00A46D01"/>
    <w:rsid w:val="00A513D0"/>
    <w:rsid w:val="00A53729"/>
    <w:rsid w:val="00A56E4C"/>
    <w:rsid w:val="00A63000"/>
    <w:rsid w:val="00A70816"/>
    <w:rsid w:val="00A7636D"/>
    <w:rsid w:val="00A821BB"/>
    <w:rsid w:val="00A82D3D"/>
    <w:rsid w:val="00A85EA5"/>
    <w:rsid w:val="00A9138E"/>
    <w:rsid w:val="00A933DD"/>
    <w:rsid w:val="00AA1B39"/>
    <w:rsid w:val="00AA2102"/>
    <w:rsid w:val="00AA27DE"/>
    <w:rsid w:val="00AC1C89"/>
    <w:rsid w:val="00AC3CE4"/>
    <w:rsid w:val="00AC4406"/>
    <w:rsid w:val="00AC6414"/>
    <w:rsid w:val="00AC6B19"/>
    <w:rsid w:val="00AD381B"/>
    <w:rsid w:val="00AF55BF"/>
    <w:rsid w:val="00AF5B5B"/>
    <w:rsid w:val="00AF5D1A"/>
    <w:rsid w:val="00B0128C"/>
    <w:rsid w:val="00B017F9"/>
    <w:rsid w:val="00B01D36"/>
    <w:rsid w:val="00B07213"/>
    <w:rsid w:val="00B10A05"/>
    <w:rsid w:val="00B32A62"/>
    <w:rsid w:val="00B3719F"/>
    <w:rsid w:val="00B41182"/>
    <w:rsid w:val="00B42A97"/>
    <w:rsid w:val="00B52307"/>
    <w:rsid w:val="00B52462"/>
    <w:rsid w:val="00B54167"/>
    <w:rsid w:val="00B55DA5"/>
    <w:rsid w:val="00B60EDC"/>
    <w:rsid w:val="00B62E06"/>
    <w:rsid w:val="00B635AC"/>
    <w:rsid w:val="00B63EA3"/>
    <w:rsid w:val="00B64B1D"/>
    <w:rsid w:val="00B65CE6"/>
    <w:rsid w:val="00B71520"/>
    <w:rsid w:val="00B73EB1"/>
    <w:rsid w:val="00B77767"/>
    <w:rsid w:val="00B8448B"/>
    <w:rsid w:val="00B9671B"/>
    <w:rsid w:val="00BA06BB"/>
    <w:rsid w:val="00BA1D31"/>
    <w:rsid w:val="00BA27B7"/>
    <w:rsid w:val="00BB4E06"/>
    <w:rsid w:val="00BB702D"/>
    <w:rsid w:val="00BC4B64"/>
    <w:rsid w:val="00BD5DB9"/>
    <w:rsid w:val="00BF0F4B"/>
    <w:rsid w:val="00C164D3"/>
    <w:rsid w:val="00C203A3"/>
    <w:rsid w:val="00C20670"/>
    <w:rsid w:val="00C224FD"/>
    <w:rsid w:val="00C2549B"/>
    <w:rsid w:val="00C261A0"/>
    <w:rsid w:val="00C31130"/>
    <w:rsid w:val="00C43328"/>
    <w:rsid w:val="00C47375"/>
    <w:rsid w:val="00C51251"/>
    <w:rsid w:val="00C55252"/>
    <w:rsid w:val="00C5725F"/>
    <w:rsid w:val="00C74314"/>
    <w:rsid w:val="00C76C03"/>
    <w:rsid w:val="00C77B32"/>
    <w:rsid w:val="00C820B5"/>
    <w:rsid w:val="00C86713"/>
    <w:rsid w:val="00C875E8"/>
    <w:rsid w:val="00C90367"/>
    <w:rsid w:val="00C92035"/>
    <w:rsid w:val="00C97D79"/>
    <w:rsid w:val="00CA07DE"/>
    <w:rsid w:val="00CA15D8"/>
    <w:rsid w:val="00CA2DA3"/>
    <w:rsid w:val="00CA3089"/>
    <w:rsid w:val="00CA6D4B"/>
    <w:rsid w:val="00CB0C1B"/>
    <w:rsid w:val="00CB36DF"/>
    <w:rsid w:val="00CC2A72"/>
    <w:rsid w:val="00CC3FB5"/>
    <w:rsid w:val="00CD2067"/>
    <w:rsid w:val="00CD47BC"/>
    <w:rsid w:val="00CE413B"/>
    <w:rsid w:val="00CE4731"/>
    <w:rsid w:val="00CE5127"/>
    <w:rsid w:val="00CE64B3"/>
    <w:rsid w:val="00CF1D22"/>
    <w:rsid w:val="00CF3DD1"/>
    <w:rsid w:val="00D0692C"/>
    <w:rsid w:val="00D22CE0"/>
    <w:rsid w:val="00D26C5A"/>
    <w:rsid w:val="00D32D9C"/>
    <w:rsid w:val="00D34984"/>
    <w:rsid w:val="00D34FC4"/>
    <w:rsid w:val="00D36C35"/>
    <w:rsid w:val="00D51621"/>
    <w:rsid w:val="00D554B6"/>
    <w:rsid w:val="00D55F4B"/>
    <w:rsid w:val="00D57F76"/>
    <w:rsid w:val="00D663B5"/>
    <w:rsid w:val="00D739FC"/>
    <w:rsid w:val="00D75313"/>
    <w:rsid w:val="00D91520"/>
    <w:rsid w:val="00D94134"/>
    <w:rsid w:val="00D94DC0"/>
    <w:rsid w:val="00DA490E"/>
    <w:rsid w:val="00DA648F"/>
    <w:rsid w:val="00DB753C"/>
    <w:rsid w:val="00DD1619"/>
    <w:rsid w:val="00DD64DC"/>
    <w:rsid w:val="00DE2B22"/>
    <w:rsid w:val="00E04776"/>
    <w:rsid w:val="00E06A0F"/>
    <w:rsid w:val="00E0735A"/>
    <w:rsid w:val="00E075CD"/>
    <w:rsid w:val="00E12728"/>
    <w:rsid w:val="00E16ACD"/>
    <w:rsid w:val="00E17134"/>
    <w:rsid w:val="00E208CF"/>
    <w:rsid w:val="00E25EBC"/>
    <w:rsid w:val="00E32010"/>
    <w:rsid w:val="00E40487"/>
    <w:rsid w:val="00E4585F"/>
    <w:rsid w:val="00E55423"/>
    <w:rsid w:val="00E5798A"/>
    <w:rsid w:val="00E66550"/>
    <w:rsid w:val="00E7061B"/>
    <w:rsid w:val="00E72D3D"/>
    <w:rsid w:val="00E75D8C"/>
    <w:rsid w:val="00E877BF"/>
    <w:rsid w:val="00E96CFB"/>
    <w:rsid w:val="00E97D7B"/>
    <w:rsid w:val="00EA1767"/>
    <w:rsid w:val="00EB0929"/>
    <w:rsid w:val="00EB0FA5"/>
    <w:rsid w:val="00EB1641"/>
    <w:rsid w:val="00EC01DD"/>
    <w:rsid w:val="00EC35E3"/>
    <w:rsid w:val="00ED7195"/>
    <w:rsid w:val="00ED7604"/>
    <w:rsid w:val="00EF0614"/>
    <w:rsid w:val="00F0414F"/>
    <w:rsid w:val="00F07DA7"/>
    <w:rsid w:val="00F20AF9"/>
    <w:rsid w:val="00F27AAF"/>
    <w:rsid w:val="00F31BEC"/>
    <w:rsid w:val="00F31F02"/>
    <w:rsid w:val="00F3525E"/>
    <w:rsid w:val="00F36D01"/>
    <w:rsid w:val="00F40C12"/>
    <w:rsid w:val="00F5782B"/>
    <w:rsid w:val="00F66DA5"/>
    <w:rsid w:val="00F73131"/>
    <w:rsid w:val="00F74CDB"/>
    <w:rsid w:val="00F82A5D"/>
    <w:rsid w:val="00F84833"/>
    <w:rsid w:val="00F976AF"/>
    <w:rsid w:val="00FA07E8"/>
    <w:rsid w:val="00FB0E61"/>
    <w:rsid w:val="00FB4F10"/>
    <w:rsid w:val="00FC1C20"/>
    <w:rsid w:val="00FC526A"/>
    <w:rsid w:val="00FC669D"/>
    <w:rsid w:val="00FD0E91"/>
    <w:rsid w:val="00FD314E"/>
    <w:rsid w:val="00FD4F0B"/>
    <w:rsid w:val="00FE02FC"/>
    <w:rsid w:val="00FE1BAE"/>
    <w:rsid w:val="00FE560A"/>
  </w:rsids>
  <w:docVars>
    <w:docVar w:name="__Grammarly_42___1" w:val="H4sIAAAAAAAEAKtWcslP9kxRslIyNDY2sDQ2N7e0NLUwMjA2NDBR0lEKTi0uzszPAykwrAUAdQxmuywAAAA="/>
    <w:docVar w:name="__Grammarly_42____i" w:val="H4sIAAAAAAAEAKtWckksSQxILCpxzi/NK1GyMqwFAAEhoTITAAAA"/>
  </w:docVar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7AD273C3"/>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0">
    <w:name w:val="Body Text"/>
    <w:basedOn w:val="Normal"/>
    <w:link w:val="BodyTextChar0"/>
    <w:qFormat/>
    <w:rsid w:val="00B8448B"/>
    <w:pPr>
      <w:tabs>
        <w:tab w:val="left" w:pos="540"/>
      </w:tabs>
      <w:spacing w:before="240" w:line="276" w:lineRule="auto"/>
    </w:pPr>
    <w:rPr>
      <w:rFonts w:ascii="Times New Roman" w:hAnsi="Times New Roman" w:eastAsiaTheme="minorHAnsi"/>
      <w:szCs w:val="24"/>
    </w:rPr>
  </w:style>
  <w:style w:type="character" w:customStyle="1" w:styleId="BodyTextChar0">
    <w:name w:val="Body Text Char"/>
    <w:basedOn w:val="DefaultParagraphFont"/>
    <w:link w:val="BodyText0"/>
    <w:rsid w:val="00B8448B"/>
    <w:rPr>
      <w:rFonts w:eastAsiaTheme="minorHAnsi"/>
      <w:sz w:val="24"/>
      <w:szCs w:val="24"/>
    </w:rPr>
  </w:style>
  <w:style w:type="paragraph" w:styleId="Revision">
    <w:name w:val="Revision"/>
    <w:hidden/>
    <w:uiPriority w:val="99"/>
    <w:semiHidden/>
    <w:rsid w:val="00590772"/>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ies.ed.gov/ncee/pdf/20094040.pdf"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herb@analytica-inc.com" TargetMode="External" /><Relationship Id="rId9" Type="http://schemas.openxmlformats.org/officeDocument/2006/relationships/hyperlink" Target="https://nces.ed.gov/pubs2020/2020144.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EBBCA40F1A6A4C9B96DD28EB16729C" ma:contentTypeVersion="4" ma:contentTypeDescription="Create a new document." ma:contentTypeScope="" ma:versionID="aa6e048189a928bbd2f9dccc265a055e">
  <xsd:schema xmlns:xsd="http://www.w3.org/2001/XMLSchema" xmlns:xs="http://www.w3.org/2001/XMLSchema" xmlns:p="http://schemas.microsoft.com/office/2006/metadata/properties" xmlns:ns2="fd886add-624a-4d1a-95d0-dd656fbc32ea" xmlns:ns3="919f5175-b14f-4829-a921-60932829ecfd" targetNamespace="http://schemas.microsoft.com/office/2006/metadata/properties" ma:root="true" ma:fieldsID="2f3d852ae7e88574e170cb81e2156677" ns2:_="" ns3:_="">
    <xsd:import namespace="fd886add-624a-4d1a-95d0-dd656fbc32ea"/>
    <xsd:import namespace="919f5175-b14f-4829-a921-60932829e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886add-624a-4d1a-95d0-dd656fbc32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9f5175-b14f-4829-a921-60932829ec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1BF3EEF1-6779-4DF9-BE2E-83EDAAB59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886add-624a-4d1a-95d0-dd656fbc32ea"/>
    <ds:schemaRef ds:uri="919f5175-b14f-4829-a921-60932829e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8975c20-18d4-40c9-811f-0d8ea387c6ea}" enabled="0" method="" siteId="{78975c20-18d4-40c9-811f-0d8ea387c6ea}" removed="1"/>
</clbl:labelList>
</file>

<file path=docProps/app.xml><?xml version="1.0" encoding="utf-8"?>
<Properties xmlns="http://schemas.openxmlformats.org/officeDocument/2006/extended-properties" xmlns:vt="http://schemas.openxmlformats.org/officeDocument/2006/docPropsVTypes">
  <Template>Normal</Template>
  <TotalTime>5</TotalTime>
  <Pages>15</Pages>
  <Words>5429</Words>
  <Characters>30951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36308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Juliana Pearson</cp:lastModifiedBy>
  <cp:revision>4</cp:revision>
  <dcterms:created xsi:type="dcterms:W3CDTF">2023-04-20T16:10:00Z</dcterms:created>
  <dcterms:modified xsi:type="dcterms:W3CDTF">2023-04-20T18:33:00Z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2107;#OPEPD|ce92b553-05da-452f-8e44-07d7a13de30f</vt:lpwstr>
  </property>
  <property fmtid="{D5CDD505-2E9C-101B-9397-08002B2CF9AE}" pid="3" name="ContentOffice">
    <vt:lpwstr/>
  </property>
  <property fmtid="{D5CDD505-2E9C-101B-9397-08002B2CF9AE}" pid="4" name="ContentTypeId">
    <vt:lpwstr>0x01010045905E9B17257344A422F0EB5D5A7C38</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Order">
    <vt:r8>700</vt:r8>
  </property>
  <property fmtid="{D5CDD505-2E9C-101B-9397-08002B2CF9AE}" pid="12" name="Secondary Navigation Category">
    <vt:lpwstr/>
  </property>
  <property fmtid="{D5CDD505-2E9C-101B-9397-08002B2CF9AE}" pid="13" name="WorkflowChangePath">
    <vt:lpwstr>8f38e374-a608-41a9-a760-7cfdddace18b,32;8f38e374-a608-41a9-a760-7cfdddace18b,32;</vt:lpwstr>
  </property>
  <property fmtid="{D5CDD505-2E9C-101B-9397-08002B2CF9AE}" pid="14" name="_dlc_DocIdItemGuid">
    <vt:lpwstr>41013e83-931d-4b51-a694-340c449e8e68</vt:lpwstr>
  </property>
  <property fmtid="{D5CDD505-2E9C-101B-9397-08002B2CF9AE}" pid="15" name="_dlc_LastRun">
    <vt:lpwstr>03/23/2021 01:12:33</vt:lpwstr>
  </property>
  <property fmtid="{D5CDD505-2E9C-101B-9397-08002B2CF9AE}" pid="16" name="_dlc_policyId">
    <vt:lpwstr>0x0101001C22A2B9DBEDBB4DB130C1FAF5F2F008|-874002092</vt:lpwstr>
  </property>
</Properties>
</file>