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oxmlPackage1.xlsx" ContentType="application/vnd.openxmlformats-officedocument.spreadsheetml.sheet"/>
  <Override PartName="/word/embeddings/ooxmlPackage2.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001E4" w:rsidP="00DE7A1C" w14:paraId="2F476A00" w14:textId="77777777">
      <w:pPr>
        <w:rPr>
          <w:noProof/>
        </w:rPr>
      </w:pPr>
    </w:p>
    <w:p w:rsidR="00041909" w:rsidP="00313D14" w14:paraId="61BA4AD4" w14:textId="4A00C524">
      <w:r>
        <w:rPr>
          <w:noProof/>
        </w:rPr>
        <w:drawing>
          <wp:anchor distT="0" distB="0" distL="114300" distR="114300" simplePos="0" relativeHeight="251664384" behindDoc="1" locked="0" layoutInCell="1" allowOverlap="1">
            <wp:simplePos x="0" y="0"/>
            <wp:positionH relativeFrom="column">
              <wp:posOffset>0</wp:posOffset>
            </wp:positionH>
            <wp:positionV relativeFrom="paragraph">
              <wp:posOffset>10160</wp:posOffset>
            </wp:positionV>
            <wp:extent cx="5943600" cy="1803400"/>
            <wp:effectExtent l="0" t="0" r="0" b="0"/>
            <wp:wrapNone/>
            <wp:docPr id="7" name="Picture 1" descr="C:\Users\ace\AppData\Local\Microsoft\Windows\INetCache\Content.Word\blueswooshwhite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C:\Users\ace\AppData\Local\Microsoft\Windows\INetCache\Content.Word\blueswooshwhitebackground.png"/>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rcRect l="-130" r="136" b="45941"/>
                    <a:stretch>
                      <a:fillRect/>
                    </a:stretch>
                  </pic:blipFill>
                  <pic:spPr bwMode="auto">
                    <a:xfrm>
                      <a:off x="0" y="0"/>
                      <a:ext cx="5943600" cy="1803400"/>
                    </a:xfrm>
                    <a:prstGeom prst="rect">
                      <a:avLst/>
                    </a:prstGeom>
                    <a:noFill/>
                    <a:ln>
                      <a:noFill/>
                    </a:ln>
                  </pic:spPr>
                </pic:pic>
              </a:graphicData>
            </a:graphic>
            <wp14:sizeRelH relativeFrom="page">
              <wp14:pctWidth>0</wp14:pctWidth>
            </wp14:sizeRelH>
            <wp14:sizeRelV relativeFrom="page">
              <wp14:pctHeight>0</wp14:pctHeight>
            </wp14:sizeRelV>
          </wp:anchor>
        </w:drawing>
      </w:r>
      <w:r w:rsidR="001F3A8F">
        <w:rPr>
          <w:noProof/>
        </w:rPr>
        <w:softHyphen/>
      </w:r>
      <w:r w:rsidR="001F3A8F">
        <w:rPr>
          <w:noProof/>
        </w:rPr>
        <w:softHyphen/>
      </w:r>
      <w:r w:rsidR="001F3A8F">
        <w:rPr>
          <w:noProof/>
        </w:rPr>
        <w:softHyphen/>
      </w:r>
    </w:p>
    <w:p w:rsidR="00D928FD" w14:paraId="42D59622" w14:textId="77777777"/>
    <w:p w:rsidR="00D928FD" w:rsidP="00313D14" w14:paraId="16ED7E81" w14:textId="77777777">
      <w:r>
        <w:tab/>
      </w:r>
    </w:p>
    <w:p w:rsidR="00D928FD" w14:paraId="301AE0C6" w14:textId="77777777"/>
    <w:p w:rsidR="00D928FD" w14:paraId="122DD177" w14:textId="77777777"/>
    <w:p w:rsidR="00D928FD" w14:paraId="02C98B4A" w14:textId="77777777"/>
    <w:p w:rsidR="001F3A8F" w:rsidP="00313D14" w14:paraId="08F14D2F" w14:textId="62FAB6C6">
      <w:r>
        <w:rPr>
          <w:noProof/>
        </w:rPr>
        <mc:AlternateContent>
          <mc:Choice Requires="wps">
            <w:drawing>
              <wp:anchor distT="0" distB="0" distL="114300" distR="114300" simplePos="0" relativeHeight="251667456" behindDoc="0" locked="0" layoutInCell="1" allowOverlap="1">
                <wp:simplePos x="0" y="0"/>
                <wp:positionH relativeFrom="margin">
                  <wp:posOffset>388620</wp:posOffset>
                </wp:positionH>
                <wp:positionV relativeFrom="margin">
                  <wp:posOffset>5821680</wp:posOffset>
                </wp:positionV>
                <wp:extent cx="5318760" cy="1844040"/>
                <wp:effectExtent l="0" t="0" r="0" b="0"/>
                <wp:wrapSquare wrapText="bothSides"/>
                <wp:docPr id="2" name="Text Box 3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18760" cy="184404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E054DF" w:rsidRPr="00E054DF" w:rsidP="00E054DF" w14:textId="4FE7112C">
                            <w:pPr>
                              <w:pStyle w:val="Boxtext"/>
                              <w:rPr>
                                <w:rFonts w:ascii="Times New Roman" w:hAnsi="Times New Roman"/>
                                <w:sz w:val="36"/>
                                <w:szCs w:val="36"/>
                              </w:rPr>
                            </w:pPr>
                            <w:bookmarkStart w:id="0" w:name="_Toc466046933"/>
                            <w:bookmarkStart w:id="1" w:name="_Toc161999659"/>
                            <w:r>
                              <w:rPr>
                                <w:rStyle w:val="Heading1Char"/>
                              </w:rPr>
                              <w:t>Part A</w:t>
                            </w:r>
                            <w:r w:rsidRPr="00E054DF">
                              <w:rPr>
                                <w:rStyle w:val="Heading1Char"/>
                              </w:rPr>
                              <w:t xml:space="preserve">: </w:t>
                            </w:r>
                            <w:bookmarkEnd w:id="0"/>
                            <w:r w:rsidR="00F43F66">
                              <w:rPr>
                                <w:rStyle w:val="Heading1Char"/>
                              </w:rPr>
                              <w:t>Justifications</w:t>
                            </w:r>
                            <w:bookmarkEnd w:id="1"/>
                            <w:r>
                              <w:br/>
                            </w:r>
                            <w:r w:rsidRPr="00E054DF">
                              <w:rPr>
                                <w:rFonts w:ascii="Times New Roman" w:hAnsi="Times New Roman"/>
                                <w:sz w:val="36"/>
                                <w:szCs w:val="36"/>
                              </w:rPr>
                              <w:t xml:space="preserve">OMB No. </w:t>
                            </w:r>
                            <w:r w:rsidRPr="000A6D40" w:rsidR="00165EAC">
                              <w:rPr>
                                <w:rFonts w:ascii="Times New Roman" w:hAnsi="Times New Roman"/>
                                <w:sz w:val="36"/>
                                <w:szCs w:val="36"/>
                              </w:rPr>
                              <w:t>1901</w:t>
                            </w:r>
                            <w:r w:rsidRPr="000A6D40">
                              <w:rPr>
                                <w:rFonts w:ascii="Times New Roman" w:hAnsi="Times New Roman"/>
                                <w:sz w:val="36"/>
                                <w:szCs w:val="36"/>
                              </w:rPr>
                              <w:t>-</w:t>
                            </w:r>
                            <w:r w:rsidRPr="000A6D40" w:rsidR="00165EAC">
                              <w:rPr>
                                <w:rFonts w:ascii="Times New Roman" w:hAnsi="Times New Roman"/>
                                <w:sz w:val="36"/>
                                <w:szCs w:val="36"/>
                              </w:rPr>
                              <w:t>0260</w:t>
                            </w:r>
                          </w:p>
                          <w:p w:rsidR="00E054DF" w:rsidRPr="00266B21" w:rsidP="00AF7C35" w14:textId="391A7BC5">
                            <w:pPr>
                              <w:rPr>
                                <w:i/>
                                <w:color w:val="FF0000"/>
                                <w:sz w:val="24"/>
                                <w:szCs w:val="24"/>
                              </w:rPr>
                            </w:pPr>
                            <w:r w:rsidRPr="00266B21">
                              <w:rPr>
                                <w:rFonts w:cs="Calibri"/>
                                <w:sz w:val="24"/>
                                <w:szCs w:val="24"/>
                              </w:rPr>
                              <w:t xml:space="preserve">Form NWPA-830G, </w:t>
                            </w:r>
                            <w:r w:rsidRPr="00266B21">
                              <w:rPr>
                                <w:rFonts w:cs="Calibri"/>
                                <w:i/>
                                <w:sz w:val="24"/>
                                <w:szCs w:val="24"/>
                              </w:rPr>
                              <w:t>Standard Contract for Disposal of Spent Nuclear Fuel and/or High-Level Radioactive Waste - Appendix G and Annex A to Appendix G</w:t>
                            </w:r>
                          </w:p>
                        </w:txbxContent>
                      </wps:txbx>
                      <wps:bodyPr rot="0" vert="horz" wrap="square" lIns="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 o:spid="_x0000_s1025" type="#_x0000_t202" style="width:418.8pt;height:145.2pt;margin-top:458.4pt;margin-left:30.6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top;z-index:251668480" filled="f" stroked="f">
                <v:textbox inset="0">
                  <w:txbxContent>
                    <w:p w:rsidR="00E054DF" w:rsidRPr="00E054DF" w:rsidP="00E054DF" w14:paraId="0BFBEB86" w14:textId="4FE7112C">
                      <w:pPr>
                        <w:pStyle w:val="Boxtext"/>
                        <w:rPr>
                          <w:rFonts w:ascii="Times New Roman" w:hAnsi="Times New Roman"/>
                          <w:sz w:val="36"/>
                          <w:szCs w:val="36"/>
                        </w:rPr>
                      </w:pPr>
                      <w:bookmarkStart w:id="0" w:name="_Toc466046933"/>
                      <w:bookmarkStart w:id="1" w:name="_Toc161999659"/>
                      <w:r>
                        <w:rPr>
                          <w:rStyle w:val="Heading1Char"/>
                        </w:rPr>
                        <w:t>Part A</w:t>
                      </w:r>
                      <w:r w:rsidRPr="00E054DF">
                        <w:rPr>
                          <w:rStyle w:val="Heading1Char"/>
                        </w:rPr>
                        <w:t xml:space="preserve">: </w:t>
                      </w:r>
                      <w:bookmarkEnd w:id="0"/>
                      <w:r w:rsidR="00F43F66">
                        <w:rPr>
                          <w:rStyle w:val="Heading1Char"/>
                        </w:rPr>
                        <w:t>Justifications</w:t>
                      </w:r>
                      <w:bookmarkEnd w:id="1"/>
                      <w:r>
                        <w:br/>
                      </w:r>
                      <w:r w:rsidRPr="00E054DF">
                        <w:rPr>
                          <w:rFonts w:ascii="Times New Roman" w:hAnsi="Times New Roman"/>
                          <w:sz w:val="36"/>
                          <w:szCs w:val="36"/>
                        </w:rPr>
                        <w:t xml:space="preserve">OMB No. </w:t>
                      </w:r>
                      <w:r w:rsidRPr="000A6D40" w:rsidR="00165EAC">
                        <w:rPr>
                          <w:rFonts w:ascii="Times New Roman" w:hAnsi="Times New Roman"/>
                          <w:sz w:val="36"/>
                          <w:szCs w:val="36"/>
                        </w:rPr>
                        <w:t>1901</w:t>
                      </w:r>
                      <w:r w:rsidRPr="000A6D40">
                        <w:rPr>
                          <w:rFonts w:ascii="Times New Roman" w:hAnsi="Times New Roman"/>
                          <w:sz w:val="36"/>
                          <w:szCs w:val="36"/>
                        </w:rPr>
                        <w:t>-</w:t>
                      </w:r>
                      <w:r w:rsidRPr="000A6D40" w:rsidR="00165EAC">
                        <w:rPr>
                          <w:rFonts w:ascii="Times New Roman" w:hAnsi="Times New Roman"/>
                          <w:sz w:val="36"/>
                          <w:szCs w:val="36"/>
                        </w:rPr>
                        <w:t>0260</w:t>
                      </w:r>
                    </w:p>
                    <w:p w:rsidR="00E054DF" w:rsidRPr="00266B21" w:rsidP="00AF7C35" w14:paraId="5A8728CD" w14:textId="391A7BC5">
                      <w:pPr>
                        <w:rPr>
                          <w:i/>
                          <w:color w:val="FF0000"/>
                          <w:sz w:val="24"/>
                          <w:szCs w:val="24"/>
                        </w:rPr>
                      </w:pPr>
                      <w:r w:rsidRPr="00266B21">
                        <w:rPr>
                          <w:rFonts w:cs="Calibri"/>
                          <w:sz w:val="24"/>
                          <w:szCs w:val="24"/>
                        </w:rPr>
                        <w:t xml:space="preserve">Form NWPA-830G, </w:t>
                      </w:r>
                      <w:r w:rsidRPr="00266B21">
                        <w:rPr>
                          <w:rFonts w:cs="Calibri"/>
                          <w:i/>
                          <w:sz w:val="24"/>
                          <w:szCs w:val="24"/>
                        </w:rPr>
                        <w:t>Standard Contract for Disposal of Spent Nuclear Fuel and/or High-Level Radioactive Waste - Appendix G and Annex A to Appendix G</w:t>
                      </w:r>
                    </w:p>
                  </w:txbxContent>
                </v:textbox>
                <w10:wrap type="square"/>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margin">
                  <wp:posOffset>363855</wp:posOffset>
                </wp:positionH>
                <wp:positionV relativeFrom="paragraph">
                  <wp:posOffset>960755</wp:posOffset>
                </wp:positionV>
                <wp:extent cx="4991100" cy="1752600"/>
                <wp:effectExtent l="0" t="0" r="0" b="0"/>
                <wp:wrapNone/>
                <wp:docPr id="17" name="Text Box 2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991100" cy="17526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EA779A" w:rsidRPr="00DD45BC" w:rsidP="00313D14" w14:textId="2C9813E7">
                            <w:pPr>
                              <w:spacing w:line="276" w:lineRule="auto"/>
                              <w:rPr>
                                <w:b/>
                                <w:color w:val="00B0F0"/>
                                <w:sz w:val="60"/>
                                <w:szCs w:val="60"/>
                              </w:rPr>
                            </w:pPr>
                            <w:r w:rsidRPr="00DD45BC">
                              <w:rPr>
                                <w:rFonts w:ascii="Times New Roman" w:hAnsi="Times New Roman"/>
                                <w:b/>
                                <w:color w:val="00B0F0"/>
                                <w:sz w:val="60"/>
                                <w:szCs w:val="60"/>
                              </w:rPr>
                              <w:t xml:space="preserve">Supporting Statement for </w:t>
                            </w:r>
                            <w:r w:rsidRPr="00DD45BC" w:rsidR="009E780C">
                              <w:rPr>
                                <w:rFonts w:ascii="Times New Roman" w:hAnsi="Times New Roman"/>
                                <w:b/>
                                <w:color w:val="00B0F0"/>
                                <w:sz w:val="60"/>
                                <w:szCs w:val="60"/>
                              </w:rPr>
                              <w:t>Survey</w:t>
                            </w:r>
                            <w:r w:rsidRPr="00DD45BC" w:rsidR="006C470A">
                              <w:rPr>
                                <w:rFonts w:ascii="Times New Roman" w:hAnsi="Times New Roman"/>
                                <w:b/>
                                <w:color w:val="00B0F0"/>
                                <w:sz w:val="60"/>
                                <w:szCs w:val="60"/>
                              </w:rPr>
                              <w:t xml:space="preserve"> Clearance</w:t>
                            </w:r>
                          </w:p>
                        </w:txbxContent>
                      </wps:txbx>
                      <wps:bodyPr rot="0" vert="horz" wrap="square" lIns="0" tIns="45720" rIns="91440" bIns="45720" anchor="b" anchorCtr="0" upright="1"/>
                    </wps:wsp>
                  </a:graphicData>
                </a:graphic>
                <wp14:sizeRelH relativeFrom="margin">
                  <wp14:pctWidth>0</wp14:pctWidth>
                </wp14:sizeRelH>
                <wp14:sizeRelV relativeFrom="margin">
                  <wp14:pctHeight>0</wp14:pctHeight>
                </wp14:sizeRelV>
              </wp:anchor>
            </w:drawing>
          </mc:Choice>
          <mc:Fallback>
            <w:pict>
              <v:shape id="Text Box 29" o:spid="_x0000_s1026" type="#_x0000_t202" style="width:393pt;height:138pt;margin-top:75.65pt;margin-left:28.65pt;mso-height-percent:0;mso-height-relative:margin;mso-position-horizontal-relative:margin;mso-width-percent:0;mso-width-relative:margin;mso-wrap-distance-bottom:0;mso-wrap-distance-left:9pt;mso-wrap-distance-right:9pt;mso-wrap-distance-top:0;mso-wrap-style:square;position:absolute;visibility:visible;v-text-anchor:bottom;z-index:251659264" filled="f" stroked="f">
                <v:textbox inset="0">
                  <w:txbxContent>
                    <w:p w:rsidR="00EA779A" w:rsidRPr="00DD45BC" w:rsidP="00313D14" w14:paraId="2ABFECE0" w14:textId="2C9813E7">
                      <w:pPr>
                        <w:spacing w:line="276" w:lineRule="auto"/>
                        <w:rPr>
                          <w:b/>
                          <w:color w:val="00B0F0"/>
                          <w:sz w:val="60"/>
                          <w:szCs w:val="60"/>
                        </w:rPr>
                      </w:pPr>
                      <w:r w:rsidRPr="00DD45BC">
                        <w:rPr>
                          <w:rFonts w:ascii="Times New Roman" w:hAnsi="Times New Roman"/>
                          <w:b/>
                          <w:color w:val="00B0F0"/>
                          <w:sz w:val="60"/>
                          <w:szCs w:val="60"/>
                        </w:rPr>
                        <w:t xml:space="preserve">Supporting Statement for </w:t>
                      </w:r>
                      <w:r w:rsidRPr="00DD45BC" w:rsidR="009E780C">
                        <w:rPr>
                          <w:rFonts w:ascii="Times New Roman" w:hAnsi="Times New Roman"/>
                          <w:b/>
                          <w:color w:val="00B0F0"/>
                          <w:sz w:val="60"/>
                          <w:szCs w:val="60"/>
                        </w:rPr>
                        <w:t>Survey</w:t>
                      </w:r>
                      <w:r w:rsidRPr="00DD45BC" w:rsidR="006C470A">
                        <w:rPr>
                          <w:rFonts w:ascii="Times New Roman" w:hAnsi="Times New Roman"/>
                          <w:b/>
                          <w:color w:val="00B0F0"/>
                          <w:sz w:val="60"/>
                          <w:szCs w:val="60"/>
                        </w:rPr>
                        <w:t xml:space="preserve"> Clearance</w:t>
                      </w:r>
                    </w:p>
                  </w:txbxContent>
                </v:textbox>
                <w10:wrap anchorx="margin"/>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margin">
                  <wp:posOffset>3352800</wp:posOffset>
                </wp:positionH>
                <wp:positionV relativeFrom="margin">
                  <wp:posOffset>8542020</wp:posOffset>
                </wp:positionV>
                <wp:extent cx="2717800" cy="647700"/>
                <wp:effectExtent l="0" t="0" r="0" b="0"/>
                <wp:wrapSquare wrapText="bothSides"/>
                <wp:docPr id="13" name="Text Box 3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17800" cy="647700"/>
                        </a:xfrm>
                        <a:prstGeom prst="rect">
                          <a:avLst/>
                        </a:prstGeom>
                        <a:noFill/>
                        <a:ln w="9525">
                          <a:noFill/>
                          <a:miter lim="800000"/>
                          <a:headEnd/>
                          <a:tailEnd/>
                        </a:ln>
                      </wps:spPr>
                      <wps:txbx>
                        <w:txbxContent>
                          <w:p w:rsidR="00EA779A" w:rsidRPr="00E054DF" w:rsidP="004D236B" w14:textId="77777777">
                            <w:pPr>
                              <w:spacing w:before="40" w:after="0" w:line="240" w:lineRule="auto"/>
                              <w:jc w:val="right"/>
                              <w:rPr>
                                <w:rFonts w:ascii="Franklin Gothic Book" w:eastAsia="Times New Roman" w:hAnsi="Franklin Gothic Book"/>
                                <w:color w:val="808080"/>
                                <w:sz w:val="20"/>
                              </w:rPr>
                            </w:pPr>
                            <w:r w:rsidRPr="00E054DF">
                              <w:rPr>
                                <w:rFonts w:ascii="Franklin Gothic Book" w:hAnsi="Franklin Gothic Book"/>
                                <w:color w:val="808080"/>
                                <w:kern w:val="24"/>
                                <w:sz w:val="20"/>
                              </w:rPr>
                              <w:t>www.eia.gov</w:t>
                            </w:r>
                          </w:p>
                          <w:p w:rsidR="00EA779A" w:rsidRPr="00E054DF" w:rsidP="004D236B" w14:textId="77777777">
                            <w:pPr>
                              <w:spacing w:after="0" w:line="240" w:lineRule="auto"/>
                              <w:jc w:val="right"/>
                              <w:rPr>
                                <w:rFonts w:ascii="Franklin Gothic Book" w:hAnsi="Franklin Gothic Book"/>
                                <w:color w:val="808080"/>
                                <w:kern w:val="24"/>
                                <w:sz w:val="20"/>
                              </w:rPr>
                            </w:pPr>
                            <w:r w:rsidRPr="00E054DF">
                              <w:rPr>
                                <w:rFonts w:ascii="Franklin Gothic Book" w:hAnsi="Franklin Gothic Book"/>
                                <w:color w:val="808080"/>
                                <w:kern w:val="24"/>
                                <w:sz w:val="20"/>
                              </w:rPr>
                              <w:t>U.S. Department of Energy</w:t>
                            </w:r>
                          </w:p>
                          <w:p w:rsidR="00EA779A" w:rsidRPr="00E054DF" w:rsidP="004D236B" w14:textId="77777777">
                            <w:pPr>
                              <w:spacing w:before="40" w:after="0" w:line="240" w:lineRule="auto"/>
                              <w:jc w:val="right"/>
                              <w:rPr>
                                <w:rFonts w:ascii="Franklin Gothic Book" w:eastAsia="Times New Roman" w:hAnsi="Franklin Gothic Book"/>
                                <w:color w:val="808080"/>
                                <w:sz w:val="20"/>
                              </w:rPr>
                            </w:pPr>
                            <w:r w:rsidRPr="00E054DF">
                              <w:rPr>
                                <w:rFonts w:ascii="Franklin Gothic Book" w:hAnsi="Franklin Gothic Book"/>
                                <w:color w:val="808080"/>
                                <w:kern w:val="24"/>
                                <w:sz w:val="20"/>
                              </w:rPr>
                              <w:t>Washington, DC 20585</w:t>
                            </w:r>
                          </w:p>
                        </w:txbxContent>
                      </wps:txbx>
                      <wps:bodyPr rot="0" vert="horz" wrap="square" lIns="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36" o:spid="_x0000_s1027" type="#_x0000_t202" style="width:214pt;height:51pt;margin-top:672.6pt;margin-left:264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top;z-index:251663360" filled="f" stroked="f">
                <v:textbox inset="0">
                  <w:txbxContent>
                    <w:p w:rsidR="00EA779A" w:rsidRPr="00E054DF" w:rsidP="004D236B" w14:paraId="343EE079" w14:textId="77777777">
                      <w:pPr>
                        <w:spacing w:before="40" w:after="0" w:line="240" w:lineRule="auto"/>
                        <w:jc w:val="right"/>
                        <w:rPr>
                          <w:rFonts w:ascii="Franklin Gothic Book" w:eastAsia="Times New Roman" w:hAnsi="Franklin Gothic Book"/>
                          <w:color w:val="808080"/>
                          <w:sz w:val="20"/>
                        </w:rPr>
                      </w:pPr>
                      <w:r w:rsidRPr="00E054DF">
                        <w:rPr>
                          <w:rFonts w:ascii="Franklin Gothic Book" w:hAnsi="Franklin Gothic Book"/>
                          <w:color w:val="808080"/>
                          <w:kern w:val="24"/>
                          <w:sz w:val="20"/>
                        </w:rPr>
                        <w:t>www.eia.gov</w:t>
                      </w:r>
                    </w:p>
                    <w:p w:rsidR="00EA779A" w:rsidRPr="00E054DF" w:rsidP="004D236B" w14:paraId="6B3654FA" w14:textId="77777777">
                      <w:pPr>
                        <w:spacing w:after="0" w:line="240" w:lineRule="auto"/>
                        <w:jc w:val="right"/>
                        <w:rPr>
                          <w:rFonts w:ascii="Franklin Gothic Book" w:hAnsi="Franklin Gothic Book"/>
                          <w:color w:val="808080"/>
                          <w:kern w:val="24"/>
                          <w:sz w:val="20"/>
                        </w:rPr>
                      </w:pPr>
                      <w:r w:rsidRPr="00E054DF">
                        <w:rPr>
                          <w:rFonts w:ascii="Franklin Gothic Book" w:hAnsi="Franklin Gothic Book"/>
                          <w:color w:val="808080"/>
                          <w:kern w:val="24"/>
                          <w:sz w:val="20"/>
                        </w:rPr>
                        <w:t>U.S. Department of Energy</w:t>
                      </w:r>
                    </w:p>
                    <w:p w:rsidR="00EA779A" w:rsidRPr="00E054DF" w:rsidP="004D236B" w14:paraId="1E66DE8D" w14:textId="77777777">
                      <w:pPr>
                        <w:spacing w:before="40" w:after="0" w:line="240" w:lineRule="auto"/>
                        <w:jc w:val="right"/>
                        <w:rPr>
                          <w:rFonts w:ascii="Franklin Gothic Book" w:eastAsia="Times New Roman" w:hAnsi="Franklin Gothic Book"/>
                          <w:color w:val="808080"/>
                          <w:sz w:val="20"/>
                        </w:rPr>
                      </w:pPr>
                      <w:r w:rsidRPr="00E054DF">
                        <w:rPr>
                          <w:rFonts w:ascii="Franklin Gothic Book" w:hAnsi="Franklin Gothic Book"/>
                          <w:color w:val="808080"/>
                          <w:kern w:val="24"/>
                          <w:sz w:val="20"/>
                        </w:rPr>
                        <w:t>Washington, DC 20585</w:t>
                      </w:r>
                    </w:p>
                  </w:txbxContent>
                </v:textbox>
                <w10:wrap type="square"/>
              </v:shape>
            </w:pict>
          </mc:Fallback>
        </mc:AlternateContent>
      </w:r>
      <w:r>
        <w:rPr>
          <w:noProof/>
        </w:rPr>
        <mc:AlternateContent>
          <mc:Choice Requires="wps">
            <w:drawing>
              <wp:anchor distT="45720" distB="45720" distL="114300" distR="114300" simplePos="0" relativeHeight="251665408" behindDoc="0" locked="0" layoutInCell="1" allowOverlap="1">
                <wp:simplePos x="0" y="0"/>
                <wp:positionH relativeFrom="column">
                  <wp:posOffset>-106045</wp:posOffset>
                </wp:positionH>
                <wp:positionV relativeFrom="paragraph">
                  <wp:posOffset>6384925</wp:posOffset>
                </wp:positionV>
                <wp:extent cx="2377440" cy="530225"/>
                <wp:effectExtent l="0" t="0" r="0" b="0"/>
                <wp:wrapSquare wrapText="bothSides"/>
                <wp:docPr id="2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77440" cy="530225"/>
                        </a:xfrm>
                        <a:prstGeom prst="rect">
                          <a:avLst/>
                        </a:prstGeom>
                        <a:noFill/>
                        <a:ln w="9525">
                          <a:noFill/>
                          <a:miter lim="800000"/>
                          <a:headEnd/>
                          <a:tailEnd/>
                        </a:ln>
                      </wps:spPr>
                      <wps:txbx>
                        <w:txbxContent>
                          <w:p w:rsidR="00EA779A" w14:textId="7D795F0D">
                            <w:r w:rsidRPr="00583CFD">
                              <w:rPr>
                                <w:noProof/>
                              </w:rPr>
                              <w:drawing>
                                <wp:inline distT="0" distB="0" distL="0" distR="0">
                                  <wp:extent cx="2158365" cy="478155"/>
                                  <wp:effectExtent l="0" t="0" r="0" b="0"/>
                                  <wp:docPr id="1068990098" name="Picture 61" descr="C:\Users\ace\AppData\Local\Microsoft\Windows\INetCache\Content.Word\eialogo_full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990098" name="Picture 61" descr="C:\Users\ace\AppData\Local\Microsoft\Windows\INetCache\Content.Word\eialogo_fullcolor.png"/>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2158365" cy="478155"/>
                                          </a:xfrm>
                                          <a:prstGeom prst="rect">
                                            <a:avLst/>
                                          </a:prstGeom>
                                          <a:noFill/>
                                          <a:ln>
                                            <a:noFill/>
                                          </a:ln>
                                        </pic:spPr>
                                      </pic:pic>
                                    </a:graphicData>
                                  </a:graphic>
                                </wp:inline>
                              </w:drawing>
                            </w:r>
                          </w:p>
                        </w:txbxContent>
                      </wps:txbx>
                      <wps:bodyPr rot="0" vert="horz" wrap="square" lIns="91440" tIns="45720" rIns="91440" bIns="45720" anchor="t" anchorCtr="0"/>
                    </wps:wsp>
                  </a:graphicData>
                </a:graphic>
                <wp14:sizeRelH relativeFrom="margin">
                  <wp14:pctWidth>40000</wp14:pctWidth>
                </wp14:sizeRelH>
                <wp14:sizeRelV relativeFrom="margin">
                  <wp14:pctHeight>0</wp14:pctHeight>
                </wp14:sizeRelV>
              </wp:anchor>
            </w:drawing>
          </mc:Choice>
          <mc:Fallback>
            <w:pict>
              <v:shape id="Text Box 2" o:spid="_x0000_s1028" type="#_x0000_t202" style="width:187.2pt;height:41.75pt;margin-top:502.75pt;margin-left:-8.35pt;mso-height-percent:0;mso-height-relative:margin;mso-width-percent:400;mso-width-relative:margin;mso-wrap-distance-bottom:3.6pt;mso-wrap-distance-left:9pt;mso-wrap-distance-right:9pt;mso-wrap-distance-top:3.6pt;mso-wrap-style:square;position:absolute;visibility:visible;v-text-anchor:top;z-index:251666432" filled="f" stroked="f">
                <v:textbox>
                  <w:txbxContent>
                    <w:p w:rsidR="00EA779A" w14:paraId="72FAC400" w14:textId="7D795F0D">
                      <w:drawing>
                        <wp:inline distT="0" distB="0" distL="0" distR="0">
                          <wp:extent cx="2158365" cy="478155"/>
                          <wp:effectExtent l="0" t="0" r="0" b="0"/>
                          <wp:docPr id="3" name="Picture 61" descr="C:\Users\ace\AppData\Local\Microsoft\Windows\INetCache\Content.Word\eialogo_full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61" descr="C:\Users\ace\AppData\Local\Microsoft\Windows\INetCache\Content.Word\eialogo_fullcolor.png"/>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2158365" cy="478155"/>
                                  </a:xfrm>
                                  <a:prstGeom prst="rect">
                                    <a:avLst/>
                                  </a:prstGeom>
                                  <a:noFill/>
                                  <a:ln>
                                    <a:noFill/>
                                  </a:ln>
                                </pic:spPr>
                              </pic:pic>
                            </a:graphicData>
                          </a:graphic>
                        </wp:inline>
                      </w:drawing>
                    </w:p>
                  </w:txbxContent>
                </v:textbox>
                <w10:wrap type="square"/>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margin">
                  <wp:posOffset>391160</wp:posOffset>
                </wp:positionH>
                <wp:positionV relativeFrom="margin">
                  <wp:posOffset>5288280</wp:posOffset>
                </wp:positionV>
                <wp:extent cx="2377440" cy="477520"/>
                <wp:effectExtent l="0" t="0" r="0" b="0"/>
                <wp:wrapSquare wrapText="bothSides"/>
                <wp:docPr id="16" name="Text Box 3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77440" cy="47752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EA779A" w:rsidRPr="00E054DF" w14:textId="2C67E446">
                            <w:pPr>
                              <w:rPr>
                                <w:rFonts w:ascii="Franklin Gothic Medium" w:hAnsi="Franklin Gothic Medium"/>
                                <w:color w:val="7F7F7F"/>
                                <w:sz w:val="36"/>
                              </w:rPr>
                            </w:pPr>
                            <w:r>
                              <w:rPr>
                                <w:rFonts w:ascii="Franklin Gothic Medium" w:hAnsi="Franklin Gothic Medium"/>
                                <w:color w:val="7F7F7F"/>
                                <w:sz w:val="36"/>
                              </w:rPr>
                              <w:t>November</w:t>
                            </w:r>
                            <w:r w:rsidRPr="00E054DF">
                              <w:rPr>
                                <w:rFonts w:ascii="Franklin Gothic Medium" w:hAnsi="Franklin Gothic Medium"/>
                                <w:color w:val="7F7F7F"/>
                                <w:sz w:val="36"/>
                              </w:rPr>
                              <w:t xml:space="preserve"> </w:t>
                            </w:r>
                            <w:r w:rsidRPr="00E054DF" w:rsidR="00E054DF">
                              <w:rPr>
                                <w:rFonts w:ascii="Franklin Gothic Medium" w:hAnsi="Franklin Gothic Medium"/>
                                <w:color w:val="7F7F7F"/>
                                <w:sz w:val="36"/>
                              </w:rPr>
                              <w:t>202</w:t>
                            </w:r>
                            <w:r w:rsidR="006C470A">
                              <w:rPr>
                                <w:rFonts w:ascii="Franklin Gothic Medium" w:hAnsi="Franklin Gothic Medium"/>
                                <w:color w:val="7F7F7F"/>
                                <w:sz w:val="36"/>
                              </w:rPr>
                              <w:t>4</w:t>
                            </w:r>
                          </w:p>
                        </w:txbxContent>
                      </wps:txbx>
                      <wps:bodyPr rot="0" vert="horz" wrap="square" lIns="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_x0000_s1029" type="#_x0000_t202" style="width:187.2pt;height:37.6pt;margin-top:416.4pt;margin-left:30.8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top;z-index:251661312" filled="f" stroked="f">
                <v:textbox style="mso-fit-shape-to-text:t" inset="0">
                  <w:txbxContent>
                    <w:p w:rsidR="00EA779A" w:rsidRPr="00E054DF" w14:paraId="01B90867" w14:textId="2C67E446">
                      <w:pPr>
                        <w:rPr>
                          <w:rFonts w:ascii="Franklin Gothic Medium" w:hAnsi="Franklin Gothic Medium"/>
                          <w:color w:val="7F7F7F"/>
                          <w:sz w:val="36"/>
                        </w:rPr>
                      </w:pPr>
                      <w:r>
                        <w:rPr>
                          <w:rFonts w:ascii="Franklin Gothic Medium" w:hAnsi="Franklin Gothic Medium"/>
                          <w:color w:val="7F7F7F"/>
                          <w:sz w:val="36"/>
                        </w:rPr>
                        <w:t>November</w:t>
                      </w:r>
                      <w:r w:rsidRPr="00E054DF">
                        <w:rPr>
                          <w:rFonts w:ascii="Franklin Gothic Medium" w:hAnsi="Franklin Gothic Medium"/>
                          <w:color w:val="7F7F7F"/>
                          <w:sz w:val="36"/>
                        </w:rPr>
                        <w:t xml:space="preserve"> </w:t>
                      </w:r>
                      <w:r w:rsidRPr="00E054DF" w:rsidR="00E054DF">
                        <w:rPr>
                          <w:rFonts w:ascii="Franklin Gothic Medium" w:hAnsi="Franklin Gothic Medium"/>
                          <w:color w:val="7F7F7F"/>
                          <w:sz w:val="36"/>
                        </w:rPr>
                        <w:t>202</w:t>
                      </w:r>
                      <w:r w:rsidR="006C470A">
                        <w:rPr>
                          <w:rFonts w:ascii="Franklin Gothic Medium" w:hAnsi="Franklin Gothic Medium"/>
                          <w:color w:val="7F7F7F"/>
                          <w:sz w:val="36"/>
                        </w:rPr>
                        <w:t>4</w:t>
                      </w:r>
                    </w:p>
                  </w:txbxContent>
                </v:textbox>
                <w10:wrap type="square"/>
              </v:shape>
            </w:pict>
          </mc:Fallback>
        </mc:AlternateContent>
      </w:r>
      <w:r w:rsidR="001F3A8F">
        <w:br w:type="page"/>
      </w:r>
    </w:p>
    <w:p w:rsidR="00755C3D" w14:paraId="2C2AB981" w14:textId="77777777">
      <w:pPr>
        <w:sectPr w:rsidSect="006C470A">
          <w:footerReference w:type="default" r:id="rId12"/>
          <w:footnotePr>
            <w:pos w:val="beneathText"/>
          </w:footnotePr>
          <w:type w:val="continuous"/>
          <w:pgSz w:w="12240" w:h="15840"/>
          <w:pgMar w:top="720" w:right="1440" w:bottom="720" w:left="1440" w:header="720" w:footer="720" w:gutter="0"/>
          <w:pgNumType w:fmt="lowerRoman" w:start="0"/>
          <w:cols w:space="720"/>
          <w:titlePg/>
          <w:docGrid w:linePitch="360"/>
        </w:sectPr>
      </w:pPr>
    </w:p>
    <w:p w:rsidR="00D928FD" w14:paraId="7E1B4186" w14:textId="77777777"/>
    <w:p w:rsidR="001F3A8F" w14:paraId="76ADA10F" w14:textId="77777777"/>
    <w:p w:rsidR="001F3A8F" w14:paraId="7E08A9EA" w14:textId="77777777"/>
    <w:p w:rsidR="001F3A8F" w14:paraId="2D6B84BF" w14:textId="77777777"/>
    <w:p w:rsidR="001F3A8F" w14:paraId="10D06E47" w14:textId="77777777"/>
    <w:p w:rsidR="001F3A8F" w14:paraId="272359EF" w14:textId="77777777"/>
    <w:p w:rsidR="001F3A8F" w14:paraId="123DEBE3" w14:textId="77777777"/>
    <w:p w:rsidR="001F3A8F" w14:paraId="6C8F1092" w14:textId="77777777"/>
    <w:p w:rsidR="001F3A8F" w14:paraId="477B9837" w14:textId="77777777"/>
    <w:p w:rsidR="001F3A8F" w14:paraId="6B8B5476" w14:textId="77777777"/>
    <w:p w:rsidR="001F3A8F" w14:paraId="5B3434F1" w14:textId="77777777"/>
    <w:p w:rsidR="001F3A8F" w14:paraId="7CDFE7F9" w14:textId="77777777"/>
    <w:p w:rsidR="001F3A8F" w14:paraId="34D34746" w14:textId="77777777"/>
    <w:p w:rsidR="001F3A8F" w14:paraId="2862202C" w14:textId="77777777"/>
    <w:p w:rsidR="001F3A8F" w14:paraId="5779065C" w14:textId="77777777"/>
    <w:p w:rsidR="001F3A8F" w14:paraId="58F5D11C" w14:textId="77777777"/>
    <w:p w:rsidR="001F3A8F" w14:paraId="69640945" w14:textId="77777777"/>
    <w:p w:rsidR="001F3A8F" w14:paraId="3DC47DB3" w14:textId="77777777"/>
    <w:p w:rsidR="001F3A8F" w14:paraId="36170981" w14:textId="77777777"/>
    <w:p w:rsidR="001F3A8F" w14:paraId="2CD46CA9" w14:textId="77777777"/>
    <w:p w:rsidR="001F3A8F" w:rsidP="00D928FD" w14:paraId="6C595E37" w14:textId="77777777"/>
    <w:p w:rsidR="005D602C" w14:paraId="3B80677B" w14:textId="77777777">
      <w:pPr>
        <w:pStyle w:val="Boxtext"/>
        <w:sectPr w:rsidSect="006C470A">
          <w:footerReference w:type="first" r:id="rId13"/>
          <w:footnotePr>
            <w:pos w:val="beneathText"/>
          </w:footnotePr>
          <w:type w:val="continuous"/>
          <w:pgSz w:w="12240" w:h="15840"/>
          <w:pgMar w:top="1440" w:right="1440" w:bottom="1440" w:left="1440" w:header="720" w:footer="720" w:gutter="0"/>
          <w:pgNumType w:fmt="lowerRoman" w:start="1"/>
          <w:cols w:space="720"/>
          <w:docGrid w:linePitch="360"/>
        </w:sectPr>
      </w:pPr>
      <w:r w:rsidRPr="00DE7A1C">
        <w:t xml:space="preserve">The U.S. Energy Information Administration (EIA), the statistical and analytical agency within the </w:t>
      </w:r>
      <w:r w:rsidRPr="00DE7A1C" w:rsidR="002E18F8">
        <w:br/>
      </w:r>
      <w:r w:rsidRPr="00DE7A1C">
        <w:t>U.S. Department of Energy (DOE), prepared this report. By law, our data, analyses, and forecasts are independent of approval by any other officer or employee of the U.S. Government. The views in this report do not represent those of DOE or any other federal agencies.</w:t>
      </w:r>
      <w:r w:rsidRPr="00DE7A1C">
        <w:t xml:space="preserve"> </w:t>
      </w:r>
    </w:p>
    <w:p w:rsidR="00D928FD" w:rsidP="00D928FD" w14:paraId="480EAB21" w14:textId="77777777">
      <w:pPr>
        <w:sectPr w:rsidSect="006C470A">
          <w:footerReference w:type="first" r:id="rId14"/>
          <w:footnotePr>
            <w:pos w:val="beneathText"/>
          </w:footnotePr>
          <w:type w:val="continuous"/>
          <w:pgSz w:w="12240" w:h="15840"/>
          <w:pgMar w:top="1440" w:right="1440" w:bottom="1440" w:left="1440" w:header="720" w:footer="720" w:gutter="0"/>
          <w:pgNumType w:fmt="lowerRoman" w:start="1"/>
          <w:cols w:space="720"/>
          <w:docGrid w:linePitch="360"/>
        </w:sectPr>
      </w:pPr>
    </w:p>
    <w:p w:rsidR="00AD6244" w:rsidP="00E054DF" w14:paraId="75C7FBD5" w14:textId="77777777">
      <w:pPr>
        <w:pStyle w:val="TOCHeading"/>
      </w:pPr>
      <w:r>
        <w:t>Table of Contents</w:t>
      </w:r>
    </w:p>
    <w:p w:rsidR="00AC4512" w14:paraId="402475CE" w14:textId="56E090F2">
      <w:pPr>
        <w:pStyle w:val="TOC1"/>
        <w:rPr>
          <w:rFonts w:asciiTheme="minorHAnsi" w:eastAsiaTheme="minorEastAsia" w:hAnsiTheme="minorHAnsi" w:cstheme="minorBidi"/>
          <w:noProof/>
          <w:color w:val="auto"/>
          <w:kern w:val="2"/>
          <w14:ligatures w14:val="standardContextual"/>
        </w:rPr>
      </w:pPr>
      <w:r w:rsidRPr="00E054DF">
        <w:rPr>
          <w:b/>
          <w:bCs/>
          <w:noProof/>
          <w:color w:val="auto"/>
        </w:rPr>
        <w:fldChar w:fldCharType="begin"/>
      </w:r>
      <w:r>
        <w:rPr>
          <w:b/>
          <w:bCs/>
          <w:noProof/>
        </w:rPr>
        <w:instrText xml:space="preserve"> TOC \o "1-5" \h \z \u </w:instrText>
      </w:r>
      <w:r w:rsidRPr="00E054DF">
        <w:rPr>
          <w:b/>
          <w:bCs/>
          <w:noProof/>
          <w:color w:val="auto"/>
        </w:rPr>
        <w:fldChar w:fldCharType="separate"/>
      </w:r>
      <w:hyperlink w:anchor="_Toc161999659" w:history="1">
        <w:r w:rsidRPr="00C41A7B">
          <w:rPr>
            <w:rStyle w:val="Hyperlink"/>
            <w:noProof/>
          </w:rPr>
          <w:t>Part A: Justifications</w:t>
        </w:r>
        <w:r>
          <w:rPr>
            <w:noProof/>
            <w:webHidden/>
          </w:rPr>
          <w:tab/>
        </w:r>
        <w:r>
          <w:rPr>
            <w:noProof/>
            <w:webHidden/>
          </w:rPr>
          <w:fldChar w:fldCharType="begin"/>
        </w:r>
        <w:r>
          <w:rPr>
            <w:noProof/>
            <w:webHidden/>
          </w:rPr>
          <w:instrText xml:space="preserve"> PAGEREF _Toc161999659 \h </w:instrText>
        </w:r>
        <w:r>
          <w:rPr>
            <w:noProof/>
            <w:webHidden/>
          </w:rPr>
          <w:fldChar w:fldCharType="separate"/>
        </w:r>
        <w:r w:rsidR="00636EAD">
          <w:rPr>
            <w:noProof/>
            <w:webHidden/>
          </w:rPr>
          <w:t xml:space="preserve"> </w:t>
        </w:r>
        <w:r>
          <w:rPr>
            <w:noProof/>
            <w:webHidden/>
          </w:rPr>
          <w:fldChar w:fldCharType="end"/>
        </w:r>
      </w:hyperlink>
    </w:p>
    <w:p w:rsidR="00AC4512" w14:paraId="51C83148" w14:textId="657E8CD3">
      <w:pPr>
        <w:pStyle w:val="TOC2"/>
        <w:rPr>
          <w:rFonts w:asciiTheme="minorHAnsi" w:eastAsiaTheme="minorEastAsia" w:hAnsiTheme="minorHAnsi" w:cstheme="minorBidi"/>
          <w:noProof/>
          <w:color w:val="auto"/>
          <w:kern w:val="2"/>
          <w14:ligatures w14:val="standardContextual"/>
        </w:rPr>
      </w:pPr>
      <w:hyperlink w:anchor="_Toc161999660" w:history="1">
        <w:r w:rsidRPr="00C41A7B">
          <w:rPr>
            <w:rStyle w:val="Hyperlink"/>
            <w:noProof/>
          </w:rPr>
          <w:t>Introduction</w:t>
        </w:r>
        <w:r>
          <w:rPr>
            <w:noProof/>
            <w:webHidden/>
          </w:rPr>
          <w:tab/>
        </w:r>
        <w:r>
          <w:rPr>
            <w:noProof/>
            <w:webHidden/>
          </w:rPr>
          <w:fldChar w:fldCharType="begin"/>
        </w:r>
        <w:r>
          <w:rPr>
            <w:noProof/>
            <w:webHidden/>
          </w:rPr>
          <w:instrText xml:space="preserve"> PAGEREF _Toc161999660 \h </w:instrText>
        </w:r>
        <w:r>
          <w:rPr>
            <w:noProof/>
            <w:webHidden/>
          </w:rPr>
          <w:fldChar w:fldCharType="separate"/>
        </w:r>
        <w:r w:rsidR="00636EAD">
          <w:rPr>
            <w:noProof/>
            <w:webHidden/>
          </w:rPr>
          <w:t>2</w:t>
        </w:r>
        <w:r>
          <w:rPr>
            <w:noProof/>
            <w:webHidden/>
          </w:rPr>
          <w:fldChar w:fldCharType="end"/>
        </w:r>
      </w:hyperlink>
    </w:p>
    <w:p w:rsidR="00AC4512" w14:paraId="08178202" w14:textId="26CC2C11">
      <w:pPr>
        <w:pStyle w:val="TOC2"/>
        <w:rPr>
          <w:rFonts w:asciiTheme="minorHAnsi" w:eastAsiaTheme="minorEastAsia" w:hAnsiTheme="minorHAnsi" w:cstheme="minorBidi"/>
          <w:noProof/>
          <w:color w:val="auto"/>
          <w:kern w:val="2"/>
          <w14:ligatures w14:val="standardContextual"/>
        </w:rPr>
      </w:pPr>
      <w:hyperlink w:anchor="_Toc161999661" w:history="1">
        <w:r w:rsidRPr="00C41A7B">
          <w:rPr>
            <w:rStyle w:val="Hyperlink"/>
            <w:noProof/>
          </w:rPr>
          <w:t>A.1. Legal Justification</w:t>
        </w:r>
        <w:r>
          <w:rPr>
            <w:noProof/>
            <w:webHidden/>
          </w:rPr>
          <w:tab/>
        </w:r>
        <w:r>
          <w:rPr>
            <w:noProof/>
            <w:webHidden/>
          </w:rPr>
          <w:fldChar w:fldCharType="begin"/>
        </w:r>
        <w:r>
          <w:rPr>
            <w:noProof/>
            <w:webHidden/>
          </w:rPr>
          <w:instrText xml:space="preserve"> PAGEREF _Toc161999661 \h </w:instrText>
        </w:r>
        <w:r>
          <w:rPr>
            <w:noProof/>
            <w:webHidden/>
          </w:rPr>
          <w:fldChar w:fldCharType="separate"/>
        </w:r>
        <w:r w:rsidR="00636EAD">
          <w:rPr>
            <w:noProof/>
            <w:webHidden/>
          </w:rPr>
          <w:t>3</w:t>
        </w:r>
        <w:r>
          <w:rPr>
            <w:noProof/>
            <w:webHidden/>
          </w:rPr>
          <w:fldChar w:fldCharType="end"/>
        </w:r>
      </w:hyperlink>
    </w:p>
    <w:p w:rsidR="00AC4512" w14:paraId="08E33AF5" w14:textId="3CE7E3E8">
      <w:pPr>
        <w:pStyle w:val="TOC2"/>
        <w:rPr>
          <w:rFonts w:asciiTheme="minorHAnsi" w:eastAsiaTheme="minorEastAsia" w:hAnsiTheme="minorHAnsi" w:cstheme="minorBidi"/>
          <w:noProof/>
          <w:color w:val="auto"/>
          <w:kern w:val="2"/>
          <w14:ligatures w14:val="standardContextual"/>
        </w:rPr>
      </w:pPr>
      <w:hyperlink w:anchor="_Toc161999662" w:history="1">
        <w:r w:rsidRPr="00C41A7B">
          <w:rPr>
            <w:rStyle w:val="Hyperlink"/>
            <w:noProof/>
          </w:rPr>
          <w:t>A.2. Needs and Uses of Data</w:t>
        </w:r>
        <w:r>
          <w:rPr>
            <w:noProof/>
            <w:webHidden/>
          </w:rPr>
          <w:tab/>
        </w:r>
        <w:r>
          <w:rPr>
            <w:noProof/>
            <w:webHidden/>
          </w:rPr>
          <w:fldChar w:fldCharType="begin"/>
        </w:r>
        <w:r>
          <w:rPr>
            <w:noProof/>
            <w:webHidden/>
          </w:rPr>
          <w:instrText xml:space="preserve"> PAGEREF _Toc161999662 \h </w:instrText>
        </w:r>
        <w:r>
          <w:rPr>
            <w:noProof/>
            <w:webHidden/>
          </w:rPr>
          <w:fldChar w:fldCharType="separate"/>
        </w:r>
        <w:r w:rsidR="00636EAD">
          <w:rPr>
            <w:noProof/>
            <w:webHidden/>
          </w:rPr>
          <w:t>4</w:t>
        </w:r>
        <w:r>
          <w:rPr>
            <w:noProof/>
            <w:webHidden/>
          </w:rPr>
          <w:fldChar w:fldCharType="end"/>
        </w:r>
      </w:hyperlink>
    </w:p>
    <w:p w:rsidR="00AC4512" w14:paraId="10596D46" w14:textId="6BEACC6C">
      <w:pPr>
        <w:pStyle w:val="TOC2"/>
        <w:rPr>
          <w:rFonts w:asciiTheme="minorHAnsi" w:eastAsiaTheme="minorEastAsia" w:hAnsiTheme="minorHAnsi" w:cstheme="minorBidi"/>
          <w:noProof/>
          <w:color w:val="auto"/>
          <w:kern w:val="2"/>
          <w14:ligatures w14:val="standardContextual"/>
        </w:rPr>
      </w:pPr>
      <w:hyperlink w:anchor="_Toc161999663" w:history="1">
        <w:r w:rsidRPr="00C41A7B">
          <w:rPr>
            <w:rStyle w:val="Hyperlink"/>
            <w:noProof/>
          </w:rPr>
          <w:t>A.3. Use of Technology</w:t>
        </w:r>
        <w:r>
          <w:rPr>
            <w:noProof/>
            <w:webHidden/>
          </w:rPr>
          <w:tab/>
        </w:r>
        <w:r>
          <w:rPr>
            <w:noProof/>
            <w:webHidden/>
          </w:rPr>
          <w:fldChar w:fldCharType="begin"/>
        </w:r>
        <w:r>
          <w:rPr>
            <w:noProof/>
            <w:webHidden/>
          </w:rPr>
          <w:instrText xml:space="preserve"> PAGEREF _Toc161999663 \h </w:instrText>
        </w:r>
        <w:r>
          <w:rPr>
            <w:noProof/>
            <w:webHidden/>
          </w:rPr>
          <w:fldChar w:fldCharType="separate"/>
        </w:r>
        <w:r w:rsidR="00636EAD">
          <w:rPr>
            <w:noProof/>
            <w:webHidden/>
          </w:rPr>
          <w:t>4</w:t>
        </w:r>
        <w:r>
          <w:rPr>
            <w:noProof/>
            <w:webHidden/>
          </w:rPr>
          <w:fldChar w:fldCharType="end"/>
        </w:r>
      </w:hyperlink>
    </w:p>
    <w:p w:rsidR="00AC4512" w14:paraId="51C1C69C" w14:textId="0D4F6B69">
      <w:pPr>
        <w:pStyle w:val="TOC2"/>
        <w:rPr>
          <w:rFonts w:asciiTheme="minorHAnsi" w:eastAsiaTheme="minorEastAsia" w:hAnsiTheme="minorHAnsi" w:cstheme="minorBidi"/>
          <w:noProof/>
          <w:color w:val="auto"/>
          <w:kern w:val="2"/>
          <w14:ligatures w14:val="standardContextual"/>
        </w:rPr>
      </w:pPr>
      <w:hyperlink w:anchor="_Toc161999664" w:history="1">
        <w:r w:rsidRPr="00C41A7B">
          <w:rPr>
            <w:rStyle w:val="Hyperlink"/>
            <w:noProof/>
          </w:rPr>
          <w:t>A.4. Efforts to Identify Duplication</w:t>
        </w:r>
        <w:r>
          <w:rPr>
            <w:noProof/>
            <w:webHidden/>
          </w:rPr>
          <w:tab/>
        </w:r>
        <w:r>
          <w:rPr>
            <w:noProof/>
            <w:webHidden/>
          </w:rPr>
          <w:fldChar w:fldCharType="begin"/>
        </w:r>
        <w:r>
          <w:rPr>
            <w:noProof/>
            <w:webHidden/>
          </w:rPr>
          <w:instrText xml:space="preserve"> PAGEREF _Toc161999664 \h </w:instrText>
        </w:r>
        <w:r>
          <w:rPr>
            <w:noProof/>
            <w:webHidden/>
          </w:rPr>
          <w:fldChar w:fldCharType="separate"/>
        </w:r>
        <w:r w:rsidR="00636EAD">
          <w:rPr>
            <w:noProof/>
            <w:webHidden/>
          </w:rPr>
          <w:t>5</w:t>
        </w:r>
        <w:r>
          <w:rPr>
            <w:noProof/>
            <w:webHidden/>
          </w:rPr>
          <w:fldChar w:fldCharType="end"/>
        </w:r>
      </w:hyperlink>
    </w:p>
    <w:p w:rsidR="00AC4512" w14:paraId="11ED20A6" w14:textId="1A85F652">
      <w:pPr>
        <w:pStyle w:val="TOC2"/>
        <w:rPr>
          <w:rFonts w:asciiTheme="minorHAnsi" w:eastAsiaTheme="minorEastAsia" w:hAnsiTheme="minorHAnsi" w:cstheme="minorBidi"/>
          <w:noProof/>
          <w:color w:val="auto"/>
          <w:kern w:val="2"/>
          <w14:ligatures w14:val="standardContextual"/>
        </w:rPr>
      </w:pPr>
      <w:hyperlink w:anchor="_Toc161999665" w:history="1">
        <w:r w:rsidRPr="00C41A7B">
          <w:rPr>
            <w:rStyle w:val="Hyperlink"/>
            <w:noProof/>
          </w:rPr>
          <w:t>A.5. Provisions for Reducing Burden on Small Businesses</w:t>
        </w:r>
        <w:r>
          <w:rPr>
            <w:noProof/>
            <w:webHidden/>
          </w:rPr>
          <w:tab/>
        </w:r>
        <w:r>
          <w:rPr>
            <w:noProof/>
            <w:webHidden/>
          </w:rPr>
          <w:fldChar w:fldCharType="begin"/>
        </w:r>
        <w:r>
          <w:rPr>
            <w:noProof/>
            <w:webHidden/>
          </w:rPr>
          <w:instrText xml:space="preserve"> PAGEREF _Toc161999665 \h </w:instrText>
        </w:r>
        <w:r>
          <w:rPr>
            <w:noProof/>
            <w:webHidden/>
          </w:rPr>
          <w:fldChar w:fldCharType="separate"/>
        </w:r>
        <w:r w:rsidR="00636EAD">
          <w:rPr>
            <w:noProof/>
            <w:webHidden/>
          </w:rPr>
          <w:t>5</w:t>
        </w:r>
        <w:r>
          <w:rPr>
            <w:noProof/>
            <w:webHidden/>
          </w:rPr>
          <w:fldChar w:fldCharType="end"/>
        </w:r>
      </w:hyperlink>
    </w:p>
    <w:p w:rsidR="00AC4512" w14:paraId="510A28D7" w14:textId="6D6DE6E6">
      <w:pPr>
        <w:pStyle w:val="TOC2"/>
        <w:rPr>
          <w:rFonts w:asciiTheme="minorHAnsi" w:eastAsiaTheme="minorEastAsia" w:hAnsiTheme="minorHAnsi" w:cstheme="minorBidi"/>
          <w:noProof/>
          <w:color w:val="auto"/>
          <w:kern w:val="2"/>
          <w14:ligatures w14:val="standardContextual"/>
        </w:rPr>
      </w:pPr>
      <w:hyperlink w:anchor="_Toc161999666" w:history="1">
        <w:r w:rsidRPr="00C41A7B">
          <w:rPr>
            <w:rStyle w:val="Hyperlink"/>
            <w:noProof/>
          </w:rPr>
          <w:t>A.6. Consequences of Less-Frequent Reporting</w:t>
        </w:r>
        <w:r>
          <w:rPr>
            <w:noProof/>
            <w:webHidden/>
          </w:rPr>
          <w:tab/>
        </w:r>
        <w:r>
          <w:rPr>
            <w:noProof/>
            <w:webHidden/>
          </w:rPr>
          <w:fldChar w:fldCharType="begin"/>
        </w:r>
        <w:r>
          <w:rPr>
            <w:noProof/>
            <w:webHidden/>
          </w:rPr>
          <w:instrText xml:space="preserve"> PAGEREF _Toc161999666 \h </w:instrText>
        </w:r>
        <w:r>
          <w:rPr>
            <w:noProof/>
            <w:webHidden/>
          </w:rPr>
          <w:fldChar w:fldCharType="separate"/>
        </w:r>
        <w:r w:rsidR="00636EAD">
          <w:rPr>
            <w:noProof/>
            <w:webHidden/>
          </w:rPr>
          <w:t>5</w:t>
        </w:r>
        <w:r>
          <w:rPr>
            <w:noProof/>
            <w:webHidden/>
          </w:rPr>
          <w:fldChar w:fldCharType="end"/>
        </w:r>
      </w:hyperlink>
    </w:p>
    <w:p w:rsidR="00AC4512" w14:paraId="0DCDA437" w14:textId="2B108481">
      <w:pPr>
        <w:pStyle w:val="TOC2"/>
        <w:rPr>
          <w:rFonts w:asciiTheme="minorHAnsi" w:eastAsiaTheme="minorEastAsia" w:hAnsiTheme="minorHAnsi" w:cstheme="minorBidi"/>
          <w:noProof/>
          <w:color w:val="auto"/>
          <w:kern w:val="2"/>
          <w14:ligatures w14:val="standardContextual"/>
        </w:rPr>
      </w:pPr>
      <w:hyperlink w:anchor="_Toc161999667" w:history="1">
        <w:r w:rsidRPr="00C41A7B">
          <w:rPr>
            <w:rStyle w:val="Hyperlink"/>
            <w:noProof/>
          </w:rPr>
          <w:t>A.7. Compliance with 5 CFR 1320.5</w:t>
        </w:r>
        <w:r>
          <w:rPr>
            <w:noProof/>
            <w:webHidden/>
          </w:rPr>
          <w:tab/>
        </w:r>
        <w:r>
          <w:rPr>
            <w:noProof/>
            <w:webHidden/>
          </w:rPr>
          <w:fldChar w:fldCharType="begin"/>
        </w:r>
        <w:r>
          <w:rPr>
            <w:noProof/>
            <w:webHidden/>
          </w:rPr>
          <w:instrText xml:space="preserve"> PAGEREF _Toc161999667 \h </w:instrText>
        </w:r>
        <w:r>
          <w:rPr>
            <w:noProof/>
            <w:webHidden/>
          </w:rPr>
          <w:fldChar w:fldCharType="separate"/>
        </w:r>
        <w:r w:rsidR="00636EAD">
          <w:rPr>
            <w:noProof/>
            <w:webHidden/>
          </w:rPr>
          <w:t>5</w:t>
        </w:r>
        <w:r>
          <w:rPr>
            <w:noProof/>
            <w:webHidden/>
          </w:rPr>
          <w:fldChar w:fldCharType="end"/>
        </w:r>
      </w:hyperlink>
    </w:p>
    <w:p w:rsidR="00AC4512" w14:paraId="252178DF" w14:textId="37916229">
      <w:pPr>
        <w:pStyle w:val="TOC2"/>
        <w:rPr>
          <w:rFonts w:asciiTheme="minorHAnsi" w:eastAsiaTheme="minorEastAsia" w:hAnsiTheme="minorHAnsi" w:cstheme="minorBidi"/>
          <w:noProof/>
          <w:color w:val="auto"/>
          <w:kern w:val="2"/>
          <w14:ligatures w14:val="standardContextual"/>
        </w:rPr>
      </w:pPr>
      <w:hyperlink w:anchor="_Toc161999668" w:history="1">
        <w:r w:rsidRPr="00C41A7B">
          <w:rPr>
            <w:rStyle w:val="Hyperlink"/>
            <w:noProof/>
          </w:rPr>
          <w:t>A.8. Summary of Consultations Outside of the Agency</w:t>
        </w:r>
        <w:r>
          <w:rPr>
            <w:noProof/>
            <w:webHidden/>
          </w:rPr>
          <w:tab/>
        </w:r>
        <w:r>
          <w:rPr>
            <w:noProof/>
            <w:webHidden/>
          </w:rPr>
          <w:fldChar w:fldCharType="begin"/>
        </w:r>
        <w:r>
          <w:rPr>
            <w:noProof/>
            <w:webHidden/>
          </w:rPr>
          <w:instrText xml:space="preserve"> PAGEREF _Toc161999668 \h </w:instrText>
        </w:r>
        <w:r>
          <w:rPr>
            <w:noProof/>
            <w:webHidden/>
          </w:rPr>
          <w:fldChar w:fldCharType="separate"/>
        </w:r>
        <w:r w:rsidR="00636EAD">
          <w:rPr>
            <w:noProof/>
            <w:webHidden/>
          </w:rPr>
          <w:t>5</w:t>
        </w:r>
        <w:r>
          <w:rPr>
            <w:noProof/>
            <w:webHidden/>
          </w:rPr>
          <w:fldChar w:fldCharType="end"/>
        </w:r>
      </w:hyperlink>
    </w:p>
    <w:p w:rsidR="00AC4512" w14:paraId="1026C0E8" w14:textId="582C0B7E">
      <w:pPr>
        <w:pStyle w:val="TOC2"/>
        <w:rPr>
          <w:rFonts w:asciiTheme="minorHAnsi" w:eastAsiaTheme="minorEastAsia" w:hAnsiTheme="minorHAnsi" w:cstheme="minorBidi"/>
          <w:noProof/>
          <w:color w:val="auto"/>
          <w:kern w:val="2"/>
          <w14:ligatures w14:val="standardContextual"/>
        </w:rPr>
      </w:pPr>
      <w:hyperlink w:anchor="_Toc161999669" w:history="1">
        <w:r w:rsidRPr="00C41A7B">
          <w:rPr>
            <w:rStyle w:val="Hyperlink"/>
            <w:noProof/>
          </w:rPr>
          <w:t>A.9. Payments or Gifts to Respondents</w:t>
        </w:r>
        <w:r>
          <w:rPr>
            <w:noProof/>
            <w:webHidden/>
          </w:rPr>
          <w:tab/>
        </w:r>
        <w:r>
          <w:rPr>
            <w:noProof/>
            <w:webHidden/>
          </w:rPr>
          <w:fldChar w:fldCharType="begin"/>
        </w:r>
        <w:r>
          <w:rPr>
            <w:noProof/>
            <w:webHidden/>
          </w:rPr>
          <w:instrText xml:space="preserve"> PAGEREF _Toc161999669 \h </w:instrText>
        </w:r>
        <w:r>
          <w:rPr>
            <w:noProof/>
            <w:webHidden/>
          </w:rPr>
          <w:fldChar w:fldCharType="separate"/>
        </w:r>
        <w:r w:rsidR="00636EAD">
          <w:rPr>
            <w:noProof/>
            <w:webHidden/>
          </w:rPr>
          <w:t>6</w:t>
        </w:r>
        <w:r>
          <w:rPr>
            <w:noProof/>
            <w:webHidden/>
          </w:rPr>
          <w:fldChar w:fldCharType="end"/>
        </w:r>
      </w:hyperlink>
    </w:p>
    <w:p w:rsidR="00AC4512" w14:paraId="39C3391B" w14:textId="20C777B3">
      <w:pPr>
        <w:pStyle w:val="TOC2"/>
        <w:rPr>
          <w:rFonts w:asciiTheme="minorHAnsi" w:eastAsiaTheme="minorEastAsia" w:hAnsiTheme="minorHAnsi" w:cstheme="minorBidi"/>
          <w:noProof/>
          <w:color w:val="auto"/>
          <w:kern w:val="2"/>
          <w14:ligatures w14:val="standardContextual"/>
        </w:rPr>
      </w:pPr>
      <w:hyperlink w:anchor="_Toc161999670" w:history="1">
        <w:r w:rsidRPr="00C41A7B">
          <w:rPr>
            <w:rStyle w:val="Hyperlink"/>
            <w:noProof/>
          </w:rPr>
          <w:t>A.10. Provisions for Protection of Information</w:t>
        </w:r>
        <w:r>
          <w:rPr>
            <w:noProof/>
            <w:webHidden/>
          </w:rPr>
          <w:tab/>
        </w:r>
        <w:r>
          <w:rPr>
            <w:noProof/>
            <w:webHidden/>
          </w:rPr>
          <w:fldChar w:fldCharType="begin"/>
        </w:r>
        <w:r>
          <w:rPr>
            <w:noProof/>
            <w:webHidden/>
          </w:rPr>
          <w:instrText xml:space="preserve"> PAGEREF _Toc161999670 \h </w:instrText>
        </w:r>
        <w:r>
          <w:rPr>
            <w:noProof/>
            <w:webHidden/>
          </w:rPr>
          <w:fldChar w:fldCharType="separate"/>
        </w:r>
        <w:r w:rsidR="00636EAD">
          <w:rPr>
            <w:noProof/>
            <w:webHidden/>
          </w:rPr>
          <w:t>6</w:t>
        </w:r>
        <w:r>
          <w:rPr>
            <w:noProof/>
            <w:webHidden/>
          </w:rPr>
          <w:fldChar w:fldCharType="end"/>
        </w:r>
      </w:hyperlink>
    </w:p>
    <w:p w:rsidR="00AC4512" w14:paraId="11729CD3" w14:textId="1FF9967A">
      <w:pPr>
        <w:pStyle w:val="TOC2"/>
        <w:rPr>
          <w:rFonts w:asciiTheme="minorHAnsi" w:eastAsiaTheme="minorEastAsia" w:hAnsiTheme="minorHAnsi" w:cstheme="minorBidi"/>
          <w:noProof/>
          <w:color w:val="auto"/>
          <w:kern w:val="2"/>
          <w14:ligatures w14:val="standardContextual"/>
        </w:rPr>
      </w:pPr>
      <w:hyperlink w:anchor="_Toc161999671" w:history="1">
        <w:r w:rsidRPr="00C41A7B">
          <w:rPr>
            <w:rStyle w:val="Hyperlink"/>
            <w:noProof/>
          </w:rPr>
          <w:t>A.11. Justification for Sensitive Questions</w:t>
        </w:r>
        <w:r>
          <w:rPr>
            <w:noProof/>
            <w:webHidden/>
          </w:rPr>
          <w:tab/>
        </w:r>
        <w:r>
          <w:rPr>
            <w:noProof/>
            <w:webHidden/>
          </w:rPr>
          <w:fldChar w:fldCharType="begin"/>
        </w:r>
        <w:r>
          <w:rPr>
            <w:noProof/>
            <w:webHidden/>
          </w:rPr>
          <w:instrText xml:space="preserve"> PAGEREF _Toc161999671 \h </w:instrText>
        </w:r>
        <w:r>
          <w:rPr>
            <w:noProof/>
            <w:webHidden/>
          </w:rPr>
          <w:fldChar w:fldCharType="separate"/>
        </w:r>
        <w:r w:rsidR="00636EAD">
          <w:rPr>
            <w:noProof/>
            <w:webHidden/>
          </w:rPr>
          <w:t>6</w:t>
        </w:r>
        <w:r>
          <w:rPr>
            <w:noProof/>
            <w:webHidden/>
          </w:rPr>
          <w:fldChar w:fldCharType="end"/>
        </w:r>
      </w:hyperlink>
    </w:p>
    <w:p w:rsidR="00AC4512" w14:paraId="74F70039" w14:textId="582F6F99">
      <w:pPr>
        <w:pStyle w:val="TOC2"/>
        <w:rPr>
          <w:rFonts w:asciiTheme="minorHAnsi" w:eastAsiaTheme="minorEastAsia" w:hAnsiTheme="minorHAnsi" w:cstheme="minorBidi"/>
          <w:noProof/>
          <w:color w:val="auto"/>
          <w:kern w:val="2"/>
          <w14:ligatures w14:val="standardContextual"/>
        </w:rPr>
      </w:pPr>
      <w:hyperlink w:anchor="_Toc161999672" w:history="1">
        <w:r w:rsidRPr="00C41A7B">
          <w:rPr>
            <w:rStyle w:val="Hyperlink"/>
            <w:noProof/>
          </w:rPr>
          <w:t>A.12. Estimate of Respondent Burden Hours and Cost</w:t>
        </w:r>
        <w:r>
          <w:rPr>
            <w:noProof/>
            <w:webHidden/>
          </w:rPr>
          <w:tab/>
        </w:r>
        <w:r>
          <w:rPr>
            <w:noProof/>
            <w:webHidden/>
          </w:rPr>
          <w:fldChar w:fldCharType="begin"/>
        </w:r>
        <w:r>
          <w:rPr>
            <w:noProof/>
            <w:webHidden/>
          </w:rPr>
          <w:instrText xml:space="preserve"> PAGEREF _Toc161999672 \h </w:instrText>
        </w:r>
        <w:r>
          <w:rPr>
            <w:noProof/>
            <w:webHidden/>
          </w:rPr>
          <w:fldChar w:fldCharType="separate"/>
        </w:r>
        <w:r w:rsidR="00636EAD">
          <w:rPr>
            <w:noProof/>
            <w:webHidden/>
          </w:rPr>
          <w:t>7</w:t>
        </w:r>
        <w:r>
          <w:rPr>
            <w:noProof/>
            <w:webHidden/>
          </w:rPr>
          <w:fldChar w:fldCharType="end"/>
        </w:r>
      </w:hyperlink>
    </w:p>
    <w:p w:rsidR="00AC4512" w14:paraId="42D0860A" w14:textId="5BEB3AFB">
      <w:pPr>
        <w:pStyle w:val="TOC2"/>
        <w:rPr>
          <w:rFonts w:asciiTheme="minorHAnsi" w:eastAsiaTheme="minorEastAsia" w:hAnsiTheme="minorHAnsi" w:cstheme="minorBidi"/>
          <w:noProof/>
          <w:color w:val="auto"/>
          <w:kern w:val="2"/>
          <w14:ligatures w14:val="standardContextual"/>
        </w:rPr>
      </w:pPr>
      <w:hyperlink w:anchor="_Toc161999673" w:history="1">
        <w:r w:rsidRPr="00C41A7B">
          <w:rPr>
            <w:rStyle w:val="Hyperlink"/>
            <w:noProof/>
          </w:rPr>
          <w:t>A.13. Annual Cost to the Federal Government</w:t>
        </w:r>
        <w:r>
          <w:rPr>
            <w:noProof/>
            <w:webHidden/>
          </w:rPr>
          <w:tab/>
        </w:r>
        <w:r>
          <w:rPr>
            <w:noProof/>
            <w:webHidden/>
          </w:rPr>
          <w:fldChar w:fldCharType="begin"/>
        </w:r>
        <w:r>
          <w:rPr>
            <w:noProof/>
            <w:webHidden/>
          </w:rPr>
          <w:instrText xml:space="preserve"> PAGEREF _Toc161999673 \h </w:instrText>
        </w:r>
        <w:r>
          <w:rPr>
            <w:noProof/>
            <w:webHidden/>
          </w:rPr>
          <w:fldChar w:fldCharType="separate"/>
        </w:r>
        <w:r w:rsidR="00636EAD">
          <w:rPr>
            <w:noProof/>
            <w:webHidden/>
          </w:rPr>
          <w:t>7</w:t>
        </w:r>
        <w:r>
          <w:rPr>
            <w:noProof/>
            <w:webHidden/>
          </w:rPr>
          <w:fldChar w:fldCharType="end"/>
        </w:r>
      </w:hyperlink>
    </w:p>
    <w:p w:rsidR="00AC4512" w14:paraId="54B306DF" w14:textId="16391539">
      <w:pPr>
        <w:pStyle w:val="TOC2"/>
        <w:rPr>
          <w:rFonts w:asciiTheme="minorHAnsi" w:eastAsiaTheme="minorEastAsia" w:hAnsiTheme="minorHAnsi" w:cstheme="minorBidi"/>
          <w:noProof/>
          <w:color w:val="auto"/>
          <w:kern w:val="2"/>
          <w14:ligatures w14:val="standardContextual"/>
        </w:rPr>
      </w:pPr>
      <w:hyperlink w:anchor="_Toc161999674" w:history="1">
        <w:r w:rsidRPr="00C41A7B">
          <w:rPr>
            <w:rStyle w:val="Hyperlink"/>
            <w:noProof/>
          </w:rPr>
          <w:t>A.14. Changes in Burden</w:t>
        </w:r>
        <w:r>
          <w:rPr>
            <w:noProof/>
            <w:webHidden/>
          </w:rPr>
          <w:tab/>
        </w:r>
        <w:r>
          <w:rPr>
            <w:noProof/>
            <w:webHidden/>
          </w:rPr>
          <w:fldChar w:fldCharType="begin"/>
        </w:r>
        <w:r>
          <w:rPr>
            <w:noProof/>
            <w:webHidden/>
          </w:rPr>
          <w:instrText xml:space="preserve"> PAGEREF _Toc161999674 \h </w:instrText>
        </w:r>
        <w:r>
          <w:rPr>
            <w:noProof/>
            <w:webHidden/>
          </w:rPr>
          <w:fldChar w:fldCharType="separate"/>
        </w:r>
        <w:r w:rsidR="00636EAD">
          <w:rPr>
            <w:noProof/>
            <w:webHidden/>
          </w:rPr>
          <w:t>8</w:t>
        </w:r>
        <w:r>
          <w:rPr>
            <w:noProof/>
            <w:webHidden/>
          </w:rPr>
          <w:fldChar w:fldCharType="end"/>
        </w:r>
      </w:hyperlink>
    </w:p>
    <w:p w:rsidR="00AC4512" w14:paraId="731B7FA9" w14:textId="5F0F14AE">
      <w:pPr>
        <w:pStyle w:val="TOC2"/>
        <w:rPr>
          <w:rFonts w:asciiTheme="minorHAnsi" w:eastAsiaTheme="minorEastAsia" w:hAnsiTheme="minorHAnsi" w:cstheme="minorBidi"/>
          <w:noProof/>
          <w:color w:val="auto"/>
          <w:kern w:val="2"/>
          <w14:ligatures w14:val="standardContextual"/>
        </w:rPr>
      </w:pPr>
      <w:hyperlink w:anchor="_Toc161999675" w:history="1">
        <w:r w:rsidRPr="00C41A7B">
          <w:rPr>
            <w:rStyle w:val="Hyperlink"/>
            <w:noProof/>
          </w:rPr>
          <w:t>A.15. Reasons for Changes in Burden</w:t>
        </w:r>
        <w:r>
          <w:rPr>
            <w:noProof/>
            <w:webHidden/>
          </w:rPr>
          <w:tab/>
        </w:r>
        <w:r>
          <w:rPr>
            <w:noProof/>
            <w:webHidden/>
          </w:rPr>
          <w:fldChar w:fldCharType="begin"/>
        </w:r>
        <w:r>
          <w:rPr>
            <w:noProof/>
            <w:webHidden/>
          </w:rPr>
          <w:instrText xml:space="preserve"> PAGEREF _Toc161999675 \h </w:instrText>
        </w:r>
        <w:r>
          <w:rPr>
            <w:noProof/>
            <w:webHidden/>
          </w:rPr>
          <w:fldChar w:fldCharType="separate"/>
        </w:r>
        <w:r w:rsidR="00636EAD">
          <w:rPr>
            <w:noProof/>
            <w:webHidden/>
          </w:rPr>
          <w:t>8</w:t>
        </w:r>
        <w:r>
          <w:rPr>
            <w:noProof/>
            <w:webHidden/>
          </w:rPr>
          <w:fldChar w:fldCharType="end"/>
        </w:r>
      </w:hyperlink>
    </w:p>
    <w:p w:rsidR="00AC4512" w14:paraId="00FD70C2" w14:textId="713AA309">
      <w:pPr>
        <w:pStyle w:val="TOC2"/>
        <w:rPr>
          <w:rFonts w:asciiTheme="minorHAnsi" w:eastAsiaTheme="minorEastAsia" w:hAnsiTheme="minorHAnsi" w:cstheme="minorBidi"/>
          <w:noProof/>
          <w:color w:val="auto"/>
          <w:kern w:val="2"/>
          <w14:ligatures w14:val="standardContextual"/>
        </w:rPr>
      </w:pPr>
      <w:hyperlink w:anchor="_Toc161999676" w:history="1">
        <w:r w:rsidRPr="00C41A7B">
          <w:rPr>
            <w:rStyle w:val="Hyperlink"/>
            <w:noProof/>
          </w:rPr>
          <w:t>A.16. Collection, Tabulation, and Publication Plans</w:t>
        </w:r>
        <w:r>
          <w:rPr>
            <w:noProof/>
            <w:webHidden/>
          </w:rPr>
          <w:tab/>
        </w:r>
        <w:r>
          <w:rPr>
            <w:noProof/>
            <w:webHidden/>
          </w:rPr>
          <w:fldChar w:fldCharType="begin"/>
        </w:r>
        <w:r>
          <w:rPr>
            <w:noProof/>
            <w:webHidden/>
          </w:rPr>
          <w:instrText xml:space="preserve"> PAGEREF _Toc161999676 \h </w:instrText>
        </w:r>
        <w:r>
          <w:rPr>
            <w:noProof/>
            <w:webHidden/>
          </w:rPr>
          <w:fldChar w:fldCharType="separate"/>
        </w:r>
        <w:r w:rsidR="00636EAD">
          <w:rPr>
            <w:noProof/>
            <w:webHidden/>
          </w:rPr>
          <w:t>9</w:t>
        </w:r>
        <w:r>
          <w:rPr>
            <w:noProof/>
            <w:webHidden/>
          </w:rPr>
          <w:fldChar w:fldCharType="end"/>
        </w:r>
      </w:hyperlink>
    </w:p>
    <w:p w:rsidR="00AC4512" w14:paraId="15DB676B" w14:textId="5F4B1F5C">
      <w:pPr>
        <w:pStyle w:val="TOC2"/>
        <w:rPr>
          <w:rFonts w:asciiTheme="minorHAnsi" w:eastAsiaTheme="minorEastAsia" w:hAnsiTheme="minorHAnsi" w:cstheme="minorBidi"/>
          <w:noProof/>
          <w:color w:val="auto"/>
          <w:kern w:val="2"/>
          <w14:ligatures w14:val="standardContextual"/>
        </w:rPr>
      </w:pPr>
      <w:hyperlink w:anchor="_Toc161999677" w:history="1">
        <w:r w:rsidRPr="00C41A7B">
          <w:rPr>
            <w:rStyle w:val="Hyperlink"/>
            <w:noProof/>
          </w:rPr>
          <w:t>A.17. OMB Number and Expiration Date</w:t>
        </w:r>
        <w:r>
          <w:rPr>
            <w:noProof/>
            <w:webHidden/>
          </w:rPr>
          <w:tab/>
        </w:r>
        <w:r>
          <w:rPr>
            <w:noProof/>
            <w:webHidden/>
          </w:rPr>
          <w:fldChar w:fldCharType="begin"/>
        </w:r>
        <w:r>
          <w:rPr>
            <w:noProof/>
            <w:webHidden/>
          </w:rPr>
          <w:instrText xml:space="preserve"> PAGEREF _Toc161999677 \h </w:instrText>
        </w:r>
        <w:r>
          <w:rPr>
            <w:noProof/>
            <w:webHidden/>
          </w:rPr>
          <w:fldChar w:fldCharType="separate"/>
        </w:r>
        <w:r w:rsidR="00636EAD">
          <w:rPr>
            <w:noProof/>
            <w:webHidden/>
          </w:rPr>
          <w:t>9</w:t>
        </w:r>
        <w:r>
          <w:rPr>
            <w:noProof/>
            <w:webHidden/>
          </w:rPr>
          <w:fldChar w:fldCharType="end"/>
        </w:r>
      </w:hyperlink>
    </w:p>
    <w:p w:rsidR="00AC4512" w14:paraId="1D1B3C68" w14:textId="5363CC86">
      <w:pPr>
        <w:pStyle w:val="TOC2"/>
        <w:rPr>
          <w:rFonts w:asciiTheme="minorHAnsi" w:eastAsiaTheme="minorEastAsia" w:hAnsiTheme="minorHAnsi" w:cstheme="minorBidi"/>
          <w:noProof/>
          <w:color w:val="auto"/>
          <w:kern w:val="2"/>
          <w14:ligatures w14:val="standardContextual"/>
        </w:rPr>
      </w:pPr>
      <w:hyperlink w:anchor="_Toc161999678" w:history="1">
        <w:r w:rsidRPr="00C41A7B">
          <w:rPr>
            <w:rStyle w:val="Hyperlink"/>
            <w:noProof/>
          </w:rPr>
          <w:t>A.18. Certification Statement</w:t>
        </w:r>
        <w:r>
          <w:rPr>
            <w:noProof/>
            <w:webHidden/>
          </w:rPr>
          <w:tab/>
        </w:r>
        <w:r>
          <w:rPr>
            <w:noProof/>
            <w:webHidden/>
          </w:rPr>
          <w:fldChar w:fldCharType="begin"/>
        </w:r>
        <w:r>
          <w:rPr>
            <w:noProof/>
            <w:webHidden/>
          </w:rPr>
          <w:instrText xml:space="preserve"> PAGEREF _Toc161999678 \h </w:instrText>
        </w:r>
        <w:r>
          <w:rPr>
            <w:noProof/>
            <w:webHidden/>
          </w:rPr>
          <w:fldChar w:fldCharType="separate"/>
        </w:r>
        <w:r w:rsidR="00636EAD">
          <w:rPr>
            <w:noProof/>
            <w:webHidden/>
          </w:rPr>
          <w:t>9</w:t>
        </w:r>
        <w:r>
          <w:rPr>
            <w:noProof/>
            <w:webHidden/>
          </w:rPr>
          <w:fldChar w:fldCharType="end"/>
        </w:r>
      </w:hyperlink>
    </w:p>
    <w:p w:rsidR="00AD6244" w14:paraId="228B449C" w14:textId="38E91A2A">
      <w:r w:rsidRPr="00E054DF">
        <w:rPr>
          <w:b/>
          <w:bCs/>
          <w:noProof/>
          <w:color w:val="000000"/>
        </w:rPr>
        <w:fldChar w:fldCharType="end"/>
      </w:r>
    </w:p>
    <w:p w:rsidR="002542D4" w:rsidRPr="002542D4" w:rsidP="009B275C" w14:paraId="4BEF15FC" w14:textId="3E77DE06">
      <w:pPr>
        <w:rPr>
          <w:noProof/>
        </w:rPr>
      </w:pPr>
      <w:r>
        <w:rPr>
          <w:noProof/>
        </w:rPr>
        <w:br w:type="page"/>
      </w:r>
    </w:p>
    <w:p w:rsidR="002542D4" w:rsidRPr="00BB64D7" w:rsidP="00F43F66" w14:paraId="49FCE50B" w14:textId="77777777">
      <w:pPr>
        <w:pStyle w:val="Heading2"/>
        <w:rPr>
          <w:noProof/>
        </w:rPr>
      </w:pPr>
      <w:bookmarkStart w:id="2" w:name="_Toc492634200"/>
      <w:bookmarkStart w:id="3" w:name="_Toc161999660"/>
      <w:r w:rsidRPr="00BB64D7">
        <w:rPr>
          <w:noProof/>
        </w:rPr>
        <w:t>Introduction</w:t>
      </w:r>
      <w:bookmarkEnd w:id="2"/>
      <w:bookmarkEnd w:id="3"/>
    </w:p>
    <w:p w:rsidR="002542D4" w:rsidRPr="009B275C" w:rsidP="002542D4" w14:paraId="406716D5" w14:textId="4F5CF691">
      <w:pPr>
        <w:rPr>
          <w:iCs/>
          <w:noProof/>
        </w:rPr>
      </w:pPr>
      <w:r w:rsidRPr="009B275C">
        <w:rPr>
          <w:iCs/>
          <w:noProof/>
        </w:rPr>
        <w:t xml:space="preserve">The U.S. Energy Information Administration (EIA) is the statistical and analytical agency within the U.S. Department of Energy (DOE).  It collects, analyzes, and disseminates independent and impartial energy information to promote sound policymaking, efficient markets, and public understanding regarding energy and its interaction with the economy and the environment.  </w:t>
      </w:r>
    </w:p>
    <w:p w:rsidR="006C470A" w:rsidRPr="006C470A" w:rsidP="006C470A" w14:paraId="696D7412" w14:textId="7ED3A271">
      <w:pPr>
        <w:rPr>
          <w:rFonts w:cs="Calibri"/>
        </w:rPr>
      </w:pPr>
      <w:r w:rsidRPr="006C470A">
        <w:rPr>
          <w:rFonts w:cs="Calibri"/>
        </w:rPr>
        <w:t>EIA requests a three-year extension, with</w:t>
      </w:r>
      <w:r w:rsidR="0079713E">
        <w:rPr>
          <w:rFonts w:cs="Calibri"/>
        </w:rPr>
        <w:t xml:space="preserve"> </w:t>
      </w:r>
      <w:r w:rsidRPr="006C470A">
        <w:rPr>
          <w:rFonts w:cs="Calibri"/>
        </w:rPr>
        <w:t>changes</w:t>
      </w:r>
      <w:r w:rsidRPr="006C470A">
        <w:rPr>
          <w:rFonts w:cs="Calibri"/>
          <w:b/>
        </w:rPr>
        <w:t>,</w:t>
      </w:r>
      <w:r w:rsidRPr="006C470A">
        <w:rPr>
          <w:rFonts w:cs="Calibri"/>
        </w:rPr>
        <w:t xml:space="preserve"> from the Office of Management and Budget (OMB) for Form NWPA-830G, </w:t>
      </w:r>
      <w:r w:rsidRPr="006C470A">
        <w:rPr>
          <w:rFonts w:cs="Calibri"/>
          <w:i/>
        </w:rPr>
        <w:t xml:space="preserve">Standard Contract for Disposal of Spent Nuclear Fuel and/or High-Level Radioactive Waste - Appendix G and Annex A to Appendix G. </w:t>
      </w:r>
      <w:r w:rsidRPr="009A6AB5" w:rsidR="0079713E">
        <w:rPr>
          <w:rFonts w:cs="Calibri"/>
          <w:iCs/>
        </w:rPr>
        <w:t>The</w:t>
      </w:r>
      <w:r w:rsidR="00BA2B4C">
        <w:rPr>
          <w:rFonts w:cs="Calibri"/>
          <w:iCs/>
        </w:rPr>
        <w:t xml:space="preserve"> only change is the</w:t>
      </w:r>
      <w:r w:rsidRPr="009A6AB5" w:rsidR="0079713E">
        <w:rPr>
          <w:rFonts w:cs="Calibri"/>
          <w:iCs/>
        </w:rPr>
        <w:t xml:space="preserve"> total number of responding reactors </w:t>
      </w:r>
      <w:r w:rsidR="00BA2B4C">
        <w:rPr>
          <w:rFonts w:cs="Calibri"/>
          <w:iCs/>
        </w:rPr>
        <w:t xml:space="preserve">which </w:t>
      </w:r>
      <w:r w:rsidRPr="009A6AB5" w:rsidR="0079713E">
        <w:rPr>
          <w:rFonts w:cs="Calibri"/>
          <w:iCs/>
        </w:rPr>
        <w:t>was reduced from 95 to 94.</w:t>
      </w:r>
      <w:r w:rsidR="0079713E">
        <w:rPr>
          <w:rFonts w:cs="Calibri"/>
          <w:i/>
        </w:rPr>
        <w:t xml:space="preserve"> </w:t>
      </w:r>
      <w:r w:rsidRPr="006C470A">
        <w:rPr>
          <w:rFonts w:cs="Calibri"/>
        </w:rPr>
        <w:t xml:space="preserve">The Nuclear Waste Policy Act of 1982 (42 U.S.C. §10101 et seq.) required that the U.S. Department of Energy </w:t>
      </w:r>
      <w:r w:rsidRPr="006C470A">
        <w:rPr>
          <w:rFonts w:cs="Calibri"/>
        </w:rPr>
        <w:t>enter into</w:t>
      </w:r>
      <w:r w:rsidRPr="006C470A">
        <w:rPr>
          <w:rFonts w:cs="Calibri"/>
        </w:rPr>
        <w:t xml:space="preserve"> Standard Contracts with all generators or owners of spent nuclear fuel and high-level radioactive waste of domestic origin. Form NWPA-830G, including Annex A to Appendix G, is an appendix to the Standard Contract for Disposal of Spent Nuclear Fuel and/or High-level Radioactive Waste. Appendix G and Annex A to Appendix G are commonly referred to as Remittance Advice (RA) forms. These forms must be submitted to DOE quarterly by generators and owners of spent nuclear fuel who signed the Standard Contract concerning payments into the Nuclear Waste Fund of ongoing fees for spent nuclear fuel disposal.</w:t>
      </w:r>
    </w:p>
    <w:p w:rsidR="006C470A" w:rsidRPr="006C470A" w:rsidP="006C470A" w14:paraId="270ACB21" w14:textId="016E9F17">
      <w:pPr>
        <w:rPr>
          <w:rFonts w:cs="Calibri"/>
        </w:rPr>
      </w:pPr>
      <w:r w:rsidRPr="006C470A">
        <w:rPr>
          <w:rFonts w:cs="Calibri"/>
        </w:rPr>
        <w:t xml:space="preserve">The information collection proposed in this supporting statement has been reviewed </w:t>
      </w:r>
      <w:r w:rsidRPr="006C470A">
        <w:rPr>
          <w:rFonts w:cs="Calibri"/>
        </w:rPr>
        <w:t>in light of</w:t>
      </w:r>
      <w:r w:rsidRPr="006C470A">
        <w:rPr>
          <w:rFonts w:cs="Calibri"/>
        </w:rPr>
        <w:t xml:space="preserve"> applicable information quality guidelines. It has been determined that the information will be collected, maintained, and used in a manner consistent with OMB</w:t>
      </w:r>
      <w:r w:rsidR="009E039F">
        <w:rPr>
          <w:rFonts w:cs="Calibri"/>
        </w:rPr>
        <w:t xml:space="preserve"> and</w:t>
      </w:r>
      <w:r w:rsidRPr="006C470A">
        <w:rPr>
          <w:rFonts w:cs="Calibri"/>
        </w:rPr>
        <w:t xml:space="preserve"> DOE information quality guidelines. </w:t>
      </w:r>
    </w:p>
    <w:p w:rsidR="006C470A" w:rsidRPr="00274BD4" w:rsidP="006C470A" w14:paraId="641F7CBD" w14:textId="77777777">
      <w:pPr>
        <w:rPr>
          <w:rFonts w:cs="Calibri"/>
        </w:rPr>
      </w:pPr>
      <w:r w:rsidRPr="006C470A">
        <w:rPr>
          <w:rFonts w:cs="Calibri"/>
        </w:rPr>
        <w:t xml:space="preserve">Form NWPA-830G, is a mandatory form that serves as the source document for entries into DOE accounting records to transmit data from purchasers to DOE concerning payment of the Spent Nuclear Fuel Disposal Fee into the Nuclear Waste Fund. Appendix G collects payment data based on a utility’s net electricity generated and sold. Data collected include the net electricity generated and sold (in megawatt hours), the fee rate, and the total fee. The form also includes supplementary data including </w:t>
      </w:r>
      <w:r w:rsidRPr="00274BD4">
        <w:rPr>
          <w:rFonts w:cs="Calibri"/>
        </w:rPr>
        <w:t>adjustments from previously submitted quarterly data, interest, and credits.</w:t>
      </w:r>
    </w:p>
    <w:p w:rsidR="006C470A" w:rsidRPr="006C470A" w:rsidP="006C470A" w14:paraId="27015101" w14:textId="56CDA5BC">
      <w:pPr>
        <w:rPr>
          <w:rFonts w:cs="Calibri"/>
        </w:rPr>
      </w:pPr>
      <w:r w:rsidRPr="00274BD4">
        <w:t>In November 2013, a federal appeals court ordered that the fee be changed to zero until certain conditions are met. Effective May 16, 2014, the fee became 0.0 Mill</w:t>
      </w:r>
      <w:r>
        <w:rPr>
          <w:rStyle w:val="FootnoteReference"/>
        </w:rPr>
        <w:footnoteReference w:id="3"/>
      </w:r>
      <w:r w:rsidRPr="00274BD4">
        <w:t xml:space="preserve"> per kilowatt-hour, reducing to zero the quarterly fees paid by domestic generators of nuclear electricity and owners of spent nuclear fuel. Electricity generated and sold prior to May 16, </w:t>
      </w:r>
      <w:r w:rsidRPr="00274BD4" w:rsidR="009E780C">
        <w:t>2014,</w:t>
      </w:r>
      <w:r w:rsidRPr="00274BD4">
        <w:t xml:space="preserve"> remained subject to the former fee of 1.0 Mill per kilowatt-hour. In a letter dated May 12, 2014, DOE, through its Office of Standard Contract Management, Office of the General Counsel (GC), informed signatories to t</w:t>
      </w:r>
      <w:r>
        <w:t>he Standard Contract that they must continue to submit quarterly net electricity generation data on Appendix G</w:t>
      </w:r>
    </w:p>
    <w:p w:rsidR="006C470A" w:rsidRPr="006C470A" w:rsidP="006C470A" w14:paraId="788D4DE1" w14:textId="77777777">
      <w:pPr>
        <w:rPr>
          <w:rFonts w:cs="Calibri"/>
        </w:rPr>
      </w:pPr>
      <w:r w:rsidRPr="006C470A">
        <w:rPr>
          <w:rFonts w:cs="Calibri"/>
        </w:rPr>
        <w:t xml:space="preserve">Annex A to Appendix G provides the data necessary to calculate the amount of net electricity generated and sold upon which the Spent Nuclear Fuel Disposal Fees are based (whether using the former fee rate of 1.0 Mill per kilowatt-hour or the current fee rate of 0.0 Mill per kilowatt-hour). Purchasers report gross electricity generated and energy losses resulting in “net electricity generated.” Energy losses include nuclear station use and offsets for pumped storage. To report “net electricity generated and sold,” purchasers estimate factors to calculate the “sold” portion. These factors are based on a utility’s </w:t>
      </w:r>
      <w:r w:rsidRPr="006C470A">
        <w:rPr>
          <w:rFonts w:cs="Calibri"/>
        </w:rPr>
        <w:t xml:space="preserve">sales to ultimate consumers and sales for resale, a utility-level element for retail energy losses, and a national-level factor for resale energy losses. Adjustment factor data are calculated for each individual owner of a nuclear plant and weighted by that owner’s share of the plant. </w:t>
      </w:r>
    </w:p>
    <w:p w:rsidR="002542D4" w:rsidP="002542D4" w14:paraId="4DE3CCBC" w14:textId="1D7DCE76">
      <w:pPr>
        <w:rPr>
          <w:rFonts w:cs="Calibri"/>
        </w:rPr>
      </w:pPr>
      <w:r>
        <w:t xml:space="preserve">Form NWPA-830G </w:t>
      </w:r>
      <w:r>
        <w:rPr>
          <w:i/>
        </w:rPr>
        <w:t>Appendix G - Standard Remittance Advice for Payment of Fees</w:t>
      </w:r>
      <w:r>
        <w:t xml:space="preserve">, was previously referred to as Form NWPA-830R. Form NWPA-830R covered all appendices to the Standard Contract. The data on Appendix A were collected once in 1983 when the contracts were signed. Appendix B, collected data on a one-time fee based on spent nuclear fuel discharged or in the reactor core as of April 6, 1983, is no longer used; those data are now collected by Form GC-859 </w:t>
      </w:r>
      <w:r>
        <w:rPr>
          <w:i/>
        </w:rPr>
        <w:t>Nuclear Fuel Data</w:t>
      </w:r>
      <w:r>
        <w:t>. The data on Appendices C, D, and F are all dependent on the availability of a federal facility to accept spent nuclear fuel, and are therefore not part of this survey clearance. Appendix E contained a series of definitions and specifications and collected no data from respondents</w:t>
      </w:r>
      <w:r w:rsidRPr="006C470A">
        <w:rPr>
          <w:rFonts w:cs="Calibri"/>
        </w:rPr>
        <w:t>.</w:t>
      </w:r>
    </w:p>
    <w:p w:rsidR="006C470A" w:rsidRPr="002542D4" w:rsidP="002542D4" w14:paraId="34CE1FA6" w14:textId="77777777">
      <w:pPr>
        <w:rPr>
          <w:noProof/>
        </w:rPr>
      </w:pPr>
    </w:p>
    <w:p w:rsidR="002542D4" w:rsidRPr="00BB64D7" w:rsidP="00F43F66" w14:paraId="37321C98" w14:textId="77777777">
      <w:pPr>
        <w:pStyle w:val="Heading2"/>
        <w:rPr>
          <w:noProof/>
        </w:rPr>
      </w:pPr>
      <w:bookmarkStart w:id="4" w:name="_Toc492634201"/>
      <w:bookmarkStart w:id="5" w:name="_Toc161999661"/>
      <w:r w:rsidRPr="00BB64D7">
        <w:rPr>
          <w:noProof/>
        </w:rPr>
        <w:t>A.1. Legal Justification</w:t>
      </w:r>
      <w:bookmarkEnd w:id="4"/>
      <w:bookmarkEnd w:id="5"/>
    </w:p>
    <w:p w:rsidR="007C5030" w:rsidRPr="00FD1CD4" w:rsidP="007C5030" w14:paraId="791EF739" w14:textId="77777777">
      <w:r w:rsidRPr="00FD1CD4">
        <w:t>The authority for these data collection is provided by the following provisions:</w:t>
      </w:r>
    </w:p>
    <w:p w:rsidR="007C5030" w:rsidRPr="00FD1CD4" w:rsidP="007C5030" w14:paraId="33FF34D4" w14:textId="77777777">
      <w:pPr>
        <w:numPr>
          <w:ilvl w:val="0"/>
          <w:numId w:val="21"/>
        </w:numPr>
        <w:spacing w:before="240"/>
        <w:contextualSpacing/>
        <w:jc w:val="both"/>
      </w:pPr>
      <w:r w:rsidRPr="00FD1CD4">
        <w:t>Title 15 U.S.C. §772(b), which establishes the mandatory reporting requirement of owners and operators of businesses in the U.S. to make available energy supply and consumption data to the EIA Administrator.</w:t>
      </w:r>
    </w:p>
    <w:p w:rsidR="007C5030" w:rsidRPr="00FD1CD4" w:rsidP="007C5030" w14:paraId="609A6AE0" w14:textId="77777777">
      <w:pPr>
        <w:spacing w:before="240"/>
        <w:ind w:left="810"/>
        <w:contextualSpacing/>
        <w:jc w:val="both"/>
      </w:pPr>
    </w:p>
    <w:p w:rsidR="007C5030" w:rsidRPr="00FD1CD4" w:rsidP="007C5030" w14:paraId="1F03069E" w14:textId="77777777">
      <w:pPr>
        <w:numPr>
          <w:ilvl w:val="0"/>
          <w:numId w:val="21"/>
        </w:numPr>
        <w:spacing w:before="240"/>
        <w:contextualSpacing/>
        <w:jc w:val="both"/>
      </w:pPr>
      <w:r w:rsidRPr="00FD1CD4">
        <w:t>Title 15 U.S.C. §764(</w:t>
      </w:r>
      <w:r w:rsidRPr="00FD1CD4">
        <w:t>a,b</w:t>
      </w:r>
      <w:r w:rsidRPr="00FD1CD4">
        <w:t>), which establishes the EIA Administrator’s powers to plan, direct, and conduct mandatory and voluntary energy programs that are designed and implemented in a fair and efficient manner. These powers include duties to collect, evaluate, assemble, and analyze energy information on U.S. reserves, production, demand, and related economic data, while obtaining the cooperation of business, labor, consumer, and other interests.</w:t>
      </w:r>
    </w:p>
    <w:p w:rsidR="007C5030" w:rsidRPr="00FD1CD4" w:rsidP="007C5030" w14:paraId="52219CCF" w14:textId="77777777">
      <w:pPr>
        <w:ind w:left="810"/>
        <w:contextualSpacing/>
      </w:pPr>
    </w:p>
    <w:p w:rsidR="007C5030" w:rsidP="007C5030" w14:paraId="6E89A0FD" w14:textId="77777777">
      <w:pPr>
        <w:numPr>
          <w:ilvl w:val="0"/>
          <w:numId w:val="21"/>
        </w:numPr>
        <w:spacing w:before="240"/>
        <w:contextualSpacing/>
        <w:jc w:val="both"/>
      </w:pPr>
      <w:r w:rsidRPr="00FD1CD4">
        <w:t>Title 15 U.S.C. §790(a), which establishes a National Energy Information System that is the enclave containing the energy data collected by EIA, which allows EIA to describe and analyze energy supply and consumption in the U.S.  This enclave allows EIA to perform statistical and forecasting activities to meet the needs of the Department of Energy, Congress, and the States.</w:t>
      </w:r>
    </w:p>
    <w:p w:rsidR="007C5030" w:rsidRPr="007C5030" w:rsidP="007C5030" w14:paraId="30F20A6A" w14:textId="77777777">
      <w:pPr>
        <w:ind w:left="360"/>
        <w:rPr>
          <w:rFonts w:cs="Calibri"/>
        </w:rPr>
      </w:pPr>
    </w:p>
    <w:p w:rsidR="007C5030" w:rsidRPr="005E309D" w:rsidP="007C5030" w14:paraId="50864BC4" w14:textId="77777777">
      <w:pPr>
        <w:numPr>
          <w:ilvl w:val="0"/>
          <w:numId w:val="21"/>
        </w:numPr>
        <w:spacing w:before="240"/>
        <w:contextualSpacing/>
        <w:jc w:val="both"/>
      </w:pPr>
      <w:r w:rsidRPr="007C5030">
        <w:rPr>
          <w:rFonts w:cs="Calibri"/>
        </w:rPr>
        <w:t xml:space="preserve">Title 42 U.S.C. §10222, which </w:t>
      </w:r>
      <w:r w:rsidRPr="00D6129B">
        <w:rPr>
          <w:rFonts w:cs="Calibri"/>
        </w:rPr>
        <w:t>a</w:t>
      </w:r>
      <w:r w:rsidRPr="00D6129B">
        <w:rPr>
          <w:rFonts w:cs="Calibri"/>
          <w:color w:val="000000"/>
          <w:shd w:val="clear" w:color="auto" w:fill="FFFFFF"/>
        </w:rPr>
        <w:t xml:space="preserve">uthorizes the Secretary of Energy to </w:t>
      </w:r>
      <w:r w:rsidRPr="00D6129B">
        <w:rPr>
          <w:rFonts w:cs="Calibri"/>
          <w:color w:val="000000"/>
          <w:shd w:val="clear" w:color="auto" w:fill="FFFFFF"/>
        </w:rPr>
        <w:t>enter into</w:t>
      </w:r>
      <w:r w:rsidRPr="00D6129B">
        <w:rPr>
          <w:rFonts w:cs="Calibri"/>
          <w:color w:val="000000"/>
          <w:shd w:val="clear" w:color="auto" w:fill="FFFFFF"/>
        </w:rPr>
        <w:t xml:space="preserve"> contracts with any person who generates or holds title to high-level radioactive waste, or spent nuclear fuel, of domestic origin for the acceptance of title, subsequent transportation, and disposal of such waste or spent fuel. </w:t>
      </w:r>
    </w:p>
    <w:p w:rsidR="007C5030" w:rsidP="007C5030" w14:paraId="4B156E14" w14:textId="77777777">
      <w:pPr>
        <w:ind w:left="360"/>
        <w:rPr>
          <w:rFonts w:cs="Calibri"/>
          <w:color w:val="000000"/>
          <w:shd w:val="clear" w:color="auto" w:fill="FFFFFF"/>
        </w:rPr>
      </w:pPr>
    </w:p>
    <w:p w:rsidR="007C5030" w:rsidRPr="005E309D" w:rsidP="007C5030" w14:paraId="102CC0DF" w14:textId="77777777">
      <w:pPr>
        <w:ind w:left="360"/>
        <w:rPr>
          <w:rFonts w:cs="Calibri"/>
          <w:color w:val="000000"/>
          <w:shd w:val="clear" w:color="auto" w:fill="FFFFFF"/>
        </w:rPr>
      </w:pPr>
      <w:r w:rsidRPr="005E309D">
        <w:rPr>
          <w:rFonts w:cs="Calibri"/>
          <w:color w:val="000000"/>
          <w:shd w:val="clear" w:color="auto" w:fill="FFFFFF"/>
        </w:rPr>
        <w:t>A Standard Contract for Disposal of Spent Nuclear Fuel and/or High-level Radioactive Waste can be viewed at:</w:t>
      </w:r>
    </w:p>
    <w:p w:rsidR="007C5030" w:rsidRPr="00D6129B" w:rsidP="007C5030" w14:paraId="1FEFE90E" w14:textId="77777777">
      <w:pPr>
        <w:spacing w:before="240"/>
        <w:ind w:firstLine="720"/>
        <w:contextualSpacing/>
        <w:jc w:val="both"/>
      </w:pPr>
      <w:hyperlink r:id="rId15" w:history="1">
        <w:r w:rsidRPr="007C5030">
          <w:rPr>
            <w:rStyle w:val="Hyperlink"/>
            <w:rFonts w:cs="Calibri"/>
          </w:rPr>
          <w:t>http://energy.gov/sites/prod/files/gcprod/documents/New_Standard_Contract.pdf</w:t>
        </w:r>
      </w:hyperlink>
      <w:r w:rsidRPr="007C5030">
        <w:rPr>
          <w:rFonts w:cs="Calibri"/>
          <w:i/>
          <w:iCs/>
        </w:rPr>
        <w:t xml:space="preserve"> </w:t>
      </w:r>
    </w:p>
    <w:p w:rsidR="002542D4" w:rsidRPr="002542D4" w:rsidP="002542D4" w14:paraId="0F60011F" w14:textId="77777777">
      <w:pPr>
        <w:rPr>
          <w:noProof/>
        </w:rPr>
      </w:pPr>
    </w:p>
    <w:p w:rsidR="002542D4" w:rsidRPr="00BB64D7" w:rsidP="00F43F66" w14:paraId="7117AC12" w14:textId="77777777">
      <w:pPr>
        <w:pStyle w:val="Heading2"/>
        <w:rPr>
          <w:noProof/>
        </w:rPr>
      </w:pPr>
      <w:bookmarkStart w:id="6" w:name="_Toc492634202"/>
      <w:bookmarkStart w:id="7" w:name="_Toc161999662"/>
      <w:r w:rsidRPr="00BB64D7">
        <w:rPr>
          <w:noProof/>
        </w:rPr>
        <w:t>A.2. Needs and Uses of Data</w:t>
      </w:r>
      <w:bookmarkEnd w:id="6"/>
      <w:bookmarkEnd w:id="7"/>
    </w:p>
    <w:p w:rsidR="007C5030" w:rsidRPr="007C5030" w:rsidP="007C5030" w14:paraId="4E17AD9F" w14:textId="77777777">
      <w:pPr>
        <w:rPr>
          <w:rFonts w:cs="Calibri"/>
        </w:rPr>
      </w:pPr>
      <w:bookmarkStart w:id="8" w:name="_Toc492634203"/>
      <w:r w:rsidRPr="007C5030">
        <w:rPr>
          <w:rFonts w:cs="Calibri"/>
        </w:rPr>
        <w:t>Form NWPA-830G, including Annex A to Appendix G, is a quarterly form submitted by all generators or owners of spent nuclear fuel and high-level radioactive waste of domestic origin (purchasers). These purchasers signed the Standard Contract with the DOE requiring them to pay fees into the Nuclear Waste Fund. Form NWPA-830G is Appendix G to the Standard Contract.</w:t>
      </w:r>
    </w:p>
    <w:p w:rsidR="007C5030" w:rsidRPr="007C5030" w:rsidP="007C5030" w14:paraId="7D6C932F" w14:textId="77777777">
      <w:pPr>
        <w:rPr>
          <w:rFonts w:cs="Calibri"/>
        </w:rPr>
      </w:pPr>
      <w:r w:rsidRPr="007C5030">
        <w:rPr>
          <w:rFonts w:cs="Calibri"/>
        </w:rPr>
        <w:t>Appendix G collects information on net electric power generation and serves as the basis for DOE to determine the payment of fees into the Nuclear Waste Fund. The data are used by DOE’s Office of the Chief Financial Officer, Energy Finance and Accounting Service Center to verify the amounts of these payments. Appendix G data provides an audit trail of all payments made by purchasers into the Nuclear Waste Fund.</w:t>
      </w:r>
    </w:p>
    <w:p w:rsidR="007C5030" w:rsidP="007C5030" w14:paraId="49577DE4" w14:textId="4CD6ADAD">
      <w:pPr>
        <w:pStyle w:val="BodyTextIndent"/>
        <w:ind w:left="0"/>
        <w:rPr>
          <w:rFonts w:cs="Calibri"/>
        </w:rPr>
      </w:pPr>
      <w:r w:rsidRPr="007C5030">
        <w:rPr>
          <w:rFonts w:cs="Calibri"/>
        </w:rPr>
        <w:t xml:space="preserve">Annex A to Appendix G collects data on the amount of net electricity generated and sold upon which the fees are based. The Office of Standard Contract </w:t>
      </w:r>
      <w:r w:rsidRPr="007C5030">
        <w:rPr>
          <w:rFonts w:cs="Calibri"/>
        </w:rPr>
        <w:t>Management,  and</w:t>
      </w:r>
      <w:r w:rsidRPr="007C5030">
        <w:rPr>
          <w:rFonts w:cs="Calibri"/>
        </w:rPr>
        <w:t xml:space="preserve"> the Office of Nuclear Energy use data from the Annex A to Appendix G form. The Office of Standard Contract Management use fee payment data in a number of internal reports, including Fee Adequacy reports and Total System Life Cycle Cost reports. The information reported on Appendix G and Annex A to Appendix G may also be made available, upon request, to another DOE component, to any committee of Congress, the Government Accountability Office, or other federal agencies authorized by law to receive such information. A court of competent jurisdiction may obtain this information in response to an order. The information may be used for any non-statistical purposes such as administrative, regulatory, law enforcement, or adjudicatory purposes.</w:t>
      </w:r>
    </w:p>
    <w:p w:rsidR="003A2C7A" w:rsidRPr="007C5030" w:rsidP="007C5030" w14:paraId="53C1DE67" w14:textId="77777777">
      <w:pPr>
        <w:pStyle w:val="BodyTextIndent"/>
        <w:ind w:left="0"/>
        <w:rPr>
          <w:rFonts w:cs="Calibri"/>
        </w:rPr>
      </w:pPr>
    </w:p>
    <w:p w:rsidR="002542D4" w:rsidRPr="00BB64D7" w:rsidP="00F43F66" w14:paraId="0EF4E602" w14:textId="77777777">
      <w:pPr>
        <w:pStyle w:val="Heading2"/>
        <w:rPr>
          <w:noProof/>
        </w:rPr>
      </w:pPr>
      <w:bookmarkStart w:id="9" w:name="_Toc161999663"/>
      <w:r w:rsidRPr="00BB64D7">
        <w:rPr>
          <w:noProof/>
        </w:rPr>
        <w:t>A.3. Use of Technology</w:t>
      </w:r>
      <w:bookmarkEnd w:id="8"/>
      <w:bookmarkEnd w:id="9"/>
    </w:p>
    <w:p w:rsidR="007C5030" w:rsidRPr="007C5030" w:rsidP="007C5030" w14:paraId="22B77EBD" w14:textId="7B206FF1">
      <w:pPr>
        <w:rPr>
          <w:rFonts w:cs="Calibri"/>
        </w:rPr>
      </w:pPr>
      <w:r>
        <w:rPr>
          <w:rFonts w:cs="Calibri"/>
        </w:rPr>
        <w:t>DOE</w:t>
      </w:r>
      <w:r w:rsidRPr="007C5030">
        <w:rPr>
          <w:rFonts w:cs="Calibri"/>
        </w:rPr>
        <w:t xml:space="preserve"> uses information technology to improve reporting options. Beginning in 1999, DOE distributed an automated software package, the Remittance Advice Reporting System (RAPS), to the NWPA-830G respondents to reduce reporting burden. This computer-based system required respondents to enter only those data that changed from quarter to quarter, and provided computer-generated Remittance Advice forms in lieu of the four-part Appendix G and Annex A to Appendix G forms, which had previously been supplied as paper forms.</w:t>
      </w:r>
    </w:p>
    <w:p w:rsidR="007C5030" w:rsidRPr="007C5030" w:rsidP="007C5030" w14:paraId="7485E8FB" w14:textId="77777777">
      <w:pPr>
        <w:rPr>
          <w:rFonts w:cs="Calibri"/>
          <w:i/>
          <w:iCs/>
        </w:rPr>
      </w:pPr>
      <w:r w:rsidRPr="007C5030">
        <w:rPr>
          <w:rFonts w:cs="Calibri"/>
        </w:rPr>
        <w:t>In mid-2013, DOE replaced RAPS with an online fillable PDF version of the Remittance Advice forms. It is recommended that the current PDF forms are utilized as they have been updated with the latest information and have been granted OMB approval. While respondents may continue to use the RAPS software, they are responsible for ensuring that all data and calculations are correct. Completed Remittance Advice forms must be printed out, signed, and returned to DOE in accordance with the provisions of the Standard Contract</w:t>
      </w:r>
      <w:r w:rsidRPr="007C5030">
        <w:rPr>
          <w:rFonts w:cs="Calibri"/>
          <w:i/>
          <w:iCs/>
        </w:rPr>
        <w:t xml:space="preserve">. </w:t>
      </w:r>
    </w:p>
    <w:p w:rsidR="002542D4" w:rsidRPr="002542D4" w:rsidP="002542D4" w14:paraId="032A5B27" w14:textId="77777777">
      <w:pPr>
        <w:rPr>
          <w:noProof/>
        </w:rPr>
      </w:pPr>
    </w:p>
    <w:p w:rsidR="002542D4" w:rsidRPr="00BB64D7" w:rsidP="00F43F66" w14:paraId="0AF788BD" w14:textId="77777777">
      <w:pPr>
        <w:pStyle w:val="Heading2"/>
        <w:rPr>
          <w:noProof/>
        </w:rPr>
      </w:pPr>
      <w:bookmarkStart w:id="10" w:name="_Toc492634204"/>
      <w:bookmarkStart w:id="11" w:name="_Toc161999664"/>
      <w:r w:rsidRPr="00BB64D7">
        <w:rPr>
          <w:noProof/>
        </w:rPr>
        <w:t>A.4. Efforts to Identify Duplication</w:t>
      </w:r>
      <w:bookmarkEnd w:id="10"/>
      <w:bookmarkEnd w:id="11"/>
    </w:p>
    <w:p w:rsidR="007C5030" w:rsidRPr="007C5030" w:rsidP="007C5030" w14:paraId="57FF5A04" w14:textId="54938EAD">
      <w:pPr>
        <w:rPr>
          <w:rFonts w:cs="Calibri"/>
        </w:rPr>
      </w:pPr>
      <w:r w:rsidRPr="007C5030">
        <w:rPr>
          <w:rFonts w:cs="Calibri"/>
        </w:rPr>
        <w:t xml:space="preserve">As part of a continuing effort to avoid duplication, </w:t>
      </w:r>
      <w:r w:rsidR="00653251">
        <w:rPr>
          <w:rFonts w:cs="Calibri"/>
        </w:rPr>
        <w:t>DOE</w:t>
      </w:r>
      <w:r w:rsidRPr="007C5030" w:rsidR="00653251">
        <w:rPr>
          <w:rFonts w:cs="Calibri"/>
        </w:rPr>
        <w:t xml:space="preserve"> </w:t>
      </w:r>
      <w:r w:rsidRPr="007C5030">
        <w:rPr>
          <w:rFonts w:cs="Calibri"/>
        </w:rPr>
        <w:t>routinely reviews and evaluates information from a variety of sources, including other federal agencies, industry trade associations, state governments, and commercial information services to identify instances of duplication.</w:t>
      </w:r>
    </w:p>
    <w:p w:rsidR="007C5030" w:rsidRPr="007C5030" w:rsidP="007C5030" w14:paraId="7A2D33D3" w14:textId="1280808E">
      <w:pPr>
        <w:rPr>
          <w:rFonts w:cs="Calibri"/>
          <w:i/>
          <w:iCs/>
        </w:rPr>
      </w:pPr>
      <w:r w:rsidRPr="007C5030">
        <w:rPr>
          <w:rFonts w:cs="Calibri"/>
        </w:rPr>
        <w:t xml:space="preserve">Monthly and annual net electricity data are collected on EIA surveys, including Form EIA-860 </w:t>
      </w:r>
      <w:r w:rsidRPr="007C5030">
        <w:rPr>
          <w:rFonts w:cs="Calibri"/>
          <w:i/>
        </w:rPr>
        <w:t>Annual Electric Generator Report</w:t>
      </w:r>
      <w:r w:rsidRPr="007C5030">
        <w:rPr>
          <w:rFonts w:cs="Calibri"/>
        </w:rPr>
        <w:t xml:space="preserve">, Form EIA-860M </w:t>
      </w:r>
      <w:r w:rsidRPr="007C5030">
        <w:rPr>
          <w:rFonts w:cs="Calibri"/>
          <w:i/>
        </w:rPr>
        <w:t>Monthly Update to the Annual Electricity Generator Report</w:t>
      </w:r>
      <w:r w:rsidRPr="007C5030">
        <w:rPr>
          <w:rFonts w:cs="Calibri"/>
        </w:rPr>
        <w:t xml:space="preserve">, and Form EIA-923 </w:t>
      </w:r>
      <w:r w:rsidRPr="007C5030">
        <w:rPr>
          <w:rFonts w:cs="Calibri"/>
          <w:i/>
        </w:rPr>
        <w:t>Power Plant Operations Report</w:t>
      </w:r>
      <w:r w:rsidRPr="007C5030">
        <w:rPr>
          <w:rFonts w:cs="Calibri"/>
        </w:rPr>
        <w:t xml:space="preserve"> (with both monthly and annual collections). However, </w:t>
      </w:r>
      <w:r w:rsidRPr="00BF5DAB">
        <w:rPr>
          <w:rFonts w:cs="Calibri"/>
        </w:rPr>
        <w:t xml:space="preserve">Form NWPA-830G </w:t>
      </w:r>
      <w:r w:rsidRPr="00BF5DAB">
        <w:rPr>
          <w:rFonts w:cs="Calibri"/>
          <w:i/>
        </w:rPr>
        <w:t>Appendix G - Standard Remittance Advice for Payment of Fees</w:t>
      </w:r>
      <w:r w:rsidRPr="00BF5DAB">
        <w:rPr>
          <w:rFonts w:cs="Calibri"/>
        </w:rPr>
        <w:t>, including Annex A to Appendix G</w:t>
      </w:r>
      <w:r w:rsidRPr="007C5030">
        <w:rPr>
          <w:rFonts w:cs="Calibri"/>
        </w:rPr>
        <w:t xml:space="preserve">, is the only source of quarterly net electricity generation data by commercial nuclear reactors. Additionally, other surveys collect information on energy losses, station electricity use, pumped storage losses, and energy furnished without charge, differently than what is reported on Form NWPA-830G. This quarterly data is a complete audit trail of fee payment data. Because fee data are primarily used by DOE’s Energy Finance and Accounting Service Center and the </w:t>
      </w:r>
      <w:r w:rsidRPr="009A6AB5">
        <w:rPr>
          <w:rFonts w:cs="Calibri"/>
        </w:rPr>
        <w:t>Office of Standard Contract Management</w:t>
      </w:r>
      <w:r w:rsidRPr="007C5030">
        <w:rPr>
          <w:rFonts w:cs="Calibri"/>
        </w:rPr>
        <w:t>, it is imperative that all data are available on a single form. U.S. nuclear electricity generation capacity and spent fuel storage data are available from the Nuclear Regulatory Commission (NRC); however, NRC data does not include information to determine the amount of net electricity generated and sold, which is the basis for fees paid into the Nuclear Waste Fund</w:t>
      </w:r>
      <w:r w:rsidRPr="007C5030">
        <w:rPr>
          <w:rFonts w:cs="Calibri"/>
          <w:i/>
          <w:iCs/>
        </w:rPr>
        <w:t xml:space="preserve">. </w:t>
      </w:r>
    </w:p>
    <w:p w:rsidR="002542D4" w:rsidRPr="002542D4" w:rsidP="002542D4" w14:paraId="1F0664A6" w14:textId="77777777">
      <w:pPr>
        <w:rPr>
          <w:noProof/>
        </w:rPr>
      </w:pPr>
    </w:p>
    <w:p w:rsidR="002542D4" w:rsidRPr="00BB64D7" w:rsidP="00F43F66" w14:paraId="534FFC76" w14:textId="77777777">
      <w:pPr>
        <w:pStyle w:val="Heading2"/>
        <w:rPr>
          <w:noProof/>
        </w:rPr>
      </w:pPr>
      <w:bookmarkStart w:id="12" w:name="_Toc492634205"/>
      <w:bookmarkStart w:id="13" w:name="_Toc161999665"/>
      <w:r w:rsidRPr="00BB64D7">
        <w:rPr>
          <w:noProof/>
        </w:rPr>
        <w:t>A.5. Provisions for Reducing Burden on Small Businesses</w:t>
      </w:r>
      <w:bookmarkEnd w:id="12"/>
      <w:bookmarkEnd w:id="13"/>
      <w:r w:rsidRPr="00BB64D7">
        <w:rPr>
          <w:noProof/>
        </w:rPr>
        <w:t xml:space="preserve"> </w:t>
      </w:r>
    </w:p>
    <w:p w:rsidR="007C5030" w:rsidRPr="007C5030" w:rsidP="007C5030" w14:paraId="650B44B9" w14:textId="77777777">
      <w:pPr>
        <w:rPr>
          <w:rFonts w:cs="Calibri"/>
          <w:i/>
          <w:iCs/>
        </w:rPr>
      </w:pPr>
      <w:r w:rsidRPr="007C5030">
        <w:rPr>
          <w:rFonts w:cs="Calibri"/>
        </w:rPr>
        <w:t>This collection of information does not involve small businesses or other small entities. All respondents are major commercial utilities or operating companies</w:t>
      </w:r>
      <w:r w:rsidRPr="007C5030">
        <w:rPr>
          <w:rFonts w:cs="Calibri"/>
          <w:i/>
          <w:iCs/>
        </w:rPr>
        <w:t xml:space="preserve">. </w:t>
      </w:r>
    </w:p>
    <w:p w:rsidR="002542D4" w:rsidRPr="002542D4" w:rsidP="002542D4" w14:paraId="5BEF7A78" w14:textId="77777777">
      <w:pPr>
        <w:rPr>
          <w:noProof/>
        </w:rPr>
      </w:pPr>
    </w:p>
    <w:p w:rsidR="002542D4" w:rsidRPr="00BB64D7" w:rsidP="00F43F66" w14:paraId="0D3A32D3" w14:textId="77777777">
      <w:pPr>
        <w:pStyle w:val="Heading2"/>
        <w:rPr>
          <w:noProof/>
        </w:rPr>
      </w:pPr>
      <w:bookmarkStart w:id="14" w:name="_Toc492634206"/>
      <w:bookmarkStart w:id="15" w:name="_Toc161999666"/>
      <w:r w:rsidRPr="00BB64D7">
        <w:rPr>
          <w:noProof/>
        </w:rPr>
        <w:t>A.6. Consequences of Less-Frequent Reporting</w:t>
      </w:r>
      <w:bookmarkEnd w:id="14"/>
      <w:bookmarkEnd w:id="15"/>
    </w:p>
    <w:p w:rsidR="007C5030" w:rsidRPr="007C5030" w:rsidP="007C5030" w14:paraId="054F523F" w14:textId="77777777">
      <w:pPr>
        <w:rPr>
          <w:rFonts w:cs="Calibri"/>
          <w:i/>
          <w:iCs/>
        </w:rPr>
      </w:pPr>
      <w:r w:rsidRPr="007C5030">
        <w:rPr>
          <w:rFonts w:cs="Calibri"/>
        </w:rPr>
        <w:t>Form NWPA-830G, including Annex A to Appendix G, are required to be submitted quarterly per the Standard Contract. Prior to the fee change, this helped ensure the accuracy of the mandated fees and minimized interest payments when errors were made. DOE requires continued quarterly collection to verify net electricity generation data and estimates of the spent nuclear fuel disposal fees that would otherwise accrue from this generation.</w:t>
      </w:r>
      <w:r w:rsidRPr="007C5030">
        <w:rPr>
          <w:rFonts w:cs="Calibri"/>
          <w:i/>
          <w:iCs/>
        </w:rPr>
        <w:t xml:space="preserve"> </w:t>
      </w:r>
    </w:p>
    <w:p w:rsidR="002542D4" w:rsidRPr="002542D4" w:rsidP="002542D4" w14:paraId="30EB5797" w14:textId="77777777">
      <w:pPr>
        <w:rPr>
          <w:noProof/>
        </w:rPr>
      </w:pPr>
    </w:p>
    <w:p w:rsidR="002542D4" w:rsidRPr="00BB64D7" w:rsidP="00AB453E" w14:paraId="4F8C0968" w14:textId="2433E068">
      <w:pPr>
        <w:pStyle w:val="Heading2"/>
        <w:tabs>
          <w:tab w:val="left" w:pos="7733"/>
        </w:tabs>
        <w:rPr>
          <w:noProof/>
        </w:rPr>
      </w:pPr>
      <w:bookmarkStart w:id="16" w:name="_Toc492634207"/>
      <w:bookmarkStart w:id="17" w:name="_Toc161999667"/>
      <w:r w:rsidRPr="00BB64D7">
        <w:rPr>
          <w:noProof/>
        </w:rPr>
        <w:t>A.7. Compliance with 5 CFR 1320.5</w:t>
      </w:r>
      <w:bookmarkEnd w:id="16"/>
      <w:bookmarkEnd w:id="17"/>
      <w:r w:rsidR="00A81FFB">
        <w:rPr>
          <w:noProof/>
        </w:rPr>
        <w:tab/>
      </w:r>
    </w:p>
    <w:p w:rsidR="007C5030" w:rsidRPr="007C5030" w:rsidP="007C5030" w14:paraId="74281D7C" w14:textId="408C2703">
      <w:pPr>
        <w:rPr>
          <w:rFonts w:cs="Calibri"/>
        </w:rPr>
      </w:pPr>
      <w:r w:rsidRPr="007C5030">
        <w:rPr>
          <w:rFonts w:cs="Calibri"/>
        </w:rPr>
        <w:t xml:space="preserve">There are </w:t>
      </w:r>
      <w:r w:rsidR="00BF5DAB">
        <w:rPr>
          <w:rFonts w:cs="Calibri"/>
        </w:rPr>
        <w:t xml:space="preserve">no </w:t>
      </w:r>
      <w:r w:rsidRPr="007C5030">
        <w:rPr>
          <w:rFonts w:cs="Calibri"/>
        </w:rPr>
        <w:t>special circumstances for the NWPA-830G data collection.</w:t>
      </w:r>
      <w:r w:rsidRPr="007C5030">
        <w:rPr>
          <w:rFonts w:cs="Calibri"/>
          <w:i/>
          <w:iCs/>
        </w:rPr>
        <w:t xml:space="preserve"> </w:t>
      </w:r>
    </w:p>
    <w:p w:rsidR="002542D4" w:rsidRPr="002542D4" w:rsidP="002542D4" w14:paraId="71AF56D2" w14:textId="77777777">
      <w:pPr>
        <w:rPr>
          <w:b/>
          <w:bCs/>
          <w:noProof/>
        </w:rPr>
      </w:pPr>
    </w:p>
    <w:p w:rsidR="007C5030" w:rsidRPr="00E52F3E" w:rsidP="007C5030" w14:paraId="6C437992" w14:textId="77777777">
      <w:pPr>
        <w:pStyle w:val="Heading2"/>
      </w:pPr>
      <w:bookmarkStart w:id="18" w:name="_Toc83308541"/>
      <w:bookmarkStart w:id="19" w:name="_Toc161999668"/>
      <w:r w:rsidRPr="00E52F3E">
        <w:t>A.8. Summary of Consultations Outside of the Agency</w:t>
      </w:r>
      <w:bookmarkEnd w:id="18"/>
      <w:bookmarkEnd w:id="19"/>
    </w:p>
    <w:p w:rsidR="007C5030" w:rsidRPr="007C5030" w:rsidP="007C5030" w14:paraId="739BD93C" w14:textId="3BAF6B00">
      <w:pPr>
        <w:rPr>
          <w:rFonts w:cs="Calibri"/>
        </w:rPr>
      </w:pPr>
      <w:r w:rsidRPr="00274BD4">
        <w:rPr>
          <w:bCs/>
        </w:rPr>
        <w:t xml:space="preserve">On </w:t>
      </w:r>
      <w:r w:rsidRPr="00274BD4" w:rsidR="00165EAC">
        <w:rPr>
          <w:bCs/>
        </w:rPr>
        <w:t>Jul</w:t>
      </w:r>
      <w:r w:rsidRPr="00274BD4">
        <w:rPr>
          <w:bCs/>
        </w:rPr>
        <w:t xml:space="preserve">y </w:t>
      </w:r>
      <w:r w:rsidRPr="00274BD4" w:rsidR="00165EAC">
        <w:rPr>
          <w:bCs/>
        </w:rPr>
        <w:t>19</w:t>
      </w:r>
      <w:r w:rsidRPr="00274BD4">
        <w:rPr>
          <w:bCs/>
        </w:rPr>
        <w:t xml:space="preserve">, 2024, </w:t>
      </w:r>
      <w:r w:rsidR="00183B2A">
        <w:t>DOE</w:t>
      </w:r>
      <w:r w:rsidRPr="00274BD4" w:rsidR="00183B2A">
        <w:t xml:space="preserve"> </w:t>
      </w:r>
      <w:r w:rsidRPr="00274BD4">
        <w:t>published a 60-day Federal Register notice, 8</w:t>
      </w:r>
      <w:r w:rsidRPr="00274BD4" w:rsidR="00165EAC">
        <w:t>9</w:t>
      </w:r>
      <w:r w:rsidRPr="00274BD4">
        <w:t xml:space="preserve"> FR </w:t>
      </w:r>
      <w:r w:rsidRPr="00274BD4" w:rsidR="00165EAC">
        <w:t>58731</w:t>
      </w:r>
      <w:r w:rsidRPr="00274BD4">
        <w:t>, giving the public an opportunity to comment on the proposed three-year extension to Form NWPA-830G, including Annex A to Appendix G</w:t>
      </w:r>
      <w:r w:rsidRPr="00274BD4">
        <w:rPr>
          <w:rFonts w:cs="Calibri"/>
        </w:rPr>
        <w:t xml:space="preserve">. </w:t>
      </w:r>
      <w:r w:rsidR="00183B2A">
        <w:rPr>
          <w:rFonts w:cs="Calibri"/>
        </w:rPr>
        <w:t>DOE</w:t>
      </w:r>
      <w:r w:rsidRPr="00274BD4" w:rsidR="00183B2A">
        <w:rPr>
          <w:rFonts w:cs="Calibri"/>
        </w:rPr>
        <w:t xml:space="preserve"> </w:t>
      </w:r>
      <w:r w:rsidRPr="00274BD4">
        <w:rPr>
          <w:rFonts w:cs="Calibri"/>
        </w:rPr>
        <w:t xml:space="preserve">received no comments to the Federal Register notice. This opportunity for comment </w:t>
      </w:r>
      <w:r w:rsidRPr="00274BD4">
        <w:rPr>
          <w:rFonts w:cs="Calibri"/>
        </w:rPr>
        <w:t>is part of the fourth OMB cl</w:t>
      </w:r>
      <w:r w:rsidRPr="007C5030">
        <w:rPr>
          <w:rFonts w:cs="Calibri"/>
        </w:rPr>
        <w:t>earance following a letter sent on May 12, 2014 by the Office of Standard Contract Management, Office of General Counsel to all generators or owners of spent nuclear fuel and high-level radioactive waste of domestic origin requesting that they continue to submit Appendix G – Standard Remittance Advice for Payment of Fees in accordance with their existing quarterly payment schedule utilizing the fee rate of 0.0 mill per kilowatt hour of electricity generated and sold (see Introduction). The opportunity was also given within the letter, along with appropriate contact information, to submit questions on the matter.</w:t>
      </w:r>
      <w:r w:rsidRPr="007C5030">
        <w:rPr>
          <w:rFonts w:cs="Calibri"/>
          <w:i/>
          <w:iCs/>
        </w:rPr>
        <w:t xml:space="preserve"> </w:t>
      </w:r>
    </w:p>
    <w:p w:rsidR="002542D4" w:rsidRPr="002542D4" w:rsidP="002542D4" w14:paraId="07F13017" w14:textId="77777777">
      <w:pPr>
        <w:rPr>
          <w:b/>
          <w:bCs/>
          <w:noProof/>
        </w:rPr>
      </w:pPr>
    </w:p>
    <w:p w:rsidR="002542D4" w:rsidRPr="00BB64D7" w:rsidP="00F43F66" w14:paraId="4ACE8C51" w14:textId="77777777">
      <w:pPr>
        <w:pStyle w:val="Heading2"/>
        <w:rPr>
          <w:noProof/>
        </w:rPr>
      </w:pPr>
      <w:bookmarkStart w:id="20" w:name="_Toc492634209"/>
      <w:bookmarkStart w:id="21" w:name="_Toc161999669"/>
      <w:r w:rsidRPr="00BB64D7">
        <w:rPr>
          <w:noProof/>
        </w:rPr>
        <w:t>A.9. Payments or Gifts to Respondents</w:t>
      </w:r>
      <w:bookmarkEnd w:id="20"/>
      <w:bookmarkEnd w:id="21"/>
      <w:r w:rsidRPr="00BB64D7">
        <w:rPr>
          <w:noProof/>
        </w:rPr>
        <w:t xml:space="preserve"> </w:t>
      </w:r>
    </w:p>
    <w:p w:rsidR="007C5030" w:rsidRPr="007C5030" w:rsidP="007C5030" w14:paraId="168CCE1B" w14:textId="77777777">
      <w:pPr>
        <w:rPr>
          <w:rFonts w:cs="Calibri"/>
        </w:rPr>
      </w:pPr>
      <w:r w:rsidRPr="007C5030">
        <w:rPr>
          <w:rFonts w:cs="Calibri"/>
        </w:rPr>
        <w:t>There are no provisions for payments to respondents.</w:t>
      </w:r>
      <w:r w:rsidRPr="007C5030">
        <w:rPr>
          <w:rFonts w:cs="Calibri"/>
          <w:i/>
          <w:iCs/>
        </w:rPr>
        <w:t xml:space="preserve"> </w:t>
      </w:r>
    </w:p>
    <w:p w:rsidR="002542D4" w:rsidRPr="002542D4" w:rsidP="002542D4" w14:paraId="08F7C72A" w14:textId="77777777">
      <w:pPr>
        <w:rPr>
          <w:b/>
          <w:bCs/>
          <w:noProof/>
        </w:rPr>
      </w:pPr>
    </w:p>
    <w:p w:rsidR="002542D4" w:rsidRPr="00BB64D7" w:rsidP="00F43F66" w14:paraId="24A03C79" w14:textId="77777777">
      <w:pPr>
        <w:pStyle w:val="Heading2"/>
        <w:rPr>
          <w:noProof/>
        </w:rPr>
      </w:pPr>
      <w:bookmarkStart w:id="22" w:name="_Toc492634210"/>
      <w:bookmarkStart w:id="23" w:name="_Toc161999670"/>
      <w:r w:rsidRPr="00BB64D7">
        <w:rPr>
          <w:noProof/>
        </w:rPr>
        <w:t>A.10. Provisions for Protection of Information</w:t>
      </w:r>
      <w:bookmarkEnd w:id="22"/>
      <w:bookmarkEnd w:id="23"/>
      <w:r w:rsidRPr="00BB64D7">
        <w:rPr>
          <w:noProof/>
        </w:rPr>
        <w:t xml:space="preserve"> </w:t>
      </w:r>
    </w:p>
    <w:p w:rsidR="007C5030" w:rsidRPr="007C5030" w:rsidP="007C5030" w14:paraId="1FFBB490" w14:textId="77777777">
      <w:pPr>
        <w:tabs>
          <w:tab w:val="left" w:pos="-1440"/>
          <w:tab w:val="left" w:pos="-720"/>
          <w:tab w:val="left" w:pos="0"/>
          <w:tab w:val="left" w:pos="72"/>
          <w:tab w:val="left" w:pos="360"/>
          <w:tab w:val="left" w:pos="648"/>
          <w:tab w:val="left" w:pos="720"/>
          <w:tab w:val="left" w:pos="936"/>
          <w:tab w:val="left" w:pos="1224"/>
          <w:tab w:val="left" w:pos="1440"/>
          <w:tab w:val="left" w:pos="1512"/>
          <w:tab w:val="left" w:pos="1800"/>
          <w:tab w:val="left" w:pos="2088"/>
          <w:tab w:val="left" w:pos="2160"/>
          <w:tab w:val="left" w:pos="2376"/>
          <w:tab w:val="left" w:pos="2664"/>
          <w:tab w:val="left" w:pos="2880"/>
          <w:tab w:val="left" w:pos="2952"/>
        </w:tabs>
        <w:rPr>
          <w:rFonts w:cs="Calibri"/>
        </w:rPr>
      </w:pPr>
      <w:bookmarkStart w:id="24" w:name="OLE_LINK7"/>
      <w:bookmarkStart w:id="25" w:name="OLE_LINK8"/>
      <w:r w:rsidRPr="007C5030">
        <w:rPr>
          <w:rFonts w:cs="Calibri"/>
        </w:rPr>
        <w:t xml:space="preserve">The information is collected under the Standard Contract for Disposal of Spent Nuclear Fuel and/or High-Level Radioactive Waste. In accordance with the terms of the Standard Contract, companies are allowed to mark any data reported under the contract as “proprietary data” (See 10 C.F.R. 961.11, Article XXI – Rights in Technical Data). Although a large part of the information furnished is publicly available, this information is not typically published by DOE. If a request for the information is received, to the extent that information is not in the public domain or has been marked as “proprietary data,” the procedures listed below will be followed. </w:t>
      </w:r>
    </w:p>
    <w:p w:rsidR="007C5030" w:rsidRPr="007C5030" w:rsidP="007C5030" w14:paraId="164ABED3" w14:textId="77777777">
      <w:pPr>
        <w:tabs>
          <w:tab w:val="left" w:pos="-1440"/>
          <w:tab w:val="left" w:pos="-720"/>
          <w:tab w:val="left" w:pos="0"/>
          <w:tab w:val="left" w:pos="72"/>
          <w:tab w:val="left" w:pos="360"/>
          <w:tab w:val="left" w:pos="648"/>
          <w:tab w:val="left" w:pos="720"/>
          <w:tab w:val="left" w:pos="936"/>
          <w:tab w:val="left" w:pos="1224"/>
          <w:tab w:val="left" w:pos="1440"/>
          <w:tab w:val="left" w:pos="1512"/>
          <w:tab w:val="left" w:pos="1800"/>
          <w:tab w:val="left" w:pos="2088"/>
          <w:tab w:val="left" w:pos="2160"/>
          <w:tab w:val="left" w:pos="2376"/>
          <w:tab w:val="left" w:pos="2664"/>
          <w:tab w:val="left" w:pos="2880"/>
          <w:tab w:val="left" w:pos="2952"/>
        </w:tabs>
        <w:rPr>
          <w:rFonts w:cs="Calibri"/>
        </w:rPr>
      </w:pPr>
      <w:r w:rsidRPr="007C5030">
        <w:rPr>
          <w:rFonts w:cs="Calibri"/>
        </w:rPr>
        <w:t>The information reported on Form NWPA-830G will be protected and not disclosed to the public to the extent that it satisfies the criteria for exemption under the Freedom of Information Act (FOIA), 5 U.S.C. §552, DOE regulations implementing the FOIA, 10 C.F.R. §1004.11, and the Trade Secrets Act, 18 U.S.C. §1905.</w:t>
      </w:r>
    </w:p>
    <w:p w:rsidR="007C5030" w:rsidRPr="007C5030" w:rsidP="007C5030" w14:paraId="4C875535" w14:textId="389620AB">
      <w:pPr>
        <w:pStyle w:val="BodyTextIndent"/>
        <w:ind w:left="0"/>
        <w:rPr>
          <w:rFonts w:cs="Calibri"/>
        </w:rPr>
      </w:pPr>
      <w:r w:rsidRPr="007C5030">
        <w:rPr>
          <w:rFonts w:cs="Calibri"/>
        </w:rPr>
        <w:t>The information reported on this form may also be made available, upon request, to another DOE component, to any committee of Congress, the Government Accountability Office, or other federal agencies authorized by law to receive such information. A court of competent jurisdiction may obtain this information in response to an order. The information may be used for any non-statistical purposes such as administrative, regulatory, law enforcement, or adjudicatory purposes.</w:t>
      </w:r>
    </w:p>
    <w:p w:rsidR="007C5030" w:rsidRPr="00274BD4" w:rsidP="007C5030" w14:paraId="7EDCA0B3" w14:textId="44B9799C">
      <w:pPr>
        <w:rPr>
          <w:rFonts w:cs="Calibri"/>
        </w:rPr>
      </w:pPr>
      <w:r w:rsidRPr="00274BD4">
        <w:rPr>
          <w:rFonts w:cs="Calibri"/>
        </w:rPr>
        <w:t>Data associated with this survey is submitted directly to DOE and records are maintained by DOE’s Office of Standard Contract Management. The data are used for administrative, regulatory, and adjudicatory purposes only. Disclosure limitation procedures are not applied to the statistical data derived from this survey’s information. The agreement requires that the information is protected and not disclosed to the public as set forth above.</w:t>
      </w:r>
      <w:bookmarkEnd w:id="24"/>
      <w:bookmarkEnd w:id="25"/>
      <w:r w:rsidRPr="00274BD4">
        <w:rPr>
          <w:rFonts w:cs="Calibri"/>
          <w:i/>
          <w:iCs/>
        </w:rPr>
        <w:t xml:space="preserve"> </w:t>
      </w:r>
    </w:p>
    <w:p w:rsidR="002542D4" w:rsidRPr="002542D4" w:rsidP="002542D4" w14:paraId="151A1863" w14:textId="77777777">
      <w:pPr>
        <w:rPr>
          <w:b/>
          <w:bCs/>
          <w:noProof/>
        </w:rPr>
      </w:pPr>
    </w:p>
    <w:p w:rsidR="002542D4" w:rsidRPr="00BB64D7" w:rsidP="00F43F66" w14:paraId="25263CDF" w14:textId="77777777">
      <w:pPr>
        <w:pStyle w:val="Heading2"/>
        <w:rPr>
          <w:noProof/>
        </w:rPr>
      </w:pPr>
      <w:bookmarkStart w:id="26" w:name="_Toc492634211"/>
      <w:bookmarkStart w:id="27" w:name="_Toc161999671"/>
      <w:r w:rsidRPr="00BB64D7">
        <w:rPr>
          <w:noProof/>
        </w:rPr>
        <w:t>A.11. Justification for Sensitive Questions</w:t>
      </w:r>
      <w:bookmarkEnd w:id="26"/>
      <w:bookmarkEnd w:id="27"/>
      <w:r w:rsidRPr="00BB64D7">
        <w:rPr>
          <w:noProof/>
        </w:rPr>
        <w:t xml:space="preserve"> </w:t>
      </w:r>
    </w:p>
    <w:p w:rsidR="001B2110" w:rsidRPr="001B2110" w:rsidP="001B2110" w14:paraId="03F608FF" w14:textId="77777777">
      <w:pPr>
        <w:rPr>
          <w:rFonts w:cs="Calibri"/>
        </w:rPr>
      </w:pPr>
      <w:r w:rsidRPr="001B2110">
        <w:rPr>
          <w:rFonts w:cs="Calibri"/>
        </w:rPr>
        <w:t>There are no questions of a sensitive nature in these data collections.</w:t>
      </w:r>
      <w:r w:rsidRPr="001B2110">
        <w:rPr>
          <w:rFonts w:cs="Calibri"/>
          <w:i/>
          <w:iCs/>
        </w:rPr>
        <w:t xml:space="preserve"> </w:t>
      </w:r>
    </w:p>
    <w:p w:rsidR="002542D4" w:rsidRPr="002542D4" w:rsidP="002542D4" w14:paraId="6600AE70" w14:textId="77777777">
      <w:pPr>
        <w:rPr>
          <w:b/>
          <w:bCs/>
          <w:noProof/>
        </w:rPr>
      </w:pPr>
    </w:p>
    <w:p w:rsidR="00927755" w:rsidP="001D77C7" w14:paraId="22BAB557" w14:textId="77777777">
      <w:pPr>
        <w:pStyle w:val="Heading2"/>
        <w:rPr>
          <w:noProof/>
        </w:rPr>
      </w:pPr>
      <w:bookmarkStart w:id="28" w:name="_Toc492634212"/>
      <w:bookmarkStart w:id="29" w:name="_Toc161999672"/>
      <w:r w:rsidRPr="00BB64D7">
        <w:rPr>
          <w:noProof/>
        </w:rPr>
        <w:t>A.12. Estimate of Respondent Burden Hours and Cost</w:t>
      </w:r>
      <w:bookmarkEnd w:id="28"/>
      <w:bookmarkEnd w:id="29"/>
      <w:r w:rsidRPr="00BB64D7">
        <w:rPr>
          <w:noProof/>
        </w:rPr>
        <w:t xml:space="preserve"> </w:t>
      </w:r>
      <w:bookmarkStart w:id="30" w:name="_Toc83304106"/>
      <w:bookmarkStart w:id="31" w:name="_Toc83308546"/>
    </w:p>
    <w:bookmarkEnd w:id="30"/>
    <w:bookmarkEnd w:id="31"/>
    <w:p w:rsidR="001D77C7" w:rsidRPr="002542D4" w:rsidP="002542D4" w14:paraId="7CE639AF" w14:textId="4E88C45B">
      <w:pPr>
        <w:rPr>
          <w:noProof/>
        </w:rPr>
      </w:pPr>
      <w:r>
        <w:t xml:space="preserve">The </w:t>
      </w:r>
      <w:r w:rsidRPr="00BA7A75">
        <w:t>estimate of respondent burden for Form NWPA-830G Appendix G - Standard Remittance Advice for</w:t>
      </w:r>
      <w:r w:rsidRPr="00BA7A75">
        <w:rPr>
          <w:i/>
        </w:rPr>
        <w:t xml:space="preserve"> Paymen</w:t>
      </w:r>
      <w:r w:rsidRPr="00274BD4">
        <w:rPr>
          <w:i/>
        </w:rPr>
        <w:t>t of Fees</w:t>
      </w:r>
      <w:r w:rsidRPr="00274BD4">
        <w:t>, including Annex A to Appendix G, is listed in Table A1. The overall annual respondent burden is estimated to be 1,880 hours. The costs to respondents for the burden hours are estimated to be $</w:t>
      </w:r>
      <w:r w:rsidRPr="00274BD4" w:rsidR="006E7EDF">
        <w:t xml:space="preserve">171,381 </w:t>
      </w:r>
      <w:r w:rsidRPr="00274BD4">
        <w:t>(1,880 estimated number of burden hours times $</w:t>
      </w:r>
      <w:r w:rsidRPr="00274BD4" w:rsidR="006E7EDF">
        <w:t>91.16</w:t>
      </w:r>
      <w:r w:rsidRPr="00274BD4">
        <w:t xml:space="preserve"> per hour current average loaded wage rate). An average cost per hour of $</w:t>
      </w:r>
      <w:r w:rsidRPr="00274BD4" w:rsidR="006E7EDF">
        <w:t>91.16</w:t>
      </w:r>
      <w:r w:rsidRPr="00274BD4">
        <w:t xml:space="preserve"> is used because that is the average loaded (salary plus benefits) cost for an EIA employee assigned to data survey work at the time of this writing. EIA assumes that the survey respondent workforce completing surveys for </w:t>
      </w:r>
      <w:r w:rsidR="00183B2A">
        <w:t>DOE</w:t>
      </w:r>
      <w:r w:rsidRPr="00274BD4" w:rsidR="00183B2A">
        <w:t xml:space="preserve"> </w:t>
      </w:r>
      <w:r w:rsidRPr="00274BD4">
        <w:t>is comparable with th</w:t>
      </w:r>
      <w:r w:rsidRPr="00BA7A75">
        <w:t>e EIA workforce.</w:t>
      </w:r>
    </w:p>
    <w:bookmarkStart w:id="32" w:name="_MON_1539789608"/>
    <w:bookmarkEnd w:id="32"/>
    <w:p w:rsidR="002542D4" w:rsidP="002542D4" w14:paraId="1B363F13" w14:textId="6899A9F3">
      <w:pPr>
        <w:rPr>
          <w:b/>
          <w:bCs/>
        </w:rPr>
      </w:pPr>
      <w:r>
        <w:rPr>
          <w:b/>
          <w:bCs/>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55.15pt;height:87.7pt" o:oleicon="f" o:ole="">
            <v:imagedata r:id="rId16" o:title="" cropbottom="33069f"/>
          </v:shape>
          <o:OLEObject Type="Embed" ProgID="Excel.Sheet.12" ShapeID="_x0000_i1030" DrawAspect="Content" ObjectID="_1793521745" r:id="rId17"/>
        </w:object>
      </w:r>
    </w:p>
    <w:p w:rsidR="006B678C" w:rsidRPr="00870264" w:rsidP="006B678C" w14:paraId="2A6E74F3" w14:textId="77777777">
      <w:pPr>
        <w:rPr>
          <w:bCs/>
        </w:rPr>
      </w:pPr>
      <w:r w:rsidRPr="00870264">
        <w:rPr>
          <w:bCs/>
        </w:rPr>
        <w:t>The estimated burden of five hours per response estimate represents both the Appendix G - Standard Remittance Advice for Payment of Fees and the Annex A to Appendix G.</w:t>
      </w:r>
    </w:p>
    <w:p w:rsidR="006B678C" w:rsidRPr="002542D4" w:rsidP="002542D4" w14:paraId="37895429" w14:textId="77777777">
      <w:pPr>
        <w:rPr>
          <w:b/>
          <w:bCs/>
          <w:noProof/>
        </w:rPr>
      </w:pPr>
    </w:p>
    <w:p w:rsidR="002542D4" w:rsidRPr="00BB64D7" w:rsidP="00F43F66" w14:paraId="0B1E7FA4" w14:textId="77777777">
      <w:pPr>
        <w:pStyle w:val="Heading2"/>
        <w:rPr>
          <w:noProof/>
        </w:rPr>
      </w:pPr>
      <w:bookmarkStart w:id="33" w:name="_Toc492634213"/>
      <w:bookmarkStart w:id="34" w:name="_Toc161999673"/>
      <w:r w:rsidRPr="00BB64D7">
        <w:rPr>
          <w:noProof/>
        </w:rPr>
        <w:t>A.13. Annual Cost to the Federal Government</w:t>
      </w:r>
      <w:bookmarkEnd w:id="33"/>
      <w:bookmarkEnd w:id="34"/>
    </w:p>
    <w:p w:rsidR="002A110E" w:rsidRPr="00274BD4" w:rsidP="002A110E" w14:paraId="012284CC" w14:textId="2BF987E2">
      <w:pPr>
        <w:pStyle w:val="CommentText"/>
        <w:spacing w:line="300" w:lineRule="atLeast"/>
        <w:rPr>
          <w:rFonts w:eastAsia="Times New Roman" w:cs="Calibri"/>
          <w:sz w:val="22"/>
          <w:szCs w:val="22"/>
        </w:rPr>
      </w:pPr>
      <w:r w:rsidRPr="00274BD4">
        <w:rPr>
          <w:sz w:val="22"/>
          <w:szCs w:val="22"/>
        </w:rPr>
        <w:t>The estimated annual cost to the Federal Government for Form NWPA-830G, including Annex A to Appendix G, is $59,327</w:t>
      </w:r>
      <w:r w:rsidRPr="00274BD4">
        <w:rPr>
          <w:rFonts w:eastAsia="Times New Roman" w:cs="Calibri"/>
          <w:sz w:val="22"/>
          <w:szCs w:val="22"/>
        </w:rPr>
        <w:t xml:space="preserve">. The cost figures include (1) Development and Maintenance Costs, (2) Collection Costs, (3) Processing Costs, (4) Publication Costs, and (5) Other Costs. </w:t>
      </w:r>
    </w:p>
    <w:p w:rsidR="002A110E" w:rsidRPr="00274BD4" w:rsidP="002A110E" w14:paraId="244D2C66" w14:textId="24BD6F92">
      <w:pPr>
        <w:pStyle w:val="CommentText"/>
        <w:spacing w:line="300" w:lineRule="atLeast"/>
        <w:rPr>
          <w:rFonts w:eastAsia="Times New Roman" w:cs="Calibri"/>
          <w:sz w:val="22"/>
          <w:szCs w:val="22"/>
        </w:rPr>
      </w:pPr>
      <w:r w:rsidRPr="00274BD4">
        <w:rPr>
          <w:rFonts w:eastAsia="Times New Roman" w:cs="Calibri"/>
          <w:sz w:val="22"/>
          <w:szCs w:val="22"/>
        </w:rPr>
        <w:t>The estimated annual cost to the Federal Government includes 30% of the funds for one Full Time Equivalent (FTE) at the rate of $197,756.</w:t>
      </w:r>
      <w:r>
        <w:rPr>
          <w:rStyle w:val="FootnoteReference"/>
        </w:rPr>
        <w:footnoteReference w:id="4"/>
      </w:r>
      <w:r w:rsidRPr="00274BD4">
        <w:rPr>
          <w:rFonts w:eastAsia="Times New Roman" w:cs="Calibri"/>
          <w:sz w:val="22"/>
          <w:szCs w:val="22"/>
        </w:rPr>
        <w:t xml:space="preserve"> </w:t>
      </w:r>
    </w:p>
    <w:p w:rsidR="002A110E" w:rsidRPr="00274BD4" w:rsidP="002A110E" w14:paraId="3FAD17ED" w14:textId="2BBB286B">
      <w:pPr>
        <w:rPr>
          <w:rFonts w:cs="Calibri"/>
        </w:rPr>
      </w:pPr>
      <w:r w:rsidRPr="00274BD4">
        <w:rPr>
          <w:rFonts w:cs="Calibri"/>
        </w:rPr>
        <w:t>Total Estimated Annual Federal Employee Cost = 30% x $197,756= $59,327</w:t>
      </w:r>
    </w:p>
    <w:p w:rsidR="002542D4" w:rsidP="002542D4" w14:paraId="33A3CEB0" w14:textId="77777777">
      <w:pPr>
        <w:rPr>
          <w:b/>
          <w:noProof/>
        </w:rPr>
      </w:pPr>
    </w:p>
    <w:tbl>
      <w:tblPr>
        <w:tblW w:w="9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5202"/>
        <w:gridCol w:w="1620"/>
        <w:gridCol w:w="1663"/>
        <w:gridCol w:w="986"/>
      </w:tblGrid>
      <w:tr w14:paraId="77E39357" w14:textId="77777777" w:rsidTr="006A17F6">
        <w:tblPrEx>
          <w:tblW w:w="9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Ex>
        <w:trPr>
          <w:trHeight w:val="576"/>
        </w:trPr>
        <w:tc>
          <w:tcPr>
            <w:tcW w:w="9471" w:type="dxa"/>
            <w:gridSpan w:val="4"/>
            <w:tcBorders>
              <w:top w:val="nil"/>
              <w:left w:val="nil"/>
              <w:bottom w:val="single" w:sz="4" w:space="0" w:color="auto"/>
              <w:right w:val="nil"/>
            </w:tcBorders>
            <w:shd w:val="clear" w:color="auto" w:fill="FFFFFF"/>
            <w:noWrap/>
            <w:vAlign w:val="center"/>
          </w:tcPr>
          <w:p w:rsidR="006A17F6" w:rsidRPr="006415BC" w14:paraId="2E3D11E0" w14:textId="215B2CA4">
            <w:pPr>
              <w:spacing w:after="0" w:line="240" w:lineRule="auto"/>
              <w:jc w:val="center"/>
              <w:rPr>
                <w:rFonts w:eastAsia="Times New Roman" w:cs="Calibri"/>
                <w:b/>
                <w:bCs/>
                <w:color w:val="1396D8"/>
                <w:sz w:val="28"/>
                <w:szCs w:val="28"/>
              </w:rPr>
            </w:pPr>
            <w:r w:rsidRPr="006A17F6">
              <w:rPr>
                <w:rFonts w:eastAsia="Times New Roman" w:cs="Calibri"/>
                <w:b/>
                <w:bCs/>
                <w:color w:val="1396D8"/>
                <w:sz w:val="28"/>
                <w:szCs w:val="28"/>
                <w:shd w:val="clear" w:color="auto" w:fill="FFFFFF"/>
              </w:rPr>
              <w:t>Federal Employee Costs (Estimated Annual)</w:t>
            </w:r>
          </w:p>
        </w:tc>
      </w:tr>
      <w:tr w14:paraId="7AD60118" w14:textId="77777777" w:rsidTr="006A17F6">
        <w:tblPrEx>
          <w:tblW w:w="9471" w:type="dxa"/>
          <w:shd w:val="clear" w:color="auto" w:fill="FFFFFF"/>
          <w:tblLook w:val="04A0"/>
        </w:tblPrEx>
        <w:trPr>
          <w:trHeight w:val="576"/>
        </w:trPr>
        <w:tc>
          <w:tcPr>
            <w:tcW w:w="5202" w:type="dxa"/>
            <w:tcBorders>
              <w:top w:val="single" w:sz="4" w:space="0" w:color="auto"/>
            </w:tcBorders>
            <w:shd w:val="clear" w:color="auto" w:fill="00B0F0"/>
            <w:noWrap/>
            <w:vAlign w:val="center"/>
          </w:tcPr>
          <w:p w:rsidR="006A17F6" w:rsidRPr="006415BC" w14:paraId="7098700E" w14:textId="77777777">
            <w:pPr>
              <w:spacing w:after="0" w:line="240" w:lineRule="auto"/>
              <w:rPr>
                <w:rFonts w:eastAsia="Times New Roman" w:cs="Calibri"/>
                <w:b/>
                <w:bCs/>
                <w:color w:val="000000"/>
              </w:rPr>
            </w:pPr>
            <w:r w:rsidRPr="006415BC">
              <w:rPr>
                <w:rFonts w:eastAsia="Times New Roman" w:cs="Calibri"/>
                <w:b/>
                <w:bCs/>
                <w:color w:val="000000"/>
              </w:rPr>
              <w:t>Activity</w:t>
            </w:r>
          </w:p>
        </w:tc>
        <w:tc>
          <w:tcPr>
            <w:tcW w:w="1620" w:type="dxa"/>
            <w:tcBorders>
              <w:top w:val="single" w:sz="4" w:space="0" w:color="auto"/>
            </w:tcBorders>
            <w:shd w:val="clear" w:color="auto" w:fill="00B0F0"/>
            <w:noWrap/>
            <w:vAlign w:val="center"/>
          </w:tcPr>
          <w:p w:rsidR="006A17F6" w:rsidRPr="006415BC" w14:paraId="230FC83E" w14:textId="77777777">
            <w:pPr>
              <w:spacing w:after="0" w:line="240" w:lineRule="auto"/>
              <w:jc w:val="center"/>
              <w:rPr>
                <w:rFonts w:eastAsia="Times New Roman" w:cs="Calibri"/>
                <w:b/>
                <w:bCs/>
                <w:color w:val="000000"/>
              </w:rPr>
            </w:pPr>
            <w:r w:rsidRPr="006415BC">
              <w:rPr>
                <w:rFonts w:eastAsia="Times New Roman" w:cs="Calibri"/>
                <w:b/>
                <w:bCs/>
                <w:color w:val="000000"/>
              </w:rPr>
              <w:t>Labor hours</w:t>
            </w:r>
          </w:p>
        </w:tc>
        <w:tc>
          <w:tcPr>
            <w:tcW w:w="1663" w:type="dxa"/>
            <w:tcBorders>
              <w:top w:val="single" w:sz="4" w:space="0" w:color="auto"/>
            </w:tcBorders>
            <w:shd w:val="clear" w:color="auto" w:fill="00B0F0"/>
            <w:noWrap/>
            <w:vAlign w:val="center"/>
          </w:tcPr>
          <w:p w:rsidR="006A17F6" w:rsidRPr="006415BC" w14:paraId="2F81AF71" w14:textId="77777777">
            <w:pPr>
              <w:spacing w:after="0" w:line="240" w:lineRule="auto"/>
              <w:jc w:val="center"/>
              <w:rPr>
                <w:rFonts w:eastAsia="Times New Roman" w:cs="Calibri"/>
                <w:b/>
                <w:bCs/>
                <w:color w:val="000000"/>
              </w:rPr>
            </w:pPr>
            <w:r w:rsidRPr="006415BC">
              <w:rPr>
                <w:rFonts w:eastAsia="Times New Roman" w:cs="Calibri"/>
                <w:b/>
                <w:bCs/>
                <w:color w:val="000000"/>
              </w:rPr>
              <w:t>Cost ($)</w:t>
            </w:r>
          </w:p>
        </w:tc>
        <w:tc>
          <w:tcPr>
            <w:tcW w:w="986" w:type="dxa"/>
            <w:tcBorders>
              <w:top w:val="single" w:sz="4" w:space="0" w:color="auto"/>
              <w:bottom w:val="single" w:sz="4" w:space="0" w:color="auto"/>
            </w:tcBorders>
            <w:shd w:val="clear" w:color="auto" w:fill="00B0F0"/>
            <w:noWrap/>
            <w:vAlign w:val="center"/>
          </w:tcPr>
          <w:p w:rsidR="006A17F6" w:rsidRPr="006415BC" w14:paraId="1D344F61" w14:textId="77777777">
            <w:pPr>
              <w:spacing w:after="0" w:line="240" w:lineRule="auto"/>
              <w:jc w:val="center"/>
              <w:rPr>
                <w:rFonts w:eastAsia="Times New Roman" w:cs="Calibri"/>
                <w:b/>
                <w:bCs/>
                <w:color w:val="000000"/>
              </w:rPr>
            </w:pPr>
            <w:r w:rsidRPr="006415BC">
              <w:rPr>
                <w:rFonts w:eastAsia="Times New Roman" w:cs="Calibri"/>
                <w:b/>
                <w:bCs/>
                <w:color w:val="000000"/>
              </w:rPr>
              <w:t>% of time</w:t>
            </w:r>
          </w:p>
        </w:tc>
      </w:tr>
      <w:tr w14:paraId="2862F204" w14:textId="77777777" w:rsidTr="006A17F6">
        <w:tblPrEx>
          <w:tblW w:w="9471" w:type="dxa"/>
          <w:shd w:val="clear" w:color="auto" w:fill="FFFFFF"/>
          <w:tblLook w:val="04A0"/>
        </w:tblPrEx>
        <w:trPr>
          <w:trHeight w:val="576"/>
        </w:trPr>
        <w:tc>
          <w:tcPr>
            <w:tcW w:w="5202" w:type="dxa"/>
            <w:shd w:val="clear" w:color="auto" w:fill="FFFFFF"/>
            <w:noWrap/>
            <w:vAlign w:val="center"/>
          </w:tcPr>
          <w:p w:rsidR="006A17F6" w:rsidRPr="008E0883" w14:paraId="7EF4F325" w14:textId="77777777">
            <w:pPr>
              <w:spacing w:after="0" w:line="240" w:lineRule="auto"/>
              <w:rPr>
                <w:rFonts w:eastAsia="Times New Roman" w:cs="Calibri"/>
                <w:color w:val="000000"/>
              </w:rPr>
            </w:pPr>
            <w:r w:rsidRPr="008E0883">
              <w:rPr>
                <w:rFonts w:eastAsia="Times New Roman" w:cs="Calibri"/>
                <w:color w:val="000000"/>
              </w:rPr>
              <w:t>Program management and overall support</w:t>
            </w:r>
          </w:p>
        </w:tc>
        <w:tc>
          <w:tcPr>
            <w:tcW w:w="1620" w:type="dxa"/>
            <w:shd w:val="clear" w:color="auto" w:fill="FFFFFF"/>
            <w:noWrap/>
            <w:vAlign w:val="center"/>
          </w:tcPr>
          <w:p w:rsidR="006A17F6" w:rsidRPr="008E0883" w14:paraId="1620D558" w14:textId="77777777">
            <w:pPr>
              <w:spacing w:after="0" w:line="240" w:lineRule="auto"/>
              <w:jc w:val="center"/>
              <w:rPr>
                <w:rFonts w:eastAsia="Times New Roman" w:cs="Calibri"/>
                <w:color w:val="000000"/>
              </w:rPr>
            </w:pPr>
            <w:r w:rsidRPr="008E0883">
              <w:rPr>
                <w:rFonts w:eastAsia="Times New Roman" w:cs="Calibri"/>
                <w:color w:val="000000"/>
              </w:rPr>
              <w:t>624</w:t>
            </w:r>
          </w:p>
        </w:tc>
        <w:tc>
          <w:tcPr>
            <w:tcW w:w="1663" w:type="dxa"/>
            <w:shd w:val="clear" w:color="auto" w:fill="FFFFFF"/>
            <w:noWrap/>
            <w:vAlign w:val="center"/>
          </w:tcPr>
          <w:p w:rsidR="006A17F6" w:rsidRPr="00274BD4" w14:paraId="04A55109" w14:textId="4D9D64C0">
            <w:pPr>
              <w:spacing w:after="0" w:line="240" w:lineRule="auto"/>
              <w:jc w:val="center"/>
              <w:rPr>
                <w:rFonts w:eastAsia="Times New Roman" w:cs="Calibri"/>
              </w:rPr>
            </w:pPr>
            <w:r w:rsidRPr="00274BD4">
              <w:rPr>
                <w:rFonts w:cs="Calibri"/>
              </w:rPr>
              <w:t>$59,327</w:t>
            </w:r>
          </w:p>
        </w:tc>
        <w:tc>
          <w:tcPr>
            <w:tcW w:w="986" w:type="dxa"/>
            <w:tcBorders>
              <w:top w:val="single" w:sz="4" w:space="0" w:color="auto"/>
              <w:bottom w:val="single" w:sz="4" w:space="0" w:color="auto"/>
            </w:tcBorders>
            <w:shd w:val="clear" w:color="auto" w:fill="FFFFFF"/>
            <w:noWrap/>
            <w:vAlign w:val="center"/>
          </w:tcPr>
          <w:p w:rsidR="006A17F6" w:rsidRPr="008E0883" w14:paraId="5522855C" w14:textId="77777777">
            <w:pPr>
              <w:spacing w:after="0" w:line="240" w:lineRule="auto"/>
              <w:jc w:val="center"/>
              <w:rPr>
                <w:rFonts w:eastAsia="Times New Roman" w:cs="Calibri"/>
                <w:color w:val="000000"/>
              </w:rPr>
            </w:pPr>
            <w:r w:rsidRPr="008E0883">
              <w:rPr>
                <w:rFonts w:eastAsia="Times New Roman" w:cs="Calibri"/>
                <w:color w:val="000000"/>
              </w:rPr>
              <w:t>100</w:t>
            </w:r>
            <w:r>
              <w:rPr>
                <w:rFonts w:eastAsia="Times New Roman" w:cs="Calibri"/>
                <w:color w:val="000000"/>
              </w:rPr>
              <w:t xml:space="preserve">% </w:t>
            </w:r>
          </w:p>
        </w:tc>
      </w:tr>
      <w:tr w14:paraId="672DDDBB" w14:textId="77777777" w:rsidTr="006A17F6">
        <w:tblPrEx>
          <w:tblW w:w="9471" w:type="dxa"/>
          <w:shd w:val="clear" w:color="auto" w:fill="FFFFFF"/>
          <w:tblLook w:val="04A0"/>
        </w:tblPrEx>
        <w:trPr>
          <w:trHeight w:val="576"/>
        </w:trPr>
        <w:tc>
          <w:tcPr>
            <w:tcW w:w="5202" w:type="dxa"/>
            <w:shd w:val="clear" w:color="auto" w:fill="FFFFFF"/>
            <w:noWrap/>
            <w:vAlign w:val="center"/>
          </w:tcPr>
          <w:p w:rsidR="006A17F6" w:rsidRPr="008E0883" w14:paraId="76EB43E3" w14:textId="77777777">
            <w:pPr>
              <w:spacing w:after="0" w:line="240" w:lineRule="auto"/>
              <w:rPr>
                <w:rFonts w:eastAsia="Times New Roman" w:cs="Calibri"/>
                <w:color w:val="000000"/>
              </w:rPr>
            </w:pPr>
            <w:r w:rsidRPr="008E0883">
              <w:rPr>
                <w:rFonts w:eastAsia="Times New Roman" w:cs="Calibri"/>
                <w:b/>
                <w:bCs/>
                <w:color w:val="000000"/>
              </w:rPr>
              <w:t>Total annual cost</w:t>
            </w:r>
          </w:p>
        </w:tc>
        <w:tc>
          <w:tcPr>
            <w:tcW w:w="1620" w:type="dxa"/>
            <w:shd w:val="clear" w:color="auto" w:fill="FFFFFF"/>
            <w:noWrap/>
            <w:vAlign w:val="center"/>
          </w:tcPr>
          <w:p w:rsidR="006A17F6" w:rsidRPr="008E0883" w14:paraId="3A9863C3" w14:textId="77777777">
            <w:pPr>
              <w:spacing w:after="0" w:line="240" w:lineRule="auto"/>
              <w:jc w:val="center"/>
              <w:rPr>
                <w:rFonts w:eastAsia="Times New Roman" w:cs="Calibri"/>
                <w:color w:val="000000"/>
              </w:rPr>
            </w:pPr>
            <w:r w:rsidRPr="008E0883">
              <w:rPr>
                <w:rFonts w:eastAsia="Times New Roman" w:cs="Calibri"/>
                <w:b/>
                <w:bCs/>
                <w:color w:val="000000"/>
              </w:rPr>
              <w:t>624</w:t>
            </w:r>
          </w:p>
        </w:tc>
        <w:tc>
          <w:tcPr>
            <w:tcW w:w="1663" w:type="dxa"/>
            <w:shd w:val="clear" w:color="auto" w:fill="FFFFFF"/>
            <w:noWrap/>
            <w:vAlign w:val="center"/>
          </w:tcPr>
          <w:p w:rsidR="006A17F6" w:rsidRPr="00274BD4" w14:paraId="0337F2E8" w14:textId="65524464">
            <w:pPr>
              <w:spacing w:after="0" w:line="240" w:lineRule="auto"/>
              <w:jc w:val="center"/>
              <w:rPr>
                <w:rFonts w:eastAsia="Times New Roman" w:cs="Calibri"/>
              </w:rPr>
            </w:pPr>
            <w:r w:rsidRPr="00274BD4">
              <w:rPr>
                <w:rFonts w:eastAsia="Times New Roman" w:cs="Calibri"/>
                <w:b/>
                <w:bCs/>
              </w:rPr>
              <w:t>$59,327</w:t>
            </w:r>
          </w:p>
        </w:tc>
        <w:tc>
          <w:tcPr>
            <w:tcW w:w="986" w:type="dxa"/>
            <w:tcBorders>
              <w:top w:val="single" w:sz="4" w:space="0" w:color="auto"/>
              <w:bottom w:val="single" w:sz="4" w:space="0" w:color="auto"/>
            </w:tcBorders>
            <w:shd w:val="clear" w:color="auto" w:fill="FFFFFF"/>
            <w:noWrap/>
            <w:vAlign w:val="center"/>
          </w:tcPr>
          <w:p w:rsidR="006A17F6" w:rsidRPr="008E0883" w14:paraId="146E5133" w14:textId="77777777">
            <w:pPr>
              <w:spacing w:after="0" w:line="240" w:lineRule="auto"/>
              <w:jc w:val="center"/>
              <w:rPr>
                <w:rFonts w:eastAsia="Times New Roman" w:cs="Calibri"/>
                <w:color w:val="000000"/>
              </w:rPr>
            </w:pPr>
            <w:r w:rsidRPr="008E0883">
              <w:rPr>
                <w:rFonts w:eastAsia="Times New Roman" w:cs="Calibri"/>
                <w:b/>
                <w:bCs/>
                <w:color w:val="000000"/>
              </w:rPr>
              <w:t>100</w:t>
            </w:r>
            <w:r>
              <w:rPr>
                <w:rFonts w:eastAsia="Times New Roman" w:cs="Calibri"/>
                <w:b/>
                <w:bCs/>
                <w:color w:val="000000"/>
              </w:rPr>
              <w:t>%</w:t>
            </w:r>
          </w:p>
        </w:tc>
      </w:tr>
    </w:tbl>
    <w:p w:rsidR="00EF3D35" w:rsidP="002542D4" w14:paraId="1D0CA5EA" w14:textId="77777777">
      <w:pPr>
        <w:rPr>
          <w:b/>
          <w:noProof/>
        </w:rPr>
      </w:pPr>
    </w:p>
    <w:p w:rsidR="002542D4" w:rsidRPr="00BB64D7" w:rsidP="00F43F66" w14:paraId="57F386D6" w14:textId="77777777">
      <w:pPr>
        <w:pStyle w:val="Heading2"/>
        <w:rPr>
          <w:noProof/>
        </w:rPr>
      </w:pPr>
      <w:bookmarkStart w:id="35" w:name="_Toc161999674"/>
      <w:r w:rsidRPr="00BB64D7">
        <w:rPr>
          <w:noProof/>
        </w:rPr>
        <w:t>A.14. Changes in Burden</w:t>
      </w:r>
      <w:bookmarkEnd w:id="35"/>
      <w:r w:rsidRPr="00BB64D7">
        <w:rPr>
          <w:noProof/>
        </w:rPr>
        <w:t xml:space="preserve"> </w:t>
      </w:r>
    </w:p>
    <w:p w:rsidR="00CD7590" w:rsidRPr="006415BC" w:rsidP="00CD7590" w14:paraId="7BDC17E0" w14:textId="0945C466">
      <w:pPr>
        <w:ind w:right="-720"/>
        <w:rPr>
          <w:bCs/>
        </w:rPr>
      </w:pPr>
      <w:r w:rsidRPr="007F1811">
        <w:rPr>
          <w:bCs/>
        </w:rPr>
        <w:t>The estimated change in annual burden is a reduction</w:t>
      </w:r>
      <w:r w:rsidRPr="00274BD4">
        <w:rPr>
          <w:bCs/>
        </w:rPr>
        <w:t xml:space="preserve"> of 20 hours a</w:t>
      </w:r>
      <w:r>
        <w:rPr>
          <w:bCs/>
        </w:rPr>
        <w:t>s shown in Table A2</w:t>
      </w:r>
      <w:r w:rsidRPr="007F1811">
        <w:rPr>
          <w:bCs/>
        </w:rPr>
        <w:t xml:space="preserve"> below.</w:t>
      </w:r>
    </w:p>
    <w:bookmarkStart w:id="36" w:name="_MON_1566376226"/>
    <w:bookmarkEnd w:id="36"/>
    <w:p w:rsidR="002542D4" w:rsidRPr="002542D4" w:rsidP="000E5672" w14:paraId="7EC1286F" w14:textId="262372A6">
      <w:pPr>
        <w:tabs>
          <w:tab w:val="left" w:pos="0"/>
        </w:tabs>
        <w:ind w:hanging="900"/>
        <w:rPr>
          <w:b/>
          <w:bCs/>
          <w:noProof/>
        </w:rPr>
      </w:pPr>
      <w:r>
        <w:rPr>
          <w:b/>
          <w:bCs/>
        </w:rPr>
        <w:object>
          <v:shape id="_x0000_i1031" type="#_x0000_t75" style="width:561.65pt;height:111.8pt" o:oleicon="f" o:ole="">
            <v:imagedata r:id="rId18" o:title="" cropbottom="40783f"/>
          </v:shape>
          <o:OLEObject Type="Embed" ProgID="Excel.Sheet.12" ShapeID="_x0000_i1031" DrawAspect="Content" ObjectID="_1793521746" r:id="rId19"/>
        </w:object>
      </w:r>
    </w:p>
    <w:p w:rsidR="002542D4" w:rsidRPr="002542D4" w:rsidP="002542D4" w14:paraId="53392548" w14:textId="77777777">
      <w:pPr>
        <w:rPr>
          <w:b/>
          <w:bCs/>
          <w:noProof/>
        </w:rPr>
      </w:pPr>
    </w:p>
    <w:p w:rsidR="002542D4" w:rsidRPr="00BB64D7" w:rsidP="00F43F66" w14:paraId="18978766" w14:textId="77777777">
      <w:pPr>
        <w:pStyle w:val="Heading2"/>
        <w:rPr>
          <w:noProof/>
        </w:rPr>
      </w:pPr>
      <w:bookmarkStart w:id="37" w:name="_Toc492634215"/>
      <w:bookmarkStart w:id="38" w:name="_Toc161999675"/>
      <w:r w:rsidRPr="00BB64D7">
        <w:rPr>
          <w:noProof/>
        </w:rPr>
        <w:t>A.15. Reasons for Changes in Burden</w:t>
      </w:r>
      <w:bookmarkEnd w:id="37"/>
      <w:bookmarkEnd w:id="38"/>
    </w:p>
    <w:p w:rsidR="001A6D1B" w:rsidRPr="00274BD4" w14:paraId="320A4FA3" w14:textId="45595C08">
      <w:pPr>
        <w:rPr>
          <w:szCs w:val="24"/>
        </w:rPr>
      </w:pPr>
      <w:r w:rsidRPr="00274BD4">
        <w:rPr>
          <w:lang w:val="en-CA"/>
        </w:rPr>
        <w:t xml:space="preserve">The reduction of 20 annual burden hours for </w:t>
      </w:r>
      <w:r w:rsidRPr="00274BD4">
        <w:t>Form NWPA-830G</w:t>
      </w:r>
      <w:r w:rsidRPr="00274BD4">
        <w:rPr>
          <w:lang w:val="en-CA"/>
        </w:rPr>
        <w:t xml:space="preserve"> </w:t>
      </w:r>
      <w:r w:rsidRPr="00274BD4">
        <w:t>results from the net reduction of the number of total responding reactors from 95 to 94</w:t>
      </w:r>
      <w:r w:rsidRPr="00274BD4">
        <w:rPr>
          <w:szCs w:val="24"/>
        </w:rPr>
        <w:t xml:space="preserve">. </w:t>
      </w:r>
    </w:p>
    <w:p w:rsidR="001A6D1B" w:rsidRPr="00274BD4" w:rsidP="001A6D1B" w14:paraId="509DEFCA" w14:textId="334E1455">
      <w:r w:rsidRPr="00274BD4">
        <w:rPr>
          <w:szCs w:val="24"/>
        </w:rPr>
        <w:t xml:space="preserve">One </w:t>
      </w:r>
      <w:r w:rsidRPr="00274BD4">
        <w:rPr>
          <w:iCs/>
        </w:rPr>
        <w:t>reactor</w:t>
      </w:r>
      <w:r w:rsidRPr="00274BD4" w:rsidR="00470AF3">
        <w:rPr>
          <w:iCs/>
        </w:rPr>
        <w:t xml:space="preserve"> Palisade</w:t>
      </w:r>
      <w:r w:rsidRPr="00274BD4">
        <w:rPr>
          <w:iCs/>
        </w:rPr>
        <w:t xml:space="preserve"> permanently </w:t>
      </w:r>
      <w:r w:rsidRPr="00274BD4">
        <w:t xml:space="preserve">shut down since the last clearance cycle and no longer is required to pay fees into the Nuclear Waste Fund nor respond to this survey. </w:t>
      </w:r>
    </w:p>
    <w:tbl>
      <w:tblPr>
        <w:tblW w:w="9360" w:type="dxa"/>
        <w:tblLook w:val="04A0"/>
      </w:tblPr>
      <w:tblGrid>
        <w:gridCol w:w="2440"/>
        <w:gridCol w:w="3664"/>
        <w:gridCol w:w="3256"/>
      </w:tblGrid>
      <w:tr w14:paraId="5F0C58ED" w14:textId="77777777">
        <w:tblPrEx>
          <w:tblW w:w="9360" w:type="dxa"/>
          <w:tblLook w:val="04A0"/>
        </w:tblPrEx>
        <w:trPr>
          <w:trHeight w:val="144"/>
        </w:trPr>
        <w:tc>
          <w:tcPr>
            <w:tcW w:w="0" w:type="auto"/>
            <w:tcBorders>
              <w:top w:val="single" w:sz="4" w:space="0" w:color="auto"/>
              <w:left w:val="single" w:sz="4" w:space="0" w:color="auto"/>
              <w:bottom w:val="single" w:sz="4" w:space="0" w:color="auto"/>
              <w:right w:val="single" w:sz="4" w:space="0" w:color="auto"/>
            </w:tcBorders>
            <w:shd w:val="clear" w:color="auto" w:fill="00B0F0"/>
            <w:vAlign w:val="bottom"/>
            <w:hideMark/>
          </w:tcPr>
          <w:p w:rsidR="001A6D1B" w:rsidRPr="00274BD4" w14:paraId="17BA48BB" w14:textId="77777777">
            <w:pPr>
              <w:spacing w:after="0" w:line="240" w:lineRule="auto"/>
              <w:rPr>
                <w:rFonts w:eastAsia="Times New Roman" w:cstheme="minorHAnsi"/>
                <w:bCs/>
              </w:rPr>
            </w:pPr>
            <w:r w:rsidRPr="00274BD4">
              <w:rPr>
                <w:rFonts w:eastAsia="Times New Roman" w:cstheme="minorHAnsi"/>
                <w:bCs/>
              </w:rPr>
              <w:t>Plant Name</w:t>
            </w:r>
          </w:p>
        </w:tc>
        <w:tc>
          <w:tcPr>
            <w:tcW w:w="0" w:type="auto"/>
            <w:tcBorders>
              <w:top w:val="single" w:sz="4" w:space="0" w:color="auto"/>
              <w:left w:val="nil"/>
              <w:bottom w:val="single" w:sz="4" w:space="0" w:color="auto"/>
              <w:right w:val="single" w:sz="4" w:space="0" w:color="auto"/>
            </w:tcBorders>
            <w:shd w:val="clear" w:color="auto" w:fill="00B0F0"/>
            <w:vAlign w:val="bottom"/>
            <w:hideMark/>
          </w:tcPr>
          <w:p w:rsidR="001A6D1B" w:rsidRPr="00274BD4" w14:paraId="6084E887" w14:textId="77777777">
            <w:pPr>
              <w:spacing w:after="0" w:line="240" w:lineRule="auto"/>
              <w:jc w:val="center"/>
              <w:rPr>
                <w:rFonts w:eastAsia="Times New Roman" w:cstheme="minorHAnsi"/>
                <w:bCs/>
              </w:rPr>
            </w:pPr>
            <w:r w:rsidRPr="00274BD4">
              <w:rPr>
                <w:rFonts w:eastAsia="Times New Roman" w:cstheme="minorHAnsi"/>
                <w:bCs/>
              </w:rPr>
              <w:t>Retirement Month</w:t>
            </w:r>
          </w:p>
        </w:tc>
        <w:tc>
          <w:tcPr>
            <w:tcW w:w="0" w:type="auto"/>
            <w:tcBorders>
              <w:top w:val="single" w:sz="4" w:space="0" w:color="auto"/>
              <w:left w:val="nil"/>
              <w:bottom w:val="single" w:sz="4" w:space="0" w:color="auto"/>
              <w:right w:val="single" w:sz="4" w:space="0" w:color="auto"/>
            </w:tcBorders>
            <w:shd w:val="clear" w:color="auto" w:fill="00B0F0"/>
            <w:vAlign w:val="bottom"/>
            <w:hideMark/>
          </w:tcPr>
          <w:p w:rsidR="001A6D1B" w:rsidRPr="00274BD4" w14:paraId="65D95E87" w14:textId="77777777">
            <w:pPr>
              <w:spacing w:after="0" w:line="240" w:lineRule="auto"/>
              <w:jc w:val="center"/>
              <w:rPr>
                <w:rFonts w:eastAsia="Times New Roman" w:cstheme="minorHAnsi"/>
                <w:bCs/>
              </w:rPr>
            </w:pPr>
            <w:r w:rsidRPr="00274BD4">
              <w:rPr>
                <w:rFonts w:eastAsia="Times New Roman" w:cstheme="minorHAnsi"/>
                <w:bCs/>
              </w:rPr>
              <w:t>Retirement Year</w:t>
            </w:r>
          </w:p>
        </w:tc>
      </w:tr>
      <w:tr w14:paraId="043869EB" w14:textId="77777777">
        <w:tblPrEx>
          <w:tblW w:w="9360" w:type="dxa"/>
          <w:tblLook w:val="04A0"/>
        </w:tblPrEx>
        <w:trPr>
          <w:trHeight w:val="144"/>
        </w:trPr>
        <w:tc>
          <w:tcPr>
            <w:tcW w:w="0" w:type="auto"/>
            <w:tcBorders>
              <w:top w:val="nil"/>
              <w:left w:val="single" w:sz="4" w:space="0" w:color="auto"/>
              <w:bottom w:val="single" w:sz="4" w:space="0" w:color="auto"/>
              <w:right w:val="single" w:sz="4" w:space="0" w:color="auto"/>
            </w:tcBorders>
            <w:shd w:val="clear" w:color="auto" w:fill="auto"/>
            <w:vAlign w:val="bottom"/>
            <w:hideMark/>
          </w:tcPr>
          <w:p w:rsidR="001A6D1B" w:rsidRPr="00274BD4" w14:paraId="77BC6DE9" w14:textId="79AE2B2F">
            <w:pPr>
              <w:spacing w:after="0" w:line="240" w:lineRule="auto"/>
              <w:rPr>
                <w:rFonts w:eastAsia="Times New Roman" w:cstheme="minorHAnsi"/>
              </w:rPr>
            </w:pPr>
            <w:r w:rsidRPr="00274BD4">
              <w:rPr>
                <w:rFonts w:eastAsia="Times New Roman" w:cstheme="minorHAnsi"/>
              </w:rPr>
              <w:t>Palisade</w:t>
            </w:r>
          </w:p>
        </w:tc>
        <w:tc>
          <w:tcPr>
            <w:tcW w:w="0" w:type="auto"/>
            <w:tcBorders>
              <w:top w:val="nil"/>
              <w:left w:val="nil"/>
              <w:bottom w:val="single" w:sz="4" w:space="0" w:color="auto"/>
              <w:right w:val="single" w:sz="4" w:space="0" w:color="auto"/>
            </w:tcBorders>
            <w:shd w:val="clear" w:color="auto" w:fill="auto"/>
            <w:vAlign w:val="bottom"/>
            <w:hideMark/>
          </w:tcPr>
          <w:p w:rsidR="001A6D1B" w:rsidRPr="00274BD4" w14:paraId="12D1807A" w14:textId="29BBB478">
            <w:pPr>
              <w:spacing w:after="0" w:line="240" w:lineRule="auto"/>
              <w:jc w:val="center"/>
              <w:rPr>
                <w:rFonts w:eastAsia="Times New Roman" w:cstheme="minorHAnsi"/>
              </w:rPr>
            </w:pPr>
            <w:r w:rsidRPr="00274BD4">
              <w:rPr>
                <w:rFonts w:eastAsia="Times New Roman" w:cstheme="minorHAnsi"/>
              </w:rPr>
              <w:t>5</w:t>
            </w:r>
          </w:p>
        </w:tc>
        <w:tc>
          <w:tcPr>
            <w:tcW w:w="0" w:type="auto"/>
            <w:tcBorders>
              <w:top w:val="nil"/>
              <w:left w:val="nil"/>
              <w:bottom w:val="single" w:sz="4" w:space="0" w:color="auto"/>
              <w:right w:val="single" w:sz="4" w:space="0" w:color="auto"/>
            </w:tcBorders>
            <w:shd w:val="clear" w:color="auto" w:fill="auto"/>
            <w:vAlign w:val="bottom"/>
            <w:hideMark/>
          </w:tcPr>
          <w:p w:rsidR="001A6D1B" w:rsidRPr="00274BD4" w14:paraId="0A3A937A" w14:textId="210725F4">
            <w:pPr>
              <w:spacing w:after="0" w:line="240" w:lineRule="auto"/>
              <w:jc w:val="center"/>
              <w:rPr>
                <w:rFonts w:eastAsia="Times New Roman" w:cstheme="minorHAnsi"/>
              </w:rPr>
            </w:pPr>
            <w:r w:rsidRPr="00274BD4">
              <w:rPr>
                <w:rFonts w:eastAsia="Times New Roman" w:cstheme="minorHAnsi"/>
              </w:rPr>
              <w:t>2022</w:t>
            </w:r>
          </w:p>
        </w:tc>
      </w:tr>
    </w:tbl>
    <w:p w:rsidR="004C5EE3" w:rsidP="001A6D1B" w14:paraId="65BC4F07" w14:textId="215C6421"/>
    <w:p w:rsidR="004C5EE3" w14:paraId="707A0620" w14:textId="77777777">
      <w:pPr>
        <w:spacing w:after="0" w:line="240" w:lineRule="auto"/>
      </w:pPr>
      <w:r>
        <w:br w:type="page"/>
      </w:r>
    </w:p>
    <w:p w:rsidR="001A6D1B" w:rsidP="001A6D1B" w14:paraId="19350062" w14:textId="77777777"/>
    <w:tbl>
      <w:tblPr>
        <w:tblW w:w="9360" w:type="dxa"/>
        <w:jc w:val="center"/>
        <w:tblLayout w:type="fixed"/>
        <w:tblCellMar>
          <w:left w:w="115" w:type="dxa"/>
          <w:right w:w="115" w:type="dxa"/>
        </w:tblCellMar>
        <w:tblLook w:val="04A0"/>
      </w:tblPr>
      <w:tblGrid>
        <w:gridCol w:w="1872"/>
        <w:gridCol w:w="1818"/>
        <w:gridCol w:w="1926"/>
        <w:gridCol w:w="1872"/>
        <w:gridCol w:w="1872"/>
      </w:tblGrid>
      <w:tr w14:paraId="0BD29788" w14:textId="77777777" w:rsidTr="00BB64D7">
        <w:tblPrEx>
          <w:tblW w:w="9360" w:type="dxa"/>
          <w:jc w:val="center"/>
          <w:tblLayout w:type="fixed"/>
          <w:tblCellMar>
            <w:left w:w="115" w:type="dxa"/>
            <w:right w:w="115" w:type="dxa"/>
          </w:tblCellMar>
          <w:tblLook w:val="04A0"/>
        </w:tblPrEx>
        <w:trPr>
          <w:trHeight w:val="360"/>
          <w:jc w:val="center"/>
        </w:trPr>
        <w:tc>
          <w:tcPr>
            <w:tcW w:w="9360" w:type="dxa"/>
            <w:gridSpan w:val="5"/>
            <w:tcBorders>
              <w:top w:val="nil"/>
              <w:left w:val="nil"/>
              <w:bottom w:val="nil"/>
              <w:right w:val="nil"/>
            </w:tcBorders>
            <w:shd w:val="clear" w:color="auto" w:fill="auto"/>
            <w:noWrap/>
            <w:vAlign w:val="bottom"/>
            <w:hideMark/>
          </w:tcPr>
          <w:p w:rsidR="002542D4" w:rsidRPr="002542D4" w:rsidP="002542D4" w14:paraId="4DF003E7" w14:textId="77777777">
            <w:pPr>
              <w:rPr>
                <w:b/>
                <w:noProof/>
              </w:rPr>
            </w:pPr>
            <w:r w:rsidRPr="002542D4">
              <w:rPr>
                <w:noProof/>
              </w:rPr>
              <w:br w:type="page"/>
            </w:r>
            <w:r w:rsidRPr="002542D4">
              <w:rPr>
                <w:b/>
                <w:noProof/>
              </w:rPr>
              <w:t>Table A3. ICR Summary of Burden</w:t>
            </w:r>
          </w:p>
        </w:tc>
      </w:tr>
      <w:tr w14:paraId="3D48A78A" w14:textId="77777777" w:rsidTr="00BB64D7">
        <w:tblPrEx>
          <w:tblW w:w="9360" w:type="dxa"/>
          <w:jc w:val="center"/>
          <w:tblLayout w:type="fixed"/>
          <w:tblCellMar>
            <w:left w:w="115" w:type="dxa"/>
            <w:right w:w="115" w:type="dxa"/>
          </w:tblCellMar>
          <w:tblLook w:val="04A0"/>
        </w:tblPrEx>
        <w:trPr>
          <w:trHeight w:val="510"/>
          <w:jc w:val="center"/>
        </w:trPr>
        <w:tc>
          <w:tcPr>
            <w:tcW w:w="1872" w:type="dxa"/>
            <w:tcBorders>
              <w:top w:val="single" w:sz="4" w:space="0" w:color="auto"/>
              <w:left w:val="single" w:sz="4" w:space="0" w:color="auto"/>
              <w:bottom w:val="single" w:sz="4" w:space="0" w:color="auto"/>
              <w:right w:val="single" w:sz="4" w:space="0" w:color="auto"/>
            </w:tcBorders>
            <w:shd w:val="clear" w:color="000000" w:fill="00B0F0"/>
            <w:vAlign w:val="center"/>
            <w:hideMark/>
          </w:tcPr>
          <w:p w:rsidR="002542D4" w:rsidRPr="002542D4" w:rsidP="002542D4" w14:paraId="290BE206" w14:textId="77777777">
            <w:pPr>
              <w:rPr>
                <w:b/>
                <w:bCs/>
                <w:noProof/>
              </w:rPr>
            </w:pPr>
            <w:r w:rsidRPr="002542D4">
              <w:rPr>
                <w:b/>
                <w:bCs/>
                <w:noProof/>
              </w:rPr>
              <w:t> </w:t>
            </w:r>
          </w:p>
        </w:tc>
        <w:tc>
          <w:tcPr>
            <w:tcW w:w="1818" w:type="dxa"/>
            <w:tcBorders>
              <w:top w:val="single" w:sz="4" w:space="0" w:color="auto"/>
              <w:left w:val="nil"/>
              <w:bottom w:val="single" w:sz="4" w:space="0" w:color="auto"/>
              <w:right w:val="single" w:sz="4" w:space="0" w:color="auto"/>
            </w:tcBorders>
            <w:shd w:val="clear" w:color="000000" w:fill="00B0F0"/>
            <w:vAlign w:val="center"/>
            <w:hideMark/>
          </w:tcPr>
          <w:p w:rsidR="002542D4" w:rsidRPr="002542D4" w:rsidP="002542D4" w14:paraId="47EABAB3" w14:textId="77777777">
            <w:pPr>
              <w:rPr>
                <w:b/>
                <w:bCs/>
                <w:noProof/>
              </w:rPr>
            </w:pPr>
            <w:r w:rsidRPr="002542D4">
              <w:rPr>
                <w:b/>
                <w:bCs/>
                <w:noProof/>
              </w:rPr>
              <w:t>Requested</w:t>
            </w:r>
          </w:p>
        </w:tc>
        <w:tc>
          <w:tcPr>
            <w:tcW w:w="1926" w:type="dxa"/>
            <w:tcBorders>
              <w:top w:val="single" w:sz="4" w:space="0" w:color="auto"/>
              <w:left w:val="nil"/>
              <w:bottom w:val="single" w:sz="4" w:space="0" w:color="auto"/>
              <w:right w:val="single" w:sz="4" w:space="0" w:color="auto"/>
            </w:tcBorders>
            <w:shd w:val="clear" w:color="000000" w:fill="00B0F0"/>
            <w:vAlign w:val="center"/>
            <w:hideMark/>
          </w:tcPr>
          <w:p w:rsidR="002542D4" w:rsidRPr="002542D4" w:rsidP="002542D4" w14:paraId="1309398D" w14:textId="77777777">
            <w:pPr>
              <w:rPr>
                <w:b/>
                <w:bCs/>
                <w:noProof/>
              </w:rPr>
            </w:pPr>
            <w:r w:rsidRPr="002542D4">
              <w:rPr>
                <w:b/>
                <w:bCs/>
                <w:noProof/>
              </w:rPr>
              <w:t>Program Change Due to Agency Discretion</w:t>
            </w:r>
          </w:p>
        </w:tc>
        <w:tc>
          <w:tcPr>
            <w:tcW w:w="1872" w:type="dxa"/>
            <w:tcBorders>
              <w:top w:val="single" w:sz="4" w:space="0" w:color="auto"/>
              <w:left w:val="nil"/>
              <w:bottom w:val="single" w:sz="4" w:space="0" w:color="auto"/>
              <w:right w:val="single" w:sz="4" w:space="0" w:color="auto"/>
            </w:tcBorders>
            <w:shd w:val="clear" w:color="000000" w:fill="00B0F0"/>
            <w:vAlign w:val="center"/>
            <w:hideMark/>
          </w:tcPr>
          <w:p w:rsidR="002542D4" w:rsidRPr="002542D4" w:rsidP="002542D4" w14:paraId="63F18580" w14:textId="77777777">
            <w:pPr>
              <w:rPr>
                <w:b/>
                <w:bCs/>
                <w:noProof/>
              </w:rPr>
            </w:pPr>
            <w:r w:rsidRPr="002542D4">
              <w:rPr>
                <w:b/>
                <w:bCs/>
                <w:noProof/>
              </w:rPr>
              <w:t>Change Due to Adjustment in Agency Estimate</w:t>
            </w:r>
          </w:p>
        </w:tc>
        <w:tc>
          <w:tcPr>
            <w:tcW w:w="1872" w:type="dxa"/>
            <w:tcBorders>
              <w:top w:val="single" w:sz="4" w:space="0" w:color="auto"/>
              <w:left w:val="nil"/>
              <w:bottom w:val="single" w:sz="4" w:space="0" w:color="auto"/>
              <w:right w:val="single" w:sz="4" w:space="0" w:color="auto"/>
            </w:tcBorders>
            <w:shd w:val="clear" w:color="000000" w:fill="00B0F0"/>
            <w:vAlign w:val="center"/>
            <w:hideMark/>
          </w:tcPr>
          <w:p w:rsidR="002542D4" w:rsidRPr="002542D4" w:rsidP="002542D4" w14:paraId="439B70F1" w14:textId="77777777">
            <w:pPr>
              <w:rPr>
                <w:b/>
                <w:bCs/>
                <w:noProof/>
              </w:rPr>
            </w:pPr>
            <w:r w:rsidRPr="002542D4">
              <w:rPr>
                <w:b/>
                <w:bCs/>
                <w:noProof/>
              </w:rPr>
              <w:t>Previously Approved</w:t>
            </w:r>
          </w:p>
        </w:tc>
      </w:tr>
      <w:tr w14:paraId="222A8510" w14:textId="77777777" w:rsidTr="00BB64D7">
        <w:tblPrEx>
          <w:tblW w:w="9360" w:type="dxa"/>
          <w:jc w:val="center"/>
          <w:tblLayout w:type="fixed"/>
          <w:tblCellMar>
            <w:left w:w="115" w:type="dxa"/>
            <w:right w:w="115" w:type="dxa"/>
          </w:tblCellMar>
          <w:tblLook w:val="04A0"/>
        </w:tblPrEx>
        <w:trPr>
          <w:trHeight w:val="525"/>
          <w:jc w:val="center"/>
        </w:trPr>
        <w:tc>
          <w:tcPr>
            <w:tcW w:w="1872" w:type="dxa"/>
            <w:tcBorders>
              <w:top w:val="nil"/>
              <w:left w:val="single" w:sz="4" w:space="0" w:color="auto"/>
              <w:bottom w:val="single" w:sz="4" w:space="0" w:color="auto"/>
              <w:right w:val="single" w:sz="4" w:space="0" w:color="auto"/>
            </w:tcBorders>
            <w:shd w:val="clear" w:color="auto" w:fill="auto"/>
            <w:vAlign w:val="center"/>
            <w:hideMark/>
          </w:tcPr>
          <w:p w:rsidR="002542D4" w:rsidRPr="002542D4" w:rsidP="002542D4" w14:paraId="275038BE" w14:textId="77777777">
            <w:pPr>
              <w:rPr>
                <w:noProof/>
              </w:rPr>
            </w:pPr>
            <w:r w:rsidRPr="002542D4">
              <w:rPr>
                <w:noProof/>
              </w:rPr>
              <w:t>Total Number of Responses</w:t>
            </w:r>
          </w:p>
        </w:tc>
        <w:tc>
          <w:tcPr>
            <w:tcW w:w="1818" w:type="dxa"/>
            <w:tcBorders>
              <w:top w:val="nil"/>
              <w:left w:val="nil"/>
              <w:bottom w:val="single" w:sz="4" w:space="0" w:color="auto"/>
              <w:right w:val="single" w:sz="4" w:space="0" w:color="auto"/>
            </w:tcBorders>
            <w:shd w:val="clear" w:color="auto" w:fill="auto"/>
            <w:vAlign w:val="center"/>
            <w:hideMark/>
          </w:tcPr>
          <w:p w:rsidR="002542D4" w:rsidRPr="00274BD4" w:rsidP="002542D4" w14:paraId="4B9DA22C" w14:textId="77777777">
            <w:pPr>
              <w:rPr>
                <w:b/>
                <w:bCs/>
                <w:noProof/>
              </w:rPr>
            </w:pPr>
            <w:r w:rsidRPr="00274BD4">
              <w:rPr>
                <w:noProof/>
              </w:rPr>
              <w:fldChar w:fldCharType="begin"/>
            </w:r>
            <w:r w:rsidRPr="00274BD4">
              <w:rPr>
                <w:noProof/>
              </w:rPr>
              <w:instrText xml:space="preserve"> LINK Excel.Sheet.12 "C:\\Users\\ace\\OneDrive - Energy Information Administration\\Desktop\\Supporting Statement A Template.docx" "_1566376226!Table A2. Changes in Burden!R11C6" \a \f 5 \h  \* MERGEFORMAT </w:instrText>
            </w:r>
            <w:r w:rsidRPr="00274BD4">
              <w:rPr>
                <w:noProof/>
              </w:rPr>
              <w:fldChar w:fldCharType="separate"/>
            </w:r>
          </w:p>
          <w:p w:rsidR="002542D4" w:rsidRPr="00274BD4" w:rsidP="002542D4" w14:paraId="796340F5" w14:textId="72517E32">
            <w:pPr>
              <w:rPr>
                <w:b/>
                <w:bCs/>
                <w:noProof/>
              </w:rPr>
            </w:pPr>
            <w:r w:rsidRPr="00274BD4">
              <w:rPr>
                <w:b/>
                <w:bCs/>
                <w:noProof/>
              </w:rPr>
              <w:t>376</w:t>
            </w:r>
          </w:p>
          <w:p w:rsidR="002542D4" w:rsidRPr="00274BD4" w:rsidP="002542D4" w14:paraId="6FBFE213" w14:textId="77777777">
            <w:pPr>
              <w:rPr>
                <w:noProof/>
              </w:rPr>
            </w:pPr>
            <w:r w:rsidRPr="00274BD4">
              <w:rPr>
                <w:noProof/>
              </w:rPr>
              <w:fldChar w:fldCharType="end"/>
            </w:r>
          </w:p>
        </w:tc>
        <w:tc>
          <w:tcPr>
            <w:tcW w:w="1926" w:type="dxa"/>
            <w:tcBorders>
              <w:top w:val="nil"/>
              <w:left w:val="nil"/>
              <w:bottom w:val="single" w:sz="4" w:space="0" w:color="auto"/>
              <w:right w:val="single" w:sz="4" w:space="0" w:color="auto"/>
            </w:tcBorders>
            <w:shd w:val="clear" w:color="auto" w:fill="auto"/>
            <w:vAlign w:val="center"/>
            <w:hideMark/>
          </w:tcPr>
          <w:p w:rsidR="002542D4" w:rsidRPr="00274BD4" w:rsidP="002542D4" w14:paraId="2F50E279" w14:textId="77777777">
            <w:pPr>
              <w:rPr>
                <w:b/>
                <w:bCs/>
                <w:noProof/>
              </w:rPr>
            </w:pPr>
            <w:r w:rsidRPr="00274BD4">
              <w:rPr>
                <w:noProof/>
              </w:rPr>
              <w:fldChar w:fldCharType="begin"/>
            </w:r>
            <w:r w:rsidRPr="00274BD4">
              <w:rPr>
                <w:noProof/>
              </w:rPr>
              <w:instrText xml:space="preserve"> LINK Excel.Sheet.12 "C:\\Users\\ace\\OneDrive - Energy Information Administration\\Desktop\\Supporting Statement A Template.docx" "_1566376226!Table A2. Changes in Burden!R11C11" \a \f 5 \h  \* MERGEFORMAT </w:instrText>
            </w:r>
            <w:r w:rsidRPr="00274BD4">
              <w:rPr>
                <w:noProof/>
              </w:rPr>
              <w:fldChar w:fldCharType="separate"/>
            </w:r>
          </w:p>
          <w:p w:rsidR="002542D4" w:rsidRPr="00274BD4" w:rsidP="002542D4" w14:paraId="4D0D0144" w14:textId="77777777">
            <w:pPr>
              <w:rPr>
                <w:b/>
                <w:bCs/>
                <w:noProof/>
              </w:rPr>
            </w:pPr>
            <w:r w:rsidRPr="00274BD4">
              <w:rPr>
                <w:b/>
                <w:bCs/>
                <w:noProof/>
              </w:rPr>
              <w:t>0</w:t>
            </w:r>
          </w:p>
          <w:p w:rsidR="002542D4" w:rsidRPr="00274BD4" w:rsidP="002542D4" w14:paraId="06F66838" w14:textId="77777777">
            <w:pPr>
              <w:rPr>
                <w:noProof/>
              </w:rPr>
            </w:pPr>
            <w:r w:rsidRPr="00274BD4">
              <w:rPr>
                <w:noProof/>
              </w:rPr>
              <w:fldChar w:fldCharType="end"/>
            </w:r>
          </w:p>
        </w:tc>
        <w:tc>
          <w:tcPr>
            <w:tcW w:w="1872" w:type="dxa"/>
            <w:tcBorders>
              <w:top w:val="nil"/>
              <w:left w:val="nil"/>
              <w:bottom w:val="single" w:sz="4" w:space="0" w:color="auto"/>
              <w:right w:val="single" w:sz="4" w:space="0" w:color="auto"/>
            </w:tcBorders>
            <w:shd w:val="clear" w:color="auto" w:fill="auto"/>
            <w:vAlign w:val="center"/>
            <w:hideMark/>
          </w:tcPr>
          <w:p w:rsidR="002542D4" w:rsidRPr="00274BD4" w:rsidP="002542D4" w14:paraId="3608F001" w14:textId="77777777">
            <w:pPr>
              <w:rPr>
                <w:b/>
                <w:bCs/>
                <w:noProof/>
              </w:rPr>
            </w:pPr>
            <w:r w:rsidRPr="00274BD4">
              <w:rPr>
                <w:noProof/>
              </w:rPr>
              <w:fldChar w:fldCharType="begin"/>
            </w:r>
            <w:r w:rsidRPr="00274BD4">
              <w:rPr>
                <w:noProof/>
              </w:rPr>
              <w:instrText xml:space="preserve"> LINK Excel.Sheet.12 "C:\\Users\\ace\\OneDrive - Energy Information Administration\\Desktop\\Supporting Statement A Template.docx" "_1566376226!Table A2. Changes in Burden!R11C12" \a \f 5 \h  \* MERGEFORMAT </w:instrText>
            </w:r>
            <w:r w:rsidRPr="00274BD4">
              <w:rPr>
                <w:noProof/>
              </w:rPr>
              <w:fldChar w:fldCharType="separate"/>
            </w:r>
          </w:p>
          <w:p w:rsidR="002542D4" w:rsidRPr="00274BD4" w:rsidP="002542D4" w14:paraId="0FEC3108" w14:textId="36603ACA">
            <w:pPr>
              <w:rPr>
                <w:b/>
                <w:bCs/>
                <w:noProof/>
              </w:rPr>
            </w:pPr>
            <w:r w:rsidRPr="00274BD4">
              <w:rPr>
                <w:b/>
                <w:bCs/>
                <w:noProof/>
              </w:rPr>
              <w:t>-4</w:t>
            </w:r>
          </w:p>
          <w:p w:rsidR="002542D4" w:rsidRPr="00274BD4" w:rsidP="002542D4" w14:paraId="7321AB23" w14:textId="77777777">
            <w:pPr>
              <w:rPr>
                <w:noProof/>
              </w:rPr>
            </w:pPr>
            <w:r w:rsidRPr="00274BD4">
              <w:rPr>
                <w:noProof/>
              </w:rPr>
              <w:fldChar w:fldCharType="end"/>
            </w:r>
          </w:p>
        </w:tc>
        <w:tc>
          <w:tcPr>
            <w:tcW w:w="1872" w:type="dxa"/>
            <w:tcBorders>
              <w:top w:val="nil"/>
              <w:left w:val="nil"/>
              <w:bottom w:val="single" w:sz="4" w:space="0" w:color="auto"/>
              <w:right w:val="single" w:sz="4" w:space="0" w:color="auto"/>
            </w:tcBorders>
            <w:shd w:val="clear" w:color="auto" w:fill="auto"/>
            <w:vAlign w:val="center"/>
            <w:hideMark/>
          </w:tcPr>
          <w:p w:rsidR="002542D4" w:rsidRPr="00274BD4" w:rsidP="002542D4" w14:paraId="6DAF567F" w14:textId="77777777">
            <w:pPr>
              <w:rPr>
                <w:b/>
                <w:bCs/>
                <w:noProof/>
              </w:rPr>
            </w:pPr>
            <w:r w:rsidRPr="00274BD4">
              <w:rPr>
                <w:noProof/>
              </w:rPr>
              <w:fldChar w:fldCharType="begin"/>
            </w:r>
            <w:r w:rsidRPr="00274BD4">
              <w:rPr>
                <w:noProof/>
              </w:rPr>
              <w:instrText xml:space="preserve"> LINK Excel.Sheet.12 "C:\\Users\\ace\\OneDrive - Energy Information Administration\\Desktop\\Supporting Statement A Template.docx" "_1566376226!Table A2. Changes in Burden!R11C5" \a \f 5 \h  \* MERGEFORMAT </w:instrText>
            </w:r>
            <w:r w:rsidRPr="00274BD4">
              <w:rPr>
                <w:noProof/>
              </w:rPr>
              <w:fldChar w:fldCharType="separate"/>
            </w:r>
          </w:p>
          <w:p w:rsidR="002542D4" w:rsidRPr="00274BD4" w:rsidP="002542D4" w14:paraId="7A963ED8" w14:textId="23CE5110">
            <w:pPr>
              <w:rPr>
                <w:b/>
                <w:bCs/>
                <w:noProof/>
              </w:rPr>
            </w:pPr>
            <w:r w:rsidRPr="00274BD4">
              <w:rPr>
                <w:b/>
                <w:bCs/>
                <w:noProof/>
              </w:rPr>
              <w:t>380</w:t>
            </w:r>
          </w:p>
          <w:p w:rsidR="002542D4" w:rsidRPr="00274BD4" w:rsidP="002542D4" w14:paraId="70F5D648" w14:textId="77777777">
            <w:pPr>
              <w:rPr>
                <w:noProof/>
              </w:rPr>
            </w:pPr>
            <w:r w:rsidRPr="00274BD4">
              <w:rPr>
                <w:noProof/>
              </w:rPr>
              <w:fldChar w:fldCharType="end"/>
            </w:r>
          </w:p>
        </w:tc>
      </w:tr>
      <w:tr w14:paraId="0542C9FA" w14:textId="77777777" w:rsidTr="00BB64D7">
        <w:tblPrEx>
          <w:tblW w:w="9360" w:type="dxa"/>
          <w:jc w:val="center"/>
          <w:tblLayout w:type="fixed"/>
          <w:tblCellMar>
            <w:left w:w="115" w:type="dxa"/>
            <w:right w:w="115" w:type="dxa"/>
          </w:tblCellMar>
          <w:tblLook w:val="04A0"/>
        </w:tblPrEx>
        <w:trPr>
          <w:trHeight w:val="525"/>
          <w:jc w:val="center"/>
        </w:trPr>
        <w:tc>
          <w:tcPr>
            <w:tcW w:w="1872" w:type="dxa"/>
            <w:tcBorders>
              <w:top w:val="nil"/>
              <w:left w:val="single" w:sz="4" w:space="0" w:color="auto"/>
              <w:bottom w:val="single" w:sz="4" w:space="0" w:color="auto"/>
              <w:right w:val="single" w:sz="4" w:space="0" w:color="auto"/>
            </w:tcBorders>
            <w:shd w:val="clear" w:color="auto" w:fill="auto"/>
            <w:vAlign w:val="center"/>
            <w:hideMark/>
          </w:tcPr>
          <w:p w:rsidR="002542D4" w:rsidRPr="002542D4" w:rsidP="002542D4" w14:paraId="543F88DC" w14:textId="77777777">
            <w:pPr>
              <w:rPr>
                <w:noProof/>
              </w:rPr>
            </w:pPr>
            <w:r w:rsidRPr="002542D4">
              <w:rPr>
                <w:noProof/>
              </w:rPr>
              <w:t>Total Time Burden (Hr)</w:t>
            </w:r>
          </w:p>
        </w:tc>
        <w:tc>
          <w:tcPr>
            <w:tcW w:w="1818" w:type="dxa"/>
            <w:tcBorders>
              <w:top w:val="nil"/>
              <w:left w:val="nil"/>
              <w:bottom w:val="single" w:sz="4" w:space="0" w:color="auto"/>
              <w:right w:val="single" w:sz="4" w:space="0" w:color="auto"/>
            </w:tcBorders>
            <w:shd w:val="clear" w:color="auto" w:fill="auto"/>
            <w:vAlign w:val="center"/>
            <w:hideMark/>
          </w:tcPr>
          <w:p w:rsidR="002542D4" w:rsidRPr="00274BD4" w:rsidP="002542D4" w14:paraId="247235CB" w14:textId="77777777">
            <w:pPr>
              <w:rPr>
                <w:b/>
                <w:bCs/>
                <w:noProof/>
              </w:rPr>
            </w:pPr>
            <w:r w:rsidRPr="00274BD4">
              <w:rPr>
                <w:noProof/>
              </w:rPr>
              <w:fldChar w:fldCharType="begin"/>
            </w:r>
            <w:r w:rsidRPr="00274BD4">
              <w:rPr>
                <w:noProof/>
              </w:rPr>
              <w:instrText xml:space="preserve"> LINK Excel.Sheet.12 "C:\\Users\\ace\\OneDrive - Energy Information Administration\\Desktop\\Supporting Statement A Template.docx" "_1566376226!Table A2. Changes in Burden!R11C10" \a \f 5 \h  \* MERGEFORMAT </w:instrText>
            </w:r>
            <w:r w:rsidRPr="00274BD4">
              <w:rPr>
                <w:noProof/>
              </w:rPr>
              <w:fldChar w:fldCharType="separate"/>
            </w:r>
          </w:p>
          <w:p w:rsidR="002542D4" w:rsidRPr="00274BD4" w:rsidP="002542D4" w14:paraId="4C86665E" w14:textId="743BE913">
            <w:pPr>
              <w:rPr>
                <w:b/>
                <w:bCs/>
                <w:noProof/>
              </w:rPr>
            </w:pPr>
            <w:r w:rsidRPr="00274BD4">
              <w:rPr>
                <w:b/>
                <w:bCs/>
                <w:noProof/>
              </w:rPr>
              <w:t>1,880</w:t>
            </w:r>
          </w:p>
          <w:p w:rsidR="002542D4" w:rsidRPr="00274BD4" w:rsidP="002542D4" w14:paraId="5B11F1C6" w14:textId="77777777">
            <w:pPr>
              <w:rPr>
                <w:noProof/>
              </w:rPr>
            </w:pPr>
            <w:r w:rsidRPr="00274BD4">
              <w:rPr>
                <w:noProof/>
              </w:rPr>
              <w:fldChar w:fldCharType="end"/>
            </w:r>
          </w:p>
        </w:tc>
        <w:tc>
          <w:tcPr>
            <w:tcW w:w="1926" w:type="dxa"/>
            <w:tcBorders>
              <w:top w:val="nil"/>
              <w:left w:val="nil"/>
              <w:bottom w:val="single" w:sz="4" w:space="0" w:color="auto"/>
              <w:right w:val="single" w:sz="4" w:space="0" w:color="auto"/>
            </w:tcBorders>
            <w:shd w:val="clear" w:color="auto" w:fill="auto"/>
            <w:vAlign w:val="center"/>
            <w:hideMark/>
          </w:tcPr>
          <w:p w:rsidR="002542D4" w:rsidRPr="00274BD4" w:rsidP="002542D4" w14:paraId="5A7519A9" w14:textId="77777777">
            <w:pPr>
              <w:rPr>
                <w:b/>
                <w:bCs/>
                <w:noProof/>
              </w:rPr>
            </w:pPr>
            <w:r w:rsidRPr="00274BD4">
              <w:rPr>
                <w:noProof/>
              </w:rPr>
              <w:fldChar w:fldCharType="begin"/>
            </w:r>
            <w:r w:rsidRPr="00274BD4">
              <w:rPr>
                <w:noProof/>
              </w:rPr>
              <w:instrText xml:space="preserve"> LINK Excel.Sheet.12 "C:\\Users\\ace\\OneDrive - Energy Information Administration\\Desktop\\Supporting Statement A Template.docx" "_1566376226!Table A2. Changes in Burden!R11C14" \a \f 5 \h  \* MERGEFORMAT </w:instrText>
            </w:r>
            <w:r w:rsidRPr="00274BD4">
              <w:rPr>
                <w:noProof/>
              </w:rPr>
              <w:fldChar w:fldCharType="separate"/>
            </w:r>
          </w:p>
          <w:p w:rsidR="002542D4" w:rsidRPr="00274BD4" w:rsidP="002542D4" w14:paraId="59665557" w14:textId="77777777">
            <w:pPr>
              <w:rPr>
                <w:b/>
                <w:bCs/>
                <w:noProof/>
              </w:rPr>
            </w:pPr>
            <w:r w:rsidRPr="00274BD4">
              <w:rPr>
                <w:b/>
                <w:bCs/>
                <w:noProof/>
              </w:rPr>
              <w:t>0</w:t>
            </w:r>
          </w:p>
          <w:p w:rsidR="002542D4" w:rsidRPr="00274BD4" w:rsidP="002542D4" w14:paraId="45E4C87E" w14:textId="77777777">
            <w:pPr>
              <w:rPr>
                <w:noProof/>
              </w:rPr>
            </w:pPr>
            <w:r w:rsidRPr="00274BD4">
              <w:rPr>
                <w:noProof/>
              </w:rPr>
              <w:fldChar w:fldCharType="end"/>
            </w:r>
          </w:p>
        </w:tc>
        <w:tc>
          <w:tcPr>
            <w:tcW w:w="1872" w:type="dxa"/>
            <w:tcBorders>
              <w:top w:val="nil"/>
              <w:left w:val="nil"/>
              <w:bottom w:val="single" w:sz="4" w:space="0" w:color="auto"/>
              <w:right w:val="single" w:sz="4" w:space="0" w:color="auto"/>
            </w:tcBorders>
            <w:shd w:val="clear" w:color="auto" w:fill="auto"/>
            <w:vAlign w:val="center"/>
            <w:hideMark/>
          </w:tcPr>
          <w:p w:rsidR="002542D4" w:rsidRPr="00274BD4" w:rsidP="002542D4" w14:paraId="74EC5419" w14:textId="77777777">
            <w:pPr>
              <w:rPr>
                <w:b/>
                <w:bCs/>
                <w:noProof/>
              </w:rPr>
            </w:pPr>
            <w:r w:rsidRPr="00274BD4">
              <w:rPr>
                <w:noProof/>
              </w:rPr>
              <w:fldChar w:fldCharType="begin"/>
            </w:r>
            <w:r w:rsidRPr="00274BD4">
              <w:rPr>
                <w:noProof/>
              </w:rPr>
              <w:instrText xml:space="preserve"> LINK Excel.Sheet.12 "C:\\Users\\ace\\OneDrive - Energy Information Administration\\Desktop\\Supporting Statement A Template.docx" "_1566376226!Table A2. Changes in Burden!R11C15" \a \f 5 \h  \* MERGEFORMAT </w:instrText>
            </w:r>
            <w:r w:rsidRPr="00274BD4">
              <w:rPr>
                <w:noProof/>
              </w:rPr>
              <w:fldChar w:fldCharType="separate"/>
            </w:r>
          </w:p>
          <w:p w:rsidR="002542D4" w:rsidRPr="00274BD4" w:rsidP="002542D4" w14:paraId="29634A7B" w14:textId="203880CB">
            <w:pPr>
              <w:rPr>
                <w:b/>
                <w:bCs/>
                <w:noProof/>
              </w:rPr>
            </w:pPr>
            <w:r w:rsidRPr="00274BD4">
              <w:rPr>
                <w:b/>
                <w:bCs/>
                <w:noProof/>
              </w:rPr>
              <w:t>-20</w:t>
            </w:r>
          </w:p>
          <w:p w:rsidR="002542D4" w:rsidRPr="00274BD4" w:rsidP="002542D4" w14:paraId="612D0CD9" w14:textId="77777777">
            <w:pPr>
              <w:rPr>
                <w:noProof/>
              </w:rPr>
            </w:pPr>
            <w:r w:rsidRPr="00274BD4">
              <w:rPr>
                <w:noProof/>
              </w:rPr>
              <w:fldChar w:fldCharType="end"/>
            </w:r>
          </w:p>
        </w:tc>
        <w:tc>
          <w:tcPr>
            <w:tcW w:w="1872" w:type="dxa"/>
            <w:tcBorders>
              <w:top w:val="nil"/>
              <w:left w:val="nil"/>
              <w:bottom w:val="single" w:sz="4" w:space="0" w:color="auto"/>
              <w:right w:val="single" w:sz="4" w:space="0" w:color="auto"/>
            </w:tcBorders>
            <w:shd w:val="clear" w:color="auto" w:fill="auto"/>
            <w:vAlign w:val="center"/>
            <w:hideMark/>
          </w:tcPr>
          <w:p w:rsidR="002542D4" w:rsidRPr="00274BD4" w:rsidP="002542D4" w14:paraId="1852DB91" w14:textId="77777777">
            <w:pPr>
              <w:rPr>
                <w:b/>
                <w:bCs/>
                <w:noProof/>
              </w:rPr>
            </w:pPr>
            <w:r w:rsidRPr="00274BD4">
              <w:rPr>
                <w:noProof/>
              </w:rPr>
              <w:fldChar w:fldCharType="begin"/>
            </w:r>
            <w:r w:rsidRPr="00274BD4">
              <w:rPr>
                <w:noProof/>
              </w:rPr>
              <w:instrText xml:space="preserve"> LINK Excel.Sheet.12 "C:\\Users\\ace\\OneDrive - Energy Information Administration\\Desktop\\Supporting Statement A Template.docx" "_1566376226!Table A2. Changes in Burden!R11C9" \a \f 5 \h  \* MERGEFORMAT </w:instrText>
            </w:r>
            <w:r w:rsidRPr="00274BD4">
              <w:rPr>
                <w:noProof/>
              </w:rPr>
              <w:fldChar w:fldCharType="separate"/>
            </w:r>
          </w:p>
          <w:p w:rsidR="002542D4" w:rsidRPr="00274BD4" w:rsidP="002542D4" w14:paraId="3DBE1162" w14:textId="2305E1B9">
            <w:pPr>
              <w:rPr>
                <w:b/>
                <w:bCs/>
                <w:noProof/>
              </w:rPr>
            </w:pPr>
            <w:r w:rsidRPr="00274BD4">
              <w:rPr>
                <w:b/>
                <w:bCs/>
                <w:noProof/>
              </w:rPr>
              <w:t>1,900</w:t>
            </w:r>
          </w:p>
          <w:p w:rsidR="002542D4" w:rsidRPr="00274BD4" w:rsidP="002542D4" w14:paraId="3FADAFEC" w14:textId="77777777">
            <w:pPr>
              <w:rPr>
                <w:noProof/>
              </w:rPr>
            </w:pPr>
            <w:r w:rsidRPr="00274BD4">
              <w:rPr>
                <w:noProof/>
              </w:rPr>
              <w:fldChar w:fldCharType="end"/>
            </w:r>
          </w:p>
        </w:tc>
      </w:tr>
    </w:tbl>
    <w:p w:rsidR="002542D4" w:rsidRPr="002542D4" w:rsidP="002542D4" w14:paraId="6E4B3C1B" w14:textId="77777777">
      <w:pPr>
        <w:rPr>
          <w:noProof/>
        </w:rPr>
      </w:pPr>
    </w:p>
    <w:p w:rsidR="002542D4" w:rsidRPr="00BB64D7" w:rsidP="00F43F66" w14:paraId="574DD22A" w14:textId="77777777">
      <w:pPr>
        <w:pStyle w:val="Heading2"/>
        <w:rPr>
          <w:noProof/>
        </w:rPr>
      </w:pPr>
      <w:bookmarkStart w:id="39" w:name="_Toc492634216"/>
      <w:bookmarkStart w:id="40" w:name="_Toc161999676"/>
      <w:r w:rsidRPr="00BB64D7">
        <w:rPr>
          <w:noProof/>
        </w:rPr>
        <w:t>A.16. Collection, Tabulation, and Publication Plans</w:t>
      </w:r>
      <w:bookmarkEnd w:id="39"/>
      <w:bookmarkEnd w:id="40"/>
      <w:r w:rsidRPr="00BB64D7">
        <w:rPr>
          <w:noProof/>
        </w:rPr>
        <w:t xml:space="preserve"> </w:t>
      </w:r>
    </w:p>
    <w:p w:rsidR="001A6D1B" w:rsidP="001A6D1B" w14:paraId="1BC7A9A2" w14:textId="77777777">
      <w:pPr>
        <w:rPr>
          <w:i/>
          <w:iCs/>
        </w:rPr>
      </w:pPr>
      <w:r w:rsidRPr="00B55846">
        <w:t xml:space="preserve">Form </w:t>
      </w:r>
      <w:r>
        <w:t xml:space="preserve">NWPA-830G </w:t>
      </w:r>
      <w:r w:rsidRPr="0082602A">
        <w:rPr>
          <w:i/>
        </w:rPr>
        <w:t>Appendix G - Standard Remittance Advice for Payment of Fees</w:t>
      </w:r>
      <w:r>
        <w:t xml:space="preserve">, including Annex A to Appendix G, </w:t>
      </w:r>
      <w:r w:rsidRPr="00B55846">
        <w:t>is filed quarterly covering assigned three-month periods.</w:t>
      </w:r>
      <w:r>
        <w:t xml:space="preserve"> </w:t>
      </w:r>
      <w:r w:rsidRPr="00B55846">
        <w:t>The form is due no later than the last business day of the month following an assigned three-month period.</w:t>
      </w:r>
      <w:r>
        <w:t xml:space="preserve"> </w:t>
      </w:r>
      <w:r w:rsidRPr="00B55846">
        <w:t>The data in these collections will not be published</w:t>
      </w:r>
      <w:r>
        <w:t>.</w:t>
      </w:r>
      <w:r w:rsidRPr="00A41763">
        <w:rPr>
          <w:i/>
          <w:iCs/>
        </w:rPr>
        <w:t xml:space="preserve"> </w:t>
      </w:r>
    </w:p>
    <w:p w:rsidR="00470AF3" w:rsidP="001A6D1B" w14:paraId="0C6390FE" w14:textId="77777777">
      <w:pPr>
        <w:rPr>
          <w:i/>
          <w:iCs/>
        </w:rPr>
      </w:pPr>
    </w:p>
    <w:p w:rsidR="002542D4" w:rsidRPr="00BB64D7" w:rsidP="00F43F66" w14:paraId="00F58FA6" w14:textId="77777777">
      <w:pPr>
        <w:pStyle w:val="Heading2"/>
        <w:rPr>
          <w:noProof/>
        </w:rPr>
      </w:pPr>
      <w:bookmarkStart w:id="41" w:name="_Toc492634217"/>
      <w:bookmarkStart w:id="42" w:name="_Toc161999677"/>
      <w:r w:rsidRPr="00BB64D7">
        <w:rPr>
          <w:noProof/>
        </w:rPr>
        <w:t>A.17. OMB Number and Expiration Date</w:t>
      </w:r>
      <w:bookmarkEnd w:id="41"/>
      <w:bookmarkEnd w:id="42"/>
      <w:r w:rsidRPr="00BB64D7">
        <w:rPr>
          <w:noProof/>
        </w:rPr>
        <w:t xml:space="preserve"> </w:t>
      </w:r>
    </w:p>
    <w:p w:rsidR="001A6D1B" w:rsidRPr="00A41763" w:rsidP="001A6D1B" w14:paraId="6D90BEBF" w14:textId="77777777">
      <w:r>
        <w:t>The OMB Number (</w:t>
      </w:r>
      <w:r w:rsidRPr="009A6AB5">
        <w:t>1901-0260</w:t>
      </w:r>
      <w:r w:rsidRPr="00014C93">
        <w:t>) and expiration date will be displayed on all the data collection forms and instructions.</w:t>
      </w:r>
      <w:r w:rsidRPr="00A41763">
        <w:rPr>
          <w:i/>
          <w:iCs/>
        </w:rPr>
        <w:t xml:space="preserve"> </w:t>
      </w:r>
    </w:p>
    <w:p w:rsidR="002542D4" w:rsidRPr="002542D4" w:rsidP="002542D4" w14:paraId="135CA85D" w14:textId="77777777">
      <w:pPr>
        <w:rPr>
          <w:b/>
          <w:bCs/>
          <w:noProof/>
        </w:rPr>
      </w:pPr>
    </w:p>
    <w:p w:rsidR="002542D4" w:rsidRPr="00BB64D7" w:rsidP="00F43F66" w14:paraId="64B3C2C9" w14:textId="77777777">
      <w:pPr>
        <w:pStyle w:val="Heading2"/>
        <w:rPr>
          <w:noProof/>
        </w:rPr>
      </w:pPr>
      <w:bookmarkStart w:id="43" w:name="_Toc492634218"/>
      <w:bookmarkStart w:id="44" w:name="_Toc161999678"/>
      <w:r w:rsidRPr="00BB64D7">
        <w:rPr>
          <w:noProof/>
        </w:rPr>
        <w:t>A.18. Certification Statement</w:t>
      </w:r>
      <w:bookmarkEnd w:id="43"/>
      <w:bookmarkEnd w:id="44"/>
      <w:r w:rsidRPr="00BB64D7">
        <w:rPr>
          <w:noProof/>
        </w:rPr>
        <w:t xml:space="preserve"> </w:t>
      </w:r>
    </w:p>
    <w:p w:rsidR="001A6D1B" w:rsidRPr="00A41763" w:rsidP="001A6D1B" w14:paraId="5761307A" w14:textId="77777777">
      <w:r w:rsidRPr="00602065">
        <w:t>There are no exceptions to the certification statement identified in Item 19, "Certification for Paperwork Reduction Act Submissions," of OMB Form 83-I. This information collection request complies with 5 CFR 1320.9</w:t>
      </w:r>
      <w:r>
        <w:t>.</w:t>
      </w:r>
      <w:r w:rsidRPr="00A41763">
        <w:rPr>
          <w:i/>
          <w:iCs/>
        </w:rPr>
        <w:t xml:space="preserve"> </w:t>
      </w:r>
    </w:p>
    <w:p w:rsidR="00612A58" w:rsidP="001A6D1B" w14:paraId="64B15D25" w14:textId="0AAAD95B">
      <w:pPr>
        <w:rPr>
          <w:noProof/>
        </w:rPr>
      </w:pPr>
    </w:p>
    <w:sectPr w:rsidSect="006C470A">
      <w:headerReference w:type="even" r:id="rId20"/>
      <w:headerReference w:type="default" r:id="rId21"/>
      <w:footerReference w:type="even" r:id="rId22"/>
      <w:headerReference w:type="first" r:id="rId23"/>
      <w:footerReference w:type="first" r:id="rId24"/>
      <w:footnotePr>
        <w:pos w:val="beneathText"/>
      </w:footnotePr>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779A" w:rsidRPr="001F3A8F" w:rsidP="001F3A8F" w14:paraId="13E1A6AB" w14:textId="3794121A">
    <w:pPr>
      <w:pStyle w:val="Footer"/>
    </w:pPr>
    <w:r w:rsidRPr="00CB180D">
      <w:t xml:space="preserve">U.S. Energy Information Administration   |   </w:t>
    </w:r>
    <w:sdt>
      <w:sdtPr>
        <w:alias w:val="Title"/>
        <w:id w:val="463942435"/>
        <w:placeholder>
          <w:docPart w:val="AEAA5F4F89CB4AB6AD4CAB6DFC7052B0"/>
        </w:placeholder>
        <w:dataBinding w:prefixMappings="xmlns:ns0='http://purl.org/dc/elements/1.1/' xmlns:ns1='http://schemas.openxmlformats.org/package/2006/metadata/core-properties' " w:xpath="/ns1:coreProperties[1]/ns0:title[1]" w:storeItemID="{6C3C8BC8-F283-45AE-878A-BAB7291924A1}"/>
        <w:text/>
      </w:sdtPr>
      <w:sdtContent>
        <w:r w:rsidR="00193E28">
          <w:t>Supporting Statement for Survey Clearance</w:t>
        </w:r>
      </w:sdtContent>
    </w:sdt>
    <w:r>
      <w:tab/>
    </w:r>
    <w:r>
      <w:fldChar w:fldCharType="begin"/>
    </w:r>
    <w:r>
      <w:instrText xml:space="preserve"> PAGE   \* MERGEFORMAT </w:instrText>
    </w:r>
    <w:r>
      <w:fldChar w:fldCharType="separate"/>
    </w:r>
    <w:r w:rsidR="00385B7A">
      <w:rPr>
        <w:noProof/>
      </w:rPr>
      <w:t>6</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779A" w:rsidP="00760677" w14:paraId="39F81E22" w14:textId="77777777">
    <w:pPr>
      <w:pStyle w:val="Footer"/>
    </w:pPr>
    <w:r w:rsidRPr="00CB180D">
      <w:t xml:space="preserve">U.S. Energy Information Administration   |   </w:t>
    </w:r>
    <w:r w:rsidR="001D2E96">
      <w:t>Shortened document title</w:t>
    </w:r>
    <w:r w:rsidRPr="00CB180D">
      <w:tab/>
    </w:r>
    <w:r w:rsidRPr="00760677">
      <w:t xml:space="preserve"> </w:t>
    </w:r>
    <w:r>
      <w:fldChar w:fldCharType="begin"/>
    </w:r>
    <w:r>
      <w:instrText xml:space="preserve"> PAGE   \* MERGEFORMAT </w:instrText>
    </w:r>
    <w:r>
      <w:fldChar w:fldCharType="separate"/>
    </w:r>
    <w:r>
      <w:rPr>
        <w:noProof/>
      </w:rPr>
      <w:t>i</w:t>
    </w:r>
    <w:r>
      <w:rPr>
        <w:noProof/>
      </w:rPr>
      <w:fldChar w:fldCharType="end"/>
    </w:r>
  </w:p>
  <w:p w:rsidR="00EA779A" w14:paraId="7EA8DC9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779A" w:rsidP="00760677" w14:paraId="1BCBDFF9" w14:textId="77777777">
    <w:pPr>
      <w:pStyle w:val="Footer"/>
    </w:pPr>
    <w:r w:rsidRPr="00CB180D">
      <w:t xml:space="preserve">U.S. Energy Information Administration   |   </w:t>
    </w:r>
    <w:r w:rsidR="001D2E96">
      <w:t>Shortened document title</w:t>
    </w:r>
    <w:r w:rsidRPr="00CB180D">
      <w:tab/>
    </w:r>
    <w:r w:rsidRPr="00760677">
      <w:t xml:space="preserve"> </w:t>
    </w:r>
    <w:r>
      <w:fldChar w:fldCharType="begin"/>
    </w:r>
    <w:r>
      <w:instrText xml:space="preserve"> PAGE   \* MERGEFORMAT </w:instrText>
    </w:r>
    <w:r>
      <w:fldChar w:fldCharType="separate"/>
    </w:r>
    <w:r>
      <w:rPr>
        <w:noProof/>
      </w:rPr>
      <w:t>i</w:t>
    </w:r>
    <w:r>
      <w:rPr>
        <w:noProof/>
      </w:rPr>
      <w:fldChar w:fldCharType="end"/>
    </w:r>
  </w:p>
  <w:p w:rsidR="00EA779A" w14:paraId="775C1863"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779A" w:rsidP="00760677" w14:paraId="028D8228" w14:textId="77777777">
    <w:pPr>
      <w:pStyle w:val="Footer"/>
    </w:pPr>
    <w:r>
      <w:fldChar w:fldCharType="begin"/>
    </w:r>
    <w:r>
      <w:instrText xml:space="preserve"> PAGE   \* MERGEFORMAT </w:instrText>
    </w:r>
    <w:r>
      <w:fldChar w:fldCharType="separate"/>
    </w:r>
    <w:r>
      <w:rPr>
        <w:noProof/>
      </w:rPr>
      <w:t>14</w:t>
    </w:r>
    <w:r>
      <w:rPr>
        <w:noProof/>
      </w:rPr>
      <w:fldChar w:fldCharType="end"/>
    </w:r>
    <w:r>
      <w:tab/>
      <w:t xml:space="preserve">                                                                                             </w:t>
    </w:r>
    <w:r w:rsidRPr="00CB180D">
      <w:t>U.S. Energy Information Administration   |   Improving the Quality and Scope of EIA Data</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779A" w:rsidP="00760677" w14:paraId="45B63A21" w14:textId="77777777">
    <w:pPr>
      <w:pStyle w:val="Footer"/>
    </w:pPr>
    <w:r w:rsidRPr="00CB180D">
      <w:t xml:space="preserve">U.S. Energy Information Administration   |   </w:t>
    </w:r>
    <w:r w:rsidR="001D2E96">
      <w:t>Shortened document title</w:t>
    </w:r>
    <w:r w:rsidRPr="00CB180D">
      <w:tab/>
    </w:r>
    <w:r w:rsidRPr="00760677">
      <w:t xml:space="preserve"> </w:t>
    </w:r>
    <w:r>
      <w:fldChar w:fldCharType="begin"/>
    </w:r>
    <w:r>
      <w:instrText xml:space="preserve"> PAGE   \* MERGEFORMAT </w:instrText>
    </w:r>
    <w:r>
      <w:fldChar w:fldCharType="separate"/>
    </w:r>
    <w:r>
      <w:rPr>
        <w:noProof/>
      </w:rPr>
      <w:t>1</w:t>
    </w:r>
    <w:r>
      <w:rPr>
        <w:noProof/>
      </w:rPr>
      <w:fldChar w:fldCharType="end"/>
    </w:r>
  </w:p>
  <w:p w:rsidR="00EA779A" w:rsidP="00760677" w14:paraId="7AE0E30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16FC7" w:rsidP="00536CE1" w14:paraId="014AB1BF" w14:textId="77777777">
      <w:pPr>
        <w:spacing w:after="0" w:line="240" w:lineRule="auto"/>
      </w:pPr>
      <w:r>
        <w:separator/>
      </w:r>
    </w:p>
  </w:footnote>
  <w:footnote w:type="continuationSeparator" w:id="1">
    <w:p w:rsidR="00916FC7" w:rsidP="00536CE1" w14:paraId="5297B3FE" w14:textId="77777777">
      <w:pPr>
        <w:spacing w:after="0" w:line="240" w:lineRule="auto"/>
      </w:pPr>
      <w:r>
        <w:continuationSeparator/>
      </w:r>
    </w:p>
  </w:footnote>
  <w:footnote w:type="continuationNotice" w:id="2">
    <w:p w:rsidR="00916FC7" w14:paraId="7167BD7A" w14:textId="77777777">
      <w:pPr>
        <w:spacing w:after="0" w:line="240" w:lineRule="auto"/>
      </w:pPr>
    </w:p>
  </w:footnote>
  <w:footnote w:id="3">
    <w:p w:rsidR="006C470A" w:rsidRPr="006C470A" w:rsidP="004A42CD" w14:paraId="5551C867" w14:textId="77777777">
      <w:pPr>
        <w:pStyle w:val="FootnoteText"/>
      </w:pPr>
      <w:r w:rsidRPr="004A42CD">
        <w:rPr>
          <w:rStyle w:val="FootnoteReference"/>
        </w:rPr>
        <w:footnoteRef/>
      </w:r>
      <w:r w:rsidRPr="004A42CD">
        <w:t xml:space="preserve"> Mill: A monetary cost and billing unit used by utilities; it is equal to 1/1000</w:t>
      </w:r>
      <w:r w:rsidRPr="004A42CD">
        <w:rPr>
          <w:vertAlign w:val="superscript"/>
        </w:rPr>
        <w:t>th</w:t>
      </w:r>
      <w:r w:rsidRPr="004A42CD">
        <w:t xml:space="preserve"> of the U.S. dollar (equivalent to 1/10 of 1 cent).</w:t>
      </w:r>
    </w:p>
  </w:footnote>
  <w:footnote w:id="4">
    <w:p w:rsidR="002A110E" w:rsidP="004A42CD" w14:paraId="1C90A408" w14:textId="77777777">
      <w:pPr>
        <w:pStyle w:val="FootnoteText"/>
      </w:pPr>
      <w:r w:rsidRPr="00FB6740">
        <w:rPr>
          <w:rStyle w:val="FootnoteReference"/>
          <w:color w:val="FF0000"/>
        </w:rPr>
        <w:footnoteRef/>
      </w:r>
      <w:r w:rsidRPr="00FB6740">
        <w:t xml:space="preserve"> This includes salaries and benefits.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779A" w:rsidRPr="00373208" w:rsidP="009F61F7" w14:paraId="5F3B3DE5" w14:textId="77777777">
    <w:pPr>
      <w:pStyle w:val="Header"/>
    </w:pPr>
    <w:r>
      <w:t>September 2011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779A" w:rsidRPr="009F61F7" w:rsidP="009F61F7" w14:paraId="04B073F2" w14:textId="0D82C706">
    <w:pPr>
      <w:pStyle w:val="Header"/>
    </w:pPr>
    <w:r>
      <w:t xml:space="preserve">November </w:t>
    </w:r>
    <w:r w:rsidR="00DD45BC">
      <w:t>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779A" w:rsidP="009F61F7" w14:paraId="304A5DE9" w14:textId="77777777">
    <w:pPr>
      <w:pStyle w:val="Header"/>
    </w:pPr>
    <w:r>
      <w:t>December 2011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F"/>
    <w:multiLevelType w:val="singleLevel"/>
    <w:tmpl w:val="2D9626D0"/>
    <w:lvl w:ilvl="0">
      <w:start w:val="1"/>
      <w:numFmt w:val="decimal"/>
      <w:lvlText w:val="%1."/>
      <w:lvlJc w:val="left"/>
      <w:pPr>
        <w:tabs>
          <w:tab w:val="num" w:pos="720"/>
        </w:tabs>
        <w:ind w:left="720" w:hanging="360"/>
      </w:pPr>
    </w:lvl>
  </w:abstractNum>
  <w:abstractNum w:abstractNumId="1">
    <w:nsid w:val="FFFFFF81"/>
    <w:multiLevelType w:val="singleLevel"/>
    <w:tmpl w:val="2406447E"/>
    <w:lvl w:ilvl="0">
      <w:start w:val="1"/>
      <w:numFmt w:val="bullet"/>
      <w:pStyle w:val="ListBullet4"/>
      <w:lvlText w:val=""/>
      <w:lvlJc w:val="left"/>
      <w:pPr>
        <w:tabs>
          <w:tab w:val="num" w:pos="1440"/>
        </w:tabs>
        <w:ind w:left="1440" w:hanging="360"/>
      </w:pPr>
      <w:rPr>
        <w:rFonts w:ascii="Symbol" w:hAnsi="Symbol" w:hint="default"/>
      </w:rPr>
    </w:lvl>
  </w:abstractNum>
  <w:abstractNum w:abstractNumId="2">
    <w:nsid w:val="FFFFFF82"/>
    <w:multiLevelType w:val="singleLevel"/>
    <w:tmpl w:val="F948091A"/>
    <w:lvl w:ilvl="0">
      <w:start w:val="1"/>
      <w:numFmt w:val="bullet"/>
      <w:pStyle w:val="ListBullet3"/>
      <w:lvlText w:val=""/>
      <w:lvlJc w:val="left"/>
      <w:pPr>
        <w:tabs>
          <w:tab w:val="num" w:pos="1080"/>
        </w:tabs>
        <w:ind w:left="1080" w:hanging="360"/>
      </w:pPr>
      <w:rPr>
        <w:rFonts w:ascii="Symbol" w:hAnsi="Symbol" w:hint="default"/>
      </w:rPr>
    </w:lvl>
  </w:abstractNum>
  <w:abstractNum w:abstractNumId="3">
    <w:nsid w:val="FFFFFF83"/>
    <w:multiLevelType w:val="singleLevel"/>
    <w:tmpl w:val="5268DBE4"/>
    <w:lvl w:ilvl="0">
      <w:start w:val="1"/>
      <w:numFmt w:val="bullet"/>
      <w:pStyle w:val="ListBullet2"/>
      <w:lvlText w:val=""/>
      <w:lvlJc w:val="left"/>
      <w:pPr>
        <w:tabs>
          <w:tab w:val="num" w:pos="720"/>
        </w:tabs>
        <w:ind w:left="720" w:hanging="360"/>
      </w:pPr>
      <w:rPr>
        <w:rFonts w:ascii="Symbol" w:hAnsi="Symbol" w:hint="default"/>
      </w:rPr>
    </w:lvl>
  </w:abstractNum>
  <w:abstractNum w:abstractNumId="4">
    <w:nsid w:val="FFFFFF88"/>
    <w:multiLevelType w:val="singleLevel"/>
    <w:tmpl w:val="8220A528"/>
    <w:lvl w:ilvl="0">
      <w:start w:val="1"/>
      <w:numFmt w:val="decimal"/>
      <w:pStyle w:val="ListNumber"/>
      <w:lvlText w:val="%1."/>
      <w:lvlJc w:val="left"/>
      <w:pPr>
        <w:tabs>
          <w:tab w:val="num" w:pos="360"/>
        </w:tabs>
        <w:ind w:left="360" w:hanging="360"/>
      </w:pPr>
    </w:lvl>
  </w:abstractNum>
  <w:abstractNum w:abstractNumId="5">
    <w:nsid w:val="FFFFFF89"/>
    <w:multiLevelType w:val="singleLevel"/>
    <w:tmpl w:val="56A44888"/>
    <w:lvl w:ilvl="0">
      <w:start w:val="1"/>
      <w:numFmt w:val="bullet"/>
      <w:pStyle w:val="ListBullet"/>
      <w:lvlText w:val=""/>
      <w:lvlJc w:val="left"/>
      <w:pPr>
        <w:tabs>
          <w:tab w:val="num" w:pos="360"/>
        </w:tabs>
        <w:ind w:left="360" w:hanging="360"/>
      </w:pPr>
      <w:rPr>
        <w:rFonts w:ascii="Symbol" w:hAnsi="Symbol" w:hint="default"/>
      </w:rPr>
    </w:lvl>
  </w:abstractNum>
  <w:abstractNum w:abstractNumId="6">
    <w:nsid w:val="01455A35"/>
    <w:multiLevelType w:val="hybridMultilevel"/>
    <w:tmpl w:val="85101D1A"/>
    <w:lvl w:ilvl="0">
      <w:start w:val="0"/>
      <w:numFmt w:val="bullet"/>
      <w:lvlText w:val="•"/>
      <w:lvlJc w:val="left"/>
      <w:pPr>
        <w:ind w:left="1080" w:hanging="720"/>
      </w:pPr>
      <w:rPr>
        <w:rFonts w:ascii="Calibri" w:eastAsia="Calibri"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1B47BD8"/>
    <w:multiLevelType w:val="multilevel"/>
    <w:tmpl w:val="1A4060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pStyle w:val="Heading7"/>
      <w:lvlText w:val="%1.%2.%3.%4.%5.%6.%7."/>
      <w:lvlJc w:val="left"/>
      <w:pPr>
        <w:ind w:left="3240" w:hanging="1080"/>
      </w:pPr>
      <w:rPr>
        <w:rFonts w:hint="default"/>
      </w:rPr>
    </w:lvl>
    <w:lvl w:ilvl="7">
      <w:start w:val="1"/>
      <w:numFmt w:val="decimal"/>
      <w:pStyle w:val="Heading8"/>
      <w:lvlText w:val="%1.%2.%3.%4.%5.%6.%7.%8."/>
      <w:lvlJc w:val="left"/>
      <w:pPr>
        <w:ind w:left="3744" w:hanging="1224"/>
      </w:pPr>
      <w:rPr>
        <w:rFonts w:hint="default"/>
      </w:rPr>
    </w:lvl>
    <w:lvl w:ilvl="8">
      <w:start w:val="1"/>
      <w:numFmt w:val="decimal"/>
      <w:pStyle w:val="Heading9"/>
      <w:lvlText w:val="%1.%2.%3.%4.%5.%6.%7.%8.%9."/>
      <w:lvlJc w:val="left"/>
      <w:pPr>
        <w:ind w:left="4320" w:hanging="1440"/>
      </w:pPr>
      <w:rPr>
        <w:rFonts w:hint="default"/>
      </w:rPr>
    </w:lvl>
  </w:abstractNum>
  <w:abstractNum w:abstractNumId="8">
    <w:nsid w:val="03FC10DC"/>
    <w:multiLevelType w:val="multilevel"/>
    <w:tmpl w:val="B69ADCF2"/>
    <w:numStyleLink w:val="EIAbullets"/>
  </w:abstractNum>
  <w:abstractNum w:abstractNumId="9">
    <w:nsid w:val="12E5181C"/>
    <w:multiLevelType w:val="multilevel"/>
    <w:tmpl w:val="B69ADCF2"/>
    <w:numStyleLink w:val="EIAbullets"/>
  </w:abstractNum>
  <w:abstractNum w:abstractNumId="10">
    <w:nsid w:val="17EC7600"/>
    <w:multiLevelType w:val="hybridMultilevel"/>
    <w:tmpl w:val="95DCA000"/>
    <w:lvl w:ilvl="0">
      <w:start w:val="0"/>
      <w:numFmt w:val="bullet"/>
      <w:lvlText w:val="•"/>
      <w:lvlJc w:val="left"/>
      <w:pPr>
        <w:ind w:left="1080" w:hanging="720"/>
      </w:pPr>
      <w:rPr>
        <w:rFonts w:ascii="Calibri" w:eastAsia="Calibri"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F442868"/>
    <w:multiLevelType w:val="hybridMultilevel"/>
    <w:tmpl w:val="8CE6C348"/>
    <w:lvl w:ilvl="0">
      <w:start w:val="0"/>
      <w:numFmt w:val="bullet"/>
      <w:lvlText w:val="•"/>
      <w:lvlJc w:val="left"/>
      <w:pPr>
        <w:ind w:left="1080" w:hanging="720"/>
      </w:pPr>
      <w:rPr>
        <w:rFonts w:ascii="Calibri" w:eastAsia="Calibri"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F7E6225"/>
    <w:multiLevelType w:val="multilevel"/>
    <w:tmpl w:val="B69ADCF2"/>
    <w:numStyleLink w:val="EIAbullets"/>
  </w:abstractNum>
  <w:abstractNum w:abstractNumId="13">
    <w:nsid w:val="271B7F46"/>
    <w:multiLevelType w:val="multilevel"/>
    <w:tmpl w:val="B69ADCF2"/>
    <w:styleLink w:val="EIAbullets"/>
    <w:lvl w:ilvl="0">
      <w:start w:val="1"/>
      <w:numFmt w:val="bullet"/>
      <w:lvlText w:val=""/>
      <w:lvlJc w:val="left"/>
      <w:pPr>
        <w:ind w:left="720" w:hanging="360"/>
      </w:pPr>
      <w:rPr>
        <w:rFonts w:ascii="Symbol" w:hAnsi="Symbol" w:hint="default"/>
        <w:color w:val="auto"/>
        <w:sz w:val="22"/>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color w:val="auto"/>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color w:val="auto"/>
      </w:rPr>
    </w:lvl>
    <w:lvl w:ilvl="5">
      <w:start w:val="1"/>
      <w:numFmt w:val="bullet"/>
      <w:lvlText w:val=""/>
      <w:lvlJc w:val="left"/>
      <w:pPr>
        <w:ind w:left="2520" w:hanging="360"/>
      </w:pPr>
      <w:rPr>
        <w:rFonts w:ascii="Symbol" w:hAnsi="Symbol" w:hint="default"/>
      </w:rPr>
    </w:lvl>
    <w:lvl w:ilvl="6">
      <w:start w:val="1"/>
      <w:numFmt w:val="bullet"/>
      <w:lvlText w:val=""/>
      <w:lvlJc w:val="left"/>
      <w:pPr>
        <w:ind w:left="2880" w:hanging="360"/>
      </w:pPr>
      <w:rPr>
        <w:rFonts w:ascii="Symbol" w:hAnsi="Symbol"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color w:val="auto"/>
      </w:rPr>
    </w:lvl>
  </w:abstractNum>
  <w:abstractNum w:abstractNumId="14">
    <w:nsid w:val="38861E46"/>
    <w:multiLevelType w:val="multilevel"/>
    <w:tmpl w:val="B69ADCF2"/>
    <w:numStyleLink w:val="EIAbullets"/>
  </w:abstractNum>
  <w:abstractNum w:abstractNumId="15">
    <w:nsid w:val="3AE524C1"/>
    <w:multiLevelType w:val="hybridMultilevel"/>
    <w:tmpl w:val="B130EA84"/>
    <w:lvl w:ilvl="0">
      <w:start w:val="0"/>
      <w:numFmt w:val="bullet"/>
      <w:lvlText w:val="•"/>
      <w:lvlJc w:val="left"/>
      <w:pPr>
        <w:ind w:left="1080" w:hanging="720"/>
      </w:pPr>
      <w:rPr>
        <w:rFonts w:ascii="Calibri" w:eastAsia="Calibri"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6BA2386"/>
    <w:multiLevelType w:val="multilevel"/>
    <w:tmpl w:val="B69ADCF2"/>
    <w:numStyleLink w:val="EIAbullets"/>
  </w:abstractNum>
  <w:abstractNum w:abstractNumId="17">
    <w:nsid w:val="4EBF29EA"/>
    <w:multiLevelType w:val="multilevel"/>
    <w:tmpl w:val="B69ADCF2"/>
    <w:numStyleLink w:val="EIAbullets"/>
  </w:abstractNum>
  <w:abstractNum w:abstractNumId="18">
    <w:nsid w:val="632B2CBD"/>
    <w:multiLevelType w:val="multilevel"/>
    <w:tmpl w:val="B69ADCF2"/>
    <w:numStyleLink w:val="EIAbullets"/>
  </w:abstractNum>
  <w:abstractNum w:abstractNumId="19">
    <w:nsid w:val="69A352BA"/>
    <w:multiLevelType w:val="hybridMultilevel"/>
    <w:tmpl w:val="176CF6D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9F073C5"/>
    <w:multiLevelType w:val="hybridMultilevel"/>
    <w:tmpl w:val="1C8EBEFC"/>
    <w:lvl w:ilvl="0">
      <w:start w:val="0"/>
      <w:numFmt w:val="bullet"/>
      <w:lvlText w:val="•"/>
      <w:lvlJc w:val="left"/>
      <w:pPr>
        <w:ind w:left="1080" w:hanging="720"/>
      </w:pPr>
      <w:rPr>
        <w:rFonts w:ascii="Calibri" w:eastAsia="Calibri"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F863061"/>
    <w:multiLevelType w:val="multilevel"/>
    <w:tmpl w:val="AE02192E"/>
    <w:lvl w:ilvl="0">
      <w:start w:val="1"/>
      <w:numFmt w:val="none"/>
      <w:pStyle w:val="Heading1"/>
      <w:suff w:val="nothing"/>
      <w:lvlJc w:val="left"/>
      <w:pPr>
        <w:ind w:left="0" w:firstLine="0"/>
      </w:pPr>
      <w:rPr>
        <w:rFonts w:hint="default"/>
      </w:rPr>
    </w:lvl>
    <w:lvl w:ilvl="1">
      <w:start w:val="1"/>
      <w:numFmt w:val="decimal"/>
      <w:lvlText w:val="%1"/>
      <w:lvlJc w:val="left"/>
      <w:pPr>
        <w:ind w:left="792" w:hanging="432"/>
      </w:pPr>
      <w:rPr>
        <w:rFonts w:hint="default"/>
      </w:rPr>
    </w:lvl>
    <w:lvl w:ilvl="2">
      <w:start w:val="1"/>
      <w:numFmt w:val="decimal"/>
      <w:lvlText w:val="%1"/>
      <w:lvlJc w:val="left"/>
      <w:pPr>
        <w:ind w:left="1224" w:hanging="504"/>
      </w:pPr>
      <w:rPr>
        <w:rFonts w:hint="default"/>
      </w:rPr>
    </w:lvl>
    <w:lvl w:ilvl="3">
      <w:start w:val="1"/>
      <w:numFmt w:val="decimal"/>
      <w:lvlText w:val="%1"/>
      <w:lvlJc w:val="left"/>
      <w:pPr>
        <w:ind w:left="1728" w:hanging="648"/>
      </w:pPr>
      <w:rPr>
        <w:rFonts w:hint="default"/>
      </w:rPr>
    </w:lvl>
    <w:lvl w:ilvl="4">
      <w:start w:val="1"/>
      <w:numFmt w:val="decimal"/>
      <w:lvlText w:val="%1"/>
      <w:lvlJc w:val="left"/>
      <w:pPr>
        <w:ind w:left="2232" w:hanging="792"/>
      </w:pPr>
      <w:rPr>
        <w:rFonts w:hint="default"/>
      </w:rPr>
    </w:lvl>
    <w:lvl w:ilvl="5">
      <w:start w:val="1"/>
      <w:numFmt w:val="decimal"/>
      <w:lvlText w:val="%1"/>
      <w:lvlJc w:val="left"/>
      <w:pPr>
        <w:ind w:left="2736" w:hanging="936"/>
      </w:pPr>
      <w:rPr>
        <w:rFonts w:hint="default"/>
      </w:rPr>
    </w:lvl>
    <w:lvl w:ilvl="6">
      <w:start w:val="1"/>
      <w:numFmt w:val="decimal"/>
      <w:lvlText w:val="%1"/>
      <w:lvlJc w:val="left"/>
      <w:pPr>
        <w:ind w:left="3240" w:hanging="1080"/>
      </w:pPr>
      <w:rPr>
        <w:rFonts w:hint="default"/>
      </w:rPr>
    </w:lvl>
    <w:lvl w:ilvl="7">
      <w:start w:val="1"/>
      <w:numFmt w:val="decimal"/>
      <w:lvlText w:val="%1"/>
      <w:lvlJc w:val="left"/>
      <w:pPr>
        <w:ind w:left="3744" w:hanging="1224"/>
      </w:pPr>
      <w:rPr>
        <w:rFonts w:hint="default"/>
      </w:rPr>
    </w:lvl>
    <w:lvl w:ilvl="8">
      <w:start w:val="0"/>
      <w:numFmt w:val="decimal"/>
      <w:lvlRestart w:val="0"/>
      <w:lvlText w:val="%1"/>
      <w:lvlJc w:val="left"/>
      <w:pPr>
        <w:ind w:left="4320" w:hanging="1440"/>
      </w:pPr>
      <w:rPr>
        <w:rFonts w:hint="default"/>
      </w:rPr>
    </w:lvl>
  </w:abstractNum>
  <w:num w:numId="1" w16cid:durableId="1349218370">
    <w:abstractNumId w:val="4"/>
  </w:num>
  <w:num w:numId="2" w16cid:durableId="1450663382">
    <w:abstractNumId w:val="7"/>
  </w:num>
  <w:num w:numId="3" w16cid:durableId="520441208">
    <w:abstractNumId w:val="5"/>
  </w:num>
  <w:num w:numId="4" w16cid:durableId="707533083">
    <w:abstractNumId w:val="3"/>
  </w:num>
  <w:num w:numId="5" w16cid:durableId="1571041600">
    <w:abstractNumId w:val="2"/>
  </w:num>
  <w:num w:numId="6" w16cid:durableId="302274061">
    <w:abstractNumId w:val="1"/>
  </w:num>
  <w:num w:numId="7" w16cid:durableId="1872840231">
    <w:abstractNumId w:val="21"/>
  </w:num>
  <w:num w:numId="8" w16cid:durableId="2000882581">
    <w:abstractNumId w:val="13"/>
  </w:num>
  <w:num w:numId="9" w16cid:durableId="266081547">
    <w:abstractNumId w:val="16"/>
  </w:num>
  <w:num w:numId="10" w16cid:durableId="78717042">
    <w:abstractNumId w:val="9"/>
  </w:num>
  <w:num w:numId="11" w16cid:durableId="1678927315">
    <w:abstractNumId w:val="10"/>
  </w:num>
  <w:num w:numId="12" w16cid:durableId="783303653">
    <w:abstractNumId w:val="12"/>
  </w:num>
  <w:num w:numId="13" w16cid:durableId="1958095209">
    <w:abstractNumId w:val="14"/>
  </w:num>
  <w:num w:numId="14" w16cid:durableId="1317223929">
    <w:abstractNumId w:val="11"/>
  </w:num>
  <w:num w:numId="15" w16cid:durableId="1290820999">
    <w:abstractNumId w:val="8"/>
  </w:num>
  <w:num w:numId="16" w16cid:durableId="1491367669">
    <w:abstractNumId w:val="20"/>
  </w:num>
  <w:num w:numId="17" w16cid:durableId="1911845722">
    <w:abstractNumId w:val="17"/>
  </w:num>
  <w:num w:numId="18" w16cid:durableId="525102898">
    <w:abstractNumId w:val="15"/>
  </w:num>
  <w:num w:numId="19" w16cid:durableId="789007121">
    <w:abstractNumId w:val="18"/>
  </w:num>
  <w:num w:numId="20" w16cid:durableId="97138681">
    <w:abstractNumId w:val="6"/>
  </w:num>
  <w:num w:numId="21" w16cid:durableId="929776390">
    <w:abstractNumId w:val="19"/>
  </w:num>
  <w:num w:numId="22" w16cid:durableId="429471736">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stylePaneFormatFilter w:val="D024" w:allStyles="0" w:alternateStyleNames="1" w:clearFormatting="1" w:customStyles="0" w:directFormattingOnNumbering="0" w:directFormattingOnParagraphs="0" w:directFormattingOnRuns="0" w:directFormattingOnTables="0" w:headingStyles="1" w:latentStyles="1" w:numberingStyles="0" w:stylesInUse="0" w:tableStyles="0" w:top3HeadingStyles="0" w:visibleStyles="1"/>
  <w:documentProtection w:formatting="1" w:enforcement="0"/>
  <w:styleLockTheme/>
  <w:styleLockQFSet/>
  <w:defaultTabStop w:val="720"/>
  <w:drawingGridHorizontalSpacing w:val="144"/>
  <w:drawingGridVerticalSpacing w:val="187"/>
  <w:displayHorizontalDrawingGridEvery w:val="2"/>
  <w:characterSpacingControl w:val="doNotCompress"/>
  <w:footnotePr>
    <w:pos w:val="beneathText"/>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0A"/>
    <w:rsid w:val="0000010D"/>
    <w:rsid w:val="0000019D"/>
    <w:rsid w:val="000008B5"/>
    <w:rsid w:val="0000364C"/>
    <w:rsid w:val="00004135"/>
    <w:rsid w:val="000041A1"/>
    <w:rsid w:val="000053BB"/>
    <w:rsid w:val="00011B3F"/>
    <w:rsid w:val="00013373"/>
    <w:rsid w:val="000142E5"/>
    <w:rsid w:val="00014C93"/>
    <w:rsid w:val="00015DA7"/>
    <w:rsid w:val="0002129E"/>
    <w:rsid w:val="00022D41"/>
    <w:rsid w:val="000248CE"/>
    <w:rsid w:val="000349F1"/>
    <w:rsid w:val="00034A4B"/>
    <w:rsid w:val="00035B81"/>
    <w:rsid w:val="00041909"/>
    <w:rsid w:val="00046593"/>
    <w:rsid w:val="00047C08"/>
    <w:rsid w:val="000520DF"/>
    <w:rsid w:val="000556B6"/>
    <w:rsid w:val="00055769"/>
    <w:rsid w:val="00056EC3"/>
    <w:rsid w:val="000621DC"/>
    <w:rsid w:val="00062CFE"/>
    <w:rsid w:val="00063FA9"/>
    <w:rsid w:val="0007129A"/>
    <w:rsid w:val="00075197"/>
    <w:rsid w:val="0007760A"/>
    <w:rsid w:val="0008275C"/>
    <w:rsid w:val="000831C4"/>
    <w:rsid w:val="000844CA"/>
    <w:rsid w:val="00085E32"/>
    <w:rsid w:val="00090A14"/>
    <w:rsid w:val="00091CC7"/>
    <w:rsid w:val="000925DF"/>
    <w:rsid w:val="000953C2"/>
    <w:rsid w:val="000A6D40"/>
    <w:rsid w:val="000B17E2"/>
    <w:rsid w:val="000B3FBE"/>
    <w:rsid w:val="000B499E"/>
    <w:rsid w:val="000C4381"/>
    <w:rsid w:val="000C5311"/>
    <w:rsid w:val="000D614E"/>
    <w:rsid w:val="000E5672"/>
    <w:rsid w:val="000F040A"/>
    <w:rsid w:val="001022FE"/>
    <w:rsid w:val="001034E8"/>
    <w:rsid w:val="00112A69"/>
    <w:rsid w:val="0011541D"/>
    <w:rsid w:val="00132F4A"/>
    <w:rsid w:val="00140D25"/>
    <w:rsid w:val="001423C4"/>
    <w:rsid w:val="00160925"/>
    <w:rsid w:val="00160D58"/>
    <w:rsid w:val="00165EAC"/>
    <w:rsid w:val="00166935"/>
    <w:rsid w:val="00167425"/>
    <w:rsid w:val="00175361"/>
    <w:rsid w:val="001807A3"/>
    <w:rsid w:val="00183B2A"/>
    <w:rsid w:val="00193E28"/>
    <w:rsid w:val="001947D5"/>
    <w:rsid w:val="001A131F"/>
    <w:rsid w:val="001A6D1B"/>
    <w:rsid w:val="001A6E1E"/>
    <w:rsid w:val="001B0E69"/>
    <w:rsid w:val="001B1E39"/>
    <w:rsid w:val="001B2110"/>
    <w:rsid w:val="001B5DD3"/>
    <w:rsid w:val="001D03A8"/>
    <w:rsid w:val="001D2E96"/>
    <w:rsid w:val="001D77C7"/>
    <w:rsid w:val="001F3A8F"/>
    <w:rsid w:val="002008B4"/>
    <w:rsid w:val="00201F24"/>
    <w:rsid w:val="00206D5A"/>
    <w:rsid w:val="002127CE"/>
    <w:rsid w:val="00214F4F"/>
    <w:rsid w:val="00215842"/>
    <w:rsid w:val="002177B9"/>
    <w:rsid w:val="002207DF"/>
    <w:rsid w:val="00221AC2"/>
    <w:rsid w:val="00224002"/>
    <w:rsid w:val="00227E4B"/>
    <w:rsid w:val="0023015A"/>
    <w:rsid w:val="0023577E"/>
    <w:rsid w:val="0023708A"/>
    <w:rsid w:val="0025022D"/>
    <w:rsid w:val="00250514"/>
    <w:rsid w:val="002530BB"/>
    <w:rsid w:val="002542D4"/>
    <w:rsid w:val="002556F3"/>
    <w:rsid w:val="00257B62"/>
    <w:rsid w:val="00260EDF"/>
    <w:rsid w:val="00264148"/>
    <w:rsid w:val="00266B21"/>
    <w:rsid w:val="00267A8E"/>
    <w:rsid w:val="00274179"/>
    <w:rsid w:val="00274BD4"/>
    <w:rsid w:val="002844D0"/>
    <w:rsid w:val="00284F5D"/>
    <w:rsid w:val="00296B7C"/>
    <w:rsid w:val="002A110E"/>
    <w:rsid w:val="002A599D"/>
    <w:rsid w:val="002B0FD2"/>
    <w:rsid w:val="002B5EC9"/>
    <w:rsid w:val="002C378C"/>
    <w:rsid w:val="002D4821"/>
    <w:rsid w:val="002D4FE9"/>
    <w:rsid w:val="002E18F8"/>
    <w:rsid w:val="002E3FD5"/>
    <w:rsid w:val="002E7A38"/>
    <w:rsid w:val="002F253E"/>
    <w:rsid w:val="00306516"/>
    <w:rsid w:val="00313D14"/>
    <w:rsid w:val="00317240"/>
    <w:rsid w:val="00325C96"/>
    <w:rsid w:val="00330D13"/>
    <w:rsid w:val="003469CB"/>
    <w:rsid w:val="00346BDC"/>
    <w:rsid w:val="00350C8B"/>
    <w:rsid w:val="00351A73"/>
    <w:rsid w:val="00353B81"/>
    <w:rsid w:val="00363331"/>
    <w:rsid w:val="00371E14"/>
    <w:rsid w:val="00373208"/>
    <w:rsid w:val="003838C4"/>
    <w:rsid w:val="00383DB3"/>
    <w:rsid w:val="003854B2"/>
    <w:rsid w:val="00385AE6"/>
    <w:rsid w:val="00385B7A"/>
    <w:rsid w:val="00387C8D"/>
    <w:rsid w:val="00392DD0"/>
    <w:rsid w:val="00396BCB"/>
    <w:rsid w:val="00397825"/>
    <w:rsid w:val="003A1073"/>
    <w:rsid w:val="003A10F3"/>
    <w:rsid w:val="003A2C7A"/>
    <w:rsid w:val="003A3906"/>
    <w:rsid w:val="003A39F0"/>
    <w:rsid w:val="003A7113"/>
    <w:rsid w:val="003B03A4"/>
    <w:rsid w:val="003C03EA"/>
    <w:rsid w:val="003C690C"/>
    <w:rsid w:val="003E2F97"/>
    <w:rsid w:val="003E3BDD"/>
    <w:rsid w:val="003E40FA"/>
    <w:rsid w:val="003F24ED"/>
    <w:rsid w:val="003F3866"/>
    <w:rsid w:val="003F529E"/>
    <w:rsid w:val="004020B2"/>
    <w:rsid w:val="00416BC3"/>
    <w:rsid w:val="0042608E"/>
    <w:rsid w:val="00426481"/>
    <w:rsid w:val="00431CD7"/>
    <w:rsid w:val="00432966"/>
    <w:rsid w:val="00433C96"/>
    <w:rsid w:val="00436153"/>
    <w:rsid w:val="0045608E"/>
    <w:rsid w:val="0045662F"/>
    <w:rsid w:val="00466959"/>
    <w:rsid w:val="00470AF3"/>
    <w:rsid w:val="0047784B"/>
    <w:rsid w:val="004854EE"/>
    <w:rsid w:val="004946F0"/>
    <w:rsid w:val="00497C2A"/>
    <w:rsid w:val="004A42CD"/>
    <w:rsid w:val="004A729E"/>
    <w:rsid w:val="004B058E"/>
    <w:rsid w:val="004B1075"/>
    <w:rsid w:val="004B552A"/>
    <w:rsid w:val="004C14D5"/>
    <w:rsid w:val="004C277B"/>
    <w:rsid w:val="004C5EE3"/>
    <w:rsid w:val="004D05FB"/>
    <w:rsid w:val="004D0F05"/>
    <w:rsid w:val="004D236B"/>
    <w:rsid w:val="004D29C7"/>
    <w:rsid w:val="004D6918"/>
    <w:rsid w:val="004E5446"/>
    <w:rsid w:val="004E6204"/>
    <w:rsid w:val="004F17D8"/>
    <w:rsid w:val="00504119"/>
    <w:rsid w:val="00505571"/>
    <w:rsid w:val="005065CF"/>
    <w:rsid w:val="00506BB4"/>
    <w:rsid w:val="0050705F"/>
    <w:rsid w:val="005170D3"/>
    <w:rsid w:val="0052493A"/>
    <w:rsid w:val="00524A83"/>
    <w:rsid w:val="0053187B"/>
    <w:rsid w:val="0053480F"/>
    <w:rsid w:val="005352AB"/>
    <w:rsid w:val="00535CAF"/>
    <w:rsid w:val="00536054"/>
    <w:rsid w:val="0053654B"/>
    <w:rsid w:val="00536CE1"/>
    <w:rsid w:val="00537C90"/>
    <w:rsid w:val="00540CC5"/>
    <w:rsid w:val="0054180D"/>
    <w:rsid w:val="0054205E"/>
    <w:rsid w:val="00547B53"/>
    <w:rsid w:val="00552509"/>
    <w:rsid w:val="0056074C"/>
    <w:rsid w:val="00563592"/>
    <w:rsid w:val="00571D8F"/>
    <w:rsid w:val="0057367D"/>
    <w:rsid w:val="00581F57"/>
    <w:rsid w:val="0058202B"/>
    <w:rsid w:val="00585BE3"/>
    <w:rsid w:val="00590293"/>
    <w:rsid w:val="005B2B58"/>
    <w:rsid w:val="005B4863"/>
    <w:rsid w:val="005C00FA"/>
    <w:rsid w:val="005C2D89"/>
    <w:rsid w:val="005C485B"/>
    <w:rsid w:val="005D39D7"/>
    <w:rsid w:val="005D5956"/>
    <w:rsid w:val="005D602C"/>
    <w:rsid w:val="005D6F63"/>
    <w:rsid w:val="005E309D"/>
    <w:rsid w:val="005F108A"/>
    <w:rsid w:val="005F4848"/>
    <w:rsid w:val="005F55C3"/>
    <w:rsid w:val="005F778C"/>
    <w:rsid w:val="00602065"/>
    <w:rsid w:val="00605140"/>
    <w:rsid w:val="00612A58"/>
    <w:rsid w:val="0062008C"/>
    <w:rsid w:val="00620797"/>
    <w:rsid w:val="00621D1A"/>
    <w:rsid w:val="00622C29"/>
    <w:rsid w:val="00626494"/>
    <w:rsid w:val="00636EAD"/>
    <w:rsid w:val="006415BC"/>
    <w:rsid w:val="00641DE2"/>
    <w:rsid w:val="00643384"/>
    <w:rsid w:val="00652F00"/>
    <w:rsid w:val="00653251"/>
    <w:rsid w:val="0065406F"/>
    <w:rsid w:val="00656239"/>
    <w:rsid w:val="00663EC4"/>
    <w:rsid w:val="00666179"/>
    <w:rsid w:val="00677C5F"/>
    <w:rsid w:val="006A06A2"/>
    <w:rsid w:val="006A0BC7"/>
    <w:rsid w:val="006A0EB0"/>
    <w:rsid w:val="006A17F6"/>
    <w:rsid w:val="006A6190"/>
    <w:rsid w:val="006B678C"/>
    <w:rsid w:val="006B7ED1"/>
    <w:rsid w:val="006C0062"/>
    <w:rsid w:val="006C097E"/>
    <w:rsid w:val="006C2DC3"/>
    <w:rsid w:val="006C2E64"/>
    <w:rsid w:val="006C470A"/>
    <w:rsid w:val="006D0439"/>
    <w:rsid w:val="006D466F"/>
    <w:rsid w:val="006D5F88"/>
    <w:rsid w:val="006E7EDF"/>
    <w:rsid w:val="006F1E6D"/>
    <w:rsid w:val="00700FB1"/>
    <w:rsid w:val="007025F2"/>
    <w:rsid w:val="0071704C"/>
    <w:rsid w:val="007202BE"/>
    <w:rsid w:val="00725453"/>
    <w:rsid w:val="00737591"/>
    <w:rsid w:val="007438F2"/>
    <w:rsid w:val="00752786"/>
    <w:rsid w:val="00755C3D"/>
    <w:rsid w:val="007576EF"/>
    <w:rsid w:val="00760677"/>
    <w:rsid w:val="007609B3"/>
    <w:rsid w:val="00761C12"/>
    <w:rsid w:val="00776CCA"/>
    <w:rsid w:val="00776CF4"/>
    <w:rsid w:val="00783DF5"/>
    <w:rsid w:val="00784F89"/>
    <w:rsid w:val="00786336"/>
    <w:rsid w:val="0079713E"/>
    <w:rsid w:val="007A3975"/>
    <w:rsid w:val="007A4264"/>
    <w:rsid w:val="007A4378"/>
    <w:rsid w:val="007B120B"/>
    <w:rsid w:val="007B6FA1"/>
    <w:rsid w:val="007C17C1"/>
    <w:rsid w:val="007C1889"/>
    <w:rsid w:val="007C2C68"/>
    <w:rsid w:val="007C5030"/>
    <w:rsid w:val="007C5CE9"/>
    <w:rsid w:val="007D39CC"/>
    <w:rsid w:val="007D418E"/>
    <w:rsid w:val="007D6AAF"/>
    <w:rsid w:val="007E0774"/>
    <w:rsid w:val="007E37FC"/>
    <w:rsid w:val="007E5A11"/>
    <w:rsid w:val="007E73E6"/>
    <w:rsid w:val="007E7B61"/>
    <w:rsid w:val="007F16AC"/>
    <w:rsid w:val="007F1811"/>
    <w:rsid w:val="007F1954"/>
    <w:rsid w:val="007F21D7"/>
    <w:rsid w:val="007F2BB7"/>
    <w:rsid w:val="008057F8"/>
    <w:rsid w:val="0082389A"/>
    <w:rsid w:val="0082602A"/>
    <w:rsid w:val="008307E1"/>
    <w:rsid w:val="00833DBD"/>
    <w:rsid w:val="008506E6"/>
    <w:rsid w:val="00867160"/>
    <w:rsid w:val="00870264"/>
    <w:rsid w:val="008718C8"/>
    <w:rsid w:val="0087205B"/>
    <w:rsid w:val="00873D69"/>
    <w:rsid w:val="00874FB8"/>
    <w:rsid w:val="008909A1"/>
    <w:rsid w:val="00891514"/>
    <w:rsid w:val="00895669"/>
    <w:rsid w:val="00897946"/>
    <w:rsid w:val="008A3276"/>
    <w:rsid w:val="008A3447"/>
    <w:rsid w:val="008B6654"/>
    <w:rsid w:val="008C4DAD"/>
    <w:rsid w:val="008E0883"/>
    <w:rsid w:val="008E4BF2"/>
    <w:rsid w:val="008E4FA4"/>
    <w:rsid w:val="008F4CBD"/>
    <w:rsid w:val="008F792C"/>
    <w:rsid w:val="009017AD"/>
    <w:rsid w:val="00901BED"/>
    <w:rsid w:val="00905735"/>
    <w:rsid w:val="00907274"/>
    <w:rsid w:val="009127BE"/>
    <w:rsid w:val="009131B9"/>
    <w:rsid w:val="00916FC7"/>
    <w:rsid w:val="00927755"/>
    <w:rsid w:val="00934477"/>
    <w:rsid w:val="00935805"/>
    <w:rsid w:val="009368F3"/>
    <w:rsid w:val="00947C42"/>
    <w:rsid w:val="00950489"/>
    <w:rsid w:val="00957DE9"/>
    <w:rsid w:val="00965A44"/>
    <w:rsid w:val="00967D7C"/>
    <w:rsid w:val="009757AD"/>
    <w:rsid w:val="00980B6A"/>
    <w:rsid w:val="009818F9"/>
    <w:rsid w:val="00982A41"/>
    <w:rsid w:val="0098618F"/>
    <w:rsid w:val="009876F6"/>
    <w:rsid w:val="00987C32"/>
    <w:rsid w:val="00991646"/>
    <w:rsid w:val="0099448B"/>
    <w:rsid w:val="00997347"/>
    <w:rsid w:val="009A6AB5"/>
    <w:rsid w:val="009A6D01"/>
    <w:rsid w:val="009B19CE"/>
    <w:rsid w:val="009B275C"/>
    <w:rsid w:val="009C202F"/>
    <w:rsid w:val="009C77F7"/>
    <w:rsid w:val="009D2670"/>
    <w:rsid w:val="009D3ABF"/>
    <w:rsid w:val="009E039F"/>
    <w:rsid w:val="009E37D4"/>
    <w:rsid w:val="009E5ABC"/>
    <w:rsid w:val="009E5B9C"/>
    <w:rsid w:val="009E780C"/>
    <w:rsid w:val="009F4577"/>
    <w:rsid w:val="009F61F7"/>
    <w:rsid w:val="00A00D71"/>
    <w:rsid w:val="00A00EDF"/>
    <w:rsid w:val="00A05A74"/>
    <w:rsid w:val="00A15571"/>
    <w:rsid w:val="00A207A6"/>
    <w:rsid w:val="00A262AD"/>
    <w:rsid w:val="00A26A17"/>
    <w:rsid w:val="00A30169"/>
    <w:rsid w:val="00A312A3"/>
    <w:rsid w:val="00A33D9F"/>
    <w:rsid w:val="00A351C6"/>
    <w:rsid w:val="00A37229"/>
    <w:rsid w:val="00A41763"/>
    <w:rsid w:val="00A418C9"/>
    <w:rsid w:val="00A61D97"/>
    <w:rsid w:val="00A61F7B"/>
    <w:rsid w:val="00A74C9B"/>
    <w:rsid w:val="00A81FFB"/>
    <w:rsid w:val="00A851D8"/>
    <w:rsid w:val="00A93478"/>
    <w:rsid w:val="00A97FE7"/>
    <w:rsid w:val="00AA46CA"/>
    <w:rsid w:val="00AA5EAF"/>
    <w:rsid w:val="00AA7EFA"/>
    <w:rsid w:val="00AB453E"/>
    <w:rsid w:val="00AB61B3"/>
    <w:rsid w:val="00AC323A"/>
    <w:rsid w:val="00AC4512"/>
    <w:rsid w:val="00AD6244"/>
    <w:rsid w:val="00AD6357"/>
    <w:rsid w:val="00AD7F81"/>
    <w:rsid w:val="00AE4CA9"/>
    <w:rsid w:val="00AF23A9"/>
    <w:rsid w:val="00AF2CBF"/>
    <w:rsid w:val="00AF367D"/>
    <w:rsid w:val="00AF45FD"/>
    <w:rsid w:val="00AF7AB0"/>
    <w:rsid w:val="00AF7C35"/>
    <w:rsid w:val="00B01714"/>
    <w:rsid w:val="00B20613"/>
    <w:rsid w:val="00B35E2A"/>
    <w:rsid w:val="00B41D7A"/>
    <w:rsid w:val="00B4263D"/>
    <w:rsid w:val="00B4697B"/>
    <w:rsid w:val="00B55846"/>
    <w:rsid w:val="00B55AE0"/>
    <w:rsid w:val="00B56F49"/>
    <w:rsid w:val="00B671F4"/>
    <w:rsid w:val="00B732AA"/>
    <w:rsid w:val="00B7442A"/>
    <w:rsid w:val="00B74C97"/>
    <w:rsid w:val="00B7532E"/>
    <w:rsid w:val="00B80706"/>
    <w:rsid w:val="00B85F5C"/>
    <w:rsid w:val="00B97002"/>
    <w:rsid w:val="00BA2B4C"/>
    <w:rsid w:val="00BA4AC7"/>
    <w:rsid w:val="00BA72AC"/>
    <w:rsid w:val="00BA7A75"/>
    <w:rsid w:val="00BB2F70"/>
    <w:rsid w:val="00BB64D7"/>
    <w:rsid w:val="00BB6CF4"/>
    <w:rsid w:val="00BC14C3"/>
    <w:rsid w:val="00BC1ABE"/>
    <w:rsid w:val="00BC3EBB"/>
    <w:rsid w:val="00BD2F20"/>
    <w:rsid w:val="00BD4F62"/>
    <w:rsid w:val="00BE4AFD"/>
    <w:rsid w:val="00BF4AD8"/>
    <w:rsid w:val="00BF5DAB"/>
    <w:rsid w:val="00C00590"/>
    <w:rsid w:val="00C04647"/>
    <w:rsid w:val="00C11D07"/>
    <w:rsid w:val="00C12150"/>
    <w:rsid w:val="00C12551"/>
    <w:rsid w:val="00C13A9A"/>
    <w:rsid w:val="00C211CD"/>
    <w:rsid w:val="00C25328"/>
    <w:rsid w:val="00C26D69"/>
    <w:rsid w:val="00C3744D"/>
    <w:rsid w:val="00C37CD0"/>
    <w:rsid w:val="00C40888"/>
    <w:rsid w:val="00C41A7B"/>
    <w:rsid w:val="00C43A84"/>
    <w:rsid w:val="00C43D02"/>
    <w:rsid w:val="00C64137"/>
    <w:rsid w:val="00C658E4"/>
    <w:rsid w:val="00C676B1"/>
    <w:rsid w:val="00C7266E"/>
    <w:rsid w:val="00C754F1"/>
    <w:rsid w:val="00C76C66"/>
    <w:rsid w:val="00C829A7"/>
    <w:rsid w:val="00C82DF9"/>
    <w:rsid w:val="00C87190"/>
    <w:rsid w:val="00C9047C"/>
    <w:rsid w:val="00C908BF"/>
    <w:rsid w:val="00C97EC2"/>
    <w:rsid w:val="00CA1564"/>
    <w:rsid w:val="00CA2A61"/>
    <w:rsid w:val="00CA4A63"/>
    <w:rsid w:val="00CA53B0"/>
    <w:rsid w:val="00CA7C8A"/>
    <w:rsid w:val="00CB180D"/>
    <w:rsid w:val="00CB34B0"/>
    <w:rsid w:val="00CB44E8"/>
    <w:rsid w:val="00CB7978"/>
    <w:rsid w:val="00CC1D12"/>
    <w:rsid w:val="00CD7590"/>
    <w:rsid w:val="00CE42E9"/>
    <w:rsid w:val="00CF76C5"/>
    <w:rsid w:val="00D001E4"/>
    <w:rsid w:val="00D00AA8"/>
    <w:rsid w:val="00D016A7"/>
    <w:rsid w:val="00D02778"/>
    <w:rsid w:val="00D06EF5"/>
    <w:rsid w:val="00D073FB"/>
    <w:rsid w:val="00D300F4"/>
    <w:rsid w:val="00D3344B"/>
    <w:rsid w:val="00D342EA"/>
    <w:rsid w:val="00D359E6"/>
    <w:rsid w:val="00D40175"/>
    <w:rsid w:val="00D55243"/>
    <w:rsid w:val="00D6129B"/>
    <w:rsid w:val="00D62F90"/>
    <w:rsid w:val="00D63E74"/>
    <w:rsid w:val="00D715C4"/>
    <w:rsid w:val="00D83FE2"/>
    <w:rsid w:val="00D928FD"/>
    <w:rsid w:val="00D954B4"/>
    <w:rsid w:val="00D96D3C"/>
    <w:rsid w:val="00DC79E3"/>
    <w:rsid w:val="00DD45BC"/>
    <w:rsid w:val="00DE0DC5"/>
    <w:rsid w:val="00DE2472"/>
    <w:rsid w:val="00DE2D54"/>
    <w:rsid w:val="00DE7A1C"/>
    <w:rsid w:val="00E02BB0"/>
    <w:rsid w:val="00E03CE6"/>
    <w:rsid w:val="00E04947"/>
    <w:rsid w:val="00E04AA7"/>
    <w:rsid w:val="00E054DF"/>
    <w:rsid w:val="00E13716"/>
    <w:rsid w:val="00E1631C"/>
    <w:rsid w:val="00E21D3A"/>
    <w:rsid w:val="00E266FF"/>
    <w:rsid w:val="00E27661"/>
    <w:rsid w:val="00E341D2"/>
    <w:rsid w:val="00E42A6E"/>
    <w:rsid w:val="00E47DB3"/>
    <w:rsid w:val="00E51F8B"/>
    <w:rsid w:val="00E5242A"/>
    <w:rsid w:val="00E52F3E"/>
    <w:rsid w:val="00E53398"/>
    <w:rsid w:val="00E66AE2"/>
    <w:rsid w:val="00E72793"/>
    <w:rsid w:val="00E74DA4"/>
    <w:rsid w:val="00E81B89"/>
    <w:rsid w:val="00E87488"/>
    <w:rsid w:val="00E906E6"/>
    <w:rsid w:val="00E91432"/>
    <w:rsid w:val="00E91B5A"/>
    <w:rsid w:val="00EA2D04"/>
    <w:rsid w:val="00EA779A"/>
    <w:rsid w:val="00EB2CA6"/>
    <w:rsid w:val="00EB6F5A"/>
    <w:rsid w:val="00EC7D4A"/>
    <w:rsid w:val="00ED06CA"/>
    <w:rsid w:val="00ED0DB4"/>
    <w:rsid w:val="00ED218D"/>
    <w:rsid w:val="00ED2D61"/>
    <w:rsid w:val="00ED30AA"/>
    <w:rsid w:val="00ED6E45"/>
    <w:rsid w:val="00EE18E8"/>
    <w:rsid w:val="00EE43E4"/>
    <w:rsid w:val="00EE4BED"/>
    <w:rsid w:val="00EF13CF"/>
    <w:rsid w:val="00EF3D35"/>
    <w:rsid w:val="00EF6BF6"/>
    <w:rsid w:val="00F001EA"/>
    <w:rsid w:val="00F11074"/>
    <w:rsid w:val="00F16B90"/>
    <w:rsid w:val="00F24B1B"/>
    <w:rsid w:val="00F34F19"/>
    <w:rsid w:val="00F43F66"/>
    <w:rsid w:val="00F44A21"/>
    <w:rsid w:val="00F53384"/>
    <w:rsid w:val="00F54295"/>
    <w:rsid w:val="00F575F0"/>
    <w:rsid w:val="00F6664C"/>
    <w:rsid w:val="00F73109"/>
    <w:rsid w:val="00F73EE1"/>
    <w:rsid w:val="00F80AF1"/>
    <w:rsid w:val="00F8298C"/>
    <w:rsid w:val="00F90245"/>
    <w:rsid w:val="00F920D9"/>
    <w:rsid w:val="00F9459F"/>
    <w:rsid w:val="00F94781"/>
    <w:rsid w:val="00F9692B"/>
    <w:rsid w:val="00FA0639"/>
    <w:rsid w:val="00FA0C40"/>
    <w:rsid w:val="00FA24F0"/>
    <w:rsid w:val="00FA5388"/>
    <w:rsid w:val="00FA540C"/>
    <w:rsid w:val="00FA7281"/>
    <w:rsid w:val="00FB0638"/>
    <w:rsid w:val="00FB08E3"/>
    <w:rsid w:val="00FB6740"/>
    <w:rsid w:val="00FC1E9D"/>
    <w:rsid w:val="00FD1CD4"/>
    <w:rsid w:val="00FD397B"/>
    <w:rsid w:val="00FD4B01"/>
    <w:rsid w:val="00FD7CDC"/>
    <w:rsid w:val="00FE22D2"/>
    <w:rsid w:val="00FE58E0"/>
    <w:rsid w:val="00FE74D0"/>
    <w:rsid w:val="45E762B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A4E9765"/>
  <w15:docId w15:val="{7D684751-3CD8-44B0-91E9-3B82116C5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1" w:qFormat="1"/>
    <w:lsdException w:name="heading 2" w:locked="0" w:semiHidden="1" w:uiPriority="1" w:unhideWhenUsed="1" w:qFormat="1"/>
    <w:lsdException w:name="heading 3" w:locked="0" w:semiHidden="1" w:uiPriority="1" w:unhideWhenUsed="1" w:qFormat="1"/>
    <w:lsdException w:name="heading 4" w:locked="0" w:semiHidden="1" w:uiPriority="1" w:unhideWhenUsed="1" w:qFormat="1"/>
    <w:lsdException w:name="heading 5" w:locked="0"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iPriority="7" w:unhideWhenUsed="1" w:qFormat="1"/>
    <w:lsdException w:name="annotation text" w:semiHidden="1" w:unhideWhenUsed="1"/>
    <w:lsdException w:name="header" w:locked="0" w:semiHidden="1" w:unhideWhenUsed="1" w:qFormat="1"/>
    <w:lsdException w:name="footer" w:locked="0" w:semiHidden="1" w:unhideWhenUsed="1" w:qFormat="1"/>
    <w:lsdException w:name="index heading" w:semiHidden="1" w:unhideWhenUsed="1"/>
    <w:lsdException w:name="caption" w:locked="0" w:semiHidden="1" w:uiPriority="3"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2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qFormat="1"/>
    <w:lsdException w:name="Body Text First Indent" w:semiHidden="1" w:unhideWhenUsed="1" w:qFormat="1"/>
    <w:lsdException w:name="Body Text First Indent 2" w:semiHidden="1" w:unhideWhenUsed="1"/>
    <w:lsdException w:name="Note Heading" w:semiHidden="1" w:uiPriority="13"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locked="0" w:uiPriority="5"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1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Smart Link" w:locked="0" w:semiHidden="1" w:unhideWhenUsed="1"/>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qFormat/>
    <w:rsid w:val="005F55C3"/>
    <w:pPr>
      <w:spacing w:after="200" w:line="300" w:lineRule="atLeast"/>
    </w:pPr>
    <w:rPr>
      <w:sz w:val="22"/>
      <w:szCs w:val="22"/>
    </w:rPr>
  </w:style>
  <w:style w:type="paragraph" w:styleId="Heading1">
    <w:name w:val="heading 1"/>
    <w:basedOn w:val="Normal"/>
    <w:next w:val="Left05Indent"/>
    <w:link w:val="Heading1Char"/>
    <w:autoRedefine/>
    <w:uiPriority w:val="1"/>
    <w:qFormat/>
    <w:rsid w:val="00E054DF"/>
    <w:pPr>
      <w:keepNext/>
      <w:keepLines/>
      <w:numPr>
        <w:numId w:val="7"/>
      </w:numPr>
      <w:spacing w:after="120" w:line="380" w:lineRule="atLeast"/>
      <w:outlineLvl w:val="0"/>
    </w:pPr>
    <w:rPr>
      <w:rFonts w:ascii="Times New Roman" w:eastAsia="Times New Roman" w:hAnsi="Times New Roman"/>
      <w:b/>
      <w:bCs/>
      <w:sz w:val="36"/>
      <w:szCs w:val="36"/>
    </w:rPr>
  </w:style>
  <w:style w:type="paragraph" w:styleId="Heading2">
    <w:name w:val="heading 2"/>
    <w:next w:val="Normal"/>
    <w:link w:val="Heading2Char"/>
    <w:autoRedefine/>
    <w:uiPriority w:val="1"/>
    <w:qFormat/>
    <w:rsid w:val="00DE7A1C"/>
    <w:pPr>
      <w:keepNext/>
      <w:keepLines/>
      <w:spacing w:before="200"/>
      <w:outlineLvl w:val="1"/>
    </w:pPr>
    <w:rPr>
      <w:rFonts w:eastAsia="Times New Roman"/>
      <w:b/>
      <w:color w:val="1396D8"/>
      <w:sz w:val="28"/>
      <w:szCs w:val="26"/>
    </w:rPr>
  </w:style>
  <w:style w:type="paragraph" w:styleId="Heading3">
    <w:name w:val="heading 3"/>
    <w:basedOn w:val="Heading2"/>
    <w:next w:val="Normal"/>
    <w:link w:val="Heading3Char"/>
    <w:autoRedefine/>
    <w:uiPriority w:val="1"/>
    <w:qFormat/>
    <w:rsid w:val="00FD7CDC"/>
    <w:pPr>
      <w:outlineLvl w:val="2"/>
    </w:pPr>
    <w:rPr>
      <w:rFonts w:ascii="Times New Roman" w:hAnsi="Times New Roman"/>
      <w:bCs/>
      <w:i/>
      <w:color w:val="595959"/>
      <w:sz w:val="24"/>
    </w:rPr>
  </w:style>
  <w:style w:type="paragraph" w:styleId="Heading4">
    <w:name w:val="heading 4"/>
    <w:basedOn w:val="Heading3"/>
    <w:next w:val="Normal"/>
    <w:link w:val="Heading4Char"/>
    <w:autoRedefine/>
    <w:uiPriority w:val="1"/>
    <w:qFormat/>
    <w:rsid w:val="005F55C3"/>
    <w:pPr>
      <w:numPr>
        <w:ilvl w:val="3"/>
      </w:numPr>
      <w:outlineLvl w:val="3"/>
    </w:pPr>
    <w:rPr>
      <w:rFonts w:ascii="Calibri" w:hAnsi="Calibri"/>
      <w:bCs w:val="0"/>
      <w:i w:val="0"/>
      <w:iCs/>
    </w:rPr>
  </w:style>
  <w:style w:type="paragraph" w:styleId="Heading5">
    <w:name w:val="heading 5"/>
    <w:basedOn w:val="Heading4"/>
    <w:next w:val="Normal"/>
    <w:link w:val="Heading5Char"/>
    <w:uiPriority w:val="1"/>
    <w:qFormat/>
    <w:rsid w:val="00AD6244"/>
    <w:pPr>
      <w:numPr>
        <w:ilvl w:val="4"/>
      </w:numPr>
      <w:outlineLvl w:val="4"/>
    </w:pPr>
    <w:rPr>
      <w:rFonts w:ascii="Times New Roman" w:hAnsi="Times New Roman"/>
    </w:rPr>
  </w:style>
  <w:style w:type="paragraph" w:styleId="Heading6">
    <w:name w:val="heading 6"/>
    <w:basedOn w:val="Heading5"/>
    <w:next w:val="Normal"/>
    <w:link w:val="Heading6Char"/>
    <w:autoRedefine/>
    <w:uiPriority w:val="9"/>
    <w:semiHidden/>
    <w:locked/>
    <w:rsid w:val="00112A69"/>
    <w:pPr>
      <w:numPr>
        <w:ilvl w:val="5"/>
      </w:numPr>
      <w:outlineLvl w:val="5"/>
    </w:pPr>
    <w:rPr>
      <w:iCs w:val="0"/>
      <w:color w:val="666666"/>
    </w:rPr>
  </w:style>
  <w:style w:type="paragraph" w:styleId="Heading7">
    <w:name w:val="heading 7"/>
    <w:basedOn w:val="Normal"/>
    <w:next w:val="Normal"/>
    <w:link w:val="Heading7Char"/>
    <w:uiPriority w:val="9"/>
    <w:semiHidden/>
    <w:locked/>
    <w:rsid w:val="00112A69"/>
    <w:pPr>
      <w:keepNext/>
      <w:keepLines/>
      <w:numPr>
        <w:ilvl w:val="6"/>
        <w:numId w:val="2"/>
      </w:numPr>
      <w:spacing w:before="200" w:after="0"/>
      <w:outlineLvl w:val="6"/>
    </w:pPr>
    <w:rPr>
      <w:rFonts w:ascii="Times New Roman" w:eastAsia="Times New Roman" w:hAnsi="Times New Roman"/>
      <w:i/>
      <w:iCs/>
      <w:color w:val="404040"/>
    </w:rPr>
  </w:style>
  <w:style w:type="paragraph" w:styleId="Heading8">
    <w:name w:val="heading 8"/>
    <w:basedOn w:val="Normal"/>
    <w:next w:val="Normal"/>
    <w:link w:val="Heading8Char"/>
    <w:uiPriority w:val="9"/>
    <w:semiHidden/>
    <w:locked/>
    <w:rsid w:val="00112A69"/>
    <w:pPr>
      <w:keepNext/>
      <w:keepLines/>
      <w:numPr>
        <w:ilvl w:val="7"/>
        <w:numId w:val="2"/>
      </w:numPr>
      <w:spacing w:before="200" w:after="0"/>
      <w:outlineLvl w:val="7"/>
    </w:pPr>
    <w:rPr>
      <w:rFonts w:ascii="Times New Roman" w:eastAsia="Times New Roman" w:hAnsi="Times New Roman"/>
      <w:color w:val="404040"/>
    </w:rPr>
  </w:style>
  <w:style w:type="paragraph" w:styleId="Heading9">
    <w:name w:val="heading 9"/>
    <w:basedOn w:val="Normal"/>
    <w:next w:val="Normal"/>
    <w:link w:val="Heading9Char"/>
    <w:uiPriority w:val="9"/>
    <w:semiHidden/>
    <w:locked/>
    <w:rsid w:val="00112A69"/>
    <w:pPr>
      <w:keepNext/>
      <w:keepLines/>
      <w:numPr>
        <w:ilvl w:val="8"/>
        <w:numId w:val="2"/>
      </w:numPr>
      <w:spacing w:before="200" w:after="0"/>
      <w:outlineLvl w:val="8"/>
    </w:pPr>
    <w:rPr>
      <w:rFonts w:ascii="Times New Roman" w:eastAsia="Times New Roman" w:hAnsi="Times New Roman"/>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E054DF"/>
    <w:rPr>
      <w:rFonts w:ascii="Times New Roman" w:eastAsia="Times New Roman" w:hAnsi="Times New Roman" w:cs="Times New Roman"/>
      <w:b/>
      <w:bCs/>
      <w:sz w:val="36"/>
      <w:szCs w:val="36"/>
    </w:rPr>
  </w:style>
  <w:style w:type="paragraph" w:styleId="NoSpacing">
    <w:name w:val="No Spacing"/>
    <w:uiPriority w:val="2"/>
    <w:qFormat/>
    <w:rsid w:val="00112A69"/>
    <w:pPr>
      <w:jc w:val="both"/>
    </w:pPr>
    <w:rPr>
      <w:sz w:val="22"/>
      <w:szCs w:val="22"/>
    </w:rPr>
  </w:style>
  <w:style w:type="character" w:customStyle="1" w:styleId="Heading2Char">
    <w:name w:val="Heading 2 Char"/>
    <w:link w:val="Heading2"/>
    <w:uiPriority w:val="1"/>
    <w:rsid w:val="00DE7A1C"/>
    <w:rPr>
      <w:rFonts w:eastAsia="Times New Roman" w:cs="Times New Roman"/>
      <w:b/>
      <w:color w:val="1396D8"/>
      <w:sz w:val="28"/>
      <w:szCs w:val="26"/>
    </w:rPr>
  </w:style>
  <w:style w:type="character" w:customStyle="1" w:styleId="Heading3Char">
    <w:name w:val="Heading 3 Char"/>
    <w:link w:val="Heading3"/>
    <w:uiPriority w:val="1"/>
    <w:rsid w:val="00FD7CDC"/>
    <w:rPr>
      <w:rFonts w:ascii="Times New Roman" w:eastAsia="Times New Roman" w:hAnsi="Times New Roman" w:cs="Times New Roman"/>
      <w:b/>
      <w:bCs/>
      <w:i/>
      <w:color w:val="595959"/>
      <w:sz w:val="24"/>
      <w:szCs w:val="26"/>
    </w:rPr>
  </w:style>
  <w:style w:type="character" w:customStyle="1" w:styleId="Heading4Char">
    <w:name w:val="Heading 4 Char"/>
    <w:link w:val="Heading4"/>
    <w:uiPriority w:val="1"/>
    <w:rsid w:val="005F55C3"/>
    <w:rPr>
      <w:rFonts w:eastAsia="Times New Roman" w:cs="Times New Roman"/>
      <w:b/>
      <w:iCs/>
      <w:color w:val="595959"/>
      <w:sz w:val="24"/>
      <w:szCs w:val="26"/>
    </w:rPr>
  </w:style>
  <w:style w:type="character" w:customStyle="1" w:styleId="Heading5Char">
    <w:name w:val="Heading 5 Char"/>
    <w:link w:val="Heading5"/>
    <w:uiPriority w:val="1"/>
    <w:rsid w:val="00AD6244"/>
    <w:rPr>
      <w:rFonts w:ascii="Times New Roman" w:eastAsia="Times New Roman" w:hAnsi="Times New Roman" w:cs="Times New Roman"/>
      <w:b/>
      <w:iCs/>
      <w:color w:val="595959"/>
      <w:sz w:val="24"/>
      <w:szCs w:val="26"/>
    </w:rPr>
  </w:style>
  <w:style w:type="character" w:customStyle="1" w:styleId="Heading6Char">
    <w:name w:val="Heading 6 Char"/>
    <w:link w:val="Heading6"/>
    <w:uiPriority w:val="9"/>
    <w:semiHidden/>
    <w:rsid w:val="00D55243"/>
    <w:rPr>
      <w:rFonts w:eastAsia="Times New Roman" w:cs="Times New Roman"/>
      <w:b/>
      <w:i/>
      <w:color w:val="666666"/>
      <w:szCs w:val="26"/>
    </w:rPr>
  </w:style>
  <w:style w:type="character" w:customStyle="1" w:styleId="Heading7Char">
    <w:name w:val="Heading 7 Char"/>
    <w:link w:val="Heading7"/>
    <w:uiPriority w:val="9"/>
    <w:semiHidden/>
    <w:rsid w:val="00D55243"/>
    <w:rPr>
      <w:rFonts w:ascii="Times New Roman" w:eastAsia="Times New Roman" w:hAnsi="Times New Roman" w:cs="Times New Roman"/>
      <w:i/>
      <w:iCs/>
      <w:color w:val="404040"/>
    </w:rPr>
  </w:style>
  <w:style w:type="character" w:customStyle="1" w:styleId="Heading8Char">
    <w:name w:val="Heading 8 Char"/>
    <w:link w:val="Heading8"/>
    <w:uiPriority w:val="9"/>
    <w:semiHidden/>
    <w:rsid w:val="00D55243"/>
    <w:rPr>
      <w:rFonts w:ascii="Times New Roman" w:eastAsia="Times New Roman" w:hAnsi="Times New Roman" w:cs="Times New Roman"/>
      <w:color w:val="404040"/>
    </w:rPr>
  </w:style>
  <w:style w:type="character" w:customStyle="1" w:styleId="Heading9Char">
    <w:name w:val="Heading 9 Char"/>
    <w:link w:val="Heading9"/>
    <w:uiPriority w:val="9"/>
    <w:semiHidden/>
    <w:rsid w:val="00D55243"/>
    <w:rPr>
      <w:rFonts w:ascii="Times New Roman" w:eastAsia="Times New Roman" w:hAnsi="Times New Roman" w:cs="Times New Roman"/>
      <w:i/>
      <w:iCs/>
      <w:color w:val="404040"/>
    </w:rPr>
  </w:style>
  <w:style w:type="paragraph" w:styleId="Caption">
    <w:name w:val="caption"/>
    <w:basedOn w:val="Normal"/>
    <w:next w:val="Normal"/>
    <w:autoRedefine/>
    <w:uiPriority w:val="3"/>
    <w:qFormat/>
    <w:rsid w:val="00DE7A1C"/>
    <w:pPr>
      <w:keepNext/>
      <w:spacing w:before="140" w:after="80" w:line="240" w:lineRule="auto"/>
    </w:pPr>
    <w:rPr>
      <w:b/>
      <w:bCs/>
      <w:color w:val="000000"/>
      <w:szCs w:val="18"/>
    </w:rPr>
  </w:style>
  <w:style w:type="paragraph" w:styleId="Header">
    <w:name w:val="header"/>
    <w:basedOn w:val="Normal"/>
    <w:link w:val="HeaderChar"/>
    <w:autoRedefine/>
    <w:uiPriority w:val="99"/>
    <w:qFormat/>
    <w:rsid w:val="009F61F7"/>
    <w:pPr>
      <w:tabs>
        <w:tab w:val="left" w:pos="1491"/>
        <w:tab w:val="center" w:pos="4680"/>
        <w:tab w:val="left" w:pos="5571"/>
        <w:tab w:val="right" w:pos="9360"/>
      </w:tabs>
      <w:spacing w:after="0" w:line="240" w:lineRule="auto"/>
      <w:jc w:val="right"/>
    </w:pPr>
    <w:rPr>
      <w:i/>
    </w:rPr>
  </w:style>
  <w:style w:type="character" w:customStyle="1" w:styleId="HeaderChar">
    <w:name w:val="Header Char"/>
    <w:link w:val="Header"/>
    <w:uiPriority w:val="99"/>
    <w:rsid w:val="009F61F7"/>
    <w:rPr>
      <w:i/>
    </w:rPr>
  </w:style>
  <w:style w:type="paragraph" w:styleId="Footer">
    <w:name w:val="footer"/>
    <w:basedOn w:val="Normal"/>
    <w:link w:val="FooterChar"/>
    <w:autoRedefine/>
    <w:uiPriority w:val="99"/>
    <w:qFormat/>
    <w:rsid w:val="00760677"/>
    <w:pPr>
      <w:tabs>
        <w:tab w:val="center" w:pos="2160"/>
        <w:tab w:val="right" w:pos="9720"/>
      </w:tabs>
      <w:spacing w:after="0" w:line="240" w:lineRule="auto"/>
      <w:ind w:left="3600" w:hanging="3600"/>
    </w:pPr>
    <w:rPr>
      <w:sz w:val="16"/>
    </w:rPr>
  </w:style>
  <w:style w:type="character" w:customStyle="1" w:styleId="FooterChar">
    <w:name w:val="Footer Char"/>
    <w:link w:val="Footer"/>
    <w:uiPriority w:val="99"/>
    <w:rsid w:val="00760677"/>
    <w:rPr>
      <w:sz w:val="16"/>
    </w:rPr>
  </w:style>
  <w:style w:type="paragraph" w:styleId="NoteHeading">
    <w:name w:val="Note Heading"/>
    <w:aliases w:val="Note 1"/>
    <w:basedOn w:val="Normal"/>
    <w:next w:val="Normal"/>
    <w:link w:val="NoteHeadingChar"/>
    <w:uiPriority w:val="13"/>
    <w:qFormat/>
    <w:locked/>
    <w:rsid w:val="004C277B"/>
    <w:pPr>
      <w:pBdr>
        <w:top w:val="single" w:sz="18" w:space="6" w:color="C4ECFF"/>
        <w:left w:val="single" w:sz="18" w:space="10" w:color="C4ECFF"/>
        <w:bottom w:val="single" w:sz="18" w:space="6" w:color="C4ECFF"/>
        <w:right w:val="single" w:sz="18" w:space="10" w:color="C4ECFF"/>
      </w:pBdr>
      <w:shd w:val="clear" w:color="auto" w:fill="C4ECFF"/>
      <w:spacing w:before="120" w:after="120" w:line="240" w:lineRule="auto"/>
      <w:ind w:left="936" w:right="216"/>
      <w:jc w:val="both"/>
    </w:pPr>
    <w:rPr>
      <w:i/>
      <w:color w:val="0096D7"/>
    </w:rPr>
  </w:style>
  <w:style w:type="character" w:customStyle="1" w:styleId="NoteHeadingChar">
    <w:name w:val="Note Heading Char"/>
    <w:aliases w:val="Note 1 Char"/>
    <w:link w:val="NoteHeading"/>
    <w:uiPriority w:val="13"/>
    <w:rsid w:val="004C277B"/>
    <w:rPr>
      <w:i/>
      <w:color w:val="0096D7"/>
      <w:szCs w:val="22"/>
      <w:shd w:val="clear" w:color="auto" w:fill="C4ECFF"/>
    </w:rPr>
  </w:style>
  <w:style w:type="character" w:styleId="PageNumber">
    <w:name w:val="page number"/>
    <w:uiPriority w:val="99"/>
    <w:semiHidden/>
    <w:locked/>
    <w:rsid w:val="00112A69"/>
    <w:rPr>
      <w:rFonts w:eastAsia="Times New Roman" w:cs="Arial"/>
      <w:sz w:val="16"/>
      <w:szCs w:val="16"/>
    </w:rPr>
  </w:style>
  <w:style w:type="character" w:styleId="Hyperlink">
    <w:name w:val="Hyperlink"/>
    <w:uiPriority w:val="99"/>
    <w:qFormat/>
    <w:rsid w:val="00433C96"/>
    <w:rPr>
      <w:rFonts w:ascii="Calibri" w:hAnsi="Calibri"/>
      <w:color w:val="1396D8"/>
      <w:u w:val="none"/>
    </w:rPr>
  </w:style>
  <w:style w:type="paragraph" w:customStyle="1" w:styleId="Link">
    <w:name w:val="Link"/>
    <w:basedOn w:val="Normal"/>
    <w:link w:val="LinkChar"/>
    <w:autoRedefine/>
    <w:uiPriority w:val="11"/>
    <w:qFormat/>
    <w:rsid w:val="004E5446"/>
    <w:pPr>
      <w:spacing w:after="0" w:line="240" w:lineRule="auto"/>
    </w:pPr>
    <w:rPr>
      <w:rFonts w:eastAsia="Times New Roman"/>
      <w:color w:val="1396D8"/>
      <w:szCs w:val="24"/>
    </w:rPr>
  </w:style>
  <w:style w:type="character" w:customStyle="1" w:styleId="LinkChar">
    <w:name w:val="Link Char"/>
    <w:link w:val="Link"/>
    <w:uiPriority w:val="11"/>
    <w:rsid w:val="004E5446"/>
    <w:rPr>
      <w:rFonts w:eastAsia="Times New Roman" w:cs="Times New Roman"/>
      <w:color w:val="1396D8"/>
      <w:szCs w:val="24"/>
    </w:rPr>
  </w:style>
  <w:style w:type="character" w:styleId="IntenseReference">
    <w:name w:val="Intense Reference"/>
    <w:aliases w:val="Note 1 Bold"/>
    <w:uiPriority w:val="32"/>
    <w:locked/>
    <w:rsid w:val="00112A69"/>
    <w:rPr>
      <w:rFonts w:ascii="Calibri" w:hAnsi="Calibri"/>
      <w:b/>
      <w:bCs/>
      <w:smallCaps/>
      <w:color w:val="BD732A"/>
      <w:spacing w:val="5"/>
      <w:sz w:val="20"/>
      <w:u w:val="none"/>
    </w:rPr>
  </w:style>
  <w:style w:type="paragraph" w:customStyle="1" w:styleId="BoldNote1">
    <w:name w:val="Bold Note 1"/>
    <w:basedOn w:val="NoteHeading"/>
    <w:uiPriority w:val="14"/>
    <w:qFormat/>
    <w:rsid w:val="00112A69"/>
    <w:rPr>
      <w:b/>
    </w:rPr>
  </w:style>
  <w:style w:type="paragraph" w:styleId="Quote">
    <w:name w:val="Quote"/>
    <w:basedOn w:val="Normal"/>
    <w:next w:val="Normal"/>
    <w:link w:val="QuoteChar"/>
    <w:uiPriority w:val="14"/>
    <w:qFormat/>
    <w:rsid w:val="00112A69"/>
    <w:pPr>
      <w:ind w:left="720" w:right="720"/>
    </w:pPr>
    <w:rPr>
      <w:iCs/>
      <w:color w:val="000000"/>
    </w:rPr>
  </w:style>
  <w:style w:type="character" w:customStyle="1" w:styleId="QuoteChar">
    <w:name w:val="Quote Char"/>
    <w:link w:val="Quote"/>
    <w:uiPriority w:val="14"/>
    <w:rsid w:val="00D55243"/>
    <w:rPr>
      <w:iCs/>
      <w:color w:val="000000"/>
    </w:rPr>
  </w:style>
  <w:style w:type="character" w:styleId="IntenseEmphasis">
    <w:name w:val="Intense Emphasis"/>
    <w:uiPriority w:val="5"/>
    <w:qFormat/>
    <w:locked/>
    <w:rsid w:val="00112A69"/>
    <w:rPr>
      <w:rFonts w:ascii="Calibri" w:hAnsi="Calibri"/>
      <w:b/>
      <w:bCs/>
      <w:i/>
      <w:iCs/>
      <w:color w:val="1396D8"/>
      <w:sz w:val="20"/>
    </w:rPr>
  </w:style>
  <w:style w:type="character" w:styleId="Emphasis">
    <w:name w:val="Emphasis"/>
    <w:uiPriority w:val="5"/>
    <w:qFormat/>
    <w:rsid w:val="00F80AF1"/>
    <w:rPr>
      <w:rFonts w:ascii="Calibri" w:hAnsi="Calibri"/>
      <w:b/>
      <w:iCs/>
      <w:sz w:val="22"/>
    </w:rPr>
  </w:style>
  <w:style w:type="paragraph" w:styleId="BodyText">
    <w:name w:val="Body Text"/>
    <w:basedOn w:val="Normal"/>
    <w:link w:val="BodyTextChar"/>
    <w:uiPriority w:val="99"/>
    <w:semiHidden/>
    <w:unhideWhenUsed/>
    <w:locked/>
    <w:rsid w:val="00015DA7"/>
    <w:pPr>
      <w:spacing w:after="120"/>
    </w:pPr>
  </w:style>
  <w:style w:type="character" w:customStyle="1" w:styleId="BodyTextChar">
    <w:name w:val="Body Text Char"/>
    <w:link w:val="BodyText"/>
    <w:uiPriority w:val="99"/>
    <w:semiHidden/>
    <w:rsid w:val="00015DA7"/>
    <w:rPr>
      <w:sz w:val="20"/>
    </w:rPr>
  </w:style>
  <w:style w:type="paragraph" w:styleId="BodyTextFirstIndent">
    <w:name w:val="Body Text First Indent"/>
    <w:aliases w:val="Style Left 0.5"/>
    <w:basedOn w:val="BodyText"/>
    <w:link w:val="BodyTextFirstIndentChar"/>
    <w:autoRedefine/>
    <w:uiPriority w:val="99"/>
    <w:semiHidden/>
    <w:qFormat/>
    <w:locked/>
    <w:rsid w:val="00112A69"/>
    <w:pPr>
      <w:spacing w:after="200"/>
      <w:ind w:left="720"/>
    </w:pPr>
  </w:style>
  <w:style w:type="character" w:customStyle="1" w:styleId="BodyTextFirstIndentChar">
    <w:name w:val="Body Text First Indent Char"/>
    <w:aliases w:val="Style Left 0.5 Char"/>
    <w:link w:val="BodyTextFirstIndent"/>
    <w:uiPriority w:val="99"/>
    <w:semiHidden/>
    <w:rsid w:val="00E03CE6"/>
    <w:rPr>
      <w:sz w:val="20"/>
    </w:rPr>
  </w:style>
  <w:style w:type="paragraph" w:customStyle="1" w:styleId="Left05Indent">
    <w:name w:val="Left 0.5&quot; Indent"/>
    <w:basedOn w:val="BodyTextFirstIndent"/>
    <w:autoRedefine/>
    <w:semiHidden/>
    <w:qFormat/>
    <w:locked/>
    <w:rsid w:val="0099448B"/>
    <w:pPr>
      <w:ind w:left="360"/>
    </w:pPr>
    <w:rPr>
      <w:rFonts w:cs="Arial"/>
    </w:rPr>
  </w:style>
  <w:style w:type="paragraph" w:styleId="NormalWeb">
    <w:name w:val="Normal (Web)"/>
    <w:basedOn w:val="Normal"/>
    <w:uiPriority w:val="99"/>
    <w:semiHidden/>
    <w:unhideWhenUsed/>
    <w:locked/>
    <w:rsid w:val="00015DA7"/>
    <w:pPr>
      <w:spacing w:after="292" w:line="292" w:lineRule="atLeast"/>
    </w:pPr>
    <w:rPr>
      <w:rFonts w:ascii="Times New Roman" w:eastAsia="Times New Roman" w:hAnsi="Times New Roman"/>
      <w:sz w:val="23"/>
      <w:szCs w:val="23"/>
    </w:rPr>
  </w:style>
  <w:style w:type="paragraph" w:styleId="ListParagraph">
    <w:name w:val="List Paragraph"/>
    <w:basedOn w:val="Normal"/>
    <w:autoRedefine/>
    <w:uiPriority w:val="34"/>
    <w:qFormat/>
    <w:rsid w:val="004B058E"/>
    <w:pPr>
      <w:ind w:left="720" w:hanging="360"/>
      <w:contextualSpacing/>
    </w:pPr>
  </w:style>
  <w:style w:type="paragraph" w:styleId="TOCHeading">
    <w:name w:val="TOC Heading"/>
    <w:basedOn w:val="Heading1"/>
    <w:next w:val="Normal"/>
    <w:autoRedefine/>
    <w:uiPriority w:val="39"/>
    <w:qFormat/>
    <w:rsid w:val="006A0EB0"/>
    <w:pPr>
      <w:numPr>
        <w:numId w:val="0"/>
      </w:numPr>
      <w:spacing w:before="480" w:line="240" w:lineRule="auto"/>
      <w:outlineLvl w:val="9"/>
    </w:pPr>
    <w:rPr>
      <w:color w:val="0096D7"/>
    </w:rPr>
  </w:style>
  <w:style w:type="paragraph" w:styleId="TOC1">
    <w:name w:val="toc 1"/>
    <w:basedOn w:val="Normal"/>
    <w:next w:val="Normal"/>
    <w:autoRedefine/>
    <w:uiPriority w:val="39"/>
    <w:qFormat/>
    <w:rsid w:val="00AD6244"/>
    <w:pPr>
      <w:tabs>
        <w:tab w:val="left" w:pos="400"/>
        <w:tab w:val="right" w:leader="dot" w:pos="9350"/>
      </w:tabs>
      <w:spacing w:after="100"/>
    </w:pPr>
    <w:rPr>
      <w:color w:val="000000"/>
    </w:rPr>
  </w:style>
  <w:style w:type="paragraph" w:styleId="TOC2">
    <w:name w:val="toc 2"/>
    <w:basedOn w:val="TOC1"/>
    <w:next w:val="Normal"/>
    <w:autoRedefine/>
    <w:uiPriority w:val="39"/>
    <w:qFormat/>
    <w:rsid w:val="00227E4B"/>
    <w:pPr>
      <w:ind w:left="288"/>
    </w:pPr>
  </w:style>
  <w:style w:type="paragraph" w:styleId="TOC3">
    <w:name w:val="toc 3"/>
    <w:basedOn w:val="TOC2"/>
    <w:next w:val="Normal"/>
    <w:autoRedefine/>
    <w:uiPriority w:val="39"/>
    <w:qFormat/>
    <w:rsid w:val="00047C08"/>
    <w:pPr>
      <w:ind w:left="648"/>
    </w:pPr>
  </w:style>
  <w:style w:type="paragraph" w:styleId="BalloonText">
    <w:name w:val="Balloon Text"/>
    <w:basedOn w:val="Normal"/>
    <w:link w:val="BalloonTextChar"/>
    <w:uiPriority w:val="99"/>
    <w:semiHidden/>
    <w:locked/>
    <w:rsid w:val="00901B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55243"/>
    <w:rPr>
      <w:rFonts w:ascii="Tahoma" w:hAnsi="Tahoma" w:cs="Tahoma"/>
      <w:sz w:val="16"/>
      <w:szCs w:val="16"/>
    </w:rPr>
  </w:style>
  <w:style w:type="paragraph" w:customStyle="1" w:styleId="Boxtext">
    <w:name w:val="Box text"/>
    <w:basedOn w:val="BodyText"/>
    <w:uiPriority w:val="2"/>
    <w:qFormat/>
    <w:rsid w:val="00112A69"/>
    <w:pPr>
      <w:pBdr>
        <w:top w:val="single" w:sz="4" w:space="2" w:color="auto"/>
        <w:left w:val="single" w:sz="4" w:space="4" w:color="auto"/>
        <w:bottom w:val="single" w:sz="4" w:space="4" w:color="auto"/>
        <w:right w:val="single" w:sz="4" w:space="4" w:color="auto"/>
      </w:pBdr>
      <w:spacing w:before="120" w:after="80"/>
    </w:pPr>
    <w:rPr>
      <w:rFonts w:eastAsia="Times New Roman"/>
    </w:rPr>
  </w:style>
  <w:style w:type="paragraph" w:styleId="BodyTextIndent3">
    <w:name w:val="Body Text Indent 3"/>
    <w:aliases w:val="Table Text .25 ndent"/>
    <w:basedOn w:val="Normal"/>
    <w:link w:val="BodyTextIndent3Char"/>
    <w:autoRedefine/>
    <w:uiPriority w:val="99"/>
    <w:semiHidden/>
    <w:qFormat/>
    <w:locked/>
    <w:rsid w:val="00112A69"/>
    <w:pPr>
      <w:framePr w:hSpace="180" w:wrap="around" w:vAnchor="text" w:hAnchor="margin" w:y="110"/>
      <w:spacing w:before="60" w:after="0" w:line="240" w:lineRule="auto"/>
      <w:ind w:left="187"/>
    </w:pPr>
    <w:rPr>
      <w:rFonts w:ascii="Arial" w:eastAsia="Times New Roman" w:hAnsi="Arial" w:cs="Arial"/>
      <w:color w:val="000000"/>
      <w:sz w:val="16"/>
      <w:szCs w:val="16"/>
    </w:rPr>
  </w:style>
  <w:style w:type="character" w:customStyle="1" w:styleId="BodyTextIndent3Char">
    <w:name w:val="Body Text Indent 3 Char"/>
    <w:aliases w:val="Table Text .25 ndent Char"/>
    <w:link w:val="BodyTextIndent3"/>
    <w:uiPriority w:val="99"/>
    <w:semiHidden/>
    <w:rsid w:val="00E03CE6"/>
    <w:rPr>
      <w:rFonts w:ascii="Arial" w:eastAsia="Times New Roman" w:hAnsi="Arial" w:cs="Arial"/>
      <w:color w:val="000000"/>
      <w:sz w:val="16"/>
      <w:szCs w:val="16"/>
    </w:rPr>
  </w:style>
  <w:style w:type="paragraph" w:styleId="FootnoteText">
    <w:name w:val="footnote text"/>
    <w:basedOn w:val="Normal"/>
    <w:link w:val="FootnoteTextChar"/>
    <w:autoRedefine/>
    <w:uiPriority w:val="7"/>
    <w:qFormat/>
    <w:rsid w:val="004A42CD"/>
    <w:pPr>
      <w:spacing w:after="0" w:line="240" w:lineRule="atLeast"/>
      <w:contextualSpacing/>
    </w:pPr>
    <w:rPr>
      <w:sz w:val="18"/>
    </w:rPr>
  </w:style>
  <w:style w:type="character" w:customStyle="1" w:styleId="FootnoteTextChar">
    <w:name w:val="Footnote Text Char"/>
    <w:link w:val="FootnoteText"/>
    <w:uiPriority w:val="7"/>
    <w:rsid w:val="004A42CD"/>
    <w:rPr>
      <w:sz w:val="18"/>
      <w:szCs w:val="22"/>
    </w:rPr>
  </w:style>
  <w:style w:type="paragraph" w:customStyle="1" w:styleId="Graphnoteandsourcetext">
    <w:name w:val="Graph note and source text"/>
    <w:basedOn w:val="Normal"/>
    <w:next w:val="Tablefootnotetext"/>
    <w:uiPriority w:val="7"/>
    <w:qFormat/>
    <w:rsid w:val="002E18F8"/>
    <w:pPr>
      <w:spacing w:line="240" w:lineRule="auto"/>
    </w:pPr>
    <w:rPr>
      <w:rFonts w:ascii="Arial" w:hAnsi="Arial"/>
      <w:color w:val="000000"/>
      <w:sz w:val="18"/>
    </w:rPr>
  </w:style>
  <w:style w:type="paragraph" w:styleId="List">
    <w:name w:val="List"/>
    <w:basedOn w:val="Normal"/>
    <w:uiPriority w:val="99"/>
    <w:semiHidden/>
    <w:locked/>
    <w:rsid w:val="00112A69"/>
    <w:pPr>
      <w:ind w:left="360" w:hanging="360"/>
      <w:contextualSpacing/>
    </w:pPr>
  </w:style>
  <w:style w:type="paragraph" w:styleId="List2">
    <w:name w:val="List 2"/>
    <w:basedOn w:val="Normal"/>
    <w:uiPriority w:val="99"/>
    <w:semiHidden/>
    <w:locked/>
    <w:rsid w:val="00112A69"/>
    <w:pPr>
      <w:ind w:left="720" w:hanging="360"/>
      <w:contextualSpacing/>
    </w:pPr>
  </w:style>
  <w:style w:type="paragraph" w:styleId="List3">
    <w:name w:val="List 3"/>
    <w:basedOn w:val="Normal"/>
    <w:uiPriority w:val="99"/>
    <w:semiHidden/>
    <w:locked/>
    <w:rsid w:val="00112A69"/>
    <w:pPr>
      <w:ind w:left="1080" w:hanging="360"/>
      <w:contextualSpacing/>
    </w:pPr>
  </w:style>
  <w:style w:type="paragraph" w:styleId="List4">
    <w:name w:val="List 4"/>
    <w:basedOn w:val="Normal"/>
    <w:uiPriority w:val="99"/>
    <w:semiHidden/>
    <w:locked/>
    <w:rsid w:val="00112A69"/>
    <w:pPr>
      <w:ind w:left="1440" w:hanging="360"/>
      <w:contextualSpacing/>
    </w:pPr>
  </w:style>
  <w:style w:type="paragraph" w:styleId="List5">
    <w:name w:val="List 5"/>
    <w:basedOn w:val="Normal"/>
    <w:uiPriority w:val="99"/>
    <w:semiHidden/>
    <w:locked/>
    <w:rsid w:val="00112A69"/>
    <w:pPr>
      <w:ind w:left="1800" w:hanging="360"/>
      <w:contextualSpacing/>
    </w:pPr>
  </w:style>
  <w:style w:type="paragraph" w:styleId="ListBullet">
    <w:name w:val="List Bullet"/>
    <w:basedOn w:val="Normal"/>
    <w:uiPriority w:val="99"/>
    <w:semiHidden/>
    <w:locked/>
    <w:rsid w:val="00112A69"/>
    <w:pPr>
      <w:numPr>
        <w:numId w:val="3"/>
      </w:numPr>
      <w:contextualSpacing/>
    </w:pPr>
  </w:style>
  <w:style w:type="paragraph" w:styleId="ListBullet2">
    <w:name w:val="List Bullet 2"/>
    <w:basedOn w:val="Normal"/>
    <w:uiPriority w:val="99"/>
    <w:semiHidden/>
    <w:locked/>
    <w:rsid w:val="00112A69"/>
    <w:pPr>
      <w:numPr>
        <w:numId w:val="4"/>
      </w:numPr>
      <w:contextualSpacing/>
    </w:pPr>
  </w:style>
  <w:style w:type="paragraph" w:styleId="ListBullet3">
    <w:name w:val="List Bullet 3"/>
    <w:basedOn w:val="Normal"/>
    <w:uiPriority w:val="99"/>
    <w:semiHidden/>
    <w:locked/>
    <w:rsid w:val="00112A69"/>
    <w:pPr>
      <w:numPr>
        <w:numId w:val="5"/>
      </w:numPr>
      <w:contextualSpacing/>
    </w:pPr>
  </w:style>
  <w:style w:type="paragraph" w:styleId="ListBullet4">
    <w:name w:val="List Bullet 4"/>
    <w:basedOn w:val="Normal"/>
    <w:uiPriority w:val="99"/>
    <w:semiHidden/>
    <w:locked/>
    <w:rsid w:val="00112A69"/>
    <w:pPr>
      <w:numPr>
        <w:numId w:val="6"/>
      </w:numPr>
      <w:contextualSpacing/>
    </w:pPr>
  </w:style>
  <w:style w:type="paragraph" w:styleId="ListContinue2">
    <w:name w:val="List Continue 2"/>
    <w:basedOn w:val="Normal"/>
    <w:uiPriority w:val="99"/>
    <w:semiHidden/>
    <w:locked/>
    <w:rsid w:val="00112A69"/>
    <w:pPr>
      <w:spacing w:after="120"/>
      <w:ind w:left="720"/>
      <w:contextualSpacing/>
    </w:pPr>
  </w:style>
  <w:style w:type="paragraph" w:styleId="ListContinue4">
    <w:name w:val="List Continue 4"/>
    <w:basedOn w:val="Normal"/>
    <w:uiPriority w:val="99"/>
    <w:semiHidden/>
    <w:locked/>
    <w:rsid w:val="00112A69"/>
    <w:pPr>
      <w:spacing w:after="120"/>
      <w:ind w:left="1440"/>
      <w:contextualSpacing/>
    </w:pPr>
  </w:style>
  <w:style w:type="character" w:styleId="LineNumber">
    <w:name w:val="line number"/>
    <w:basedOn w:val="DefaultParagraphFont"/>
    <w:uiPriority w:val="99"/>
    <w:semiHidden/>
    <w:locked/>
    <w:rsid w:val="00112A69"/>
  </w:style>
  <w:style w:type="paragraph" w:styleId="Index1">
    <w:name w:val="index 1"/>
    <w:basedOn w:val="Normal"/>
    <w:next w:val="Normal"/>
    <w:autoRedefine/>
    <w:uiPriority w:val="99"/>
    <w:semiHidden/>
    <w:unhideWhenUsed/>
    <w:locked/>
    <w:rsid w:val="00E27661"/>
    <w:pPr>
      <w:spacing w:after="0" w:line="240" w:lineRule="auto"/>
      <w:ind w:left="200" w:hanging="200"/>
    </w:pPr>
  </w:style>
  <w:style w:type="paragraph" w:styleId="IndexHeading">
    <w:name w:val="index heading"/>
    <w:basedOn w:val="Normal"/>
    <w:next w:val="Index1"/>
    <w:uiPriority w:val="99"/>
    <w:semiHidden/>
    <w:locked/>
    <w:rsid w:val="00112A69"/>
    <w:rPr>
      <w:rFonts w:ascii="Times New Roman" w:eastAsia="Times New Roman" w:hAnsi="Times New Roman"/>
      <w:b/>
      <w:bCs/>
    </w:rPr>
  </w:style>
  <w:style w:type="paragraph" w:customStyle="1" w:styleId="Text">
    <w:name w:val="Text"/>
    <w:basedOn w:val="BodyTextIndent3"/>
    <w:autoRedefine/>
    <w:uiPriority w:val="99"/>
    <w:semiHidden/>
    <w:qFormat/>
    <w:locked/>
    <w:rsid w:val="00112A69"/>
    <w:pPr>
      <w:framePr w:wrap="around"/>
      <w:ind w:left="180"/>
    </w:pPr>
  </w:style>
  <w:style w:type="paragraph" w:customStyle="1" w:styleId="TableTextIndent25">
    <w:name w:val="Table Text Indent .25"/>
    <w:basedOn w:val="Normal"/>
    <w:next w:val="Normal"/>
    <w:autoRedefine/>
    <w:uiPriority w:val="99"/>
    <w:semiHidden/>
    <w:qFormat/>
    <w:locked/>
    <w:rsid w:val="00112A69"/>
    <w:pPr>
      <w:spacing w:before="60" w:after="0" w:line="240" w:lineRule="auto"/>
      <w:ind w:left="216"/>
    </w:pPr>
    <w:rPr>
      <w:sz w:val="16"/>
    </w:rPr>
  </w:style>
  <w:style w:type="paragraph" w:customStyle="1" w:styleId="BoldTableStyle">
    <w:name w:val="Bold Table Style"/>
    <w:basedOn w:val="Normal"/>
    <w:autoRedefine/>
    <w:semiHidden/>
    <w:qFormat/>
    <w:locked/>
    <w:rsid w:val="00112A69"/>
    <w:pPr>
      <w:framePr w:hSpace="180" w:wrap="around" w:vAnchor="text" w:hAnchor="margin" w:y="110"/>
      <w:spacing w:before="40" w:after="40" w:line="240" w:lineRule="auto"/>
    </w:pPr>
    <w:rPr>
      <w:rFonts w:eastAsia="Times New Roman" w:cs="Arial"/>
      <w:b/>
      <w:color w:val="000000"/>
      <w:sz w:val="16"/>
      <w:szCs w:val="16"/>
    </w:rPr>
  </w:style>
  <w:style w:type="paragraph" w:styleId="TOC4">
    <w:name w:val="toc 4"/>
    <w:basedOn w:val="TOC3"/>
    <w:next w:val="Normal"/>
    <w:autoRedefine/>
    <w:uiPriority w:val="39"/>
    <w:qFormat/>
    <w:rsid w:val="00F575F0"/>
    <w:pPr>
      <w:ind w:left="1008"/>
    </w:pPr>
    <w:rPr>
      <w:noProof/>
    </w:rPr>
  </w:style>
  <w:style w:type="paragraph" w:styleId="ListNumber">
    <w:name w:val="List Number"/>
    <w:basedOn w:val="Normal"/>
    <w:uiPriority w:val="20"/>
    <w:locked/>
    <w:rsid w:val="00046593"/>
    <w:pPr>
      <w:numPr>
        <w:numId w:val="1"/>
      </w:numPr>
      <w:contextualSpacing/>
    </w:pPr>
  </w:style>
  <w:style w:type="table" w:customStyle="1" w:styleId="LightShading1">
    <w:name w:val="Light Shading1"/>
    <w:basedOn w:val="TableNormal"/>
    <w:uiPriority w:val="60"/>
    <w:locked/>
    <w:rsid w:val="00A00D7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TableofFigures">
    <w:name w:val="table of figures"/>
    <w:basedOn w:val="Normal"/>
    <w:next w:val="Normal"/>
    <w:uiPriority w:val="99"/>
    <w:rsid w:val="002207DF"/>
    <w:pPr>
      <w:spacing w:after="0"/>
    </w:pPr>
  </w:style>
  <w:style w:type="character" w:styleId="PlaceholderText">
    <w:name w:val="Placeholder Text"/>
    <w:uiPriority w:val="99"/>
    <w:semiHidden/>
    <w:locked/>
    <w:rsid w:val="002B0FD2"/>
    <w:rPr>
      <w:color w:val="808080"/>
    </w:rPr>
  </w:style>
  <w:style w:type="paragraph" w:styleId="Title">
    <w:name w:val="Title"/>
    <w:basedOn w:val="Normal"/>
    <w:next w:val="Normal"/>
    <w:link w:val="TitleChar"/>
    <w:autoRedefine/>
    <w:uiPriority w:val="99"/>
    <w:semiHidden/>
    <w:qFormat/>
    <w:locked/>
    <w:rsid w:val="002B0FD2"/>
    <w:pPr>
      <w:spacing w:after="360" w:line="240" w:lineRule="auto"/>
      <w:contextualSpacing/>
    </w:pPr>
    <w:rPr>
      <w:rFonts w:ascii="Times New Roman" w:eastAsia="Times New Roman" w:hAnsi="Times New Roman"/>
      <w:color w:val="139CD8"/>
      <w:spacing w:val="5"/>
      <w:kern w:val="28"/>
      <w:sz w:val="52"/>
      <w:szCs w:val="52"/>
    </w:rPr>
  </w:style>
  <w:style w:type="character" w:customStyle="1" w:styleId="TitleChar">
    <w:name w:val="Title Char"/>
    <w:link w:val="Title"/>
    <w:uiPriority w:val="99"/>
    <w:semiHidden/>
    <w:rsid w:val="00E03CE6"/>
    <w:rPr>
      <w:rFonts w:ascii="Times New Roman" w:eastAsia="Times New Roman" w:hAnsi="Times New Roman" w:cs="Times New Roman"/>
      <w:color w:val="139CD8"/>
      <w:spacing w:val="5"/>
      <w:kern w:val="28"/>
      <w:sz w:val="52"/>
      <w:szCs w:val="52"/>
    </w:rPr>
  </w:style>
  <w:style w:type="paragraph" w:styleId="Date">
    <w:name w:val="Date"/>
    <w:basedOn w:val="Normal"/>
    <w:next w:val="Normal"/>
    <w:link w:val="DateChar"/>
    <w:autoRedefine/>
    <w:uiPriority w:val="4"/>
    <w:qFormat/>
    <w:locked/>
    <w:rsid w:val="002B0FD2"/>
    <w:rPr>
      <w:color w:val="7E8E9A"/>
    </w:rPr>
  </w:style>
  <w:style w:type="character" w:customStyle="1" w:styleId="DateChar">
    <w:name w:val="Date Char"/>
    <w:link w:val="Date"/>
    <w:uiPriority w:val="4"/>
    <w:rsid w:val="00D55243"/>
    <w:rPr>
      <w:color w:val="7E8E9A"/>
      <w:sz w:val="22"/>
    </w:rPr>
  </w:style>
  <w:style w:type="table" w:styleId="ColorfulListAccent3">
    <w:name w:val="Colorful List Accent 3"/>
    <w:basedOn w:val="TableNormal"/>
    <w:uiPriority w:val="72"/>
    <w:locked/>
    <w:rsid w:val="00D55243"/>
    <w:rPr>
      <w:color w:val="000000"/>
    </w:rPr>
    <w:tblPr>
      <w:tblStyleRowBandSize w:val="1"/>
      <w:tblStyleColBandSize w:val="1"/>
    </w:tblPr>
    <w:tcPr>
      <w:shd w:val="clear" w:color="auto" w:fill="EEF7E8"/>
    </w:tcPr>
    <w:tblStylePr w:type="firstRow">
      <w:rPr>
        <w:b/>
        <w:bCs/>
        <w:color w:val="FFFFFF"/>
      </w:rPr>
      <w:tblPr/>
      <w:tcPr>
        <w:tcBorders>
          <w:bottom w:val="single" w:sz="12" w:space="0" w:color="FFFFFF"/>
        </w:tcBorders>
        <w:shd w:val="clear" w:color="auto" w:fill="CD9F00"/>
      </w:tcPr>
    </w:tblStylePr>
    <w:tblStylePr w:type="lastRow">
      <w:rPr>
        <w:b/>
        <w:bCs/>
        <w:color w:val="CD9F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ECC5"/>
      </w:tcPr>
    </w:tblStylePr>
    <w:tblStylePr w:type="band1Horz">
      <w:tblPr/>
      <w:tcPr>
        <w:shd w:val="clear" w:color="auto" w:fill="DDEFD0"/>
      </w:tcPr>
    </w:tblStylePr>
  </w:style>
  <w:style w:type="table" w:styleId="ColorfulGridAccent6">
    <w:name w:val="Colorful Grid Accent 6"/>
    <w:basedOn w:val="TableNormal"/>
    <w:uiPriority w:val="73"/>
    <w:locked/>
    <w:rsid w:val="00D55243"/>
    <w:rPr>
      <w:color w:val="000000"/>
    </w:rPr>
    <w:tblPr>
      <w:tblStyleRowBandSize w:val="1"/>
      <w:tblStyleColBandSize w:val="1"/>
      <w:tblBorders>
        <w:insideH w:val="single" w:sz="4" w:space="0" w:color="FFFFFF"/>
      </w:tblBorders>
    </w:tblPr>
    <w:tcPr>
      <w:shd w:val="clear" w:color="auto" w:fill="FBEAB2"/>
    </w:tcPr>
    <w:tblStylePr w:type="firstRow">
      <w:rPr>
        <w:b/>
        <w:bCs/>
      </w:rPr>
      <w:tblPr/>
      <w:tcPr>
        <w:shd w:val="clear" w:color="auto" w:fill="F7D565"/>
      </w:tcPr>
    </w:tblStylePr>
    <w:tblStylePr w:type="lastRow">
      <w:rPr>
        <w:b/>
        <w:bCs/>
        <w:color w:val="000000"/>
      </w:rPr>
      <w:tblPr/>
      <w:tcPr>
        <w:shd w:val="clear" w:color="auto" w:fill="F7D565"/>
      </w:tcPr>
    </w:tblStylePr>
    <w:tblStylePr w:type="firstCol">
      <w:rPr>
        <w:color w:val="FFFFFF"/>
      </w:rPr>
      <w:tblPr/>
      <w:tcPr>
        <w:shd w:val="clear" w:color="auto" w:fill="4C3B03"/>
      </w:tcPr>
    </w:tblStylePr>
    <w:tblStylePr w:type="lastCol">
      <w:rPr>
        <w:color w:val="FFFFFF"/>
      </w:rPr>
      <w:tblPr/>
      <w:tcPr>
        <w:shd w:val="clear" w:color="auto" w:fill="4C3B03"/>
      </w:tcPr>
    </w:tblStylePr>
    <w:tblStylePr w:type="band1Vert">
      <w:tblPr/>
      <w:tcPr>
        <w:shd w:val="clear" w:color="auto" w:fill="F5CB3F"/>
      </w:tcPr>
    </w:tblStylePr>
    <w:tblStylePr w:type="band1Horz">
      <w:tblPr/>
      <w:tcPr>
        <w:shd w:val="clear" w:color="auto" w:fill="F5CB3F"/>
      </w:tcPr>
    </w:tblStylePr>
  </w:style>
  <w:style w:type="table" w:styleId="TableGrid">
    <w:name w:val="Table Grid"/>
    <w:basedOn w:val="TableNormal"/>
    <w:uiPriority w:val="59"/>
    <w:locked/>
    <w:rsid w:val="00FB08E3"/>
    <w:pPr>
      <w:jc w:val="right"/>
    </w:pPr>
    <w:rPr>
      <w:sz w:val="18"/>
    </w:rPr>
    <w:tblPr>
      <w:tblStyleRowBandSize w:val="1"/>
      <w:tblStyleColBandSize w:val="1"/>
    </w:tblPr>
    <w:tblStylePr w:type="firstRow">
      <w:pPr>
        <w:jc w:val="right"/>
      </w:pPr>
      <w:rPr>
        <w:b/>
      </w:rPr>
      <w:tblPr/>
      <w:tcPr>
        <w:tcBorders>
          <w:bottom w:val="single" w:sz="18" w:space="0" w:color="0096D7"/>
        </w:tcBorders>
        <w:vAlign w:val="bottom"/>
      </w:tcPr>
    </w:tblStylePr>
    <w:tblStylePr w:type="lastRow">
      <w:rPr>
        <w:b w:val="0"/>
      </w:rPr>
      <w:tblPr/>
      <w:tcPr>
        <w:tcBorders>
          <w:top w:val="single" w:sz="12" w:space="0" w:color="0096D7"/>
        </w:tcBorders>
      </w:tcPr>
    </w:tblStylePr>
    <w:tblStylePr w:type="firstCol">
      <w:pPr>
        <w:wordWrap/>
        <w:jc w:val="left"/>
      </w:pPr>
    </w:tblStylePr>
    <w:tblStylePr w:type="band1Horz">
      <w:pPr>
        <w:wordWrap/>
        <w:jc w:val="right"/>
      </w:pPr>
      <w:tblPr/>
      <w:tcPr>
        <w:tcBorders>
          <w:bottom w:val="dashed" w:sz="4" w:space="0" w:color="BFBFBF"/>
        </w:tcBorders>
      </w:tcPr>
    </w:tblStylePr>
    <w:tblStylePr w:type="band2Horz">
      <w:pPr>
        <w:wordWrap/>
        <w:jc w:val="right"/>
      </w:pPr>
      <w:tblPr/>
      <w:tcPr>
        <w:tcBorders>
          <w:bottom w:val="dashed" w:sz="4" w:space="0" w:color="BFBFBF"/>
        </w:tcBorders>
      </w:tcPr>
    </w:tblStylePr>
    <w:tblStylePr w:type="nwCell">
      <w:pPr>
        <w:jc w:val="left"/>
      </w:pPr>
      <w:tblPr/>
      <w:tcPr>
        <w:vAlign w:val="bottom"/>
      </w:tcPr>
    </w:tblStylePr>
  </w:style>
  <w:style w:type="paragraph" w:customStyle="1" w:styleId="Tablefootnotetext">
    <w:name w:val="Table footnote text"/>
    <w:basedOn w:val="FootnoteText"/>
    <w:uiPriority w:val="8"/>
    <w:qFormat/>
    <w:rsid w:val="008E4FA4"/>
  </w:style>
  <w:style w:type="character" w:styleId="Strong">
    <w:name w:val="Strong"/>
    <w:uiPriority w:val="22"/>
    <w:qFormat/>
    <w:locked/>
    <w:rsid w:val="00677C5F"/>
    <w:rPr>
      <w:b/>
      <w:bCs/>
    </w:rPr>
  </w:style>
  <w:style w:type="numbering" w:customStyle="1" w:styleId="EIAbullets">
    <w:name w:val="EIA bullets"/>
    <w:uiPriority w:val="99"/>
    <w:rsid w:val="00752786"/>
    <w:pPr>
      <w:numPr>
        <w:numId w:val="8"/>
      </w:numPr>
    </w:pPr>
  </w:style>
  <w:style w:type="table" w:customStyle="1" w:styleId="TableGrid1">
    <w:name w:val="Table Grid1"/>
    <w:basedOn w:val="TableNormal"/>
    <w:next w:val="TableGrid"/>
    <w:uiPriority w:val="59"/>
    <w:locked/>
    <w:rsid w:val="00612A58"/>
    <w:pPr>
      <w:jc w:val="right"/>
    </w:pPr>
    <w:rPr>
      <w:sz w:val="18"/>
    </w:rPr>
    <w:tblPr>
      <w:tblStyleRowBandSize w:val="1"/>
      <w:tblStyleColBandSize w:val="1"/>
    </w:tblPr>
    <w:tblStylePr w:type="firstRow">
      <w:pPr>
        <w:jc w:val="right"/>
      </w:pPr>
      <w:rPr>
        <w:b/>
      </w:rPr>
      <w:tblPr/>
      <w:tcPr>
        <w:tcBorders>
          <w:bottom w:val="single" w:sz="18" w:space="0" w:color="0096D7"/>
        </w:tcBorders>
        <w:vAlign w:val="bottom"/>
      </w:tcPr>
    </w:tblStylePr>
    <w:tblStylePr w:type="lastRow">
      <w:rPr>
        <w:b w:val="0"/>
      </w:rPr>
      <w:tblPr/>
      <w:tcPr>
        <w:tcBorders>
          <w:top w:val="single" w:sz="12" w:space="0" w:color="0096D7"/>
        </w:tcBorders>
      </w:tcPr>
    </w:tblStylePr>
    <w:tblStylePr w:type="firstCol">
      <w:pPr>
        <w:wordWrap/>
        <w:jc w:val="left"/>
      </w:pPr>
    </w:tblStylePr>
    <w:tblStylePr w:type="band1Horz">
      <w:pPr>
        <w:wordWrap/>
        <w:jc w:val="right"/>
      </w:pPr>
      <w:tblPr/>
      <w:tcPr>
        <w:tcBorders>
          <w:bottom w:val="dashed" w:sz="4" w:space="0" w:color="BFBFBF"/>
        </w:tcBorders>
      </w:tcPr>
    </w:tblStylePr>
    <w:tblStylePr w:type="band2Horz">
      <w:pPr>
        <w:wordWrap/>
        <w:jc w:val="right"/>
      </w:pPr>
      <w:tblPr/>
      <w:tcPr>
        <w:tcBorders>
          <w:bottom w:val="dashed" w:sz="4" w:space="0" w:color="BFBFBF"/>
        </w:tcBorders>
      </w:tcPr>
    </w:tblStylePr>
    <w:tblStylePr w:type="nwCell">
      <w:pPr>
        <w:jc w:val="left"/>
      </w:pPr>
      <w:tblPr/>
      <w:tcPr>
        <w:vAlign w:val="bottom"/>
      </w:tcPr>
    </w:tblStylePr>
  </w:style>
  <w:style w:type="table" w:customStyle="1" w:styleId="TableGrid2">
    <w:name w:val="Table Grid2"/>
    <w:basedOn w:val="TableNormal"/>
    <w:next w:val="TableGrid"/>
    <w:uiPriority w:val="59"/>
    <w:locked/>
    <w:rsid w:val="00C9047C"/>
    <w:pPr>
      <w:jc w:val="right"/>
    </w:pPr>
    <w:rPr>
      <w:sz w:val="18"/>
    </w:rPr>
    <w:tblPr>
      <w:tblStyleRowBandSize w:val="1"/>
      <w:tblStyleColBandSize w:val="1"/>
    </w:tblPr>
    <w:tblStylePr w:type="firstRow">
      <w:pPr>
        <w:jc w:val="right"/>
      </w:pPr>
      <w:rPr>
        <w:b/>
      </w:rPr>
      <w:tblPr/>
      <w:tcPr>
        <w:tcBorders>
          <w:bottom w:val="single" w:sz="18" w:space="0" w:color="0096D7"/>
        </w:tcBorders>
        <w:vAlign w:val="bottom"/>
      </w:tcPr>
    </w:tblStylePr>
    <w:tblStylePr w:type="lastRow">
      <w:rPr>
        <w:b w:val="0"/>
      </w:rPr>
      <w:tblPr/>
      <w:tcPr>
        <w:tcBorders>
          <w:top w:val="single" w:sz="12" w:space="0" w:color="0096D7"/>
        </w:tcBorders>
      </w:tcPr>
    </w:tblStylePr>
    <w:tblStylePr w:type="firstCol">
      <w:pPr>
        <w:wordWrap/>
        <w:jc w:val="left"/>
      </w:pPr>
    </w:tblStylePr>
    <w:tblStylePr w:type="band1Horz">
      <w:pPr>
        <w:wordWrap/>
        <w:jc w:val="right"/>
      </w:pPr>
      <w:tblPr/>
      <w:tcPr>
        <w:tcBorders>
          <w:bottom w:val="dashed" w:sz="4" w:space="0" w:color="BFBFBF"/>
        </w:tcBorders>
      </w:tcPr>
    </w:tblStylePr>
    <w:tblStylePr w:type="band2Horz">
      <w:pPr>
        <w:wordWrap/>
        <w:jc w:val="right"/>
      </w:pPr>
      <w:tblPr/>
      <w:tcPr>
        <w:tcBorders>
          <w:bottom w:val="dashed" w:sz="4" w:space="0" w:color="BFBFBF"/>
        </w:tcBorders>
      </w:tcPr>
    </w:tblStylePr>
    <w:tblStylePr w:type="nwCell">
      <w:pPr>
        <w:jc w:val="left"/>
      </w:pPr>
      <w:tblPr/>
      <w:tcPr>
        <w:vAlign w:val="bottom"/>
      </w:tcPr>
    </w:tblStylePr>
  </w:style>
  <w:style w:type="table" w:customStyle="1" w:styleId="TableGrid3">
    <w:name w:val="Table Grid3"/>
    <w:basedOn w:val="TableNormal"/>
    <w:next w:val="TableGrid"/>
    <w:uiPriority w:val="59"/>
    <w:locked/>
    <w:rsid w:val="00330D13"/>
    <w:pPr>
      <w:jc w:val="right"/>
    </w:pPr>
    <w:rPr>
      <w:sz w:val="18"/>
    </w:rPr>
    <w:tblPr>
      <w:tblStyleRowBandSize w:val="1"/>
      <w:tblStyleColBandSize w:val="1"/>
    </w:tblPr>
    <w:tblStylePr w:type="firstRow">
      <w:pPr>
        <w:jc w:val="right"/>
      </w:pPr>
      <w:rPr>
        <w:b/>
      </w:rPr>
      <w:tblPr/>
      <w:tcPr>
        <w:tcBorders>
          <w:bottom w:val="single" w:sz="18" w:space="0" w:color="0096D7"/>
        </w:tcBorders>
        <w:vAlign w:val="bottom"/>
      </w:tcPr>
    </w:tblStylePr>
    <w:tblStylePr w:type="lastRow">
      <w:rPr>
        <w:b w:val="0"/>
      </w:rPr>
      <w:tblPr/>
      <w:tcPr>
        <w:tcBorders>
          <w:top w:val="single" w:sz="12" w:space="0" w:color="0096D7"/>
        </w:tcBorders>
      </w:tcPr>
    </w:tblStylePr>
    <w:tblStylePr w:type="firstCol">
      <w:pPr>
        <w:wordWrap/>
        <w:jc w:val="left"/>
      </w:pPr>
    </w:tblStylePr>
    <w:tblStylePr w:type="band1Horz">
      <w:pPr>
        <w:wordWrap/>
        <w:jc w:val="right"/>
      </w:pPr>
      <w:tblPr/>
      <w:tcPr>
        <w:tcBorders>
          <w:bottom w:val="dashed" w:sz="4" w:space="0" w:color="BFBFBF"/>
        </w:tcBorders>
      </w:tcPr>
    </w:tblStylePr>
    <w:tblStylePr w:type="band2Horz">
      <w:pPr>
        <w:wordWrap/>
        <w:jc w:val="right"/>
      </w:pPr>
      <w:tblPr/>
      <w:tcPr>
        <w:tcBorders>
          <w:bottom w:val="dashed" w:sz="4" w:space="0" w:color="BFBFBF"/>
        </w:tcBorders>
      </w:tcPr>
    </w:tblStylePr>
    <w:tblStylePr w:type="nwCell">
      <w:pPr>
        <w:jc w:val="left"/>
      </w:pPr>
      <w:tblPr/>
      <w:tcPr>
        <w:vAlign w:val="bottom"/>
      </w:tcPr>
    </w:tblStylePr>
  </w:style>
  <w:style w:type="character" w:styleId="CommentReference">
    <w:name w:val="annotation reference"/>
    <w:uiPriority w:val="99"/>
    <w:semiHidden/>
    <w:unhideWhenUsed/>
    <w:locked/>
    <w:rsid w:val="005F778C"/>
    <w:rPr>
      <w:sz w:val="16"/>
      <w:szCs w:val="16"/>
    </w:rPr>
  </w:style>
  <w:style w:type="paragraph" w:styleId="CommentText">
    <w:name w:val="annotation text"/>
    <w:basedOn w:val="Normal"/>
    <w:link w:val="CommentTextChar"/>
    <w:uiPriority w:val="99"/>
    <w:unhideWhenUsed/>
    <w:locked/>
    <w:rsid w:val="005F778C"/>
    <w:pPr>
      <w:spacing w:line="240" w:lineRule="auto"/>
    </w:pPr>
    <w:rPr>
      <w:sz w:val="20"/>
      <w:szCs w:val="20"/>
    </w:rPr>
  </w:style>
  <w:style w:type="character" w:customStyle="1" w:styleId="CommentTextChar">
    <w:name w:val="Comment Text Char"/>
    <w:link w:val="CommentText"/>
    <w:uiPriority w:val="99"/>
    <w:rsid w:val="005F778C"/>
    <w:rPr>
      <w:sz w:val="20"/>
      <w:szCs w:val="20"/>
    </w:rPr>
  </w:style>
  <w:style w:type="paragraph" w:styleId="CommentSubject">
    <w:name w:val="annotation subject"/>
    <w:basedOn w:val="CommentText"/>
    <w:next w:val="CommentText"/>
    <w:link w:val="CommentSubjectChar"/>
    <w:uiPriority w:val="99"/>
    <w:semiHidden/>
    <w:unhideWhenUsed/>
    <w:locked/>
    <w:rsid w:val="005F778C"/>
    <w:rPr>
      <w:b/>
      <w:bCs/>
    </w:rPr>
  </w:style>
  <w:style w:type="character" w:customStyle="1" w:styleId="CommentSubjectChar">
    <w:name w:val="Comment Subject Char"/>
    <w:link w:val="CommentSubject"/>
    <w:uiPriority w:val="99"/>
    <w:semiHidden/>
    <w:rsid w:val="005F778C"/>
    <w:rPr>
      <w:b/>
      <w:bCs/>
      <w:sz w:val="20"/>
      <w:szCs w:val="20"/>
    </w:rPr>
  </w:style>
  <w:style w:type="paragraph" w:styleId="TOC5">
    <w:name w:val="toc 5"/>
    <w:basedOn w:val="Normal"/>
    <w:next w:val="Normal"/>
    <w:autoRedefine/>
    <w:uiPriority w:val="39"/>
    <w:unhideWhenUsed/>
    <w:locked/>
    <w:rsid w:val="00AD6244"/>
    <w:pPr>
      <w:spacing w:after="100"/>
      <w:ind w:left="1440"/>
    </w:pPr>
  </w:style>
  <w:style w:type="character" w:styleId="FootnoteReference">
    <w:name w:val="footnote reference"/>
    <w:uiPriority w:val="8"/>
    <w:unhideWhenUsed/>
    <w:rsid w:val="006C470A"/>
    <w:rPr>
      <w:vertAlign w:val="superscript"/>
    </w:rPr>
  </w:style>
  <w:style w:type="paragraph" w:styleId="BodyTextIndent">
    <w:name w:val="Body Text Indent"/>
    <w:basedOn w:val="Normal"/>
    <w:link w:val="BodyTextIndentChar"/>
    <w:uiPriority w:val="99"/>
    <w:unhideWhenUsed/>
    <w:locked/>
    <w:rsid w:val="007C5030"/>
    <w:pPr>
      <w:spacing w:after="120"/>
      <w:ind w:left="360"/>
    </w:pPr>
  </w:style>
  <w:style w:type="character" w:customStyle="1" w:styleId="BodyTextIndentChar">
    <w:name w:val="Body Text Indent Char"/>
    <w:link w:val="BodyTextIndent"/>
    <w:uiPriority w:val="99"/>
    <w:rsid w:val="007C5030"/>
    <w:rPr>
      <w:sz w:val="22"/>
      <w:szCs w:val="22"/>
    </w:rPr>
  </w:style>
  <w:style w:type="paragraph" w:styleId="Revision">
    <w:name w:val="Revision"/>
    <w:hidden/>
    <w:uiPriority w:val="99"/>
    <w:semiHidden/>
    <w:rsid w:val="00165EA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image" Target="media/image2.png"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footer" Target="footer3.xml" /><Relationship Id="rId15" Type="http://schemas.openxmlformats.org/officeDocument/2006/relationships/hyperlink" Target="http://energy.gov/sites/prod/files/gcprod/documents/New_Standard_Contract.pdf" TargetMode="External" /><Relationship Id="rId16" Type="http://schemas.openxmlformats.org/officeDocument/2006/relationships/image" Target="media/image3.emf" /><Relationship Id="rId17" Type="http://schemas.openxmlformats.org/officeDocument/2006/relationships/package" Target="embeddings/ooxmlPackage1.xlsx" /><Relationship Id="rId18" Type="http://schemas.openxmlformats.org/officeDocument/2006/relationships/image" Target="media/image4.emf" /><Relationship Id="rId19" Type="http://schemas.openxmlformats.org/officeDocument/2006/relationships/package" Target="embeddings/ooxmlPackage2.xlsx" /><Relationship Id="rId2" Type="http://schemas.openxmlformats.org/officeDocument/2006/relationships/settings" Target="settings.xml" /><Relationship Id="rId20" Type="http://schemas.openxmlformats.org/officeDocument/2006/relationships/header" Target="header1.xml" /><Relationship Id="rId21" Type="http://schemas.openxmlformats.org/officeDocument/2006/relationships/header" Target="header2.xml" /><Relationship Id="rId22" Type="http://schemas.openxmlformats.org/officeDocument/2006/relationships/footer" Target="footer4.xml" /><Relationship Id="rId23" Type="http://schemas.openxmlformats.org/officeDocument/2006/relationships/header" Target="header3.xml" /><Relationship Id="rId24" Type="http://schemas.openxmlformats.org/officeDocument/2006/relationships/footer" Target="footer5.xml" /><Relationship Id="rId25" Type="http://schemas.openxmlformats.org/officeDocument/2006/relationships/glossaryDocument" Target="glossary/document.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EAA5F4F89CB4AB6AD4CAB6DFC7052B0"/>
        <w:category>
          <w:name w:val="General"/>
          <w:gallery w:val="placeholder"/>
        </w:category>
        <w:types>
          <w:type w:val="bbPlcHdr"/>
        </w:types>
        <w:behaviors>
          <w:behavior w:val="content"/>
        </w:behaviors>
        <w:guid w:val="{09D5FF4E-0AC9-43D5-8279-21B93804D522}"/>
      </w:docPartPr>
      <w:docPartBody>
        <w:p w:rsidR="003838C4" w:rsidP="003838C4">
          <w:pPr>
            <w:pStyle w:val="AEAA5F4F89CB4AB6AD4CAB6DFC7052B0"/>
          </w:pPr>
          <w:r w:rsidRPr="00351A7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8C4"/>
    <w:rsid w:val="00057D11"/>
    <w:rsid w:val="00075197"/>
    <w:rsid w:val="000B499E"/>
    <w:rsid w:val="0023763A"/>
    <w:rsid w:val="00250514"/>
    <w:rsid w:val="00295A74"/>
    <w:rsid w:val="003838C4"/>
    <w:rsid w:val="00581F57"/>
    <w:rsid w:val="00700FB1"/>
    <w:rsid w:val="007202BE"/>
    <w:rsid w:val="007279C3"/>
    <w:rsid w:val="00891514"/>
    <w:rsid w:val="009E37D4"/>
    <w:rsid w:val="00BC3EBB"/>
    <w:rsid w:val="00C173DA"/>
    <w:rsid w:val="00E906E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38C4"/>
    <w:rPr>
      <w:color w:val="808080"/>
    </w:rPr>
  </w:style>
  <w:style w:type="paragraph" w:customStyle="1" w:styleId="AEAA5F4F89CB4AB6AD4CAB6DFC7052B0">
    <w:name w:val="AEAA5F4F89CB4AB6AD4CAB6DFC7052B0"/>
    <w:rsid w:val="003838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2011-12-01T00:00:00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0BF69DA6D283446961758E61BF2FCBF" ma:contentTypeVersion="6" ma:contentTypeDescription="Create a new document." ma:contentTypeScope="" ma:versionID="4f1569ac96a5a6f9aba5a897d19116d6">
  <xsd:schema xmlns:xsd="http://www.w3.org/2001/XMLSchema" xmlns:xs="http://www.w3.org/2001/XMLSchema" xmlns:p="http://schemas.microsoft.com/office/2006/metadata/properties" xmlns:ns2="b10926fb-8480-4cd8-b039-ac48ea4796c3" xmlns:ns3="f600328b-9bc1-49f4-ac38-a13ae9074617" targetNamespace="http://schemas.microsoft.com/office/2006/metadata/properties" ma:root="true" ma:fieldsID="27ed752405440c699a1654c28614a510" ns2:_="" ns3:_="">
    <xsd:import namespace="b10926fb-8480-4cd8-b039-ac48ea4796c3"/>
    <xsd:import namespace="f600328b-9bc1-49f4-ac38-a13ae907461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0926fb-8480-4cd8-b039-ac48ea4796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00328b-9bc1-49f4-ac38-a13ae907461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B2A863B-66FF-4EFC-9A7F-E7C93993666C}">
  <ds:schemaRefs>
    <ds:schemaRef ds:uri="http://schemas.openxmlformats.org/officeDocument/2006/bibliography"/>
  </ds:schemaRefs>
</ds:datastoreItem>
</file>

<file path=customXml/itemProps3.xml><?xml version="1.0" encoding="utf-8"?>
<ds:datastoreItem xmlns:ds="http://schemas.openxmlformats.org/officeDocument/2006/customXml" ds:itemID="{CF4C359C-4D48-49AF-B6C5-02F5EF0852A0}">
  <ds:schemaRefs>
    <ds:schemaRef ds:uri="http://schemas.microsoft.com/office/2006/documentManagement/types"/>
    <ds:schemaRef ds:uri="http://purl.org/dc/dcmitype/"/>
    <ds:schemaRef ds:uri="http://www.w3.org/XML/1998/namespace"/>
    <ds:schemaRef ds:uri="http://purl.org/dc/terms/"/>
    <ds:schemaRef ds:uri="http://purl.org/dc/elements/1.1/"/>
    <ds:schemaRef ds:uri="b10926fb-8480-4cd8-b039-ac48ea4796c3"/>
    <ds:schemaRef ds:uri="http://schemas.microsoft.com/office/infopath/2007/PartnerControls"/>
    <ds:schemaRef ds:uri="f600328b-9bc1-49f4-ac38-a13ae9074617"/>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DE8134A1-B76F-47BE-B441-5AC291DFC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0926fb-8480-4cd8-b039-ac48ea4796c3"/>
    <ds:schemaRef ds:uri="f600328b-9bc1-49f4-ac38-a13ae90746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4C803CB-DAFB-4C37-BC15-922050051F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3310</Words>
  <Characters>18873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Supporting Statement for Survey Clearance</vt:lpstr>
    </vt:vector>
  </TitlesOfParts>
  <Company/>
  <LinksUpToDate>false</LinksUpToDate>
  <CharactersWithSpaces>22139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Survey Clearance</dc:title>
  <dc:subject>Shortened document title</dc:subject>
  <dc:creator>Wei, Guang</dc:creator>
  <cp:lastModifiedBy>Aloulou, Faouzi</cp:lastModifiedBy>
  <cp:revision>2</cp:revision>
  <cp:lastPrinted>2024-11-19T13:14:00Z</cp:lastPrinted>
  <dcterms:created xsi:type="dcterms:W3CDTF">2024-11-19T16:42:00Z</dcterms:created>
  <dcterms:modified xsi:type="dcterms:W3CDTF">2024-11-19T16:42:00Z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0x010100A0BF69DA6D283446961758E61BF2FCBF</vt:lpwstr>
  </property>
</Properties>
</file>