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A3A" w14:paraId="7B6A2331" w14:textId="77777777">
      <w:pPr>
        <w:jc w:val="center"/>
      </w:pPr>
      <w:r>
        <w:t>188 FERC ¶ 61,175</w:t>
      </w:r>
    </w:p>
    <w:p w:rsidR="00E46F08" w:rsidRPr="00B61165" w14:paraId="3BEDAD38" w14:textId="7668399B">
      <w:pPr>
        <w:jc w:val="center"/>
      </w:pPr>
      <w:r>
        <w:t>UNITED STATES OF AMERICA</w:t>
      </w:r>
    </w:p>
    <w:p w:rsidR="00E46F08" w:rsidRPr="00B61165" w14:paraId="281B0713" w14:textId="77777777">
      <w:pPr>
        <w:jc w:val="center"/>
      </w:pPr>
      <w:r w:rsidRPr="00B61165">
        <w:t>FEDERAL ENERGY REGULATORY COMMISSION</w:t>
      </w:r>
    </w:p>
    <w:p w:rsidR="00E46F08" w:rsidRPr="00B61165" w14:paraId="2FEB338D" w14:textId="77777777">
      <w:pPr>
        <w:jc w:val="center"/>
      </w:pPr>
    </w:p>
    <w:p w:rsidR="00E46F08" w:rsidRPr="00B61165" w14:paraId="6D258548" w14:textId="6DF6046B">
      <w:pPr>
        <w:jc w:val="center"/>
      </w:pPr>
      <w:r w:rsidRPr="00B61165">
        <w:t xml:space="preserve">18 CFR Part </w:t>
      </w:r>
      <w:r w:rsidR="00DA1DD6">
        <w:t>40</w:t>
      </w:r>
    </w:p>
    <w:p w:rsidR="00E46F08" w:rsidRPr="00B61165" w14:paraId="53770BEC" w14:textId="77777777">
      <w:pPr>
        <w:jc w:val="center"/>
      </w:pPr>
    </w:p>
    <w:p w:rsidR="00E46F08" w:rsidRPr="00B61165" w14:paraId="191144D0" w14:textId="14A14E76">
      <w:pPr>
        <w:jc w:val="center"/>
      </w:pPr>
      <w:r w:rsidRPr="00B61165">
        <w:t>[</w:t>
      </w:r>
      <w:r>
        <w:t>Docket No. RM24-7</w:t>
      </w:r>
      <w:r w:rsidR="00DA1DD6">
        <w:t>-000</w:t>
      </w:r>
      <w:r w:rsidRPr="00B61165">
        <w:t>]</w:t>
      </w:r>
    </w:p>
    <w:p w:rsidR="00E46F08" w14:paraId="46899E81" w14:textId="77777777">
      <w:pPr>
        <w:jc w:val="center"/>
      </w:pPr>
    </w:p>
    <w:p w:rsidR="00E46F08" w14:paraId="28928485" w14:textId="36D777EA">
      <w:pPr>
        <w:jc w:val="center"/>
      </w:pPr>
      <w:r>
        <w:t xml:space="preserve">Critical Infrastructure Protection Reliability Standard CIP-015-1 – Cyber Security – Internal Network Security Monitoring </w:t>
      </w:r>
    </w:p>
    <w:p w:rsidR="00E46F08" w:rsidRPr="00B61165" w14:paraId="17F2AB00" w14:textId="77777777">
      <w:pPr>
        <w:jc w:val="center"/>
      </w:pPr>
    </w:p>
    <w:p w:rsidR="00E46F08" w:rsidP="00936CD0" w14:paraId="5D2F1751" w14:textId="74DFF92E">
      <w:pPr>
        <w:widowControl/>
        <w:jc w:val="center"/>
      </w:pPr>
      <w:r w:rsidRPr="00936CD0">
        <w:t>(Issued September 1</w:t>
      </w:r>
      <w:r>
        <w:t>9</w:t>
      </w:r>
      <w:r w:rsidRPr="00936CD0">
        <w:t>, 2024)</w:t>
      </w:r>
    </w:p>
    <w:p w:rsidR="00E46F08" w:rsidRPr="00B61165" w14:paraId="729E69F2" w14:textId="77777777">
      <w:pPr>
        <w:jc w:val="center"/>
      </w:pPr>
    </w:p>
    <w:p w:rsidR="00E46F08" w:rsidRPr="00B61165" w14:paraId="42535BDB" w14:textId="77777777">
      <w:pPr>
        <w:spacing w:line="480" w:lineRule="auto"/>
      </w:pPr>
      <w:r w:rsidRPr="001E48F9">
        <w:rPr>
          <w:b/>
          <w:bCs/>
        </w:rPr>
        <w:t>AGENCY</w:t>
      </w:r>
      <w:r w:rsidRPr="00B61165">
        <w:t>:  Federal Energy Regulatory Commission.</w:t>
      </w:r>
    </w:p>
    <w:p w:rsidR="00E46F08" w:rsidRPr="00B61165" w14:paraId="12F7AC9D" w14:textId="77777777">
      <w:pPr>
        <w:spacing w:line="480" w:lineRule="auto"/>
      </w:pPr>
      <w:r w:rsidRPr="001E48F9">
        <w:rPr>
          <w:b/>
          <w:bCs/>
        </w:rPr>
        <w:t>ACTION</w:t>
      </w:r>
      <w:r w:rsidRPr="00B61165">
        <w:t xml:space="preserve">:  Notice of </w:t>
      </w:r>
      <w:r>
        <w:t>p</w:t>
      </w:r>
      <w:r w:rsidRPr="00B61165">
        <w:t xml:space="preserve">roposed </w:t>
      </w:r>
      <w:r>
        <w:t>r</w:t>
      </w:r>
      <w:r w:rsidRPr="00B61165">
        <w:t>ulemaking.</w:t>
      </w:r>
    </w:p>
    <w:p w:rsidR="00AA24DC" w:rsidP="0050606C" w14:paraId="35F37EB7" w14:textId="24D87802">
      <w:pPr>
        <w:spacing w:line="480" w:lineRule="auto"/>
      </w:pPr>
      <w:r w:rsidRPr="001E48F9">
        <w:rPr>
          <w:b/>
          <w:bCs/>
        </w:rPr>
        <w:t>SUMMARY</w:t>
      </w:r>
      <w:r w:rsidRPr="00B61165">
        <w:t xml:space="preserve">:  </w:t>
      </w:r>
      <w:r>
        <w:t xml:space="preserve">The Federal Energy Regulatory Commission (Commission) proposes to approve </w:t>
      </w:r>
      <w:r w:rsidR="005D6EA9">
        <w:t xml:space="preserve">proposed </w:t>
      </w:r>
      <w:r>
        <w:t>Reliability Standard CIP-01</w:t>
      </w:r>
      <w:r w:rsidR="00F50B23">
        <w:t>5</w:t>
      </w:r>
      <w:r>
        <w:t>-1 (Cyber Security – Internal Network Security Monitoring)</w:t>
      </w:r>
      <w:r w:rsidR="00FF4E13">
        <w:t>, which</w:t>
      </w:r>
      <w:r>
        <w:t xml:space="preserve"> </w:t>
      </w:r>
      <w:r w:rsidR="00FF4E13">
        <w:t>t</w:t>
      </w:r>
      <w:r w:rsidRPr="00AA24DC">
        <w:t>he North American Electric Reliability Corporation (NERC), submitted in response to a Commission directive.</w:t>
      </w:r>
      <w:r>
        <w:t xml:space="preserve">  In addition, the Commission proposes to direct</w:t>
      </w:r>
      <w:r w:rsidR="001A5659">
        <w:t xml:space="preserve"> that</w:t>
      </w:r>
      <w:r>
        <w:t xml:space="preserve"> NERC develop certain modifications to </w:t>
      </w:r>
      <w:r w:rsidR="005D6EA9">
        <w:t xml:space="preserve">proposed </w:t>
      </w:r>
      <w:r>
        <w:t xml:space="preserve">Reliability Standard CIP-015-1 to extend </w:t>
      </w:r>
      <w:r w:rsidR="0030706C">
        <w:t>i</w:t>
      </w:r>
      <w:r>
        <w:t xml:space="preserve">nternal </w:t>
      </w:r>
      <w:r w:rsidR="0030706C">
        <w:t>n</w:t>
      </w:r>
      <w:r>
        <w:t xml:space="preserve">etwork </w:t>
      </w:r>
      <w:r w:rsidR="0030706C">
        <w:t>s</w:t>
      </w:r>
      <w:r>
        <w:t xml:space="preserve">ecurity </w:t>
      </w:r>
      <w:r w:rsidR="0030706C">
        <w:t>m</w:t>
      </w:r>
      <w:r>
        <w:t xml:space="preserve">onitoring to include </w:t>
      </w:r>
      <w:r w:rsidR="0030706C">
        <w:t>e</w:t>
      </w:r>
      <w:r>
        <w:t xml:space="preserve">lectronic </w:t>
      </w:r>
      <w:r w:rsidR="0030706C">
        <w:t>a</w:t>
      </w:r>
      <w:r>
        <w:t xml:space="preserve">ccess </w:t>
      </w:r>
      <w:r w:rsidR="0030706C">
        <w:t>c</w:t>
      </w:r>
      <w:r>
        <w:t xml:space="preserve">ontrol or </w:t>
      </w:r>
      <w:r w:rsidR="0030706C">
        <w:t>m</w:t>
      </w:r>
      <w:r>
        <w:t xml:space="preserve">onitoring </w:t>
      </w:r>
      <w:r w:rsidR="0030706C">
        <w:t>s</w:t>
      </w:r>
      <w:r>
        <w:t xml:space="preserve">ystems and </w:t>
      </w:r>
      <w:r w:rsidR="0030706C">
        <w:t>p</w:t>
      </w:r>
      <w:r>
        <w:t xml:space="preserve">hysical </w:t>
      </w:r>
      <w:r w:rsidR="0030706C">
        <w:t>a</w:t>
      </w:r>
      <w:r>
        <w:t xml:space="preserve">ccess </w:t>
      </w:r>
      <w:r w:rsidR="0030706C">
        <w:t>c</w:t>
      </w:r>
      <w:r>
        <w:t xml:space="preserve">ontrol </w:t>
      </w:r>
      <w:r w:rsidR="0030706C">
        <w:t>s</w:t>
      </w:r>
      <w:r>
        <w:t xml:space="preserve">ystems outside of the </w:t>
      </w:r>
      <w:r w:rsidR="0030706C">
        <w:t>e</w:t>
      </w:r>
      <w:r>
        <w:t xml:space="preserve">lectronic </w:t>
      </w:r>
      <w:r w:rsidR="0030706C">
        <w:t>s</w:t>
      </w:r>
      <w:r>
        <w:t xml:space="preserve">ecurity </w:t>
      </w:r>
      <w:r w:rsidR="0030706C">
        <w:t>p</w:t>
      </w:r>
      <w:r>
        <w:t xml:space="preserve">erimeter. </w:t>
      </w:r>
    </w:p>
    <w:p w:rsidR="00E46F08" w:rsidRPr="00B61165" w14:paraId="6C711913" w14:textId="4D87EB4D">
      <w:pPr>
        <w:spacing w:line="480" w:lineRule="auto"/>
      </w:pPr>
      <w:r w:rsidRPr="001E48F9">
        <w:rPr>
          <w:b/>
          <w:bCs/>
        </w:rPr>
        <w:t>DATES</w:t>
      </w:r>
      <w:r w:rsidRPr="00B61165">
        <w:t>:  Comments are due</w:t>
      </w:r>
      <w:r w:rsidRPr="00B61165">
        <w:rPr>
          <w:b/>
        </w:rPr>
        <w:t xml:space="preserve"> </w:t>
      </w:r>
      <w:r w:rsidRPr="00B3607A">
        <w:rPr>
          <w:b/>
        </w:rPr>
        <w:t xml:space="preserve">[INSERT DATE </w:t>
      </w:r>
      <w:r w:rsidR="006F0E26">
        <w:rPr>
          <w:b/>
        </w:rPr>
        <w:t xml:space="preserve">60 </w:t>
      </w:r>
      <w:r w:rsidRPr="004731B2">
        <w:rPr>
          <w:b/>
        </w:rPr>
        <w:t>DAYS</w:t>
      </w:r>
      <w:r>
        <w:rPr>
          <w:b/>
        </w:rPr>
        <w:t xml:space="preserve"> </w:t>
      </w:r>
      <w:r w:rsidRPr="00B3607A">
        <w:rPr>
          <w:b/>
        </w:rPr>
        <w:t>AFTER DATE OF PUBLICATION IN THE FEDERAL REGISTER]</w:t>
      </w:r>
      <w:r w:rsidRPr="00B3607A">
        <w:rPr>
          <w:bCs/>
        </w:rPr>
        <w:t>.</w:t>
      </w:r>
    </w:p>
    <w:p w:rsidR="00E46F08" w14:paraId="49DBEA48" w14:textId="76F35675">
      <w:pPr>
        <w:spacing w:line="480" w:lineRule="auto"/>
      </w:pPr>
      <w:r w:rsidRPr="001E48F9">
        <w:rPr>
          <w:b/>
          <w:bCs/>
        </w:rPr>
        <w:t>ADDRESSES</w:t>
      </w:r>
      <w:r w:rsidRPr="00B61165">
        <w:t xml:space="preserve">:  </w:t>
      </w:r>
      <w:r w:rsidRPr="007D6683">
        <w:t>Comments, identified by docket numb</w:t>
      </w:r>
      <w:r>
        <w:t xml:space="preserve">er, may be filed in the following ways.  </w:t>
      </w:r>
      <w:r w:rsidRPr="00C32965">
        <w:t>Elec</w:t>
      </w:r>
      <w:r>
        <w:t xml:space="preserve">tronic filing through </w:t>
      </w:r>
      <w:r w:rsidRPr="006C3932" w:rsidR="00761FCD">
        <w:t>http://www.ferc.gov</w:t>
      </w:r>
      <w:r>
        <w:t>, is preferred.</w:t>
      </w:r>
    </w:p>
    <w:p w:rsidR="00E46F08" w14:paraId="14B7BA14" w14:textId="77777777">
      <w:pPr>
        <w:pStyle w:val="ListParagraph"/>
        <w:numPr>
          <w:ilvl w:val="0"/>
          <w:numId w:val="22"/>
        </w:numPr>
        <w:spacing w:line="480" w:lineRule="auto"/>
      </w:pPr>
      <w:r w:rsidRPr="004A564C">
        <w:t>Electronic Filing</w:t>
      </w:r>
      <w:r w:rsidRPr="00C32965">
        <w:t>:</w:t>
      </w:r>
      <w:r>
        <w:t xml:space="preserve"> Documents must be filed in acceptable native applications and print-to-PDF, but not in</w:t>
      </w:r>
      <w:r w:rsidRPr="007D6683">
        <w:t xml:space="preserve"> scanned </w:t>
      </w:r>
      <w:r>
        <w:t xml:space="preserve">or picture </w:t>
      </w:r>
      <w:r w:rsidRPr="007D6683">
        <w:t>format.</w:t>
      </w:r>
    </w:p>
    <w:p w:rsidR="00E46F08" w14:paraId="676A56A6" w14:textId="77777777">
      <w:pPr>
        <w:pStyle w:val="ListParagraph"/>
        <w:numPr>
          <w:ilvl w:val="0"/>
          <w:numId w:val="22"/>
        </w:numPr>
        <w:spacing w:line="480" w:lineRule="auto"/>
      </w:pPr>
      <w:r w:rsidRPr="00C32965">
        <w:t>For</w:t>
      </w:r>
      <w:r w:rsidRPr="00E950E7">
        <w:t xml:space="preserve"> those unable to file electronically, comments may be filed </w:t>
      </w:r>
      <w:r>
        <w:t>by USPS mail or by hand (including courier) delivery.</w:t>
      </w:r>
    </w:p>
    <w:p w:rsidR="00E46F08" w14:paraId="758AFFC9" w14:textId="77777777">
      <w:pPr>
        <w:pStyle w:val="ListParagraph"/>
        <w:numPr>
          <w:ilvl w:val="1"/>
          <w:numId w:val="22"/>
        </w:numPr>
        <w:spacing w:line="480" w:lineRule="auto"/>
      </w:pPr>
      <w:r w:rsidRPr="004A564C">
        <w:t>Mail via U.S. Postal Service Only</w:t>
      </w:r>
      <w:r w:rsidRPr="00C32965">
        <w:t xml:space="preserve">: </w:t>
      </w:r>
      <w:r>
        <w:t xml:space="preserve">Addressed </w:t>
      </w:r>
      <w:r w:rsidRPr="00E950E7">
        <w:t>to: Federal Energy Regulatory Commission, Secretary of the Commission, 888 First Street, N.E., Washington, DC 20426.</w:t>
      </w:r>
    </w:p>
    <w:p w:rsidR="00E46F08" w14:paraId="7083A7EB" w14:textId="77777777">
      <w:pPr>
        <w:pStyle w:val="ListParagraph"/>
        <w:numPr>
          <w:ilvl w:val="1"/>
          <w:numId w:val="22"/>
        </w:numPr>
        <w:spacing w:line="480" w:lineRule="auto"/>
      </w:pPr>
      <w:r w:rsidRPr="004A564C">
        <w:t>Hand (including courier) delivery</w:t>
      </w:r>
      <w:r>
        <w:t>: D</w:t>
      </w:r>
      <w:r w:rsidRPr="00E950E7">
        <w:t>eliver to: Federal Energy Regulatory Commission, 12225 Wilkins Avenue, Rockville, M</w:t>
      </w:r>
      <w:r>
        <w:t>D</w:t>
      </w:r>
      <w:r w:rsidRPr="00E950E7">
        <w:t xml:space="preserve"> 20852.</w:t>
      </w:r>
    </w:p>
    <w:p w:rsidR="00E46F08" w:rsidRPr="00B61165" w:rsidP="00626AD6" w14:paraId="05CDE3C7" w14:textId="77777777">
      <w:pPr>
        <w:spacing w:line="480" w:lineRule="auto"/>
      </w:pPr>
      <w:r w:rsidRPr="0016531B">
        <w:t xml:space="preserve">The Comment Procedures Section of this document contains </w:t>
      </w:r>
      <w:r>
        <w:t xml:space="preserve">more detailed </w:t>
      </w:r>
      <w:r w:rsidRPr="0016531B">
        <w:t>filing procedures.</w:t>
      </w:r>
    </w:p>
    <w:p w:rsidR="00DA1DD6" w:rsidP="00DA1DD6" w14:paraId="71EEE505" w14:textId="1BEF384D">
      <w:r w:rsidRPr="001E48F9">
        <w:rPr>
          <w:b/>
          <w:bCs/>
        </w:rPr>
        <w:t>FOR FURTHER INFORMATION CONTACT</w:t>
      </w:r>
      <w:r w:rsidRPr="00B61165">
        <w:t>:</w:t>
      </w:r>
    </w:p>
    <w:p w:rsidR="00DA1DD6" w:rsidP="00DA1DD6" w14:paraId="5FAC485F" w14:textId="77777777"/>
    <w:p w:rsidR="00DA1DD6" w:rsidP="00DA1DD6" w14:paraId="57FC333C" w14:textId="01466695">
      <w:pPr>
        <w:contextualSpacing/>
      </w:pPr>
      <w:r>
        <w:t>Margaret Steiner (Technical Information)</w:t>
      </w:r>
    </w:p>
    <w:p w:rsidR="00DA1DD6" w:rsidP="00DA1DD6" w14:paraId="3B9EEC71" w14:textId="5B5BB213">
      <w:pPr>
        <w:contextualSpacing/>
      </w:pPr>
      <w:r>
        <w:t>Office of Electric Reliability</w:t>
      </w:r>
    </w:p>
    <w:p w:rsidR="00DA1DD6" w:rsidP="00DA1DD6" w14:paraId="7FD71503" w14:textId="779117D6">
      <w:pPr>
        <w:contextualSpacing/>
      </w:pPr>
      <w:r>
        <w:t xml:space="preserve">Federal Energy Regulatory Commission </w:t>
      </w:r>
    </w:p>
    <w:p w:rsidR="00DA1DD6" w:rsidP="00DA1DD6" w14:paraId="4EE040FE" w14:textId="02B62CF8">
      <w:pPr>
        <w:contextualSpacing/>
      </w:pPr>
      <w:r>
        <w:t xml:space="preserve">888 First Street, NE </w:t>
      </w:r>
    </w:p>
    <w:p w:rsidR="00DA1DD6" w:rsidP="00DA1DD6" w14:paraId="53CC87A8" w14:textId="76260F85">
      <w:pPr>
        <w:contextualSpacing/>
      </w:pPr>
      <w:r>
        <w:t>Washington, DC</w:t>
      </w:r>
      <w:r w:rsidR="00432A8B">
        <w:t xml:space="preserve">  </w:t>
      </w:r>
      <w:r>
        <w:t>20426</w:t>
      </w:r>
    </w:p>
    <w:p w:rsidR="00DA1DD6" w:rsidP="00DA1DD6" w14:paraId="78B23BF7" w14:textId="19824137">
      <w:pPr>
        <w:contextualSpacing/>
      </w:pPr>
      <w:r>
        <w:t>(202) 502 6704</w:t>
      </w:r>
    </w:p>
    <w:p w:rsidR="00DA1DD6" w:rsidRPr="00DA1DD6" w:rsidP="00DA1DD6" w14:paraId="0B9B449A" w14:textId="7EDDC417">
      <w:pPr>
        <w:contextualSpacing/>
      </w:pPr>
      <w:r w:rsidRPr="00DA1DD6">
        <w:t>Margaret.Steiner@ferc.gov</w:t>
      </w:r>
    </w:p>
    <w:p w:rsidR="00DA1DD6" w:rsidP="00DA1DD6" w14:paraId="3FD8981F" w14:textId="77777777">
      <w:pPr>
        <w:contextualSpacing/>
      </w:pPr>
    </w:p>
    <w:p w:rsidR="00DA1DD6" w:rsidP="00DA1DD6" w14:paraId="34A01584" w14:textId="212B8C57">
      <w:pPr>
        <w:contextualSpacing/>
      </w:pPr>
      <w:r>
        <w:t>Hampden</w:t>
      </w:r>
      <w:r w:rsidR="005117AD">
        <w:t xml:space="preserve"> T.</w:t>
      </w:r>
      <w:r>
        <w:t xml:space="preserve"> Macbeth (Legal Information)</w:t>
      </w:r>
    </w:p>
    <w:p w:rsidR="00DA1DD6" w:rsidP="00DA1DD6" w14:paraId="6A2B2198" w14:textId="77777777">
      <w:pPr>
        <w:contextualSpacing/>
      </w:pPr>
      <w:r>
        <w:t>Office of General Counsel</w:t>
      </w:r>
    </w:p>
    <w:p w:rsidR="00DA1DD6" w:rsidP="00DA1DD6" w14:paraId="13B4A4A8" w14:textId="77777777">
      <w:pPr>
        <w:contextualSpacing/>
      </w:pPr>
      <w:r>
        <w:t xml:space="preserve">Federal Energy Regulatory Commission </w:t>
      </w:r>
    </w:p>
    <w:p w:rsidR="00DA1DD6" w:rsidP="00DA1DD6" w14:paraId="141D6BBE" w14:textId="77777777">
      <w:pPr>
        <w:contextualSpacing/>
      </w:pPr>
      <w:r>
        <w:t xml:space="preserve">888 First Street, NE </w:t>
      </w:r>
    </w:p>
    <w:p w:rsidR="00DA1DD6" w:rsidP="00DA1DD6" w14:paraId="47BB2008" w14:textId="2D2E58AE">
      <w:pPr>
        <w:contextualSpacing/>
      </w:pPr>
      <w:r>
        <w:t xml:space="preserve">Washington, DC </w:t>
      </w:r>
      <w:r w:rsidR="00432A8B">
        <w:t xml:space="preserve"> </w:t>
      </w:r>
      <w:r>
        <w:t>20426</w:t>
      </w:r>
    </w:p>
    <w:p w:rsidR="00DA1DD6" w:rsidP="00DA1DD6" w14:paraId="5B0B6A6A" w14:textId="25B9E329">
      <w:pPr>
        <w:contextualSpacing/>
      </w:pPr>
      <w:r>
        <w:t>(202) 502 8957</w:t>
      </w:r>
    </w:p>
    <w:p w:rsidR="00DA1DD6" w:rsidP="00DA1DD6" w14:paraId="0A067BC3" w14:textId="561ED766">
      <w:pPr>
        <w:contextualSpacing/>
      </w:pPr>
      <w:r>
        <w:t xml:space="preserve">Hampden.Macbeth@ferc.gov </w:t>
      </w:r>
    </w:p>
    <w:p w:rsidR="00E46F08" w:rsidRPr="00B61165" w14:paraId="5D4EAF63" w14:textId="77777777"/>
    <w:p w:rsidR="00E46F08" w:rsidRPr="00B61165" w14:paraId="2EAB5490" w14:textId="77777777">
      <w:pPr>
        <w:sectPr w:rsidSect="00E46F08">
          <w:headerReference w:type="even" r:id="rId11"/>
          <w:headerReference w:type="default" r:id="rId12"/>
          <w:headerReference w:type="first" r:id="rId13"/>
          <w:pgSz w:w="12240" w:h="15840"/>
          <w:pgMar w:top="1440" w:right="1440" w:bottom="1440" w:left="1440" w:header="720" w:footer="1440" w:gutter="0"/>
          <w:pgNumType w:fmt="lowerRoman" w:start="1"/>
          <w:cols w:space="720"/>
          <w:noEndnote/>
          <w:titlePg/>
          <w:docGrid w:linePitch="354"/>
        </w:sectPr>
      </w:pPr>
      <w:r w:rsidRPr="001E48F9">
        <w:rPr>
          <w:b/>
          <w:bCs/>
        </w:rPr>
        <w:t>SUPPLEMENTARY INFORMATION</w:t>
      </w:r>
      <w:r w:rsidRPr="00B61165">
        <w:t>:</w:t>
      </w:r>
    </w:p>
    <w:p w:rsidR="00D84F46" w:rsidP="00D84F46" w14:paraId="7F62F568" w14:textId="77777777">
      <w:pPr>
        <w:jc w:val="center"/>
      </w:pPr>
      <w:r>
        <w:t>188 FERC ¶ 61,175</w:t>
      </w:r>
    </w:p>
    <w:p w:rsidR="00E46F08" w:rsidRPr="00B61165" w14:paraId="7DD7EBDB" w14:textId="65D0C736">
      <w:pPr>
        <w:jc w:val="center"/>
      </w:pPr>
      <w:r w:rsidRPr="00B61165">
        <w:t>UNITED STATES OF AMERICA</w:t>
      </w:r>
    </w:p>
    <w:p w:rsidR="00E46F08" w:rsidRPr="00B61165" w14:paraId="5F801EB4" w14:textId="77777777">
      <w:pPr>
        <w:jc w:val="center"/>
      </w:pPr>
      <w:r w:rsidRPr="00B61165">
        <w:t>FEDERAL ENERGY REGULATORY COMMISSION</w:t>
      </w:r>
    </w:p>
    <w:p w:rsidR="00E46F08" w:rsidRPr="00B61165" w14:paraId="5126B9D4" w14:textId="77777777">
      <w:pPr>
        <w:jc w:val="center"/>
      </w:pPr>
    </w:p>
    <w:p w:rsidR="00E46F08" w:rsidRPr="00B61165" w14:paraId="7034DA52"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2"/>
        <w:gridCol w:w="1535"/>
        <w:gridCol w:w="1893"/>
      </w:tblGrid>
      <w:tr w14:paraId="27681065" w14:textId="77777777" w:rsidTr="00E46F0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E46F08" w:rsidRPr="00B61165" w:rsidP="00627B91" w14:paraId="36A87360" w14:textId="75B3251F">
            <w:r>
              <w:t xml:space="preserve">Critical Infrastructure Protection Reliability Standard CIP-015-1 – Cyber Security – Internal Network Security Monitoring </w:t>
            </w:r>
          </w:p>
        </w:tc>
        <w:tc>
          <w:tcPr>
            <w:tcW w:w="1560" w:type="dxa"/>
            <w:shd w:val="clear" w:color="auto" w:fill="auto"/>
            <w:tcMar>
              <w:left w:w="72" w:type="dxa"/>
            </w:tcMar>
          </w:tcPr>
          <w:p w:rsidR="00E46F08" w:rsidRPr="00B61165" w14:paraId="775EFFD1" w14:textId="0910888F">
            <w:r>
              <w:t xml:space="preserve">    </w:t>
            </w:r>
            <w:r>
              <w:t>Docket No.</w:t>
            </w:r>
          </w:p>
        </w:tc>
        <w:tc>
          <w:tcPr>
            <w:tcW w:w="1928" w:type="dxa"/>
            <w:shd w:val="clear" w:color="auto" w:fill="auto"/>
            <w:tcMar>
              <w:left w:w="144" w:type="dxa"/>
            </w:tcMar>
          </w:tcPr>
          <w:p w:rsidR="00E46F08" w:rsidRPr="00B61165" w14:paraId="1288DBE1" w14:textId="189C04A5">
            <w:r>
              <w:t>RM24-7</w:t>
            </w:r>
            <w:r w:rsidR="00C123BE">
              <w:t>-000</w:t>
            </w:r>
          </w:p>
        </w:tc>
      </w:tr>
    </w:tbl>
    <w:p w:rsidR="00E46F08" w:rsidRPr="00B61165" w14:paraId="5E49BB5F" w14:textId="77777777">
      <w:pPr>
        <w:jc w:val="center"/>
      </w:pPr>
    </w:p>
    <w:p w:rsidR="00E46F08" w:rsidRPr="00B61165" w14:paraId="4DA60CB1" w14:textId="77777777">
      <w:pPr>
        <w:jc w:val="center"/>
      </w:pPr>
    </w:p>
    <w:p w:rsidR="00E46F08" w:rsidRPr="00B61165" w14:paraId="7641D2B1" w14:textId="77777777">
      <w:pPr>
        <w:jc w:val="center"/>
      </w:pPr>
      <w:r w:rsidRPr="00B61165">
        <w:t>NOTICE OF PROPOSED RULEMAKING</w:t>
      </w:r>
    </w:p>
    <w:p w:rsidR="00E46F08" w:rsidRPr="00B61165" w14:paraId="563CBBD2" w14:textId="77777777"/>
    <w:p w:rsidR="00E46F08" w:rsidP="00523A69" w14:paraId="72FE5A4D" w14:textId="4C304979">
      <w:pPr>
        <w:widowControl/>
        <w:jc w:val="center"/>
      </w:pPr>
      <w:r w:rsidRPr="00523A69">
        <w:t>(Issued September 1</w:t>
      </w:r>
      <w:r w:rsidR="00936CD0">
        <w:t>9</w:t>
      </w:r>
      <w:r w:rsidRPr="00523A69">
        <w:t>, 2024)</w:t>
      </w:r>
    </w:p>
    <w:p w:rsidR="00E46F08" w14:paraId="22DB3535" w14:textId="77777777">
      <w:pPr>
        <w:jc w:val="center"/>
      </w:pPr>
    </w:p>
    <w:p w:rsidR="00E46F08" w:rsidRPr="00B61165" w14:paraId="3635171B" w14:textId="77777777">
      <w:bookmarkStart w:id="0" w:name="_Start_TOC"/>
      <w:bookmarkEnd w:id="0"/>
    </w:p>
    <w:p w:rsidR="00EF50A5" w:rsidP="004F2C54" w14:paraId="30EB1CC2" w14:textId="3A6B290F">
      <w:pPr>
        <w:pStyle w:val="FERCparanumber"/>
      </w:pPr>
      <w:r>
        <w:t>Pursuant to section 215(d)(2) of the Federal Power Act (FPA),</w:t>
      </w:r>
      <w:r>
        <w:rPr>
          <w:rStyle w:val="FootnoteReference"/>
        </w:rPr>
        <w:footnoteReference w:id="3"/>
      </w:r>
      <w:r>
        <w:t xml:space="preserve"> the Commission proposes to approve </w:t>
      </w:r>
      <w:r w:rsidR="00AF5062">
        <w:t xml:space="preserve">proposed </w:t>
      </w:r>
      <w:r w:rsidR="00BA6ACA">
        <w:t>Critical Infrastructure Protection (</w:t>
      </w:r>
      <w:r w:rsidR="00F40242">
        <w:t xml:space="preserve">CIP) </w:t>
      </w:r>
      <w:r>
        <w:t>Reliability Standard CIP-01</w:t>
      </w:r>
      <w:r w:rsidR="00F50B23">
        <w:t>5</w:t>
      </w:r>
      <w:r>
        <w:t xml:space="preserve">-1 (Cyber Security – Internal Network Security Monitoring).  </w:t>
      </w:r>
      <w:r w:rsidRPr="00AA24DC">
        <w:t>The North American Electric Reliability Corporation (NERC), the</w:t>
      </w:r>
      <w:r>
        <w:t xml:space="preserve"> </w:t>
      </w:r>
      <w:r w:rsidRPr="00AA24DC">
        <w:t>Commission-certified Electric Reliability Organization</w:t>
      </w:r>
      <w:r>
        <w:t xml:space="preserve"> (ERO)</w:t>
      </w:r>
      <w:r w:rsidRPr="00AA24DC">
        <w:t>, submitted the proposed</w:t>
      </w:r>
      <w:r>
        <w:t xml:space="preserve"> </w:t>
      </w:r>
      <w:r w:rsidRPr="00AA24DC">
        <w:t>Reliability Standard for Commission approval in response to</w:t>
      </w:r>
      <w:r w:rsidR="001E51C4">
        <w:t xml:space="preserve"> a</w:t>
      </w:r>
      <w:r w:rsidRPr="00AA24DC">
        <w:t xml:space="preserve"> Commission directive</w:t>
      </w:r>
      <w:r>
        <w:t xml:space="preserve"> in Order No. 887</w:t>
      </w:r>
      <w:r w:rsidRPr="00AA24DC">
        <w:t>.</w:t>
      </w:r>
      <w:r>
        <w:rPr>
          <w:rStyle w:val="FootnoteReference"/>
        </w:rPr>
        <w:footnoteReference w:id="4"/>
      </w:r>
      <w:r>
        <w:t xml:space="preserve"> </w:t>
      </w:r>
      <w:r w:rsidR="001E51C4">
        <w:t xml:space="preserve"> </w:t>
      </w:r>
      <w:r w:rsidR="00C155BC">
        <w:t xml:space="preserve">In </w:t>
      </w:r>
      <w:r w:rsidR="00C155BC">
        <w:t>additi</w:t>
      </w:r>
      <w:r w:rsidR="00E36657">
        <w:t>o</w:t>
      </w:r>
      <w:r w:rsidR="00C155BC">
        <w:t>n, pursuant to section 215(d)(5) of the FPA,</w:t>
      </w:r>
      <w:r>
        <w:rPr>
          <w:rStyle w:val="FootnoteReference"/>
        </w:rPr>
        <w:footnoteReference w:id="5"/>
      </w:r>
      <w:r w:rsidR="00C155BC">
        <w:t xml:space="preserve"> the Commission proposes to direct that NERC develop </w:t>
      </w:r>
      <w:r w:rsidR="002D2031">
        <w:t xml:space="preserve">further </w:t>
      </w:r>
      <w:r w:rsidR="00C155BC">
        <w:t>modifications to Reliability Standard CIP-015-1</w:t>
      </w:r>
      <w:r w:rsidR="00D728CC">
        <w:t xml:space="preserve">, </w:t>
      </w:r>
      <w:r w:rsidR="008824CF">
        <w:t>within</w:t>
      </w:r>
      <w:r w:rsidR="00D728CC">
        <w:t xml:space="preserve"> 12 months </w:t>
      </w:r>
      <w:r w:rsidR="0073001A">
        <w:t xml:space="preserve">of the </w:t>
      </w:r>
      <w:r w:rsidR="00D728CC">
        <w:t>effective date of a final rule in this proceeding</w:t>
      </w:r>
      <w:r w:rsidR="00F96984">
        <w:t>,</w:t>
      </w:r>
      <w:r w:rsidR="00C155BC">
        <w:t xml:space="preserve"> to extend </w:t>
      </w:r>
      <w:r w:rsidR="00E04D6C">
        <w:t>Internal Network Security Monitoring (</w:t>
      </w:r>
      <w:r w:rsidR="00C155BC">
        <w:t>INSM</w:t>
      </w:r>
      <w:r w:rsidR="00E04D6C">
        <w:t>)</w:t>
      </w:r>
      <w:r>
        <w:rPr>
          <w:rStyle w:val="FootnoteReference"/>
        </w:rPr>
        <w:footnoteReference w:id="6"/>
      </w:r>
      <w:r w:rsidR="00C155BC">
        <w:t xml:space="preserve"> to include </w:t>
      </w:r>
      <w:r w:rsidR="003D6DAB">
        <w:t xml:space="preserve">electronic access control or monitoring systems </w:t>
      </w:r>
      <w:r w:rsidR="007D79D7">
        <w:t>(EACMS)</w:t>
      </w:r>
      <w:r>
        <w:rPr>
          <w:rStyle w:val="FootnoteReference"/>
        </w:rPr>
        <w:footnoteReference w:id="7"/>
      </w:r>
      <w:r w:rsidR="007D79D7">
        <w:t xml:space="preserve"> </w:t>
      </w:r>
      <w:r w:rsidR="003D6DAB">
        <w:t xml:space="preserve">and physical access control systems </w:t>
      </w:r>
      <w:r w:rsidR="007D79D7">
        <w:t>(</w:t>
      </w:r>
      <w:r w:rsidR="00C155BC">
        <w:t>PACS</w:t>
      </w:r>
      <w:r w:rsidR="007D79D7">
        <w:t>)</w:t>
      </w:r>
      <w:r>
        <w:rPr>
          <w:rStyle w:val="FootnoteReference"/>
        </w:rPr>
        <w:footnoteReference w:id="8"/>
      </w:r>
      <w:r w:rsidR="00C155BC">
        <w:t xml:space="preserve"> outside of the electronic security perimeter</w:t>
      </w:r>
      <w:r w:rsidR="00FC5E3F">
        <w:t>.</w:t>
      </w:r>
      <w:r w:rsidR="00C155BC">
        <w:t xml:space="preserve"> </w:t>
      </w:r>
    </w:p>
    <w:p w:rsidR="00C2413A" w:rsidP="00631965" w14:paraId="60C7FAC2" w14:textId="01363288">
      <w:pPr>
        <w:pStyle w:val="FERCparanumber"/>
      </w:pPr>
      <w:r>
        <w:t>In Order No. 887</w:t>
      </w:r>
      <w:r w:rsidR="001E51C4">
        <w:t>, the Commission directed that NERC de</w:t>
      </w:r>
      <w:r w:rsidR="000C6FA6">
        <w:t>velop new or modified CIP Reliability Standards that require INSM for</w:t>
      </w:r>
      <w:r w:rsidR="004C1A83">
        <w:t xml:space="preserve"> CIP-networked environment</w:t>
      </w:r>
      <w:r w:rsidR="00F50B23">
        <w:t>s</w:t>
      </w:r>
      <w:r w:rsidR="004C1A83">
        <w:t xml:space="preserve"> for</w:t>
      </w:r>
      <w:r w:rsidR="000C6FA6">
        <w:t xml:space="preserve"> </w:t>
      </w:r>
      <w:r w:rsidR="00A3068E">
        <w:t>all</w:t>
      </w:r>
      <w:r w:rsidR="000C6FA6">
        <w:t xml:space="preserve"> high impact </w:t>
      </w:r>
      <w:r w:rsidR="00F50B23">
        <w:t>bulk electric system (</w:t>
      </w:r>
      <w:r w:rsidR="000C6FA6">
        <w:t>BES</w:t>
      </w:r>
      <w:r w:rsidR="00F50B23">
        <w:t>)</w:t>
      </w:r>
      <w:r w:rsidR="000C6FA6">
        <w:t xml:space="preserve"> Cyber Systems</w:t>
      </w:r>
      <w:r>
        <w:rPr>
          <w:rStyle w:val="FootnoteReference"/>
        </w:rPr>
        <w:footnoteReference w:id="9"/>
      </w:r>
      <w:r w:rsidR="000C6FA6">
        <w:t xml:space="preserve"> with and without external routable connectivity</w:t>
      </w:r>
      <w:r>
        <w:rPr>
          <w:rStyle w:val="FootnoteReference"/>
        </w:rPr>
        <w:footnoteReference w:id="10"/>
      </w:r>
      <w:r w:rsidR="000C6FA6">
        <w:t xml:space="preserve"> and medium impact BES Cyber </w:t>
      </w:r>
      <w:r w:rsidR="008E46B8">
        <w:t>S</w:t>
      </w:r>
      <w:r w:rsidR="000C6FA6">
        <w:t>ystems with external routable connectivity.</w:t>
      </w:r>
      <w:r>
        <w:rPr>
          <w:rStyle w:val="FootnoteReference"/>
        </w:rPr>
        <w:footnoteReference w:id="11"/>
      </w:r>
      <w:r w:rsidR="004F2C54">
        <w:t xml:space="preserve"> </w:t>
      </w:r>
      <w:r w:rsidR="004C1A83">
        <w:rPr>
          <w:rStyle w:val="FootnoteReference"/>
        </w:rPr>
        <w:t xml:space="preserve"> </w:t>
      </w:r>
      <w:r w:rsidR="0040007A">
        <w:t xml:space="preserve">Proposed Reliability Standard CIP-015-1 is </w:t>
      </w:r>
      <w:r w:rsidR="00F20DB4">
        <w:t xml:space="preserve">partly </w:t>
      </w:r>
      <w:r w:rsidR="00C4253D">
        <w:t xml:space="preserve">responsive </w:t>
      </w:r>
      <w:r w:rsidR="0035106B">
        <w:t>to the</w:t>
      </w:r>
      <w:r w:rsidR="00396FA2">
        <w:t xml:space="preserve"> Commission’s directives in Order No. 887</w:t>
      </w:r>
      <w:r w:rsidR="003B4DAB">
        <w:t xml:space="preserve"> and</w:t>
      </w:r>
      <w:r w:rsidR="0040007A">
        <w:t xml:space="preserve"> advance</w:t>
      </w:r>
      <w:r w:rsidR="003B4DAB">
        <w:t>s</w:t>
      </w:r>
      <w:r w:rsidR="0040007A">
        <w:t xml:space="preserve"> </w:t>
      </w:r>
      <w:r w:rsidR="00CF75E4">
        <w:t xml:space="preserve">the </w:t>
      </w:r>
      <w:r w:rsidR="0040007A">
        <w:t xml:space="preserve">reliability </w:t>
      </w:r>
      <w:r w:rsidR="00CF75E4">
        <w:t>of the Bulk-Power System</w:t>
      </w:r>
      <w:r w:rsidR="0040007A">
        <w:t xml:space="preserve"> by </w:t>
      </w:r>
      <w:r w:rsidR="007213E1">
        <w:t xml:space="preserve">(1) </w:t>
      </w:r>
      <w:r w:rsidR="0040007A">
        <w:t xml:space="preserve">establishing requirements for INSM for network traffic inside an </w:t>
      </w:r>
      <w:r w:rsidR="00D21AB7">
        <w:t>electronic security perimeter</w:t>
      </w:r>
      <w:r w:rsidR="002D01CB">
        <w:t>, and</w:t>
      </w:r>
      <w:r w:rsidR="00935712">
        <w:t xml:space="preserve"> </w:t>
      </w:r>
      <w:r w:rsidR="007213E1">
        <w:t>(2)</w:t>
      </w:r>
      <w:r w:rsidR="00935712">
        <w:t xml:space="preserve"> requiring INSM for all high impact </w:t>
      </w:r>
      <w:r w:rsidR="00115E45">
        <w:t xml:space="preserve">BES Cyber Systems with </w:t>
      </w:r>
      <w:r w:rsidR="0013031A">
        <w:t>and without external routable connectivity</w:t>
      </w:r>
      <w:r w:rsidR="00935712">
        <w:t xml:space="preserve"> and medium impact </w:t>
      </w:r>
      <w:r w:rsidR="00D86E67">
        <w:t>BES Cyber Systems</w:t>
      </w:r>
      <w:r w:rsidR="00935712">
        <w:t xml:space="preserve"> with external routable connectivity to ensure the </w:t>
      </w:r>
      <w:r w:rsidR="00E4282C">
        <w:t>identification</w:t>
      </w:r>
      <w:r w:rsidR="00935712">
        <w:t xml:space="preserve"> of anomalous network activity </w:t>
      </w:r>
      <w:r w:rsidR="00E4282C">
        <w:t>indicating</w:t>
      </w:r>
      <w:r w:rsidR="00935712">
        <w:t xml:space="preserve"> an </w:t>
      </w:r>
      <w:r w:rsidR="00E4282C">
        <w:t xml:space="preserve">ongoing </w:t>
      </w:r>
      <w:r w:rsidR="00935712">
        <w:t>attack</w:t>
      </w:r>
      <w:r w:rsidR="0040007A">
        <w:t>.</w:t>
      </w:r>
      <w:r>
        <w:rPr>
          <w:rStyle w:val="FootnoteReference"/>
        </w:rPr>
        <w:footnoteReference w:id="12"/>
      </w:r>
      <w:r w:rsidR="00F4016F">
        <w:t xml:space="preserve">  Accordingly, </w:t>
      </w:r>
      <w:r w:rsidR="008222C0">
        <w:t>we propose approving</w:t>
      </w:r>
      <w:r w:rsidR="00F4016F">
        <w:t xml:space="preserve"> </w:t>
      </w:r>
      <w:r w:rsidR="00F25EA4">
        <w:t>proposed</w:t>
      </w:r>
      <w:r w:rsidR="00F4016F">
        <w:t xml:space="preserve"> Reliability Standard CIP-015-1. </w:t>
      </w:r>
    </w:p>
    <w:p w:rsidR="004F2C54" w:rsidP="004D6446" w14:paraId="734DC356" w14:textId="3FC5E839">
      <w:pPr>
        <w:pStyle w:val="FERCparanumber"/>
      </w:pPr>
      <w:r>
        <w:t>P</w:t>
      </w:r>
      <w:r w:rsidR="003108C7">
        <w:t xml:space="preserve">roposed Reliability Standard </w:t>
      </w:r>
      <w:r w:rsidR="005913ED">
        <w:t xml:space="preserve">CIP-015-1 is </w:t>
      </w:r>
      <w:r w:rsidR="005913ED">
        <w:t>not</w:t>
      </w:r>
      <w:r>
        <w:t>, however,</w:t>
      </w:r>
      <w:r w:rsidR="005913ED">
        <w:t xml:space="preserve"> </w:t>
      </w:r>
      <w:r w:rsidR="007954FB">
        <w:t>fully</w:t>
      </w:r>
      <w:r w:rsidR="00B3144F">
        <w:t xml:space="preserve"> </w:t>
      </w:r>
      <w:r w:rsidR="005913ED">
        <w:t xml:space="preserve">responsive to </w:t>
      </w:r>
      <w:r w:rsidR="00082692">
        <w:t xml:space="preserve">the Commission’s directive </w:t>
      </w:r>
      <w:r w:rsidR="00E8584E">
        <w:t>to</w:t>
      </w:r>
      <w:r w:rsidR="00613D79">
        <w:t xml:space="preserve"> implement</w:t>
      </w:r>
      <w:r w:rsidR="00E8584E">
        <w:t xml:space="preserve"> INSM </w:t>
      </w:r>
      <w:r w:rsidR="00B22BDC">
        <w:t>for the “CIP-networked environment</w:t>
      </w:r>
      <w:r w:rsidR="003E0CC8">
        <w:t>.</w:t>
      </w:r>
      <w:r w:rsidR="00B22BDC">
        <w:t>”</w:t>
      </w:r>
      <w:r>
        <w:rPr>
          <w:rStyle w:val="FootnoteReference"/>
        </w:rPr>
        <w:footnoteReference w:id="13"/>
      </w:r>
      <w:r w:rsidR="003E6257">
        <w:t xml:space="preserve"> </w:t>
      </w:r>
      <w:r w:rsidR="008A0050">
        <w:t xml:space="preserve"> </w:t>
      </w:r>
      <w:r w:rsidR="00071F85">
        <w:t>In particular, t</w:t>
      </w:r>
      <w:r w:rsidR="003E6257">
        <w:t>h</w:t>
      </w:r>
      <w:r w:rsidR="007150F4">
        <w:t>e proposed</w:t>
      </w:r>
      <w:r w:rsidR="003E6257">
        <w:t xml:space="preserve"> </w:t>
      </w:r>
      <w:r w:rsidR="00F40242">
        <w:t>S</w:t>
      </w:r>
      <w:r w:rsidR="00835D70">
        <w:t>tandard</w:t>
      </w:r>
      <w:r w:rsidR="003E6257">
        <w:t xml:space="preserve"> </w:t>
      </w:r>
      <w:r w:rsidR="00207BCD">
        <w:t>may</w:t>
      </w:r>
      <w:r w:rsidR="00B101C5">
        <w:t xml:space="preserve"> not adequately</w:t>
      </w:r>
      <w:r w:rsidR="003E6257">
        <w:t xml:space="preserve"> defend against attacks that circumvent network </w:t>
      </w:r>
      <w:bookmarkStart w:id="1" w:name="_Hlk172886035"/>
      <w:r w:rsidR="003E6257">
        <w:t>perimeter-based security</w:t>
      </w:r>
      <w:bookmarkEnd w:id="1"/>
      <w:r w:rsidR="003E6257">
        <w:t xml:space="preserve"> controls. </w:t>
      </w:r>
      <w:r w:rsidR="000777B7">
        <w:t xml:space="preserve"> </w:t>
      </w:r>
      <w:r w:rsidR="005F48D3">
        <w:t>A</w:t>
      </w:r>
      <w:r w:rsidR="003E6257">
        <w:t>ttacks</w:t>
      </w:r>
      <w:r w:rsidR="005F48D3">
        <w:t xml:space="preserve"> external</w:t>
      </w:r>
      <w:r w:rsidR="003E6257">
        <w:t xml:space="preserve"> </w:t>
      </w:r>
      <w:r w:rsidR="005A4CF7">
        <w:t>to the electronic</w:t>
      </w:r>
      <w:r w:rsidR="00CF1A9E">
        <w:t xml:space="preserve"> security per</w:t>
      </w:r>
      <w:r w:rsidR="005A4CF7">
        <w:t xml:space="preserve">imeter may </w:t>
      </w:r>
      <w:r w:rsidR="003E6257">
        <w:t>compromise systems</w:t>
      </w:r>
      <w:r w:rsidR="00FD1771">
        <w:t>,</w:t>
      </w:r>
      <w:r w:rsidR="003E6257">
        <w:t xml:space="preserve"> </w:t>
      </w:r>
      <w:r w:rsidR="00FF1555">
        <w:t xml:space="preserve">such as </w:t>
      </w:r>
      <w:r w:rsidR="005F1A43">
        <w:t>EACMS</w:t>
      </w:r>
      <w:r w:rsidR="00FF1555">
        <w:t xml:space="preserve"> or </w:t>
      </w:r>
      <w:r w:rsidR="005F1A43">
        <w:t>PACS</w:t>
      </w:r>
      <w:r w:rsidR="0039630E">
        <w:t>,</w:t>
      </w:r>
      <w:r w:rsidR="005133CF">
        <w:t xml:space="preserve"> </w:t>
      </w:r>
      <w:r w:rsidR="003E6257">
        <w:t xml:space="preserve">and then infiltrate the </w:t>
      </w:r>
      <w:r w:rsidR="005A4CF7">
        <w:t>perimeter</w:t>
      </w:r>
      <w:r w:rsidR="003E6257">
        <w:t xml:space="preserve"> as a trusted </w:t>
      </w:r>
      <w:r w:rsidR="00470744">
        <w:t>communication</w:t>
      </w:r>
      <w:r w:rsidR="00754DA7">
        <w:t xml:space="preserve">, </w:t>
      </w:r>
      <w:r w:rsidR="00DC11C9">
        <w:t xml:space="preserve">thus </w:t>
      </w:r>
      <w:r w:rsidR="00754DA7">
        <w:t xml:space="preserve">limiting the effectiveness of </w:t>
      </w:r>
      <w:r w:rsidR="00CD5BAC">
        <w:t xml:space="preserve">an </w:t>
      </w:r>
      <w:r w:rsidR="00D5514F">
        <w:t>approach that employs</w:t>
      </w:r>
      <w:r w:rsidR="00CD5BAC">
        <w:t xml:space="preserve"> </w:t>
      </w:r>
      <w:r w:rsidR="00CB5C58">
        <w:t xml:space="preserve">INSM </w:t>
      </w:r>
      <w:r w:rsidR="000E5817">
        <w:t xml:space="preserve">only </w:t>
      </w:r>
      <w:r w:rsidR="004B2E1B">
        <w:t>within</w:t>
      </w:r>
      <w:r w:rsidR="00A2077A">
        <w:t xml:space="preserve"> the </w:t>
      </w:r>
      <w:r w:rsidR="00710F51">
        <w:t xml:space="preserve">electronic security </w:t>
      </w:r>
      <w:r w:rsidR="00763791">
        <w:t>perimeter</w:t>
      </w:r>
      <w:r w:rsidR="00F90436">
        <w:t>.</w:t>
      </w:r>
      <w:r w:rsidR="002B3295">
        <w:t xml:space="preserve">  </w:t>
      </w:r>
      <w:r w:rsidR="00F22AC3">
        <w:t>T</w:t>
      </w:r>
      <w:r w:rsidR="00127A28">
        <w:t>he Commission used</w:t>
      </w:r>
      <w:r w:rsidR="00BA1F21">
        <w:t xml:space="preserve"> </w:t>
      </w:r>
      <w:r w:rsidR="00885318">
        <w:t xml:space="preserve">the phrase </w:t>
      </w:r>
      <w:r w:rsidR="00172DE7">
        <w:t>“</w:t>
      </w:r>
      <w:r w:rsidR="006648D5">
        <w:t>CIP-networked environment</w:t>
      </w:r>
      <w:r w:rsidR="00172DE7">
        <w:t>”</w:t>
      </w:r>
      <w:r w:rsidR="00127A28">
        <w:t xml:space="preserve"> </w:t>
      </w:r>
      <w:r w:rsidR="00F22AC3">
        <w:t>in Order No. 887 to be</w:t>
      </w:r>
      <w:r w:rsidR="00127A28">
        <w:t xml:space="preserve"> necessarily broad</w:t>
      </w:r>
      <w:r w:rsidR="00F75FF9">
        <w:t>er than the electronic security perimeter</w:t>
      </w:r>
      <w:r w:rsidR="009B3103">
        <w:t>.</w:t>
      </w:r>
      <w:r>
        <w:rPr>
          <w:rStyle w:val="FootnoteReference"/>
        </w:rPr>
        <w:footnoteReference w:id="14"/>
      </w:r>
      <w:r w:rsidR="00C137BA">
        <w:t xml:space="preserve">  </w:t>
      </w:r>
      <w:r w:rsidR="00D9183A">
        <w:t xml:space="preserve">Accordingly, </w:t>
      </w:r>
      <w:r w:rsidR="006602D1">
        <w:t>t</w:t>
      </w:r>
      <w:r w:rsidR="00F90436">
        <w:t xml:space="preserve">o address this reliability </w:t>
      </w:r>
      <w:r w:rsidR="00172DE7">
        <w:t>and security</w:t>
      </w:r>
      <w:r w:rsidR="00F90436">
        <w:t xml:space="preserve"> gap</w:t>
      </w:r>
      <w:r w:rsidR="00D0420A">
        <w:t xml:space="preserve">, </w:t>
      </w:r>
      <w:r w:rsidR="00012524">
        <w:t xml:space="preserve">the Commission </w:t>
      </w:r>
      <w:r>
        <w:t>proposes to direct</w:t>
      </w:r>
      <w:r w:rsidR="00012524">
        <w:t xml:space="preserve"> that</w:t>
      </w:r>
      <w:r>
        <w:t xml:space="preserve"> NERC develop modifications to </w:t>
      </w:r>
      <w:r w:rsidR="00172DE7">
        <w:t xml:space="preserve">the </w:t>
      </w:r>
      <w:r w:rsidR="00475534">
        <w:t xml:space="preserve">proposed </w:t>
      </w:r>
      <w:r>
        <w:t xml:space="preserve">Reliability Standard CIP-015-1 to extend INSM to include EACMS and PACS outside of the </w:t>
      </w:r>
      <w:r w:rsidR="000805CA">
        <w:t>electronic security perimeter</w:t>
      </w:r>
      <w:r w:rsidR="006C226F">
        <w:t>.</w:t>
      </w:r>
      <w:r>
        <w:t xml:space="preserve"> </w:t>
      </w:r>
      <w:r w:rsidR="00E4282C">
        <w:t xml:space="preserve"> </w:t>
      </w:r>
    </w:p>
    <w:p w:rsidR="00B07237" w:rsidP="00B07237" w14:paraId="6FFD78AF" w14:textId="659A9113">
      <w:pPr>
        <w:pStyle w:val="Heading1"/>
      </w:pPr>
      <w:bookmarkStart w:id="2" w:name="_Toc172816926"/>
      <w:r w:rsidRPr="00F86749">
        <w:t>Background</w:t>
      </w:r>
      <w:bookmarkEnd w:id="2"/>
    </w:p>
    <w:p w:rsidR="00B07237" w:rsidP="00B07237" w14:paraId="090DC2F9" w14:textId="7BCEFA64">
      <w:pPr>
        <w:pStyle w:val="Heading2"/>
      </w:pPr>
      <w:bookmarkStart w:id="3" w:name="_Toc172816927"/>
      <w:r>
        <w:t>Section 215 and Mandatory Reliability Standards</w:t>
      </w:r>
      <w:bookmarkEnd w:id="3"/>
    </w:p>
    <w:p w:rsidR="00CB27D3" w:rsidP="00CB27D3" w14:paraId="5618FFC9" w14:textId="3FAD8327">
      <w:pPr>
        <w:pStyle w:val="FERCparanumber"/>
      </w:pPr>
      <w:r w:rsidRPr="00442FD5">
        <w:rPr>
          <w:shd w:val="clear" w:color="auto" w:fill="FFFFFF" w:themeFill="background1"/>
        </w:rPr>
        <w:t xml:space="preserve">Section 215 of the FPA </w:t>
      </w:r>
      <w:r w:rsidRPr="00442FD5" w:rsidR="00C4143C">
        <w:rPr>
          <w:shd w:val="clear" w:color="auto" w:fill="FFFFFF" w:themeFill="background1"/>
        </w:rPr>
        <w:t>provides that the</w:t>
      </w:r>
      <w:r w:rsidRPr="00442FD5">
        <w:rPr>
          <w:shd w:val="clear" w:color="auto" w:fill="FFFFFF" w:themeFill="background1"/>
        </w:rPr>
        <w:t xml:space="preserve"> Commission </w:t>
      </w:r>
      <w:r w:rsidRPr="00442FD5" w:rsidR="00C4143C">
        <w:rPr>
          <w:shd w:val="clear" w:color="auto" w:fill="FFFFFF" w:themeFill="background1"/>
        </w:rPr>
        <w:t>may certify an</w:t>
      </w:r>
      <w:r w:rsidRPr="00442FD5">
        <w:rPr>
          <w:shd w:val="clear" w:color="auto" w:fill="FFFFFF" w:themeFill="background1"/>
        </w:rPr>
        <w:t xml:space="preserve"> ERO</w:t>
      </w:r>
      <w:r w:rsidRPr="00442FD5" w:rsidR="00C4143C">
        <w:rPr>
          <w:shd w:val="clear" w:color="auto" w:fill="FFFFFF" w:themeFill="background1"/>
        </w:rPr>
        <w:t>, the purpose of which is</w:t>
      </w:r>
      <w:r w:rsidRPr="00442FD5">
        <w:rPr>
          <w:shd w:val="clear" w:color="auto" w:fill="FFFFFF" w:themeFill="background1"/>
        </w:rPr>
        <w:t xml:space="preserve"> to develop</w:t>
      </w:r>
      <w:r w:rsidRPr="00442FD5" w:rsidR="00B07237">
        <w:rPr>
          <w:shd w:val="clear" w:color="auto" w:fill="FFFFFF" w:themeFill="background1"/>
        </w:rPr>
        <w:t xml:space="preserve"> </w:t>
      </w:r>
      <w:r w:rsidRPr="00442FD5">
        <w:rPr>
          <w:shd w:val="clear" w:color="auto" w:fill="FFFFFF" w:themeFill="background1"/>
        </w:rPr>
        <w:t>mandatory and enforceable Reliability Standards, subject to Commission review and approval.</w:t>
      </w:r>
      <w:r>
        <w:rPr>
          <w:rStyle w:val="FootnoteReference"/>
          <w:shd w:val="clear" w:color="auto" w:fill="FFFFFF" w:themeFill="background1"/>
        </w:rPr>
        <w:footnoteReference w:id="15"/>
      </w:r>
      <w:r w:rsidRPr="00442FD5">
        <w:rPr>
          <w:shd w:val="clear" w:color="auto" w:fill="FFFFFF" w:themeFill="background1"/>
        </w:rPr>
        <w:t xml:space="preserve">  Reliability Standards may be enforced by the ERO, subject to Commission oversight, or by the Commission independently.</w:t>
      </w:r>
      <w:r>
        <w:rPr>
          <w:rStyle w:val="FootnoteReference"/>
          <w:shd w:val="clear" w:color="auto" w:fill="FFFFFF" w:themeFill="background1"/>
        </w:rPr>
        <w:footnoteReference w:id="16"/>
      </w:r>
      <w:r w:rsidRPr="00442FD5">
        <w:rPr>
          <w:b/>
          <w:bCs/>
          <w:shd w:val="clear" w:color="auto" w:fill="FFFFFF" w:themeFill="background1"/>
        </w:rPr>
        <w:t xml:space="preserve">  </w:t>
      </w:r>
      <w:r w:rsidRPr="00442FD5">
        <w:rPr>
          <w:shd w:val="clear" w:color="auto" w:fill="FFFFFF" w:themeFill="background1"/>
        </w:rPr>
        <w:t>Pursuant to section 215 of the FPA, the Commission established a process to select and certify an ERO,</w:t>
      </w:r>
      <w:r>
        <w:rPr>
          <w:rStyle w:val="FootnoteReference"/>
          <w:shd w:val="clear" w:color="auto" w:fill="FFFFFF" w:themeFill="background1"/>
        </w:rPr>
        <w:footnoteReference w:id="17"/>
      </w:r>
      <w:r w:rsidRPr="00442FD5">
        <w:rPr>
          <w:b/>
          <w:bCs/>
          <w:shd w:val="clear" w:color="auto" w:fill="FFFFFF" w:themeFill="background1"/>
        </w:rPr>
        <w:t xml:space="preserve"> </w:t>
      </w:r>
      <w:r w:rsidRPr="00442FD5">
        <w:rPr>
          <w:shd w:val="clear" w:color="auto" w:fill="FFFFFF" w:themeFill="background1"/>
        </w:rPr>
        <w:t>and subsequently certified NERC</w:t>
      </w:r>
      <w:r w:rsidRPr="00AA24DC">
        <w:t>.</w:t>
      </w:r>
      <w:r>
        <w:rPr>
          <w:rStyle w:val="FootnoteReference"/>
        </w:rPr>
        <w:footnoteReference w:id="18"/>
      </w:r>
    </w:p>
    <w:p w:rsidR="00CB27D3" w:rsidP="00CB27D3" w14:paraId="4C099496" w14:textId="0A7DC3A9">
      <w:pPr>
        <w:pStyle w:val="Heading2"/>
      </w:pPr>
      <w:bookmarkStart w:id="4" w:name="_Toc172816928"/>
      <w:r>
        <w:t>I</w:t>
      </w:r>
      <w:r w:rsidR="0001179E">
        <w:t>nternal Network Security Monitoring</w:t>
      </w:r>
      <w:bookmarkEnd w:id="4"/>
      <w:r>
        <w:t xml:space="preserve"> </w:t>
      </w:r>
    </w:p>
    <w:p w:rsidR="0001179E" w:rsidRPr="006A1D89" w:rsidP="006A1D89" w14:paraId="562B81CE" w14:textId="3CFECAA5">
      <w:pPr>
        <w:pStyle w:val="FERCparanumber"/>
      </w:pPr>
      <w:r w:rsidRPr="00D44CB7">
        <w:t>INSM is a subset of network security monitoring that is applied within a “trust zone,”</w:t>
      </w:r>
      <w:r>
        <w:rPr>
          <w:rStyle w:val="FootnoteReference"/>
        </w:rPr>
        <w:footnoteReference w:id="19"/>
      </w:r>
      <w:r w:rsidRPr="00D44CB7">
        <w:t xml:space="preserve"> such as an </w:t>
      </w:r>
      <w:r w:rsidRPr="00D44CB7" w:rsidR="000805CA">
        <w:t>electronic security perimeter</w:t>
      </w:r>
      <w:r w:rsidRPr="00AC7671">
        <w:t xml:space="preserve">.  </w:t>
      </w:r>
      <w:r w:rsidRPr="00D44CB7">
        <w:t>The trust zone applicable to INSM is the CIP-networked environment</w:t>
      </w:r>
      <w:r w:rsidRPr="006A1D89">
        <w:t xml:space="preserve"> for this notice of proposed rulemaking (NOPR)</w:t>
      </w:r>
      <w:r w:rsidRPr="006A1D89" w:rsidR="000805CA">
        <w:t xml:space="preserve"> and Order No. 887</w:t>
      </w:r>
      <w:r w:rsidRPr="006A1D89">
        <w:t>.</w:t>
      </w:r>
      <w:r>
        <w:rPr>
          <w:rStyle w:val="FootnoteReference"/>
        </w:rPr>
        <w:footnoteReference w:id="20"/>
      </w:r>
      <w:r w:rsidRPr="006A1D89">
        <w:t xml:space="preserve">  </w:t>
      </w:r>
      <w:r w:rsidRPr="00D44CB7">
        <w:t>INSM enables continuing visibility over communications between networked devices within a trust zone and detection of malicious activity that has circumvented perimeter controls.  Further, INSM facilitates the detection of anomalous network activity indicative of an attack in progress, thus increasing the probability of early detection and allowing for quicker mitigation and recovery from an attack.</w:t>
      </w:r>
    </w:p>
    <w:p w:rsidR="0001179E" w:rsidRPr="00CF68F0" w:rsidP="00D44CB7" w14:paraId="2E886BD7" w14:textId="2F532EE4">
      <w:pPr>
        <w:pStyle w:val="FERCparanumber"/>
      </w:pPr>
      <w:r w:rsidRPr="00CF68F0">
        <w:t>INSM is designed to address as early as possible situations where perimeter network defenses are breached by detecting intrusions and malicious activity within a trust zone.  INSM consists of three stages:</w:t>
      </w:r>
      <w:r w:rsidR="00A82C9D">
        <w:t xml:space="preserve">  </w:t>
      </w:r>
      <w:r w:rsidRPr="00CF68F0">
        <w:t>(1) collection; (2) detection; and (3) analysis.  Taken together, these three stages provide the benefit of early detection and alerting of intrusions and malicious activity.</w:t>
      </w:r>
      <w:r>
        <w:rPr>
          <w:rStyle w:val="FootnoteReference"/>
        </w:rPr>
        <w:footnoteReference w:id="21"/>
      </w:r>
      <w:r w:rsidRPr="00CF68F0" w:rsidR="006A4C5F">
        <w:t xml:space="preserve">  INSM better positions an entity to detect an attacker</w:t>
      </w:r>
      <w:r w:rsidRPr="00CF68F0" w:rsidR="006A4C5F">
        <w:rPr>
          <w:shd w:val="clear" w:color="auto" w:fill="D9D9D9" w:themeFill="background1" w:themeFillShade="D9"/>
        </w:rPr>
        <w:t xml:space="preserve"> </w:t>
      </w:r>
      <w:r w:rsidRPr="00CF68F0" w:rsidR="006A4C5F">
        <w:t>in the early phases of an attack and reduces the likelihood that an attacker can gain a strong foothold, including operational control, on the target system.  In addition to early detection and mitigation, INSM may improve incident response by providing higher quality data about the extent of an attack internal to a trust zone.  Finally, INSM provides insight into east-west network traffic</w:t>
      </w:r>
      <w:r>
        <w:rPr>
          <w:rStyle w:val="FootnoteReference"/>
        </w:rPr>
        <w:footnoteReference w:id="22"/>
      </w:r>
      <w:r w:rsidRPr="00CF68F0" w:rsidR="006A4C5F">
        <w:t xml:space="preserve"> happening inside the network perimeter, which enables a more comprehensive picture of the extent of an attack compared to data gathered from the network perimeter alone.</w:t>
      </w:r>
      <w:r>
        <w:rPr>
          <w:rStyle w:val="FootnoteReference"/>
        </w:rPr>
        <w:footnoteReference w:id="23"/>
      </w:r>
    </w:p>
    <w:p w:rsidR="0001179E" w:rsidP="0001179E" w14:paraId="4D6B21A2" w14:textId="332538BF">
      <w:pPr>
        <w:pStyle w:val="Heading2"/>
      </w:pPr>
      <w:bookmarkStart w:id="5" w:name="_Toc172816929"/>
      <w:r>
        <w:t>Order No. 887</w:t>
      </w:r>
      <w:bookmarkEnd w:id="5"/>
    </w:p>
    <w:p w:rsidR="000A5894" w:rsidP="00A979B6" w14:paraId="048E936B" w14:textId="5900B598">
      <w:pPr>
        <w:pStyle w:val="FERCparanumber"/>
      </w:pPr>
      <w:r>
        <w:t>On January 19, 2023, i</w:t>
      </w:r>
      <w:r w:rsidR="00265C4D">
        <w:t xml:space="preserve">n Order No. 887, the Commission issued a final rule that directed </w:t>
      </w:r>
      <w:r w:rsidR="000805CA">
        <w:t xml:space="preserve">that </w:t>
      </w:r>
      <w:r w:rsidR="00265C4D">
        <w:t xml:space="preserve">NERC develop </w:t>
      </w:r>
      <w:r w:rsidR="004E6186">
        <w:t>“new or modified CIP Reliability Standards requiring INSM for all high impact BES Cyber Systems with and without external routable connectivity and medium impact BES Cyber Systems with external routable connectivity to ensure the detection of anomalous network activity indicative of an attack in progress.”</w:t>
      </w:r>
      <w:r>
        <w:rPr>
          <w:rStyle w:val="FootnoteReference"/>
        </w:rPr>
        <w:footnoteReference w:id="24"/>
      </w:r>
      <w:r w:rsidR="004E6186">
        <w:t xml:space="preserve"> </w:t>
      </w:r>
      <w:r w:rsidR="00CC1FFB">
        <w:t xml:space="preserve"> </w:t>
      </w:r>
      <w:r w:rsidR="003448F3">
        <w:t>The Commission</w:t>
      </w:r>
      <w:r w:rsidR="00193A97">
        <w:t>,</w:t>
      </w:r>
      <w:r w:rsidR="003448F3">
        <w:t xml:space="preserve"> noting that INSM is “applied within a ‘trust zone,’ such as an electronic security perimeter,” stated that for the final rule the applicable trust zone for INSM is the CIP-networked environment.</w:t>
      </w:r>
      <w:r>
        <w:rPr>
          <w:rStyle w:val="FootnoteReference"/>
        </w:rPr>
        <w:footnoteReference w:id="25"/>
      </w:r>
      <w:r w:rsidR="00265C4D">
        <w:t xml:space="preserve"> </w:t>
      </w:r>
      <w:r w:rsidR="00921A54">
        <w:t xml:space="preserve"> </w:t>
      </w:r>
      <w:r>
        <w:t xml:space="preserve"> </w:t>
      </w:r>
    </w:p>
    <w:p w:rsidR="00A979B6" w:rsidP="002D2A0E" w14:paraId="72924743" w14:textId="143E754F">
      <w:pPr>
        <w:pStyle w:val="FERCparanumber"/>
      </w:pPr>
      <w:r>
        <w:t xml:space="preserve">The Commission </w:t>
      </w:r>
      <w:r w:rsidR="004F3347">
        <w:t>explained</w:t>
      </w:r>
      <w:r>
        <w:t xml:space="preserve"> that the currently effective CIP Reliability Standards focus on preventing unauthorized access at the electronic security perimeter and do not require INSM </w:t>
      </w:r>
      <w:r w:rsidR="00052638">
        <w:t xml:space="preserve">inside </w:t>
      </w:r>
      <w:r>
        <w:t>trusted CIP-networked environments.</w:t>
      </w:r>
      <w:r>
        <w:rPr>
          <w:rStyle w:val="FootnoteReference"/>
        </w:rPr>
        <w:footnoteReference w:id="26"/>
      </w:r>
      <w:r>
        <w:t xml:space="preserve">  The Commission determined that this left a reliability gap when vendors or individuals with authorized access are deemed trustworthy but could still introduce a cybersecurity risk.</w:t>
      </w:r>
      <w:r>
        <w:rPr>
          <w:rStyle w:val="FootnoteReference"/>
        </w:rPr>
        <w:footnoteReference w:id="27"/>
      </w:r>
      <w:r>
        <w:t xml:space="preserve"> </w:t>
      </w:r>
      <w:r w:rsidR="0067659B">
        <w:t xml:space="preserve"> </w:t>
      </w:r>
      <w:bookmarkStart w:id="6" w:name="_Hlk172454102"/>
      <w:r w:rsidR="00696A1B">
        <w:t xml:space="preserve">The Commission </w:t>
      </w:r>
      <w:r w:rsidR="0028587B">
        <w:t xml:space="preserve">then concluded </w:t>
      </w:r>
      <w:r w:rsidR="00696A1B">
        <w:t>that requirements to implement ISNM will “</w:t>
      </w:r>
      <w:r w:rsidRPr="00696A1B" w:rsidR="00696A1B">
        <w:t>fill a gap in the current suite of CIP Reliability Standards and improve the cybersecurity posture of the Bulk-Power System.</w:t>
      </w:r>
      <w:r w:rsidR="00696A1B">
        <w:t>”</w:t>
      </w:r>
      <w:r>
        <w:rPr>
          <w:rStyle w:val="FootnoteReference"/>
        </w:rPr>
        <w:footnoteReference w:id="28"/>
      </w:r>
      <w:r w:rsidR="00C82950">
        <w:t xml:space="preserve">  </w:t>
      </w:r>
    </w:p>
    <w:bookmarkEnd w:id="6"/>
    <w:p w:rsidR="00706324" w:rsidP="00706324" w14:paraId="6AEB7BFD" w14:textId="6DA2CBEF">
      <w:pPr>
        <w:pStyle w:val="FERCparanumber"/>
      </w:pPr>
      <w:r>
        <w:t xml:space="preserve">The Commission directed that NERC ensure that the new or modified CIP Reliability Standards address three security objectives for east-west network traffic. </w:t>
      </w:r>
      <w:r w:rsidR="00A32C96">
        <w:t xml:space="preserve"> First, the new or modified CIP Reliability Standards should address the need for each responsible entity to develop a baseline for their network activity by analyzing for security purposes their network traffic and data flows.  Second, the new or modified CIP Reliability Standards should address the need for responsible entities to monitor and detect “unauthorized activity, connections, devices, network communication protocols</w:t>
      </w:r>
      <w:r w:rsidR="006167E6">
        <w:t>,</w:t>
      </w:r>
      <w:r w:rsidR="00A32C96">
        <w:t xml:space="preserve"> and software” in the CIP-networked environment</w:t>
      </w:r>
      <w:r w:rsidR="00FC423C">
        <w:t>.  Third, the new or modified CIP Reliability Standards should</w:t>
      </w:r>
      <w:r w:rsidR="005A2AAC">
        <w:t xml:space="preserve"> provide responsible entities with flexibility in determining how to best identify </w:t>
      </w:r>
      <w:r w:rsidRPr="00FC423C" w:rsidR="00FC423C">
        <w:t xml:space="preserve">anomalous activity </w:t>
      </w:r>
      <w:r w:rsidR="005A2AAC">
        <w:t>with</w:t>
      </w:r>
      <w:r w:rsidRPr="00FC423C" w:rsidR="00FC423C">
        <w:t xml:space="preserve"> a high level of confidence</w:t>
      </w:r>
      <w:r w:rsidR="00FC423C">
        <w:t xml:space="preserve">, so long as the methods ensure:  </w:t>
      </w:r>
      <w:r w:rsidRPr="005A2AAC" w:rsidR="005A2AAC">
        <w:t>(1) logging of network traffic</w:t>
      </w:r>
      <w:r w:rsidR="005A2AAC">
        <w:t>;</w:t>
      </w:r>
      <w:r w:rsidRPr="005A2AAC" w:rsidR="005A2AAC">
        <w:t xml:space="preserve"> (2) maintaining</w:t>
      </w:r>
      <w:r w:rsidR="005A2AAC">
        <w:t xml:space="preserve"> the</w:t>
      </w:r>
      <w:r w:rsidRPr="005A2AAC" w:rsidR="005A2AAC">
        <w:t xml:space="preserve"> logs, and other data collected, regarding network traffic that are of </w:t>
      </w:r>
      <w:r w:rsidR="005A2AAC">
        <w:t>“</w:t>
      </w:r>
      <w:r w:rsidRPr="005A2AAC" w:rsidR="005A2AAC">
        <w:t>sufficient data fidelity to draw meaningful conclusions</w:t>
      </w:r>
      <w:r w:rsidR="00656566">
        <w:t>” to</w:t>
      </w:r>
      <w:r w:rsidRPr="005A2AAC" w:rsidR="005A2AAC">
        <w:t xml:space="preserve"> </w:t>
      </w:r>
      <w:r w:rsidR="00B151EE">
        <w:t>investigate an</w:t>
      </w:r>
      <w:r w:rsidRPr="005A2AAC" w:rsidR="00B151EE">
        <w:t xml:space="preserve"> </w:t>
      </w:r>
      <w:r w:rsidRPr="005A2AAC" w:rsidR="005A2AAC">
        <w:t>incident</w:t>
      </w:r>
      <w:r w:rsidR="007C6EA3">
        <w:t>;</w:t>
      </w:r>
      <w:r w:rsidRPr="005A2AAC" w:rsidR="005A2AAC">
        <w:t xml:space="preserve"> and (3) maintaining the integrity of th</w:t>
      </w:r>
      <w:r w:rsidR="005A2AAC">
        <w:t>e</w:t>
      </w:r>
      <w:r w:rsidRPr="005A2AAC" w:rsidR="005A2AAC">
        <w:t xml:space="preserve"> logs and other data by </w:t>
      </w:r>
      <w:r w:rsidR="003E00D5">
        <w:t xml:space="preserve">employing </w:t>
      </w:r>
      <w:r w:rsidRPr="005A2AAC" w:rsidR="005A2AAC">
        <w:t xml:space="preserve">measures </w:t>
      </w:r>
      <w:r w:rsidR="003E00D5">
        <w:t>that</w:t>
      </w:r>
      <w:r w:rsidRPr="005A2AAC" w:rsidR="005A2AAC">
        <w:t xml:space="preserve"> minimize the likelihood of an attacker removing evidence of their tactics, techniques, and procedures</w:t>
      </w:r>
      <w:r w:rsidR="005A2AAC">
        <w:t>.</w:t>
      </w:r>
      <w:r>
        <w:rPr>
          <w:rStyle w:val="FootnoteReference"/>
        </w:rPr>
        <w:footnoteReference w:id="29"/>
      </w:r>
    </w:p>
    <w:p w:rsidR="00A979B6" w:rsidP="00706324" w14:paraId="48C59850" w14:textId="4596867A">
      <w:pPr>
        <w:pStyle w:val="Heading2"/>
      </w:pPr>
      <w:bookmarkStart w:id="7" w:name="_Toc172816930"/>
      <w:r>
        <w:t>NERC Petition and Proposed Reliability Standard CIP-015-1</w:t>
      </w:r>
      <w:bookmarkEnd w:id="7"/>
    </w:p>
    <w:p w:rsidR="001E593D" w:rsidP="001E593D" w14:paraId="6C9C4EB0" w14:textId="0DBC577D">
      <w:pPr>
        <w:pStyle w:val="FERCparanumber"/>
      </w:pPr>
      <w:r>
        <w:t xml:space="preserve">On June 24, 2024, NERC submitted for Commission approval proposed Reliability Standard CIP-015-1 </w:t>
      </w:r>
      <w:r w:rsidRPr="00706324">
        <w:t>and the associated violation risk factors and violation</w:t>
      </w:r>
      <w:r>
        <w:t xml:space="preserve"> </w:t>
      </w:r>
      <w:r w:rsidRPr="00706324">
        <w:t>severity levels, implementation plan, and effective date</w:t>
      </w:r>
      <w:r w:rsidR="00E32023">
        <w:t>.</w:t>
      </w:r>
      <w:r>
        <w:rPr>
          <w:rStyle w:val="FootnoteReference"/>
        </w:rPr>
        <w:footnoteReference w:id="30"/>
      </w:r>
      <w:r w:rsidR="003C59C7">
        <w:t xml:space="preserve">  NERC states that proposed Reliability Standard CIP-015-1</w:t>
      </w:r>
      <w:r w:rsidRPr="003C59C7" w:rsidR="003C59C7">
        <w:t xml:space="preserve"> </w:t>
      </w:r>
      <w:r w:rsidR="003C59C7">
        <w:t xml:space="preserve">is intended to advance </w:t>
      </w:r>
      <w:r w:rsidR="00885FAD">
        <w:t xml:space="preserve">the </w:t>
      </w:r>
      <w:r w:rsidR="003C59C7">
        <w:t>reliability</w:t>
      </w:r>
      <w:r>
        <w:t xml:space="preserve"> of the Bulk-Power System</w:t>
      </w:r>
      <w:r w:rsidR="003C59C7">
        <w:t xml:space="preserve"> by</w:t>
      </w:r>
      <w:r>
        <w:t xml:space="preserve"> providing a comprehensive suite of forward looking and objective-based requirements for INSM.</w:t>
      </w:r>
      <w:r>
        <w:rPr>
          <w:rStyle w:val="FootnoteReference"/>
        </w:rPr>
        <w:footnoteReference w:id="31"/>
      </w:r>
    </w:p>
    <w:p w:rsidR="00DD1482" w:rsidP="00FA165E" w14:paraId="3C23F6FE" w14:textId="4AC739F3">
      <w:pPr>
        <w:pStyle w:val="FERCparanumber"/>
        <w:keepNext/>
      </w:pPr>
      <w:r>
        <w:t>NERC explains that the proposed Reliability Standard would address the directives in Order No. 887 by establishing three requirements for respon</w:t>
      </w:r>
      <w:r w:rsidR="00A12A70">
        <w:t>sible entities to implement INSM systems and processes.  Specifically</w:t>
      </w:r>
      <w:r>
        <w:t>:</w:t>
      </w:r>
    </w:p>
    <w:p w:rsidR="00DD1482" w:rsidP="00DD1482" w14:paraId="43D72D27" w14:textId="60A83775">
      <w:pPr>
        <w:pStyle w:val="FERCparanumber"/>
        <w:numPr>
          <w:ilvl w:val="0"/>
          <w:numId w:val="33"/>
        </w:numPr>
      </w:pPr>
      <w:r>
        <w:t xml:space="preserve">Requirement R1:  </w:t>
      </w:r>
      <w:r w:rsidR="00A12A70">
        <w:t>responsible entities would be required to</w:t>
      </w:r>
      <w:r w:rsidR="00697DE2">
        <w:t xml:space="preserve"> implement </w:t>
      </w:r>
      <w:r w:rsidR="00FF08DA">
        <w:t>process(es)</w:t>
      </w:r>
      <w:r w:rsidR="00697DE2">
        <w:t xml:space="preserve"> to</w:t>
      </w:r>
      <w:r w:rsidR="00396742">
        <w:t xml:space="preserve"> </w:t>
      </w:r>
      <w:bookmarkStart w:id="8" w:name="_Hlk172466024"/>
      <w:r w:rsidR="00396742">
        <w:t>monitor, detect, and evaluate anomalous activity in “networks protected by the Responsible Entity’s Electronic Security Perimeter(s)” of high impact BES Cyber Systems and medium impact BES Cyber Systems with external routable connectivity</w:t>
      </w:r>
      <w:bookmarkEnd w:id="8"/>
      <w:r w:rsidR="00396742">
        <w:t>.</w:t>
      </w:r>
      <w:r>
        <w:rPr>
          <w:rStyle w:val="FootnoteReference"/>
        </w:rPr>
        <w:footnoteReference w:id="32"/>
      </w:r>
      <w:r w:rsidR="00396742">
        <w:t xml:space="preserve"> </w:t>
      </w:r>
    </w:p>
    <w:p w:rsidR="00DD1482" w:rsidP="00DD1482" w14:paraId="3FEB8712" w14:textId="182D3964">
      <w:pPr>
        <w:pStyle w:val="FERCparanumber"/>
        <w:numPr>
          <w:ilvl w:val="0"/>
          <w:numId w:val="33"/>
        </w:numPr>
      </w:pPr>
      <w:r>
        <w:t>Requirement R2</w:t>
      </w:r>
      <w:r>
        <w:t xml:space="preserve">:  </w:t>
      </w:r>
      <w:r>
        <w:t>responsible entities</w:t>
      </w:r>
      <w:r>
        <w:t xml:space="preserve"> would be required</w:t>
      </w:r>
      <w:r>
        <w:t xml:space="preserve"> to </w:t>
      </w:r>
      <w:r>
        <w:t>implement</w:t>
      </w:r>
      <w:r>
        <w:t xml:space="preserve"> process</w:t>
      </w:r>
      <w:r>
        <w:t>(es)</w:t>
      </w:r>
      <w:r>
        <w:t xml:space="preserve"> for retaining INSM data associated with anomalous network activity</w:t>
      </w:r>
      <w:r>
        <w:t xml:space="preserve"> as determined by the applicable responsible entities</w:t>
      </w:r>
      <w:r>
        <w:t xml:space="preserve">.  </w:t>
      </w:r>
    </w:p>
    <w:p w:rsidR="00CC4CA9" w:rsidP="00FF08DA" w14:paraId="548BF3C8" w14:textId="23A8B7AD">
      <w:pPr>
        <w:pStyle w:val="FERCparanumber"/>
        <w:numPr>
          <w:ilvl w:val="0"/>
          <w:numId w:val="33"/>
        </w:numPr>
      </w:pPr>
      <w:r>
        <w:t>Requirement R</w:t>
      </w:r>
      <w:r w:rsidR="00B67876">
        <w:t>3</w:t>
      </w:r>
      <w:r w:rsidR="00697DE2">
        <w:t>:</w:t>
      </w:r>
      <w:r>
        <w:t xml:space="preserve">  responsible entities</w:t>
      </w:r>
      <w:r w:rsidR="00B67876">
        <w:t xml:space="preserve"> would be required</w:t>
      </w:r>
      <w:r>
        <w:t xml:space="preserve"> </w:t>
      </w:r>
      <w:r w:rsidR="000D7CD2">
        <w:t>to</w:t>
      </w:r>
      <w:r w:rsidR="00697DE2">
        <w:t xml:space="preserve"> </w:t>
      </w:r>
      <w:r w:rsidR="00FF08DA">
        <w:t>implement process(es) to protect INSM monitoring data collected and retained in support of Requirements R1 and R2 to guard against the risk of unauthorized deletion or modification.</w:t>
      </w:r>
    </w:p>
    <w:p w:rsidR="00375C7B" w:rsidP="00A41BD3" w14:paraId="2DD23C5C" w14:textId="5C069397">
      <w:pPr>
        <w:pStyle w:val="FERCparanumber"/>
        <w:numPr>
          <w:ilvl w:val="0"/>
          <w:numId w:val="0"/>
        </w:numPr>
      </w:pPr>
      <w:r>
        <w:t xml:space="preserve">According to NERC, </w:t>
      </w:r>
      <w:r w:rsidR="007A4F57">
        <w:t>Requirement R1</w:t>
      </w:r>
      <w:r w:rsidR="007A4F57">
        <w:t xml:space="preserve"> </w:t>
      </w:r>
      <w:r w:rsidR="001A265B">
        <w:t xml:space="preserve">applies to </w:t>
      </w:r>
      <w:r w:rsidR="007A4F57">
        <w:t xml:space="preserve">data flows </w:t>
      </w:r>
      <w:r w:rsidR="00C2687F">
        <w:t>within</w:t>
      </w:r>
      <w:r w:rsidR="007A4F57">
        <w:t xml:space="preserve"> </w:t>
      </w:r>
      <w:r w:rsidR="007A4F57">
        <w:t>“networks protected by the Responsible Entity’s Electronic Security Perimeter(s).”</w:t>
      </w:r>
      <w:r>
        <w:rPr>
          <w:rStyle w:val="FootnoteReference"/>
        </w:rPr>
        <w:footnoteReference w:id="33"/>
      </w:r>
      <w:r w:rsidR="007A4F57">
        <w:t xml:space="preserve">  </w:t>
      </w:r>
      <w:bookmarkStart w:id="9" w:name="_Hlk172619030"/>
      <w:r w:rsidR="00C05367">
        <w:t>NERC states that proposed Reliability Standard CIP-015-1’s scope is consistent with the plain language of Order No. 887, which stated that INSM should apply within a trust zone, “such as an electronic security perimeter,” and that the trust zone for INSM is the “CIP-networked environment.”</w:t>
      </w:r>
      <w:r>
        <w:rPr>
          <w:rStyle w:val="FootnoteReference"/>
        </w:rPr>
        <w:footnoteReference w:id="34"/>
      </w:r>
      <w:r w:rsidR="00C05367">
        <w:t xml:space="preserve"> </w:t>
      </w:r>
      <w:r w:rsidR="00DA0D94">
        <w:t xml:space="preserve"> </w:t>
      </w:r>
      <w:r>
        <w:t xml:space="preserve">NERC states </w:t>
      </w:r>
      <w:r w:rsidR="00701852">
        <w:t xml:space="preserve">that its approach </w:t>
      </w:r>
      <w:r w:rsidR="00B42AE4">
        <w:t xml:space="preserve">would provide the greatest benefits to the reliability of the Bulk-Power System by </w:t>
      </w:r>
      <w:r w:rsidRPr="00F07FBB" w:rsidR="00B42AE4">
        <w:t>focusing industry’s limited resources</w:t>
      </w:r>
      <w:r w:rsidR="00B42AE4">
        <w:t xml:space="preserve"> on the most critical environment</w:t>
      </w:r>
      <w:r w:rsidR="00520A9C">
        <w:t>,</w:t>
      </w:r>
      <w:r w:rsidR="00BD194A">
        <w:t xml:space="preserve"> </w:t>
      </w:r>
      <w:r>
        <w:t>“networks protected by the Responsible Entity’s Electronic Security Perimeter.”</w:t>
      </w:r>
      <w:r>
        <w:rPr>
          <w:rStyle w:val="FootnoteReference"/>
        </w:rPr>
        <w:footnoteReference w:id="35"/>
      </w:r>
    </w:p>
    <w:p w:rsidR="00E46F08" w:rsidP="00E46F08" w14:paraId="6FB6735F" w14:textId="5B747F2A">
      <w:pPr>
        <w:pStyle w:val="Heading1"/>
      </w:pPr>
      <w:bookmarkStart w:id="10" w:name="_Toc172816931"/>
      <w:bookmarkEnd w:id="9"/>
      <w:r w:rsidRPr="00F86749">
        <w:t>Discussion</w:t>
      </w:r>
      <w:bookmarkEnd w:id="10"/>
    </w:p>
    <w:p w:rsidR="009104BF" w:rsidRPr="009104BF" w:rsidP="009024FC" w14:paraId="060EC02B" w14:textId="4D547CDA">
      <w:pPr>
        <w:pStyle w:val="Heading2"/>
      </w:pPr>
      <w:r>
        <w:t xml:space="preserve">Proposal to Approve Proposed Reliability Standard </w:t>
      </w:r>
      <w:r w:rsidR="004C0674">
        <w:t>CIP-015-1</w:t>
      </w:r>
    </w:p>
    <w:p w:rsidR="00954F0C" w:rsidRPr="00954F0C" w:rsidP="00C24301" w14:paraId="05E6E2AA" w14:textId="4E008C2F">
      <w:pPr>
        <w:pStyle w:val="FERCparanumber"/>
      </w:pPr>
      <w:r w:rsidRPr="00954F0C">
        <w:rPr>
          <w:szCs w:val="26"/>
        </w:rPr>
        <w:t>Pursuant to section 215(d)(2) of the FPA, the Commission proposes to approve proposed Reliability Standard CIP-015-1 as just, reasonable, not unduly discriminatory or preferential, and in the public interest.  The proposed</w:t>
      </w:r>
      <w:r w:rsidR="00FD69F0">
        <w:rPr>
          <w:szCs w:val="26"/>
        </w:rPr>
        <w:t xml:space="preserve"> Reliability</w:t>
      </w:r>
      <w:r w:rsidRPr="00954F0C">
        <w:rPr>
          <w:szCs w:val="26"/>
        </w:rPr>
        <w:t xml:space="preserve"> Standard requires responsible entities to implement INSM within the electronic security perimeter for </w:t>
      </w:r>
      <w:r w:rsidR="00A1057F">
        <w:rPr>
          <w:szCs w:val="26"/>
        </w:rPr>
        <w:t>all</w:t>
      </w:r>
      <w:r w:rsidRPr="00954F0C">
        <w:rPr>
          <w:szCs w:val="26"/>
        </w:rPr>
        <w:t xml:space="preserve"> high impact BES Cyber Systems with and without external routable connectivity and medium impact BES Cyber Systems with external routable connectivity.  Consistent with the security objectives identified in Order No. 887, Requirement R1 </w:t>
      </w:r>
      <w:r w:rsidR="00F77057">
        <w:rPr>
          <w:szCs w:val="26"/>
        </w:rPr>
        <w:t>of the proposed Standard</w:t>
      </w:r>
      <w:r w:rsidRPr="00954F0C">
        <w:rPr>
          <w:szCs w:val="26"/>
        </w:rPr>
        <w:t xml:space="preserve"> would require responsible entities to implement INSM by mandating the collection, detection, analysis of and appropriate response to anomalous activity within the electronic security perimeter.  </w:t>
      </w:r>
      <w:r w:rsidR="00D81009">
        <w:rPr>
          <w:szCs w:val="26"/>
        </w:rPr>
        <w:t xml:space="preserve">Proposed Reliability Standard CIP-015-1, </w:t>
      </w:r>
      <w:r w:rsidRPr="00954F0C">
        <w:rPr>
          <w:szCs w:val="26"/>
        </w:rPr>
        <w:t xml:space="preserve">Requirement R2 would require responsible entities to retain INSM data related to anomalous activity.  </w:t>
      </w:r>
      <w:r w:rsidR="00D81009">
        <w:rPr>
          <w:szCs w:val="26"/>
        </w:rPr>
        <w:t xml:space="preserve">Proposed Reliability Standard CIP-015-1, </w:t>
      </w:r>
      <w:r w:rsidRPr="00954F0C">
        <w:rPr>
          <w:szCs w:val="26"/>
        </w:rPr>
        <w:t>Requirement R3 would require responsible entities to protect INSM data associated with anomalous network activity.</w:t>
      </w:r>
      <w:r w:rsidRPr="00081A2C" w:rsidR="00B27A1D">
        <w:rPr>
          <w:b/>
          <w:vertAlign w:val="superscript"/>
        </w:rPr>
        <w:t xml:space="preserve"> </w:t>
      </w:r>
    </w:p>
    <w:p w:rsidR="00954F0C" w:rsidRPr="00954F0C" w:rsidP="00C24301" w14:paraId="0FC27FA4" w14:textId="639F6847">
      <w:pPr>
        <w:pStyle w:val="FERCparanumber"/>
      </w:pPr>
      <w:r w:rsidRPr="00954F0C">
        <w:rPr>
          <w:szCs w:val="26"/>
        </w:rPr>
        <w:t xml:space="preserve">Implementation of INSM within the electronic security perimeter will augment responsible entities’ ability to detect anomalous or malicious activity and provide information to assist in determining an appropriate response through </w:t>
      </w:r>
      <w:r w:rsidR="00CE2D72">
        <w:rPr>
          <w:szCs w:val="26"/>
        </w:rPr>
        <w:t>p</w:t>
      </w:r>
      <w:r w:rsidR="00D81009">
        <w:rPr>
          <w:szCs w:val="26"/>
        </w:rPr>
        <w:t>roposed Reliability Standard CIP-015-1,</w:t>
      </w:r>
      <w:r w:rsidRPr="00954F0C">
        <w:rPr>
          <w:szCs w:val="26"/>
        </w:rPr>
        <w:t xml:space="preserve"> Requirements R1, R2, and R3.  The proposed Reliability Standard </w:t>
      </w:r>
      <w:r w:rsidR="008563AE">
        <w:rPr>
          <w:szCs w:val="26"/>
        </w:rPr>
        <w:t xml:space="preserve">improves </w:t>
      </w:r>
      <w:r w:rsidR="005F5F76">
        <w:rPr>
          <w:szCs w:val="26"/>
        </w:rPr>
        <w:t xml:space="preserve">the </w:t>
      </w:r>
      <w:r w:rsidR="00EE6419">
        <w:rPr>
          <w:szCs w:val="26"/>
        </w:rPr>
        <w:t xml:space="preserve">security posture of the industry by </w:t>
      </w:r>
      <w:r w:rsidRPr="00954F0C">
        <w:rPr>
          <w:szCs w:val="26"/>
        </w:rPr>
        <w:t>provid</w:t>
      </w:r>
      <w:r w:rsidR="00EE6419">
        <w:rPr>
          <w:szCs w:val="26"/>
        </w:rPr>
        <w:t xml:space="preserve">ing </w:t>
      </w:r>
      <w:r w:rsidRPr="00954F0C">
        <w:rPr>
          <w:szCs w:val="26"/>
        </w:rPr>
        <w:t>visibility into east-west communications absent from previous Reliability Standards, improving the probability of detection for anomalous or malicious activity within the electronic security perimeter.</w:t>
      </w:r>
    </w:p>
    <w:p w:rsidR="00954F0C" w:rsidP="00C24301" w14:paraId="051461A4" w14:textId="20495937">
      <w:pPr>
        <w:pStyle w:val="FERCparanumber"/>
      </w:pPr>
      <w:r>
        <w:t>Notwithstanding the improvements to security made by the proposed Standard</w:t>
      </w:r>
      <w:r>
        <w:t xml:space="preserve">, </w:t>
      </w:r>
      <w:r w:rsidR="00B975F0">
        <w:t xml:space="preserve">as discussed below, </w:t>
      </w:r>
      <w:r w:rsidR="00306B26">
        <w:t>the proposed Reliability Standard does not fully implement the scope of protection</w:t>
      </w:r>
      <w:r w:rsidR="00416485">
        <w:t xml:space="preserve"> contemplated in Order No. </w:t>
      </w:r>
      <w:r w:rsidR="004D60D0">
        <w:t xml:space="preserve">887.  </w:t>
      </w:r>
      <w:r w:rsidR="03D0983A">
        <w:t>By</w:t>
      </w:r>
      <w:r>
        <w:t xml:space="preserve"> restricting the implementation of INSM to within the electronic security perimeter, a reliability and security gap </w:t>
      </w:r>
      <w:r w:rsidR="00FD69F0">
        <w:t>remains</w:t>
      </w:r>
      <w:r>
        <w:t xml:space="preserve"> by not implementing INSM for the entire CIP-networked </w:t>
      </w:r>
      <w:r>
        <w:t>environment</w:t>
      </w:r>
      <w:r>
        <w:t xml:space="preserve">, i.e., </w:t>
      </w:r>
      <w:r w:rsidR="00AA326A">
        <w:t xml:space="preserve">outside the </w:t>
      </w:r>
      <w:r w:rsidR="002E104A">
        <w:t xml:space="preserve">electronic security perimeter </w:t>
      </w:r>
      <w:r>
        <w:t xml:space="preserve">inclusive of EACMS and PACS.  To address this gap, we propose to direct NERC to develop modifications to the proposed </w:t>
      </w:r>
      <w:r w:rsidR="00FD69F0">
        <w:t xml:space="preserve">Reliability </w:t>
      </w:r>
      <w:r>
        <w:t>Standard to include EACMS and PACS</w:t>
      </w:r>
      <w:r w:rsidR="79F9B4F3">
        <w:t>,</w:t>
      </w:r>
      <w:r w:rsidR="002F49D3">
        <w:t xml:space="preserve"> thereby </w:t>
      </w:r>
      <w:r w:rsidR="5D0D0A5A">
        <w:t>protect</w:t>
      </w:r>
      <w:r w:rsidR="295DD69E">
        <w:t>ing</w:t>
      </w:r>
      <w:r w:rsidR="00647EFE">
        <w:t xml:space="preserve"> the reliability and security of </w:t>
      </w:r>
      <w:r w:rsidR="006814F9">
        <w:t>all</w:t>
      </w:r>
      <w:r w:rsidR="00FE5420">
        <w:t xml:space="preserve"> </w:t>
      </w:r>
      <w:r w:rsidR="00AC1393">
        <w:t xml:space="preserve">trust </w:t>
      </w:r>
      <w:r w:rsidR="1354B308">
        <w:t>zone</w:t>
      </w:r>
      <w:r w:rsidR="00FE5420">
        <w:t>s</w:t>
      </w:r>
      <w:r w:rsidR="1354B308">
        <w:t xml:space="preserve"> </w:t>
      </w:r>
      <w:r w:rsidR="007F27CD">
        <w:t>of the CIP-</w:t>
      </w:r>
      <w:r w:rsidR="00A248DC">
        <w:t>network</w:t>
      </w:r>
      <w:r w:rsidR="00F30B44">
        <w:t>ed</w:t>
      </w:r>
      <w:r w:rsidR="007F27CD">
        <w:t xml:space="preserve"> </w:t>
      </w:r>
      <w:r w:rsidR="00A248DC">
        <w:t>environment</w:t>
      </w:r>
      <w:r>
        <w:t xml:space="preserve">. </w:t>
      </w:r>
      <w:r w:rsidR="63A5BDC4">
        <w:t xml:space="preserve"> This approach</w:t>
      </w:r>
      <w:r w:rsidR="00931E64">
        <w:t>—</w:t>
      </w:r>
      <w:r w:rsidR="6EDA2252">
        <w:t>proposing to approve a Reliability Standard</w:t>
      </w:r>
      <w:r w:rsidR="69580A71">
        <w:t xml:space="preserve"> </w:t>
      </w:r>
      <w:r w:rsidR="0B0764CC">
        <w:t>as enhancing protections</w:t>
      </w:r>
      <w:r w:rsidR="55595C70">
        <w:t xml:space="preserve"> </w:t>
      </w:r>
      <w:r w:rsidR="3F7A279A">
        <w:t xml:space="preserve">and </w:t>
      </w:r>
      <w:r w:rsidR="008023EB">
        <w:t xml:space="preserve">as a separate action under section 215(d)(5) of the FPA </w:t>
      </w:r>
      <w:r w:rsidR="3F7A279A">
        <w:t xml:space="preserve">proposing to direct NERC to develop certain modifications </w:t>
      </w:r>
      <w:r w:rsidR="49B35465">
        <w:t xml:space="preserve">to a Reliability Standard </w:t>
      </w:r>
      <w:r w:rsidR="5F46C35B">
        <w:t>to address a re</w:t>
      </w:r>
      <w:r w:rsidR="53EC7103">
        <w:t>liability gap</w:t>
      </w:r>
      <w:r w:rsidR="00931E64">
        <w:t>—</w:t>
      </w:r>
      <w:r w:rsidR="53EC7103">
        <w:t xml:space="preserve">is consistent with Commission </w:t>
      </w:r>
      <w:r w:rsidR="00F012CD">
        <w:t>precedent</w:t>
      </w:r>
      <w:r w:rsidR="53EC7103">
        <w:t>.</w:t>
      </w:r>
      <w:r>
        <w:rPr>
          <w:rStyle w:val="FootnoteReference"/>
        </w:rPr>
        <w:footnoteReference w:id="36"/>
      </w:r>
      <w:r w:rsidR="49B35465">
        <w:t xml:space="preserve"> </w:t>
      </w:r>
      <w:r w:rsidR="63A5BDC4">
        <w:t xml:space="preserve"> </w:t>
      </w:r>
    </w:p>
    <w:p w:rsidR="00C55760" w:rsidRPr="002D2A0E" w:rsidP="009024FC" w14:paraId="35723FC1" w14:textId="167CAAD4">
      <w:pPr>
        <w:pStyle w:val="Heading2"/>
      </w:pPr>
      <w:r>
        <w:t xml:space="preserve">Scope of </w:t>
      </w:r>
      <w:r w:rsidR="00E7680C">
        <w:t xml:space="preserve">the </w:t>
      </w:r>
      <w:r w:rsidRPr="002D2A0E">
        <w:t>CIP-Networked Environment</w:t>
      </w:r>
    </w:p>
    <w:p w:rsidR="00915252" w:rsidP="00E42C36" w14:paraId="0A710BBB" w14:textId="5EA45D84">
      <w:pPr>
        <w:pStyle w:val="FERCparanumber"/>
      </w:pPr>
      <w:r w:rsidRPr="00954F0C">
        <w:rPr>
          <w:szCs w:val="26"/>
        </w:rPr>
        <w:t xml:space="preserve">NERC’s </w:t>
      </w:r>
      <w:r w:rsidR="008F3BEE">
        <w:rPr>
          <w:szCs w:val="26"/>
        </w:rPr>
        <w:t>proposed application</w:t>
      </w:r>
      <w:r w:rsidRPr="00954F0C">
        <w:rPr>
          <w:szCs w:val="26"/>
        </w:rPr>
        <w:t xml:space="preserve"> of the term “CIP-networked environment” </w:t>
      </w:r>
      <w:r w:rsidR="001D0334">
        <w:rPr>
          <w:szCs w:val="26"/>
        </w:rPr>
        <w:t xml:space="preserve">as limited to </w:t>
      </w:r>
      <w:r w:rsidR="00727664">
        <w:rPr>
          <w:szCs w:val="26"/>
        </w:rPr>
        <w:t xml:space="preserve">assets and systems within </w:t>
      </w:r>
      <w:r w:rsidRPr="00954F0C">
        <w:rPr>
          <w:szCs w:val="26"/>
        </w:rPr>
        <w:t xml:space="preserve">the electronic security perimeter is overly narrow.  Order No. 887 used the term “CIP-networked environment” purposefully to </w:t>
      </w:r>
      <w:r w:rsidR="00271ED8">
        <w:rPr>
          <w:szCs w:val="26"/>
        </w:rPr>
        <w:t>apply</w:t>
      </w:r>
      <w:r w:rsidRPr="00954F0C">
        <w:rPr>
          <w:szCs w:val="26"/>
        </w:rPr>
        <w:t xml:space="preserve"> more broadly than the electronic security perimeter</w:t>
      </w:r>
      <w:r w:rsidR="003369C6">
        <w:rPr>
          <w:szCs w:val="26"/>
        </w:rPr>
        <w:t>, specifically to</w:t>
      </w:r>
      <w:r w:rsidRPr="00954F0C">
        <w:rPr>
          <w:szCs w:val="26"/>
        </w:rPr>
        <w:t xml:space="preserve"> </w:t>
      </w:r>
      <w:r w:rsidR="005F132A">
        <w:rPr>
          <w:szCs w:val="26"/>
        </w:rPr>
        <w:t>include</w:t>
      </w:r>
      <w:r w:rsidRPr="00954F0C">
        <w:rPr>
          <w:szCs w:val="26"/>
        </w:rPr>
        <w:t xml:space="preserve"> </w:t>
      </w:r>
      <w:r w:rsidR="006A1274">
        <w:rPr>
          <w:szCs w:val="26"/>
        </w:rPr>
        <w:t>all</w:t>
      </w:r>
      <w:r w:rsidR="009C58BD">
        <w:rPr>
          <w:szCs w:val="26"/>
        </w:rPr>
        <w:t xml:space="preserve"> assets and systems </w:t>
      </w:r>
      <w:r w:rsidR="006A1274">
        <w:rPr>
          <w:szCs w:val="26"/>
        </w:rPr>
        <w:t xml:space="preserve">to which </w:t>
      </w:r>
      <w:r w:rsidR="009C58BD">
        <w:rPr>
          <w:szCs w:val="26"/>
        </w:rPr>
        <w:t>the CIP standards</w:t>
      </w:r>
      <w:r w:rsidR="006A1274">
        <w:rPr>
          <w:szCs w:val="26"/>
        </w:rPr>
        <w:t xml:space="preserve"> apply</w:t>
      </w:r>
      <w:r w:rsidR="00986125">
        <w:rPr>
          <w:szCs w:val="26"/>
        </w:rPr>
        <w:t xml:space="preserve"> and may be the targets</w:t>
      </w:r>
      <w:r w:rsidR="00460F0A">
        <w:rPr>
          <w:szCs w:val="26"/>
        </w:rPr>
        <w:t xml:space="preserve"> of attacks</w:t>
      </w:r>
      <w:r w:rsidRPr="00954F0C">
        <w:rPr>
          <w:szCs w:val="26"/>
        </w:rPr>
        <w:t>.</w:t>
      </w:r>
      <w:r w:rsidR="001E1EA5">
        <w:rPr>
          <w:szCs w:val="26"/>
        </w:rPr>
        <w:t xml:space="preserve">  </w:t>
      </w:r>
      <w:r w:rsidR="00D9353E">
        <w:t xml:space="preserve">As explained below, </w:t>
      </w:r>
      <w:r w:rsidR="001A05AF">
        <w:t xml:space="preserve">NERC’s petition </w:t>
      </w:r>
      <w:r w:rsidR="00D306FE">
        <w:t>does not address</w:t>
      </w:r>
      <w:r w:rsidR="001A05AF">
        <w:t xml:space="preserve"> </w:t>
      </w:r>
      <w:r>
        <w:t>th</w:t>
      </w:r>
      <w:r w:rsidR="00DA1A6C">
        <w:t>at</w:t>
      </w:r>
      <w:r>
        <w:t xml:space="preserve"> reliability </w:t>
      </w:r>
      <w:r w:rsidR="00D306FE">
        <w:t xml:space="preserve">and security </w:t>
      </w:r>
      <w:r>
        <w:t xml:space="preserve">gap </w:t>
      </w:r>
      <w:r w:rsidR="00D306FE">
        <w:t xml:space="preserve">because it does not </w:t>
      </w:r>
      <w:r w:rsidR="00421A99">
        <w:t>require</w:t>
      </w:r>
      <w:r>
        <w:t xml:space="preserve"> implementation of INSM at EACMS and PACS outside the electronic security perimeter.</w:t>
      </w:r>
      <w:r w:rsidRPr="0018365E" w:rsidR="0018365E">
        <w:rPr>
          <w:szCs w:val="26"/>
        </w:rPr>
        <w:t xml:space="preserve"> </w:t>
      </w:r>
      <w:r w:rsidR="0018365E">
        <w:rPr>
          <w:szCs w:val="26"/>
        </w:rPr>
        <w:t xml:space="preserve"> </w:t>
      </w:r>
    </w:p>
    <w:p w:rsidR="006218A3" w:rsidRPr="006218A3" w:rsidP="00C24301" w14:paraId="1F08ACC1" w14:textId="24964135">
      <w:pPr>
        <w:pStyle w:val="FERCparanumber"/>
      </w:pPr>
      <w:r>
        <w:t>E</w:t>
      </w:r>
      <w:r w:rsidR="009D7D2D">
        <w:t>xcluding EACMS and PACS from the term “CIP-networked environment” is inconsistent with</w:t>
      </w:r>
      <w:r w:rsidR="00CA6651">
        <w:t xml:space="preserve"> generally accepted</w:t>
      </w:r>
      <w:r w:rsidR="008930A7">
        <w:t xml:space="preserve"> approaches to</w:t>
      </w:r>
      <w:r w:rsidR="009D7D2D">
        <w:t xml:space="preserve"> cybersecurity. </w:t>
      </w:r>
      <w:r w:rsidR="003C1DF4">
        <w:t xml:space="preserve"> </w:t>
      </w:r>
      <w:r w:rsidR="00C105BD">
        <w:t xml:space="preserve">Under </w:t>
      </w:r>
      <w:r w:rsidR="00C426DD">
        <w:t xml:space="preserve">Reliability Standard </w:t>
      </w:r>
      <w:r w:rsidR="00870CC6">
        <w:t>CIP</w:t>
      </w:r>
      <w:r w:rsidR="00D735D8">
        <w:noBreakHyphen/>
      </w:r>
      <w:r w:rsidR="00870CC6">
        <w:t>002-5.1a</w:t>
      </w:r>
      <w:r w:rsidR="009B3D68">
        <w:t xml:space="preserve"> and</w:t>
      </w:r>
      <w:r w:rsidR="00F63168">
        <w:t xml:space="preserve"> </w:t>
      </w:r>
      <w:r w:rsidRPr="004E3E58" w:rsidR="00F63168">
        <w:t>fundamental cybersecurity practice</w:t>
      </w:r>
      <w:r w:rsidR="00966C55">
        <w:t>s</w:t>
      </w:r>
      <w:r w:rsidR="00800809">
        <w:t xml:space="preserve">, </w:t>
      </w:r>
      <w:r w:rsidR="009D2F87">
        <w:t xml:space="preserve">similar </w:t>
      </w:r>
      <w:r w:rsidR="00124BA8">
        <w:t xml:space="preserve">systems within a </w:t>
      </w:r>
      <w:r w:rsidR="00553B13">
        <w:t xml:space="preserve">network </w:t>
      </w:r>
      <w:r w:rsidR="00FF4C7F">
        <w:t>are grouped together</w:t>
      </w:r>
      <w:r w:rsidR="007113EA">
        <w:t xml:space="preserve"> to facilitate </w:t>
      </w:r>
      <w:r w:rsidR="00690200">
        <w:t>management, cont</w:t>
      </w:r>
      <w:r w:rsidR="003F3921">
        <w:t>rol, and monitoring of the networked en</w:t>
      </w:r>
      <w:r w:rsidR="00E32045">
        <w:t>vironment.</w:t>
      </w:r>
      <w:r>
        <w:rPr>
          <w:rStyle w:val="FootnoteReference"/>
        </w:rPr>
        <w:footnoteReference w:id="37"/>
      </w:r>
      <w:r w:rsidR="00FF4C7F">
        <w:t xml:space="preserve"> </w:t>
      </w:r>
      <w:r w:rsidR="00823E99">
        <w:t xml:space="preserve"> </w:t>
      </w:r>
      <w:r w:rsidRPr="00A30236" w:rsidR="00A30236">
        <w:t xml:space="preserve">For example, EACMS </w:t>
      </w:r>
      <w:r w:rsidR="00A30236">
        <w:t>ar</w:t>
      </w:r>
      <w:r w:rsidR="00DC023D">
        <w:t>e</w:t>
      </w:r>
      <w:r w:rsidRPr="00A30236" w:rsidR="00A30236">
        <w:t xml:space="preserve"> grouped together to allow for early detection of malicious activity within the CIP-networked environment and potentially protect other grouped systems</w:t>
      </w:r>
      <w:r w:rsidR="009F428E">
        <w:t>,</w:t>
      </w:r>
      <w:r w:rsidRPr="00A30236" w:rsidR="00A30236">
        <w:t xml:space="preserve"> such as </w:t>
      </w:r>
      <w:r w:rsidR="00A303E4">
        <w:t>BES Cyber Systems</w:t>
      </w:r>
      <w:r w:rsidRPr="00A30236" w:rsidR="00A30236">
        <w:t>, with which the EACMS communicate.</w:t>
      </w:r>
      <w:r w:rsidR="00DC023D">
        <w:t xml:space="preserve">  Thus,</w:t>
      </w:r>
      <w:r w:rsidR="009509B3">
        <w:t xml:space="preserve"> </w:t>
      </w:r>
      <w:r w:rsidR="00A165E7">
        <w:t>excluding</w:t>
      </w:r>
      <w:r w:rsidR="00250BDE">
        <w:t xml:space="preserve"> </w:t>
      </w:r>
      <w:r w:rsidR="00360133">
        <w:t xml:space="preserve">certain </w:t>
      </w:r>
      <w:r w:rsidR="00204AAE">
        <w:t>grouped systems</w:t>
      </w:r>
      <w:r w:rsidR="00A165E7">
        <w:t xml:space="preserve"> from </w:t>
      </w:r>
      <w:r w:rsidR="00B840E8">
        <w:t>protections</w:t>
      </w:r>
      <w:r w:rsidR="00A21517">
        <w:t>—</w:t>
      </w:r>
      <w:r w:rsidR="00204AAE">
        <w:t xml:space="preserve">as is the case for EACMS and PACS in </w:t>
      </w:r>
      <w:r w:rsidR="00A21517">
        <w:t xml:space="preserve">Reliability Standard </w:t>
      </w:r>
      <w:r w:rsidR="00204AAE">
        <w:t>CIP-015-1</w:t>
      </w:r>
      <w:r w:rsidR="00A21517">
        <w:t>—</w:t>
      </w:r>
      <w:r w:rsidR="00CD2639">
        <w:t xml:space="preserve">leaves other grouped systems within the CIP-networked </w:t>
      </w:r>
      <w:r w:rsidR="00501979">
        <w:t>environment at risk</w:t>
      </w:r>
      <w:r w:rsidR="003F3A43">
        <w:t xml:space="preserve">. </w:t>
      </w:r>
      <w:r w:rsidR="00204AAE">
        <w:t xml:space="preserve"> </w:t>
      </w:r>
      <w:r w:rsidR="000367ED">
        <w:t xml:space="preserve">Here, </w:t>
      </w:r>
      <w:r w:rsidR="00C756F6">
        <w:t xml:space="preserve">the BES Cyber Systems would not benefit from </w:t>
      </w:r>
      <w:r w:rsidRPr="004E3E58" w:rsidR="004E3E58">
        <w:t>monitor</w:t>
      </w:r>
      <w:r w:rsidR="002619AB">
        <w:t>ing</w:t>
      </w:r>
      <w:r w:rsidR="006A3299">
        <w:t xml:space="preserve"> of</w:t>
      </w:r>
      <w:r w:rsidRPr="004E3E58" w:rsidR="004E3E58">
        <w:t xml:space="preserve"> east-west</w:t>
      </w:r>
      <w:r w:rsidR="00421A99">
        <w:t xml:space="preserve"> </w:t>
      </w:r>
      <w:r w:rsidR="00A21517">
        <w:t xml:space="preserve">(i.e., </w:t>
      </w:r>
      <w:r w:rsidR="00421A99">
        <w:t>lateral</w:t>
      </w:r>
      <w:r w:rsidR="00A21517">
        <w:t>)</w:t>
      </w:r>
      <w:r w:rsidR="00421A99">
        <w:t xml:space="preserve"> </w:t>
      </w:r>
      <w:r w:rsidRPr="004E3E58" w:rsidR="004E3E58">
        <w:t xml:space="preserve">movement within the grouping </w:t>
      </w:r>
      <w:r w:rsidR="000A57EE">
        <w:t>of EACMS and PACS, which</w:t>
      </w:r>
      <w:r w:rsidRPr="004E3E58" w:rsidR="004E3E58">
        <w:t xml:space="preserve"> allow</w:t>
      </w:r>
      <w:r w:rsidR="00A21517">
        <w:t>s</w:t>
      </w:r>
      <w:r w:rsidRPr="004E3E58" w:rsidR="004E3E58">
        <w:t xml:space="preserve"> for early detection</w:t>
      </w:r>
      <w:r w:rsidR="003B7C1C">
        <w:t xml:space="preserve"> of </w:t>
      </w:r>
      <w:r w:rsidR="00035F9A">
        <w:t>anom</w:t>
      </w:r>
      <w:r w:rsidR="0043571E">
        <w:t xml:space="preserve">alous or </w:t>
      </w:r>
      <w:r w:rsidR="003B7C1C">
        <w:t>malic</w:t>
      </w:r>
      <w:r w:rsidR="00035F9A">
        <w:t>ious activity</w:t>
      </w:r>
      <w:r w:rsidRPr="004E3E58" w:rsidR="004E3E58">
        <w:t>.</w:t>
      </w:r>
      <w:r>
        <w:rPr>
          <w:b/>
          <w:vertAlign w:val="superscript"/>
        </w:rPr>
        <w:footnoteReference w:id="38"/>
      </w:r>
      <w:r w:rsidRPr="004E3E58" w:rsidR="004E3E58">
        <w:t xml:space="preserve">  Otherwise,</w:t>
      </w:r>
      <w:r w:rsidR="00C03CD1">
        <w:t xml:space="preserve"> for example, </w:t>
      </w:r>
      <w:r w:rsidRPr="004E3E58" w:rsidR="004E3E58">
        <w:t xml:space="preserve">a compromised </w:t>
      </w:r>
      <w:r w:rsidR="00C03CD1">
        <w:t>EACMS</w:t>
      </w:r>
      <w:r w:rsidRPr="004E3E58" w:rsidR="004E3E58">
        <w:t xml:space="preserve"> grouping could provide an attacker with the opportunity to infiltrate other connected groups, such as BES Cyber System</w:t>
      </w:r>
      <w:r w:rsidR="002B4EF0">
        <w:t>s</w:t>
      </w:r>
      <w:r w:rsidRPr="004E3E58" w:rsidR="004E3E58">
        <w:t xml:space="preserve"> located within the electronic security perimeter, as an authenticated user or trusted communication.</w:t>
      </w:r>
      <w:r>
        <w:rPr>
          <w:b/>
          <w:bCs/>
          <w:vertAlign w:val="superscript"/>
        </w:rPr>
        <w:footnoteReference w:id="39"/>
      </w:r>
    </w:p>
    <w:p w:rsidR="005E442B" w:rsidRPr="004931BC" w:rsidP="00C24301" w14:paraId="1D363906" w14:textId="173D36CB">
      <w:pPr>
        <w:pStyle w:val="FERCparanumber"/>
      </w:pPr>
      <w:r w:rsidRPr="4D101CB5">
        <w:t xml:space="preserve">National Institute of Standards and Technology </w:t>
      </w:r>
      <w:r w:rsidRPr="4D101CB5" w:rsidR="00607506">
        <w:t>(NIST)</w:t>
      </w:r>
      <w:r w:rsidRPr="4D101CB5">
        <w:t xml:space="preserve"> guidance states </w:t>
      </w:r>
      <w:r w:rsidRPr="4D101CB5" w:rsidR="00082F04">
        <w:t>that</w:t>
      </w:r>
      <w:r w:rsidRPr="4D101CB5">
        <w:t xml:space="preserve"> INSM monitoring needs to detect “[a]ny threat that is already inside of a network [that] can move laterally and remain undetected for days or even months.”</w:t>
      </w:r>
      <w:r>
        <w:rPr>
          <w:rStyle w:val="FootnoteReference"/>
        </w:rPr>
        <w:footnoteReference w:id="40"/>
      </w:r>
      <w:r w:rsidRPr="00954F0C">
        <w:rPr>
          <w:szCs w:val="26"/>
        </w:rPr>
        <w:t xml:space="preserve">  </w:t>
      </w:r>
      <w:r w:rsidRPr="4D101CB5" w:rsidR="00273C53">
        <w:t xml:space="preserve">According to the NIST </w:t>
      </w:r>
      <w:r w:rsidRPr="4D101CB5" w:rsidR="003A6506">
        <w:t>guidance, e</w:t>
      </w:r>
      <w:r w:rsidRPr="4D101CB5">
        <w:t xml:space="preserve">ast-west </w:t>
      </w:r>
      <w:r w:rsidR="003A0B58">
        <w:t xml:space="preserve">(lateral) </w:t>
      </w:r>
      <w:r w:rsidRPr="4D101CB5">
        <w:t>monitoring (i.e., INSM) improves the probability of detection for malicious or anomalous activity and should not be isolated to only the most critical trust zones.</w:t>
      </w:r>
      <w:r>
        <w:rPr>
          <w:rStyle w:val="FootnoteReference"/>
        </w:rPr>
        <w:footnoteReference w:id="41"/>
      </w:r>
      <w:r w:rsidRPr="00954F0C">
        <w:rPr>
          <w:szCs w:val="26"/>
        </w:rPr>
        <w:t xml:space="preserve">  </w:t>
      </w:r>
      <w:r w:rsidR="00BC4979">
        <w:rPr>
          <w:szCs w:val="26"/>
        </w:rPr>
        <w:t xml:space="preserve">While </w:t>
      </w:r>
      <w:r w:rsidR="00744FCA">
        <w:rPr>
          <w:szCs w:val="26"/>
        </w:rPr>
        <w:t xml:space="preserve">the terminology of </w:t>
      </w:r>
      <w:r w:rsidR="00A73B4B">
        <w:rPr>
          <w:szCs w:val="26"/>
        </w:rPr>
        <w:t xml:space="preserve">EACMS and PACS is unique to </w:t>
      </w:r>
      <w:r w:rsidR="00510F0E">
        <w:rPr>
          <w:szCs w:val="26"/>
        </w:rPr>
        <w:t xml:space="preserve">the </w:t>
      </w:r>
      <w:r w:rsidR="00A73B4B">
        <w:rPr>
          <w:szCs w:val="26"/>
        </w:rPr>
        <w:t xml:space="preserve">CIP Reliability Standards, </w:t>
      </w:r>
      <w:r w:rsidR="00A73B4B">
        <w:t>t</w:t>
      </w:r>
      <w:r w:rsidRPr="4D101CB5" w:rsidR="55FDC0F1">
        <w:t>hese</w:t>
      </w:r>
      <w:r w:rsidRPr="4D101CB5" w:rsidR="39AEBDB8">
        <w:t xml:space="preserve"> statement</w:t>
      </w:r>
      <w:r w:rsidRPr="4D101CB5" w:rsidR="707DB533">
        <w:t>s</w:t>
      </w:r>
      <w:r w:rsidRPr="4D101CB5" w:rsidR="009B481B">
        <w:t xml:space="preserve"> from NIST broadly include</w:t>
      </w:r>
      <w:r w:rsidRPr="4D101CB5" w:rsidR="00743B93">
        <w:t xml:space="preserve"> the concepts of EACMS and PACS</w:t>
      </w:r>
      <w:r w:rsidRPr="4D101CB5" w:rsidR="008B5AD1">
        <w:t xml:space="preserve"> and support the need for </w:t>
      </w:r>
      <w:r w:rsidRPr="4D101CB5" w:rsidR="00F61745">
        <w:t>monitoring</w:t>
      </w:r>
      <w:r w:rsidR="00AD4627">
        <w:rPr>
          <w:szCs w:val="26"/>
        </w:rPr>
        <w:t>.</w:t>
      </w:r>
    </w:p>
    <w:p w:rsidR="004D5DB2" w:rsidP="003C4374" w14:paraId="61C4E8A7" w14:textId="2708118E">
      <w:pPr>
        <w:pStyle w:val="FERCparanumber"/>
        <w:rPr>
          <w:szCs w:val="26"/>
        </w:rPr>
      </w:pPr>
      <w:r w:rsidRPr="003C4374">
        <w:rPr>
          <w:szCs w:val="26"/>
        </w:rPr>
        <w:t xml:space="preserve">Further, </w:t>
      </w:r>
      <w:r w:rsidR="00071E4B">
        <w:rPr>
          <w:szCs w:val="26"/>
        </w:rPr>
        <w:t xml:space="preserve">we find NERC’s </w:t>
      </w:r>
      <w:r w:rsidRPr="003C4374" w:rsidR="00C955E8">
        <w:rPr>
          <w:szCs w:val="26"/>
        </w:rPr>
        <w:t>rationale</w:t>
      </w:r>
      <w:r w:rsidRPr="003C4374" w:rsidR="004A132F">
        <w:rPr>
          <w:szCs w:val="26"/>
        </w:rPr>
        <w:t xml:space="preserve"> for limiting</w:t>
      </w:r>
      <w:r w:rsidRPr="003C4374" w:rsidR="0078525E">
        <w:rPr>
          <w:szCs w:val="26"/>
        </w:rPr>
        <w:t xml:space="preserve"> INSM</w:t>
      </w:r>
      <w:r w:rsidRPr="003C4374" w:rsidR="00A05BE5">
        <w:rPr>
          <w:szCs w:val="26"/>
        </w:rPr>
        <w:t xml:space="preserve"> to within the electronic security perimeter</w:t>
      </w:r>
      <w:r w:rsidR="00E031E9">
        <w:rPr>
          <w:szCs w:val="26"/>
        </w:rPr>
        <w:t xml:space="preserve"> unpersuasive</w:t>
      </w:r>
      <w:r w:rsidRPr="003C4374" w:rsidR="00B854C6">
        <w:rPr>
          <w:szCs w:val="26"/>
        </w:rPr>
        <w:t xml:space="preserve">.  </w:t>
      </w:r>
      <w:r w:rsidR="00421A99">
        <w:rPr>
          <w:szCs w:val="26"/>
        </w:rPr>
        <w:t xml:space="preserve">First, </w:t>
      </w:r>
      <w:r w:rsidR="00D13E23">
        <w:rPr>
          <w:szCs w:val="26"/>
        </w:rPr>
        <w:t xml:space="preserve">NERC contends </w:t>
      </w:r>
      <w:r w:rsidR="00501D5C">
        <w:rPr>
          <w:szCs w:val="26"/>
        </w:rPr>
        <w:t xml:space="preserve">that the devices </w:t>
      </w:r>
      <w:r w:rsidR="0054352B">
        <w:rPr>
          <w:szCs w:val="26"/>
        </w:rPr>
        <w:t>supporting reliable operation are contained within the electronic security perimeter</w:t>
      </w:r>
      <w:r w:rsidR="00992031">
        <w:rPr>
          <w:szCs w:val="26"/>
        </w:rPr>
        <w:t xml:space="preserve"> </w:t>
      </w:r>
      <w:r w:rsidR="00D64259">
        <w:rPr>
          <w:szCs w:val="26"/>
        </w:rPr>
        <w:t>and thus</w:t>
      </w:r>
      <w:r w:rsidR="005C5B59">
        <w:rPr>
          <w:szCs w:val="26"/>
        </w:rPr>
        <w:t xml:space="preserve"> </w:t>
      </w:r>
      <w:r w:rsidR="009C25C9">
        <w:rPr>
          <w:szCs w:val="26"/>
        </w:rPr>
        <w:t xml:space="preserve">industry resources </w:t>
      </w:r>
      <w:r w:rsidR="004554E2">
        <w:rPr>
          <w:szCs w:val="26"/>
        </w:rPr>
        <w:t xml:space="preserve">are most effectively focused on </w:t>
      </w:r>
      <w:r w:rsidR="00DB71CC">
        <w:rPr>
          <w:szCs w:val="26"/>
        </w:rPr>
        <w:t>data flows within the electronic security perimeter</w:t>
      </w:r>
      <w:r w:rsidR="0054352B">
        <w:rPr>
          <w:szCs w:val="26"/>
        </w:rPr>
        <w:t>.</w:t>
      </w:r>
      <w:r>
        <w:rPr>
          <w:rStyle w:val="FootnoteReference"/>
          <w:szCs w:val="26"/>
        </w:rPr>
        <w:footnoteReference w:id="42"/>
      </w:r>
      <w:r w:rsidR="00AE0884">
        <w:rPr>
          <w:szCs w:val="26"/>
        </w:rPr>
        <w:t xml:space="preserve"> </w:t>
      </w:r>
      <w:r w:rsidR="00CC6143">
        <w:rPr>
          <w:szCs w:val="26"/>
        </w:rPr>
        <w:t xml:space="preserve"> We disagree. </w:t>
      </w:r>
      <w:r w:rsidR="008E115A">
        <w:rPr>
          <w:szCs w:val="26"/>
        </w:rPr>
        <w:t xml:space="preserve"> </w:t>
      </w:r>
      <w:r w:rsidR="00CC6143">
        <w:rPr>
          <w:szCs w:val="26"/>
        </w:rPr>
        <w:t xml:space="preserve">While the devices </w:t>
      </w:r>
      <w:r w:rsidRPr="00A66107" w:rsidR="00CC6143">
        <w:rPr>
          <w:i/>
          <w:iCs/>
          <w:szCs w:val="26"/>
        </w:rPr>
        <w:t>directly</w:t>
      </w:r>
      <w:r w:rsidR="00CC6143">
        <w:rPr>
          <w:szCs w:val="26"/>
        </w:rPr>
        <w:t xml:space="preserve"> supporting the reliable operation of the </w:t>
      </w:r>
      <w:r w:rsidR="00266581">
        <w:rPr>
          <w:szCs w:val="26"/>
        </w:rPr>
        <w:t xml:space="preserve">Bulk-Power System </w:t>
      </w:r>
      <w:r w:rsidR="009C387A">
        <w:rPr>
          <w:szCs w:val="26"/>
        </w:rPr>
        <w:t xml:space="preserve">are </w:t>
      </w:r>
      <w:r w:rsidR="009A4530">
        <w:rPr>
          <w:szCs w:val="26"/>
        </w:rPr>
        <w:t xml:space="preserve">located </w:t>
      </w:r>
      <w:r w:rsidR="009C387A">
        <w:rPr>
          <w:szCs w:val="26"/>
        </w:rPr>
        <w:t>within the electronic security perimeter</w:t>
      </w:r>
      <w:r w:rsidR="00B16AD6">
        <w:rPr>
          <w:szCs w:val="26"/>
        </w:rPr>
        <w:t xml:space="preserve">, </w:t>
      </w:r>
      <w:r w:rsidR="00C90B3C">
        <w:rPr>
          <w:szCs w:val="26"/>
        </w:rPr>
        <w:t>attacks that</w:t>
      </w:r>
      <w:r w:rsidR="00924669">
        <w:rPr>
          <w:szCs w:val="26"/>
        </w:rPr>
        <w:t xml:space="preserve"> </w:t>
      </w:r>
      <w:r w:rsidR="008A0730">
        <w:rPr>
          <w:szCs w:val="26"/>
        </w:rPr>
        <w:t xml:space="preserve">threaten reliability can still </w:t>
      </w:r>
      <w:r w:rsidRPr="008762B0" w:rsidR="008762B0">
        <w:rPr>
          <w:szCs w:val="26"/>
        </w:rPr>
        <w:t>emanate</w:t>
      </w:r>
      <w:r w:rsidR="008762B0">
        <w:rPr>
          <w:szCs w:val="26"/>
        </w:rPr>
        <w:t xml:space="preserve"> </w:t>
      </w:r>
      <w:r w:rsidR="00924669">
        <w:rPr>
          <w:szCs w:val="26"/>
        </w:rPr>
        <w:t xml:space="preserve">from </w:t>
      </w:r>
      <w:r w:rsidR="00813402">
        <w:rPr>
          <w:szCs w:val="26"/>
        </w:rPr>
        <w:t>outside the electronic security perimeter</w:t>
      </w:r>
      <w:r w:rsidR="00B010CC">
        <w:rPr>
          <w:szCs w:val="26"/>
        </w:rPr>
        <w:t xml:space="preserve"> from connected Cyber Assets, such as EACMS</w:t>
      </w:r>
      <w:r w:rsidR="00813402">
        <w:rPr>
          <w:szCs w:val="26"/>
        </w:rPr>
        <w:t>.</w:t>
      </w:r>
      <w:r>
        <w:rPr>
          <w:rStyle w:val="FootnoteReference"/>
          <w:szCs w:val="26"/>
        </w:rPr>
        <w:footnoteReference w:id="43"/>
      </w:r>
      <w:r w:rsidR="00813402">
        <w:rPr>
          <w:szCs w:val="26"/>
        </w:rPr>
        <w:t xml:space="preserve"> </w:t>
      </w:r>
    </w:p>
    <w:p w:rsidR="00BD0D0A" w:rsidRPr="00F15F06" w:rsidP="000C20CA" w14:paraId="0D1D0AEC" w14:textId="65440722">
      <w:pPr>
        <w:pStyle w:val="FERCparanumber"/>
      </w:pPr>
      <w:r w:rsidRPr="7F6C0901">
        <w:t>Second</w:t>
      </w:r>
      <w:r w:rsidRPr="7F6C0901" w:rsidR="0054336E">
        <w:t xml:space="preserve">, NERC avers that </w:t>
      </w:r>
      <w:r w:rsidRPr="7F6C0901" w:rsidR="00B72DCF">
        <w:t xml:space="preserve">requiring INSM implementation outside the electronic security perimeter </w:t>
      </w:r>
      <w:r w:rsidRPr="7F6C0901" w:rsidR="001911AC">
        <w:t xml:space="preserve">could have the unintended effect of impeding an entity’s ability to detect and </w:t>
      </w:r>
      <w:r w:rsidRPr="7F6C0901" w:rsidR="00BB3271">
        <w:t>respond to threa</w:t>
      </w:r>
      <w:r w:rsidRPr="7F6C0901" w:rsidR="000036D0">
        <w:t>t</w:t>
      </w:r>
      <w:r w:rsidRPr="7F6C0901" w:rsidR="00BB3271">
        <w:t xml:space="preserve">s to their </w:t>
      </w:r>
      <w:r w:rsidRPr="7F6C0901" w:rsidR="0005229A">
        <w:t xml:space="preserve">most critical </w:t>
      </w:r>
      <w:r w:rsidRPr="7F6C0901" w:rsidR="00BB3271">
        <w:t>system</w:t>
      </w:r>
      <w:r w:rsidR="003316A7">
        <w:t>s</w:t>
      </w:r>
      <w:r w:rsidRPr="003C4374" w:rsidR="00BB3271">
        <w:rPr>
          <w:szCs w:val="26"/>
        </w:rPr>
        <w:t xml:space="preserve"> </w:t>
      </w:r>
      <w:r w:rsidR="00E15186">
        <w:t xml:space="preserve">due to </w:t>
      </w:r>
      <w:r w:rsidRPr="7F6C0901" w:rsidR="00BB3271">
        <w:t>alarm</w:t>
      </w:r>
      <w:r w:rsidRPr="7F6C0901" w:rsidR="003C416E">
        <w:t xml:space="preserve"> and </w:t>
      </w:r>
      <w:r w:rsidRPr="7F6C0901" w:rsidR="00BB3271">
        <w:t>alert fatigue</w:t>
      </w:r>
      <w:r w:rsidRPr="7F6C0901" w:rsidR="000D07B0">
        <w:t xml:space="preserve"> from large volumes of</w:t>
      </w:r>
      <w:r w:rsidRPr="7F6C0901" w:rsidR="0038650D">
        <w:t xml:space="preserve"> generated</w:t>
      </w:r>
      <w:r w:rsidRPr="7F6C0901" w:rsidR="000D07B0">
        <w:t xml:space="preserve"> data</w:t>
      </w:r>
      <w:r w:rsidRPr="003C4374" w:rsidR="00AE3FE0">
        <w:rPr>
          <w:szCs w:val="26"/>
        </w:rPr>
        <w:t>.</w:t>
      </w:r>
      <w:r>
        <w:rPr>
          <w:rStyle w:val="FootnoteReference"/>
        </w:rPr>
        <w:footnoteReference w:id="44"/>
      </w:r>
      <w:r w:rsidRPr="003C4374" w:rsidR="00AE3FE0">
        <w:rPr>
          <w:szCs w:val="26"/>
        </w:rPr>
        <w:t xml:space="preserve"> </w:t>
      </w:r>
      <w:r w:rsidRPr="003C4374" w:rsidR="00BB3271">
        <w:rPr>
          <w:szCs w:val="26"/>
        </w:rPr>
        <w:t xml:space="preserve"> </w:t>
      </w:r>
      <w:bookmarkStart w:id="11" w:name="_Hlk175133466"/>
      <w:r w:rsidRPr="00507AF6" w:rsidR="00507AF6">
        <w:rPr>
          <w:szCs w:val="26"/>
        </w:rPr>
        <w:t>Extending INSM implementation to include EACMS and PACS may generate large volumes of data</w:t>
      </w:r>
      <w:r w:rsidR="007246EB">
        <w:rPr>
          <w:szCs w:val="26"/>
        </w:rPr>
        <w:t>;</w:t>
      </w:r>
      <w:r>
        <w:rPr>
          <w:b/>
          <w:szCs w:val="26"/>
          <w:vertAlign w:val="superscript"/>
        </w:rPr>
        <w:footnoteReference w:id="45"/>
      </w:r>
      <w:r w:rsidRPr="00507AF6" w:rsidR="00507AF6">
        <w:rPr>
          <w:szCs w:val="26"/>
        </w:rPr>
        <w:t xml:space="preserve"> however</w:t>
      </w:r>
      <w:bookmarkEnd w:id="11"/>
      <w:r w:rsidRPr="00507AF6" w:rsidR="00507AF6">
        <w:rPr>
          <w:szCs w:val="26"/>
        </w:rPr>
        <w:t>,</w:t>
      </w:r>
      <w:r w:rsidR="00375657">
        <w:t xml:space="preserve"> </w:t>
      </w:r>
      <w:r w:rsidR="002B6DCE">
        <w:t xml:space="preserve">we </w:t>
      </w:r>
      <w:r w:rsidR="00E9038D">
        <w:t>believe that</w:t>
      </w:r>
      <w:r w:rsidR="00C7735F">
        <w:t xml:space="preserve"> </w:t>
      </w:r>
      <w:r w:rsidR="00F1268A">
        <w:t xml:space="preserve">the </w:t>
      </w:r>
      <w:r w:rsidR="001D2A74">
        <w:t>data can be managed and</w:t>
      </w:r>
      <w:r w:rsidR="009B0127">
        <w:t xml:space="preserve"> that</w:t>
      </w:r>
      <w:r w:rsidR="00375657">
        <w:t xml:space="preserve"> the security benefits of implementing INSM outside the electronic security perimeter outweigh the burden associated with increased </w:t>
      </w:r>
      <w:r w:rsidR="00CF73B2">
        <w:t>volumes of data.</w:t>
      </w:r>
      <w:r w:rsidR="00375657">
        <w:t xml:space="preserve"> </w:t>
      </w:r>
      <w:r w:rsidR="006F46F9">
        <w:t xml:space="preserve"> </w:t>
      </w:r>
      <w:r w:rsidR="00DF1283">
        <w:t>Defining inc</w:t>
      </w:r>
      <w:r w:rsidR="00C2290C">
        <w:t>ident alerting thresholds and e</w:t>
      </w:r>
      <w:r w:rsidRPr="009B08DC" w:rsidR="009B0127">
        <w:t>stablishing a baseline for normal network activity can reduc</w:t>
      </w:r>
      <w:r w:rsidR="00EC10EB">
        <w:t>e</w:t>
      </w:r>
      <w:r w:rsidRPr="009B08DC" w:rsidR="009B0127">
        <w:t xml:space="preserve"> the potential for alarm and alert fatigue.</w:t>
      </w:r>
      <w:r>
        <w:rPr>
          <w:b/>
          <w:vertAlign w:val="superscript"/>
        </w:rPr>
        <w:footnoteReference w:id="46"/>
      </w:r>
      <w:r w:rsidR="002A6F9A">
        <w:t xml:space="preserve"> </w:t>
      </w:r>
      <w:r w:rsidR="00CF73B2">
        <w:t xml:space="preserve"> </w:t>
      </w:r>
      <w:r w:rsidR="009B0127">
        <w:t>R</w:t>
      </w:r>
      <w:r w:rsidRPr="7F6C0901" w:rsidR="00FC12B1">
        <w:t>estrict</w:t>
      </w:r>
      <w:r w:rsidRPr="7F6C0901" w:rsidR="00457C46">
        <w:t>ing</w:t>
      </w:r>
      <w:r w:rsidRPr="7F6C0901" w:rsidR="00FC12B1">
        <w:t xml:space="preserve"> INSM to</w:t>
      </w:r>
      <w:r w:rsidRPr="7F6C0901" w:rsidR="00AB4AB0">
        <w:t xml:space="preserve"> the</w:t>
      </w:r>
      <w:r w:rsidRPr="7F6C0901" w:rsidR="0062029F">
        <w:t xml:space="preserve"> </w:t>
      </w:r>
      <w:r w:rsidR="006200E9">
        <w:t xml:space="preserve">assets within the </w:t>
      </w:r>
      <w:r w:rsidRPr="7F6C0901" w:rsidR="0062029F">
        <w:t>electronic security perimeter</w:t>
      </w:r>
      <w:r w:rsidRPr="003C4374" w:rsidR="0062029F">
        <w:rPr>
          <w:szCs w:val="26"/>
        </w:rPr>
        <w:t xml:space="preserve"> </w:t>
      </w:r>
      <w:r w:rsidRPr="7F6C0901" w:rsidR="00FC12B1">
        <w:t>could leave</w:t>
      </w:r>
      <w:r w:rsidRPr="003C4374" w:rsidR="00457C46">
        <w:rPr>
          <w:szCs w:val="26"/>
        </w:rPr>
        <w:t xml:space="preserve"> </w:t>
      </w:r>
      <w:r w:rsidRPr="7F6C0901" w:rsidR="005214DA">
        <w:t>the most critical networks vulnerable to an attack from outside the electronic security</w:t>
      </w:r>
      <w:r w:rsidRPr="7F6C0901" w:rsidR="008F3B0B">
        <w:t xml:space="preserve"> perimeter</w:t>
      </w:r>
      <w:r w:rsidR="002A6F9A">
        <w:t>.  Assets such as</w:t>
      </w:r>
      <w:r w:rsidRPr="7F6C0901" w:rsidR="0062029F">
        <w:t xml:space="preserve"> EACMS</w:t>
      </w:r>
      <w:r w:rsidRPr="003C4374" w:rsidR="0062029F">
        <w:rPr>
          <w:szCs w:val="26"/>
        </w:rPr>
        <w:t xml:space="preserve"> </w:t>
      </w:r>
      <w:r w:rsidRPr="7F6C0901" w:rsidR="00216561">
        <w:t xml:space="preserve">are </w:t>
      </w:r>
      <w:r w:rsidRPr="7F6C0901" w:rsidR="0062029F">
        <w:t>high value target</w:t>
      </w:r>
      <w:r w:rsidR="002A6F9A">
        <w:t>s</w:t>
      </w:r>
      <w:r w:rsidRPr="7F6C0901" w:rsidR="0062029F">
        <w:t xml:space="preserve"> for an attack</w:t>
      </w:r>
      <w:r w:rsidR="002E47A9">
        <w:t xml:space="preserve"> </w:t>
      </w:r>
      <w:r w:rsidR="00BE6F8E">
        <w:t>because if successful</w:t>
      </w:r>
      <w:r w:rsidR="00860856">
        <w:t xml:space="preserve">ly compromised, </w:t>
      </w:r>
      <w:r w:rsidR="00DC07DD">
        <w:t>EACMS would allow an attacker to</w:t>
      </w:r>
      <w:r w:rsidRPr="003C4374" w:rsidR="002E47A9">
        <w:rPr>
          <w:szCs w:val="26"/>
        </w:rPr>
        <w:t xml:space="preserve"> </w:t>
      </w:r>
      <w:r w:rsidR="002E47A9">
        <w:t>infiltrate the perimeter as a trusted communication</w:t>
      </w:r>
      <w:r w:rsidRPr="003C4374" w:rsidR="0062029F">
        <w:rPr>
          <w:szCs w:val="26"/>
        </w:rPr>
        <w:t>.</w:t>
      </w:r>
      <w:r>
        <w:rPr>
          <w:rStyle w:val="FootnoteReference"/>
        </w:rPr>
        <w:footnoteReference w:id="47"/>
      </w:r>
      <w:r w:rsidRPr="003C4374" w:rsidR="00903082">
        <w:rPr>
          <w:szCs w:val="26"/>
        </w:rPr>
        <w:t xml:space="preserve"> </w:t>
      </w:r>
      <w:r w:rsidRPr="7F6C0901" w:rsidR="003A4DDD">
        <w:t xml:space="preserve"> Further, </w:t>
      </w:r>
      <w:r w:rsidR="006B6FBD">
        <w:t>declining to extend</w:t>
      </w:r>
      <w:r w:rsidR="00DF15D2">
        <w:t xml:space="preserve"> INSM implementation to EACMS and PACS outside the electronic security perimeter</w:t>
      </w:r>
      <w:r w:rsidR="006B6FBD">
        <w:t xml:space="preserve"> </w:t>
      </w:r>
      <w:r w:rsidR="000903A8">
        <w:t>leaves</w:t>
      </w:r>
      <w:r w:rsidR="006B6FBD">
        <w:t xml:space="preserve"> a </w:t>
      </w:r>
      <w:r w:rsidR="00061C96">
        <w:t xml:space="preserve">reliability gap </w:t>
      </w:r>
      <w:r w:rsidR="00357C27">
        <w:t xml:space="preserve">because </w:t>
      </w:r>
      <w:r w:rsidR="00FD5F0E">
        <w:t>responsib</w:t>
      </w:r>
      <w:r w:rsidR="002670D5">
        <w:t xml:space="preserve">le entities will lack visibility </w:t>
      </w:r>
      <w:r w:rsidRPr="00081C9C" w:rsidR="00081C9C">
        <w:t>into the high percentage of east-west traffic that occurs within the CIP-networked environment.</w:t>
      </w:r>
      <w:r>
        <w:rPr>
          <w:b/>
          <w:vertAlign w:val="superscript"/>
        </w:rPr>
        <w:footnoteReference w:id="48"/>
      </w:r>
      <w:r w:rsidRPr="00081C9C" w:rsidR="00081C9C">
        <w:t xml:space="preserve"> </w:t>
      </w:r>
      <w:r w:rsidR="00ED3B05">
        <w:t xml:space="preserve"> </w:t>
      </w:r>
      <w:r w:rsidR="003A4DDD">
        <w:t xml:space="preserve">Monitoring and alerting of east-west traffic enables quicker detection of </w:t>
      </w:r>
      <w:r w:rsidR="00701A47">
        <w:t>malicious</w:t>
      </w:r>
      <w:r w:rsidR="003A4DDD">
        <w:t xml:space="preserve"> communications, minimizing potential harmful effects.</w:t>
      </w:r>
      <w:r>
        <w:rPr>
          <w:rStyle w:val="FootnoteReference"/>
        </w:rPr>
        <w:footnoteReference w:id="49"/>
      </w:r>
      <w:r w:rsidR="003A4DDD">
        <w:t xml:space="preserve">  Additionally, the collected data serves as invaluable forensic evidence in the event of an attempted or successful compromise of the CIP-networked environment.</w:t>
      </w:r>
      <w:r w:rsidR="009B08DC">
        <w:t xml:space="preserve">  </w:t>
      </w:r>
    </w:p>
    <w:p w:rsidR="00F821BA" w:rsidP="00F821BA" w14:paraId="20E149FE" w14:textId="4017999E">
      <w:pPr>
        <w:pStyle w:val="FERCparanumber"/>
      </w:pPr>
      <w:r>
        <w:t>Third</w:t>
      </w:r>
      <w:r w:rsidR="000C25BB">
        <w:t>, NERC assert</w:t>
      </w:r>
      <w:r w:rsidR="0026714D">
        <w:t>s</w:t>
      </w:r>
      <w:r w:rsidR="000C25BB">
        <w:t xml:space="preserve"> that </w:t>
      </w:r>
      <w:r w:rsidR="005C243F">
        <w:t xml:space="preserve">requiring INSM implementation outside the electronic security perimeter </w:t>
      </w:r>
      <w:r w:rsidR="001907C9">
        <w:t>would</w:t>
      </w:r>
      <w:r w:rsidRPr="00F15F06" w:rsidR="00B72DCF">
        <w:rPr>
          <w:szCs w:val="26"/>
        </w:rPr>
        <w:t xml:space="preserve"> not promote security and reliability inside the CIP-networked environment</w:t>
      </w:r>
      <w:r w:rsidRPr="00F15F06" w:rsidR="00822079">
        <w:rPr>
          <w:szCs w:val="26"/>
        </w:rPr>
        <w:t xml:space="preserve"> </w:t>
      </w:r>
      <w:r w:rsidRPr="00F15F06" w:rsidR="00C76156">
        <w:rPr>
          <w:szCs w:val="26"/>
        </w:rPr>
        <w:t>or that the cost of doing so would outweigh associated benefits</w:t>
      </w:r>
      <w:r w:rsidR="005E6F38">
        <w:rPr>
          <w:szCs w:val="26"/>
        </w:rPr>
        <w:t>.</w:t>
      </w:r>
      <w:r>
        <w:rPr>
          <w:rStyle w:val="FootnoteReference"/>
          <w:szCs w:val="26"/>
        </w:rPr>
        <w:footnoteReference w:id="50"/>
      </w:r>
      <w:r w:rsidRPr="00F15F06" w:rsidR="0054336E">
        <w:rPr>
          <w:szCs w:val="26"/>
        </w:rPr>
        <w:t xml:space="preserve">  </w:t>
      </w:r>
      <w:r w:rsidR="002B6DCE">
        <w:rPr>
          <w:szCs w:val="26"/>
        </w:rPr>
        <w:t xml:space="preserve">We disagree. </w:t>
      </w:r>
      <w:r w:rsidRPr="00F15F06" w:rsidR="00954F0C">
        <w:rPr>
          <w:szCs w:val="26"/>
        </w:rPr>
        <w:t xml:space="preserve"> EACMS and PACS are integral to the effective operation of BES Cyber Systems within the electronic security perimeter in providing services, such as centralized authentication, authorization, and monitoring, and serving as the access point to the electronic security perimeter.</w:t>
      </w:r>
      <w:r>
        <w:rPr>
          <w:b/>
          <w:vertAlign w:val="superscript"/>
        </w:rPr>
        <w:footnoteReference w:id="51"/>
      </w:r>
      <w:r w:rsidRPr="00F15F06" w:rsidR="00954F0C">
        <w:rPr>
          <w:szCs w:val="26"/>
        </w:rPr>
        <w:t xml:space="preserve">  These </w:t>
      </w:r>
      <w:r w:rsidR="007F43AE">
        <w:rPr>
          <w:szCs w:val="26"/>
        </w:rPr>
        <w:t>assets</w:t>
      </w:r>
      <w:r w:rsidRPr="00F15F06" w:rsidR="007F43AE">
        <w:rPr>
          <w:szCs w:val="26"/>
        </w:rPr>
        <w:t xml:space="preserve"> </w:t>
      </w:r>
      <w:r w:rsidRPr="00F15F06" w:rsidR="00954F0C">
        <w:rPr>
          <w:szCs w:val="26"/>
        </w:rPr>
        <w:t>are valued targets for an attacker and illustrate the need for a defense-in-depth strategy for cybersecurity.</w:t>
      </w:r>
      <w:r>
        <w:rPr>
          <w:b/>
          <w:vertAlign w:val="superscript"/>
        </w:rPr>
        <w:footnoteReference w:id="52"/>
      </w:r>
      <w:r w:rsidRPr="00F15F06" w:rsidR="00954F0C">
        <w:rPr>
          <w:szCs w:val="26"/>
        </w:rPr>
        <w:t xml:space="preserve">  Implementing INSM </w:t>
      </w:r>
      <w:r w:rsidRPr="00F15F06" w:rsidR="00C85B49">
        <w:rPr>
          <w:szCs w:val="26"/>
        </w:rPr>
        <w:t xml:space="preserve">outside </w:t>
      </w:r>
      <w:r w:rsidRPr="00F15F06" w:rsidR="00954F0C">
        <w:rPr>
          <w:szCs w:val="26"/>
        </w:rPr>
        <w:t>the electronic security perimeter provides significant benefits in monitoring, detecting, and collecting malicious code or anomalous activity from attackers moving east-west within the EACMS or PACS network segments of the CIP-networked environment</w:t>
      </w:r>
      <w:r w:rsidRPr="00F15F06" w:rsidR="00D97D5B">
        <w:rPr>
          <w:szCs w:val="26"/>
        </w:rPr>
        <w:t xml:space="preserve"> and is</w:t>
      </w:r>
      <w:r w:rsidRPr="00F15F06" w:rsidR="004031EE">
        <w:rPr>
          <w:szCs w:val="26"/>
        </w:rPr>
        <w:t xml:space="preserve"> a</w:t>
      </w:r>
      <w:r w:rsidRPr="00F15F06" w:rsidR="00D97D5B">
        <w:rPr>
          <w:szCs w:val="26"/>
        </w:rPr>
        <w:t xml:space="preserve"> fundamental cybersec</w:t>
      </w:r>
      <w:r w:rsidRPr="00F15F06" w:rsidR="00B60A7B">
        <w:rPr>
          <w:szCs w:val="26"/>
        </w:rPr>
        <w:t xml:space="preserve">urity </w:t>
      </w:r>
      <w:r w:rsidRPr="00F15F06" w:rsidR="00634DF5">
        <w:rPr>
          <w:szCs w:val="26"/>
        </w:rPr>
        <w:t>practice</w:t>
      </w:r>
      <w:r w:rsidRPr="00F15F06" w:rsidR="00954F0C">
        <w:rPr>
          <w:szCs w:val="26"/>
        </w:rPr>
        <w:t>.</w:t>
      </w:r>
      <w:r>
        <w:rPr>
          <w:rStyle w:val="FootnoteReference"/>
          <w:szCs w:val="26"/>
        </w:rPr>
        <w:footnoteReference w:id="53"/>
      </w:r>
      <w:r w:rsidRPr="00F15F06" w:rsidR="00954F0C">
        <w:rPr>
          <w:szCs w:val="26"/>
        </w:rPr>
        <w:t xml:space="preserve"> </w:t>
      </w:r>
    </w:p>
    <w:p w:rsidR="00F821BA" w:rsidRPr="006A69D4" w:rsidP="00AC7671" w14:paraId="5C7A6AAE" w14:textId="06C52DC0">
      <w:pPr>
        <w:pStyle w:val="Heading2"/>
      </w:pPr>
      <w:r>
        <w:t xml:space="preserve">Proposed Directive </w:t>
      </w:r>
    </w:p>
    <w:p w:rsidR="00F77886" w:rsidP="002D2A0E" w14:paraId="22583D92" w14:textId="0952895F">
      <w:pPr>
        <w:pStyle w:val="FERCparanumber"/>
      </w:pPr>
      <w:r>
        <w:rPr>
          <w:szCs w:val="26"/>
        </w:rPr>
        <w:t>P</w:t>
      </w:r>
      <w:r w:rsidRPr="006A69D4" w:rsidR="00954F0C">
        <w:rPr>
          <w:szCs w:val="26"/>
        </w:rPr>
        <w:t>ursuant to section 215(d)(5) of the FPA, the Commission proposes</w:t>
      </w:r>
      <w:r w:rsidRPr="0061390C" w:rsidR="0061390C">
        <w:rPr>
          <w:szCs w:val="26"/>
        </w:rPr>
        <w:t xml:space="preserve"> </w:t>
      </w:r>
      <w:r w:rsidR="00954F0C">
        <w:t>to direct NERC</w:t>
      </w:r>
      <w:r w:rsidR="009B64FF">
        <w:t xml:space="preserve"> </w:t>
      </w:r>
      <w:r w:rsidR="00954F0C">
        <w:t xml:space="preserve">to develop modifications to proposed Reliability Standard CIP-015-1 </w:t>
      </w:r>
      <w:r w:rsidR="00AF5062">
        <w:t xml:space="preserve">that would </w:t>
      </w:r>
      <w:r w:rsidR="00954F0C">
        <w:t xml:space="preserve">extend INSM to </w:t>
      </w:r>
      <w:r w:rsidR="00841313">
        <w:t xml:space="preserve">include </w:t>
      </w:r>
      <w:r w:rsidR="00954F0C">
        <w:t xml:space="preserve">EACMS and PACS outside the electronic security perimeter.  We also propose directing NERC to submit the revised </w:t>
      </w:r>
      <w:r w:rsidR="009B3DA8">
        <w:t xml:space="preserve">Reliability </w:t>
      </w:r>
      <w:r w:rsidR="00954F0C">
        <w:t xml:space="preserve">Standard </w:t>
      </w:r>
      <w:r w:rsidR="00B5136C">
        <w:t xml:space="preserve">for Commission approval </w:t>
      </w:r>
      <w:r w:rsidR="0073001A">
        <w:t xml:space="preserve">within 12 months of the effective date of a final rule in this proceeding.  </w:t>
      </w:r>
      <w:r w:rsidR="00954F0C">
        <w:t>We seek comment on all aspects of this proposal.</w:t>
      </w:r>
      <w:r w:rsidRPr="004625E4" w:rsidR="004625E4">
        <w:t xml:space="preserve">   </w:t>
      </w:r>
    </w:p>
    <w:p w:rsidR="00E46F08" w:rsidRPr="00B61165" w:rsidP="00E46F08" w14:paraId="3275F3C0" w14:textId="77777777">
      <w:pPr>
        <w:pStyle w:val="Heading1"/>
      </w:pPr>
      <w:bookmarkStart w:id="12" w:name="_Toc172816933"/>
      <w:r w:rsidRPr="00B61165">
        <w:t>Information Collection Statement</w:t>
      </w:r>
      <w:bookmarkEnd w:id="12"/>
    </w:p>
    <w:p w:rsidR="00C76101" w:rsidP="00C76101" w14:paraId="76E8584E" w14:textId="504DEE95">
      <w:pPr>
        <w:pStyle w:val="FERCparanumber"/>
      </w:pPr>
      <w:r>
        <w:t xml:space="preserve">The FERC-725B information collection requirements are subject to review by the Office of Management and Budget (OMB) under section 3507(d) of the Paperwork 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3A70F0" w:rsidP="00FA35C9" w14:paraId="7D88F9A9" w14:textId="2659DBFB">
      <w:pPr>
        <w:pStyle w:val="FERCparanumber"/>
      </w:pPr>
      <w:r>
        <w:t>The Commission bases its paperwork burden estimates on the additional paperwork burden presented by the proposed revision to Reliability Standard CIP-015-1 as this is a new proposed Reliability Standard.  Reliability Standards are objective-based and allow entities to choose compliance approaches best tailored to their systems.  The NERC Compliance Registry, as of July 2024, identifies approximately 1,636 unique U.S. entities that are subject to mandatory compliance with CIP Reliability Standards.  Of this total, we estimate that 400 entities will face an increased paperwork burden under proposed Reliability Standard CIP-015-1.  Based on these assumptions, we estimate the following reporting burden:</w:t>
      </w:r>
    </w:p>
    <w:p w:rsidR="00486479" w:rsidP="00486479" w14:paraId="7B25A8F2" w14:textId="77777777">
      <w:pPr>
        <w:pStyle w:val="FERCparanumber"/>
        <w:numPr>
          <w:ilvl w:val="0"/>
          <w:numId w:val="0"/>
        </w:numPr>
      </w:pPr>
    </w:p>
    <w:p w:rsidR="00486479" w:rsidP="00486479" w14:paraId="7A926AF1" w14:textId="77777777">
      <w:pPr>
        <w:pStyle w:val="FERCparanumber"/>
        <w:numPr>
          <w:ilvl w:val="0"/>
          <w:numId w:val="0"/>
        </w:numPr>
      </w:pPr>
    </w:p>
    <w:p w:rsidR="00486479" w:rsidP="00486479" w14:paraId="57CD153B" w14:textId="77777777">
      <w:pPr>
        <w:pStyle w:val="FERCparanumber"/>
        <w:numPr>
          <w:ilvl w:val="0"/>
          <w:numId w:val="0"/>
        </w:numPr>
      </w:pPr>
    </w:p>
    <w:p w:rsidR="00486479" w:rsidP="00486479" w14:paraId="6C11716D" w14:textId="77777777">
      <w:pPr>
        <w:pStyle w:val="FERCparanumber"/>
        <w:numPr>
          <w:ilvl w:val="0"/>
          <w:numId w:val="0"/>
        </w:numPr>
      </w:pPr>
    </w:p>
    <w:p w:rsidR="00486479" w:rsidP="00AF2AD1" w14:paraId="3B9402CE" w14:textId="77777777">
      <w:pPr>
        <w:pStyle w:val="FERCparanumber"/>
        <w:numPr>
          <w:ilvl w:val="0"/>
          <w:numId w:val="0"/>
        </w:numPr>
      </w:pPr>
    </w:p>
    <w:tbl>
      <w:tblPr>
        <w:tblpPr w:leftFromText="187" w:rightFromText="187" w:horzAnchor="margin" w:tblpXSpec="center" w:tblpYSpec="top"/>
        <w:tblW w:w="11394" w:type="dxa"/>
        <w:tblCellMar>
          <w:top w:w="61" w:type="dxa"/>
          <w:left w:w="106" w:type="dxa"/>
          <w:bottom w:w="6" w:type="dxa"/>
          <w:right w:w="46" w:type="dxa"/>
        </w:tblCellMar>
        <w:tblLook w:val="04A0"/>
      </w:tblPr>
      <w:tblGrid>
        <w:gridCol w:w="1893"/>
        <w:gridCol w:w="1568"/>
        <w:gridCol w:w="1467"/>
        <w:gridCol w:w="1340"/>
        <w:gridCol w:w="2207"/>
        <w:gridCol w:w="1452"/>
        <w:gridCol w:w="1467"/>
      </w:tblGrid>
      <w:tr w14:paraId="506B55F7" w14:textId="77777777" w:rsidTr="000D6F84">
        <w:tblPrEx>
          <w:tblW w:w="11394" w:type="dxa"/>
          <w:tblCellMar>
            <w:top w:w="61" w:type="dxa"/>
            <w:left w:w="106" w:type="dxa"/>
            <w:bottom w:w="6" w:type="dxa"/>
            <w:right w:w="46" w:type="dxa"/>
          </w:tblCellMar>
          <w:tblLook w:val="04A0"/>
        </w:tblPrEx>
        <w:trPr>
          <w:trHeight w:val="379"/>
        </w:trPr>
        <w:tc>
          <w:tcPr>
            <w:tcW w:w="11394" w:type="dxa"/>
            <w:gridSpan w:val="7"/>
            <w:tcBorders>
              <w:top w:val="single" w:sz="4" w:space="0" w:color="000000"/>
              <w:left w:val="single" w:sz="4" w:space="0" w:color="000000"/>
              <w:bottom w:val="single" w:sz="4" w:space="0" w:color="000000"/>
              <w:right w:val="single" w:sz="4" w:space="0" w:color="000000"/>
            </w:tcBorders>
            <w:shd w:val="clear" w:color="auto" w:fill="D9D9D9"/>
          </w:tcPr>
          <w:p w:rsidR="003A70F0" w:rsidRPr="006B607D" w:rsidP="000D6F84" w14:paraId="534D1D56" w14:textId="4BA6B0FA">
            <w:pPr>
              <w:widowControl/>
              <w:spacing w:after="160" w:line="259" w:lineRule="auto"/>
              <w:jc w:val="center"/>
              <w:rPr>
                <w:rFonts w:eastAsia="Calibri"/>
                <w:kern w:val="2"/>
                <w:szCs w:val="26"/>
                <w14:ligatures w14:val="standardContextual"/>
              </w:rPr>
            </w:pPr>
            <w:r>
              <w:rPr>
                <w:rFonts w:eastAsia="Calibri"/>
                <w:b/>
                <w:kern w:val="2"/>
                <w:szCs w:val="26"/>
                <w14:ligatures w14:val="standardContextual"/>
              </w:rPr>
              <w:t>Annual Changes Proposed by the NOPR in Docket No.</w:t>
            </w:r>
            <w:r w:rsidRPr="006B607D">
              <w:rPr>
                <w:rFonts w:eastAsia="Calibri"/>
                <w:b/>
                <w:kern w:val="2"/>
                <w:szCs w:val="26"/>
                <w14:ligatures w14:val="standardContextual"/>
              </w:rPr>
              <w:t>RM24-7-000</w:t>
            </w:r>
            <w:r>
              <w:rPr>
                <w:rStyle w:val="FootnoteReference"/>
                <w:rFonts w:eastAsia="Calibri"/>
                <w:b w:val="0"/>
                <w:kern w:val="2"/>
                <w:szCs w:val="26"/>
                <w14:ligatures w14:val="standardContextual"/>
              </w:rPr>
              <w:footnoteReference w:id="54"/>
            </w:r>
            <w:r w:rsidRPr="006B607D">
              <w:rPr>
                <w:rFonts w:eastAsia="Calibri"/>
                <w:b/>
                <w:kern w:val="2"/>
                <w:szCs w:val="26"/>
                <w14:ligatures w14:val="standardContextual"/>
              </w:rPr>
              <w:t xml:space="preserve"> </w:t>
            </w:r>
          </w:p>
        </w:tc>
      </w:tr>
      <w:tr w14:paraId="0C3810BA" w14:textId="77777777" w:rsidTr="000D6F84">
        <w:tblPrEx>
          <w:tblW w:w="11394" w:type="dxa"/>
          <w:tblCellMar>
            <w:top w:w="61" w:type="dxa"/>
            <w:left w:w="106" w:type="dxa"/>
            <w:bottom w:w="6" w:type="dxa"/>
            <w:right w:w="46" w:type="dxa"/>
          </w:tblCellMar>
          <w:tblLook w:val="04A0"/>
        </w:tblPrEx>
        <w:trPr>
          <w:trHeight w:val="2404"/>
        </w:trPr>
        <w:tc>
          <w:tcPr>
            <w:tcW w:w="1893" w:type="dxa"/>
            <w:tcBorders>
              <w:top w:val="single" w:sz="4" w:space="0" w:color="000000"/>
              <w:left w:val="single" w:sz="4" w:space="0" w:color="000000"/>
              <w:bottom w:val="single" w:sz="4" w:space="0" w:color="000000"/>
              <w:right w:val="single" w:sz="4" w:space="0" w:color="000000"/>
            </w:tcBorders>
            <w:shd w:val="clear" w:color="auto" w:fill="D9D9D9"/>
          </w:tcPr>
          <w:p w:rsidR="003A70F0" w:rsidRPr="006B607D" w:rsidP="000D6F84" w14:paraId="40CDC9E2" w14:textId="77777777">
            <w:pPr>
              <w:widowControl/>
              <w:spacing w:after="160" w:line="259" w:lineRule="auto"/>
              <w:rPr>
                <w:rFonts w:eastAsia="Calibri"/>
                <w:kern w:val="2"/>
                <w:szCs w:val="26"/>
                <w14:ligatures w14:val="standardContextual"/>
              </w:rPr>
            </w:pP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A70F0" w:rsidRPr="006B607D" w:rsidP="000D6F84" w14:paraId="31C6C52F" w14:textId="3CA185D5">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Number of</w:t>
            </w:r>
          </w:p>
          <w:p w:rsidR="003A70F0" w:rsidRPr="006B607D" w:rsidP="000D6F84" w14:paraId="31876CFF"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Respondents</w:t>
            </w:r>
          </w:p>
          <w:p w:rsidR="003A70F0" w:rsidRPr="006B607D" w:rsidP="000D6F84" w14:paraId="336D5312"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(1)</w:t>
            </w:r>
          </w:p>
        </w:tc>
        <w:tc>
          <w:tcPr>
            <w:tcW w:w="146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A70F0" w:rsidRPr="006B607D" w:rsidP="000D6F84" w14:paraId="0418AA9E" w14:textId="1B98214F">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Annual</w:t>
            </w:r>
          </w:p>
          <w:p w:rsidR="003A70F0" w:rsidRPr="006B607D" w:rsidP="000D6F84" w14:paraId="4156110B" w14:textId="3642A0E0">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Number of</w:t>
            </w:r>
          </w:p>
          <w:p w:rsidR="003A70F0" w:rsidRPr="006B607D" w:rsidP="000D6F84" w14:paraId="1DD89BD4" w14:textId="35228EA9">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Responses per</w:t>
            </w:r>
          </w:p>
          <w:p w:rsidR="003A70F0" w:rsidRPr="006B607D" w:rsidP="000D6F84" w14:paraId="19DEDCC6"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Respondent</w:t>
            </w:r>
          </w:p>
          <w:p w:rsidR="003A70F0" w:rsidRPr="006B607D" w:rsidP="000D6F84" w14:paraId="15C859B8"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A70F0" w:rsidRPr="006B607D" w:rsidP="000D6F84" w14:paraId="4226ADC1" w14:textId="09C7C8B5">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Total</w:t>
            </w:r>
          </w:p>
          <w:p w:rsidR="003A70F0" w:rsidRPr="006B607D" w:rsidP="000D6F84" w14:paraId="60E48AA5" w14:textId="506B7D0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Number of</w:t>
            </w:r>
          </w:p>
          <w:p w:rsidR="003A70F0" w:rsidRPr="006B607D" w:rsidP="000D6F84" w14:paraId="3AA7CB5C" w14:textId="46A85500">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Responses</w:t>
            </w:r>
          </w:p>
          <w:p w:rsidR="003A70F0" w:rsidRPr="006B607D" w:rsidP="000D6F84" w14:paraId="52316615"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(1)*(2)=(3)</w:t>
            </w:r>
          </w:p>
        </w:tc>
        <w:tc>
          <w:tcPr>
            <w:tcW w:w="220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A70F0" w:rsidRPr="006B607D" w:rsidP="000D6F84" w14:paraId="4C260F6A" w14:textId="42D1CA93">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Average</w:t>
            </w:r>
          </w:p>
          <w:p w:rsidR="003A70F0" w:rsidRPr="006B607D" w:rsidP="000D6F84" w14:paraId="6B2A42E7" w14:textId="0555409F">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Burden &amp;</w:t>
            </w:r>
          </w:p>
          <w:p w:rsidR="003A70F0" w:rsidRPr="006B607D" w:rsidP="000D6F84" w14:paraId="4F557940" w14:textId="329CD7B9">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Cost Per</w:t>
            </w:r>
          </w:p>
          <w:p w:rsidR="003A70F0" w:rsidRPr="006B607D" w:rsidP="000D6F84" w14:paraId="1D19644B" w14:textId="7CCB9624">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Response</w:t>
            </w:r>
            <w:r>
              <w:rPr>
                <w:rFonts w:eastAsia="Calibri"/>
                <w:kern w:val="2"/>
                <w:szCs w:val="26"/>
                <w:vertAlign w:val="superscript"/>
                <w14:ligatures w14:val="standardContextual"/>
              </w:rPr>
              <w:footnoteReference w:id="55"/>
            </w:r>
          </w:p>
          <w:p w:rsidR="003A70F0" w:rsidRPr="006B607D" w:rsidP="000D6F84" w14:paraId="72295521"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(4)</w:t>
            </w:r>
          </w:p>
        </w:tc>
        <w:tc>
          <w:tcPr>
            <w:tcW w:w="1452" w:type="dxa"/>
            <w:tcBorders>
              <w:top w:val="single" w:sz="4" w:space="0" w:color="000000"/>
              <w:left w:val="single" w:sz="4" w:space="0" w:color="000000"/>
              <w:bottom w:val="single" w:sz="4" w:space="0" w:color="000000"/>
              <w:right w:val="single" w:sz="4" w:space="0" w:color="000000"/>
            </w:tcBorders>
            <w:shd w:val="clear" w:color="auto" w:fill="D9D9D9"/>
          </w:tcPr>
          <w:p w:rsidR="003A70F0" w:rsidRPr="006B607D" w:rsidP="000D6F84" w14:paraId="36B3C28F" w14:textId="460CA461">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Total</w:t>
            </w:r>
          </w:p>
          <w:p w:rsidR="003A70F0" w:rsidRPr="006B607D" w:rsidP="000D6F84" w14:paraId="293BAD42" w14:textId="6E0B04B6">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Annual</w:t>
            </w:r>
          </w:p>
          <w:p w:rsidR="003A70F0" w:rsidRPr="006B607D" w:rsidP="000D6F84" w14:paraId="7172977D" w14:textId="37C0B46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Burden</w:t>
            </w:r>
          </w:p>
          <w:p w:rsidR="003A70F0" w:rsidRPr="006B607D" w:rsidP="000D6F84" w14:paraId="542A806F" w14:textId="76D597AD">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Hours &amp;</w:t>
            </w:r>
          </w:p>
          <w:p w:rsidR="003A70F0" w:rsidRPr="006B607D" w:rsidP="000D6F84" w14:paraId="7D8DFD0F" w14:textId="7B28B3E4">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Total</w:t>
            </w:r>
          </w:p>
          <w:p w:rsidR="003A70F0" w:rsidRPr="006B607D" w:rsidP="000D6F84" w14:paraId="4B322761" w14:textId="638A2F55">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Annual</w:t>
            </w:r>
          </w:p>
          <w:p w:rsidR="003A70F0" w:rsidRPr="006B607D" w:rsidP="000D6F84" w14:paraId="5E1D82B0"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Cost</w:t>
            </w:r>
          </w:p>
          <w:p w:rsidR="003A70F0" w:rsidRPr="006B607D" w:rsidP="000D6F84" w14:paraId="2D2B7A99"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(3)*(4)=(5)</w:t>
            </w:r>
          </w:p>
        </w:tc>
        <w:tc>
          <w:tcPr>
            <w:tcW w:w="146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3A70F0" w:rsidRPr="006B607D" w:rsidP="000D6F84" w14:paraId="780AFF31" w14:textId="4746B34F">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Cost per</w:t>
            </w:r>
          </w:p>
          <w:p w:rsidR="003A70F0" w:rsidRPr="006B607D" w:rsidP="000D6F84" w14:paraId="58ED032B"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Respondent</w:t>
            </w:r>
          </w:p>
          <w:p w:rsidR="003A70F0" w:rsidRPr="006B607D" w:rsidP="000D6F84" w14:paraId="179F78F1"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w:t>
            </w:r>
          </w:p>
          <w:p w:rsidR="003A70F0" w:rsidRPr="006B607D" w:rsidP="000D6F84" w14:paraId="5BEF73BD" w14:textId="77777777">
            <w:pPr>
              <w:widowControl/>
              <w:contextualSpacing/>
              <w:jc w:val="center"/>
              <w:rPr>
                <w:rFonts w:eastAsia="Calibri"/>
                <w:kern w:val="2"/>
                <w:szCs w:val="26"/>
                <w14:ligatures w14:val="standardContextual"/>
              </w:rPr>
            </w:pPr>
            <w:r w:rsidRPr="006B607D">
              <w:rPr>
                <w:rFonts w:eastAsia="Calibri"/>
                <w:b/>
                <w:kern w:val="2"/>
                <w:szCs w:val="26"/>
                <w14:ligatures w14:val="standardContextual"/>
              </w:rPr>
              <w:t>(5)÷(1)</w:t>
            </w:r>
          </w:p>
        </w:tc>
      </w:tr>
      <w:tr w14:paraId="3AD48904" w14:textId="77777777" w:rsidTr="000D6F84">
        <w:tblPrEx>
          <w:tblW w:w="11394" w:type="dxa"/>
          <w:tblCellMar>
            <w:top w:w="61" w:type="dxa"/>
            <w:left w:w="106" w:type="dxa"/>
            <w:bottom w:w="6" w:type="dxa"/>
            <w:right w:w="46" w:type="dxa"/>
          </w:tblCellMar>
          <w:tblLook w:val="04A0"/>
        </w:tblPrEx>
        <w:trPr>
          <w:trHeight w:val="1207"/>
        </w:trPr>
        <w:tc>
          <w:tcPr>
            <w:tcW w:w="1893" w:type="dxa"/>
            <w:tcBorders>
              <w:top w:val="single" w:sz="4" w:space="0" w:color="000000"/>
              <w:left w:val="single" w:sz="4" w:space="0" w:color="000000"/>
              <w:bottom w:val="single" w:sz="4" w:space="0" w:color="000000"/>
              <w:right w:val="single" w:sz="4" w:space="0" w:color="000000"/>
            </w:tcBorders>
          </w:tcPr>
          <w:p w:rsidR="003A70F0" w:rsidRPr="006B607D" w:rsidP="000D6F84" w14:paraId="5DE654BC"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Create one or more documented process(es) (R1)</w:t>
            </w:r>
          </w:p>
        </w:tc>
        <w:tc>
          <w:tcPr>
            <w:tcW w:w="1568" w:type="dxa"/>
            <w:tcBorders>
              <w:top w:val="single" w:sz="4" w:space="0" w:color="000000"/>
              <w:left w:val="single" w:sz="4" w:space="0" w:color="000000"/>
              <w:bottom w:val="single" w:sz="4" w:space="0" w:color="000000"/>
              <w:right w:val="single" w:sz="4" w:space="0" w:color="000000"/>
            </w:tcBorders>
          </w:tcPr>
          <w:p w:rsidR="003A70F0" w:rsidRPr="006B607D" w:rsidP="000D6F84" w14:paraId="684D8DBB"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02432C2F"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1</w:t>
            </w:r>
          </w:p>
        </w:tc>
        <w:tc>
          <w:tcPr>
            <w:tcW w:w="1340" w:type="dxa"/>
            <w:tcBorders>
              <w:top w:val="single" w:sz="4" w:space="0" w:color="000000"/>
              <w:left w:val="single" w:sz="4" w:space="0" w:color="000000"/>
              <w:bottom w:val="single" w:sz="4" w:space="0" w:color="000000"/>
              <w:right w:val="single" w:sz="4" w:space="0" w:color="000000"/>
            </w:tcBorders>
          </w:tcPr>
          <w:p w:rsidR="003A70F0" w:rsidRPr="006B607D" w:rsidP="000D6F84" w14:paraId="6602B41B"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2207" w:type="dxa"/>
            <w:tcBorders>
              <w:top w:val="single" w:sz="4" w:space="0" w:color="000000"/>
              <w:left w:val="single" w:sz="4" w:space="0" w:color="000000"/>
              <w:bottom w:val="single" w:sz="4" w:space="0" w:color="000000"/>
              <w:right w:val="single" w:sz="4" w:space="0" w:color="000000"/>
            </w:tcBorders>
          </w:tcPr>
          <w:p w:rsidR="003A70F0" w:rsidRPr="006B607D" w:rsidP="000D6F84" w14:paraId="10C45006" w14:textId="1FDBAD32">
            <w:pPr>
              <w:widowControl/>
              <w:contextualSpacing/>
              <w:rPr>
                <w:rFonts w:eastAsia="Calibri"/>
                <w:kern w:val="2"/>
                <w:szCs w:val="26"/>
                <w14:ligatures w14:val="standardContextual"/>
              </w:rPr>
            </w:pPr>
            <w:r w:rsidRPr="006B607D">
              <w:rPr>
                <w:rFonts w:eastAsia="Calibri"/>
                <w:kern w:val="2"/>
                <w:szCs w:val="26"/>
                <w14:ligatures w14:val="standardContextual"/>
              </w:rPr>
              <w:t>40 hrs.</w:t>
            </w:r>
            <w:r w:rsidR="00137404">
              <w:rPr>
                <w:rFonts w:eastAsia="Calibri"/>
                <w:kern w:val="2"/>
                <w:szCs w:val="26"/>
                <w14:ligatures w14:val="standardContextual"/>
              </w:rPr>
              <w:t>;</w:t>
            </w:r>
          </w:p>
          <w:p w:rsidR="003A70F0" w:rsidRPr="006B607D" w:rsidP="000D6F84" w14:paraId="563EA2FC"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$3,880</w:t>
            </w:r>
          </w:p>
        </w:tc>
        <w:tc>
          <w:tcPr>
            <w:tcW w:w="1452" w:type="dxa"/>
            <w:tcBorders>
              <w:top w:val="single" w:sz="4" w:space="0" w:color="000000"/>
              <w:left w:val="single" w:sz="4" w:space="0" w:color="000000"/>
              <w:bottom w:val="single" w:sz="4" w:space="0" w:color="000000"/>
              <w:right w:val="single" w:sz="4" w:space="0" w:color="000000"/>
            </w:tcBorders>
          </w:tcPr>
          <w:p w:rsidR="003A70F0" w:rsidRPr="006B607D" w:rsidP="000D6F84" w14:paraId="3BFF8F37" w14:textId="61A0B1FD">
            <w:pPr>
              <w:widowControl/>
              <w:contextualSpacing/>
              <w:rPr>
                <w:rFonts w:eastAsia="Calibri"/>
                <w:kern w:val="2"/>
                <w:szCs w:val="26"/>
                <w14:ligatures w14:val="standardContextual"/>
              </w:rPr>
            </w:pPr>
            <w:r w:rsidRPr="006B607D">
              <w:rPr>
                <w:rFonts w:eastAsia="Calibri"/>
                <w:kern w:val="2"/>
                <w:szCs w:val="26"/>
                <w14:ligatures w14:val="standardContextual"/>
              </w:rPr>
              <w:t>16,000 hrs.</w:t>
            </w:r>
            <w:r w:rsidR="00137404">
              <w:rPr>
                <w:rFonts w:eastAsia="Calibri"/>
                <w:kern w:val="2"/>
                <w:szCs w:val="26"/>
                <w14:ligatures w14:val="standardContextual"/>
              </w:rPr>
              <w:t>;</w:t>
            </w:r>
          </w:p>
          <w:p w:rsidR="003A70F0" w:rsidRPr="006B607D" w:rsidP="000D6F84" w14:paraId="5625F983"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 xml:space="preserve">$1,552,000 </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09E1E9D7"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$3,880</w:t>
            </w:r>
          </w:p>
        </w:tc>
      </w:tr>
      <w:tr w14:paraId="2745E968" w14:textId="77777777" w:rsidTr="000D6F84">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left w:val="single" w:sz="4" w:space="0" w:color="000000"/>
              <w:bottom w:val="single" w:sz="4" w:space="0" w:color="000000"/>
              <w:right w:val="single" w:sz="4" w:space="0" w:color="000000"/>
            </w:tcBorders>
          </w:tcPr>
          <w:p w:rsidR="003A70F0" w:rsidRPr="006B607D" w:rsidP="000D6F84" w14:paraId="069922DE"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Create documentation detailing network data feed(s) and reason (R1.1)</w:t>
            </w:r>
          </w:p>
        </w:tc>
        <w:tc>
          <w:tcPr>
            <w:tcW w:w="1568" w:type="dxa"/>
            <w:tcBorders>
              <w:top w:val="single" w:sz="4" w:space="0" w:color="000000"/>
              <w:left w:val="single" w:sz="4" w:space="0" w:color="000000"/>
              <w:bottom w:val="single" w:sz="4" w:space="0" w:color="000000"/>
              <w:right w:val="single" w:sz="4" w:space="0" w:color="000000"/>
            </w:tcBorders>
          </w:tcPr>
          <w:p w:rsidR="003A70F0" w:rsidRPr="006B607D" w:rsidP="000D6F84" w14:paraId="3BDB4BE8"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66FBD207"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1</w:t>
            </w:r>
          </w:p>
        </w:tc>
        <w:tc>
          <w:tcPr>
            <w:tcW w:w="1340" w:type="dxa"/>
            <w:tcBorders>
              <w:top w:val="single" w:sz="4" w:space="0" w:color="000000"/>
              <w:left w:val="single" w:sz="4" w:space="0" w:color="000000"/>
              <w:bottom w:val="single" w:sz="4" w:space="0" w:color="000000"/>
              <w:right w:val="single" w:sz="4" w:space="0" w:color="000000"/>
            </w:tcBorders>
          </w:tcPr>
          <w:p w:rsidR="003A70F0" w:rsidRPr="006B607D" w:rsidP="000D6F84" w14:paraId="65B55312"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2207" w:type="dxa"/>
            <w:tcBorders>
              <w:top w:val="single" w:sz="4" w:space="0" w:color="000000"/>
              <w:left w:val="single" w:sz="4" w:space="0" w:color="000000"/>
              <w:bottom w:val="single" w:sz="4" w:space="0" w:color="000000"/>
              <w:right w:val="single" w:sz="4" w:space="0" w:color="000000"/>
            </w:tcBorders>
          </w:tcPr>
          <w:p w:rsidR="003A70F0" w:rsidRPr="006B607D" w:rsidP="000D6F84" w14:paraId="7840D564" w14:textId="2E024FD4">
            <w:pPr>
              <w:widowControl/>
              <w:contextualSpacing/>
              <w:rPr>
                <w:rFonts w:eastAsia="Calibri"/>
                <w:kern w:val="2"/>
                <w:szCs w:val="26"/>
                <w14:ligatures w14:val="standardContextual"/>
              </w:rPr>
            </w:pPr>
            <w:r w:rsidRPr="006B607D">
              <w:rPr>
                <w:rFonts w:eastAsia="Calibri"/>
                <w:kern w:val="2"/>
                <w:szCs w:val="26"/>
                <w14:ligatures w14:val="standardContextual"/>
              </w:rPr>
              <w:t>60 hrs.</w:t>
            </w:r>
            <w:r w:rsidR="00137404">
              <w:rPr>
                <w:rFonts w:eastAsia="Calibri"/>
                <w:kern w:val="2"/>
                <w:szCs w:val="26"/>
                <w14:ligatures w14:val="standardContextual"/>
              </w:rPr>
              <w:t>;</w:t>
            </w:r>
          </w:p>
          <w:p w:rsidR="003A70F0" w:rsidRPr="006B607D" w:rsidP="000D6F84" w14:paraId="6A476732"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$5,820</w:t>
            </w:r>
          </w:p>
        </w:tc>
        <w:tc>
          <w:tcPr>
            <w:tcW w:w="1452" w:type="dxa"/>
            <w:tcBorders>
              <w:top w:val="single" w:sz="4" w:space="0" w:color="000000"/>
              <w:left w:val="single" w:sz="4" w:space="0" w:color="000000"/>
              <w:bottom w:val="single" w:sz="4" w:space="0" w:color="000000"/>
              <w:right w:val="single" w:sz="4" w:space="0" w:color="000000"/>
            </w:tcBorders>
          </w:tcPr>
          <w:p w:rsidR="003A70F0" w:rsidRPr="006B607D" w:rsidP="000D6F84" w14:paraId="504ECB65" w14:textId="26C53BF0">
            <w:pPr>
              <w:widowControl/>
              <w:contextualSpacing/>
              <w:rPr>
                <w:rFonts w:eastAsia="Calibri"/>
                <w:kern w:val="2"/>
                <w:szCs w:val="26"/>
                <w14:ligatures w14:val="standardContextual"/>
              </w:rPr>
            </w:pPr>
            <w:r w:rsidRPr="006B607D">
              <w:rPr>
                <w:rFonts w:eastAsia="Calibri"/>
                <w:kern w:val="2"/>
                <w:szCs w:val="26"/>
                <w14:ligatures w14:val="standardContextual"/>
              </w:rPr>
              <w:t>24,000 hrs.</w:t>
            </w:r>
            <w:r w:rsidR="00137404">
              <w:rPr>
                <w:rFonts w:eastAsia="Calibri"/>
                <w:kern w:val="2"/>
                <w:szCs w:val="26"/>
                <w14:ligatures w14:val="standardContextual"/>
              </w:rPr>
              <w:t>;</w:t>
            </w:r>
          </w:p>
          <w:p w:rsidR="003A70F0" w:rsidRPr="006B607D" w:rsidP="000D6F84" w14:paraId="79DDC08C"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 xml:space="preserve">$2,328,000 </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4B30B96A"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$5,820</w:t>
            </w:r>
          </w:p>
        </w:tc>
      </w:tr>
      <w:tr w14:paraId="4B8FABE8" w14:textId="77777777" w:rsidTr="000D6F84">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left w:val="single" w:sz="4" w:space="0" w:color="000000"/>
              <w:bottom w:val="single" w:sz="4" w:space="0" w:color="000000"/>
              <w:right w:val="single" w:sz="4" w:space="0" w:color="000000"/>
            </w:tcBorders>
          </w:tcPr>
          <w:p w:rsidR="003A70F0" w:rsidRPr="006B607D" w:rsidP="000D6F84" w14:paraId="401802B6"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Create documentation of: anomalous events and baseline used to detect anomalous events (R1.2)</w:t>
            </w:r>
          </w:p>
        </w:tc>
        <w:tc>
          <w:tcPr>
            <w:tcW w:w="1568" w:type="dxa"/>
            <w:tcBorders>
              <w:top w:val="single" w:sz="4" w:space="0" w:color="000000"/>
              <w:left w:val="single" w:sz="4" w:space="0" w:color="000000"/>
              <w:bottom w:val="single" w:sz="4" w:space="0" w:color="000000"/>
              <w:right w:val="single" w:sz="4" w:space="0" w:color="000000"/>
            </w:tcBorders>
          </w:tcPr>
          <w:p w:rsidR="003A70F0" w:rsidRPr="006B607D" w:rsidP="000D6F84" w14:paraId="742CE857"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79DA44D8"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1</w:t>
            </w:r>
          </w:p>
        </w:tc>
        <w:tc>
          <w:tcPr>
            <w:tcW w:w="1340" w:type="dxa"/>
            <w:tcBorders>
              <w:top w:val="single" w:sz="4" w:space="0" w:color="000000"/>
              <w:left w:val="single" w:sz="4" w:space="0" w:color="000000"/>
              <w:bottom w:val="single" w:sz="4" w:space="0" w:color="000000"/>
              <w:right w:val="single" w:sz="4" w:space="0" w:color="000000"/>
            </w:tcBorders>
          </w:tcPr>
          <w:p w:rsidR="003A70F0" w:rsidRPr="006B607D" w:rsidP="000D6F84" w14:paraId="458FFA65"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2207" w:type="dxa"/>
            <w:tcBorders>
              <w:top w:val="single" w:sz="4" w:space="0" w:color="000000"/>
              <w:left w:val="single" w:sz="4" w:space="0" w:color="000000"/>
              <w:bottom w:val="single" w:sz="4" w:space="0" w:color="000000"/>
              <w:right w:val="single" w:sz="4" w:space="0" w:color="000000"/>
            </w:tcBorders>
          </w:tcPr>
          <w:p w:rsidR="003A70F0" w:rsidRPr="006B607D" w:rsidP="000D6F84" w14:paraId="3F85CC22" w14:textId="18C29F9A">
            <w:pPr>
              <w:widowControl/>
              <w:contextualSpacing/>
              <w:rPr>
                <w:rFonts w:eastAsia="Calibri"/>
                <w:kern w:val="2"/>
                <w:szCs w:val="26"/>
                <w14:ligatures w14:val="standardContextual"/>
              </w:rPr>
            </w:pPr>
            <w:r w:rsidRPr="006B607D">
              <w:rPr>
                <w:rFonts w:eastAsia="Calibri"/>
                <w:kern w:val="2"/>
                <w:szCs w:val="26"/>
                <w14:ligatures w14:val="standardContextual"/>
              </w:rPr>
              <w:t>60 hrs.</w:t>
            </w:r>
            <w:r w:rsidR="00137404">
              <w:rPr>
                <w:rFonts w:eastAsia="Calibri"/>
                <w:kern w:val="2"/>
                <w:szCs w:val="26"/>
                <w14:ligatures w14:val="standardContextual"/>
              </w:rPr>
              <w:t>;</w:t>
            </w:r>
          </w:p>
          <w:p w:rsidR="003A70F0" w:rsidRPr="006B607D" w:rsidP="000D6F84" w14:paraId="0AF50D38"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$5,820</w:t>
            </w:r>
          </w:p>
        </w:tc>
        <w:tc>
          <w:tcPr>
            <w:tcW w:w="1452" w:type="dxa"/>
            <w:tcBorders>
              <w:top w:val="single" w:sz="4" w:space="0" w:color="000000"/>
              <w:left w:val="single" w:sz="4" w:space="0" w:color="000000"/>
              <w:bottom w:val="single" w:sz="4" w:space="0" w:color="000000"/>
              <w:right w:val="single" w:sz="4" w:space="0" w:color="000000"/>
            </w:tcBorders>
          </w:tcPr>
          <w:p w:rsidR="003A70F0" w:rsidRPr="006B607D" w:rsidP="000D6F84" w14:paraId="7608E127" w14:textId="794200EE">
            <w:pPr>
              <w:widowControl/>
              <w:contextualSpacing/>
              <w:rPr>
                <w:rFonts w:eastAsia="Calibri"/>
                <w:kern w:val="2"/>
                <w:szCs w:val="26"/>
                <w14:ligatures w14:val="standardContextual"/>
              </w:rPr>
            </w:pPr>
            <w:r w:rsidRPr="006B607D">
              <w:rPr>
                <w:rFonts w:eastAsia="Calibri"/>
                <w:kern w:val="2"/>
                <w:szCs w:val="26"/>
                <w14:ligatures w14:val="standardContextual"/>
              </w:rPr>
              <w:t>24,000 hrs.</w:t>
            </w:r>
            <w:r w:rsidR="00137404">
              <w:rPr>
                <w:rFonts w:eastAsia="Calibri"/>
                <w:kern w:val="2"/>
                <w:szCs w:val="26"/>
                <w14:ligatures w14:val="standardContextual"/>
              </w:rPr>
              <w:t>;</w:t>
            </w:r>
          </w:p>
          <w:p w:rsidR="003A70F0" w:rsidRPr="006B607D" w:rsidP="000D6F84" w14:paraId="4DB27DC4"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 xml:space="preserve">$2,328,000 </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538FB7EC"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$5,820</w:t>
            </w:r>
          </w:p>
        </w:tc>
      </w:tr>
      <w:tr w14:paraId="32A3D80A" w14:textId="77777777" w:rsidTr="000D6F84">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left w:val="single" w:sz="4" w:space="0" w:color="000000"/>
              <w:bottom w:val="single" w:sz="4" w:space="0" w:color="000000"/>
              <w:right w:val="single" w:sz="4" w:space="0" w:color="000000"/>
            </w:tcBorders>
          </w:tcPr>
          <w:p w:rsidR="003A70F0" w:rsidRPr="006B607D" w:rsidP="000D6F84" w14:paraId="61C2AE95" w14:textId="4A02FB92">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Create documentation of methods to: evaluate anomalous activity; response to detected activity</w:t>
            </w:r>
            <w:r w:rsidR="008545A7">
              <w:rPr>
                <w:rFonts w:eastAsia="Calibri"/>
                <w:kern w:val="2"/>
                <w:szCs w:val="26"/>
                <w14:ligatures w14:val="standardContextual"/>
              </w:rPr>
              <w:t>;</w:t>
            </w:r>
            <w:r w:rsidRPr="006B607D">
              <w:rPr>
                <w:rFonts w:eastAsia="Calibri"/>
                <w:kern w:val="2"/>
                <w:szCs w:val="26"/>
                <w14:ligatures w14:val="standardContextual"/>
              </w:rPr>
              <w:t xml:space="preserve"> and escalation process(es) (R1.3)</w:t>
            </w:r>
          </w:p>
        </w:tc>
        <w:tc>
          <w:tcPr>
            <w:tcW w:w="1568" w:type="dxa"/>
            <w:tcBorders>
              <w:top w:val="single" w:sz="4" w:space="0" w:color="000000"/>
              <w:left w:val="single" w:sz="4" w:space="0" w:color="000000"/>
              <w:bottom w:val="single" w:sz="4" w:space="0" w:color="000000"/>
              <w:right w:val="single" w:sz="4" w:space="0" w:color="000000"/>
            </w:tcBorders>
          </w:tcPr>
          <w:p w:rsidR="003A70F0" w:rsidRPr="006B607D" w:rsidP="000D6F84" w14:paraId="04B07907"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1467" w:type="dxa"/>
            <w:tcBorders>
              <w:top w:val="single" w:sz="4" w:space="0" w:color="000000"/>
              <w:left w:val="single" w:sz="4" w:space="0" w:color="000000"/>
              <w:bottom w:val="single" w:sz="4" w:space="0" w:color="000000"/>
              <w:right w:val="single" w:sz="4" w:space="0" w:color="000000"/>
            </w:tcBorders>
          </w:tcPr>
          <w:p w:rsidR="003A70F0" w:rsidRPr="006B607D" w:rsidP="000D6F84" w14:paraId="011FAE6E"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1</w:t>
            </w:r>
          </w:p>
        </w:tc>
        <w:tc>
          <w:tcPr>
            <w:tcW w:w="1340" w:type="dxa"/>
            <w:tcBorders>
              <w:top w:val="single" w:sz="4" w:space="0" w:color="000000"/>
              <w:left w:val="single" w:sz="4" w:space="0" w:color="000000"/>
              <w:bottom w:val="single" w:sz="4" w:space="0" w:color="000000"/>
              <w:right w:val="single" w:sz="4" w:space="0" w:color="000000"/>
            </w:tcBorders>
          </w:tcPr>
          <w:p w:rsidR="003A70F0" w:rsidRPr="006B607D" w:rsidP="000D6F84" w14:paraId="37735DDF" w14:textId="77777777">
            <w:pPr>
              <w:widowControl/>
              <w:spacing w:after="160" w:line="259" w:lineRule="auto"/>
              <w:rPr>
                <w:rFonts w:eastAsia="Calibri"/>
                <w:kern w:val="2"/>
                <w:szCs w:val="26"/>
                <w14:ligatures w14:val="standardContextual"/>
              </w:rPr>
            </w:pPr>
            <w:r w:rsidRPr="006B607D">
              <w:rPr>
                <w:rFonts w:eastAsia="Calibri"/>
                <w:kern w:val="2"/>
                <w:szCs w:val="26"/>
                <w14:ligatures w14:val="standardContextual"/>
              </w:rPr>
              <w:t>400</w:t>
            </w:r>
          </w:p>
        </w:tc>
        <w:tc>
          <w:tcPr>
            <w:tcW w:w="2207" w:type="dxa"/>
            <w:tcBorders>
              <w:top w:val="single" w:sz="4" w:space="0" w:color="000000"/>
              <w:left w:val="single" w:sz="4" w:space="0" w:color="000000"/>
              <w:bottom w:val="single" w:sz="4" w:space="0" w:color="000000"/>
              <w:right w:val="single" w:sz="4" w:space="0" w:color="000000"/>
            </w:tcBorders>
          </w:tcPr>
          <w:p w:rsidR="003A70F0" w:rsidRPr="006B607D" w:rsidP="000D6F84" w14:paraId="5FE4F86C" w14:textId="52862092">
            <w:pPr>
              <w:widowControl/>
              <w:contextualSpacing/>
              <w:rPr>
                <w:rFonts w:eastAsia="Calibri"/>
                <w:kern w:val="2"/>
                <w:szCs w:val="26"/>
                <w14:ligatures w14:val="standardContextual"/>
              </w:rPr>
            </w:pPr>
            <w:r w:rsidRPr="006B607D">
              <w:rPr>
                <w:rFonts w:eastAsia="Calibri"/>
                <w:kern w:val="2"/>
                <w:szCs w:val="26"/>
                <w14:ligatures w14:val="standardContextual"/>
              </w:rPr>
              <w:t>60 hrs.</w:t>
            </w:r>
            <w:r w:rsidR="00137404">
              <w:rPr>
                <w:rFonts w:eastAsia="Calibri"/>
                <w:kern w:val="2"/>
                <w:szCs w:val="26"/>
                <w14:ligatures w14:val="standardContextual"/>
              </w:rPr>
              <w:t>;</w:t>
            </w:r>
          </w:p>
          <w:p w:rsidR="003A70F0" w:rsidRPr="006B607D" w:rsidP="000D6F84" w14:paraId="6E1B2651" w14:textId="77777777">
            <w:pPr>
              <w:widowControl/>
              <w:contextualSpacing/>
              <w:rPr>
                <w:rFonts w:eastAsia="Calibri"/>
                <w:kern w:val="2"/>
                <w:szCs w:val="26"/>
                <w14:ligatures w14:val="standardContextual"/>
              </w:rPr>
            </w:pPr>
            <w:r w:rsidRPr="006B607D">
              <w:rPr>
                <w:rFonts w:eastAsia="Calibri"/>
                <w:kern w:val="2"/>
                <w:szCs w:val="26"/>
                <w14:ligatures w14:val="standardContextual"/>
              </w:rPr>
              <w:t>$5,820</w:t>
            </w:r>
          </w:p>
        </w:tc>
        <w:tc>
          <w:tcPr>
            <w:tcW w:w="1452" w:type="dxa"/>
            <w:tcBorders>
              <w:top w:val="single" w:sz="4" w:space="0" w:color="000000"/>
              <w:left w:val="single" w:sz="4" w:space="0" w:color="000000"/>
              <w:bottom w:val="single" w:sz="4" w:space="0" w:color="000000"/>
              <w:right w:val="single" w:sz="4" w:space="0" w:color="000000"/>
            </w:tcBorders>
          </w:tcPr>
          <w:p w:rsidR="003A70F0" w:rsidRPr="0053282D" w:rsidP="000D6F84" w14:paraId="2299DE86" w14:textId="00C7FE41">
            <w:pPr>
              <w:widowControl/>
              <w:contextualSpacing/>
              <w:rPr>
                <w:rFonts w:eastAsia="Calibri"/>
                <w:kern w:val="2"/>
                <w:szCs w:val="26"/>
                <w14:ligatures w14:val="standardContextual"/>
              </w:rPr>
            </w:pPr>
            <w:r w:rsidRPr="006B607D">
              <w:rPr>
                <w:rFonts w:eastAsia="Calibri"/>
                <w:kern w:val="2"/>
                <w:szCs w:val="26"/>
                <w14:ligatures w14:val="standardContextual"/>
              </w:rPr>
              <w:t>24,000 hrs.</w:t>
            </w:r>
            <w:r w:rsidR="00137404">
              <w:rPr>
                <w:rFonts w:eastAsia="Calibri"/>
                <w:kern w:val="2"/>
                <w:szCs w:val="26"/>
                <w14:ligatures w14:val="standardContextual"/>
              </w:rPr>
              <w:t>;</w:t>
            </w:r>
          </w:p>
          <w:p w:rsidR="003A70F0" w:rsidRPr="0053282D" w:rsidP="000D6F84" w14:paraId="03FA8024"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 xml:space="preserve">$2,328,000 </w:t>
            </w: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3C12A72A"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$5,820</w:t>
            </w:r>
          </w:p>
        </w:tc>
      </w:tr>
      <w:tr w14:paraId="3F9FBB0E" w14:textId="77777777" w:rsidTr="000D6F84">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left w:val="single" w:sz="4" w:space="0" w:color="000000"/>
              <w:bottom w:val="single" w:sz="4" w:space="0" w:color="000000"/>
              <w:right w:val="single" w:sz="4" w:space="0" w:color="000000"/>
            </w:tcBorders>
          </w:tcPr>
          <w:p w:rsidR="003A70F0" w:rsidRPr="0053282D" w:rsidP="000D6F84" w14:paraId="52A3D30B"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Create documentation of: data retention process(es); system configuration(s), or system-generated report(s) (R2)</w:t>
            </w:r>
          </w:p>
        </w:tc>
        <w:tc>
          <w:tcPr>
            <w:tcW w:w="1568" w:type="dxa"/>
            <w:tcBorders>
              <w:top w:val="single" w:sz="4" w:space="0" w:color="000000"/>
              <w:left w:val="single" w:sz="4" w:space="0" w:color="000000"/>
              <w:bottom w:val="single" w:sz="4" w:space="0" w:color="000000"/>
              <w:right w:val="single" w:sz="4" w:space="0" w:color="000000"/>
            </w:tcBorders>
          </w:tcPr>
          <w:p w:rsidR="003A70F0" w:rsidRPr="0053282D" w:rsidP="000D6F84" w14:paraId="71E43DE9"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400</w:t>
            </w: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5C280995"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1</w:t>
            </w:r>
          </w:p>
        </w:tc>
        <w:tc>
          <w:tcPr>
            <w:tcW w:w="1340" w:type="dxa"/>
            <w:tcBorders>
              <w:top w:val="single" w:sz="4" w:space="0" w:color="000000"/>
              <w:left w:val="single" w:sz="4" w:space="0" w:color="000000"/>
              <w:bottom w:val="single" w:sz="4" w:space="0" w:color="000000"/>
              <w:right w:val="single" w:sz="4" w:space="0" w:color="000000"/>
            </w:tcBorders>
          </w:tcPr>
          <w:p w:rsidR="003A70F0" w:rsidRPr="0053282D" w:rsidP="000D6F84" w14:paraId="07046F60"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400</w:t>
            </w:r>
          </w:p>
        </w:tc>
        <w:tc>
          <w:tcPr>
            <w:tcW w:w="2207" w:type="dxa"/>
            <w:tcBorders>
              <w:top w:val="single" w:sz="4" w:space="0" w:color="000000"/>
              <w:left w:val="single" w:sz="4" w:space="0" w:color="000000"/>
              <w:bottom w:val="single" w:sz="4" w:space="0" w:color="000000"/>
              <w:right w:val="single" w:sz="4" w:space="0" w:color="000000"/>
            </w:tcBorders>
          </w:tcPr>
          <w:p w:rsidR="003A70F0" w:rsidRPr="0053282D" w:rsidP="000D6F84" w14:paraId="50316BF9" w14:textId="5F20269A">
            <w:pPr>
              <w:widowControl/>
              <w:contextualSpacing/>
              <w:rPr>
                <w:rFonts w:eastAsia="Calibri"/>
                <w:kern w:val="2"/>
                <w:szCs w:val="26"/>
                <w14:ligatures w14:val="standardContextual"/>
              </w:rPr>
            </w:pPr>
            <w:r w:rsidRPr="0053282D">
              <w:rPr>
                <w:rFonts w:eastAsia="Calibri"/>
                <w:kern w:val="2"/>
                <w:szCs w:val="26"/>
                <w14:ligatures w14:val="standardContextual"/>
              </w:rPr>
              <w:t>60 hrs.</w:t>
            </w:r>
            <w:r w:rsidR="00137404">
              <w:rPr>
                <w:rFonts w:eastAsia="Calibri"/>
                <w:kern w:val="2"/>
                <w:szCs w:val="26"/>
                <w14:ligatures w14:val="standardContextual"/>
              </w:rPr>
              <w:t>;</w:t>
            </w:r>
          </w:p>
          <w:p w:rsidR="003A70F0" w:rsidRPr="0053282D" w:rsidP="000D6F84" w14:paraId="13080ED8"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$5,820</w:t>
            </w:r>
          </w:p>
        </w:tc>
        <w:tc>
          <w:tcPr>
            <w:tcW w:w="1452" w:type="dxa"/>
            <w:tcBorders>
              <w:top w:val="single" w:sz="4" w:space="0" w:color="000000"/>
              <w:left w:val="single" w:sz="4" w:space="0" w:color="000000"/>
              <w:bottom w:val="single" w:sz="4" w:space="0" w:color="000000"/>
              <w:right w:val="single" w:sz="4" w:space="0" w:color="000000"/>
            </w:tcBorders>
          </w:tcPr>
          <w:p w:rsidR="003A70F0" w:rsidRPr="0053282D" w:rsidP="000D6F84" w14:paraId="372E30B6" w14:textId="653BA71E">
            <w:pPr>
              <w:widowControl/>
              <w:contextualSpacing/>
              <w:rPr>
                <w:rFonts w:eastAsia="Calibri"/>
                <w:kern w:val="2"/>
                <w:szCs w:val="26"/>
                <w14:ligatures w14:val="standardContextual"/>
              </w:rPr>
            </w:pPr>
            <w:r w:rsidRPr="0053282D">
              <w:rPr>
                <w:rFonts w:eastAsia="Calibri"/>
                <w:kern w:val="2"/>
                <w:szCs w:val="26"/>
                <w14:ligatures w14:val="standardContextual"/>
              </w:rPr>
              <w:t>24,000 hrs.</w:t>
            </w:r>
            <w:r w:rsidR="00137404">
              <w:rPr>
                <w:rFonts w:eastAsia="Calibri"/>
                <w:kern w:val="2"/>
                <w:szCs w:val="26"/>
                <w14:ligatures w14:val="standardContextual"/>
              </w:rPr>
              <w:t>;</w:t>
            </w:r>
          </w:p>
          <w:p w:rsidR="003A70F0" w:rsidRPr="0053282D" w:rsidP="000D6F84" w14:paraId="020F9175"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 xml:space="preserve">$2,328,000 </w:t>
            </w: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2A4BF917"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$5,820</w:t>
            </w:r>
          </w:p>
        </w:tc>
      </w:tr>
      <w:tr w14:paraId="157F0BA4" w14:textId="77777777" w:rsidTr="000D6F84">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left w:val="single" w:sz="4" w:space="0" w:color="000000"/>
              <w:bottom w:val="single" w:sz="4" w:space="0" w:color="000000"/>
              <w:right w:val="single" w:sz="4" w:space="0" w:color="000000"/>
            </w:tcBorders>
          </w:tcPr>
          <w:p w:rsidR="003A70F0" w:rsidRPr="0053282D" w:rsidP="000D6F84" w14:paraId="6DD7CE71" w14:textId="77DE0D74">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Create documentation of how the collected data is being protected (R3)</w:t>
            </w:r>
          </w:p>
        </w:tc>
        <w:tc>
          <w:tcPr>
            <w:tcW w:w="1568" w:type="dxa"/>
            <w:tcBorders>
              <w:top w:val="single" w:sz="4" w:space="0" w:color="000000"/>
              <w:left w:val="single" w:sz="4" w:space="0" w:color="000000"/>
              <w:bottom w:val="single" w:sz="4" w:space="0" w:color="000000"/>
              <w:right w:val="single" w:sz="4" w:space="0" w:color="000000"/>
            </w:tcBorders>
          </w:tcPr>
          <w:p w:rsidR="003A70F0" w:rsidRPr="0053282D" w:rsidP="000D6F84" w14:paraId="0B17B466"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400</w:t>
            </w: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27705D89"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1</w:t>
            </w:r>
          </w:p>
        </w:tc>
        <w:tc>
          <w:tcPr>
            <w:tcW w:w="1340" w:type="dxa"/>
            <w:tcBorders>
              <w:top w:val="single" w:sz="4" w:space="0" w:color="000000"/>
              <w:left w:val="single" w:sz="4" w:space="0" w:color="000000"/>
              <w:bottom w:val="single" w:sz="4" w:space="0" w:color="000000"/>
              <w:right w:val="single" w:sz="4" w:space="0" w:color="000000"/>
            </w:tcBorders>
          </w:tcPr>
          <w:p w:rsidR="003A70F0" w:rsidRPr="0053282D" w:rsidP="000D6F84" w14:paraId="1CC11841"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400</w:t>
            </w:r>
          </w:p>
        </w:tc>
        <w:tc>
          <w:tcPr>
            <w:tcW w:w="2207" w:type="dxa"/>
            <w:tcBorders>
              <w:top w:val="single" w:sz="4" w:space="0" w:color="000000"/>
              <w:left w:val="single" w:sz="4" w:space="0" w:color="000000"/>
              <w:bottom w:val="single" w:sz="4" w:space="0" w:color="000000"/>
              <w:right w:val="single" w:sz="4" w:space="0" w:color="000000"/>
            </w:tcBorders>
          </w:tcPr>
          <w:p w:rsidR="003A70F0" w:rsidRPr="0053282D" w:rsidP="000D6F84" w14:paraId="36CC3408" w14:textId="49F5D531">
            <w:pPr>
              <w:widowControl/>
              <w:contextualSpacing/>
              <w:rPr>
                <w:rFonts w:eastAsia="Calibri"/>
                <w:kern w:val="2"/>
                <w:szCs w:val="26"/>
                <w14:ligatures w14:val="standardContextual"/>
              </w:rPr>
            </w:pPr>
            <w:r w:rsidRPr="0053282D">
              <w:rPr>
                <w:rFonts w:eastAsia="Calibri"/>
                <w:kern w:val="2"/>
                <w:szCs w:val="26"/>
                <w14:ligatures w14:val="standardContextual"/>
              </w:rPr>
              <w:t>60 hrs.</w:t>
            </w:r>
            <w:r w:rsidR="00137404">
              <w:rPr>
                <w:rFonts w:eastAsia="Calibri"/>
                <w:kern w:val="2"/>
                <w:szCs w:val="26"/>
                <w14:ligatures w14:val="standardContextual"/>
              </w:rPr>
              <w:t>;</w:t>
            </w:r>
          </w:p>
          <w:p w:rsidR="003A70F0" w:rsidRPr="0053282D" w:rsidP="000D6F84" w14:paraId="52F4D625"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$5,820</w:t>
            </w:r>
          </w:p>
        </w:tc>
        <w:tc>
          <w:tcPr>
            <w:tcW w:w="1452" w:type="dxa"/>
            <w:tcBorders>
              <w:top w:val="single" w:sz="4" w:space="0" w:color="000000"/>
              <w:left w:val="single" w:sz="4" w:space="0" w:color="000000"/>
              <w:bottom w:val="single" w:sz="4" w:space="0" w:color="000000"/>
              <w:right w:val="single" w:sz="4" w:space="0" w:color="000000"/>
            </w:tcBorders>
          </w:tcPr>
          <w:p w:rsidR="003A70F0" w:rsidRPr="0053282D" w:rsidP="000D6F84" w14:paraId="15C82EF9" w14:textId="4E892342">
            <w:pPr>
              <w:widowControl/>
              <w:contextualSpacing/>
              <w:rPr>
                <w:rFonts w:eastAsia="Calibri"/>
                <w:kern w:val="2"/>
                <w:szCs w:val="26"/>
                <w14:ligatures w14:val="standardContextual"/>
              </w:rPr>
            </w:pPr>
            <w:r w:rsidRPr="0053282D">
              <w:rPr>
                <w:rFonts w:eastAsia="Calibri"/>
                <w:kern w:val="2"/>
                <w:szCs w:val="26"/>
                <w14:ligatures w14:val="standardContextual"/>
              </w:rPr>
              <w:t>24,000 hrs.</w:t>
            </w:r>
            <w:r w:rsidR="00137404">
              <w:rPr>
                <w:rFonts w:eastAsia="Calibri"/>
                <w:kern w:val="2"/>
                <w:szCs w:val="26"/>
                <w14:ligatures w14:val="standardContextual"/>
              </w:rPr>
              <w:t>;</w:t>
            </w:r>
          </w:p>
          <w:p w:rsidR="003A70F0" w:rsidRPr="0053282D" w:rsidP="000D6F84" w14:paraId="3BBEBEA7"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 xml:space="preserve">$2,328,000 </w:t>
            </w: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1FA4EF5A"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$5,820</w:t>
            </w:r>
          </w:p>
        </w:tc>
      </w:tr>
      <w:tr w14:paraId="2E781E63" w14:textId="77777777" w:rsidTr="000D6F84">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left w:val="single" w:sz="4" w:space="0" w:color="000000"/>
              <w:bottom w:val="single" w:sz="4" w:space="0" w:color="000000"/>
              <w:right w:val="single" w:sz="4" w:space="0" w:color="000000"/>
            </w:tcBorders>
          </w:tcPr>
          <w:p w:rsidR="003A70F0" w:rsidRPr="0053282D" w:rsidP="000D6F84" w14:paraId="45EE520B"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 xml:space="preserve">Total burden for </w:t>
            </w:r>
          </w:p>
          <w:p w:rsidR="003A70F0" w:rsidRPr="0053282D" w:rsidP="000D6F84" w14:paraId="62CE4410"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FERC-</w:t>
            </w:r>
          </w:p>
          <w:p w:rsidR="003A70F0" w:rsidRPr="0053282D" w:rsidP="000D6F84" w14:paraId="1E161260"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 xml:space="preserve">725B(5) under </w:t>
            </w:r>
          </w:p>
          <w:p w:rsidR="003A70F0" w:rsidRPr="0053282D" w:rsidP="000D6F84" w14:paraId="4FCBAA51" w14:textId="77777777">
            <w:pPr>
              <w:widowControl/>
              <w:contextualSpacing/>
              <w:rPr>
                <w:rFonts w:eastAsia="Calibri"/>
                <w:kern w:val="2"/>
                <w:szCs w:val="26"/>
                <w14:ligatures w14:val="standardContextual"/>
              </w:rPr>
            </w:pPr>
            <w:r w:rsidRPr="0053282D">
              <w:rPr>
                <w:rFonts w:eastAsia="Calibri"/>
                <w:kern w:val="2"/>
                <w:szCs w:val="26"/>
                <w14:ligatures w14:val="standardContextual"/>
              </w:rPr>
              <w:t xml:space="preserve">CIP-015-1 </w:t>
            </w:r>
          </w:p>
        </w:tc>
        <w:tc>
          <w:tcPr>
            <w:tcW w:w="1568" w:type="dxa"/>
            <w:tcBorders>
              <w:top w:val="single" w:sz="4" w:space="0" w:color="000000"/>
              <w:left w:val="single" w:sz="4" w:space="0" w:color="000000"/>
              <w:bottom w:val="single" w:sz="4" w:space="0" w:color="000000"/>
              <w:right w:val="single" w:sz="4" w:space="0" w:color="000000"/>
            </w:tcBorders>
          </w:tcPr>
          <w:p w:rsidR="003A70F0" w:rsidRPr="0053282D" w:rsidP="000D6F84" w14:paraId="5351BD2A" w14:textId="77777777">
            <w:pPr>
              <w:widowControl/>
              <w:spacing w:after="160" w:line="259" w:lineRule="auto"/>
              <w:rPr>
                <w:rFonts w:eastAsia="Calibri"/>
                <w:kern w:val="2"/>
                <w:szCs w:val="26"/>
                <w14:ligatures w14:val="standardContextual"/>
              </w:rPr>
            </w:pP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01D2E900" w14:textId="77777777">
            <w:pPr>
              <w:widowControl/>
              <w:spacing w:after="160" w:line="259" w:lineRule="auto"/>
              <w:rPr>
                <w:rFonts w:eastAsia="Calibri"/>
                <w:kern w:val="2"/>
                <w:szCs w:val="26"/>
                <w14:ligatures w14:val="standardContextual"/>
              </w:rPr>
            </w:pPr>
          </w:p>
        </w:tc>
        <w:tc>
          <w:tcPr>
            <w:tcW w:w="1340" w:type="dxa"/>
            <w:tcBorders>
              <w:top w:val="single" w:sz="4" w:space="0" w:color="000000"/>
              <w:left w:val="single" w:sz="4" w:space="0" w:color="000000"/>
              <w:bottom w:val="single" w:sz="4" w:space="0" w:color="000000"/>
              <w:right w:val="single" w:sz="4" w:space="0" w:color="000000"/>
            </w:tcBorders>
          </w:tcPr>
          <w:p w:rsidR="003A70F0" w:rsidRPr="0053282D" w:rsidP="000D6F84" w14:paraId="13415854"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2,400</w:t>
            </w:r>
          </w:p>
          <w:p w:rsidR="003A70F0" w:rsidRPr="0053282D" w:rsidP="000D6F84" w14:paraId="4CE65241" w14:textId="77777777">
            <w:pPr>
              <w:widowControl/>
              <w:spacing w:after="160" w:line="259" w:lineRule="auto"/>
              <w:rPr>
                <w:rFonts w:eastAsia="Calibri"/>
                <w:kern w:val="2"/>
                <w:szCs w:val="26"/>
                <w14:ligatures w14:val="standardContextual"/>
              </w:rPr>
            </w:pPr>
          </w:p>
        </w:tc>
        <w:tc>
          <w:tcPr>
            <w:tcW w:w="2207" w:type="dxa"/>
            <w:tcBorders>
              <w:top w:val="single" w:sz="4" w:space="0" w:color="000000"/>
              <w:left w:val="single" w:sz="4" w:space="0" w:color="000000"/>
              <w:bottom w:val="single" w:sz="4" w:space="0" w:color="000000"/>
              <w:right w:val="single" w:sz="4" w:space="0" w:color="000000"/>
            </w:tcBorders>
          </w:tcPr>
          <w:p w:rsidR="003A70F0" w:rsidRPr="0053282D" w:rsidP="000D6F84" w14:paraId="3AEE59E3" w14:textId="77777777">
            <w:pPr>
              <w:widowControl/>
              <w:spacing w:after="160" w:line="259" w:lineRule="auto"/>
              <w:rPr>
                <w:rFonts w:eastAsia="Calibri"/>
                <w:kern w:val="2"/>
                <w:szCs w:val="26"/>
                <w14:ligatures w14:val="standardContextual"/>
              </w:rPr>
            </w:pPr>
          </w:p>
        </w:tc>
        <w:tc>
          <w:tcPr>
            <w:tcW w:w="1452" w:type="dxa"/>
            <w:tcBorders>
              <w:top w:val="single" w:sz="4" w:space="0" w:color="000000"/>
              <w:left w:val="single" w:sz="4" w:space="0" w:color="000000"/>
              <w:bottom w:val="single" w:sz="4" w:space="0" w:color="000000"/>
              <w:right w:val="single" w:sz="4" w:space="0" w:color="000000"/>
            </w:tcBorders>
          </w:tcPr>
          <w:p w:rsidR="003A70F0" w:rsidRPr="0053282D" w:rsidP="000D6F84" w14:paraId="64FB1DDF" w14:textId="063E6C69">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136,000 hrs.</w:t>
            </w:r>
            <w:r w:rsidR="00137404">
              <w:rPr>
                <w:rFonts w:eastAsia="Calibri"/>
                <w:kern w:val="2"/>
                <w:szCs w:val="26"/>
                <w14:ligatures w14:val="standardContextual"/>
              </w:rPr>
              <w:t>;</w:t>
            </w:r>
            <w:r w:rsidRPr="0053282D">
              <w:rPr>
                <w:rFonts w:eastAsia="Calibri"/>
                <w:kern w:val="2"/>
                <w:szCs w:val="26"/>
                <w14:ligatures w14:val="standardContextual"/>
              </w:rPr>
              <w:t xml:space="preserve"> $13,192,000</w:t>
            </w:r>
          </w:p>
        </w:tc>
        <w:tc>
          <w:tcPr>
            <w:tcW w:w="1467" w:type="dxa"/>
            <w:tcBorders>
              <w:top w:val="single" w:sz="4" w:space="0" w:color="000000"/>
              <w:left w:val="single" w:sz="4" w:space="0" w:color="000000"/>
              <w:bottom w:val="single" w:sz="4" w:space="0" w:color="000000"/>
              <w:right w:val="single" w:sz="4" w:space="0" w:color="000000"/>
            </w:tcBorders>
          </w:tcPr>
          <w:p w:rsidR="003A70F0" w:rsidRPr="0053282D" w:rsidP="000D6F84" w14:paraId="10B5EE00" w14:textId="77777777">
            <w:pPr>
              <w:widowControl/>
              <w:spacing w:after="160" w:line="259" w:lineRule="auto"/>
              <w:rPr>
                <w:rFonts w:eastAsia="Calibri"/>
                <w:kern w:val="2"/>
                <w:szCs w:val="26"/>
                <w14:ligatures w14:val="standardContextual"/>
              </w:rPr>
            </w:pPr>
            <w:r w:rsidRPr="0053282D">
              <w:rPr>
                <w:rFonts w:eastAsia="Calibri"/>
                <w:kern w:val="2"/>
                <w:szCs w:val="26"/>
                <w14:ligatures w14:val="standardContextual"/>
              </w:rPr>
              <w:t>$32,980</w:t>
            </w:r>
          </w:p>
        </w:tc>
      </w:tr>
    </w:tbl>
    <w:p w:rsidR="003A70F0" w:rsidRPr="00B61165" w:rsidP="003A70F0" w14:paraId="023FC09B" w14:textId="77777777">
      <w:pPr>
        <w:pStyle w:val="FERCparanumber"/>
        <w:numPr>
          <w:ilvl w:val="0"/>
          <w:numId w:val="0"/>
        </w:numPr>
      </w:pPr>
    </w:p>
    <w:p w:rsidR="003A70F0" w:rsidP="003A70F0" w14:paraId="24CE2D76" w14:textId="44BD5764">
      <w:pPr>
        <w:pStyle w:val="FERCparanumber"/>
      </w:pPr>
      <w:r>
        <w:t>The responses and burden hours for Years 1-3 will total respectively as follows:</w:t>
      </w:r>
    </w:p>
    <w:p w:rsidR="003A70F0" w:rsidP="0053282D" w14:paraId="14B2C8C3" w14:textId="77777777">
      <w:pPr>
        <w:pStyle w:val="FERCparanumber"/>
        <w:numPr>
          <w:ilvl w:val="0"/>
          <w:numId w:val="34"/>
        </w:numPr>
      </w:pPr>
      <w:r>
        <w:t>Year 1-3 each: 2,400 responses; 136,000 hours</w:t>
      </w:r>
    </w:p>
    <w:p w:rsidR="003A70F0" w:rsidP="0053282D" w14:paraId="29CC907F" w14:textId="77777777">
      <w:pPr>
        <w:pStyle w:val="FERCparanumber"/>
        <w:numPr>
          <w:ilvl w:val="0"/>
          <w:numId w:val="34"/>
        </w:numPr>
      </w:pPr>
      <w:r>
        <w:t>The annual cost burden for each year One to Three is $13,192,000.</w:t>
      </w:r>
    </w:p>
    <w:p w:rsidR="00B579A7" w14:paraId="1CF51737" w14:textId="3ECF07D1">
      <w:pPr>
        <w:pStyle w:val="FERCparanumber"/>
      </w:pPr>
      <w:r w:rsidRPr="001435E6">
        <w:rPr>
          <w:u w:val="single"/>
        </w:rPr>
        <w:t>Title</w:t>
      </w:r>
      <w:r>
        <w:t>:  Mandatory Reliability Standards, Revised Critical Infrastructure Protection Reliability Standards</w:t>
      </w:r>
    </w:p>
    <w:p w:rsidR="00B579A7" w:rsidP="001435E6" w14:paraId="01884771" w14:textId="2643DB7E">
      <w:pPr>
        <w:pStyle w:val="FERCparanumber"/>
        <w:numPr>
          <w:ilvl w:val="0"/>
          <w:numId w:val="0"/>
        </w:numPr>
      </w:pPr>
      <w:r w:rsidRPr="001435E6">
        <w:rPr>
          <w:u w:val="single"/>
        </w:rPr>
        <w:t>Action</w:t>
      </w:r>
      <w:r>
        <w:t xml:space="preserve">: </w:t>
      </w:r>
      <w:r w:rsidR="00CF72D1">
        <w:t xml:space="preserve"> </w:t>
      </w:r>
      <w:r>
        <w:t>Revision to FERC-725B information collection.</w:t>
      </w:r>
    </w:p>
    <w:p w:rsidR="00B579A7" w:rsidP="001435E6" w14:paraId="64295ED7" w14:textId="4AEAAC7C">
      <w:pPr>
        <w:pStyle w:val="FERCparanumber"/>
        <w:numPr>
          <w:ilvl w:val="0"/>
          <w:numId w:val="0"/>
        </w:numPr>
      </w:pPr>
      <w:r w:rsidRPr="001435E6">
        <w:rPr>
          <w:u w:val="single"/>
        </w:rPr>
        <w:t>OMB Control No.</w:t>
      </w:r>
      <w:r>
        <w:t xml:space="preserve">: </w:t>
      </w:r>
      <w:r w:rsidR="00CF72D1">
        <w:t xml:space="preserve"> </w:t>
      </w:r>
      <w:r>
        <w:t>1902-0248.</w:t>
      </w:r>
    </w:p>
    <w:p w:rsidR="00B579A7" w:rsidP="001435E6" w14:paraId="22283F11" w14:textId="41FD5E14">
      <w:pPr>
        <w:pStyle w:val="FERCparanumber"/>
        <w:numPr>
          <w:ilvl w:val="0"/>
          <w:numId w:val="0"/>
        </w:numPr>
      </w:pPr>
      <w:r w:rsidRPr="001435E6">
        <w:rPr>
          <w:u w:val="single"/>
        </w:rPr>
        <w:t>Respondents</w:t>
      </w:r>
      <w:r>
        <w:t xml:space="preserve">: </w:t>
      </w:r>
      <w:r w:rsidR="00CF72D1">
        <w:t xml:space="preserve"> </w:t>
      </w:r>
      <w:r>
        <w:t>Businesses or other for-profit institutions; not-for-profit institutions.</w:t>
      </w:r>
    </w:p>
    <w:p w:rsidR="00B579A7" w:rsidP="001435E6" w14:paraId="7D082FC3" w14:textId="11FF32B8">
      <w:pPr>
        <w:pStyle w:val="FERCparanumber"/>
        <w:numPr>
          <w:ilvl w:val="0"/>
          <w:numId w:val="0"/>
        </w:numPr>
      </w:pPr>
      <w:r w:rsidRPr="001435E6">
        <w:rPr>
          <w:u w:val="single"/>
        </w:rPr>
        <w:t>Frequency of Responses</w:t>
      </w:r>
      <w:r>
        <w:t xml:space="preserve">: </w:t>
      </w:r>
      <w:r w:rsidR="00CF72D1">
        <w:t xml:space="preserve"> </w:t>
      </w:r>
      <w:r>
        <w:t>On Occasion.</w:t>
      </w:r>
    </w:p>
    <w:p w:rsidR="00B579A7" w:rsidP="001435E6" w14:paraId="3E1D3BB5" w14:textId="3AB4E7B6">
      <w:pPr>
        <w:pStyle w:val="FERCparanumber"/>
        <w:numPr>
          <w:ilvl w:val="0"/>
          <w:numId w:val="0"/>
        </w:numPr>
      </w:pPr>
      <w:r w:rsidRPr="001435E6">
        <w:rPr>
          <w:u w:val="single"/>
        </w:rPr>
        <w:t>Necessity of the Information</w:t>
      </w:r>
      <w:r>
        <w:t xml:space="preserve">: </w:t>
      </w:r>
      <w:r w:rsidR="00CF72D1">
        <w:t xml:space="preserve"> </w:t>
      </w:r>
      <w:r>
        <w:t xml:space="preserve">This NOPR </w:t>
      </w:r>
      <w:r w:rsidR="00D65126">
        <w:t>proposes</w:t>
      </w:r>
      <w:r>
        <w:t xml:space="preserve"> to approve the requested modifications to Reliability Standards pertaining to critical infrastructure protection. </w:t>
      </w:r>
      <w:r w:rsidR="00C43152">
        <w:t xml:space="preserve"> </w:t>
      </w:r>
      <w:r>
        <w:t xml:space="preserve">As discussed above, the Commission </w:t>
      </w:r>
      <w:r w:rsidR="0034792D">
        <w:t xml:space="preserve">proposes to </w:t>
      </w:r>
      <w:r>
        <w:t xml:space="preserve">approve </w:t>
      </w:r>
      <w:r w:rsidR="008F3C83">
        <w:t>proposed</w:t>
      </w:r>
      <w:r>
        <w:t xml:space="preserve"> Reliability Standard CIP-015-1 pursuant to section 215(d)(2) of the FPA because it improves upon the currently-effective suite of cybersecurity CIP Reliability Standards.</w:t>
      </w:r>
    </w:p>
    <w:p w:rsidR="00F42F7C" w:rsidP="00D9195F" w14:paraId="070A5F17" w14:textId="029B809E">
      <w:pPr>
        <w:pStyle w:val="FERCparanumber"/>
        <w:numPr>
          <w:ilvl w:val="0"/>
          <w:numId w:val="0"/>
        </w:numPr>
      </w:pPr>
      <w:r w:rsidRPr="001435E6">
        <w:rPr>
          <w:u w:val="single"/>
        </w:rPr>
        <w:t>Internal Review</w:t>
      </w:r>
      <w:r>
        <w:t xml:space="preserve">: </w:t>
      </w:r>
      <w:r w:rsidR="00CF72D1">
        <w:t xml:space="preserve"> </w:t>
      </w:r>
      <w:r>
        <w:t xml:space="preserve">The Commission has reviewed the </w:t>
      </w:r>
      <w:r w:rsidR="0034792D">
        <w:t xml:space="preserve">proposed </w:t>
      </w:r>
      <w:r>
        <w:t xml:space="preserve">Reliability Standard and made a determination that its action is necessary to implement section 215 of the FPA.  </w:t>
      </w:r>
    </w:p>
    <w:p w:rsidR="00B579A7" w:rsidP="001435E6" w14:paraId="02886FF1" w14:textId="55E3DB24">
      <w:pPr>
        <w:pStyle w:val="FERCparanumber"/>
        <w:numPr>
          <w:ilvl w:val="0"/>
          <w:numId w:val="0"/>
        </w:numPr>
      </w:pPr>
      <w:r>
        <w:t>Interested persons may obtain information on the reporting requirements by contacting the following: Federal Energy Regulatory Commission, 888 First Street, NE Washington, DC 20426 [Attention:</w:t>
      </w:r>
      <w:r w:rsidR="00ED18B3">
        <w:t xml:space="preserve"> Kayla Williams</w:t>
      </w:r>
      <w:r>
        <w:t>, Office of the Executive Director, email:</w:t>
      </w:r>
      <w:r w:rsidR="001524C1">
        <w:t xml:space="preserve">  </w:t>
      </w:r>
      <w:r>
        <w:t>DataClearance@ferc.gov, phone: (202) 502-8663, fax: (202) 273-0873].</w:t>
      </w:r>
    </w:p>
    <w:p w:rsidR="00B579A7" w:rsidP="00B579A7" w14:paraId="473B1437" w14:textId="07BCE549">
      <w:pPr>
        <w:pStyle w:val="FERCparanumber"/>
      </w:pPr>
      <w:r>
        <w:t xml:space="preserve"> For submitting comments concerning the collection(s) of information and the associated burden estimate(s), please send your comments to the Commission, and to the Office of Management and Budget, Office of Information and Regulatory Affairs, Washington, DC 20503 [Attention: Desk Officer for the Federal Energy Regulatory Commission, phone: </w:t>
      </w:r>
      <w:r w:rsidR="00A82C9D">
        <w:t xml:space="preserve"> </w:t>
      </w:r>
      <w:r>
        <w:t xml:space="preserve">(202) 395-4638, fax: (202) 395-7285]. </w:t>
      </w:r>
      <w:r w:rsidR="00CF72D1">
        <w:t xml:space="preserve"> </w:t>
      </w:r>
      <w:r>
        <w:t>For security reasons, comments to OMB should be submitted by e-mail to: oira_submission@omb.eop.gov.  Comments submitted to OMB should include Docket Number RM24-7-000 and OMB Control Number 1902-0248.</w:t>
      </w:r>
    </w:p>
    <w:p w:rsidR="00E46F08" w:rsidRPr="00B61165" w:rsidP="00E46F08" w14:paraId="241EC037" w14:textId="232EADAA">
      <w:pPr>
        <w:pStyle w:val="Heading1"/>
      </w:pPr>
      <w:bookmarkStart w:id="13" w:name="_Toc172816934"/>
      <w:r w:rsidRPr="00B61165">
        <w:t>Environmental Analysis</w:t>
      </w:r>
      <w:bookmarkEnd w:id="13"/>
    </w:p>
    <w:p w:rsidR="00B07237" w:rsidP="00B07237" w14:paraId="032E1BB0" w14:textId="6BF2516B">
      <w:pPr>
        <w:pStyle w:val="FERCparanumber"/>
      </w:pPr>
      <w:r w:rsidRPr="00B61165">
        <w:t>The Commission is required to prepare an Environmental Assessment or an Environmental Impact Statement for any action that may have a significant adverse effect on the human environment.</w:t>
      </w:r>
      <w:r>
        <w:rPr>
          <w:rStyle w:val="FootnoteReference"/>
        </w:rPr>
        <w:footnoteReference w:id="56"/>
      </w:r>
      <w:r w:rsidRPr="00B61165">
        <w:t xml:space="preserve"> </w:t>
      </w:r>
      <w:r>
        <w:t xml:space="preserve"> The Commission has categorically excluded certain actions from this requirement as not having a significant effect on the human environment.  Included in the exclusion are rules that are clarifying, corrective, or procedural or that do </w:t>
      </w:r>
      <w:r w:rsidRPr="00B07237">
        <w:t>not substantially change the effect of the regulations being amended.</w:t>
      </w:r>
      <w:r>
        <w:rPr>
          <w:rStyle w:val="FootnoteReference"/>
        </w:rPr>
        <w:footnoteReference w:id="57"/>
      </w:r>
      <w:r>
        <w:t xml:space="preserve">  The action proposed herein fall</w:t>
      </w:r>
      <w:r w:rsidR="00EC7265">
        <w:t>s</w:t>
      </w:r>
      <w:r>
        <w:t xml:space="preserve"> within this categorical exclusion in the Commission’s regulations.</w:t>
      </w:r>
    </w:p>
    <w:p w:rsidR="00E46F08" w:rsidRPr="00B61165" w:rsidP="00E46F08" w14:paraId="5F2AD2BE" w14:textId="329BC5FD">
      <w:pPr>
        <w:pStyle w:val="Heading1"/>
      </w:pPr>
      <w:bookmarkStart w:id="14" w:name="_Toc172816935"/>
      <w:r w:rsidRPr="00B61165">
        <w:t>Regulatory Flexibility Act Certification</w:t>
      </w:r>
      <w:bookmarkEnd w:id="14"/>
    </w:p>
    <w:p w:rsidR="00B56021" w:rsidRPr="00B56021" w:rsidP="00B56021" w14:paraId="51FBE6BE" w14:textId="208FFA32">
      <w:pPr>
        <w:pStyle w:val="FERCparanumber"/>
      </w:pPr>
      <w:r w:rsidRPr="00B61165">
        <w:t>The Regulatory Fle</w:t>
      </w:r>
      <w:r w:rsidRPr="00B61165">
        <w:rPr>
          <w:rStyle w:val="FERCparanumberChar"/>
        </w:rPr>
        <w:t>x</w:t>
      </w:r>
      <w:r w:rsidRPr="00B61165">
        <w:t>ibility Act of 1980 (RFA)</w:t>
      </w:r>
      <w:r>
        <w:rPr>
          <w:rStyle w:val="FootnoteReference"/>
        </w:rPr>
        <w:footnoteReference w:id="58"/>
      </w:r>
      <w:r w:rsidRPr="00B61165">
        <w:t xml:space="preserve"> generally requires a description and analysis of proposed rules that will have significant economic impact on a substantial number of small entities.</w:t>
      </w:r>
      <w:r>
        <w:t xml:space="preserve"> </w:t>
      </w:r>
      <w:r>
        <w:t xml:space="preserve"> </w:t>
      </w:r>
      <w:r w:rsidRPr="00B56021">
        <w:t>The Small Business Administration’s (SBA) Office of Size</w:t>
      </w:r>
      <w:r>
        <w:t xml:space="preserve"> </w:t>
      </w:r>
      <w:r w:rsidRPr="00B56021">
        <w:t>Standards develops the numerical definition of a small business.</w:t>
      </w:r>
      <w:r>
        <w:rPr>
          <w:rStyle w:val="FootnoteReference"/>
        </w:rPr>
        <w:footnoteReference w:id="59"/>
      </w:r>
      <w:r w:rsidRPr="00B56021">
        <w:rPr>
          <w:b/>
          <w:bCs/>
        </w:rPr>
        <w:t xml:space="preserve"> </w:t>
      </w:r>
      <w:r>
        <w:rPr>
          <w:b/>
          <w:bCs/>
        </w:rPr>
        <w:t xml:space="preserve"> </w:t>
      </w:r>
      <w:r w:rsidRPr="00B56021">
        <w:t>The SBA revised its</w:t>
      </w:r>
      <w:r>
        <w:t xml:space="preserve"> </w:t>
      </w:r>
      <w:r w:rsidRPr="00B56021">
        <w:t xml:space="preserve">size standard for electric utilities (effective </w:t>
      </w:r>
      <w:r>
        <w:t>March 17</w:t>
      </w:r>
      <w:r w:rsidRPr="00B56021">
        <w:t>, 20</w:t>
      </w:r>
      <w:r>
        <w:t>23</w:t>
      </w:r>
      <w:r w:rsidRPr="00B56021">
        <w:t>) to a standard based on th</w:t>
      </w:r>
      <w:r>
        <w:t xml:space="preserve">e </w:t>
      </w:r>
      <w:r w:rsidRPr="00B56021">
        <w:t>number of employees, including affiliates (from the prior standard based on megawatt</w:t>
      </w:r>
    </w:p>
    <w:p w:rsidR="00A23039" w:rsidP="00262E56" w14:paraId="1C58F637" w14:textId="7FE398E7">
      <w:pPr>
        <w:pStyle w:val="FERCparanumber"/>
        <w:numPr>
          <w:ilvl w:val="0"/>
          <w:numId w:val="0"/>
        </w:numPr>
      </w:pPr>
      <w:r w:rsidRPr="00B56021">
        <w:t>hour sales).</w:t>
      </w:r>
      <w:r>
        <w:rPr>
          <w:rStyle w:val="FootnoteReference"/>
        </w:rPr>
        <w:footnoteReference w:id="60"/>
      </w:r>
      <w:r w:rsidR="006B5A4E">
        <w:t xml:space="preserve">  </w:t>
      </w:r>
      <w:r w:rsidRPr="00B61165" w:rsidR="006B5A4E">
        <w:t>The Commission</w:t>
      </w:r>
      <w:r w:rsidR="006B5A4E">
        <w:t xml:space="preserve"> believes that </w:t>
      </w:r>
      <w:r w:rsidR="00F54CC8">
        <w:t xml:space="preserve">because </w:t>
      </w:r>
      <w:r w:rsidR="006B5A4E">
        <w:t xml:space="preserve">the obligations imposed upon industry </w:t>
      </w:r>
      <w:r w:rsidR="006B607D">
        <w:t>are</w:t>
      </w:r>
      <w:r w:rsidR="006B5A4E">
        <w:t xml:space="preserve"> directed at only entities that own or operate high</w:t>
      </w:r>
      <w:r w:rsidR="00F54CC8">
        <w:t xml:space="preserve"> impact BES Cyber Systems with or without external routable connectivity</w:t>
      </w:r>
      <w:r w:rsidR="006B5A4E">
        <w:t xml:space="preserve"> or medium impact BES Cyber Systems</w:t>
      </w:r>
      <w:r w:rsidR="006B5A4E">
        <w:t xml:space="preserve"> </w:t>
      </w:r>
      <w:r w:rsidR="00F54CC8">
        <w:t>with</w:t>
      </w:r>
      <w:r w:rsidR="006B5A4E">
        <w:t xml:space="preserve"> </w:t>
      </w:r>
      <w:r w:rsidR="00561CAA">
        <w:t>external routable connectivity</w:t>
      </w:r>
      <w:r w:rsidR="006B5A4E">
        <w:t xml:space="preserve"> that there are</w:t>
      </w:r>
      <w:r w:rsidR="0078023D">
        <w:t xml:space="preserve"> no</w:t>
      </w:r>
      <w:r w:rsidR="006B5A4E">
        <w:t xml:space="preserve"> entities that meet the </w:t>
      </w:r>
      <w:r w:rsidRPr="00B56021" w:rsidR="006B5A4E">
        <w:t>SBA revised</w:t>
      </w:r>
      <w:r w:rsidR="006B5A4E">
        <w:t xml:space="preserve"> </w:t>
      </w:r>
      <w:r w:rsidRPr="00B56021" w:rsidR="006B5A4E">
        <w:t>standard for electric utilities</w:t>
      </w:r>
      <w:r w:rsidR="006B5A4E">
        <w:t>.</w:t>
      </w:r>
      <w:r w:rsidR="00D46D34">
        <w:t xml:space="preserve">  </w:t>
      </w:r>
      <w:r w:rsidR="00D90D77">
        <w:t>Therefore</w:t>
      </w:r>
      <w:r w:rsidR="00D46D34">
        <w:t xml:space="preserve">, the </w:t>
      </w:r>
      <w:r w:rsidR="001448D7">
        <w:t xml:space="preserve">Commission certifies that this </w:t>
      </w:r>
      <w:r w:rsidR="00D46D34">
        <w:t xml:space="preserve">NOPR </w:t>
      </w:r>
      <w:r w:rsidR="001448D7">
        <w:t>will</w:t>
      </w:r>
      <w:r w:rsidR="00D46D34">
        <w:t xml:space="preserve"> not have</w:t>
      </w:r>
      <w:r w:rsidR="002E1A0F">
        <w:t xml:space="preserve"> a</w:t>
      </w:r>
      <w:r w:rsidR="00D46D34">
        <w:t xml:space="preserve"> significant economic impact on a substantial number of small entities. </w:t>
      </w:r>
      <w:r w:rsidR="00D90D77">
        <w:t xml:space="preserve"> Accordingly, no regulatory flexibility analysis is required. </w:t>
      </w:r>
    </w:p>
    <w:p w:rsidR="00E46F08" w:rsidRPr="00B61165" w:rsidP="00E46F08" w14:paraId="1F1C9AED" w14:textId="77777777">
      <w:pPr>
        <w:pStyle w:val="Heading1"/>
      </w:pPr>
      <w:bookmarkStart w:id="15" w:name="_Toc172816936"/>
      <w:r w:rsidRPr="00B61165">
        <w:t>Comment Procedures</w:t>
      </w:r>
      <w:bookmarkEnd w:id="15"/>
    </w:p>
    <w:p w:rsidR="00037BFB" w:rsidP="00E46F08" w14:paraId="50786D71" w14:textId="77777777">
      <w:pPr>
        <w:pStyle w:val="FERCparanumber"/>
      </w:pPr>
      <w:r w:rsidRPr="00B61165">
        <w:t>The Commission invites interested persons to submit comments on the matters and issues proposed in this notice to be adopted, including any related matters or alternative proposals that commenters may wish to discuss.  Comments are due</w:t>
      </w:r>
      <w:r>
        <w:t xml:space="preserve"> </w:t>
      </w:r>
      <w:r w:rsidRPr="00B3607A">
        <w:rPr>
          <w:b/>
        </w:rPr>
        <w:t xml:space="preserve">[INSERT DATE </w:t>
      </w:r>
      <w:r w:rsidR="00A23039">
        <w:rPr>
          <w:b/>
        </w:rPr>
        <w:t xml:space="preserve">60 </w:t>
      </w:r>
      <w:r w:rsidRPr="004731B2">
        <w:rPr>
          <w:b/>
          <w:bCs/>
        </w:rPr>
        <w:t xml:space="preserve">DAYS </w:t>
      </w:r>
      <w:r w:rsidRPr="00B3607A">
        <w:rPr>
          <w:b/>
        </w:rPr>
        <w:t>AFTER DATE OF PUBLICATION IN THE FEDERAL REGISTER]</w:t>
      </w:r>
      <w:r w:rsidRPr="00B61165">
        <w:t xml:space="preserve">.  Comments must refer to Docket No. </w:t>
      </w:r>
      <w:r w:rsidR="00A23039">
        <w:t>RM24-7-000</w:t>
      </w:r>
      <w:r w:rsidRPr="00B61165">
        <w:t>, and must include the commenter's name, the organization they represent, if applicable, and their address in their comments.</w:t>
      </w:r>
      <w:r>
        <w:t xml:space="preserve">  </w:t>
      </w:r>
    </w:p>
    <w:p w:rsidR="00E46F08" w:rsidP="00E46F08" w14:paraId="27702E85" w14:textId="1223BC9A">
      <w:pPr>
        <w:pStyle w:val="FERCparanumber"/>
      </w:pPr>
      <w:r w:rsidRPr="00B61165">
        <w:t>All comments will be placed in the Commission</w:t>
      </w:r>
      <w:r w:rsidR="00B2627D">
        <w:t>’</w:t>
      </w:r>
      <w:r w:rsidRPr="00B61165">
        <w:t>s public files and may be viewed, printed, or downloaded remotely as described in the Document Availability section below.  Commenters on this proposal are not required to serve copies of their comments on other commenters.</w:t>
      </w:r>
    </w:p>
    <w:p w:rsidR="00E46F08" w:rsidRPr="00626AD6" w:rsidP="00E46F08" w14:paraId="15B5758B" w14:textId="19EF9EC7">
      <w:pPr>
        <w:pStyle w:val="FERCparanumber"/>
      </w:pPr>
      <w:r w:rsidRPr="00626AD6">
        <w:t xml:space="preserve">The Commission encourages comments to be filed electronically via the eFiling link on the Commission’s website at </w:t>
      </w:r>
      <w:r w:rsidRPr="00535F25" w:rsidR="00535F25">
        <w:t>http://www.ferc.gov</w:t>
      </w:r>
      <w:r>
        <w:t>.</w:t>
      </w:r>
      <w:r w:rsidRPr="00626AD6">
        <w:t xml:space="preserve">  The Commission accepts most standard word processing formats.  Documents created electronically using word processing software </w:t>
      </w:r>
      <w:r>
        <w:t xml:space="preserve">must </w:t>
      </w:r>
      <w:r w:rsidRPr="00626AD6">
        <w:t>be filed in native applications or print-to-PDF format and not in a scanned format.  Commenters filing electronically do not need to make a paper filing.</w:t>
      </w:r>
    </w:p>
    <w:p w:rsidR="00E46F08" w:rsidRPr="00B61165" w:rsidP="00E46F08" w14:paraId="6D6B0513" w14:textId="27C33D41">
      <w:pPr>
        <w:pStyle w:val="FERCparanumber"/>
      </w:pPr>
      <w:r w:rsidRPr="00626AD6">
        <w:t xml:space="preserve">Commenters that are not able to file comments electronically </w:t>
      </w:r>
      <w:r w:rsidRPr="00E950E7">
        <w:t>may file</w:t>
      </w:r>
      <w:r>
        <w:t xml:space="preserve"> an original of their comment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 xml:space="preserve">mailed to: </w:t>
      </w:r>
      <w:r w:rsidR="00AB1C35">
        <w:t xml:space="preserve"> </w:t>
      </w:r>
      <w:r w:rsidRPr="00626AD6">
        <w:t xml:space="preserve">Federal Energy Regulatory Commission, Office of the Secretary, 888 First Street, NE, Washington, DC  20426.  Submission of filings other than by USPS should be </w:t>
      </w:r>
      <w:r>
        <w:t xml:space="preserve">delivered </w:t>
      </w:r>
      <w:r w:rsidRPr="00626AD6">
        <w:t>to: Federal Energy Regulatory Commission, 12225 Wilkins Avenue, Rockville, M</w:t>
      </w:r>
      <w:r>
        <w:t>D</w:t>
      </w:r>
      <w:r w:rsidRPr="00626AD6">
        <w:t xml:space="preserve"> 20852.</w:t>
      </w:r>
    </w:p>
    <w:p w:rsidR="00E46F08" w:rsidRPr="00B61165" w:rsidP="00E46F08" w14:paraId="3DAE90DB" w14:textId="77777777">
      <w:pPr>
        <w:pStyle w:val="Heading1"/>
      </w:pPr>
      <w:bookmarkStart w:id="16" w:name="_Toc172816937"/>
      <w:r w:rsidRPr="00B61165">
        <w:t>Document Availability</w:t>
      </w:r>
      <w:bookmarkEnd w:id="16"/>
    </w:p>
    <w:p w:rsidR="00E46F08" w:rsidP="00E46F08" w14:paraId="6CF7EB36" w14:textId="62F771C9">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Commission's Home Page</w:t>
      </w:r>
      <w:r w:rsidR="00817927">
        <w:t xml:space="preserve"> </w:t>
      </w:r>
      <w:r w:rsidRPr="00B70256">
        <w:t>(</w:t>
      </w:r>
      <w:r w:rsidRPr="00535F25" w:rsidR="00535F25">
        <w:t>http://www.ferc.gov</w:t>
      </w:r>
      <w:r w:rsidRPr="00B70256">
        <w:t>).</w:t>
      </w:r>
    </w:p>
    <w:p w:rsidR="00E46F08" w:rsidRPr="00395600" w:rsidP="00E46F08" w14:paraId="7E0765A8" w14:textId="2431C8DA">
      <w:pPr>
        <w:pStyle w:val="FERCparanumber"/>
      </w:pPr>
      <w:r w:rsidRPr="564FFD16">
        <w:rPr>
          <w:color w:val="000000" w:themeColor="text1"/>
        </w:rPr>
        <w:t xml:space="preserve">From the Commission’s Home Page on the Internet, this information is available on eLibrary. The full text of this document is available on eLibrary in PDF and Microsoft Word format for viewing, printing, and/or downloading. </w:t>
      </w:r>
      <w:r w:rsidR="00981074">
        <w:rPr>
          <w:color w:val="000000" w:themeColor="text1"/>
        </w:rPr>
        <w:t xml:space="preserve"> </w:t>
      </w:r>
      <w:r w:rsidRPr="564FFD16">
        <w:rPr>
          <w:color w:val="000000" w:themeColor="text1"/>
        </w:rPr>
        <w:t>To access this document in eLibrary, type the docket number excluding the last three digits of this document in the docket number field.</w:t>
      </w:r>
    </w:p>
    <w:p w:rsidR="00E46F08" w:rsidRPr="00B61165" w:rsidP="00E46F08" w14:paraId="7CD3E5B9" w14:textId="729A063F">
      <w:pPr>
        <w:pStyle w:val="FERCparanumber"/>
      </w:pPr>
      <w:r>
        <w:t xml:space="preserve">User assistance is available for eLibrary and </w:t>
      </w:r>
      <w:r w:rsidRPr="00B70256">
        <w:t>the Commission’s</w:t>
      </w:r>
      <w:r>
        <w:t xml:space="preserve"> website during normal business hours from FERC Online Support at 202-502-6652 (toll free at 1-866-208-3676) or e</w:t>
      </w:r>
      <w:r w:rsidR="00981074">
        <w:t>-</w:t>
      </w:r>
      <w:r>
        <w:t xml:space="preserve">mail at </w:t>
      </w:r>
      <w:r w:rsidRPr="00535F25" w:rsidR="00535F25">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(202) 502-8371, TTY (202)</w:t>
      </w:r>
      <w:r w:rsidR="00981074">
        <w:t xml:space="preserve"> </w:t>
      </w:r>
      <w:r>
        <w:t xml:space="preserve">502-8659. </w:t>
      </w:r>
      <w:r w:rsidR="00981074">
        <w:t xml:space="preserve"> </w:t>
      </w:r>
      <w:r>
        <w:t xml:space="preserve">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w:t>
      </w:r>
      <w:r w:rsidRPr="00535F25" w:rsidR="00535F25">
        <w:t>public.referenceroom@ferc.gov</w:t>
      </w:r>
      <w:r>
        <w:t>.</w:t>
      </w:r>
    </w:p>
    <w:p w:rsidR="00FF32A1" w:rsidP="001C286B" w14:paraId="6CAE78FD" w14:textId="0C7AF0FF">
      <w:pPr>
        <w:spacing w:line="480" w:lineRule="auto"/>
        <w:ind w:firstLine="720"/>
      </w:pPr>
      <w:r w:rsidRPr="00B61165">
        <w:t>By direction of the Commission.</w:t>
      </w:r>
      <w:r w:rsidRPr="00B61165">
        <w:tab/>
      </w:r>
      <w:r w:rsidRPr="00B61165">
        <w:tab/>
      </w:r>
      <w:r w:rsidRPr="00B61165">
        <w:tab/>
      </w:r>
      <w:r w:rsidRPr="00B61165">
        <w:tab/>
      </w:r>
      <w:r w:rsidRPr="00B61165">
        <w:tab/>
      </w:r>
      <w:r w:rsidRPr="00B61165">
        <w:tab/>
      </w:r>
    </w:p>
    <w:p w:rsidR="00523A69" w:rsidP="00523A69" w14:paraId="74D379FD" w14:textId="77777777">
      <w:pPr>
        <w:pStyle w:val="FootnoteText"/>
        <w:widowControl/>
        <w:spacing w:after="0"/>
        <w:ind w:firstLine="0"/>
      </w:pPr>
    </w:p>
    <w:p w:rsidR="00523A69" w:rsidP="00523A69" w14:paraId="28E83888" w14:textId="77777777">
      <w:pPr>
        <w:pStyle w:val="FootnoteText"/>
        <w:widowControl/>
        <w:spacing w:after="0"/>
        <w:ind w:firstLine="0"/>
      </w:pPr>
    </w:p>
    <w:p w:rsidR="00523A69" w:rsidP="00523A69" w14:paraId="3C742B1C" w14:textId="77777777">
      <w:pPr>
        <w:pStyle w:val="FootnoteText"/>
        <w:widowControl/>
        <w:spacing w:after="0"/>
        <w:ind w:firstLine="0"/>
      </w:pPr>
    </w:p>
    <w:p w:rsidR="00523A69" w:rsidRPr="00523A69" w:rsidP="00523A69" w14:paraId="49995123" w14:textId="564741C8">
      <w:pPr>
        <w:widowControl/>
        <w:ind w:firstLine="2606"/>
        <w:jc w:val="center"/>
      </w:pPr>
      <w:r w:rsidRPr="00523A69">
        <w:t>Debbie-Anne A. Reese,</w:t>
      </w:r>
    </w:p>
    <w:p w:rsidR="00523A69" w:rsidRPr="00523A69" w:rsidP="00523A69" w14:paraId="0C6F07DC" w14:textId="06B36695">
      <w:pPr>
        <w:widowControl/>
        <w:ind w:firstLine="2606"/>
        <w:jc w:val="center"/>
      </w:pPr>
      <w:r w:rsidRPr="00523A69">
        <w:t>Acting Secretary.</w:t>
      </w:r>
    </w:p>
    <w:p w:rsidR="00523A69" w:rsidRPr="0003382F" w:rsidP="00523A69" w14:paraId="38CE1D4F" w14:textId="77777777">
      <w:pPr>
        <w:pStyle w:val="FootnoteText"/>
        <w:widowControl/>
        <w:spacing w:after="0"/>
        <w:ind w:firstLine="0"/>
      </w:pPr>
    </w:p>
    <w:sectPr w:rsidSect="00CD3C9D">
      <w:headerReference w:type="even" r:id="rId14"/>
      <w:headerReference w:type="default" r:id="rId15"/>
      <w:head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1AB5" w:rsidP="0048020B" w14:paraId="5F91210A" w14:textId="77777777">
      <w:r>
        <w:separator/>
      </w:r>
    </w:p>
  </w:endnote>
  <w:endnote w:type="continuationSeparator" w:id="1">
    <w:p w:rsidR="00AE1AB5" w:rsidP="0048020B" w14:paraId="6233B695" w14:textId="77777777">
      <w:r>
        <w:continuationSeparator/>
      </w:r>
    </w:p>
  </w:endnote>
  <w:endnote w:type="continuationNotice" w:id="2">
    <w:p w:rsidR="00AE1AB5" w14:paraId="42A7AED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1AB5" w:rsidP="0048020B" w14:paraId="5A21EDE3" w14:textId="77777777">
      <w:r>
        <w:separator/>
      </w:r>
    </w:p>
  </w:footnote>
  <w:footnote w:type="continuationSeparator" w:id="1">
    <w:p w:rsidR="00AE1AB5" w:rsidP="0048020B" w14:paraId="16587E5C" w14:textId="77777777">
      <w:r>
        <w:continuationSeparator/>
      </w:r>
    </w:p>
  </w:footnote>
  <w:footnote w:type="continuationNotice" w:id="2">
    <w:p w:rsidR="00AE1AB5" w:rsidRPr="007D7CA5" w:rsidP="007D7CA5" w14:paraId="47C2402E" w14:textId="77777777">
      <w:pPr>
        <w:spacing w:line="14" w:lineRule="exact"/>
        <w:rPr>
          <w:sz w:val="2"/>
        </w:rPr>
      </w:pPr>
    </w:p>
  </w:footnote>
  <w:footnote w:id="3">
    <w:p w:rsidR="004F2C54" w14:paraId="4B7FB4D5" w14:textId="1B4125A2">
      <w:pPr>
        <w:pStyle w:val="FootnoteText"/>
      </w:pPr>
      <w:r>
        <w:rPr>
          <w:rStyle w:val="FootnoteReference"/>
        </w:rPr>
        <w:footnoteRef/>
      </w:r>
      <w:r>
        <w:t xml:space="preserve"> </w:t>
      </w:r>
      <w:r w:rsidRPr="004F2C54">
        <w:t>16 U.S.C.</w:t>
      </w:r>
      <w:r>
        <w:t xml:space="preserve"> </w:t>
      </w:r>
      <w:r w:rsidRPr="004F2C54">
        <w:t>824o(d)(2).</w:t>
      </w:r>
    </w:p>
  </w:footnote>
  <w:footnote w:id="4">
    <w:p w:rsidR="004F2C54" w:rsidRPr="004F2C54" w14:paraId="3F583B0D" w14:textId="0E3F3593">
      <w:pPr>
        <w:pStyle w:val="FootnoteText"/>
      </w:pPr>
      <w:r>
        <w:rPr>
          <w:rStyle w:val="FootnoteReference"/>
        </w:rPr>
        <w:footnoteRef/>
      </w:r>
      <w:r>
        <w:t xml:space="preserve"> </w:t>
      </w:r>
      <w:r w:rsidRPr="004F2C54">
        <w:rPr>
          <w:i/>
          <w:iCs/>
        </w:rPr>
        <w:t xml:space="preserve">Internal Network </w:t>
      </w:r>
      <w:r w:rsidRPr="004F2C54" w:rsidR="00EF5AFD">
        <w:rPr>
          <w:i/>
          <w:iCs/>
        </w:rPr>
        <w:t>Sec</w:t>
      </w:r>
      <w:r w:rsidR="00EF5AFD">
        <w:rPr>
          <w:i/>
          <w:iCs/>
        </w:rPr>
        <w:t>.</w:t>
      </w:r>
      <w:r w:rsidRPr="004F2C54" w:rsidR="00EF5AFD">
        <w:rPr>
          <w:i/>
          <w:iCs/>
        </w:rPr>
        <w:t xml:space="preserve"> </w:t>
      </w:r>
      <w:r w:rsidRPr="004F2C54">
        <w:rPr>
          <w:i/>
          <w:iCs/>
        </w:rPr>
        <w:t xml:space="preserve">Monitoring for High </w:t>
      </w:r>
      <w:r w:rsidR="0070195D">
        <w:rPr>
          <w:i/>
          <w:iCs/>
        </w:rPr>
        <w:t>&amp;</w:t>
      </w:r>
      <w:r w:rsidRPr="004F2C54" w:rsidR="0070195D">
        <w:rPr>
          <w:i/>
          <w:iCs/>
        </w:rPr>
        <w:t xml:space="preserve"> </w:t>
      </w:r>
      <w:r w:rsidRPr="004F2C54">
        <w:rPr>
          <w:i/>
          <w:iCs/>
        </w:rPr>
        <w:t>Medium Impact Bulk Elec</w:t>
      </w:r>
      <w:r w:rsidR="00EF5AFD">
        <w:rPr>
          <w:i/>
          <w:iCs/>
        </w:rPr>
        <w:t>.</w:t>
      </w:r>
      <w:r w:rsidRPr="004F2C54">
        <w:rPr>
          <w:i/>
          <w:iCs/>
        </w:rPr>
        <w:t xml:space="preserve"> </w:t>
      </w:r>
      <w:r w:rsidRPr="004F2C54" w:rsidR="005626F9">
        <w:rPr>
          <w:i/>
          <w:iCs/>
        </w:rPr>
        <w:t>Sys</w:t>
      </w:r>
      <w:r w:rsidR="005626F9">
        <w:rPr>
          <w:i/>
          <w:iCs/>
        </w:rPr>
        <w:t>.</w:t>
      </w:r>
      <w:r w:rsidRPr="004F2C54" w:rsidR="005626F9">
        <w:rPr>
          <w:i/>
          <w:iCs/>
        </w:rPr>
        <w:t xml:space="preserve"> </w:t>
      </w:r>
      <w:r w:rsidRPr="004F2C54">
        <w:rPr>
          <w:i/>
          <w:iCs/>
        </w:rPr>
        <w:t xml:space="preserve">Cyber </w:t>
      </w:r>
      <w:r w:rsidRPr="004F2C54" w:rsidR="005626F9">
        <w:rPr>
          <w:i/>
          <w:iCs/>
        </w:rPr>
        <w:t>Sys</w:t>
      </w:r>
      <w:r w:rsidR="005626F9">
        <w:rPr>
          <w:i/>
          <w:iCs/>
        </w:rPr>
        <w:t>.</w:t>
      </w:r>
      <w:r>
        <w:t xml:space="preserve">, Order No. 887, </w:t>
      </w:r>
      <w:r w:rsidR="000E6F52">
        <w:t>88 FR 8354 (Feb. 9, 2023),</w:t>
      </w:r>
      <w:r>
        <w:t xml:space="preserve"> </w:t>
      </w:r>
      <w:r w:rsidRPr="004F2C54">
        <w:t>182 FERC ¶ 61,021</w:t>
      </w:r>
      <w:r w:rsidR="001E51C4">
        <w:t xml:space="preserve"> </w:t>
      </w:r>
      <w:r w:rsidR="001E51C4">
        <w:t xml:space="preserve">(2023). </w:t>
      </w:r>
    </w:p>
  </w:footnote>
  <w:footnote w:id="5">
    <w:p w:rsidR="0000390B" w:rsidP="00E36657" w14:paraId="7858111B" w14:textId="03FFDEC8">
      <w:pPr>
        <w:pStyle w:val="FootnoteText"/>
      </w:pPr>
      <w:r>
        <w:rPr>
          <w:rStyle w:val="FootnoteReference"/>
        </w:rPr>
        <w:footnoteRef/>
      </w:r>
      <w:r>
        <w:t xml:space="preserve"> </w:t>
      </w:r>
      <w:r w:rsidRPr="004F2C54" w:rsidR="00E36657">
        <w:t>16 U.S.C.</w:t>
      </w:r>
      <w:r w:rsidR="00E36657">
        <w:t xml:space="preserve"> </w:t>
      </w:r>
      <w:r w:rsidRPr="004F2C54" w:rsidR="00E36657">
        <w:t>824o(d)(</w:t>
      </w:r>
      <w:r w:rsidR="00E36657">
        <w:t>5</w:t>
      </w:r>
      <w:r w:rsidRPr="004F2C54" w:rsidR="00E36657">
        <w:t>).</w:t>
      </w:r>
    </w:p>
  </w:footnote>
  <w:footnote w:id="6">
    <w:p w:rsidR="00E04D6C" w:rsidRPr="00012524" w:rsidP="00E04D6C" w14:paraId="76A5E2D5" w14:textId="0A123E64">
      <w:pPr>
        <w:pStyle w:val="FootnoteText"/>
      </w:pPr>
      <w:r>
        <w:rPr>
          <w:rStyle w:val="FootnoteReference"/>
        </w:rPr>
        <w:footnoteRef/>
      </w:r>
      <w:r>
        <w:t xml:space="preserve"> INSM is “a subset of network security monitoring that is applied within a ‘trust zone,’ such as an electronic security perimeter.”  </w:t>
      </w:r>
      <w:r w:rsidRPr="002D2A0E">
        <w:t>Order No. 887</w:t>
      </w:r>
      <w:r>
        <w:t xml:space="preserve">, </w:t>
      </w:r>
      <w:r w:rsidRPr="004F2C54">
        <w:t>182 FERC ¶ 61,021</w:t>
      </w:r>
      <w:r>
        <w:rPr>
          <w:i/>
          <w:iCs/>
        </w:rPr>
        <w:t xml:space="preserve"> </w:t>
      </w:r>
      <w:r>
        <w:t>at P</w:t>
      </w:r>
      <w:r w:rsidR="00313D92">
        <w:t> </w:t>
      </w:r>
      <w:r>
        <w:t>2.</w:t>
      </w:r>
    </w:p>
  </w:footnote>
  <w:footnote w:id="7">
    <w:p w:rsidR="003109AD" w:rsidP="003109AD" w14:paraId="66DA842C" w14:textId="30371DF6">
      <w:pPr>
        <w:pStyle w:val="FootnoteText"/>
      </w:pPr>
      <w:r>
        <w:rPr>
          <w:rStyle w:val="FootnoteReference"/>
        </w:rPr>
        <w:footnoteRef/>
      </w:r>
      <w:r>
        <w:t xml:space="preserve"> EACMS are “</w:t>
      </w:r>
      <w:r w:rsidRPr="00C329A6">
        <w:t xml:space="preserve">Cyber Assets that perform electronic access control or electronic access monitoring of the Electronic Security Perimeter(s) or BES Cyber Systems. </w:t>
      </w:r>
      <w:r>
        <w:t xml:space="preserve"> </w:t>
      </w:r>
      <w:r w:rsidRPr="00C329A6">
        <w:t>This includes Intermediate Systems</w:t>
      </w:r>
      <w:r>
        <w:t xml:space="preserve">.”  </w:t>
      </w:r>
      <w:r w:rsidRPr="00C53C01" w:rsidR="00211B8F">
        <w:t xml:space="preserve">NERC, </w:t>
      </w:r>
      <w:r w:rsidRPr="00C53C01" w:rsidR="00211B8F">
        <w:rPr>
          <w:i/>
          <w:iCs/>
        </w:rPr>
        <w:t>Glossary of Terms Used in NERC Reliability</w:t>
      </w:r>
      <w:r w:rsidRPr="00C53C01" w:rsidR="00211B8F">
        <w:t xml:space="preserve"> </w:t>
      </w:r>
      <w:r w:rsidRPr="00C53C01" w:rsidR="00211B8F">
        <w:rPr>
          <w:i/>
          <w:iCs/>
        </w:rPr>
        <w:t>Standards</w:t>
      </w:r>
      <w:r w:rsidR="00211B8F">
        <w:t xml:space="preserve">, (July 22, 2024), </w:t>
      </w:r>
      <w:r w:rsidRPr="00C53C01" w:rsidR="00211B8F">
        <w:t>https://www.nerc.com/pa/Stand/Glossary%20of%20Terms/Glossary_of_Terms.pdf</w:t>
      </w:r>
      <w:r w:rsidR="00211B8F">
        <w:t xml:space="preserve"> (NERC Glossary).</w:t>
      </w:r>
    </w:p>
  </w:footnote>
  <w:footnote w:id="8">
    <w:p w:rsidR="00962190" w:rsidRPr="00C329A6" w:rsidP="00962190" w14:paraId="78D7E323" w14:textId="77777777">
      <w:pPr>
        <w:pStyle w:val="FootnoteText"/>
      </w:pPr>
      <w:r>
        <w:rPr>
          <w:rStyle w:val="FootnoteReference"/>
        </w:rPr>
        <w:footnoteRef/>
      </w:r>
      <w:r>
        <w:t xml:space="preserve"> PACS are “</w:t>
      </w:r>
      <w:r w:rsidRPr="00C329A6">
        <w:t>Cyber Assets that control, alert, or log access to the Physical Security Perimeter(s), exclusive of locally mounted hardware or devices at the Physical Security Perimeter such as motion sensors, electronic lock control mechanisms, and badge readers</w:t>
      </w:r>
      <w:r>
        <w:t xml:space="preserve">.”  </w:t>
      </w:r>
      <w:r>
        <w:rPr>
          <w:i/>
          <w:iCs/>
        </w:rPr>
        <w:t>Id.</w:t>
      </w:r>
    </w:p>
  </w:footnote>
  <w:footnote w:id="9">
    <w:p w:rsidR="00C53C01" w:rsidRPr="00C53C01" w14:paraId="2D874694" w14:textId="7C76CA65">
      <w:pPr>
        <w:pStyle w:val="FootnoteText"/>
      </w:pPr>
      <w:r>
        <w:rPr>
          <w:rStyle w:val="FootnoteReference"/>
        </w:rPr>
        <w:footnoteRef/>
      </w:r>
      <w:r>
        <w:t xml:space="preserve"> </w:t>
      </w:r>
      <w:r w:rsidR="00521CE2">
        <w:t xml:space="preserve">NERC defines </w:t>
      </w:r>
      <w:r>
        <w:t>BES Cyber Systems as “</w:t>
      </w:r>
      <w:r w:rsidRPr="00C53C01">
        <w:t>One or more BES Cyber Assets logically grouped by a responsible entity to perform one or more reliability tasks for a functional entity.</w:t>
      </w:r>
      <w:r>
        <w:t xml:space="preserve">” </w:t>
      </w:r>
      <w:r w:rsidR="000777B7">
        <w:t xml:space="preserve"> </w:t>
      </w:r>
      <w:r w:rsidRPr="003F391C" w:rsidR="00521CE2">
        <w:rPr>
          <w:i/>
        </w:rPr>
        <w:t>See</w:t>
      </w:r>
      <w:r w:rsidR="00521CE2">
        <w:t xml:space="preserve"> </w:t>
      </w:r>
      <w:r w:rsidRPr="00C53C01">
        <w:t>NERC</w:t>
      </w:r>
      <w:r w:rsidR="00E567E9">
        <w:t xml:space="preserve"> Glossary</w:t>
      </w:r>
      <w:r>
        <w:t xml:space="preserve">.  </w:t>
      </w:r>
      <w:r w:rsidRPr="00C53C01">
        <w:t>BES Cyber Systems are categorized as high, medium, or low impact depending on the functions of the assets housed within each system and the risk they potentially pose to the reliable operation of the Bulk-Power System.  Reliability Standard CIP-002-5.1a (BES Cyber System Categorization) sets forth criteria that registered entities apply to categorize BES Cyber Systems as high, medium, or low impact depending on the adverse impact that loss, compromise, or misuse of those BES Cyber Systems could have on the reliable operation of the BES.  The impact level (i.e., high, medium, or low) of BES Cyber Systems, in turn, determines the applicability of security controls for BES Cyber Systems that are contained in the remaining CIP Reliability Standards (i.e., Reliability Standards CIP-003-8 to CIP-013-1).</w:t>
      </w:r>
    </w:p>
  </w:footnote>
  <w:footnote w:id="10">
    <w:p w:rsidR="008206DD" w14:paraId="04C7E7D2" w14:textId="26656552">
      <w:pPr>
        <w:pStyle w:val="FootnoteText"/>
      </w:pPr>
      <w:r>
        <w:rPr>
          <w:rStyle w:val="FootnoteReference"/>
        </w:rPr>
        <w:footnoteRef/>
      </w:r>
      <w:r>
        <w:t xml:space="preserve"> External routable connectivity is “</w:t>
      </w:r>
      <w:r w:rsidR="00AF1F1C">
        <w:t>[t]</w:t>
      </w:r>
      <w:r w:rsidRPr="008206DD">
        <w:t>he ability to access a BES Cyber System from a Cyber Asset that is outside of its associated Electronic Security Perimeter via a bi-directional routable protocol connection.</w:t>
      </w:r>
      <w:r>
        <w:t xml:space="preserve">” </w:t>
      </w:r>
      <w:r w:rsidR="00D04B75">
        <w:t xml:space="preserve"> </w:t>
      </w:r>
      <w:r>
        <w:t>NERC Glossary.</w:t>
      </w:r>
    </w:p>
  </w:footnote>
  <w:footnote w:id="11">
    <w:p w:rsidR="00C53C01" w14:paraId="72C03AFB" w14:textId="3053D5CD">
      <w:pPr>
        <w:pStyle w:val="FootnoteText"/>
      </w:pPr>
      <w:r>
        <w:rPr>
          <w:rStyle w:val="FootnoteReference"/>
        </w:rPr>
        <w:footnoteRef/>
      </w:r>
      <w:r>
        <w:t xml:space="preserve"> Order No. 887, </w:t>
      </w:r>
      <w:r w:rsidRPr="004F2C54">
        <w:t>182 FERC ¶ 61,021</w:t>
      </w:r>
      <w:r>
        <w:t xml:space="preserve"> at P </w:t>
      </w:r>
      <w:r w:rsidR="00A979B6">
        <w:t>49</w:t>
      </w:r>
      <w:r>
        <w:t xml:space="preserve">. </w:t>
      </w:r>
    </w:p>
  </w:footnote>
  <w:footnote w:id="12">
    <w:p w:rsidR="0040007A" w14:paraId="5E6CB8F1" w14:textId="0032EF2A">
      <w:pPr>
        <w:pStyle w:val="FootnoteText"/>
      </w:pPr>
      <w:r>
        <w:rPr>
          <w:rStyle w:val="FootnoteReference"/>
        </w:rPr>
        <w:footnoteRef/>
      </w:r>
      <w:r>
        <w:t xml:space="preserve"> </w:t>
      </w:r>
      <w:r w:rsidR="00F4016F">
        <w:t xml:space="preserve">NERC </w:t>
      </w:r>
      <w:r w:rsidR="007F4F64">
        <w:t>P</w:t>
      </w:r>
      <w:r w:rsidR="00F4016F">
        <w:t xml:space="preserve">etition at </w:t>
      </w:r>
      <w:r w:rsidR="00D21AB7">
        <w:t>1</w:t>
      </w:r>
      <w:r w:rsidR="001E593D">
        <w:t>,</w:t>
      </w:r>
      <w:r w:rsidR="00935712">
        <w:t xml:space="preserve"> 13.</w:t>
      </w:r>
      <w:r w:rsidR="00F4016F">
        <w:t xml:space="preserve"> </w:t>
      </w:r>
    </w:p>
  </w:footnote>
  <w:footnote w:id="13">
    <w:p w:rsidR="004C7133" w14:paraId="6054FCD1" w14:textId="41E04D65">
      <w:pPr>
        <w:pStyle w:val="FootnoteText"/>
      </w:pPr>
      <w:r>
        <w:rPr>
          <w:rStyle w:val="FootnoteReference"/>
        </w:rPr>
        <w:footnoteRef/>
      </w:r>
      <w:r>
        <w:t xml:space="preserve"> </w:t>
      </w:r>
      <w:r w:rsidR="00C06663">
        <w:rPr>
          <w:i/>
          <w:iCs/>
        </w:rPr>
        <w:t xml:space="preserve">See </w:t>
      </w:r>
      <w:r w:rsidR="00C06663">
        <w:t xml:space="preserve">Order No. 887, </w:t>
      </w:r>
      <w:r w:rsidRPr="00C06663" w:rsidR="00C06663">
        <w:t>182 FERC ¶ 61,021 at P</w:t>
      </w:r>
      <w:r w:rsidR="00C06663">
        <w:t xml:space="preserve"> </w:t>
      </w:r>
      <w:r w:rsidRPr="00AC7671" w:rsidR="00EC4C53">
        <w:t>1</w:t>
      </w:r>
      <w:r w:rsidRPr="00F3289A" w:rsidR="00C06663">
        <w:t>.</w:t>
      </w:r>
    </w:p>
  </w:footnote>
  <w:footnote w:id="14">
    <w:p w:rsidR="00803B96" w14:paraId="02B5D7A0" w14:textId="5FC80638">
      <w:pPr>
        <w:pStyle w:val="FootnoteText"/>
      </w:pPr>
      <w:r>
        <w:rPr>
          <w:rStyle w:val="FootnoteReference"/>
        </w:rPr>
        <w:footnoteRef/>
      </w:r>
      <w:r>
        <w:t xml:space="preserve"> </w:t>
      </w:r>
      <w:r w:rsidR="00431A8C">
        <w:rPr>
          <w:i/>
          <w:iCs/>
        </w:rPr>
        <w:t>Id.</w:t>
      </w:r>
      <w:r w:rsidR="00431A8C">
        <w:t xml:space="preserve"> </w:t>
      </w:r>
      <w:r>
        <w:t xml:space="preserve">P </w:t>
      </w:r>
      <w:r w:rsidR="00172DE7">
        <w:t>49</w:t>
      </w:r>
      <w:r>
        <w:t>.</w:t>
      </w:r>
    </w:p>
  </w:footnote>
  <w:footnote w:id="15">
    <w:p w:rsidR="00B03BD9" w14:paraId="71C62D08" w14:textId="78F04619">
      <w:pPr>
        <w:pStyle w:val="FootnoteText"/>
      </w:pPr>
      <w:r>
        <w:rPr>
          <w:rStyle w:val="FootnoteReference"/>
        </w:rPr>
        <w:footnoteRef/>
      </w:r>
      <w:r>
        <w:t xml:space="preserve"> </w:t>
      </w:r>
      <w:r w:rsidRPr="005A7E0C" w:rsidR="005A7E0C">
        <w:t xml:space="preserve">16 U.S.C. </w:t>
      </w:r>
      <w:r w:rsidRPr="005A7E0C" w:rsidR="005A7E0C">
        <w:rPr>
          <w:lang w:val="es-ES"/>
        </w:rPr>
        <w:t>824o(c).</w:t>
      </w:r>
    </w:p>
  </w:footnote>
  <w:footnote w:id="16">
    <w:p w:rsidR="00AA24DC" w14:paraId="77C912D0" w14:textId="7DACD8DF">
      <w:pPr>
        <w:pStyle w:val="FootnoteText"/>
      </w:pPr>
      <w:r>
        <w:rPr>
          <w:rStyle w:val="FootnoteReference"/>
        </w:rPr>
        <w:footnoteRef/>
      </w:r>
      <w:r>
        <w:t xml:space="preserve"> </w:t>
      </w:r>
      <w:r w:rsidR="005A7E0C">
        <w:rPr>
          <w:i/>
          <w:iCs/>
        </w:rPr>
        <w:t>Id.</w:t>
      </w:r>
      <w:r>
        <w:t xml:space="preserve"> </w:t>
      </w:r>
      <w:r w:rsidRPr="00AA24DC">
        <w:t>824o(e).</w:t>
      </w:r>
    </w:p>
  </w:footnote>
  <w:footnote w:id="17">
    <w:p w:rsidR="00AA24DC" w:rsidRPr="00044833" w:rsidP="00044833" w14:paraId="2C232BF3" w14:textId="6B08CCA9">
      <w:pPr>
        <w:pStyle w:val="FootnoteText"/>
        <w:rPr>
          <w:i/>
          <w:iCs/>
        </w:rPr>
      </w:pPr>
      <w:r>
        <w:rPr>
          <w:rStyle w:val="FootnoteReference"/>
        </w:rPr>
        <w:footnoteRef/>
      </w:r>
      <w:r>
        <w:t xml:space="preserve"> </w:t>
      </w:r>
      <w:r w:rsidRPr="00AA24DC">
        <w:rPr>
          <w:i/>
          <w:iCs/>
        </w:rPr>
        <w:t xml:space="preserve">Rules Concerning Certification of the </w:t>
      </w:r>
      <w:r w:rsidRPr="00AA24DC" w:rsidR="00305399">
        <w:rPr>
          <w:i/>
          <w:iCs/>
        </w:rPr>
        <w:t>Elec</w:t>
      </w:r>
      <w:r w:rsidR="00305399">
        <w:rPr>
          <w:i/>
          <w:iCs/>
        </w:rPr>
        <w:t>.</w:t>
      </w:r>
      <w:r w:rsidRPr="00AA24DC" w:rsidR="00305399">
        <w:rPr>
          <w:i/>
          <w:iCs/>
        </w:rPr>
        <w:t xml:space="preserve"> </w:t>
      </w:r>
      <w:r w:rsidRPr="00AA24DC">
        <w:rPr>
          <w:i/>
          <w:iCs/>
        </w:rPr>
        <w:t xml:space="preserve">Reliability </w:t>
      </w:r>
      <w:r w:rsidRPr="00AA24DC" w:rsidR="00305399">
        <w:rPr>
          <w:i/>
          <w:iCs/>
        </w:rPr>
        <w:t>Org</w:t>
      </w:r>
      <w:r w:rsidR="00305399">
        <w:rPr>
          <w:i/>
          <w:iCs/>
        </w:rPr>
        <w:t>.</w:t>
      </w:r>
      <w:r w:rsidRPr="00AA24DC">
        <w:rPr>
          <w:i/>
          <w:iCs/>
        </w:rPr>
        <w:t xml:space="preserve">; </w:t>
      </w:r>
      <w:r w:rsidR="007D7AF6">
        <w:rPr>
          <w:i/>
          <w:iCs/>
        </w:rPr>
        <w:t>&amp;</w:t>
      </w:r>
      <w:r w:rsidRPr="00AA24DC">
        <w:rPr>
          <w:i/>
          <w:iCs/>
        </w:rPr>
        <w:t xml:space="preserve"> </w:t>
      </w:r>
      <w:r w:rsidRPr="00AA24DC" w:rsidR="00305399">
        <w:rPr>
          <w:i/>
          <w:iCs/>
        </w:rPr>
        <w:t>Proc</w:t>
      </w:r>
      <w:r w:rsidR="00305399">
        <w:rPr>
          <w:i/>
          <w:iCs/>
        </w:rPr>
        <w:t>s.</w:t>
      </w:r>
      <w:r w:rsidRPr="00AA24DC" w:rsidR="00305399">
        <w:rPr>
          <w:i/>
          <w:iCs/>
        </w:rPr>
        <w:t xml:space="preserve"> </w:t>
      </w:r>
      <w:r w:rsidRPr="00AA24DC">
        <w:rPr>
          <w:i/>
          <w:iCs/>
        </w:rPr>
        <w:t xml:space="preserve">for the Establishment, Approval, </w:t>
      </w:r>
      <w:r w:rsidR="00305399">
        <w:rPr>
          <w:i/>
          <w:iCs/>
        </w:rPr>
        <w:t>&amp;</w:t>
      </w:r>
      <w:r w:rsidRPr="00AA24DC" w:rsidR="00305399">
        <w:rPr>
          <w:i/>
          <w:iCs/>
        </w:rPr>
        <w:t xml:space="preserve"> </w:t>
      </w:r>
      <w:r w:rsidRPr="00AA24DC">
        <w:rPr>
          <w:i/>
          <w:iCs/>
        </w:rPr>
        <w:t xml:space="preserve">Enforcement of </w:t>
      </w:r>
      <w:r w:rsidRPr="00AA24DC" w:rsidR="00305399">
        <w:rPr>
          <w:i/>
          <w:iCs/>
        </w:rPr>
        <w:t>Elec</w:t>
      </w:r>
      <w:r w:rsidR="00305399">
        <w:rPr>
          <w:i/>
          <w:iCs/>
        </w:rPr>
        <w:t>.</w:t>
      </w:r>
      <w:r w:rsidRPr="00AA24DC" w:rsidR="00305399">
        <w:rPr>
          <w:i/>
          <w:iCs/>
        </w:rPr>
        <w:t xml:space="preserve"> </w:t>
      </w:r>
      <w:r w:rsidRPr="00AA24DC">
        <w:rPr>
          <w:i/>
          <w:iCs/>
        </w:rPr>
        <w:t>Reliability</w:t>
      </w:r>
      <w:r>
        <w:rPr>
          <w:i/>
          <w:iCs/>
        </w:rPr>
        <w:t xml:space="preserve"> </w:t>
      </w:r>
      <w:r w:rsidRPr="00AA24DC">
        <w:rPr>
          <w:i/>
          <w:iCs/>
        </w:rPr>
        <w:t>Standards</w:t>
      </w:r>
      <w:r w:rsidRPr="00AA24DC">
        <w:t xml:space="preserve">, Order No. 672, 114 FERC ¶ 61,104, </w:t>
      </w:r>
      <w:r w:rsidRPr="00AA24DC">
        <w:rPr>
          <w:i/>
          <w:iCs/>
        </w:rPr>
        <w:t>order on reh’g</w:t>
      </w:r>
      <w:r w:rsidRPr="00AA24DC">
        <w:t>, Order No. 672-A,</w:t>
      </w:r>
      <w:r w:rsidR="00044833">
        <w:rPr>
          <w:i/>
          <w:iCs/>
        </w:rPr>
        <w:t xml:space="preserve"> </w:t>
      </w:r>
      <w:r w:rsidRPr="00AA24DC">
        <w:t>114 FERC ¶ 61,328 (2006)</w:t>
      </w:r>
      <w:r w:rsidRPr="00C46711" w:rsidR="00C46711">
        <w:t xml:space="preserve">; </w:t>
      </w:r>
      <w:r w:rsidRPr="00C46711" w:rsidR="00C46711">
        <w:rPr>
          <w:i/>
          <w:iCs/>
        </w:rPr>
        <w:t xml:space="preserve">see also </w:t>
      </w:r>
      <w:r w:rsidRPr="00C46711" w:rsidR="00C46711">
        <w:t>18 CFR 39.4(b) (202</w:t>
      </w:r>
      <w:r w:rsidR="00C355D5">
        <w:t>4</w:t>
      </w:r>
      <w:r w:rsidRPr="00AA24DC">
        <w:t>).</w:t>
      </w:r>
    </w:p>
  </w:footnote>
  <w:footnote w:id="18">
    <w:p w:rsidR="00044833" w:rsidRPr="00044833" w:rsidP="00044833" w14:paraId="4C095AA9" w14:textId="11D33E2F">
      <w:pPr>
        <w:pStyle w:val="FootnoteText"/>
        <w:rPr>
          <w:i/>
          <w:iCs/>
        </w:rPr>
      </w:pPr>
      <w:r>
        <w:rPr>
          <w:rStyle w:val="FootnoteReference"/>
        </w:rPr>
        <w:footnoteRef/>
      </w:r>
      <w:r>
        <w:t xml:space="preserve"> </w:t>
      </w:r>
      <w:r w:rsidRPr="00044833" w:rsidR="00C46711">
        <w:rPr>
          <w:i/>
          <w:iCs/>
        </w:rPr>
        <w:t>N</w:t>
      </w:r>
      <w:r w:rsidR="00C46711">
        <w:rPr>
          <w:i/>
          <w:iCs/>
        </w:rPr>
        <w:t>.</w:t>
      </w:r>
      <w:r w:rsidRPr="00044833" w:rsidR="00C46711">
        <w:rPr>
          <w:i/>
          <w:iCs/>
        </w:rPr>
        <w:t xml:space="preserve"> Am</w:t>
      </w:r>
      <w:r w:rsidR="00C46711">
        <w:rPr>
          <w:i/>
          <w:iCs/>
        </w:rPr>
        <w:t>.</w:t>
      </w:r>
      <w:r w:rsidRPr="00044833">
        <w:rPr>
          <w:i/>
          <w:iCs/>
        </w:rPr>
        <w:t xml:space="preserve"> </w:t>
      </w:r>
      <w:r w:rsidRPr="00044833" w:rsidR="00C46711">
        <w:rPr>
          <w:i/>
          <w:iCs/>
        </w:rPr>
        <w:t>Elec</w:t>
      </w:r>
      <w:r w:rsidR="00C46711">
        <w:rPr>
          <w:i/>
          <w:iCs/>
        </w:rPr>
        <w:t>.</w:t>
      </w:r>
      <w:r w:rsidRPr="00044833">
        <w:rPr>
          <w:i/>
          <w:iCs/>
        </w:rPr>
        <w:t xml:space="preserve"> Reliability Corp.</w:t>
      </w:r>
      <w:r w:rsidRPr="00044833">
        <w:t xml:space="preserve">, 116 FERC ¶ 61,062, </w:t>
      </w:r>
      <w:r w:rsidRPr="00044833">
        <w:rPr>
          <w:i/>
          <w:iCs/>
        </w:rPr>
        <w:t>order on reh’g</w:t>
      </w:r>
      <w:r>
        <w:rPr>
          <w:i/>
          <w:iCs/>
        </w:rPr>
        <w:t xml:space="preserve"> </w:t>
      </w:r>
      <w:r w:rsidRPr="00044833">
        <w:rPr>
          <w:i/>
          <w:iCs/>
        </w:rPr>
        <w:t>and compliance</w:t>
      </w:r>
      <w:r w:rsidRPr="00044833">
        <w:t xml:space="preserve">, 117 FERC ¶ 61,126 (2006), </w:t>
      </w:r>
      <w:r w:rsidRPr="00044833">
        <w:rPr>
          <w:i/>
          <w:iCs/>
        </w:rPr>
        <w:t>aff’d sub nom. Alcoa, Inc. v. FERC</w:t>
      </w:r>
      <w:r w:rsidRPr="00044833">
        <w:t>, 564</w:t>
      </w:r>
      <w:r>
        <w:rPr>
          <w:i/>
          <w:iCs/>
        </w:rPr>
        <w:t xml:space="preserve"> </w:t>
      </w:r>
      <w:r w:rsidRPr="00044833">
        <w:t>F.3d 1342 (D.C. Cir. 2009).</w:t>
      </w:r>
    </w:p>
  </w:footnote>
  <w:footnote w:id="19">
    <w:p w:rsidR="0001179E" w14:paraId="679A0228" w14:textId="74CD29EF">
      <w:pPr>
        <w:pStyle w:val="FootnoteText"/>
      </w:pPr>
      <w:r>
        <w:rPr>
          <w:rStyle w:val="FootnoteReference"/>
        </w:rPr>
        <w:footnoteRef/>
      </w:r>
      <w:r>
        <w:t xml:space="preserve"> </w:t>
      </w:r>
      <w:r w:rsidRPr="0001179E">
        <w:t xml:space="preserve">The U.S. Department of Homeland Security, Cybersecurity and Infrastructure Security Agency (CISA) defines trust zone as a “discrete computing environment designated for information processing, storage, and/or transmission that share the rigor or robustness of the applicable security capabilities necessary to protect the traffic transiting in and out of a zone and/or the information within the zone.”  CISA, </w:t>
      </w:r>
      <w:r w:rsidRPr="00C474A2">
        <w:rPr>
          <w:i/>
        </w:rPr>
        <w:t>Trusted Internet Connections 3.0:  Reference Architecture</w:t>
      </w:r>
      <w:r w:rsidRPr="0001179E">
        <w:t>, 2 (July 2020), https://www.cisa.gov/sites/default/files/publications/CISA_TIC%203.0%20Vol.%202%20Reference%20Architecture.pdf.</w:t>
      </w:r>
      <w:r>
        <w:t xml:space="preserve"> </w:t>
      </w:r>
    </w:p>
  </w:footnote>
  <w:footnote w:id="20">
    <w:p w:rsidR="00B67876" w14:paraId="798DE930" w14:textId="57B8FFEC">
      <w:pPr>
        <w:pStyle w:val="FootnoteText"/>
      </w:pPr>
      <w:r>
        <w:rPr>
          <w:rStyle w:val="FootnoteReference"/>
        </w:rPr>
        <w:footnoteRef/>
      </w:r>
      <w:r>
        <w:t xml:space="preserve"> Order No. 887, </w:t>
      </w:r>
      <w:r w:rsidRPr="004F2C54">
        <w:t>182 FERC ¶ 61,021</w:t>
      </w:r>
      <w:r>
        <w:t xml:space="preserve">, at P 2. </w:t>
      </w:r>
    </w:p>
  </w:footnote>
  <w:footnote w:id="21">
    <w:p w:rsidR="005813DA" w14:paraId="3D46BDF5" w14:textId="6C51720B">
      <w:pPr>
        <w:pStyle w:val="FootnoteText"/>
      </w:pPr>
      <w:r>
        <w:rPr>
          <w:rStyle w:val="FootnoteReference"/>
        </w:rPr>
        <w:footnoteRef/>
      </w:r>
      <w:r>
        <w:t xml:space="preserve"> </w:t>
      </w:r>
      <w:r w:rsidRPr="00F73BC5">
        <w:rPr>
          <w:i/>
          <w:iCs/>
        </w:rPr>
        <w:t>See</w:t>
      </w:r>
      <w:r w:rsidRPr="005813DA">
        <w:t xml:space="preserve"> </w:t>
      </w:r>
      <w:r w:rsidRPr="00AF2AD1">
        <w:rPr>
          <w:smallCaps/>
        </w:rPr>
        <w:t>Chris Sanders &amp; Jason Smith, Applied Network Security Monitoring</w:t>
      </w:r>
      <w:r w:rsidRPr="005813DA">
        <w:t xml:space="preserve">, 9-10 (2013); </w:t>
      </w:r>
      <w:r w:rsidRPr="00C474A2">
        <w:rPr>
          <w:i/>
        </w:rPr>
        <w:t>see also</w:t>
      </w:r>
      <w:r w:rsidRPr="005813DA">
        <w:t xml:space="preserve"> ISACA, </w:t>
      </w:r>
      <w:r w:rsidRPr="00F73BC5">
        <w:rPr>
          <w:i/>
          <w:iCs/>
        </w:rPr>
        <w:t>Applied Collection Framework:  A Risk-Driven Approach to Cybersecurity Monitoring</w:t>
      </w:r>
      <w:r w:rsidRPr="005813DA">
        <w:t xml:space="preserve"> (Aug. 18, 2020), https://www.isaca.org/resources/news-and-trends/isaca-now-blog/2020/applied-collection-framework.  </w:t>
      </w:r>
    </w:p>
  </w:footnote>
  <w:footnote w:id="22">
    <w:p w:rsidR="006A4C5F" w:rsidP="00265C4D" w14:paraId="6353DE62" w14:textId="3259B3B0">
      <w:pPr>
        <w:pStyle w:val="FootnoteText"/>
      </w:pPr>
      <w:r>
        <w:rPr>
          <w:rStyle w:val="FootnoteReference"/>
        </w:rPr>
        <w:footnoteRef/>
      </w:r>
      <w:r>
        <w:t xml:space="preserve"> </w:t>
      </w:r>
      <w:r w:rsidRPr="006A4C5F">
        <w:t xml:space="preserve">East-west traffic refers to the communications among BES Cyber Systems and is the specific type of network traffic that remains within the network perimeter.  It may refer to communication peer-to-peer industrial automation and control systems devices in a network or to activity between servers or networks inside a data center, rather than the data and applications that traverse networks to the outside world.  CISCO, </w:t>
      </w:r>
      <w:r w:rsidRPr="00F73BC5">
        <w:rPr>
          <w:i/>
          <w:iCs/>
        </w:rPr>
        <w:t>Networking and Security in Industrial Automation Environments Design Guide</w:t>
      </w:r>
      <w:r w:rsidRPr="006A4C5F">
        <w:t xml:space="preserve">, 111 (Aug. 2020), https://www.cisco.com/c/en/us/td/docs/solutions/Verticals/Industrial_Automation/IA_Horizontal/DG/Industrial-AutomationDG.pdf; The President’s National Security Telecommunications Advisory Committee, </w:t>
      </w:r>
      <w:r w:rsidRPr="00F73BC5">
        <w:rPr>
          <w:i/>
          <w:iCs/>
        </w:rPr>
        <w:t>Report to the President on Software-Defined Networking</w:t>
      </w:r>
      <w:r w:rsidRPr="006A4C5F">
        <w:t xml:space="preserve">, E-3 (Aug. 2020), https://www.cisa.gov/sites/default/files/publications/NSTAC%20SDN%20Report%20%288-12-20%29.pdf. </w:t>
      </w:r>
    </w:p>
  </w:footnote>
  <w:footnote w:id="23">
    <w:p w:rsidR="00265C4D" w14:paraId="15C42DF1" w14:textId="60EA50AF">
      <w:pPr>
        <w:pStyle w:val="FootnoteText"/>
      </w:pPr>
      <w:r>
        <w:rPr>
          <w:rStyle w:val="FootnoteReference"/>
        </w:rPr>
        <w:footnoteRef/>
      </w:r>
      <w:r>
        <w:t xml:space="preserve"> </w:t>
      </w:r>
      <w:r w:rsidRPr="00265C4D">
        <w:t xml:space="preserve">CISA, </w:t>
      </w:r>
      <w:r w:rsidRPr="00F73BC5">
        <w:rPr>
          <w:i/>
          <w:iCs/>
        </w:rPr>
        <w:t>CISA Analysis:  FY2020 Risk and Vulnerability Assessments</w:t>
      </w:r>
      <w:r w:rsidRPr="00265C4D">
        <w:t xml:space="preserve"> (July 2021), https://www.cisa.gov/sites/default/files/publications/FY20-RVA-Analysis_508C.pdf.</w:t>
      </w:r>
    </w:p>
  </w:footnote>
  <w:footnote w:id="24">
    <w:p w:rsidR="004E6186" w:rsidP="004E6186" w14:paraId="5BFFF4FF" w14:textId="4BA04DBB">
      <w:pPr>
        <w:pStyle w:val="FootnoteText"/>
      </w:pPr>
      <w:r>
        <w:rPr>
          <w:rStyle w:val="FootnoteReference"/>
        </w:rPr>
        <w:footnoteRef/>
      </w:r>
      <w:r>
        <w:t xml:space="preserve"> Order No. 887, </w:t>
      </w:r>
      <w:r w:rsidRPr="004F2C54">
        <w:t>182 FERC ¶ 61,021</w:t>
      </w:r>
      <w:r>
        <w:t xml:space="preserve"> at P 3.</w:t>
      </w:r>
    </w:p>
  </w:footnote>
  <w:footnote w:id="25">
    <w:p w:rsidR="003448F3" w:rsidRPr="007C1D47" w:rsidP="003448F3" w14:paraId="130F8D45" w14:textId="77777777">
      <w:pPr>
        <w:pStyle w:val="FootnoteText"/>
      </w:pPr>
      <w:r>
        <w:rPr>
          <w:rStyle w:val="FootnoteReference"/>
        </w:rPr>
        <w:footnoteRef/>
      </w:r>
      <w:r>
        <w:t xml:space="preserve"> </w:t>
      </w:r>
      <w:r>
        <w:rPr>
          <w:i/>
          <w:iCs/>
        </w:rPr>
        <w:t xml:space="preserve">Id. </w:t>
      </w:r>
      <w:r>
        <w:t xml:space="preserve">P 2. </w:t>
      </w:r>
    </w:p>
  </w:footnote>
  <w:footnote w:id="26">
    <w:p w:rsidR="008A429C" w:rsidP="008A429C" w14:paraId="447A7F97" w14:textId="77777777">
      <w:pPr>
        <w:pStyle w:val="FootnoteText"/>
      </w:pPr>
      <w:r>
        <w:rPr>
          <w:rStyle w:val="FootnoteReference"/>
        </w:rPr>
        <w:footnoteRef/>
      </w:r>
      <w:r>
        <w:t xml:space="preserve"> </w:t>
      </w:r>
      <w:r>
        <w:rPr>
          <w:i/>
          <w:iCs/>
        </w:rPr>
        <w:t xml:space="preserve">Id. </w:t>
      </w:r>
      <w:r>
        <w:t>P 20.</w:t>
      </w:r>
    </w:p>
  </w:footnote>
  <w:footnote w:id="27">
    <w:p w:rsidR="008A429C" w:rsidP="008A429C" w14:paraId="2E349D10" w14:textId="0A283448">
      <w:pPr>
        <w:pStyle w:val="FootnoteText"/>
      </w:pPr>
      <w:r>
        <w:rPr>
          <w:rStyle w:val="FootnoteReference"/>
        </w:rPr>
        <w:footnoteRef/>
      </w:r>
      <w:r>
        <w:t xml:space="preserve"> </w:t>
      </w:r>
      <w:r>
        <w:rPr>
          <w:i/>
          <w:iCs/>
        </w:rPr>
        <w:t>Id.</w:t>
      </w:r>
      <w:r w:rsidR="00652499">
        <w:rPr>
          <w:i/>
          <w:iCs/>
        </w:rPr>
        <w:t xml:space="preserve"> </w:t>
      </w:r>
      <w:r>
        <w:rPr>
          <w:i/>
          <w:iCs/>
        </w:rPr>
        <w:t xml:space="preserve"> </w:t>
      </w:r>
      <w:r w:rsidRPr="000E4E6C" w:rsidR="000E4E6C">
        <w:t>An attacker could move among devices inside a trust zone and perform actions such as:</w:t>
      </w:r>
      <w:r w:rsidR="00A82C9D">
        <w:t xml:space="preserve">  </w:t>
      </w:r>
      <w:r w:rsidRPr="000E4E6C" w:rsidR="000E4E6C">
        <w:t>(1) escalate privileges (such as gaining administrator account privileges through a vulnerability); (2) move undetected inside the CIP-network</w:t>
      </w:r>
      <w:r w:rsidR="00903CA9">
        <w:t>ed</w:t>
      </w:r>
      <w:r w:rsidRPr="000E4E6C" w:rsidR="000E4E6C">
        <w:t xml:space="preserve"> environment; or (3) execute a virus, ransomware or another form of unauthorized code.</w:t>
      </w:r>
      <w:r w:rsidR="00DC4E11">
        <w:t xml:space="preserve">  </w:t>
      </w:r>
      <w:r w:rsidR="00DC4E11">
        <w:rPr>
          <w:i/>
          <w:iCs/>
        </w:rPr>
        <w:t xml:space="preserve">Id. </w:t>
      </w:r>
      <w:r w:rsidR="00DC4E11">
        <w:t>P 19.</w:t>
      </w:r>
    </w:p>
  </w:footnote>
  <w:footnote w:id="28">
    <w:p w:rsidR="00696A1B" w:rsidRPr="00822F06" w:rsidP="00822F06" w14:paraId="297D5FF9" w14:textId="476A3B47">
      <w:pPr>
        <w:pStyle w:val="FootnoteText"/>
        <w:rPr>
          <w:highlight w:val="yellow"/>
        </w:rPr>
      </w:pPr>
      <w:r>
        <w:rPr>
          <w:rStyle w:val="FootnoteReference"/>
        </w:rPr>
        <w:footnoteRef/>
      </w:r>
      <w:r>
        <w:t xml:space="preserve"> </w:t>
      </w:r>
      <w:r>
        <w:rPr>
          <w:i/>
          <w:iCs/>
        </w:rPr>
        <w:t xml:space="preserve">Id. </w:t>
      </w:r>
      <w:r>
        <w:t xml:space="preserve">P 49 (citing </w:t>
      </w:r>
      <w:r w:rsidRPr="00822F06">
        <w:t xml:space="preserve">NERC Comments </w:t>
      </w:r>
      <w:r w:rsidRPr="00822F06" w:rsidR="00822F06">
        <w:t>in Response to Notice of Proposed Rulemaking under Docket No. RM22-3</w:t>
      </w:r>
      <w:r w:rsidR="00822F06">
        <w:t>-000</w:t>
      </w:r>
      <w:r w:rsidR="00BF3812">
        <w:t xml:space="preserve"> </w:t>
      </w:r>
      <w:r w:rsidR="00822F06">
        <w:t>at</w:t>
      </w:r>
      <w:r w:rsidRPr="00822F06">
        <w:t xml:space="preserve"> 4-5</w:t>
      </w:r>
      <w:r w:rsidRPr="00696A1B">
        <w:t xml:space="preserve"> (current CIP Standards require “malicious communications monitoring at the Electronic Access Point on the [electronic security perimeter], not necessarily monitoring of activity of those who already have access to the network”)</w:t>
      </w:r>
      <w:r>
        <w:t>)</w:t>
      </w:r>
      <w:r w:rsidRPr="00696A1B">
        <w:t>.</w:t>
      </w:r>
      <w:r w:rsidR="00706324">
        <w:t xml:space="preserve"> </w:t>
      </w:r>
      <w:r w:rsidR="00D04B75">
        <w:t xml:space="preserve"> </w:t>
      </w:r>
      <w:r w:rsidRPr="00706324" w:rsidR="00706324">
        <w:t>The Bulk-Power System is defined in the FPA as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  16 U.S.C. 824o(a)(1).</w:t>
      </w:r>
    </w:p>
  </w:footnote>
  <w:footnote w:id="29">
    <w:p w:rsidR="005A2AAC" w:rsidRPr="005A2AAC" w14:paraId="70E1E385" w14:textId="5170FADE">
      <w:pPr>
        <w:pStyle w:val="FootnoteText"/>
      </w:pPr>
      <w:r>
        <w:rPr>
          <w:rStyle w:val="FootnoteReference"/>
        </w:rPr>
        <w:footnoteRef/>
      </w:r>
      <w:r>
        <w:t xml:space="preserve"> </w:t>
      </w:r>
      <w:r w:rsidR="007761AE">
        <w:t xml:space="preserve">Order No. 887, </w:t>
      </w:r>
      <w:r w:rsidRPr="004F2C54" w:rsidR="007761AE">
        <w:t>182 FERC ¶ 61,021</w:t>
      </w:r>
      <w:r w:rsidR="007761AE">
        <w:t xml:space="preserve"> at</w:t>
      </w:r>
      <w:r>
        <w:rPr>
          <w:i/>
          <w:iCs/>
        </w:rPr>
        <w:t xml:space="preserve"> </w:t>
      </w:r>
      <w:r>
        <w:t>PP 79-80.</w:t>
      </w:r>
    </w:p>
  </w:footnote>
  <w:footnote w:id="30">
    <w:p w:rsidR="00E32023" w:rsidP="00E32023" w14:paraId="507636F8" w14:textId="6C25288D">
      <w:pPr>
        <w:pStyle w:val="FootnoteText"/>
      </w:pPr>
      <w:r>
        <w:rPr>
          <w:rStyle w:val="FootnoteReference"/>
        </w:rPr>
        <w:footnoteRef/>
      </w:r>
      <w:r>
        <w:t xml:space="preserve"> NERC Petition </w:t>
      </w:r>
      <w:r w:rsidR="006942A4">
        <w:t xml:space="preserve">at </w:t>
      </w:r>
      <w:r>
        <w:t>2</w:t>
      </w:r>
      <w:r w:rsidR="007B05B6">
        <w:t xml:space="preserve">, </w:t>
      </w:r>
      <w:r w:rsidR="003A4C46">
        <w:t>26-28</w:t>
      </w:r>
      <w:r>
        <w:t xml:space="preserve">.  </w:t>
      </w:r>
      <w:r w:rsidRPr="00E32023">
        <w:t>Proposed Reliability Standard CIP-0</w:t>
      </w:r>
      <w:r>
        <w:t>15</w:t>
      </w:r>
      <w:r w:rsidRPr="00E32023">
        <w:t xml:space="preserve">-1 is not attached to this NOPR. </w:t>
      </w:r>
      <w:r w:rsidR="00485679">
        <w:t xml:space="preserve"> </w:t>
      </w:r>
      <w:r w:rsidRPr="00E32023">
        <w:t>The proposed Reliability Standards are available on the</w:t>
      </w:r>
      <w:r>
        <w:t xml:space="preserve"> </w:t>
      </w:r>
      <w:r w:rsidRPr="00E32023">
        <w:t>Commission’s eLibrary document retrieval system in Docket No. RM</w:t>
      </w:r>
      <w:r w:rsidR="00500D0B">
        <w:t>24</w:t>
      </w:r>
      <w:r w:rsidRPr="00E32023">
        <w:t>-</w:t>
      </w:r>
      <w:r w:rsidR="00500D0B">
        <w:t>7</w:t>
      </w:r>
      <w:r w:rsidRPr="00E32023">
        <w:t>-000 and on</w:t>
      </w:r>
      <w:r>
        <w:t xml:space="preserve"> </w:t>
      </w:r>
      <w:r w:rsidRPr="00E32023">
        <w:t>the NERC website, www.nerc.com.</w:t>
      </w:r>
    </w:p>
  </w:footnote>
  <w:footnote w:id="31">
    <w:p w:rsidR="001E593D" w:rsidRPr="001E593D" w14:paraId="5E05922F" w14:textId="364F3A09">
      <w:pPr>
        <w:pStyle w:val="FootnoteText"/>
      </w:pPr>
      <w:r>
        <w:rPr>
          <w:rStyle w:val="FootnoteReference"/>
        </w:rPr>
        <w:footnoteRef/>
      </w:r>
      <w:r>
        <w:t xml:space="preserve"> </w:t>
      </w:r>
      <w:r>
        <w:rPr>
          <w:i/>
          <w:iCs/>
        </w:rPr>
        <w:t xml:space="preserve">Id. </w:t>
      </w:r>
      <w:r>
        <w:t>at 4.</w:t>
      </w:r>
    </w:p>
  </w:footnote>
  <w:footnote w:id="32">
    <w:p w:rsidR="00396742" w:rsidP="002D2A0E" w14:paraId="0784041A" w14:textId="047F85DA">
      <w:pPr>
        <w:pStyle w:val="FootnoteText"/>
      </w:pPr>
      <w:r>
        <w:rPr>
          <w:rStyle w:val="FootnoteReference"/>
        </w:rPr>
        <w:footnoteRef/>
      </w:r>
      <w:r>
        <w:t xml:space="preserve"> </w:t>
      </w:r>
      <w:r>
        <w:rPr>
          <w:i/>
          <w:iCs/>
        </w:rPr>
        <w:t>Id.</w:t>
      </w:r>
      <w:r>
        <w:t>, Ex. A (Proposed Reliability Standard CIP-015-1) at 6</w:t>
      </w:r>
      <w:r w:rsidR="00EC685F">
        <w:t>.</w:t>
      </w:r>
      <w:r w:rsidR="008E0AAB">
        <w:t xml:space="preserve"> </w:t>
      </w:r>
      <w:r>
        <w:t xml:space="preserve"> </w:t>
      </w:r>
    </w:p>
  </w:footnote>
  <w:footnote w:id="33">
    <w:p w:rsidR="00C543B3" w14:paraId="7A4BEF68" w14:textId="6AAA45B1">
      <w:pPr>
        <w:pStyle w:val="FootnoteText"/>
      </w:pPr>
      <w:r>
        <w:rPr>
          <w:rStyle w:val="FootnoteReference"/>
        </w:rPr>
        <w:footnoteRef/>
      </w:r>
      <w:r>
        <w:t xml:space="preserve"> </w:t>
      </w:r>
      <w:r w:rsidR="00A53325">
        <w:rPr>
          <w:i/>
          <w:iCs/>
        </w:rPr>
        <w:t>Id.</w:t>
      </w:r>
    </w:p>
  </w:footnote>
  <w:footnote w:id="34">
    <w:p w:rsidR="00C05367" w:rsidP="00C05367" w14:paraId="3FE01243" w14:textId="7654FBF3">
      <w:pPr>
        <w:pStyle w:val="FootnoteText"/>
      </w:pPr>
      <w:r>
        <w:rPr>
          <w:rStyle w:val="FootnoteReference"/>
        </w:rPr>
        <w:footnoteRef/>
      </w:r>
      <w:r>
        <w:t xml:space="preserve"> </w:t>
      </w:r>
      <w:r w:rsidR="00C70AD8">
        <w:t>NERC Petition</w:t>
      </w:r>
      <w:r w:rsidR="00C70AD8">
        <w:rPr>
          <w:i/>
          <w:iCs/>
        </w:rPr>
        <w:t xml:space="preserve"> </w:t>
      </w:r>
      <w:r>
        <w:t xml:space="preserve">at 16 (quoting Order No. 887, </w:t>
      </w:r>
      <w:r w:rsidRPr="004F2C54">
        <w:t>182 FERC ¶ 61,021</w:t>
      </w:r>
      <w:r>
        <w:t xml:space="preserve"> at P 2). </w:t>
      </w:r>
    </w:p>
  </w:footnote>
  <w:footnote w:id="35">
    <w:p w:rsidR="00375C7B" w:rsidRPr="00D327E5" w:rsidP="00375C7B" w14:paraId="0E04F1F5" w14:textId="04BC76A6">
      <w:pPr>
        <w:pStyle w:val="FootnoteText"/>
      </w:pPr>
      <w:r>
        <w:rPr>
          <w:rStyle w:val="FootnoteReference"/>
        </w:rPr>
        <w:footnoteRef/>
      </w:r>
      <w:r>
        <w:t xml:space="preserve"> </w:t>
      </w:r>
      <w:r>
        <w:rPr>
          <w:i/>
          <w:iCs/>
        </w:rPr>
        <w:t xml:space="preserve">Id. </w:t>
      </w:r>
      <w:r>
        <w:t xml:space="preserve">at </w:t>
      </w:r>
      <w:r w:rsidR="00BD194A">
        <w:t xml:space="preserve">14, </w:t>
      </w:r>
      <w:r>
        <w:t xml:space="preserve">17. </w:t>
      </w:r>
    </w:p>
  </w:footnote>
  <w:footnote w:id="36">
    <w:p w:rsidR="00FC0E9B" w:rsidRPr="00AF2AD1" w:rsidP="00F55F60" w14:paraId="014F7ED9" w14:textId="6DDF055E">
      <w:pPr>
        <w:pStyle w:val="FootnoteText"/>
        <w:rPr>
          <w:i/>
          <w:iCs/>
        </w:rPr>
      </w:pPr>
      <w:r>
        <w:rPr>
          <w:rStyle w:val="FootnoteReference"/>
        </w:rPr>
        <w:footnoteRef/>
      </w:r>
      <w:r>
        <w:t xml:space="preserve"> </w:t>
      </w:r>
      <w:r w:rsidR="001C286B">
        <w:rPr>
          <w:i/>
          <w:iCs/>
        </w:rPr>
        <w:t>See e.g.</w:t>
      </w:r>
      <w:r w:rsidRPr="006962CA" w:rsidR="001C286B">
        <w:t>,</w:t>
      </w:r>
      <w:r w:rsidR="001C286B">
        <w:rPr>
          <w:i/>
          <w:iCs/>
        </w:rPr>
        <w:t xml:space="preserve"> </w:t>
      </w:r>
      <w:r w:rsidR="00B530C0">
        <w:rPr>
          <w:i/>
          <w:iCs/>
        </w:rPr>
        <w:t>N. Am. Elec. Reliability Corp.</w:t>
      </w:r>
      <w:r w:rsidR="001C286B">
        <w:t xml:space="preserve">, 187 FERC </w:t>
      </w:r>
      <w:r w:rsidRPr="004F2C54" w:rsidR="001C286B">
        <w:t>¶</w:t>
      </w:r>
      <w:r w:rsidR="001C286B">
        <w:t xml:space="preserve"> 61,204 (2024) (order approving Reliability Standard EOP-012-2 because it clarified the requirements for generator cold weather preparedness and by making other improvements and, in addition, directing that NERC submit modifications to Reliability Standard EOP-012-2 to address certain concerns);</w:t>
      </w:r>
      <w:r w:rsidR="001C286B">
        <w:rPr>
          <w:i/>
          <w:iCs/>
        </w:rPr>
        <w:t xml:space="preserve"> Critical Infrastructure Prot. Reliability Standard CIP-012-1 – </w:t>
      </w:r>
      <w:r w:rsidR="00B530C0">
        <w:rPr>
          <w:i/>
          <w:iCs/>
        </w:rPr>
        <w:t xml:space="preserve">     </w:t>
      </w:r>
      <w:r w:rsidR="001C286B">
        <w:rPr>
          <w:i/>
          <w:iCs/>
        </w:rPr>
        <w:t>Cyber Sec</w:t>
      </w:r>
      <w:r w:rsidR="00B530C0">
        <w:rPr>
          <w:i/>
          <w:iCs/>
        </w:rPr>
        <w:t>.</w:t>
      </w:r>
      <w:r w:rsidR="001C286B">
        <w:rPr>
          <w:i/>
          <w:iCs/>
        </w:rPr>
        <w:t xml:space="preserve"> – </w:t>
      </w:r>
      <w:r w:rsidRPr="002F01A2" w:rsidR="001C286B">
        <w:rPr>
          <w:i/>
          <w:iCs/>
        </w:rPr>
        <w:t>Commc’ns</w:t>
      </w:r>
      <w:r w:rsidR="001C286B">
        <w:rPr>
          <w:i/>
          <w:iCs/>
        </w:rPr>
        <w:t xml:space="preserve"> between Control Ctrs</w:t>
      </w:r>
      <w:r w:rsidR="00B530C0">
        <w:rPr>
          <w:i/>
          <w:iCs/>
        </w:rPr>
        <w:t>.</w:t>
      </w:r>
      <w:r w:rsidR="001C286B">
        <w:t xml:space="preserve">, Order No. 866, </w:t>
      </w:r>
      <w:r w:rsidR="00B530C0">
        <w:t xml:space="preserve">85 FR 7197 (Feb. 7, 2020), </w:t>
      </w:r>
      <w:r w:rsidR="001C286B">
        <w:t xml:space="preserve">170 FERC </w:t>
      </w:r>
      <w:r w:rsidRPr="004F2C54" w:rsidR="001C286B">
        <w:t>¶</w:t>
      </w:r>
      <w:r w:rsidR="001C286B">
        <w:t xml:space="preserve"> 61,031 (2020</w:t>
      </w:r>
      <w:r w:rsidR="00745B6B">
        <w:t>)</w:t>
      </w:r>
      <w:r w:rsidR="00111B78">
        <w:t xml:space="preserve">. </w:t>
      </w:r>
      <w:r w:rsidR="00584C6E">
        <w:t xml:space="preserve"> </w:t>
      </w:r>
      <w:r w:rsidR="00745B6B">
        <w:t xml:space="preserve"> </w:t>
      </w:r>
      <w:r w:rsidR="00C9673F">
        <w:rPr>
          <w:i/>
          <w:iCs/>
        </w:rPr>
        <w:t xml:space="preserve"> </w:t>
      </w:r>
    </w:p>
  </w:footnote>
  <w:footnote w:id="37">
    <w:p w:rsidR="00E32045" w14:paraId="1E348CAB" w14:textId="72A14B65">
      <w:pPr>
        <w:pStyle w:val="FootnoteText"/>
      </w:pPr>
      <w:r>
        <w:rPr>
          <w:rStyle w:val="FootnoteReference"/>
        </w:rPr>
        <w:footnoteRef/>
      </w:r>
      <w:r>
        <w:t xml:space="preserve"> Reliability Standard CIP-002.5.1a </w:t>
      </w:r>
      <w:r w:rsidR="006B4082">
        <w:t xml:space="preserve">(BES Cyber System </w:t>
      </w:r>
      <w:r w:rsidR="00907FB2">
        <w:t>Categorization) (</w:t>
      </w:r>
      <w:r w:rsidR="00100A92">
        <w:t xml:space="preserve">categorizing </w:t>
      </w:r>
      <w:r w:rsidRPr="00100A92" w:rsidR="00100A92">
        <w:t xml:space="preserve">EACMS, PACS, </w:t>
      </w:r>
      <w:r w:rsidR="003654C2">
        <w:t>protected cyber assets</w:t>
      </w:r>
      <w:r w:rsidRPr="00100A92" w:rsidR="00100A92">
        <w:t>, and BES Cyber Systems into groups</w:t>
      </w:r>
      <w:r w:rsidR="00100A92">
        <w:t xml:space="preserve">); </w:t>
      </w:r>
      <w:r w:rsidR="002C7303">
        <w:rPr>
          <w:i/>
          <w:iCs/>
          <w:szCs w:val="26"/>
        </w:rPr>
        <w:t>s</w:t>
      </w:r>
      <w:r w:rsidRPr="00C93C57" w:rsidR="002C7303">
        <w:rPr>
          <w:i/>
          <w:iCs/>
          <w:szCs w:val="26"/>
        </w:rPr>
        <w:t>ee</w:t>
      </w:r>
      <w:r w:rsidR="002C7303">
        <w:rPr>
          <w:i/>
          <w:iCs/>
          <w:szCs w:val="26"/>
        </w:rPr>
        <w:t>, e.g.</w:t>
      </w:r>
      <w:r w:rsidRPr="00FC04A6" w:rsidR="002C7303">
        <w:rPr>
          <w:szCs w:val="26"/>
        </w:rPr>
        <w:t>,</w:t>
      </w:r>
      <w:r w:rsidR="002C7303">
        <w:rPr>
          <w:i/>
          <w:iCs/>
          <w:szCs w:val="26"/>
        </w:rPr>
        <w:t xml:space="preserve"> </w:t>
      </w:r>
      <w:r w:rsidR="002C7303">
        <w:rPr>
          <w:szCs w:val="26"/>
        </w:rPr>
        <w:t xml:space="preserve">Nat’l Sec. Agency, </w:t>
      </w:r>
      <w:r w:rsidR="002C7303">
        <w:rPr>
          <w:i/>
          <w:iCs/>
          <w:szCs w:val="26"/>
        </w:rPr>
        <w:t>Network Infrastructure Security Guide</w:t>
      </w:r>
      <w:r w:rsidR="002C7303">
        <w:rPr>
          <w:szCs w:val="26"/>
        </w:rPr>
        <w:t xml:space="preserve">, 1, 3-4 (Oct. 2023), </w:t>
      </w:r>
      <w:r w:rsidRPr="005624E3" w:rsidR="002C7303">
        <w:t>https://media.defense.gov/2022/Jun/15/2003018261/-1/-1/0/CTR_NSA_NETWORK_INFRASTRUCTURE_SECURITY_GUIDE_20220615.PDF</w:t>
      </w:r>
      <w:r w:rsidR="002C7303">
        <w:t xml:space="preserve"> </w:t>
      </w:r>
      <w:r w:rsidRPr="00FB44B7" w:rsidR="002C7303">
        <w:rPr>
          <w:szCs w:val="26"/>
        </w:rPr>
        <w:t>(recommending the grouping of similar network systems as a best practice for overall network security)</w:t>
      </w:r>
      <w:r w:rsidR="002C7303">
        <w:rPr>
          <w:szCs w:val="26"/>
        </w:rPr>
        <w:t xml:space="preserve"> (NSA Network Security Guide)</w:t>
      </w:r>
      <w:r w:rsidR="00AE5863">
        <w:rPr>
          <w:szCs w:val="26"/>
        </w:rPr>
        <w:t>.</w:t>
      </w:r>
    </w:p>
  </w:footnote>
  <w:footnote w:id="38">
    <w:p w:rsidR="004E3E58" w:rsidRPr="000E1ABC" w:rsidP="000E1ABC" w14:paraId="092358DF" w14:textId="18E4849E">
      <w:pPr>
        <w:pStyle w:val="FootnoteText"/>
        <w:rPr>
          <w:szCs w:val="26"/>
        </w:rPr>
      </w:pPr>
      <w:r>
        <w:rPr>
          <w:rStyle w:val="FootnoteReference"/>
        </w:rPr>
        <w:footnoteRef/>
      </w:r>
      <w:r w:rsidR="00B76FB7">
        <w:rPr>
          <w:szCs w:val="26"/>
        </w:rPr>
        <w:t xml:space="preserve"> </w:t>
      </w:r>
      <w:r w:rsidR="0043017A">
        <w:rPr>
          <w:i/>
          <w:iCs/>
          <w:szCs w:val="26"/>
        </w:rPr>
        <w:t>S</w:t>
      </w:r>
      <w:r w:rsidR="00B76FB7">
        <w:rPr>
          <w:i/>
          <w:iCs/>
          <w:szCs w:val="26"/>
        </w:rPr>
        <w:t>ee</w:t>
      </w:r>
      <w:r w:rsidR="009B4403">
        <w:rPr>
          <w:szCs w:val="26"/>
        </w:rPr>
        <w:t xml:space="preserve"> </w:t>
      </w:r>
      <w:r w:rsidR="000E52F6">
        <w:rPr>
          <w:szCs w:val="26"/>
        </w:rPr>
        <w:t>CISA</w:t>
      </w:r>
      <w:r w:rsidRPr="00825A08" w:rsidR="000E52F6">
        <w:rPr>
          <w:szCs w:val="26"/>
        </w:rPr>
        <w:t xml:space="preserve">, </w:t>
      </w:r>
      <w:r w:rsidRPr="00825A08" w:rsidR="000E52F6">
        <w:rPr>
          <w:i/>
          <w:iCs/>
          <w:szCs w:val="26"/>
        </w:rPr>
        <w:t>Cybersecurity Advisory:</w:t>
      </w:r>
      <w:r w:rsidR="00A82C9D">
        <w:rPr>
          <w:i/>
          <w:iCs/>
          <w:szCs w:val="26"/>
        </w:rPr>
        <w:t xml:space="preserve">  </w:t>
      </w:r>
      <w:r w:rsidRPr="00825A08" w:rsidR="000E52F6">
        <w:rPr>
          <w:i/>
          <w:iCs/>
          <w:szCs w:val="26"/>
        </w:rPr>
        <w:t>CISA Red Team Shares Key Findings to Improve Monitoring and Hardening of Networks</w:t>
      </w:r>
      <w:r w:rsidRPr="00825A08" w:rsidR="000E52F6">
        <w:rPr>
          <w:szCs w:val="26"/>
        </w:rPr>
        <w:t xml:space="preserve">, </w:t>
      </w:r>
      <w:r w:rsidR="00E80666">
        <w:rPr>
          <w:szCs w:val="26"/>
        </w:rPr>
        <w:t xml:space="preserve">2, </w:t>
      </w:r>
      <w:r w:rsidR="00EE4BB6">
        <w:rPr>
          <w:szCs w:val="26"/>
        </w:rPr>
        <w:t>1</w:t>
      </w:r>
      <w:r w:rsidR="00472495">
        <w:rPr>
          <w:szCs w:val="26"/>
        </w:rPr>
        <w:t>4</w:t>
      </w:r>
      <w:r w:rsidRPr="00825A08" w:rsidR="000E52F6">
        <w:rPr>
          <w:szCs w:val="26"/>
        </w:rPr>
        <w:t xml:space="preserve"> (Feb. 20</w:t>
      </w:r>
      <w:r w:rsidR="000E52F6">
        <w:rPr>
          <w:szCs w:val="26"/>
        </w:rPr>
        <w:t>2</w:t>
      </w:r>
      <w:r w:rsidRPr="00825A08" w:rsidR="000E52F6">
        <w:rPr>
          <w:szCs w:val="26"/>
        </w:rPr>
        <w:t xml:space="preserve">3), </w:t>
      </w:r>
      <w:r w:rsidRPr="002D2A0E" w:rsidR="0091204A">
        <w:t>https://www.cisa.gov/sites/default/files/2023-03/aa23-059a-cisa_red_team_shares_key_findings_to_improve_monitoring_and_hardening_of_networks.pdf</w:t>
      </w:r>
      <w:r w:rsidR="000E52F6">
        <w:rPr>
          <w:szCs w:val="26"/>
        </w:rPr>
        <w:t xml:space="preserve"> </w:t>
      </w:r>
      <w:r w:rsidRPr="00825A08" w:rsidR="000E52F6">
        <w:rPr>
          <w:szCs w:val="26"/>
        </w:rPr>
        <w:t>(</w:t>
      </w:r>
      <w:r w:rsidR="00664DD9">
        <w:rPr>
          <w:szCs w:val="26"/>
        </w:rPr>
        <w:t xml:space="preserve">finding that </w:t>
      </w:r>
      <w:r w:rsidR="00092DE9">
        <w:rPr>
          <w:szCs w:val="26"/>
        </w:rPr>
        <w:t xml:space="preserve">insufficient network monitoring </w:t>
      </w:r>
      <w:r w:rsidR="00970AC8">
        <w:rPr>
          <w:szCs w:val="26"/>
        </w:rPr>
        <w:t xml:space="preserve">contributed to </w:t>
      </w:r>
      <w:r w:rsidRPr="00825A08" w:rsidR="000E52F6">
        <w:rPr>
          <w:szCs w:val="26"/>
        </w:rPr>
        <w:t xml:space="preserve">a </w:t>
      </w:r>
      <w:r w:rsidR="000E52F6">
        <w:rPr>
          <w:szCs w:val="26"/>
        </w:rPr>
        <w:t>CISA</w:t>
      </w:r>
      <w:r w:rsidRPr="00825A08" w:rsidR="000E52F6">
        <w:rPr>
          <w:szCs w:val="26"/>
        </w:rPr>
        <w:t xml:space="preserve"> red team </w:t>
      </w:r>
      <w:r w:rsidR="000E1ABC">
        <w:rPr>
          <w:szCs w:val="26"/>
        </w:rPr>
        <w:t>avoid</w:t>
      </w:r>
      <w:r w:rsidR="00635B12">
        <w:rPr>
          <w:szCs w:val="26"/>
        </w:rPr>
        <w:t>ing</w:t>
      </w:r>
      <w:r w:rsidR="000E1ABC">
        <w:rPr>
          <w:szCs w:val="26"/>
        </w:rPr>
        <w:t xml:space="preserve"> detection </w:t>
      </w:r>
      <w:r w:rsidR="00CD5556">
        <w:rPr>
          <w:szCs w:val="26"/>
        </w:rPr>
        <w:t>and</w:t>
      </w:r>
      <w:r w:rsidRPr="00825A08" w:rsidR="000E52F6">
        <w:rPr>
          <w:szCs w:val="26"/>
        </w:rPr>
        <w:t xml:space="preserve"> gain</w:t>
      </w:r>
      <w:r w:rsidR="00CD5556">
        <w:rPr>
          <w:szCs w:val="26"/>
        </w:rPr>
        <w:t>ing</w:t>
      </w:r>
      <w:r w:rsidRPr="00825A08" w:rsidR="000E52F6">
        <w:rPr>
          <w:szCs w:val="26"/>
        </w:rPr>
        <w:t xml:space="preserve"> access to</w:t>
      </w:r>
      <w:r w:rsidR="00FA2883">
        <w:rPr>
          <w:szCs w:val="26"/>
        </w:rPr>
        <w:t xml:space="preserve"> an organization’s network </w:t>
      </w:r>
      <w:r w:rsidR="00A0437F">
        <w:rPr>
          <w:szCs w:val="26"/>
        </w:rPr>
        <w:t>through lateral movement</w:t>
      </w:r>
      <w:r w:rsidR="003E46F5">
        <w:rPr>
          <w:szCs w:val="26"/>
        </w:rPr>
        <w:t xml:space="preserve"> </w:t>
      </w:r>
      <w:r w:rsidR="00FE5C2F">
        <w:rPr>
          <w:szCs w:val="26"/>
        </w:rPr>
        <w:t>by</w:t>
      </w:r>
      <w:r w:rsidR="00A71F08">
        <w:rPr>
          <w:szCs w:val="26"/>
        </w:rPr>
        <w:t xml:space="preserve"> </w:t>
      </w:r>
      <w:r w:rsidRPr="00825A08" w:rsidR="000E52F6">
        <w:rPr>
          <w:szCs w:val="26"/>
        </w:rPr>
        <w:t xml:space="preserve">leveraging access to an Active Directory system serving as </w:t>
      </w:r>
      <w:r w:rsidR="000E52F6">
        <w:rPr>
          <w:szCs w:val="26"/>
        </w:rPr>
        <w:t>an electronic access control system)</w:t>
      </w:r>
      <w:r w:rsidR="007135D9">
        <w:rPr>
          <w:szCs w:val="26"/>
        </w:rPr>
        <w:t xml:space="preserve"> (CISA Cybersecurity Advisory)</w:t>
      </w:r>
      <w:r w:rsidR="00235249">
        <w:rPr>
          <w:szCs w:val="26"/>
        </w:rPr>
        <w:t>;</w:t>
      </w:r>
      <w:r w:rsidRPr="002641A4" w:rsidR="00235249">
        <w:rPr>
          <w:szCs w:val="26"/>
        </w:rPr>
        <w:t xml:space="preserve"> </w:t>
      </w:r>
      <w:r w:rsidRPr="00825A08" w:rsidR="00235249">
        <w:rPr>
          <w:szCs w:val="26"/>
        </w:rPr>
        <w:t>Nat’l Inst. of Standards and Tech.</w:t>
      </w:r>
      <w:r w:rsidR="00235249">
        <w:rPr>
          <w:szCs w:val="26"/>
        </w:rPr>
        <w:t xml:space="preserve"> (N</w:t>
      </w:r>
      <w:r w:rsidRPr="002641A4" w:rsidR="00235249">
        <w:rPr>
          <w:szCs w:val="26"/>
        </w:rPr>
        <w:t>IST</w:t>
      </w:r>
      <w:r w:rsidR="00235249">
        <w:rPr>
          <w:szCs w:val="26"/>
        </w:rPr>
        <w:t xml:space="preserve">), </w:t>
      </w:r>
      <w:r w:rsidRPr="002641A4" w:rsidR="00235249">
        <w:rPr>
          <w:i/>
          <w:iCs/>
          <w:szCs w:val="26"/>
        </w:rPr>
        <w:t>NIST SP 800-215 Guide to a Secure Enterprise Network Landscape</w:t>
      </w:r>
      <w:r w:rsidRPr="002641A4" w:rsidR="00235249">
        <w:rPr>
          <w:szCs w:val="26"/>
        </w:rPr>
        <w:t xml:space="preserve">, </w:t>
      </w:r>
      <w:r w:rsidR="00235249">
        <w:rPr>
          <w:szCs w:val="26"/>
        </w:rPr>
        <w:t xml:space="preserve">5 (Nov. 2022), </w:t>
      </w:r>
      <w:r w:rsidRPr="00C0366B" w:rsidR="00235249">
        <w:t>https://doi.org/10.6028/NIST.SP.800-215</w:t>
      </w:r>
      <w:r w:rsidR="00235249">
        <w:t xml:space="preserve"> (describing the limitations of</w:t>
      </w:r>
      <w:r w:rsidR="00A752AE">
        <w:t xml:space="preserve"> a</w:t>
      </w:r>
      <w:r w:rsidR="00235249">
        <w:t xml:space="preserve"> perimeter-based security approach as not capturing threats from inside a network that can move laterally and remain undetected for an extended period of time) (</w:t>
      </w:r>
      <w:r w:rsidRPr="006C3932" w:rsidR="00235249">
        <w:rPr>
          <w:szCs w:val="26"/>
        </w:rPr>
        <w:t>NIST SP 800-215)</w:t>
      </w:r>
      <w:r w:rsidR="00235249">
        <w:rPr>
          <w:szCs w:val="26"/>
        </w:rPr>
        <w:t xml:space="preserve">; NIST, </w:t>
      </w:r>
      <w:r w:rsidRPr="00EC09F3" w:rsidR="00235249">
        <w:rPr>
          <w:i/>
          <w:iCs/>
          <w:szCs w:val="26"/>
        </w:rPr>
        <w:t>NIST SP 800-82r3</w:t>
      </w:r>
      <w:r w:rsidR="00235249">
        <w:rPr>
          <w:szCs w:val="26"/>
        </w:rPr>
        <w:t xml:space="preserve"> </w:t>
      </w:r>
      <w:r w:rsidRPr="00013690" w:rsidR="00235249">
        <w:rPr>
          <w:i/>
          <w:iCs/>
          <w:szCs w:val="26"/>
        </w:rPr>
        <w:t xml:space="preserve">Guide to Operational Technology </w:t>
      </w:r>
      <w:r w:rsidR="00B4606B">
        <w:rPr>
          <w:i/>
          <w:iCs/>
          <w:szCs w:val="26"/>
        </w:rPr>
        <w:t>(</w:t>
      </w:r>
      <w:r w:rsidRPr="00013690" w:rsidR="00235249">
        <w:rPr>
          <w:i/>
          <w:iCs/>
          <w:szCs w:val="26"/>
        </w:rPr>
        <w:t>OT</w:t>
      </w:r>
      <w:r w:rsidR="00B4606B">
        <w:rPr>
          <w:i/>
          <w:iCs/>
          <w:szCs w:val="26"/>
        </w:rPr>
        <w:t>)</w:t>
      </w:r>
      <w:r w:rsidRPr="00013690" w:rsidR="00235249">
        <w:rPr>
          <w:i/>
          <w:iCs/>
          <w:szCs w:val="26"/>
        </w:rPr>
        <w:t xml:space="preserve"> Security</w:t>
      </w:r>
      <w:r w:rsidR="00235249">
        <w:rPr>
          <w:szCs w:val="26"/>
        </w:rPr>
        <w:t xml:space="preserve">, 74 (Sept. 2023), </w:t>
      </w:r>
      <w:r w:rsidRPr="002D2A0E" w:rsidR="00235249">
        <w:t>https://nvlpubs.nist.gov/nistpubs/SpecialPublications/NIST.SP.800-82r3.pdf</w:t>
      </w:r>
      <w:r w:rsidR="00235249">
        <w:rPr>
          <w:szCs w:val="26"/>
        </w:rPr>
        <w:t xml:space="preserve"> (recommending the analyzing of information to differentiate between known and unknown communication as a necessary first step in implementing network security monitoring)</w:t>
      </w:r>
      <w:r w:rsidR="001A21CA">
        <w:rPr>
          <w:szCs w:val="26"/>
        </w:rPr>
        <w:t xml:space="preserve"> (NIST SP 800-82r3)</w:t>
      </w:r>
      <w:r w:rsidR="00235249">
        <w:rPr>
          <w:szCs w:val="26"/>
        </w:rPr>
        <w:t>.  The term INSM is used by the Commission in Order No. 887, but the cybersecurity industry</w:t>
      </w:r>
      <w:r w:rsidR="00235249">
        <w:rPr>
          <w:szCs w:val="26"/>
        </w:rPr>
        <w:t xml:space="preserve"> </w:t>
      </w:r>
      <w:r w:rsidR="00235249">
        <w:rPr>
          <w:szCs w:val="26"/>
        </w:rPr>
        <w:t>uses the term “network security monitoring</w:t>
      </w:r>
      <w:r w:rsidR="00446EC1">
        <w:rPr>
          <w:szCs w:val="26"/>
        </w:rPr>
        <w:t>.</w:t>
      </w:r>
      <w:r w:rsidR="00235249">
        <w:rPr>
          <w:szCs w:val="26"/>
        </w:rPr>
        <w:t>”  Similarly, the CIP Standards use the term</w:t>
      </w:r>
      <w:r w:rsidR="00446EC1">
        <w:rPr>
          <w:szCs w:val="26"/>
        </w:rPr>
        <w:t>s</w:t>
      </w:r>
      <w:r w:rsidR="00235249">
        <w:rPr>
          <w:szCs w:val="26"/>
        </w:rPr>
        <w:t xml:space="preserve"> “EACMS” and “PACS,” which are defined by the NERC Glossary, while NIST discusses the same concepts but does not use the same EACMS and PACS terminology.</w:t>
      </w:r>
    </w:p>
  </w:footnote>
  <w:footnote w:id="39">
    <w:p w:rsidR="004E3E58" w:rsidRPr="002641A4" w:rsidP="004E3E58" w14:paraId="267AE592" w14:textId="26C54496">
      <w:pPr>
        <w:pStyle w:val="FootnoteText"/>
        <w:rPr>
          <w:szCs w:val="26"/>
        </w:rPr>
      </w:pPr>
      <w:r w:rsidRPr="00C97101">
        <w:rPr>
          <w:rStyle w:val="FootnoteReference"/>
        </w:rPr>
        <w:footnoteRef/>
      </w:r>
      <w:r>
        <w:t xml:space="preserve"> </w:t>
      </w:r>
      <w:r w:rsidR="00DB7726">
        <w:rPr>
          <w:i/>
          <w:iCs/>
        </w:rPr>
        <w:t xml:space="preserve">See </w:t>
      </w:r>
      <w:r>
        <w:rPr>
          <w:szCs w:val="26"/>
        </w:rPr>
        <w:t>CISA</w:t>
      </w:r>
      <w:r w:rsidRPr="00825A08">
        <w:rPr>
          <w:szCs w:val="26"/>
        </w:rPr>
        <w:t xml:space="preserve"> </w:t>
      </w:r>
      <w:r w:rsidRPr="006C3932">
        <w:rPr>
          <w:szCs w:val="26"/>
        </w:rPr>
        <w:t>Cybersecurity Advisory</w:t>
      </w:r>
      <w:r w:rsidRPr="00825A08">
        <w:rPr>
          <w:szCs w:val="26"/>
        </w:rPr>
        <w:t xml:space="preserve"> </w:t>
      </w:r>
      <w:r w:rsidR="00312E55">
        <w:rPr>
          <w:szCs w:val="26"/>
        </w:rPr>
        <w:t xml:space="preserve">at </w:t>
      </w:r>
      <w:r w:rsidR="005312C8">
        <w:rPr>
          <w:szCs w:val="26"/>
        </w:rPr>
        <w:t>2-</w:t>
      </w:r>
      <w:r w:rsidR="00E27BF9">
        <w:rPr>
          <w:szCs w:val="26"/>
        </w:rPr>
        <w:t>6</w:t>
      </w:r>
      <w:r w:rsidR="00A83E63">
        <w:rPr>
          <w:szCs w:val="26"/>
        </w:rPr>
        <w:t xml:space="preserve"> (</w:t>
      </w:r>
      <w:r w:rsidR="00073B1F">
        <w:rPr>
          <w:szCs w:val="26"/>
        </w:rPr>
        <w:t xml:space="preserve">describing </w:t>
      </w:r>
      <w:r w:rsidR="00A80D68">
        <w:rPr>
          <w:szCs w:val="26"/>
        </w:rPr>
        <w:t xml:space="preserve">how </w:t>
      </w:r>
      <w:r w:rsidR="00A83E63">
        <w:rPr>
          <w:szCs w:val="26"/>
        </w:rPr>
        <w:t xml:space="preserve">a CISA Red Team was able to gain access to workstations and servers from </w:t>
      </w:r>
      <w:r w:rsidRPr="00825A08" w:rsidR="00A83E63">
        <w:rPr>
          <w:szCs w:val="26"/>
        </w:rPr>
        <w:t xml:space="preserve">an Active Directory system serving as </w:t>
      </w:r>
      <w:r w:rsidR="00A83E63">
        <w:rPr>
          <w:szCs w:val="26"/>
        </w:rPr>
        <w:t>an electronic access control system</w:t>
      </w:r>
      <w:r w:rsidR="00E82ADB">
        <w:rPr>
          <w:szCs w:val="26"/>
        </w:rPr>
        <w:t>, which assisted in lateral movement to other networks</w:t>
      </w:r>
      <w:r w:rsidR="00A83E63">
        <w:rPr>
          <w:szCs w:val="26"/>
        </w:rPr>
        <w:t>)</w:t>
      </w:r>
      <w:r w:rsidR="00312E55">
        <w:rPr>
          <w:szCs w:val="26"/>
        </w:rPr>
        <w:t xml:space="preserve">. </w:t>
      </w:r>
    </w:p>
  </w:footnote>
  <w:footnote w:id="40">
    <w:p w:rsidR="00954F0C" w:rsidP="00954F0C" w14:paraId="0CA4A0DC" w14:textId="7000AFF4">
      <w:pPr>
        <w:pStyle w:val="FootnoteText"/>
      </w:pPr>
      <w:r>
        <w:rPr>
          <w:rStyle w:val="FootnoteReference"/>
        </w:rPr>
        <w:footnoteRef/>
      </w:r>
      <w:r>
        <w:t xml:space="preserve"> </w:t>
      </w:r>
      <w:r w:rsidR="00D3418B">
        <w:rPr>
          <w:szCs w:val="26"/>
        </w:rPr>
        <w:t xml:space="preserve">NIST </w:t>
      </w:r>
      <w:r w:rsidRPr="00BC1B08" w:rsidR="00D3418B">
        <w:rPr>
          <w:szCs w:val="26"/>
        </w:rPr>
        <w:t>SP 800-215</w:t>
      </w:r>
      <w:r w:rsidR="00D3418B">
        <w:rPr>
          <w:szCs w:val="26"/>
        </w:rPr>
        <w:t xml:space="preserve"> at </w:t>
      </w:r>
      <w:r>
        <w:rPr>
          <w:szCs w:val="26"/>
        </w:rPr>
        <w:t>5.</w:t>
      </w:r>
    </w:p>
  </w:footnote>
  <w:footnote w:id="41">
    <w:p w:rsidR="007677CC" w:rsidRPr="00C474A2" w14:paraId="35767FDE" w14:textId="16D4D469">
      <w:pPr>
        <w:pStyle w:val="FootnoteText"/>
      </w:pPr>
      <w:r>
        <w:rPr>
          <w:rStyle w:val="FootnoteReference"/>
        </w:rPr>
        <w:footnoteRef/>
      </w:r>
      <w:r>
        <w:t xml:space="preserve"> </w:t>
      </w:r>
      <w:r w:rsidR="00307FE5">
        <w:rPr>
          <w:i/>
          <w:iCs/>
        </w:rPr>
        <w:t>See i</w:t>
      </w:r>
      <w:r>
        <w:rPr>
          <w:i/>
          <w:iCs/>
        </w:rPr>
        <w:t xml:space="preserve">d. </w:t>
      </w:r>
      <w:r w:rsidR="005E2789">
        <w:t>(</w:t>
      </w:r>
      <w:r w:rsidR="00474F17">
        <w:t xml:space="preserve">describing east-west traffic </w:t>
      </w:r>
      <w:r w:rsidR="00BD2DC6">
        <w:t xml:space="preserve">as “largely invisible to security teams” </w:t>
      </w:r>
      <w:r w:rsidR="0038699F">
        <w:t xml:space="preserve">without INSM </w:t>
      </w:r>
      <w:r w:rsidR="00C17A0F">
        <w:t xml:space="preserve">and that </w:t>
      </w:r>
      <w:r w:rsidR="001D67D6">
        <w:t>a</w:t>
      </w:r>
      <w:r w:rsidR="004877DC">
        <w:t xml:space="preserve"> </w:t>
      </w:r>
      <w:r w:rsidR="002D46CB">
        <w:t xml:space="preserve">threat </w:t>
      </w:r>
      <w:r w:rsidR="001E51C8">
        <w:t xml:space="preserve">inside a network </w:t>
      </w:r>
      <w:r w:rsidR="008436AA">
        <w:t>can move east-west and</w:t>
      </w:r>
      <w:r w:rsidR="000E386C">
        <w:t xml:space="preserve"> “remain undetected </w:t>
      </w:r>
      <w:r w:rsidR="00F447C2">
        <w:t>f</w:t>
      </w:r>
      <w:r w:rsidR="000E386C">
        <w:t xml:space="preserve">or days or even months”). </w:t>
      </w:r>
    </w:p>
  </w:footnote>
  <w:footnote w:id="42">
    <w:p w:rsidR="0054352B" w14:paraId="0FE9D503" w14:textId="5CFC515E">
      <w:pPr>
        <w:pStyle w:val="FootnoteText"/>
      </w:pPr>
      <w:r>
        <w:rPr>
          <w:rStyle w:val="FootnoteReference"/>
        </w:rPr>
        <w:footnoteRef/>
      </w:r>
      <w:r>
        <w:t xml:space="preserve"> NERC Petition at</w:t>
      </w:r>
      <w:r w:rsidR="00C746A4">
        <w:t xml:space="preserve"> 14</w:t>
      </w:r>
      <w:r w:rsidR="00107719">
        <w:t>.</w:t>
      </w:r>
    </w:p>
  </w:footnote>
  <w:footnote w:id="43">
    <w:p w:rsidR="000C0627" w:rsidRPr="00187D72" w:rsidP="00187D72" w14:paraId="75942798" w14:textId="0F552E62">
      <w:pPr>
        <w:pStyle w:val="FootnoteText"/>
        <w:rPr>
          <w:szCs w:val="26"/>
        </w:rPr>
      </w:pPr>
      <w:r>
        <w:rPr>
          <w:rStyle w:val="FootnoteReference"/>
        </w:rPr>
        <w:footnoteRef/>
      </w:r>
      <w:r>
        <w:t xml:space="preserve"> </w:t>
      </w:r>
      <w:r w:rsidRPr="000C655F" w:rsidR="00437225">
        <w:rPr>
          <w:i/>
          <w:iCs/>
        </w:rPr>
        <w:t>See</w:t>
      </w:r>
      <w:r w:rsidR="005139AB">
        <w:rPr>
          <w:i/>
          <w:iCs/>
        </w:rPr>
        <w:t>,</w:t>
      </w:r>
      <w:r w:rsidR="00437225">
        <w:rPr>
          <w:i/>
        </w:rPr>
        <w:t xml:space="preserve"> </w:t>
      </w:r>
      <w:r w:rsidR="00E54283">
        <w:rPr>
          <w:i/>
          <w:iCs/>
        </w:rPr>
        <w:t>e.g.</w:t>
      </w:r>
      <w:r w:rsidRPr="00E3423E" w:rsidR="00E54283">
        <w:t>,</w:t>
      </w:r>
      <w:r w:rsidR="00437225">
        <w:t xml:space="preserve"> </w:t>
      </w:r>
      <w:r w:rsidR="00437225">
        <w:rPr>
          <w:szCs w:val="26"/>
        </w:rPr>
        <w:t xml:space="preserve">CISA </w:t>
      </w:r>
      <w:r w:rsidRPr="006C3932" w:rsidR="00437225">
        <w:rPr>
          <w:szCs w:val="26"/>
        </w:rPr>
        <w:t>Cybersecurity Advisory</w:t>
      </w:r>
      <w:r w:rsidR="00437225">
        <w:rPr>
          <w:i/>
          <w:iCs/>
          <w:szCs w:val="26"/>
        </w:rPr>
        <w:t xml:space="preserve"> </w:t>
      </w:r>
      <w:r w:rsidR="00437225">
        <w:rPr>
          <w:szCs w:val="26"/>
        </w:rPr>
        <w:t xml:space="preserve">at </w:t>
      </w:r>
      <w:r w:rsidR="004249F8">
        <w:rPr>
          <w:szCs w:val="26"/>
        </w:rPr>
        <w:t>1-2</w:t>
      </w:r>
      <w:r w:rsidR="00437225">
        <w:rPr>
          <w:szCs w:val="26"/>
        </w:rPr>
        <w:t xml:space="preserve"> (a CISA Red Team was able to gain access to</w:t>
      </w:r>
      <w:r w:rsidR="00187D72">
        <w:rPr>
          <w:szCs w:val="26"/>
        </w:rPr>
        <w:t xml:space="preserve"> systems</w:t>
      </w:r>
      <w:r w:rsidR="00437225">
        <w:rPr>
          <w:szCs w:val="26"/>
        </w:rPr>
        <w:t xml:space="preserve"> </w:t>
      </w:r>
      <w:r w:rsidR="0045595B">
        <w:rPr>
          <w:szCs w:val="26"/>
        </w:rPr>
        <w:t>adjacent to the organization</w:t>
      </w:r>
      <w:r w:rsidR="009E7A18">
        <w:rPr>
          <w:szCs w:val="26"/>
        </w:rPr>
        <w:t>’</w:t>
      </w:r>
      <w:r w:rsidR="0045595B">
        <w:rPr>
          <w:szCs w:val="26"/>
        </w:rPr>
        <w:t>s sensitive business systems</w:t>
      </w:r>
      <w:r w:rsidR="000A597C">
        <w:rPr>
          <w:szCs w:val="26"/>
        </w:rPr>
        <w:t xml:space="preserve"> (SBS</w:t>
      </w:r>
      <w:r w:rsidR="00683AE8">
        <w:rPr>
          <w:szCs w:val="26"/>
        </w:rPr>
        <w:t>s</w:t>
      </w:r>
      <w:r w:rsidR="000A597C">
        <w:rPr>
          <w:szCs w:val="26"/>
        </w:rPr>
        <w:t>)</w:t>
      </w:r>
      <w:r w:rsidR="00187D72">
        <w:rPr>
          <w:szCs w:val="26"/>
        </w:rPr>
        <w:t xml:space="preserve"> by moving laterally </w:t>
      </w:r>
      <w:r w:rsidR="007115EB">
        <w:rPr>
          <w:szCs w:val="26"/>
        </w:rPr>
        <w:t xml:space="preserve">from </w:t>
      </w:r>
      <w:r w:rsidR="00437225">
        <w:rPr>
          <w:szCs w:val="26"/>
        </w:rPr>
        <w:t xml:space="preserve">workstations and servers </w:t>
      </w:r>
      <w:r w:rsidR="007115EB">
        <w:rPr>
          <w:szCs w:val="26"/>
        </w:rPr>
        <w:t>through</w:t>
      </w:r>
      <w:r w:rsidR="00437225">
        <w:rPr>
          <w:szCs w:val="26"/>
        </w:rPr>
        <w:t xml:space="preserve"> </w:t>
      </w:r>
      <w:r w:rsidRPr="00825A08" w:rsidR="00437225">
        <w:rPr>
          <w:szCs w:val="26"/>
        </w:rPr>
        <w:t>an Active Directory system</w:t>
      </w:r>
      <w:r w:rsidR="005B078C">
        <w:rPr>
          <w:szCs w:val="26"/>
        </w:rPr>
        <w:t>;</w:t>
      </w:r>
      <w:r w:rsidR="000A597C">
        <w:rPr>
          <w:szCs w:val="26"/>
        </w:rPr>
        <w:t xml:space="preserve"> Phase </w:t>
      </w:r>
      <w:r w:rsidR="00AC54A4">
        <w:rPr>
          <w:szCs w:val="26"/>
        </w:rPr>
        <w:t>I</w:t>
      </w:r>
      <w:r w:rsidR="000A597C">
        <w:rPr>
          <w:szCs w:val="26"/>
        </w:rPr>
        <w:t xml:space="preserve"> of the attack ended before the team could implement a viable plan to achieve access to a SBS)</w:t>
      </w:r>
      <w:r w:rsidR="00437225">
        <w:rPr>
          <w:szCs w:val="26"/>
        </w:rPr>
        <w:t>.</w:t>
      </w:r>
    </w:p>
  </w:footnote>
  <w:footnote w:id="44">
    <w:p w:rsidR="000D07B0" w14:paraId="29C06D1C" w14:textId="0DD429C9">
      <w:pPr>
        <w:pStyle w:val="FootnoteText"/>
      </w:pPr>
      <w:r>
        <w:rPr>
          <w:rStyle w:val="FootnoteReference"/>
        </w:rPr>
        <w:footnoteRef/>
      </w:r>
      <w:r>
        <w:t xml:space="preserve"> </w:t>
      </w:r>
      <w:r w:rsidR="00C427B0">
        <w:t>NERC Petition</w:t>
      </w:r>
      <w:r w:rsidR="0054352B">
        <w:t xml:space="preserve"> at</w:t>
      </w:r>
      <w:r w:rsidR="00C427B0">
        <w:t xml:space="preserve"> 14</w:t>
      </w:r>
      <w:r w:rsidR="00F2000C">
        <w:t xml:space="preserve">-15 n.45. </w:t>
      </w:r>
    </w:p>
  </w:footnote>
  <w:footnote w:id="45">
    <w:p w:rsidR="00507AF6" w:rsidP="00507AF6" w14:paraId="4118EA91" w14:textId="1170DDDD">
      <w:pPr>
        <w:pStyle w:val="FootnoteText"/>
      </w:pPr>
      <w:r>
        <w:rPr>
          <w:rStyle w:val="FootnoteReference"/>
        </w:rPr>
        <w:footnoteRef/>
      </w:r>
      <w:r>
        <w:t xml:space="preserve"> </w:t>
      </w:r>
      <w:r>
        <w:rPr>
          <w:i/>
          <w:iCs/>
        </w:rPr>
        <w:t>See</w:t>
      </w:r>
      <w:r>
        <w:t xml:space="preserve"> </w:t>
      </w:r>
      <w:r>
        <w:rPr>
          <w:szCs w:val="26"/>
        </w:rPr>
        <w:t>NIST SP 800-82r3 at 130 (discussing alert “noise” from typical network traffic that can result from implementation of network</w:t>
      </w:r>
      <w:r w:rsidR="00E53C51">
        <w:rPr>
          <w:szCs w:val="26"/>
        </w:rPr>
        <w:t xml:space="preserve"> security</w:t>
      </w:r>
      <w:r>
        <w:rPr>
          <w:szCs w:val="26"/>
        </w:rPr>
        <w:t xml:space="preserve"> monitoring).</w:t>
      </w:r>
    </w:p>
  </w:footnote>
  <w:footnote w:id="46">
    <w:p w:rsidR="009B0127" w:rsidRPr="0007569E" w:rsidP="009C0064" w14:paraId="6E13C484" w14:textId="099618CB">
      <w:pPr>
        <w:pStyle w:val="FootnoteText"/>
      </w:pPr>
      <w:r>
        <w:rPr>
          <w:rStyle w:val="FootnoteReference"/>
        </w:rPr>
        <w:footnoteRef/>
      </w:r>
      <w:r w:rsidR="00EA2DFC">
        <w:t xml:space="preserve"> </w:t>
      </w:r>
      <w:r w:rsidR="00EA2DFC">
        <w:rPr>
          <w:i/>
          <w:iCs/>
        </w:rPr>
        <w:t>See id</w:t>
      </w:r>
      <w:r w:rsidR="009F38DC">
        <w:rPr>
          <w:i/>
          <w:iCs/>
        </w:rPr>
        <w:t>.</w:t>
      </w:r>
      <w:r w:rsidR="00EA2DFC">
        <w:rPr>
          <w:i/>
          <w:iCs/>
        </w:rPr>
        <w:t xml:space="preserve"> </w:t>
      </w:r>
      <w:r w:rsidR="00EA2DFC">
        <w:t>at 127-128 (</w:t>
      </w:r>
      <w:r w:rsidR="00F97E52">
        <w:t xml:space="preserve">recommending that organizations define incident alert thresholds to establish an efficient incident detection capability </w:t>
      </w:r>
      <w:r w:rsidR="007576BD">
        <w:t xml:space="preserve">as not all events and anomalies </w:t>
      </w:r>
      <w:r w:rsidR="005C785A">
        <w:t>are malicious or require investigation</w:t>
      </w:r>
      <w:r w:rsidR="00C974A4">
        <w:t xml:space="preserve"> </w:t>
      </w:r>
      <w:r w:rsidR="00F62741">
        <w:t>and establish alerting thresholds on baselines of normal network traffic an</w:t>
      </w:r>
      <w:r w:rsidR="006B576B">
        <w:t xml:space="preserve">d data flows </w:t>
      </w:r>
      <w:r w:rsidR="0018621B">
        <w:t xml:space="preserve">to reduce false positive and nuisance alarms). </w:t>
      </w:r>
    </w:p>
  </w:footnote>
  <w:footnote w:id="47">
    <w:p w:rsidR="0062029F" w:rsidRPr="00AD4A96" w:rsidP="00F539F1" w14:paraId="3A6F68A4" w14:textId="09C2DB55">
      <w:pPr>
        <w:pStyle w:val="FootnoteText"/>
        <w:rPr>
          <w:szCs w:val="26"/>
        </w:rPr>
      </w:pPr>
      <w:r>
        <w:rPr>
          <w:rStyle w:val="FootnoteReference"/>
        </w:rPr>
        <w:footnoteRef/>
      </w:r>
      <w:r w:rsidR="0098005E">
        <w:t xml:space="preserve"> </w:t>
      </w:r>
      <w:r w:rsidRPr="002D2A0E" w:rsidR="0098005E">
        <w:rPr>
          <w:i/>
          <w:iCs/>
        </w:rPr>
        <w:t>See</w:t>
      </w:r>
      <w:r w:rsidR="005139AB">
        <w:rPr>
          <w:i/>
          <w:iCs/>
        </w:rPr>
        <w:t>,</w:t>
      </w:r>
      <w:r>
        <w:rPr>
          <w:i/>
        </w:rPr>
        <w:t xml:space="preserve"> </w:t>
      </w:r>
      <w:r w:rsidR="000171FA">
        <w:rPr>
          <w:i/>
          <w:iCs/>
        </w:rPr>
        <w:t>e.g.</w:t>
      </w:r>
      <w:r w:rsidRPr="00E3423E" w:rsidR="000171FA">
        <w:t>,</w:t>
      </w:r>
      <w:r>
        <w:t xml:space="preserve"> </w:t>
      </w:r>
      <w:r w:rsidR="005A1060">
        <w:rPr>
          <w:szCs w:val="26"/>
        </w:rPr>
        <w:t xml:space="preserve">CISA </w:t>
      </w:r>
      <w:r w:rsidRPr="006C3932" w:rsidR="005A1060">
        <w:rPr>
          <w:szCs w:val="26"/>
        </w:rPr>
        <w:t>Cybersecurity Advisory</w:t>
      </w:r>
      <w:r w:rsidR="00BF5228">
        <w:rPr>
          <w:i/>
          <w:iCs/>
          <w:szCs w:val="26"/>
        </w:rPr>
        <w:t xml:space="preserve"> </w:t>
      </w:r>
      <w:r w:rsidR="00BF5228">
        <w:rPr>
          <w:szCs w:val="26"/>
        </w:rPr>
        <w:t xml:space="preserve">at </w:t>
      </w:r>
      <w:r w:rsidR="00336D0A">
        <w:rPr>
          <w:szCs w:val="26"/>
        </w:rPr>
        <w:t>14</w:t>
      </w:r>
      <w:r w:rsidR="00943947">
        <w:rPr>
          <w:szCs w:val="26"/>
        </w:rPr>
        <w:t xml:space="preserve"> </w:t>
      </w:r>
      <w:r w:rsidR="0098005E">
        <w:rPr>
          <w:szCs w:val="26"/>
        </w:rPr>
        <w:t>(</w:t>
      </w:r>
      <w:r w:rsidR="00AB5A2C">
        <w:rPr>
          <w:szCs w:val="26"/>
        </w:rPr>
        <w:t>finding</w:t>
      </w:r>
      <w:r w:rsidR="00EB07F3">
        <w:rPr>
          <w:szCs w:val="26"/>
        </w:rPr>
        <w:t xml:space="preserve"> a</w:t>
      </w:r>
      <w:r w:rsidR="00AB5A2C">
        <w:rPr>
          <w:szCs w:val="26"/>
        </w:rPr>
        <w:t xml:space="preserve"> </w:t>
      </w:r>
      <w:r w:rsidR="008565BC">
        <w:rPr>
          <w:szCs w:val="26"/>
        </w:rPr>
        <w:t>CISA red team gained access to an organization</w:t>
      </w:r>
      <w:r w:rsidR="00FD74A9">
        <w:rPr>
          <w:szCs w:val="26"/>
        </w:rPr>
        <w:t>’</w:t>
      </w:r>
      <w:r w:rsidR="008565BC">
        <w:rPr>
          <w:szCs w:val="26"/>
        </w:rPr>
        <w:t>s network due to the lack of monitoring on endpoint management systems</w:t>
      </w:r>
      <w:r w:rsidR="009D1D4E">
        <w:rPr>
          <w:szCs w:val="26"/>
        </w:rPr>
        <w:t xml:space="preserve"> – high valued assets – that can include</w:t>
      </w:r>
      <w:r w:rsidR="00914268">
        <w:rPr>
          <w:szCs w:val="26"/>
        </w:rPr>
        <w:t xml:space="preserve"> the</w:t>
      </w:r>
      <w:r w:rsidR="00551360">
        <w:rPr>
          <w:szCs w:val="26"/>
        </w:rPr>
        <w:t xml:space="preserve"> </w:t>
      </w:r>
      <w:r w:rsidR="00A71A49">
        <w:rPr>
          <w:szCs w:val="26"/>
        </w:rPr>
        <w:t>monitoring</w:t>
      </w:r>
      <w:r w:rsidR="00551360">
        <w:rPr>
          <w:szCs w:val="26"/>
        </w:rPr>
        <w:t xml:space="preserve"> system</w:t>
      </w:r>
      <w:r w:rsidR="00914268">
        <w:rPr>
          <w:szCs w:val="26"/>
        </w:rPr>
        <w:t xml:space="preserve"> part of an EACMS</w:t>
      </w:r>
      <w:r w:rsidR="00CF6435">
        <w:rPr>
          <w:szCs w:val="26"/>
        </w:rPr>
        <w:t>)</w:t>
      </w:r>
      <w:r w:rsidR="003D58AE">
        <w:rPr>
          <w:szCs w:val="26"/>
        </w:rPr>
        <w:t>.</w:t>
      </w:r>
    </w:p>
  </w:footnote>
  <w:footnote w:id="48">
    <w:p w:rsidR="00081C9C" w:rsidP="00081C9C" w14:paraId="4AF6657A" w14:textId="624B8F14">
      <w:pPr>
        <w:pStyle w:val="FootnoteText"/>
      </w:pPr>
      <w:r>
        <w:rPr>
          <w:rStyle w:val="FootnoteReference"/>
        </w:rPr>
        <w:footnoteRef/>
      </w:r>
      <w:r>
        <w:t xml:space="preserve"> NIST states that over 75</w:t>
      </w:r>
      <w:r w:rsidR="00A82C9D">
        <w:t>%</w:t>
      </w:r>
      <w:r>
        <w:t xml:space="preserve"> of network traffic is now east-west or server-to-server</w:t>
      </w:r>
      <w:r w:rsidR="008A4D0F">
        <w:t>,</w:t>
      </w:r>
      <w:r>
        <w:t xml:space="preserve"> i.e.</w:t>
      </w:r>
      <w:r w:rsidR="00BD1CC8">
        <w:t>,</w:t>
      </w:r>
      <w:r>
        <w:t xml:space="preserve"> traffic that is not covered by a perimeter-based defense approach.  </w:t>
      </w:r>
      <w:r w:rsidRPr="006C3932">
        <w:rPr>
          <w:i/>
          <w:szCs w:val="26"/>
        </w:rPr>
        <w:t>See</w:t>
      </w:r>
      <w:r>
        <w:rPr>
          <w:szCs w:val="26"/>
        </w:rPr>
        <w:t xml:space="preserve"> NIST </w:t>
      </w:r>
      <w:r w:rsidRPr="00BC1B08">
        <w:rPr>
          <w:szCs w:val="26"/>
        </w:rPr>
        <w:t>SP 800-215</w:t>
      </w:r>
      <w:r>
        <w:rPr>
          <w:szCs w:val="26"/>
        </w:rPr>
        <w:t xml:space="preserve"> at 5.</w:t>
      </w:r>
      <w:r>
        <w:t xml:space="preserve">  </w:t>
      </w:r>
    </w:p>
  </w:footnote>
  <w:footnote w:id="49">
    <w:p w:rsidR="003A4DDD" w:rsidRPr="00EC09F3" w:rsidP="003A4DDD" w14:paraId="33DD12E7" w14:textId="654A57C6">
      <w:pPr>
        <w:pStyle w:val="FootnoteText"/>
        <w:rPr>
          <w:i/>
          <w:iCs/>
        </w:rPr>
      </w:pPr>
      <w:r>
        <w:rPr>
          <w:rStyle w:val="FootnoteReference"/>
        </w:rPr>
        <w:footnoteRef/>
      </w:r>
      <w:r>
        <w:t xml:space="preserve"> </w:t>
      </w:r>
      <w:r w:rsidRPr="006C3932" w:rsidR="004B71BE">
        <w:rPr>
          <w:i/>
          <w:szCs w:val="26"/>
        </w:rPr>
        <w:t>See</w:t>
      </w:r>
      <w:r w:rsidR="004B71BE">
        <w:rPr>
          <w:szCs w:val="26"/>
        </w:rPr>
        <w:t xml:space="preserve"> </w:t>
      </w:r>
      <w:r w:rsidR="00701A47">
        <w:rPr>
          <w:i/>
          <w:iCs/>
          <w:szCs w:val="26"/>
        </w:rPr>
        <w:t>id.</w:t>
      </w:r>
      <w:r w:rsidR="003B168B">
        <w:rPr>
          <w:szCs w:val="26"/>
        </w:rPr>
        <w:t xml:space="preserve"> at 5.</w:t>
      </w:r>
    </w:p>
  </w:footnote>
  <w:footnote w:id="50">
    <w:p w:rsidR="003B31F2" w14:paraId="23AB803D" w14:textId="51E12AC2">
      <w:pPr>
        <w:pStyle w:val="FootnoteText"/>
      </w:pPr>
      <w:r>
        <w:rPr>
          <w:rStyle w:val="FootnoteReference"/>
        </w:rPr>
        <w:footnoteRef/>
      </w:r>
      <w:r>
        <w:t xml:space="preserve"> NERC Petition at </w:t>
      </w:r>
      <w:r w:rsidRPr="00825A08" w:rsidR="00822079">
        <w:rPr>
          <w:szCs w:val="26"/>
        </w:rPr>
        <w:t>1</w:t>
      </w:r>
      <w:r w:rsidR="00EE1867">
        <w:rPr>
          <w:szCs w:val="26"/>
        </w:rPr>
        <w:t>5</w:t>
      </w:r>
      <w:r w:rsidRPr="00825A08" w:rsidR="00822079">
        <w:rPr>
          <w:szCs w:val="26"/>
        </w:rPr>
        <w:t>-16</w:t>
      </w:r>
      <w:r w:rsidR="00EE1867">
        <w:rPr>
          <w:szCs w:val="26"/>
        </w:rPr>
        <w:t xml:space="preserve"> n.46</w:t>
      </w:r>
      <w:r w:rsidR="00822079">
        <w:rPr>
          <w:szCs w:val="26"/>
        </w:rPr>
        <w:t>.</w:t>
      </w:r>
    </w:p>
  </w:footnote>
  <w:footnote w:id="51">
    <w:p w:rsidR="00954F0C" w:rsidRPr="00825A08" w:rsidP="00954F0C" w14:paraId="7386A40A" w14:textId="05218817">
      <w:pPr>
        <w:pStyle w:val="FootnoteText"/>
        <w:rPr>
          <w:szCs w:val="26"/>
        </w:rPr>
      </w:pPr>
      <w:r w:rsidRPr="00825A08">
        <w:rPr>
          <w:rStyle w:val="FootnoteReference"/>
          <w:szCs w:val="26"/>
        </w:rPr>
        <w:footnoteRef/>
      </w:r>
      <w:r w:rsidRPr="00825A08">
        <w:rPr>
          <w:szCs w:val="26"/>
        </w:rPr>
        <w:t xml:space="preserve"> NERC, </w:t>
      </w:r>
      <w:r w:rsidRPr="00825A08">
        <w:rPr>
          <w:i/>
          <w:iCs/>
          <w:szCs w:val="26"/>
        </w:rPr>
        <w:t>Lessons Learned: CIP Version 5 Transition Program</w:t>
      </w:r>
      <w:r w:rsidR="00E71C5F">
        <w:rPr>
          <w:szCs w:val="26"/>
        </w:rPr>
        <w:t xml:space="preserve"> </w:t>
      </w:r>
      <w:r w:rsidRPr="00825A08">
        <w:rPr>
          <w:szCs w:val="26"/>
        </w:rPr>
        <w:t xml:space="preserve">(Sept. 2015), </w:t>
      </w:r>
      <w:r w:rsidRPr="006E60D1" w:rsidR="006E60D1">
        <w:rPr>
          <w:szCs w:val="26"/>
        </w:rPr>
        <w:t>https://www.nerc.com/pa/CI/tpv5impmntnstdy/LL_EACMS_Mixed_Trust_Authentication_Sep_10_2015_clean.pdf</w:t>
      </w:r>
      <w:r w:rsidRPr="00825A08">
        <w:rPr>
          <w:szCs w:val="26"/>
        </w:rPr>
        <w:t>.</w:t>
      </w:r>
    </w:p>
  </w:footnote>
  <w:footnote w:id="52">
    <w:p w:rsidR="00954F0C" w:rsidRPr="00825A08" w:rsidP="00954F0C" w14:paraId="0F500AB2" w14:textId="253F7DCD">
      <w:pPr>
        <w:pStyle w:val="FootnoteText"/>
        <w:rPr>
          <w:szCs w:val="26"/>
        </w:rPr>
      </w:pPr>
      <w:r w:rsidRPr="00825A08">
        <w:rPr>
          <w:rStyle w:val="FootnoteReference"/>
          <w:szCs w:val="26"/>
        </w:rPr>
        <w:footnoteRef/>
      </w:r>
      <w:r w:rsidR="00CA0AA2">
        <w:rPr>
          <w:szCs w:val="26"/>
        </w:rPr>
        <w:t xml:space="preserve"> </w:t>
      </w:r>
      <w:r w:rsidR="0039617E">
        <w:rPr>
          <w:i/>
          <w:iCs/>
          <w:szCs w:val="26"/>
        </w:rPr>
        <w:t>See, e.g.</w:t>
      </w:r>
      <w:r w:rsidR="0039617E">
        <w:rPr>
          <w:szCs w:val="26"/>
        </w:rPr>
        <w:t>,</w:t>
      </w:r>
      <w:r w:rsidR="00CA0AA2">
        <w:rPr>
          <w:i/>
          <w:szCs w:val="26"/>
        </w:rPr>
        <w:t xml:space="preserve"> </w:t>
      </w:r>
      <w:r w:rsidR="00CA0AA2">
        <w:rPr>
          <w:szCs w:val="26"/>
        </w:rPr>
        <w:t>CISA</w:t>
      </w:r>
      <w:r w:rsidR="00D86DF8">
        <w:rPr>
          <w:szCs w:val="26"/>
        </w:rPr>
        <w:t xml:space="preserve"> </w:t>
      </w:r>
      <w:r w:rsidRPr="006C3932" w:rsidR="00CA0AA2">
        <w:rPr>
          <w:szCs w:val="26"/>
        </w:rPr>
        <w:t>Cybersecurity Advisory</w:t>
      </w:r>
      <w:r w:rsidR="0047379F">
        <w:rPr>
          <w:szCs w:val="26"/>
        </w:rPr>
        <w:t xml:space="preserve"> at </w:t>
      </w:r>
      <w:r w:rsidR="005312C8">
        <w:rPr>
          <w:szCs w:val="26"/>
        </w:rPr>
        <w:t>2-</w:t>
      </w:r>
      <w:r w:rsidR="00E27BF9">
        <w:rPr>
          <w:szCs w:val="26"/>
        </w:rPr>
        <w:t>6</w:t>
      </w:r>
      <w:r w:rsidR="00E57C2C">
        <w:rPr>
          <w:szCs w:val="26"/>
        </w:rPr>
        <w:t>, 14</w:t>
      </w:r>
      <w:r w:rsidR="0047379F">
        <w:rPr>
          <w:szCs w:val="26"/>
        </w:rPr>
        <w:t>.</w:t>
      </w:r>
      <w:r w:rsidR="00CA0AA2">
        <w:rPr>
          <w:i/>
          <w:iCs/>
          <w:szCs w:val="26"/>
        </w:rPr>
        <w:t xml:space="preserve"> </w:t>
      </w:r>
    </w:p>
  </w:footnote>
  <w:footnote w:id="53">
    <w:p w:rsidR="00247CDB" w14:paraId="2A2C237A" w14:textId="6AB5DA06">
      <w:pPr>
        <w:pStyle w:val="FootnoteText"/>
      </w:pPr>
      <w:r>
        <w:rPr>
          <w:rStyle w:val="FootnoteReference"/>
        </w:rPr>
        <w:footnoteRef/>
      </w:r>
      <w:r>
        <w:t xml:space="preserve"> </w:t>
      </w:r>
      <w:r w:rsidR="00F358A9">
        <w:rPr>
          <w:i/>
          <w:iCs/>
        </w:rPr>
        <w:t xml:space="preserve">See </w:t>
      </w:r>
      <w:r>
        <w:t xml:space="preserve">NIST </w:t>
      </w:r>
      <w:r w:rsidRPr="00AF326E" w:rsidR="00AF326E">
        <w:t>SP 800-215</w:t>
      </w:r>
      <w:r>
        <w:t xml:space="preserve"> at 5</w:t>
      </w:r>
      <w:r w:rsidR="00F524CB">
        <w:t xml:space="preserve">; </w:t>
      </w:r>
      <w:r w:rsidR="00467D78">
        <w:rPr>
          <w:szCs w:val="26"/>
        </w:rPr>
        <w:t>NSA</w:t>
      </w:r>
      <w:r w:rsidR="00F524CB">
        <w:rPr>
          <w:szCs w:val="26"/>
        </w:rPr>
        <w:t xml:space="preserve"> Network Security Guide at 3.</w:t>
      </w:r>
    </w:p>
  </w:footnote>
  <w:footnote w:id="54">
    <w:p w:rsidR="00FD5431" w14:paraId="54E041EF" w14:textId="206EDA5A">
      <w:pPr>
        <w:pStyle w:val="FootnoteText"/>
      </w:pPr>
      <w:r>
        <w:rPr>
          <w:rStyle w:val="FootnoteReference"/>
        </w:rPr>
        <w:footnoteRef/>
      </w:r>
      <w:r>
        <w:t xml:space="preserve"> </w:t>
      </w:r>
      <w:r w:rsidRPr="009F69AC">
        <w:t xml:space="preserve">The paperwork burden estimate includes costs associated with the initial development of a policy to address </w:t>
      </w:r>
      <w:r>
        <w:t xml:space="preserve">the </w:t>
      </w:r>
      <w:r w:rsidRPr="009F69AC">
        <w:t>requirements</w:t>
      </w:r>
      <w:r>
        <w:t>.</w:t>
      </w:r>
    </w:p>
  </w:footnote>
  <w:footnote w:id="55">
    <w:p w:rsidR="006B607D" w:rsidP="003A70F0" w14:paraId="62E8F72E" w14:textId="7BAFE47E">
      <w:pPr>
        <w:pStyle w:val="FootnoteText"/>
        <w:spacing w:after="0"/>
        <w:rPr>
          <w:szCs w:val="26"/>
        </w:rPr>
      </w:pPr>
      <w:r w:rsidRPr="003A70F0">
        <w:rPr>
          <w:rStyle w:val="FootnoteReference"/>
          <w:szCs w:val="26"/>
        </w:rPr>
        <w:footnoteRef/>
      </w:r>
      <w:r w:rsidRPr="003A70F0">
        <w:rPr>
          <w:szCs w:val="26"/>
        </w:rPr>
        <w:t xml:space="preserve"> </w:t>
      </w:r>
      <w:r>
        <w:rPr>
          <w:szCs w:val="26"/>
        </w:rPr>
        <w:t>This burden applies in Year One to Year Three.</w:t>
      </w:r>
    </w:p>
    <w:p w:rsidR="006B607D" w:rsidP="002639CA" w14:paraId="3BE3CAC8" w14:textId="77777777">
      <w:pPr>
        <w:pStyle w:val="FootnoteText"/>
        <w:spacing w:after="0"/>
        <w:ind w:firstLine="0"/>
        <w:rPr>
          <w:szCs w:val="26"/>
        </w:rPr>
      </w:pPr>
    </w:p>
    <w:p w:rsidR="003A70F0" w:rsidP="003A70F0" w14:paraId="1C1CF7D9" w14:textId="57BB64F1">
      <w:pPr>
        <w:pStyle w:val="FootnoteText"/>
        <w:spacing w:after="0"/>
        <w:rPr>
          <w:szCs w:val="26"/>
        </w:rPr>
      </w:pPr>
      <w:r w:rsidRPr="008F6F34">
        <w:rPr>
          <w:szCs w:val="26"/>
        </w:rPr>
        <w:t>The hourly cost for wages is based in part on the average of the occupational categories from the Bureau of Labor Statistics websit</w:t>
      </w:r>
      <w:r>
        <w:rPr>
          <w:szCs w:val="26"/>
        </w:rPr>
        <w:t xml:space="preserve">e </w:t>
      </w:r>
      <w:r w:rsidRPr="003D2D17">
        <w:rPr>
          <w:szCs w:val="26"/>
        </w:rPr>
        <w:t>(</w:t>
      </w:r>
      <w:hyperlink r:id="rId1" w:history="1">
        <w:r w:rsidRPr="00523A69">
          <w:rPr>
            <w:rStyle w:val="Hyperlink"/>
            <w:color w:val="auto"/>
            <w:u w:val="none"/>
          </w:rPr>
          <w:t>http://www.bls.gov/oes/current/naics2_22.htm</w:t>
        </w:r>
      </w:hyperlink>
      <w:r w:rsidRPr="003D2D17">
        <w:rPr>
          <w:szCs w:val="26"/>
        </w:rPr>
        <w:t>)</w:t>
      </w:r>
      <w:r w:rsidRPr="003D2D17">
        <w:rPr>
          <w:szCs w:val="26"/>
        </w:rPr>
        <w:t xml:space="preserve"> </w:t>
      </w:r>
      <w:r>
        <w:rPr>
          <w:szCs w:val="26"/>
        </w:rPr>
        <w:t>plus benefits</w:t>
      </w:r>
      <w:r w:rsidRPr="00D54CC7">
        <w:rPr>
          <w:szCs w:val="26"/>
        </w:rPr>
        <w:t>:</w:t>
      </w:r>
    </w:p>
    <w:p w:rsidR="00752BFB" w:rsidRPr="00D54CC7" w:rsidP="003A70F0" w14:paraId="1B6DE7A3" w14:textId="77777777">
      <w:pPr>
        <w:pStyle w:val="FootnoteText"/>
        <w:spacing w:after="0"/>
        <w:rPr>
          <w:szCs w:val="26"/>
        </w:rPr>
      </w:pPr>
    </w:p>
    <w:p w:rsidR="003A70F0" w:rsidRPr="003A70F0" w:rsidP="003A70F0" w14:paraId="1E5CFCFA" w14:textId="51C486AC">
      <w:pPr>
        <w:pStyle w:val="FootnoteText"/>
        <w:rPr>
          <w:szCs w:val="26"/>
        </w:rPr>
      </w:pPr>
      <w:r w:rsidRPr="00D54CC7">
        <w:rPr>
          <w:szCs w:val="26"/>
        </w:rPr>
        <w:t>Legal (Occupation Code: 23-0000): $</w:t>
      </w:r>
      <w:r w:rsidRPr="003A70F0">
        <w:rPr>
          <w:szCs w:val="26"/>
        </w:rPr>
        <w:t xml:space="preserve">162.66 </w:t>
      </w:r>
    </w:p>
    <w:p w:rsidR="003A70F0" w:rsidRPr="00D54CC7" w:rsidP="003A70F0" w14:paraId="7061BEAF" w14:textId="77777777">
      <w:pPr>
        <w:pStyle w:val="FootnoteText"/>
        <w:spacing w:after="0"/>
        <w:rPr>
          <w:szCs w:val="26"/>
        </w:rPr>
      </w:pPr>
      <w:r w:rsidRPr="003A70F0">
        <w:rPr>
          <w:szCs w:val="26"/>
        </w:rPr>
        <w:t>E</w:t>
      </w:r>
      <w:r w:rsidRPr="00D54CC7">
        <w:rPr>
          <w:szCs w:val="26"/>
        </w:rPr>
        <w:t>lectrical Engineer (Occupation Code: 17-2071): $</w:t>
      </w:r>
      <w:r w:rsidRPr="003A70F0">
        <w:rPr>
          <w:szCs w:val="26"/>
        </w:rPr>
        <w:t>79.31</w:t>
      </w:r>
    </w:p>
    <w:p w:rsidR="003A70F0" w:rsidRPr="003A70F0" w:rsidP="00F053E2" w14:paraId="70DD44CB" w14:textId="77777777">
      <w:pPr>
        <w:pStyle w:val="FootnoteText"/>
        <w:rPr>
          <w:szCs w:val="26"/>
        </w:rPr>
      </w:pPr>
      <w:r w:rsidRPr="00D54CC7">
        <w:rPr>
          <w:szCs w:val="26"/>
        </w:rPr>
        <w:t>Office and Administrative Support (Occupation Code: 43-0000): $</w:t>
      </w:r>
      <w:r w:rsidRPr="003A70F0">
        <w:rPr>
          <w:szCs w:val="26"/>
        </w:rPr>
        <w:t>48.59</w:t>
      </w:r>
    </w:p>
    <w:p w:rsidR="003A70F0" w:rsidRPr="003A70F0" w:rsidP="003A70F0" w14:paraId="73A51E72" w14:textId="77777777">
      <w:pPr>
        <w:pStyle w:val="FootnoteText"/>
        <w:rPr>
          <w:szCs w:val="26"/>
        </w:rPr>
      </w:pPr>
      <w:r w:rsidRPr="00D54CC7">
        <w:rPr>
          <w:szCs w:val="26"/>
        </w:rPr>
        <w:t>($1</w:t>
      </w:r>
      <w:r w:rsidRPr="003A70F0">
        <w:rPr>
          <w:szCs w:val="26"/>
        </w:rPr>
        <w:t>62.66</w:t>
      </w:r>
      <w:r w:rsidRPr="00D54CC7">
        <w:rPr>
          <w:szCs w:val="26"/>
        </w:rPr>
        <w:t xml:space="preserve"> + $7</w:t>
      </w:r>
      <w:r w:rsidRPr="003A70F0">
        <w:rPr>
          <w:szCs w:val="26"/>
        </w:rPr>
        <w:t>9.31</w:t>
      </w:r>
      <w:r w:rsidRPr="00D54CC7">
        <w:rPr>
          <w:szCs w:val="26"/>
        </w:rPr>
        <w:t xml:space="preserve"> + $4</w:t>
      </w:r>
      <w:r w:rsidRPr="003A70F0">
        <w:rPr>
          <w:szCs w:val="26"/>
        </w:rPr>
        <w:t>8</w:t>
      </w:r>
      <w:r w:rsidRPr="00D54CC7">
        <w:rPr>
          <w:szCs w:val="26"/>
        </w:rPr>
        <w:t>.</w:t>
      </w:r>
      <w:r w:rsidRPr="003A70F0">
        <w:rPr>
          <w:szCs w:val="26"/>
        </w:rPr>
        <w:t>59</w:t>
      </w:r>
      <w:r w:rsidRPr="00D54CC7">
        <w:rPr>
          <w:szCs w:val="26"/>
        </w:rPr>
        <w:t>) ÷ 3 = $</w:t>
      </w:r>
      <w:r w:rsidRPr="003A70F0">
        <w:rPr>
          <w:szCs w:val="26"/>
        </w:rPr>
        <w:t>96.85</w:t>
      </w:r>
      <w:r w:rsidRPr="00D54CC7">
        <w:rPr>
          <w:szCs w:val="26"/>
        </w:rPr>
        <w:t xml:space="preserve">  </w:t>
      </w:r>
    </w:p>
    <w:p w:rsidR="003A70F0" w:rsidRPr="00D54CC7" w:rsidP="003A70F0" w14:paraId="02E0A3CE" w14:textId="334C670F">
      <w:pPr>
        <w:pStyle w:val="FootnoteText"/>
        <w:spacing w:after="0"/>
        <w:rPr>
          <w:szCs w:val="26"/>
        </w:rPr>
      </w:pPr>
      <w:r w:rsidRPr="00D54CC7">
        <w:rPr>
          <w:szCs w:val="26"/>
        </w:rPr>
        <w:t>The figure is rounded to $</w:t>
      </w:r>
      <w:r w:rsidRPr="003A70F0">
        <w:rPr>
          <w:szCs w:val="26"/>
        </w:rPr>
        <w:t>97</w:t>
      </w:r>
      <w:r w:rsidRPr="00D54CC7">
        <w:rPr>
          <w:szCs w:val="26"/>
        </w:rPr>
        <w:t>.00 for use in calculating wage figures in this</w:t>
      </w:r>
      <w:r w:rsidR="00137404">
        <w:rPr>
          <w:szCs w:val="26"/>
        </w:rPr>
        <w:t xml:space="preserve"> NOPR</w:t>
      </w:r>
      <w:r w:rsidRPr="00D54CC7">
        <w:rPr>
          <w:szCs w:val="26"/>
        </w:rPr>
        <w:t>.</w:t>
      </w:r>
    </w:p>
    <w:p w:rsidR="003A70F0" w:rsidRPr="003A70F0" w:rsidP="003A70F0" w14:paraId="7EF8B90C" w14:textId="77777777">
      <w:pPr>
        <w:pStyle w:val="FootnoteText"/>
        <w:rPr>
          <w:szCs w:val="26"/>
        </w:rPr>
      </w:pPr>
    </w:p>
  </w:footnote>
  <w:footnote w:id="56">
    <w:p w:rsidR="00E46F08" w:rsidP="00E46F08" w14:paraId="3F3C8DCB" w14:textId="4A1F767C">
      <w:pPr>
        <w:pStyle w:val="FootnoteText"/>
      </w:pPr>
      <w:r w:rsidRPr="00E46F08">
        <w:rPr>
          <w:rStyle w:val="FootnoteReference"/>
        </w:rPr>
        <w:footnoteRef/>
      </w:r>
      <w:r>
        <w:rPr>
          <w:i/>
          <w:iCs/>
        </w:rPr>
        <w:t xml:space="preserve"> </w:t>
      </w:r>
      <w:r w:rsidRPr="00544C5F">
        <w:rPr>
          <w:i/>
          <w:iCs/>
        </w:rPr>
        <w:t>Reguls</w:t>
      </w:r>
      <w:r w:rsidR="00AB1C35">
        <w:rPr>
          <w:i/>
          <w:iCs/>
        </w:rPr>
        <w:t>.</w:t>
      </w:r>
      <w:r w:rsidRPr="00544C5F">
        <w:rPr>
          <w:i/>
          <w:iCs/>
        </w:rPr>
        <w:t xml:space="preserve"> Implementing the </w:t>
      </w:r>
      <w:r w:rsidRPr="00544C5F" w:rsidR="008F3A97">
        <w:rPr>
          <w:i/>
          <w:iCs/>
        </w:rPr>
        <w:t>Nat</w:t>
      </w:r>
      <w:r w:rsidR="008F3A97">
        <w:rPr>
          <w:i/>
          <w:iCs/>
        </w:rPr>
        <w:t>’</w:t>
      </w:r>
      <w:r w:rsidRPr="00544C5F" w:rsidR="008F3A97">
        <w:rPr>
          <w:i/>
          <w:iCs/>
        </w:rPr>
        <w:t xml:space="preserve">l </w:t>
      </w:r>
      <w:r w:rsidRPr="00544C5F">
        <w:rPr>
          <w:i/>
          <w:iCs/>
        </w:rPr>
        <w:t>Envtl Pol</w:t>
      </w:r>
      <w:r w:rsidR="00AB1C35">
        <w:rPr>
          <w:i/>
          <w:iCs/>
        </w:rPr>
        <w:t>’</w:t>
      </w:r>
      <w:r w:rsidRPr="00544C5F">
        <w:rPr>
          <w:i/>
          <w:iCs/>
        </w:rPr>
        <w:t>y Act</w:t>
      </w:r>
      <w:r>
        <w:t xml:space="preserve">, </w:t>
      </w:r>
      <w:r w:rsidRPr="00346257">
        <w:t>Ord</w:t>
      </w:r>
      <w:r>
        <w:t>er</w:t>
      </w:r>
      <w:r w:rsidRPr="00346257">
        <w:t xml:space="preserve"> No. 486</w:t>
      </w:r>
      <w:r>
        <w:t>, 52 FR 47897 (Dec. 17, 1987), FERC Stats. &amp; Regs. Preambles 1986-1990 ¶ 30,783 (1987) (</w:t>
      </w:r>
      <w:r w:rsidRPr="00E950E7">
        <w:t>cross-referenced at 41 FERC ¶ 61,284).</w:t>
      </w:r>
    </w:p>
  </w:footnote>
  <w:footnote w:id="57">
    <w:p w:rsidR="00B07237" w14:paraId="31486BA7" w14:textId="2212E2BB">
      <w:pPr>
        <w:pStyle w:val="FootnoteText"/>
      </w:pPr>
      <w:r>
        <w:rPr>
          <w:rStyle w:val="FootnoteReference"/>
        </w:rPr>
        <w:footnoteRef/>
      </w:r>
      <w:r>
        <w:t xml:space="preserve"> </w:t>
      </w:r>
      <w:r w:rsidRPr="00B07237">
        <w:t>18 CFR</w:t>
      </w:r>
      <w:r>
        <w:t xml:space="preserve"> </w:t>
      </w:r>
      <w:r w:rsidRPr="00B07237">
        <w:t>380.4(a)(2)(ii).</w:t>
      </w:r>
    </w:p>
  </w:footnote>
  <w:footnote w:id="58">
    <w:p w:rsidR="00E46F08" w:rsidRPr="00060537" w:rsidP="00E46F08" w14:paraId="1118687C" w14:textId="41C4B26F">
      <w:pPr>
        <w:pStyle w:val="FootnoteText"/>
      </w:pPr>
      <w:r w:rsidRPr="00E46F08">
        <w:rPr>
          <w:rStyle w:val="FootnoteReference"/>
        </w:rPr>
        <w:footnoteRef/>
      </w:r>
      <w:r>
        <w:t xml:space="preserve"> 5 U.S.C.</w:t>
      </w:r>
      <w:r w:rsidR="00B07237">
        <w:t xml:space="preserve"> </w:t>
      </w:r>
      <w:r>
        <w:t>601-612.</w:t>
      </w:r>
    </w:p>
  </w:footnote>
  <w:footnote w:id="59">
    <w:p w:rsidR="00B56021" w14:paraId="66541EA6" w14:textId="5735030F">
      <w:pPr>
        <w:pStyle w:val="FootnoteText"/>
      </w:pPr>
      <w:r>
        <w:rPr>
          <w:rStyle w:val="FootnoteReference"/>
        </w:rPr>
        <w:footnoteRef/>
      </w:r>
      <w:r>
        <w:t xml:space="preserve"> </w:t>
      </w:r>
      <w:r w:rsidRPr="00B56021">
        <w:t>13 CFR</w:t>
      </w:r>
      <w:r>
        <w:t xml:space="preserve"> </w:t>
      </w:r>
      <w:r w:rsidRPr="00B56021">
        <w:t>121.101.</w:t>
      </w:r>
    </w:p>
  </w:footnote>
  <w:footnote w:id="60">
    <w:p w:rsidR="00B56021" w14:paraId="3787A61F" w14:textId="4A8BA413">
      <w:pPr>
        <w:pStyle w:val="FootnoteText"/>
      </w:pPr>
      <w:r>
        <w:rPr>
          <w:rStyle w:val="FootnoteReference"/>
        </w:rPr>
        <w:footnoteRef/>
      </w:r>
      <w:r>
        <w:t xml:space="preserve"> </w:t>
      </w:r>
      <w:r w:rsidRPr="00B56021">
        <w:t>13 CFR</w:t>
      </w:r>
      <w:r w:rsidR="00251A52">
        <w:t xml:space="preserve"> </w:t>
      </w:r>
      <w:r w:rsidRPr="00B56021">
        <w:t>121.201, Subsect</w:t>
      </w:r>
      <w:r w:rsidR="00135E11">
        <w:t>or</w:t>
      </w:r>
      <w:r w:rsidRPr="00B56021">
        <w:t xml:space="preserve"> 221</w:t>
      </w:r>
      <w:r w:rsidR="00A2353D">
        <w:t xml:space="preserve"> (Utilities)</w:t>
      </w:r>
      <w:r w:rsidRPr="00B560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F08" w14:paraId="66918B05" w14:textId="112B3D5F">
    <w:pPr>
      <w:pStyle w:val="Head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1270" b="63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C86570" w:rsidRPr="00C86570" w:rsidP="00C86570" w14:textId="4B82E919">
                          <w:pPr>
                            <w:rPr>
                              <w:rFonts w:eastAsia="Times New Roman"/>
                              <w:noProof/>
                              <w:color w:val="FF0000"/>
                              <w:szCs w:val="26"/>
                            </w:rPr>
                          </w:pPr>
                          <w:r w:rsidRPr="00C86570">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C86570" w:rsidRPr="00C86570" w:rsidP="00C86570" w14:paraId="5D100B00" w14:textId="4B82E919">
                    <w:pPr>
                      <w:rPr>
                        <w:rFonts w:eastAsia="Times New Roman"/>
                        <w:noProof/>
                        <w:color w:val="FF0000"/>
                        <w:szCs w:val="26"/>
                      </w:rPr>
                    </w:pPr>
                    <w:r w:rsidRPr="00C86570">
                      <w:rPr>
                        <w:rFonts w:eastAsia="Times New Roman"/>
                        <w:noProof/>
                        <w:color w:val="FF0000"/>
                        <w:szCs w:val="26"/>
                      </w:rPr>
                      <w:t>CUI</w:t>
                    </w:r>
                  </w:p>
                </w:txbxContent>
              </v:textbox>
            </v:shape>
          </w:pict>
        </mc:Fallback>
      </mc:AlternateContent>
    </w:r>
    <w:r w:rsidR="00E46F08">
      <w:rPr>
        <w:rStyle w:val="PageNumber"/>
      </w:rPr>
      <w:fldChar w:fldCharType="begin"/>
    </w:r>
    <w:r w:rsidR="00E46F08">
      <w:rPr>
        <w:rStyle w:val="PageNumber"/>
      </w:rPr>
      <w:instrText xml:space="preserve">PAGE  </w:instrText>
    </w:r>
    <w:r w:rsidR="00E46F08">
      <w:rPr>
        <w:rStyle w:val="PageNumber"/>
      </w:rPr>
      <w:fldChar w:fldCharType="separate"/>
    </w:r>
    <w:r w:rsidR="00E46F08">
      <w:rPr>
        <w:rStyle w:val="PageNumber"/>
        <w:noProof/>
      </w:rPr>
      <w:t>8</w:t>
    </w:r>
    <w:r w:rsidR="00E46F08">
      <w:rPr>
        <w:rStyle w:val="PageNumber"/>
      </w:rPr>
      <w:fldChar w:fldCharType="end"/>
    </w:r>
  </w:p>
  <w:p w:rsidR="00E46F08" w14:paraId="788F3F3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F08" w:rsidP="00E46F08" w14:paraId="2861F68C" w14:textId="2FD7FFCE">
    <w:pPr>
      <w:pStyle w:val="Header"/>
      <w:tabs>
        <w:tab w:val="clear" w:pos="4680"/>
      </w:tabs>
      <w:spacing w:after="240"/>
    </w:pPr>
    <w:r>
      <w:t>Docket No. RM24-7</w:t>
    </w:r>
    <w:r w:rsidR="00167C5D">
      <w:t>-000</w:t>
    </w:r>
    <w:r>
      <w:t xml:space="preserve"> </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F08" w14:paraId="6536101D" w14:textId="48EC647E">
    <w:pPr>
      <w:pStyle w:val="Header"/>
      <w:tabs>
        <w:tab w:val="clear" w:pos="4680"/>
        <w:tab w:val="left" w:pos="8640"/>
        <w:tab w:val="clear"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138023F1" w14:textId="7119D915">
    <w:pPr>
      <w:pStyle w:val="Head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270" b="635"/>
              <wp:wrapNone/>
              <wp:docPr id="5" name="Text Box 5"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C86570" w:rsidRPr="00C86570" w:rsidP="00C86570" w14:textId="3D1B44B9">
                          <w:pPr>
                            <w:rPr>
                              <w:rFonts w:eastAsia="Times New Roman"/>
                              <w:noProof/>
                              <w:color w:val="FF0000"/>
                              <w:szCs w:val="26"/>
                            </w:rPr>
                          </w:pPr>
                          <w:r w:rsidRPr="00C86570">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0"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C86570" w:rsidRPr="00C86570" w:rsidP="00C86570" w14:paraId="05663566" w14:textId="3D1B44B9">
                    <w:pPr>
                      <w:rPr>
                        <w:rFonts w:eastAsia="Times New Roman"/>
                        <w:noProof/>
                        <w:color w:val="FF0000"/>
                        <w:szCs w:val="26"/>
                      </w:rPr>
                    </w:pPr>
                    <w:r w:rsidRPr="00C86570">
                      <w:rPr>
                        <w:rFonts w:eastAsia="Times New Roman"/>
                        <w:noProof/>
                        <w:color w:val="FF0000"/>
                        <w:szCs w:val="26"/>
                      </w:rPr>
                      <w:t>CUI</w:t>
                    </w:r>
                  </w:p>
                </w:txbxContent>
              </v:textbox>
            </v:shape>
          </w:pict>
        </mc:Fallback>
      </mc:AlternateConten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14:paraId="35EF7F56"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46F08" w14:paraId="2EA48A0E" w14:textId="434F9FD1">
    <w:pPr>
      <w:pStyle w:val="Header"/>
      <w:tabs>
        <w:tab w:val="clear" w:pos="4680"/>
      </w:tabs>
      <w:spacing w:after="240"/>
    </w:pPr>
    <w:r>
      <w:t>Docket No. RM24-7</w:t>
    </w:r>
    <w:r w:rsidR="00A23649">
      <w:t>-000</w:t>
    </w:r>
    <w:r>
      <w:t xml:space="preserve"> </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341B969C" w14:textId="60B2DD9B">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55C3C90"/>
    <w:multiLevelType w:val="hybridMultilevel"/>
    <w:tmpl w:val="3008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445222"/>
    <w:multiLevelType w:val="hybridMultilevel"/>
    <w:tmpl w:val="6A909FF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FA019C"/>
    <w:multiLevelType w:val="hybridMultilevel"/>
    <w:tmpl w:val="E7D460A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4C26029A"/>
    <w:multiLevelType w:val="hybridMultilevel"/>
    <w:tmpl w:val="F586D498"/>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4D7249B5"/>
    <w:multiLevelType w:val="hybridMultilevel"/>
    <w:tmpl w:val="E9588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611F39"/>
    <w:multiLevelType w:val="hybridMultilevel"/>
    <w:tmpl w:val="C8D2BA74"/>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2">
    <w:nsid w:val="59F97758"/>
    <w:multiLevelType w:val="hybridMultilevel"/>
    <w:tmpl w:val="9C68F2F4"/>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B6502FF"/>
    <w:multiLevelType w:val="multilevel"/>
    <w:tmpl w:val="9DD4516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4">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8BC5375"/>
    <w:multiLevelType w:val="hybridMultilevel"/>
    <w:tmpl w:val="6B423AE8"/>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8">
    <w:nsid w:val="75394E3F"/>
    <w:multiLevelType w:val="hybridMultilevel"/>
    <w:tmpl w:val="3784400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9">
    <w:nsid w:val="75840C77"/>
    <w:multiLevelType w:val="hybridMultilevel"/>
    <w:tmpl w:val="E910CC5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7A4E44C9"/>
    <w:multiLevelType w:val="hybridMultilevel"/>
    <w:tmpl w:val="08DC4D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31"/>
  </w:num>
  <w:num w:numId="12" w16cid:durableId="52506773">
    <w:abstractNumId w:val="25"/>
  </w:num>
  <w:num w:numId="13" w16cid:durableId="859006164">
    <w:abstractNumId w:val="15"/>
  </w:num>
  <w:num w:numId="14" w16cid:durableId="311065281">
    <w:abstractNumId w:val="27"/>
  </w:num>
  <w:num w:numId="15" w16cid:durableId="1146164863">
    <w:abstractNumId w:val="23"/>
  </w:num>
  <w:num w:numId="16" w16cid:durableId="1071390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2"/>
  </w:num>
  <w:num w:numId="18" w16cid:durableId="1754618900">
    <w:abstractNumId w:val="10"/>
  </w:num>
  <w:num w:numId="19" w16cid:durableId="1358699890">
    <w:abstractNumId w:val="16"/>
  </w:num>
  <w:num w:numId="20" w16cid:durableId="1399862505">
    <w:abstractNumId w:val="13"/>
  </w:num>
  <w:num w:numId="21" w16cid:durableId="984897000">
    <w:abstractNumId w:val="32"/>
  </w:num>
  <w:num w:numId="22" w16cid:durableId="46496330">
    <w:abstractNumId w:val="17"/>
  </w:num>
  <w:num w:numId="23" w16cid:durableId="831333879">
    <w:abstractNumId w:val="26"/>
  </w:num>
  <w:num w:numId="24" w16cid:durableId="471408136">
    <w:abstractNumId w:val="22"/>
  </w:num>
  <w:num w:numId="25" w16cid:durableId="1339311851">
    <w:abstractNumId w:val="18"/>
  </w:num>
  <w:num w:numId="26" w16cid:durableId="1840777729">
    <w:abstractNumId w:val="14"/>
  </w:num>
  <w:num w:numId="27" w16cid:durableId="44526072">
    <w:abstractNumId w:val="21"/>
  </w:num>
  <w:num w:numId="28" w16cid:durableId="144201497">
    <w:abstractNumId w:val="19"/>
  </w:num>
  <w:num w:numId="29" w16cid:durableId="525602380">
    <w:abstractNumId w:val="28"/>
  </w:num>
  <w:num w:numId="30" w16cid:durableId="838539706">
    <w:abstractNumId w:val="29"/>
  </w:num>
  <w:num w:numId="31" w16cid:durableId="1819876697">
    <w:abstractNumId w:val="11"/>
  </w:num>
  <w:num w:numId="32" w16cid:durableId="352001774">
    <w:abstractNumId w:val="20"/>
  </w:num>
  <w:num w:numId="33" w16cid:durableId="993529539">
    <w:abstractNumId w:val="30"/>
  </w:num>
  <w:num w:numId="34" w16cid:durableId="20481410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08"/>
    <w:rsid w:val="000009EE"/>
    <w:rsid w:val="00000BCA"/>
    <w:rsid w:val="00000EF9"/>
    <w:rsid w:val="00001596"/>
    <w:rsid w:val="0000191D"/>
    <w:rsid w:val="00001ABC"/>
    <w:rsid w:val="000021FA"/>
    <w:rsid w:val="00002A8D"/>
    <w:rsid w:val="000030FD"/>
    <w:rsid w:val="00003301"/>
    <w:rsid w:val="00003340"/>
    <w:rsid w:val="00003589"/>
    <w:rsid w:val="000036D0"/>
    <w:rsid w:val="0000390B"/>
    <w:rsid w:val="00003CBE"/>
    <w:rsid w:val="00003E3C"/>
    <w:rsid w:val="00004B59"/>
    <w:rsid w:val="000052D2"/>
    <w:rsid w:val="00005A6A"/>
    <w:rsid w:val="00005D2D"/>
    <w:rsid w:val="000061B4"/>
    <w:rsid w:val="00006442"/>
    <w:rsid w:val="000065C9"/>
    <w:rsid w:val="00006642"/>
    <w:rsid w:val="00006730"/>
    <w:rsid w:val="0000730A"/>
    <w:rsid w:val="0000731D"/>
    <w:rsid w:val="00007611"/>
    <w:rsid w:val="00010403"/>
    <w:rsid w:val="000105CB"/>
    <w:rsid w:val="00010720"/>
    <w:rsid w:val="000109A2"/>
    <w:rsid w:val="00010E3D"/>
    <w:rsid w:val="00010FA6"/>
    <w:rsid w:val="0001179E"/>
    <w:rsid w:val="00011863"/>
    <w:rsid w:val="000118C8"/>
    <w:rsid w:val="00011F24"/>
    <w:rsid w:val="00012151"/>
    <w:rsid w:val="00012387"/>
    <w:rsid w:val="00012524"/>
    <w:rsid w:val="00012765"/>
    <w:rsid w:val="00013152"/>
    <w:rsid w:val="00013377"/>
    <w:rsid w:val="00013550"/>
    <w:rsid w:val="00013690"/>
    <w:rsid w:val="00013B29"/>
    <w:rsid w:val="00013BB7"/>
    <w:rsid w:val="000143AA"/>
    <w:rsid w:val="000147AC"/>
    <w:rsid w:val="00014B0B"/>
    <w:rsid w:val="00014B47"/>
    <w:rsid w:val="000150E1"/>
    <w:rsid w:val="000166E6"/>
    <w:rsid w:val="00016798"/>
    <w:rsid w:val="00016E36"/>
    <w:rsid w:val="000171FA"/>
    <w:rsid w:val="00017A70"/>
    <w:rsid w:val="00017CE2"/>
    <w:rsid w:val="0002042F"/>
    <w:rsid w:val="0002117C"/>
    <w:rsid w:val="000218B0"/>
    <w:rsid w:val="00021CEB"/>
    <w:rsid w:val="00022A33"/>
    <w:rsid w:val="0002355F"/>
    <w:rsid w:val="00023747"/>
    <w:rsid w:val="00023DAB"/>
    <w:rsid w:val="00024097"/>
    <w:rsid w:val="00024671"/>
    <w:rsid w:val="000247F6"/>
    <w:rsid w:val="00024EC4"/>
    <w:rsid w:val="00025470"/>
    <w:rsid w:val="000259F1"/>
    <w:rsid w:val="00025A59"/>
    <w:rsid w:val="00026009"/>
    <w:rsid w:val="00026146"/>
    <w:rsid w:val="00026815"/>
    <w:rsid w:val="000274AF"/>
    <w:rsid w:val="000303DB"/>
    <w:rsid w:val="000316A6"/>
    <w:rsid w:val="000319AA"/>
    <w:rsid w:val="00031C1D"/>
    <w:rsid w:val="00031DC6"/>
    <w:rsid w:val="00032BB9"/>
    <w:rsid w:val="00032F11"/>
    <w:rsid w:val="0003382F"/>
    <w:rsid w:val="0003383A"/>
    <w:rsid w:val="00033FEE"/>
    <w:rsid w:val="00034536"/>
    <w:rsid w:val="000345D0"/>
    <w:rsid w:val="00035618"/>
    <w:rsid w:val="000357BC"/>
    <w:rsid w:val="000359DC"/>
    <w:rsid w:val="00035CCF"/>
    <w:rsid w:val="00035F9A"/>
    <w:rsid w:val="00036073"/>
    <w:rsid w:val="000367ED"/>
    <w:rsid w:val="000373D3"/>
    <w:rsid w:val="00037BFB"/>
    <w:rsid w:val="0004054F"/>
    <w:rsid w:val="000406C4"/>
    <w:rsid w:val="00040F8B"/>
    <w:rsid w:val="0004148F"/>
    <w:rsid w:val="00041CD1"/>
    <w:rsid w:val="00041F20"/>
    <w:rsid w:val="000420B9"/>
    <w:rsid w:val="000427D4"/>
    <w:rsid w:val="000428C4"/>
    <w:rsid w:val="00042A36"/>
    <w:rsid w:val="00043603"/>
    <w:rsid w:val="00043C9C"/>
    <w:rsid w:val="00043F81"/>
    <w:rsid w:val="000440CB"/>
    <w:rsid w:val="00044833"/>
    <w:rsid w:val="0004487E"/>
    <w:rsid w:val="00045AB2"/>
    <w:rsid w:val="0004624A"/>
    <w:rsid w:val="0004628C"/>
    <w:rsid w:val="00046F2A"/>
    <w:rsid w:val="000470AA"/>
    <w:rsid w:val="000479B0"/>
    <w:rsid w:val="00050612"/>
    <w:rsid w:val="00050B99"/>
    <w:rsid w:val="00050C8A"/>
    <w:rsid w:val="00050EF2"/>
    <w:rsid w:val="00051195"/>
    <w:rsid w:val="0005135D"/>
    <w:rsid w:val="00051C83"/>
    <w:rsid w:val="0005229A"/>
    <w:rsid w:val="00052410"/>
    <w:rsid w:val="00052638"/>
    <w:rsid w:val="000532E9"/>
    <w:rsid w:val="000533F1"/>
    <w:rsid w:val="00053D39"/>
    <w:rsid w:val="00054833"/>
    <w:rsid w:val="00054CEF"/>
    <w:rsid w:val="000550DC"/>
    <w:rsid w:val="00055205"/>
    <w:rsid w:val="00055850"/>
    <w:rsid w:val="00055F5F"/>
    <w:rsid w:val="00056CD2"/>
    <w:rsid w:val="00056D37"/>
    <w:rsid w:val="00057475"/>
    <w:rsid w:val="00057B20"/>
    <w:rsid w:val="00057E44"/>
    <w:rsid w:val="00060537"/>
    <w:rsid w:val="00060E70"/>
    <w:rsid w:val="0006117F"/>
    <w:rsid w:val="000611B9"/>
    <w:rsid w:val="00061AEE"/>
    <w:rsid w:val="00061C96"/>
    <w:rsid w:val="00061DDE"/>
    <w:rsid w:val="000625E2"/>
    <w:rsid w:val="00062732"/>
    <w:rsid w:val="00062844"/>
    <w:rsid w:val="000633D2"/>
    <w:rsid w:val="00064725"/>
    <w:rsid w:val="00064CBE"/>
    <w:rsid w:val="00065572"/>
    <w:rsid w:val="00065ACD"/>
    <w:rsid w:val="00065C01"/>
    <w:rsid w:val="00065DFD"/>
    <w:rsid w:val="000668F0"/>
    <w:rsid w:val="00067067"/>
    <w:rsid w:val="00067699"/>
    <w:rsid w:val="0006779E"/>
    <w:rsid w:val="00070857"/>
    <w:rsid w:val="00071236"/>
    <w:rsid w:val="000713BA"/>
    <w:rsid w:val="00071793"/>
    <w:rsid w:val="000719EF"/>
    <w:rsid w:val="00071E4B"/>
    <w:rsid w:val="00071F85"/>
    <w:rsid w:val="000726D7"/>
    <w:rsid w:val="00072814"/>
    <w:rsid w:val="00072D93"/>
    <w:rsid w:val="00072F40"/>
    <w:rsid w:val="00072F59"/>
    <w:rsid w:val="0007377C"/>
    <w:rsid w:val="000739F7"/>
    <w:rsid w:val="00073B1F"/>
    <w:rsid w:val="00073DF9"/>
    <w:rsid w:val="00074075"/>
    <w:rsid w:val="00074131"/>
    <w:rsid w:val="000748F5"/>
    <w:rsid w:val="0007569E"/>
    <w:rsid w:val="000761C8"/>
    <w:rsid w:val="0007636C"/>
    <w:rsid w:val="000773B7"/>
    <w:rsid w:val="000777B7"/>
    <w:rsid w:val="0008014A"/>
    <w:rsid w:val="000805CA"/>
    <w:rsid w:val="0008103A"/>
    <w:rsid w:val="00081102"/>
    <w:rsid w:val="00081161"/>
    <w:rsid w:val="00081746"/>
    <w:rsid w:val="00081A2C"/>
    <w:rsid w:val="00081AA4"/>
    <w:rsid w:val="00081B85"/>
    <w:rsid w:val="00081C9C"/>
    <w:rsid w:val="00081D11"/>
    <w:rsid w:val="00082388"/>
    <w:rsid w:val="000823BF"/>
    <w:rsid w:val="00082692"/>
    <w:rsid w:val="00082A36"/>
    <w:rsid w:val="00082E37"/>
    <w:rsid w:val="00082F04"/>
    <w:rsid w:val="0008326B"/>
    <w:rsid w:val="00083A6B"/>
    <w:rsid w:val="00083DAA"/>
    <w:rsid w:val="0008478C"/>
    <w:rsid w:val="00084860"/>
    <w:rsid w:val="00084A31"/>
    <w:rsid w:val="00084BFE"/>
    <w:rsid w:val="00084DF1"/>
    <w:rsid w:val="00084FEA"/>
    <w:rsid w:val="00085312"/>
    <w:rsid w:val="000853BA"/>
    <w:rsid w:val="00085865"/>
    <w:rsid w:val="00085AE8"/>
    <w:rsid w:val="00085D7C"/>
    <w:rsid w:val="00085E50"/>
    <w:rsid w:val="00085F0F"/>
    <w:rsid w:val="000866E7"/>
    <w:rsid w:val="00086AC3"/>
    <w:rsid w:val="00086BC5"/>
    <w:rsid w:val="00086CDE"/>
    <w:rsid w:val="00086D98"/>
    <w:rsid w:val="00086EDE"/>
    <w:rsid w:val="000870A4"/>
    <w:rsid w:val="00087314"/>
    <w:rsid w:val="0008778D"/>
    <w:rsid w:val="00087ABC"/>
    <w:rsid w:val="00087C1B"/>
    <w:rsid w:val="0009006E"/>
    <w:rsid w:val="000903A8"/>
    <w:rsid w:val="00090415"/>
    <w:rsid w:val="00090F07"/>
    <w:rsid w:val="0009171D"/>
    <w:rsid w:val="0009175C"/>
    <w:rsid w:val="00091CAB"/>
    <w:rsid w:val="000920C2"/>
    <w:rsid w:val="000921C0"/>
    <w:rsid w:val="00092345"/>
    <w:rsid w:val="00092627"/>
    <w:rsid w:val="00092634"/>
    <w:rsid w:val="00092DE9"/>
    <w:rsid w:val="000933D7"/>
    <w:rsid w:val="0009345A"/>
    <w:rsid w:val="00093A16"/>
    <w:rsid w:val="0009552A"/>
    <w:rsid w:val="00095F2C"/>
    <w:rsid w:val="00096122"/>
    <w:rsid w:val="00096B88"/>
    <w:rsid w:val="00096E01"/>
    <w:rsid w:val="00096FDC"/>
    <w:rsid w:val="0009745A"/>
    <w:rsid w:val="000976A6"/>
    <w:rsid w:val="00097909"/>
    <w:rsid w:val="00097C05"/>
    <w:rsid w:val="000A0981"/>
    <w:rsid w:val="000A0D0E"/>
    <w:rsid w:val="000A121D"/>
    <w:rsid w:val="000A1946"/>
    <w:rsid w:val="000A1A8F"/>
    <w:rsid w:val="000A1BF7"/>
    <w:rsid w:val="000A26BB"/>
    <w:rsid w:val="000A2763"/>
    <w:rsid w:val="000A2BB3"/>
    <w:rsid w:val="000A2D3D"/>
    <w:rsid w:val="000A356F"/>
    <w:rsid w:val="000A3750"/>
    <w:rsid w:val="000A39CF"/>
    <w:rsid w:val="000A3D2F"/>
    <w:rsid w:val="000A3D4E"/>
    <w:rsid w:val="000A4038"/>
    <w:rsid w:val="000A406B"/>
    <w:rsid w:val="000A44E0"/>
    <w:rsid w:val="000A482C"/>
    <w:rsid w:val="000A538E"/>
    <w:rsid w:val="000A5470"/>
    <w:rsid w:val="000A57EE"/>
    <w:rsid w:val="000A5894"/>
    <w:rsid w:val="000A597C"/>
    <w:rsid w:val="000A5AE9"/>
    <w:rsid w:val="000A5B17"/>
    <w:rsid w:val="000A5CAC"/>
    <w:rsid w:val="000A64E7"/>
    <w:rsid w:val="000A665A"/>
    <w:rsid w:val="000A66E7"/>
    <w:rsid w:val="000A6835"/>
    <w:rsid w:val="000A6C08"/>
    <w:rsid w:val="000A6C51"/>
    <w:rsid w:val="000A75FD"/>
    <w:rsid w:val="000A7AE3"/>
    <w:rsid w:val="000A7BD4"/>
    <w:rsid w:val="000B0805"/>
    <w:rsid w:val="000B0AC5"/>
    <w:rsid w:val="000B0BA4"/>
    <w:rsid w:val="000B0E7E"/>
    <w:rsid w:val="000B0FDE"/>
    <w:rsid w:val="000B2388"/>
    <w:rsid w:val="000B29F4"/>
    <w:rsid w:val="000B389F"/>
    <w:rsid w:val="000B3FB5"/>
    <w:rsid w:val="000B4124"/>
    <w:rsid w:val="000B4211"/>
    <w:rsid w:val="000B6DBB"/>
    <w:rsid w:val="000B72B6"/>
    <w:rsid w:val="000B7629"/>
    <w:rsid w:val="000B7E62"/>
    <w:rsid w:val="000C0253"/>
    <w:rsid w:val="000C0291"/>
    <w:rsid w:val="000C0627"/>
    <w:rsid w:val="000C06A8"/>
    <w:rsid w:val="000C0D21"/>
    <w:rsid w:val="000C0F47"/>
    <w:rsid w:val="000C1FCA"/>
    <w:rsid w:val="000C20CA"/>
    <w:rsid w:val="000C2326"/>
    <w:rsid w:val="000C25BB"/>
    <w:rsid w:val="000C2AB5"/>
    <w:rsid w:val="000C30CD"/>
    <w:rsid w:val="000C3DF9"/>
    <w:rsid w:val="000C4584"/>
    <w:rsid w:val="000C47E1"/>
    <w:rsid w:val="000C4A0B"/>
    <w:rsid w:val="000C4B8F"/>
    <w:rsid w:val="000C4F34"/>
    <w:rsid w:val="000C588B"/>
    <w:rsid w:val="000C59D6"/>
    <w:rsid w:val="000C5E67"/>
    <w:rsid w:val="000C644F"/>
    <w:rsid w:val="000C655F"/>
    <w:rsid w:val="000C6869"/>
    <w:rsid w:val="000C6A66"/>
    <w:rsid w:val="000C6AF7"/>
    <w:rsid w:val="000C6BB5"/>
    <w:rsid w:val="000C6FA6"/>
    <w:rsid w:val="000C7591"/>
    <w:rsid w:val="000C79E9"/>
    <w:rsid w:val="000C7C59"/>
    <w:rsid w:val="000D01F8"/>
    <w:rsid w:val="000D0720"/>
    <w:rsid w:val="000D07B0"/>
    <w:rsid w:val="000D0EE6"/>
    <w:rsid w:val="000D10F8"/>
    <w:rsid w:val="000D1D4B"/>
    <w:rsid w:val="000D1E29"/>
    <w:rsid w:val="000D1FB6"/>
    <w:rsid w:val="000D27FB"/>
    <w:rsid w:val="000D2DC3"/>
    <w:rsid w:val="000D2F77"/>
    <w:rsid w:val="000D364B"/>
    <w:rsid w:val="000D3C51"/>
    <w:rsid w:val="000D4062"/>
    <w:rsid w:val="000D410E"/>
    <w:rsid w:val="000D49A5"/>
    <w:rsid w:val="000D49EC"/>
    <w:rsid w:val="000D4CA7"/>
    <w:rsid w:val="000D5030"/>
    <w:rsid w:val="000D51FB"/>
    <w:rsid w:val="000D5B27"/>
    <w:rsid w:val="000D5B76"/>
    <w:rsid w:val="000D6D9B"/>
    <w:rsid w:val="000D6F84"/>
    <w:rsid w:val="000D728B"/>
    <w:rsid w:val="000D739B"/>
    <w:rsid w:val="000D772E"/>
    <w:rsid w:val="000D7CD2"/>
    <w:rsid w:val="000D7CFA"/>
    <w:rsid w:val="000D7DD4"/>
    <w:rsid w:val="000D7E4E"/>
    <w:rsid w:val="000D7E96"/>
    <w:rsid w:val="000E0021"/>
    <w:rsid w:val="000E065C"/>
    <w:rsid w:val="000E0857"/>
    <w:rsid w:val="000E0FB3"/>
    <w:rsid w:val="000E1379"/>
    <w:rsid w:val="000E15F3"/>
    <w:rsid w:val="000E18F0"/>
    <w:rsid w:val="000E1ABC"/>
    <w:rsid w:val="000E1D0F"/>
    <w:rsid w:val="000E1E33"/>
    <w:rsid w:val="000E20E8"/>
    <w:rsid w:val="000E2822"/>
    <w:rsid w:val="000E2BFA"/>
    <w:rsid w:val="000E2E4A"/>
    <w:rsid w:val="000E307A"/>
    <w:rsid w:val="000E37C5"/>
    <w:rsid w:val="000E386C"/>
    <w:rsid w:val="000E3E0A"/>
    <w:rsid w:val="000E4C9C"/>
    <w:rsid w:val="000E4E6C"/>
    <w:rsid w:val="000E4E81"/>
    <w:rsid w:val="000E50D9"/>
    <w:rsid w:val="000E523A"/>
    <w:rsid w:val="000E52F6"/>
    <w:rsid w:val="000E57B2"/>
    <w:rsid w:val="000E5817"/>
    <w:rsid w:val="000E58A5"/>
    <w:rsid w:val="000E5A03"/>
    <w:rsid w:val="000E5A2C"/>
    <w:rsid w:val="000E6DEC"/>
    <w:rsid w:val="000E6E0B"/>
    <w:rsid w:val="000E6F52"/>
    <w:rsid w:val="000E7232"/>
    <w:rsid w:val="000E7469"/>
    <w:rsid w:val="000E763A"/>
    <w:rsid w:val="000E7A90"/>
    <w:rsid w:val="000E7E1A"/>
    <w:rsid w:val="000F0355"/>
    <w:rsid w:val="000F0F79"/>
    <w:rsid w:val="000F1FF3"/>
    <w:rsid w:val="000F201A"/>
    <w:rsid w:val="000F2DC1"/>
    <w:rsid w:val="000F333A"/>
    <w:rsid w:val="000F3416"/>
    <w:rsid w:val="000F3449"/>
    <w:rsid w:val="000F3681"/>
    <w:rsid w:val="000F372C"/>
    <w:rsid w:val="000F3A57"/>
    <w:rsid w:val="000F3D43"/>
    <w:rsid w:val="000F43EF"/>
    <w:rsid w:val="000F4C93"/>
    <w:rsid w:val="000F4D91"/>
    <w:rsid w:val="000F4F68"/>
    <w:rsid w:val="000F5D01"/>
    <w:rsid w:val="000F603B"/>
    <w:rsid w:val="000F6403"/>
    <w:rsid w:val="000F65E1"/>
    <w:rsid w:val="000F6C7F"/>
    <w:rsid w:val="000F6E3F"/>
    <w:rsid w:val="000F75BE"/>
    <w:rsid w:val="000F7646"/>
    <w:rsid w:val="00100272"/>
    <w:rsid w:val="00100867"/>
    <w:rsid w:val="001009A1"/>
    <w:rsid w:val="00100A92"/>
    <w:rsid w:val="00100E1B"/>
    <w:rsid w:val="00101013"/>
    <w:rsid w:val="00101107"/>
    <w:rsid w:val="001012BB"/>
    <w:rsid w:val="001019A7"/>
    <w:rsid w:val="00102736"/>
    <w:rsid w:val="001027D9"/>
    <w:rsid w:val="0010290F"/>
    <w:rsid w:val="00102C8B"/>
    <w:rsid w:val="00102D44"/>
    <w:rsid w:val="00102FAC"/>
    <w:rsid w:val="00103ADB"/>
    <w:rsid w:val="00103DE2"/>
    <w:rsid w:val="00103FA0"/>
    <w:rsid w:val="0010405D"/>
    <w:rsid w:val="0010409E"/>
    <w:rsid w:val="0010421A"/>
    <w:rsid w:val="001049F8"/>
    <w:rsid w:val="00104F76"/>
    <w:rsid w:val="00105B3E"/>
    <w:rsid w:val="001060D2"/>
    <w:rsid w:val="00106342"/>
    <w:rsid w:val="00106486"/>
    <w:rsid w:val="0010658E"/>
    <w:rsid w:val="00106AA5"/>
    <w:rsid w:val="001071C2"/>
    <w:rsid w:val="00107458"/>
    <w:rsid w:val="00107719"/>
    <w:rsid w:val="00107A5F"/>
    <w:rsid w:val="00107DB9"/>
    <w:rsid w:val="00110339"/>
    <w:rsid w:val="00110740"/>
    <w:rsid w:val="00110A65"/>
    <w:rsid w:val="0011157C"/>
    <w:rsid w:val="00111B78"/>
    <w:rsid w:val="00111F7E"/>
    <w:rsid w:val="001127CF"/>
    <w:rsid w:val="00112AA6"/>
    <w:rsid w:val="00112D57"/>
    <w:rsid w:val="00112F6D"/>
    <w:rsid w:val="00114879"/>
    <w:rsid w:val="0011532A"/>
    <w:rsid w:val="00115AC9"/>
    <w:rsid w:val="00115E45"/>
    <w:rsid w:val="00115F79"/>
    <w:rsid w:val="00116110"/>
    <w:rsid w:val="0011703A"/>
    <w:rsid w:val="0011758C"/>
    <w:rsid w:val="001176C2"/>
    <w:rsid w:val="00117E34"/>
    <w:rsid w:val="00120603"/>
    <w:rsid w:val="001208A2"/>
    <w:rsid w:val="001209EF"/>
    <w:rsid w:val="00121927"/>
    <w:rsid w:val="001220FF"/>
    <w:rsid w:val="0012245D"/>
    <w:rsid w:val="00123108"/>
    <w:rsid w:val="001231EB"/>
    <w:rsid w:val="001236E4"/>
    <w:rsid w:val="00123BAA"/>
    <w:rsid w:val="00123C95"/>
    <w:rsid w:val="00124798"/>
    <w:rsid w:val="00124A0E"/>
    <w:rsid w:val="00124BA8"/>
    <w:rsid w:val="00124C66"/>
    <w:rsid w:val="00124D50"/>
    <w:rsid w:val="00124F3A"/>
    <w:rsid w:val="0012562B"/>
    <w:rsid w:val="001268D2"/>
    <w:rsid w:val="00126DBD"/>
    <w:rsid w:val="00126E64"/>
    <w:rsid w:val="00126F8B"/>
    <w:rsid w:val="0012713F"/>
    <w:rsid w:val="0012724F"/>
    <w:rsid w:val="00127478"/>
    <w:rsid w:val="001279B9"/>
    <w:rsid w:val="00127A28"/>
    <w:rsid w:val="00127BB4"/>
    <w:rsid w:val="00127D51"/>
    <w:rsid w:val="00127EF7"/>
    <w:rsid w:val="001302D7"/>
    <w:rsid w:val="0013031A"/>
    <w:rsid w:val="00130864"/>
    <w:rsid w:val="00130A89"/>
    <w:rsid w:val="00130CCE"/>
    <w:rsid w:val="00131E83"/>
    <w:rsid w:val="00132D57"/>
    <w:rsid w:val="00133B30"/>
    <w:rsid w:val="00134602"/>
    <w:rsid w:val="00134FE8"/>
    <w:rsid w:val="0013592A"/>
    <w:rsid w:val="00135987"/>
    <w:rsid w:val="00135A9A"/>
    <w:rsid w:val="00135E11"/>
    <w:rsid w:val="00136941"/>
    <w:rsid w:val="00136CA3"/>
    <w:rsid w:val="001371ED"/>
    <w:rsid w:val="00137404"/>
    <w:rsid w:val="00137874"/>
    <w:rsid w:val="001401F9"/>
    <w:rsid w:val="0014125C"/>
    <w:rsid w:val="00141FE2"/>
    <w:rsid w:val="001421AA"/>
    <w:rsid w:val="0014286D"/>
    <w:rsid w:val="001432A1"/>
    <w:rsid w:val="001435E6"/>
    <w:rsid w:val="00143654"/>
    <w:rsid w:val="00143D77"/>
    <w:rsid w:val="001448D7"/>
    <w:rsid w:val="0014523D"/>
    <w:rsid w:val="001454BD"/>
    <w:rsid w:val="00146074"/>
    <w:rsid w:val="001465C8"/>
    <w:rsid w:val="00146A50"/>
    <w:rsid w:val="001474CA"/>
    <w:rsid w:val="00147512"/>
    <w:rsid w:val="00150A23"/>
    <w:rsid w:val="001510A0"/>
    <w:rsid w:val="00151291"/>
    <w:rsid w:val="001512A7"/>
    <w:rsid w:val="001517FF"/>
    <w:rsid w:val="001520D4"/>
    <w:rsid w:val="001521B5"/>
    <w:rsid w:val="001524C1"/>
    <w:rsid w:val="00152DEB"/>
    <w:rsid w:val="0015366B"/>
    <w:rsid w:val="00153CAE"/>
    <w:rsid w:val="00154992"/>
    <w:rsid w:val="001549DE"/>
    <w:rsid w:val="00154C7A"/>
    <w:rsid w:val="001550E9"/>
    <w:rsid w:val="00155339"/>
    <w:rsid w:val="0015549B"/>
    <w:rsid w:val="00155D4F"/>
    <w:rsid w:val="00156033"/>
    <w:rsid w:val="001561A9"/>
    <w:rsid w:val="00156A8A"/>
    <w:rsid w:val="00156AA4"/>
    <w:rsid w:val="001570B6"/>
    <w:rsid w:val="00157240"/>
    <w:rsid w:val="00157A10"/>
    <w:rsid w:val="00160068"/>
    <w:rsid w:val="0016047A"/>
    <w:rsid w:val="0016058D"/>
    <w:rsid w:val="00161194"/>
    <w:rsid w:val="001611FE"/>
    <w:rsid w:val="0016138A"/>
    <w:rsid w:val="001617D5"/>
    <w:rsid w:val="00161F5B"/>
    <w:rsid w:val="0016212A"/>
    <w:rsid w:val="00162B5E"/>
    <w:rsid w:val="001632F5"/>
    <w:rsid w:val="0016368C"/>
    <w:rsid w:val="0016447D"/>
    <w:rsid w:val="001644A7"/>
    <w:rsid w:val="0016462F"/>
    <w:rsid w:val="0016526C"/>
    <w:rsid w:val="0016531B"/>
    <w:rsid w:val="001656FA"/>
    <w:rsid w:val="00165744"/>
    <w:rsid w:val="0016589C"/>
    <w:rsid w:val="00167C5D"/>
    <w:rsid w:val="00167C83"/>
    <w:rsid w:val="00167ECB"/>
    <w:rsid w:val="00170481"/>
    <w:rsid w:val="001704E8"/>
    <w:rsid w:val="00170AB0"/>
    <w:rsid w:val="00170C3F"/>
    <w:rsid w:val="00172071"/>
    <w:rsid w:val="001720B7"/>
    <w:rsid w:val="001720F3"/>
    <w:rsid w:val="0017289F"/>
    <w:rsid w:val="00172DE7"/>
    <w:rsid w:val="00174064"/>
    <w:rsid w:val="0017497A"/>
    <w:rsid w:val="00175285"/>
    <w:rsid w:val="00175E0B"/>
    <w:rsid w:val="00175EE9"/>
    <w:rsid w:val="0017696A"/>
    <w:rsid w:val="0017701D"/>
    <w:rsid w:val="0017797D"/>
    <w:rsid w:val="00177E12"/>
    <w:rsid w:val="00180361"/>
    <w:rsid w:val="00180A49"/>
    <w:rsid w:val="00180ED9"/>
    <w:rsid w:val="001817FD"/>
    <w:rsid w:val="00182B51"/>
    <w:rsid w:val="0018365E"/>
    <w:rsid w:val="00183960"/>
    <w:rsid w:val="00183CBF"/>
    <w:rsid w:val="00183CF3"/>
    <w:rsid w:val="00184151"/>
    <w:rsid w:val="00184362"/>
    <w:rsid w:val="001848B9"/>
    <w:rsid w:val="00185E70"/>
    <w:rsid w:val="001861D1"/>
    <w:rsid w:val="0018621B"/>
    <w:rsid w:val="00186F68"/>
    <w:rsid w:val="0018740C"/>
    <w:rsid w:val="0018758C"/>
    <w:rsid w:val="00187787"/>
    <w:rsid w:val="00187D5A"/>
    <w:rsid w:val="00187D72"/>
    <w:rsid w:val="001901A3"/>
    <w:rsid w:val="001907C9"/>
    <w:rsid w:val="00190E44"/>
    <w:rsid w:val="00190EBC"/>
    <w:rsid w:val="001911AC"/>
    <w:rsid w:val="001912A7"/>
    <w:rsid w:val="00191617"/>
    <w:rsid w:val="00191796"/>
    <w:rsid w:val="0019220C"/>
    <w:rsid w:val="0019292E"/>
    <w:rsid w:val="00192A20"/>
    <w:rsid w:val="00192F93"/>
    <w:rsid w:val="001931F6"/>
    <w:rsid w:val="001932B0"/>
    <w:rsid w:val="00193A97"/>
    <w:rsid w:val="001942B9"/>
    <w:rsid w:val="00194D1B"/>
    <w:rsid w:val="00194F41"/>
    <w:rsid w:val="00194FA7"/>
    <w:rsid w:val="001950D4"/>
    <w:rsid w:val="0019516D"/>
    <w:rsid w:val="00195BBD"/>
    <w:rsid w:val="00195C61"/>
    <w:rsid w:val="001960DD"/>
    <w:rsid w:val="001966BC"/>
    <w:rsid w:val="00196F9E"/>
    <w:rsid w:val="00196FD3"/>
    <w:rsid w:val="001A026A"/>
    <w:rsid w:val="001A05AF"/>
    <w:rsid w:val="001A06CF"/>
    <w:rsid w:val="001A0A1A"/>
    <w:rsid w:val="001A0E9F"/>
    <w:rsid w:val="001A114F"/>
    <w:rsid w:val="001A1641"/>
    <w:rsid w:val="001A1693"/>
    <w:rsid w:val="001A21CA"/>
    <w:rsid w:val="001A265B"/>
    <w:rsid w:val="001A26A0"/>
    <w:rsid w:val="001A2AF1"/>
    <w:rsid w:val="001A2DFA"/>
    <w:rsid w:val="001A2FBD"/>
    <w:rsid w:val="001A31C4"/>
    <w:rsid w:val="001A33D6"/>
    <w:rsid w:val="001A3EE1"/>
    <w:rsid w:val="001A44EB"/>
    <w:rsid w:val="001A563A"/>
    <w:rsid w:val="001A5659"/>
    <w:rsid w:val="001A63C6"/>
    <w:rsid w:val="001A6CB3"/>
    <w:rsid w:val="001A70D4"/>
    <w:rsid w:val="001A791A"/>
    <w:rsid w:val="001A7A5E"/>
    <w:rsid w:val="001B042B"/>
    <w:rsid w:val="001B0838"/>
    <w:rsid w:val="001B0C14"/>
    <w:rsid w:val="001B0C73"/>
    <w:rsid w:val="001B1329"/>
    <w:rsid w:val="001B1BA1"/>
    <w:rsid w:val="001B1E92"/>
    <w:rsid w:val="001B1FE9"/>
    <w:rsid w:val="001B21C6"/>
    <w:rsid w:val="001B259E"/>
    <w:rsid w:val="001B2873"/>
    <w:rsid w:val="001B2C6D"/>
    <w:rsid w:val="001B2DF9"/>
    <w:rsid w:val="001B362D"/>
    <w:rsid w:val="001B37A5"/>
    <w:rsid w:val="001B49F3"/>
    <w:rsid w:val="001B4C5B"/>
    <w:rsid w:val="001B4EAB"/>
    <w:rsid w:val="001B4FB2"/>
    <w:rsid w:val="001B5020"/>
    <w:rsid w:val="001B66E3"/>
    <w:rsid w:val="001B6C18"/>
    <w:rsid w:val="001B71E7"/>
    <w:rsid w:val="001B7C27"/>
    <w:rsid w:val="001C03A0"/>
    <w:rsid w:val="001C0CE2"/>
    <w:rsid w:val="001C0D5E"/>
    <w:rsid w:val="001C1AC4"/>
    <w:rsid w:val="001C2349"/>
    <w:rsid w:val="001C24C2"/>
    <w:rsid w:val="001C286B"/>
    <w:rsid w:val="001C2FBB"/>
    <w:rsid w:val="001C4278"/>
    <w:rsid w:val="001C4E9B"/>
    <w:rsid w:val="001C5010"/>
    <w:rsid w:val="001C555E"/>
    <w:rsid w:val="001C58EB"/>
    <w:rsid w:val="001C59A5"/>
    <w:rsid w:val="001C5BAE"/>
    <w:rsid w:val="001C5F6D"/>
    <w:rsid w:val="001C6611"/>
    <w:rsid w:val="001C6C31"/>
    <w:rsid w:val="001D0334"/>
    <w:rsid w:val="001D035C"/>
    <w:rsid w:val="001D0945"/>
    <w:rsid w:val="001D0B20"/>
    <w:rsid w:val="001D0F35"/>
    <w:rsid w:val="001D1337"/>
    <w:rsid w:val="001D17C9"/>
    <w:rsid w:val="001D192C"/>
    <w:rsid w:val="001D201B"/>
    <w:rsid w:val="001D206E"/>
    <w:rsid w:val="001D264B"/>
    <w:rsid w:val="001D26AA"/>
    <w:rsid w:val="001D2A74"/>
    <w:rsid w:val="001D2D86"/>
    <w:rsid w:val="001D343C"/>
    <w:rsid w:val="001D3B0D"/>
    <w:rsid w:val="001D3D5A"/>
    <w:rsid w:val="001D41BF"/>
    <w:rsid w:val="001D4612"/>
    <w:rsid w:val="001D464F"/>
    <w:rsid w:val="001D49E7"/>
    <w:rsid w:val="001D4EBF"/>
    <w:rsid w:val="001D550B"/>
    <w:rsid w:val="001D65CA"/>
    <w:rsid w:val="001D67D6"/>
    <w:rsid w:val="001D6E1C"/>
    <w:rsid w:val="001D6F4A"/>
    <w:rsid w:val="001D7464"/>
    <w:rsid w:val="001D75BC"/>
    <w:rsid w:val="001D7927"/>
    <w:rsid w:val="001D7A8E"/>
    <w:rsid w:val="001D7BC5"/>
    <w:rsid w:val="001E0723"/>
    <w:rsid w:val="001E0A1C"/>
    <w:rsid w:val="001E0EB6"/>
    <w:rsid w:val="001E1EA5"/>
    <w:rsid w:val="001E1FB0"/>
    <w:rsid w:val="001E215D"/>
    <w:rsid w:val="001E249F"/>
    <w:rsid w:val="001E26A9"/>
    <w:rsid w:val="001E28E5"/>
    <w:rsid w:val="001E2941"/>
    <w:rsid w:val="001E34F2"/>
    <w:rsid w:val="001E48F9"/>
    <w:rsid w:val="001E4921"/>
    <w:rsid w:val="001E512C"/>
    <w:rsid w:val="001E51C4"/>
    <w:rsid w:val="001E51C8"/>
    <w:rsid w:val="001E593D"/>
    <w:rsid w:val="001E59F9"/>
    <w:rsid w:val="001E5C49"/>
    <w:rsid w:val="001E5E65"/>
    <w:rsid w:val="001E629A"/>
    <w:rsid w:val="001E65A0"/>
    <w:rsid w:val="001E6999"/>
    <w:rsid w:val="001E6F44"/>
    <w:rsid w:val="001E6F79"/>
    <w:rsid w:val="001E7734"/>
    <w:rsid w:val="001E7A8F"/>
    <w:rsid w:val="001E7B94"/>
    <w:rsid w:val="001E7C55"/>
    <w:rsid w:val="001F0AD2"/>
    <w:rsid w:val="001F0EAC"/>
    <w:rsid w:val="001F10CF"/>
    <w:rsid w:val="001F1806"/>
    <w:rsid w:val="001F1C93"/>
    <w:rsid w:val="001F36BA"/>
    <w:rsid w:val="001F3D64"/>
    <w:rsid w:val="001F3E49"/>
    <w:rsid w:val="001F4BF9"/>
    <w:rsid w:val="001F4E8F"/>
    <w:rsid w:val="001F50A2"/>
    <w:rsid w:val="001F51A0"/>
    <w:rsid w:val="001F523C"/>
    <w:rsid w:val="001F5CC6"/>
    <w:rsid w:val="001F5F3B"/>
    <w:rsid w:val="001F65C3"/>
    <w:rsid w:val="001F6956"/>
    <w:rsid w:val="001F7D28"/>
    <w:rsid w:val="00200475"/>
    <w:rsid w:val="00200A21"/>
    <w:rsid w:val="00201591"/>
    <w:rsid w:val="00201651"/>
    <w:rsid w:val="00202620"/>
    <w:rsid w:val="002026ED"/>
    <w:rsid w:val="00202BC3"/>
    <w:rsid w:val="00203526"/>
    <w:rsid w:val="00203883"/>
    <w:rsid w:val="00203911"/>
    <w:rsid w:val="00203969"/>
    <w:rsid w:val="002043D7"/>
    <w:rsid w:val="0020478A"/>
    <w:rsid w:val="00204AAE"/>
    <w:rsid w:val="00204D32"/>
    <w:rsid w:val="00205C75"/>
    <w:rsid w:val="002067DC"/>
    <w:rsid w:val="002067FD"/>
    <w:rsid w:val="002072CF"/>
    <w:rsid w:val="00207817"/>
    <w:rsid w:val="00207BCD"/>
    <w:rsid w:val="002104BA"/>
    <w:rsid w:val="00210ACE"/>
    <w:rsid w:val="00210F2E"/>
    <w:rsid w:val="002112A1"/>
    <w:rsid w:val="00211433"/>
    <w:rsid w:val="00211765"/>
    <w:rsid w:val="00211B8F"/>
    <w:rsid w:val="00211D6A"/>
    <w:rsid w:val="002120DD"/>
    <w:rsid w:val="0021210C"/>
    <w:rsid w:val="00212311"/>
    <w:rsid w:val="002128A7"/>
    <w:rsid w:val="00212AFA"/>
    <w:rsid w:val="00212F12"/>
    <w:rsid w:val="00213066"/>
    <w:rsid w:val="0021311A"/>
    <w:rsid w:val="002136E7"/>
    <w:rsid w:val="00213732"/>
    <w:rsid w:val="00213E72"/>
    <w:rsid w:val="002140A2"/>
    <w:rsid w:val="0021428B"/>
    <w:rsid w:val="00215A72"/>
    <w:rsid w:val="00215F70"/>
    <w:rsid w:val="00216561"/>
    <w:rsid w:val="00217141"/>
    <w:rsid w:val="00217282"/>
    <w:rsid w:val="002172CC"/>
    <w:rsid w:val="00217739"/>
    <w:rsid w:val="002177F7"/>
    <w:rsid w:val="00217D15"/>
    <w:rsid w:val="002206DB"/>
    <w:rsid w:val="002206E7"/>
    <w:rsid w:val="00221098"/>
    <w:rsid w:val="0022182D"/>
    <w:rsid w:val="00223502"/>
    <w:rsid w:val="00223FEC"/>
    <w:rsid w:val="00224859"/>
    <w:rsid w:val="00225813"/>
    <w:rsid w:val="00225A12"/>
    <w:rsid w:val="00225A29"/>
    <w:rsid w:val="00225C88"/>
    <w:rsid w:val="002261B3"/>
    <w:rsid w:val="00226261"/>
    <w:rsid w:val="002262C5"/>
    <w:rsid w:val="002262D9"/>
    <w:rsid w:val="002264DB"/>
    <w:rsid w:val="0022650F"/>
    <w:rsid w:val="002266BE"/>
    <w:rsid w:val="002268F5"/>
    <w:rsid w:val="00230233"/>
    <w:rsid w:val="00230424"/>
    <w:rsid w:val="002306CF"/>
    <w:rsid w:val="00230B97"/>
    <w:rsid w:val="00230C52"/>
    <w:rsid w:val="0023143B"/>
    <w:rsid w:val="002318B6"/>
    <w:rsid w:val="00231D68"/>
    <w:rsid w:val="002324B4"/>
    <w:rsid w:val="00233937"/>
    <w:rsid w:val="00233BB8"/>
    <w:rsid w:val="00233C87"/>
    <w:rsid w:val="00233CEF"/>
    <w:rsid w:val="00233FD0"/>
    <w:rsid w:val="002342BA"/>
    <w:rsid w:val="002348A1"/>
    <w:rsid w:val="00234CCC"/>
    <w:rsid w:val="00234CF7"/>
    <w:rsid w:val="00235249"/>
    <w:rsid w:val="002352B0"/>
    <w:rsid w:val="002354E4"/>
    <w:rsid w:val="00235809"/>
    <w:rsid w:val="00235D34"/>
    <w:rsid w:val="0023644D"/>
    <w:rsid w:val="00236E9B"/>
    <w:rsid w:val="00237299"/>
    <w:rsid w:val="00237507"/>
    <w:rsid w:val="002400B6"/>
    <w:rsid w:val="00240493"/>
    <w:rsid w:val="00240663"/>
    <w:rsid w:val="00240E45"/>
    <w:rsid w:val="00241085"/>
    <w:rsid w:val="0024155F"/>
    <w:rsid w:val="00241D9B"/>
    <w:rsid w:val="00241F8C"/>
    <w:rsid w:val="00243942"/>
    <w:rsid w:val="00243A3D"/>
    <w:rsid w:val="00243AF0"/>
    <w:rsid w:val="00243BB5"/>
    <w:rsid w:val="00243F8A"/>
    <w:rsid w:val="0024475F"/>
    <w:rsid w:val="00244D2B"/>
    <w:rsid w:val="002451AC"/>
    <w:rsid w:val="002464E8"/>
    <w:rsid w:val="00246BFA"/>
    <w:rsid w:val="0024710C"/>
    <w:rsid w:val="0024728F"/>
    <w:rsid w:val="002475ED"/>
    <w:rsid w:val="002478E0"/>
    <w:rsid w:val="00247922"/>
    <w:rsid w:val="002479C5"/>
    <w:rsid w:val="002479D5"/>
    <w:rsid w:val="00247CDB"/>
    <w:rsid w:val="00247E2F"/>
    <w:rsid w:val="002501D1"/>
    <w:rsid w:val="00250257"/>
    <w:rsid w:val="00250BDE"/>
    <w:rsid w:val="00251491"/>
    <w:rsid w:val="00251A52"/>
    <w:rsid w:val="00251AD2"/>
    <w:rsid w:val="00251ECB"/>
    <w:rsid w:val="002527A7"/>
    <w:rsid w:val="0025367F"/>
    <w:rsid w:val="00253776"/>
    <w:rsid w:val="002537D2"/>
    <w:rsid w:val="00253ED0"/>
    <w:rsid w:val="00254EBD"/>
    <w:rsid w:val="00255417"/>
    <w:rsid w:val="00255B8F"/>
    <w:rsid w:val="00256752"/>
    <w:rsid w:val="00256F86"/>
    <w:rsid w:val="00257862"/>
    <w:rsid w:val="00257989"/>
    <w:rsid w:val="00257EEC"/>
    <w:rsid w:val="00260517"/>
    <w:rsid w:val="002608BB"/>
    <w:rsid w:val="00260E0A"/>
    <w:rsid w:val="00260E73"/>
    <w:rsid w:val="0026114B"/>
    <w:rsid w:val="002619AB"/>
    <w:rsid w:val="0026251B"/>
    <w:rsid w:val="00262E56"/>
    <w:rsid w:val="00262FED"/>
    <w:rsid w:val="002639CA"/>
    <w:rsid w:val="00263C70"/>
    <w:rsid w:val="002641A4"/>
    <w:rsid w:val="00264BCA"/>
    <w:rsid w:val="00264F13"/>
    <w:rsid w:val="00265685"/>
    <w:rsid w:val="00265722"/>
    <w:rsid w:val="00265726"/>
    <w:rsid w:val="00265C4D"/>
    <w:rsid w:val="002662F0"/>
    <w:rsid w:val="00266581"/>
    <w:rsid w:val="002670D5"/>
    <w:rsid w:val="002670D6"/>
    <w:rsid w:val="002670F1"/>
    <w:rsid w:val="0026714D"/>
    <w:rsid w:val="00267328"/>
    <w:rsid w:val="002673D5"/>
    <w:rsid w:val="002673D7"/>
    <w:rsid w:val="00267876"/>
    <w:rsid w:val="00270504"/>
    <w:rsid w:val="00270A48"/>
    <w:rsid w:val="00270ADC"/>
    <w:rsid w:val="00271533"/>
    <w:rsid w:val="00271ED8"/>
    <w:rsid w:val="00271EE6"/>
    <w:rsid w:val="00272EB2"/>
    <w:rsid w:val="00273C53"/>
    <w:rsid w:val="00273CA0"/>
    <w:rsid w:val="002743C3"/>
    <w:rsid w:val="00274963"/>
    <w:rsid w:val="00274ED4"/>
    <w:rsid w:val="0027522F"/>
    <w:rsid w:val="00275B1D"/>
    <w:rsid w:val="0027624D"/>
    <w:rsid w:val="002763E6"/>
    <w:rsid w:val="00276582"/>
    <w:rsid w:val="00276672"/>
    <w:rsid w:val="002779B2"/>
    <w:rsid w:val="00277AFD"/>
    <w:rsid w:val="00277D82"/>
    <w:rsid w:val="00280A2C"/>
    <w:rsid w:val="00281249"/>
    <w:rsid w:val="002817CE"/>
    <w:rsid w:val="00281978"/>
    <w:rsid w:val="002820B6"/>
    <w:rsid w:val="002824E6"/>
    <w:rsid w:val="00283AA6"/>
    <w:rsid w:val="0028432C"/>
    <w:rsid w:val="00284417"/>
    <w:rsid w:val="0028454A"/>
    <w:rsid w:val="00284E46"/>
    <w:rsid w:val="00284ED1"/>
    <w:rsid w:val="00284F0C"/>
    <w:rsid w:val="0028564E"/>
    <w:rsid w:val="002857E2"/>
    <w:rsid w:val="0028587B"/>
    <w:rsid w:val="0028605E"/>
    <w:rsid w:val="002860DD"/>
    <w:rsid w:val="002867F0"/>
    <w:rsid w:val="00286CF4"/>
    <w:rsid w:val="00286EA1"/>
    <w:rsid w:val="002870A9"/>
    <w:rsid w:val="00287EDC"/>
    <w:rsid w:val="00290ABD"/>
    <w:rsid w:val="00290FC9"/>
    <w:rsid w:val="00291024"/>
    <w:rsid w:val="0029105F"/>
    <w:rsid w:val="00291499"/>
    <w:rsid w:val="00291D8C"/>
    <w:rsid w:val="00291E58"/>
    <w:rsid w:val="00291E9E"/>
    <w:rsid w:val="00292DAB"/>
    <w:rsid w:val="00292EC5"/>
    <w:rsid w:val="00293E05"/>
    <w:rsid w:val="00293FCA"/>
    <w:rsid w:val="0029416E"/>
    <w:rsid w:val="00294521"/>
    <w:rsid w:val="00294FCB"/>
    <w:rsid w:val="00295678"/>
    <w:rsid w:val="00295B26"/>
    <w:rsid w:val="0029690A"/>
    <w:rsid w:val="00296DE2"/>
    <w:rsid w:val="00296EA6"/>
    <w:rsid w:val="00297023"/>
    <w:rsid w:val="002970FF"/>
    <w:rsid w:val="002974E2"/>
    <w:rsid w:val="002977C6"/>
    <w:rsid w:val="00297C58"/>
    <w:rsid w:val="002A04E0"/>
    <w:rsid w:val="002A0B4A"/>
    <w:rsid w:val="002A188A"/>
    <w:rsid w:val="002A18A3"/>
    <w:rsid w:val="002A1DA6"/>
    <w:rsid w:val="002A23A0"/>
    <w:rsid w:val="002A2745"/>
    <w:rsid w:val="002A2BC3"/>
    <w:rsid w:val="002A31BE"/>
    <w:rsid w:val="002A3301"/>
    <w:rsid w:val="002A34C1"/>
    <w:rsid w:val="002A3680"/>
    <w:rsid w:val="002A3905"/>
    <w:rsid w:val="002A416A"/>
    <w:rsid w:val="002A4914"/>
    <w:rsid w:val="002A4ED5"/>
    <w:rsid w:val="002A5141"/>
    <w:rsid w:val="002A5331"/>
    <w:rsid w:val="002A5473"/>
    <w:rsid w:val="002A54DF"/>
    <w:rsid w:val="002A5581"/>
    <w:rsid w:val="002A5C43"/>
    <w:rsid w:val="002A5DC3"/>
    <w:rsid w:val="002A5F40"/>
    <w:rsid w:val="002A6176"/>
    <w:rsid w:val="002A6F9A"/>
    <w:rsid w:val="002A729E"/>
    <w:rsid w:val="002A76B0"/>
    <w:rsid w:val="002A7FB5"/>
    <w:rsid w:val="002B0055"/>
    <w:rsid w:val="002B0332"/>
    <w:rsid w:val="002B08E8"/>
    <w:rsid w:val="002B09C6"/>
    <w:rsid w:val="002B1408"/>
    <w:rsid w:val="002B15E7"/>
    <w:rsid w:val="002B262D"/>
    <w:rsid w:val="002B2CF9"/>
    <w:rsid w:val="002B3295"/>
    <w:rsid w:val="002B35F2"/>
    <w:rsid w:val="002B3D80"/>
    <w:rsid w:val="002B3F9D"/>
    <w:rsid w:val="002B4EF0"/>
    <w:rsid w:val="002B52D5"/>
    <w:rsid w:val="002B5E43"/>
    <w:rsid w:val="002B6125"/>
    <w:rsid w:val="002B613D"/>
    <w:rsid w:val="002B6870"/>
    <w:rsid w:val="002B698A"/>
    <w:rsid w:val="002B6DCE"/>
    <w:rsid w:val="002B7179"/>
    <w:rsid w:val="002C0636"/>
    <w:rsid w:val="002C1536"/>
    <w:rsid w:val="002C204A"/>
    <w:rsid w:val="002C248F"/>
    <w:rsid w:val="002C277B"/>
    <w:rsid w:val="002C3554"/>
    <w:rsid w:val="002C3B5A"/>
    <w:rsid w:val="002C4677"/>
    <w:rsid w:val="002C5467"/>
    <w:rsid w:val="002C57E5"/>
    <w:rsid w:val="002C59C1"/>
    <w:rsid w:val="002C59C7"/>
    <w:rsid w:val="002C5C4F"/>
    <w:rsid w:val="002C6791"/>
    <w:rsid w:val="002C6A66"/>
    <w:rsid w:val="002C6E08"/>
    <w:rsid w:val="002C6EDC"/>
    <w:rsid w:val="002C7169"/>
    <w:rsid w:val="002C7303"/>
    <w:rsid w:val="002C7704"/>
    <w:rsid w:val="002C7E8F"/>
    <w:rsid w:val="002C7F13"/>
    <w:rsid w:val="002D01CB"/>
    <w:rsid w:val="002D0A5E"/>
    <w:rsid w:val="002D0CF8"/>
    <w:rsid w:val="002D1528"/>
    <w:rsid w:val="002D2031"/>
    <w:rsid w:val="002D206A"/>
    <w:rsid w:val="002D2696"/>
    <w:rsid w:val="002D28DD"/>
    <w:rsid w:val="002D2A0E"/>
    <w:rsid w:val="002D2C15"/>
    <w:rsid w:val="002D2FF9"/>
    <w:rsid w:val="002D3021"/>
    <w:rsid w:val="002D358E"/>
    <w:rsid w:val="002D4015"/>
    <w:rsid w:val="002D4030"/>
    <w:rsid w:val="002D46CB"/>
    <w:rsid w:val="002D5635"/>
    <w:rsid w:val="002D59B5"/>
    <w:rsid w:val="002D5E37"/>
    <w:rsid w:val="002D636D"/>
    <w:rsid w:val="002D644C"/>
    <w:rsid w:val="002D6489"/>
    <w:rsid w:val="002D65B3"/>
    <w:rsid w:val="002D66A8"/>
    <w:rsid w:val="002D66F9"/>
    <w:rsid w:val="002D6E47"/>
    <w:rsid w:val="002D76F3"/>
    <w:rsid w:val="002D7B51"/>
    <w:rsid w:val="002D7D6B"/>
    <w:rsid w:val="002E0A44"/>
    <w:rsid w:val="002E104A"/>
    <w:rsid w:val="002E147C"/>
    <w:rsid w:val="002E1A0F"/>
    <w:rsid w:val="002E1A85"/>
    <w:rsid w:val="002E1F90"/>
    <w:rsid w:val="002E2247"/>
    <w:rsid w:val="002E3452"/>
    <w:rsid w:val="002E3B6C"/>
    <w:rsid w:val="002E40CF"/>
    <w:rsid w:val="002E47A9"/>
    <w:rsid w:val="002E4966"/>
    <w:rsid w:val="002E4E8A"/>
    <w:rsid w:val="002E5743"/>
    <w:rsid w:val="002E6664"/>
    <w:rsid w:val="002E698F"/>
    <w:rsid w:val="002E7117"/>
    <w:rsid w:val="002E7592"/>
    <w:rsid w:val="002E75A5"/>
    <w:rsid w:val="002F00DD"/>
    <w:rsid w:val="002F0108"/>
    <w:rsid w:val="002F01A2"/>
    <w:rsid w:val="002F035B"/>
    <w:rsid w:val="002F06BD"/>
    <w:rsid w:val="002F08DF"/>
    <w:rsid w:val="002F128A"/>
    <w:rsid w:val="002F1628"/>
    <w:rsid w:val="002F1C96"/>
    <w:rsid w:val="002F211D"/>
    <w:rsid w:val="002F2554"/>
    <w:rsid w:val="002F3384"/>
    <w:rsid w:val="002F4481"/>
    <w:rsid w:val="002F49D3"/>
    <w:rsid w:val="002F52A9"/>
    <w:rsid w:val="002F55F4"/>
    <w:rsid w:val="002F5740"/>
    <w:rsid w:val="002F6D5C"/>
    <w:rsid w:val="002F6D60"/>
    <w:rsid w:val="002F6F87"/>
    <w:rsid w:val="002F6FEB"/>
    <w:rsid w:val="002F700E"/>
    <w:rsid w:val="002F70EC"/>
    <w:rsid w:val="002F777E"/>
    <w:rsid w:val="002F794B"/>
    <w:rsid w:val="002F7AC6"/>
    <w:rsid w:val="003009D9"/>
    <w:rsid w:val="00301442"/>
    <w:rsid w:val="00301D68"/>
    <w:rsid w:val="003028AB"/>
    <w:rsid w:val="003031DA"/>
    <w:rsid w:val="003034D0"/>
    <w:rsid w:val="00303B29"/>
    <w:rsid w:val="00304B5B"/>
    <w:rsid w:val="00305399"/>
    <w:rsid w:val="00306B26"/>
    <w:rsid w:val="00306C2D"/>
    <w:rsid w:val="00306D2E"/>
    <w:rsid w:val="0030706C"/>
    <w:rsid w:val="00307BEE"/>
    <w:rsid w:val="00307FE5"/>
    <w:rsid w:val="0031054B"/>
    <w:rsid w:val="00310619"/>
    <w:rsid w:val="003108C7"/>
    <w:rsid w:val="003109AD"/>
    <w:rsid w:val="00310BEA"/>
    <w:rsid w:val="00311322"/>
    <w:rsid w:val="00311402"/>
    <w:rsid w:val="00311644"/>
    <w:rsid w:val="00311ED6"/>
    <w:rsid w:val="00311FD9"/>
    <w:rsid w:val="00312651"/>
    <w:rsid w:val="00312657"/>
    <w:rsid w:val="00312920"/>
    <w:rsid w:val="00312E55"/>
    <w:rsid w:val="00313634"/>
    <w:rsid w:val="00313AA0"/>
    <w:rsid w:val="00313D92"/>
    <w:rsid w:val="00314350"/>
    <w:rsid w:val="003146E9"/>
    <w:rsid w:val="00314F38"/>
    <w:rsid w:val="00315CA0"/>
    <w:rsid w:val="00315EDD"/>
    <w:rsid w:val="00315F8D"/>
    <w:rsid w:val="00316298"/>
    <w:rsid w:val="00317387"/>
    <w:rsid w:val="00317BF5"/>
    <w:rsid w:val="003203A0"/>
    <w:rsid w:val="00320F19"/>
    <w:rsid w:val="00321D58"/>
    <w:rsid w:val="003222E8"/>
    <w:rsid w:val="00322567"/>
    <w:rsid w:val="003226DB"/>
    <w:rsid w:val="00322CE4"/>
    <w:rsid w:val="00322F05"/>
    <w:rsid w:val="00323E70"/>
    <w:rsid w:val="0032463E"/>
    <w:rsid w:val="003246AA"/>
    <w:rsid w:val="00324864"/>
    <w:rsid w:val="0032491A"/>
    <w:rsid w:val="00324B22"/>
    <w:rsid w:val="00324EAE"/>
    <w:rsid w:val="00324F79"/>
    <w:rsid w:val="003251A5"/>
    <w:rsid w:val="00325B34"/>
    <w:rsid w:val="00326B0C"/>
    <w:rsid w:val="00326EC3"/>
    <w:rsid w:val="0032725B"/>
    <w:rsid w:val="00327401"/>
    <w:rsid w:val="00327F63"/>
    <w:rsid w:val="003306BD"/>
    <w:rsid w:val="00330A5D"/>
    <w:rsid w:val="00330C58"/>
    <w:rsid w:val="003313FF"/>
    <w:rsid w:val="003316A7"/>
    <w:rsid w:val="003319FB"/>
    <w:rsid w:val="0033273D"/>
    <w:rsid w:val="00332DB9"/>
    <w:rsid w:val="0033360E"/>
    <w:rsid w:val="0033409D"/>
    <w:rsid w:val="0033425F"/>
    <w:rsid w:val="003343C6"/>
    <w:rsid w:val="003346EB"/>
    <w:rsid w:val="00335933"/>
    <w:rsid w:val="003361A8"/>
    <w:rsid w:val="003361C0"/>
    <w:rsid w:val="00336365"/>
    <w:rsid w:val="003369C6"/>
    <w:rsid w:val="00336A23"/>
    <w:rsid w:val="00336D0A"/>
    <w:rsid w:val="003370E4"/>
    <w:rsid w:val="00337E37"/>
    <w:rsid w:val="00337F0D"/>
    <w:rsid w:val="003403A3"/>
    <w:rsid w:val="003405F7"/>
    <w:rsid w:val="00341BFB"/>
    <w:rsid w:val="0034233E"/>
    <w:rsid w:val="003425BF"/>
    <w:rsid w:val="0034289F"/>
    <w:rsid w:val="00342D2A"/>
    <w:rsid w:val="00342DE1"/>
    <w:rsid w:val="003437B5"/>
    <w:rsid w:val="003437BD"/>
    <w:rsid w:val="0034389F"/>
    <w:rsid w:val="00343BC0"/>
    <w:rsid w:val="00343D67"/>
    <w:rsid w:val="00344205"/>
    <w:rsid w:val="003448F3"/>
    <w:rsid w:val="00344D23"/>
    <w:rsid w:val="00344E74"/>
    <w:rsid w:val="00344F4A"/>
    <w:rsid w:val="00345371"/>
    <w:rsid w:val="00345B12"/>
    <w:rsid w:val="00345ED7"/>
    <w:rsid w:val="00346257"/>
    <w:rsid w:val="003466C7"/>
    <w:rsid w:val="0034680B"/>
    <w:rsid w:val="003468D1"/>
    <w:rsid w:val="00346FAD"/>
    <w:rsid w:val="00347836"/>
    <w:rsid w:val="003478CF"/>
    <w:rsid w:val="0034792D"/>
    <w:rsid w:val="0034794E"/>
    <w:rsid w:val="00347FE0"/>
    <w:rsid w:val="00350E98"/>
    <w:rsid w:val="00350FC8"/>
    <w:rsid w:val="00351066"/>
    <w:rsid w:val="0035106B"/>
    <w:rsid w:val="003511D4"/>
    <w:rsid w:val="0035131C"/>
    <w:rsid w:val="00351650"/>
    <w:rsid w:val="003519B9"/>
    <w:rsid w:val="00351B08"/>
    <w:rsid w:val="00351F3F"/>
    <w:rsid w:val="003520AD"/>
    <w:rsid w:val="003522E5"/>
    <w:rsid w:val="00353E5C"/>
    <w:rsid w:val="003544F2"/>
    <w:rsid w:val="00354985"/>
    <w:rsid w:val="003558AA"/>
    <w:rsid w:val="00355AC5"/>
    <w:rsid w:val="00355E7B"/>
    <w:rsid w:val="00356480"/>
    <w:rsid w:val="003565F5"/>
    <w:rsid w:val="00356733"/>
    <w:rsid w:val="00356C54"/>
    <w:rsid w:val="00356E54"/>
    <w:rsid w:val="0035706D"/>
    <w:rsid w:val="003573C8"/>
    <w:rsid w:val="003576AD"/>
    <w:rsid w:val="00357C27"/>
    <w:rsid w:val="00360133"/>
    <w:rsid w:val="003604A0"/>
    <w:rsid w:val="003608E7"/>
    <w:rsid w:val="00360AA1"/>
    <w:rsid w:val="0036122C"/>
    <w:rsid w:val="003613ED"/>
    <w:rsid w:val="00361907"/>
    <w:rsid w:val="00361EF2"/>
    <w:rsid w:val="003631A1"/>
    <w:rsid w:val="00363BDD"/>
    <w:rsid w:val="003642EA"/>
    <w:rsid w:val="00364C48"/>
    <w:rsid w:val="00364E6F"/>
    <w:rsid w:val="0036500A"/>
    <w:rsid w:val="003654C2"/>
    <w:rsid w:val="00365FAC"/>
    <w:rsid w:val="003666D3"/>
    <w:rsid w:val="00366DCD"/>
    <w:rsid w:val="00367B96"/>
    <w:rsid w:val="00370178"/>
    <w:rsid w:val="00370771"/>
    <w:rsid w:val="00370D88"/>
    <w:rsid w:val="003710EB"/>
    <w:rsid w:val="00371A47"/>
    <w:rsid w:val="00371AE0"/>
    <w:rsid w:val="00371ED3"/>
    <w:rsid w:val="0037201D"/>
    <w:rsid w:val="00372E14"/>
    <w:rsid w:val="00373D99"/>
    <w:rsid w:val="00374532"/>
    <w:rsid w:val="00374868"/>
    <w:rsid w:val="00374F47"/>
    <w:rsid w:val="00375474"/>
    <w:rsid w:val="003755A7"/>
    <w:rsid w:val="00375657"/>
    <w:rsid w:val="00375C7B"/>
    <w:rsid w:val="00375CC4"/>
    <w:rsid w:val="00375DF4"/>
    <w:rsid w:val="00376313"/>
    <w:rsid w:val="00376562"/>
    <w:rsid w:val="00376634"/>
    <w:rsid w:val="00376B5E"/>
    <w:rsid w:val="00376C8A"/>
    <w:rsid w:val="00377089"/>
    <w:rsid w:val="00377ECD"/>
    <w:rsid w:val="0038037F"/>
    <w:rsid w:val="003817BB"/>
    <w:rsid w:val="00382907"/>
    <w:rsid w:val="00383004"/>
    <w:rsid w:val="0038300E"/>
    <w:rsid w:val="003830CE"/>
    <w:rsid w:val="00383BB8"/>
    <w:rsid w:val="00384030"/>
    <w:rsid w:val="0038422E"/>
    <w:rsid w:val="0038448A"/>
    <w:rsid w:val="00384788"/>
    <w:rsid w:val="003852B3"/>
    <w:rsid w:val="0038538A"/>
    <w:rsid w:val="00385518"/>
    <w:rsid w:val="00385704"/>
    <w:rsid w:val="00385B5C"/>
    <w:rsid w:val="00385CF2"/>
    <w:rsid w:val="00385E2D"/>
    <w:rsid w:val="003861D3"/>
    <w:rsid w:val="0038650D"/>
    <w:rsid w:val="0038699F"/>
    <w:rsid w:val="00386B4F"/>
    <w:rsid w:val="003876B5"/>
    <w:rsid w:val="0039143B"/>
    <w:rsid w:val="00391BDC"/>
    <w:rsid w:val="00391CEC"/>
    <w:rsid w:val="0039262E"/>
    <w:rsid w:val="0039269D"/>
    <w:rsid w:val="0039275C"/>
    <w:rsid w:val="003930FE"/>
    <w:rsid w:val="003937F3"/>
    <w:rsid w:val="003941CE"/>
    <w:rsid w:val="00394289"/>
    <w:rsid w:val="00394A30"/>
    <w:rsid w:val="0039528B"/>
    <w:rsid w:val="00395600"/>
    <w:rsid w:val="00395E2C"/>
    <w:rsid w:val="0039617E"/>
    <w:rsid w:val="0039630E"/>
    <w:rsid w:val="00396742"/>
    <w:rsid w:val="00396FA2"/>
    <w:rsid w:val="003A0477"/>
    <w:rsid w:val="003A0B07"/>
    <w:rsid w:val="003A0B58"/>
    <w:rsid w:val="003A0CE2"/>
    <w:rsid w:val="003A15D6"/>
    <w:rsid w:val="003A2E1E"/>
    <w:rsid w:val="003A35FF"/>
    <w:rsid w:val="003A44FA"/>
    <w:rsid w:val="003A4967"/>
    <w:rsid w:val="003A4C46"/>
    <w:rsid w:val="003A4DDD"/>
    <w:rsid w:val="003A5145"/>
    <w:rsid w:val="003A5305"/>
    <w:rsid w:val="003A55AF"/>
    <w:rsid w:val="003A649D"/>
    <w:rsid w:val="003A6506"/>
    <w:rsid w:val="003A652C"/>
    <w:rsid w:val="003A65CB"/>
    <w:rsid w:val="003A70F0"/>
    <w:rsid w:val="003A7653"/>
    <w:rsid w:val="003A7A64"/>
    <w:rsid w:val="003A7D7D"/>
    <w:rsid w:val="003B0215"/>
    <w:rsid w:val="003B02B7"/>
    <w:rsid w:val="003B0336"/>
    <w:rsid w:val="003B0D2F"/>
    <w:rsid w:val="003B0D9D"/>
    <w:rsid w:val="003B11B2"/>
    <w:rsid w:val="003B1458"/>
    <w:rsid w:val="003B158F"/>
    <w:rsid w:val="003B168B"/>
    <w:rsid w:val="003B1DAE"/>
    <w:rsid w:val="003B1FC1"/>
    <w:rsid w:val="003B1FCD"/>
    <w:rsid w:val="003B21D5"/>
    <w:rsid w:val="003B2445"/>
    <w:rsid w:val="003B2EBC"/>
    <w:rsid w:val="003B2EE7"/>
    <w:rsid w:val="003B2FBE"/>
    <w:rsid w:val="003B31F2"/>
    <w:rsid w:val="003B323B"/>
    <w:rsid w:val="003B32E1"/>
    <w:rsid w:val="003B3426"/>
    <w:rsid w:val="003B395D"/>
    <w:rsid w:val="003B3C8F"/>
    <w:rsid w:val="003B3D97"/>
    <w:rsid w:val="003B3E0A"/>
    <w:rsid w:val="003B3F3C"/>
    <w:rsid w:val="003B416C"/>
    <w:rsid w:val="003B4238"/>
    <w:rsid w:val="003B468C"/>
    <w:rsid w:val="003B4DAB"/>
    <w:rsid w:val="003B4FF6"/>
    <w:rsid w:val="003B527B"/>
    <w:rsid w:val="003B58B4"/>
    <w:rsid w:val="003B6523"/>
    <w:rsid w:val="003B695A"/>
    <w:rsid w:val="003B6A5F"/>
    <w:rsid w:val="003B6DDF"/>
    <w:rsid w:val="003B7059"/>
    <w:rsid w:val="003B775E"/>
    <w:rsid w:val="003B7883"/>
    <w:rsid w:val="003B7C1C"/>
    <w:rsid w:val="003B7E9A"/>
    <w:rsid w:val="003B7F05"/>
    <w:rsid w:val="003C056B"/>
    <w:rsid w:val="003C08FC"/>
    <w:rsid w:val="003C0939"/>
    <w:rsid w:val="003C0B09"/>
    <w:rsid w:val="003C0B52"/>
    <w:rsid w:val="003C0F1B"/>
    <w:rsid w:val="003C128C"/>
    <w:rsid w:val="003C1515"/>
    <w:rsid w:val="003C1622"/>
    <w:rsid w:val="003C18F2"/>
    <w:rsid w:val="003C1DF4"/>
    <w:rsid w:val="003C1E03"/>
    <w:rsid w:val="003C3A1E"/>
    <w:rsid w:val="003C40BC"/>
    <w:rsid w:val="003C416E"/>
    <w:rsid w:val="003C4233"/>
    <w:rsid w:val="003C4374"/>
    <w:rsid w:val="003C505B"/>
    <w:rsid w:val="003C57E8"/>
    <w:rsid w:val="003C59C7"/>
    <w:rsid w:val="003C68B5"/>
    <w:rsid w:val="003C6F0F"/>
    <w:rsid w:val="003C71CF"/>
    <w:rsid w:val="003C7494"/>
    <w:rsid w:val="003C7797"/>
    <w:rsid w:val="003C789D"/>
    <w:rsid w:val="003C7B19"/>
    <w:rsid w:val="003C7CBB"/>
    <w:rsid w:val="003D03F0"/>
    <w:rsid w:val="003D0713"/>
    <w:rsid w:val="003D0EB1"/>
    <w:rsid w:val="003D11F7"/>
    <w:rsid w:val="003D1D59"/>
    <w:rsid w:val="003D260B"/>
    <w:rsid w:val="003D29ED"/>
    <w:rsid w:val="003D2D17"/>
    <w:rsid w:val="003D3D9C"/>
    <w:rsid w:val="003D4118"/>
    <w:rsid w:val="003D414C"/>
    <w:rsid w:val="003D41E4"/>
    <w:rsid w:val="003D4A56"/>
    <w:rsid w:val="003D54BC"/>
    <w:rsid w:val="003D552D"/>
    <w:rsid w:val="003D5827"/>
    <w:rsid w:val="003D58AE"/>
    <w:rsid w:val="003D5C49"/>
    <w:rsid w:val="003D5CE8"/>
    <w:rsid w:val="003D5F3D"/>
    <w:rsid w:val="003D619F"/>
    <w:rsid w:val="003D6333"/>
    <w:rsid w:val="003D6552"/>
    <w:rsid w:val="003D66FE"/>
    <w:rsid w:val="003D686C"/>
    <w:rsid w:val="003D6DAB"/>
    <w:rsid w:val="003D7B2C"/>
    <w:rsid w:val="003E00D5"/>
    <w:rsid w:val="003E09A3"/>
    <w:rsid w:val="003E0CC8"/>
    <w:rsid w:val="003E1917"/>
    <w:rsid w:val="003E259A"/>
    <w:rsid w:val="003E2678"/>
    <w:rsid w:val="003E2956"/>
    <w:rsid w:val="003E29A5"/>
    <w:rsid w:val="003E327F"/>
    <w:rsid w:val="003E328B"/>
    <w:rsid w:val="003E32CB"/>
    <w:rsid w:val="003E3644"/>
    <w:rsid w:val="003E3B37"/>
    <w:rsid w:val="003E3D3D"/>
    <w:rsid w:val="003E4566"/>
    <w:rsid w:val="003E46F5"/>
    <w:rsid w:val="003E5211"/>
    <w:rsid w:val="003E5883"/>
    <w:rsid w:val="003E6257"/>
    <w:rsid w:val="003E76B1"/>
    <w:rsid w:val="003E7D7A"/>
    <w:rsid w:val="003E7E42"/>
    <w:rsid w:val="003F123F"/>
    <w:rsid w:val="003F155B"/>
    <w:rsid w:val="003F1C67"/>
    <w:rsid w:val="003F20C2"/>
    <w:rsid w:val="003F2AD7"/>
    <w:rsid w:val="003F31D2"/>
    <w:rsid w:val="003F350B"/>
    <w:rsid w:val="003F3716"/>
    <w:rsid w:val="003F391C"/>
    <w:rsid w:val="003F3921"/>
    <w:rsid w:val="003F3A43"/>
    <w:rsid w:val="003F3DC0"/>
    <w:rsid w:val="003F41EC"/>
    <w:rsid w:val="003F4389"/>
    <w:rsid w:val="003F44F1"/>
    <w:rsid w:val="003F4620"/>
    <w:rsid w:val="003F4845"/>
    <w:rsid w:val="003F4A6C"/>
    <w:rsid w:val="003F4DBE"/>
    <w:rsid w:val="003F547A"/>
    <w:rsid w:val="003F54C9"/>
    <w:rsid w:val="003F557E"/>
    <w:rsid w:val="003F601D"/>
    <w:rsid w:val="003F703E"/>
    <w:rsid w:val="003F7AF9"/>
    <w:rsid w:val="003F7CC5"/>
    <w:rsid w:val="0040007A"/>
    <w:rsid w:val="004009E0"/>
    <w:rsid w:val="00400A16"/>
    <w:rsid w:val="00400D68"/>
    <w:rsid w:val="00401094"/>
    <w:rsid w:val="004017A3"/>
    <w:rsid w:val="00401800"/>
    <w:rsid w:val="00401A63"/>
    <w:rsid w:val="00401EED"/>
    <w:rsid w:val="00402335"/>
    <w:rsid w:val="004026BF"/>
    <w:rsid w:val="00402883"/>
    <w:rsid w:val="00402AD3"/>
    <w:rsid w:val="00402D4F"/>
    <w:rsid w:val="004031EE"/>
    <w:rsid w:val="004033C5"/>
    <w:rsid w:val="004037AD"/>
    <w:rsid w:val="00403CD5"/>
    <w:rsid w:val="00404379"/>
    <w:rsid w:val="0040448E"/>
    <w:rsid w:val="004046FE"/>
    <w:rsid w:val="004051A3"/>
    <w:rsid w:val="004053C0"/>
    <w:rsid w:val="004067AD"/>
    <w:rsid w:val="004074D7"/>
    <w:rsid w:val="004074DE"/>
    <w:rsid w:val="00407CA7"/>
    <w:rsid w:val="00407EE0"/>
    <w:rsid w:val="004104D1"/>
    <w:rsid w:val="00410D0D"/>
    <w:rsid w:val="00412513"/>
    <w:rsid w:val="004125F1"/>
    <w:rsid w:val="00412611"/>
    <w:rsid w:val="00412E5D"/>
    <w:rsid w:val="00413224"/>
    <w:rsid w:val="00413F32"/>
    <w:rsid w:val="0041443D"/>
    <w:rsid w:val="004144B5"/>
    <w:rsid w:val="00414806"/>
    <w:rsid w:val="0041485E"/>
    <w:rsid w:val="00414BB7"/>
    <w:rsid w:val="0041539F"/>
    <w:rsid w:val="00415574"/>
    <w:rsid w:val="00415770"/>
    <w:rsid w:val="00415BFF"/>
    <w:rsid w:val="00415FEB"/>
    <w:rsid w:val="00416202"/>
    <w:rsid w:val="00416485"/>
    <w:rsid w:val="00416DB0"/>
    <w:rsid w:val="004179A8"/>
    <w:rsid w:val="004202BD"/>
    <w:rsid w:val="00420C94"/>
    <w:rsid w:val="00420F78"/>
    <w:rsid w:val="00421A99"/>
    <w:rsid w:val="00422868"/>
    <w:rsid w:val="0042315B"/>
    <w:rsid w:val="00423B51"/>
    <w:rsid w:val="00423EDE"/>
    <w:rsid w:val="004249F8"/>
    <w:rsid w:val="00424B78"/>
    <w:rsid w:val="00425AC6"/>
    <w:rsid w:val="00425CCE"/>
    <w:rsid w:val="00425EC9"/>
    <w:rsid w:val="0042612F"/>
    <w:rsid w:val="004261AC"/>
    <w:rsid w:val="00426D3E"/>
    <w:rsid w:val="00427426"/>
    <w:rsid w:val="004276CB"/>
    <w:rsid w:val="004278E7"/>
    <w:rsid w:val="00427E57"/>
    <w:rsid w:val="0043010D"/>
    <w:rsid w:val="0043017A"/>
    <w:rsid w:val="00430537"/>
    <w:rsid w:val="004305EC"/>
    <w:rsid w:val="004315D2"/>
    <w:rsid w:val="00431623"/>
    <w:rsid w:val="00431A8C"/>
    <w:rsid w:val="00431C43"/>
    <w:rsid w:val="00432072"/>
    <w:rsid w:val="004322F1"/>
    <w:rsid w:val="0043244C"/>
    <w:rsid w:val="004326D7"/>
    <w:rsid w:val="004326DF"/>
    <w:rsid w:val="00432A8B"/>
    <w:rsid w:val="00432C1C"/>
    <w:rsid w:val="00432F1C"/>
    <w:rsid w:val="004331CC"/>
    <w:rsid w:val="004335E8"/>
    <w:rsid w:val="00433659"/>
    <w:rsid w:val="0043379C"/>
    <w:rsid w:val="004337D6"/>
    <w:rsid w:val="00433A83"/>
    <w:rsid w:val="004345B6"/>
    <w:rsid w:val="00434F7B"/>
    <w:rsid w:val="004350F1"/>
    <w:rsid w:val="00435249"/>
    <w:rsid w:val="00435553"/>
    <w:rsid w:val="00435581"/>
    <w:rsid w:val="0043571E"/>
    <w:rsid w:val="00435857"/>
    <w:rsid w:val="00435B5D"/>
    <w:rsid w:val="00436A3E"/>
    <w:rsid w:val="00436A49"/>
    <w:rsid w:val="00437225"/>
    <w:rsid w:val="00437268"/>
    <w:rsid w:val="004374DE"/>
    <w:rsid w:val="00437666"/>
    <w:rsid w:val="00440A0A"/>
    <w:rsid w:val="00440B24"/>
    <w:rsid w:val="00440D78"/>
    <w:rsid w:val="00440DAA"/>
    <w:rsid w:val="00441A2A"/>
    <w:rsid w:val="00441D26"/>
    <w:rsid w:val="004420F6"/>
    <w:rsid w:val="00442818"/>
    <w:rsid w:val="00442C35"/>
    <w:rsid w:val="00442FD5"/>
    <w:rsid w:val="0044359A"/>
    <w:rsid w:val="00443BCA"/>
    <w:rsid w:val="00443C39"/>
    <w:rsid w:val="00444065"/>
    <w:rsid w:val="00444251"/>
    <w:rsid w:val="00444F52"/>
    <w:rsid w:val="00444F65"/>
    <w:rsid w:val="004450EC"/>
    <w:rsid w:val="00446720"/>
    <w:rsid w:val="0044692D"/>
    <w:rsid w:val="00446EB1"/>
    <w:rsid w:val="00446EC1"/>
    <w:rsid w:val="00446ED7"/>
    <w:rsid w:val="004470B0"/>
    <w:rsid w:val="004476C6"/>
    <w:rsid w:val="00447DDE"/>
    <w:rsid w:val="00450948"/>
    <w:rsid w:val="0045130C"/>
    <w:rsid w:val="004522D2"/>
    <w:rsid w:val="004528A2"/>
    <w:rsid w:val="00452C66"/>
    <w:rsid w:val="00453578"/>
    <w:rsid w:val="004540A8"/>
    <w:rsid w:val="00454A58"/>
    <w:rsid w:val="00455214"/>
    <w:rsid w:val="004554E2"/>
    <w:rsid w:val="0045574C"/>
    <w:rsid w:val="0045595B"/>
    <w:rsid w:val="00455FB0"/>
    <w:rsid w:val="00456136"/>
    <w:rsid w:val="00456438"/>
    <w:rsid w:val="004565B9"/>
    <w:rsid w:val="00456D5A"/>
    <w:rsid w:val="00457417"/>
    <w:rsid w:val="004577B7"/>
    <w:rsid w:val="00457C46"/>
    <w:rsid w:val="00457CE5"/>
    <w:rsid w:val="004603C9"/>
    <w:rsid w:val="0046063F"/>
    <w:rsid w:val="00460B2C"/>
    <w:rsid w:val="00460E9B"/>
    <w:rsid w:val="00460F0A"/>
    <w:rsid w:val="0046133D"/>
    <w:rsid w:val="0046195C"/>
    <w:rsid w:val="00461ABE"/>
    <w:rsid w:val="00461C7F"/>
    <w:rsid w:val="00461F35"/>
    <w:rsid w:val="004625E4"/>
    <w:rsid w:val="00462781"/>
    <w:rsid w:val="00462924"/>
    <w:rsid w:val="00463155"/>
    <w:rsid w:val="0046337F"/>
    <w:rsid w:val="00463CB0"/>
    <w:rsid w:val="00464328"/>
    <w:rsid w:val="004652E8"/>
    <w:rsid w:val="004657A3"/>
    <w:rsid w:val="0046596F"/>
    <w:rsid w:val="00465D31"/>
    <w:rsid w:val="00466543"/>
    <w:rsid w:val="00466703"/>
    <w:rsid w:val="00466B55"/>
    <w:rsid w:val="00467028"/>
    <w:rsid w:val="004673ED"/>
    <w:rsid w:val="004677B3"/>
    <w:rsid w:val="00467D78"/>
    <w:rsid w:val="00470127"/>
    <w:rsid w:val="00470744"/>
    <w:rsid w:val="00470928"/>
    <w:rsid w:val="00470F2E"/>
    <w:rsid w:val="00471065"/>
    <w:rsid w:val="0047138B"/>
    <w:rsid w:val="0047162D"/>
    <w:rsid w:val="00472225"/>
    <w:rsid w:val="00472495"/>
    <w:rsid w:val="00472695"/>
    <w:rsid w:val="004728BB"/>
    <w:rsid w:val="00472A57"/>
    <w:rsid w:val="00472C9B"/>
    <w:rsid w:val="004731B2"/>
    <w:rsid w:val="00473319"/>
    <w:rsid w:val="00473533"/>
    <w:rsid w:val="0047379F"/>
    <w:rsid w:val="00473A41"/>
    <w:rsid w:val="00473A5E"/>
    <w:rsid w:val="00473D7A"/>
    <w:rsid w:val="00473E89"/>
    <w:rsid w:val="0047489E"/>
    <w:rsid w:val="00474D5C"/>
    <w:rsid w:val="00474F17"/>
    <w:rsid w:val="004752D9"/>
    <w:rsid w:val="00475384"/>
    <w:rsid w:val="00475534"/>
    <w:rsid w:val="004758A9"/>
    <w:rsid w:val="00475C10"/>
    <w:rsid w:val="00476023"/>
    <w:rsid w:val="00476273"/>
    <w:rsid w:val="004763E8"/>
    <w:rsid w:val="004769BA"/>
    <w:rsid w:val="00476B48"/>
    <w:rsid w:val="00476E33"/>
    <w:rsid w:val="00476EB3"/>
    <w:rsid w:val="00477399"/>
    <w:rsid w:val="00477BAC"/>
    <w:rsid w:val="00477C03"/>
    <w:rsid w:val="00477D7D"/>
    <w:rsid w:val="00480031"/>
    <w:rsid w:val="0048020B"/>
    <w:rsid w:val="00480950"/>
    <w:rsid w:val="00480ED4"/>
    <w:rsid w:val="00481041"/>
    <w:rsid w:val="00481656"/>
    <w:rsid w:val="00481CD8"/>
    <w:rsid w:val="004821B2"/>
    <w:rsid w:val="00482A64"/>
    <w:rsid w:val="00482B33"/>
    <w:rsid w:val="00483893"/>
    <w:rsid w:val="00483922"/>
    <w:rsid w:val="00484923"/>
    <w:rsid w:val="00485195"/>
    <w:rsid w:val="00485679"/>
    <w:rsid w:val="00485921"/>
    <w:rsid w:val="004859F8"/>
    <w:rsid w:val="00485DE6"/>
    <w:rsid w:val="00486479"/>
    <w:rsid w:val="004864DA"/>
    <w:rsid w:val="0048675E"/>
    <w:rsid w:val="004872BC"/>
    <w:rsid w:val="0048735A"/>
    <w:rsid w:val="004873A7"/>
    <w:rsid w:val="004874A4"/>
    <w:rsid w:val="004874C7"/>
    <w:rsid w:val="004877DC"/>
    <w:rsid w:val="0048796B"/>
    <w:rsid w:val="00487AF1"/>
    <w:rsid w:val="00490882"/>
    <w:rsid w:val="0049116D"/>
    <w:rsid w:val="00491A17"/>
    <w:rsid w:val="0049228F"/>
    <w:rsid w:val="00492683"/>
    <w:rsid w:val="00492AAF"/>
    <w:rsid w:val="004931BC"/>
    <w:rsid w:val="0049322B"/>
    <w:rsid w:val="0049345E"/>
    <w:rsid w:val="00494355"/>
    <w:rsid w:val="00494945"/>
    <w:rsid w:val="004950C9"/>
    <w:rsid w:val="00495E07"/>
    <w:rsid w:val="00495E3B"/>
    <w:rsid w:val="00495FEA"/>
    <w:rsid w:val="004961E2"/>
    <w:rsid w:val="00496460"/>
    <w:rsid w:val="00496642"/>
    <w:rsid w:val="004968D4"/>
    <w:rsid w:val="0049694A"/>
    <w:rsid w:val="00496C12"/>
    <w:rsid w:val="00497503"/>
    <w:rsid w:val="00497BAD"/>
    <w:rsid w:val="00497F70"/>
    <w:rsid w:val="004A0165"/>
    <w:rsid w:val="004A03E5"/>
    <w:rsid w:val="004A132F"/>
    <w:rsid w:val="004A172E"/>
    <w:rsid w:val="004A2BB5"/>
    <w:rsid w:val="004A2ED4"/>
    <w:rsid w:val="004A35F0"/>
    <w:rsid w:val="004A3B93"/>
    <w:rsid w:val="004A3E35"/>
    <w:rsid w:val="004A483F"/>
    <w:rsid w:val="004A4D83"/>
    <w:rsid w:val="004A4EAB"/>
    <w:rsid w:val="004A503D"/>
    <w:rsid w:val="004A564C"/>
    <w:rsid w:val="004A5EDE"/>
    <w:rsid w:val="004A5FD5"/>
    <w:rsid w:val="004A6FBF"/>
    <w:rsid w:val="004A7326"/>
    <w:rsid w:val="004B141F"/>
    <w:rsid w:val="004B1682"/>
    <w:rsid w:val="004B1CC5"/>
    <w:rsid w:val="004B2048"/>
    <w:rsid w:val="004B2596"/>
    <w:rsid w:val="004B2E1B"/>
    <w:rsid w:val="004B3D55"/>
    <w:rsid w:val="004B44A7"/>
    <w:rsid w:val="004B4A8D"/>
    <w:rsid w:val="004B5FB9"/>
    <w:rsid w:val="004B678E"/>
    <w:rsid w:val="004B6F87"/>
    <w:rsid w:val="004B71BE"/>
    <w:rsid w:val="004B769B"/>
    <w:rsid w:val="004B7CA9"/>
    <w:rsid w:val="004C031B"/>
    <w:rsid w:val="004C0343"/>
    <w:rsid w:val="004C0674"/>
    <w:rsid w:val="004C0E28"/>
    <w:rsid w:val="004C1309"/>
    <w:rsid w:val="004C190E"/>
    <w:rsid w:val="004C1A83"/>
    <w:rsid w:val="004C456B"/>
    <w:rsid w:val="004C47C1"/>
    <w:rsid w:val="004C47CF"/>
    <w:rsid w:val="004C4D5F"/>
    <w:rsid w:val="004C4DF2"/>
    <w:rsid w:val="004C4F8C"/>
    <w:rsid w:val="004C5AB9"/>
    <w:rsid w:val="004C5E87"/>
    <w:rsid w:val="004C6200"/>
    <w:rsid w:val="004C67B3"/>
    <w:rsid w:val="004C7133"/>
    <w:rsid w:val="004C7560"/>
    <w:rsid w:val="004C7626"/>
    <w:rsid w:val="004C76C6"/>
    <w:rsid w:val="004D0A2F"/>
    <w:rsid w:val="004D17C3"/>
    <w:rsid w:val="004D1A73"/>
    <w:rsid w:val="004D1DA9"/>
    <w:rsid w:val="004D1EDA"/>
    <w:rsid w:val="004D1F7C"/>
    <w:rsid w:val="004D2667"/>
    <w:rsid w:val="004D2BED"/>
    <w:rsid w:val="004D317E"/>
    <w:rsid w:val="004D35E8"/>
    <w:rsid w:val="004D3C01"/>
    <w:rsid w:val="004D5DB2"/>
    <w:rsid w:val="004D60D0"/>
    <w:rsid w:val="004D614C"/>
    <w:rsid w:val="004D6446"/>
    <w:rsid w:val="004D7690"/>
    <w:rsid w:val="004D7C0D"/>
    <w:rsid w:val="004D7C7B"/>
    <w:rsid w:val="004E0427"/>
    <w:rsid w:val="004E05A2"/>
    <w:rsid w:val="004E1BEB"/>
    <w:rsid w:val="004E1DAE"/>
    <w:rsid w:val="004E1F33"/>
    <w:rsid w:val="004E25A6"/>
    <w:rsid w:val="004E2694"/>
    <w:rsid w:val="004E309B"/>
    <w:rsid w:val="004E30DF"/>
    <w:rsid w:val="004E30F4"/>
    <w:rsid w:val="004E3E58"/>
    <w:rsid w:val="004E4CCD"/>
    <w:rsid w:val="004E4ED1"/>
    <w:rsid w:val="004E5079"/>
    <w:rsid w:val="004E5185"/>
    <w:rsid w:val="004E53AD"/>
    <w:rsid w:val="004E6176"/>
    <w:rsid w:val="004E6186"/>
    <w:rsid w:val="004E6964"/>
    <w:rsid w:val="004E6B69"/>
    <w:rsid w:val="004E7666"/>
    <w:rsid w:val="004E780D"/>
    <w:rsid w:val="004E7B03"/>
    <w:rsid w:val="004E7C37"/>
    <w:rsid w:val="004F0581"/>
    <w:rsid w:val="004F05CA"/>
    <w:rsid w:val="004F0D7A"/>
    <w:rsid w:val="004F0FDD"/>
    <w:rsid w:val="004F13A7"/>
    <w:rsid w:val="004F157B"/>
    <w:rsid w:val="004F1A59"/>
    <w:rsid w:val="004F1CB7"/>
    <w:rsid w:val="004F21A8"/>
    <w:rsid w:val="004F2C54"/>
    <w:rsid w:val="004F31DC"/>
    <w:rsid w:val="004F3347"/>
    <w:rsid w:val="004F3727"/>
    <w:rsid w:val="004F4778"/>
    <w:rsid w:val="004F4BA4"/>
    <w:rsid w:val="004F4D1D"/>
    <w:rsid w:val="004F5759"/>
    <w:rsid w:val="004F59CC"/>
    <w:rsid w:val="004F5E92"/>
    <w:rsid w:val="004F60CB"/>
    <w:rsid w:val="004F6475"/>
    <w:rsid w:val="004F7220"/>
    <w:rsid w:val="004F7405"/>
    <w:rsid w:val="004F775A"/>
    <w:rsid w:val="004F7813"/>
    <w:rsid w:val="004F781B"/>
    <w:rsid w:val="004F7B60"/>
    <w:rsid w:val="004F7DAE"/>
    <w:rsid w:val="0050001C"/>
    <w:rsid w:val="0050007E"/>
    <w:rsid w:val="00500172"/>
    <w:rsid w:val="005005A4"/>
    <w:rsid w:val="00500D0B"/>
    <w:rsid w:val="00500FFF"/>
    <w:rsid w:val="00501979"/>
    <w:rsid w:val="00501CBB"/>
    <w:rsid w:val="00501D5C"/>
    <w:rsid w:val="005020C5"/>
    <w:rsid w:val="005021AC"/>
    <w:rsid w:val="00502421"/>
    <w:rsid w:val="00502570"/>
    <w:rsid w:val="00502CD6"/>
    <w:rsid w:val="00503371"/>
    <w:rsid w:val="005036D1"/>
    <w:rsid w:val="0050453C"/>
    <w:rsid w:val="005046ED"/>
    <w:rsid w:val="005047DF"/>
    <w:rsid w:val="00505202"/>
    <w:rsid w:val="0050522C"/>
    <w:rsid w:val="005056A2"/>
    <w:rsid w:val="005059D6"/>
    <w:rsid w:val="005059EE"/>
    <w:rsid w:val="00505A68"/>
    <w:rsid w:val="00505EDB"/>
    <w:rsid w:val="00505FDD"/>
    <w:rsid w:val="0050606C"/>
    <w:rsid w:val="0050649F"/>
    <w:rsid w:val="005067A4"/>
    <w:rsid w:val="00506C8D"/>
    <w:rsid w:val="00507771"/>
    <w:rsid w:val="00507944"/>
    <w:rsid w:val="00507AF6"/>
    <w:rsid w:val="005106AA"/>
    <w:rsid w:val="005107BB"/>
    <w:rsid w:val="00510997"/>
    <w:rsid w:val="00510F0E"/>
    <w:rsid w:val="00511260"/>
    <w:rsid w:val="005113A7"/>
    <w:rsid w:val="005117AD"/>
    <w:rsid w:val="00511943"/>
    <w:rsid w:val="00511AC4"/>
    <w:rsid w:val="00511BCD"/>
    <w:rsid w:val="0051244A"/>
    <w:rsid w:val="005124A3"/>
    <w:rsid w:val="00512918"/>
    <w:rsid w:val="005133CF"/>
    <w:rsid w:val="005136E4"/>
    <w:rsid w:val="005138BC"/>
    <w:rsid w:val="005139AB"/>
    <w:rsid w:val="00513A5D"/>
    <w:rsid w:val="00513E14"/>
    <w:rsid w:val="005142F5"/>
    <w:rsid w:val="005143AD"/>
    <w:rsid w:val="0051454D"/>
    <w:rsid w:val="00514574"/>
    <w:rsid w:val="0051482A"/>
    <w:rsid w:val="00514B28"/>
    <w:rsid w:val="005153B5"/>
    <w:rsid w:val="005154C1"/>
    <w:rsid w:val="00516056"/>
    <w:rsid w:val="005162AB"/>
    <w:rsid w:val="00516518"/>
    <w:rsid w:val="00516523"/>
    <w:rsid w:val="00516E97"/>
    <w:rsid w:val="00520A9C"/>
    <w:rsid w:val="00520AE7"/>
    <w:rsid w:val="00520C41"/>
    <w:rsid w:val="0052107E"/>
    <w:rsid w:val="00521122"/>
    <w:rsid w:val="005214DA"/>
    <w:rsid w:val="005218E0"/>
    <w:rsid w:val="00521CE2"/>
    <w:rsid w:val="00522CDE"/>
    <w:rsid w:val="00522F99"/>
    <w:rsid w:val="0052351B"/>
    <w:rsid w:val="00523A69"/>
    <w:rsid w:val="00523EB1"/>
    <w:rsid w:val="00524C1F"/>
    <w:rsid w:val="00524C3C"/>
    <w:rsid w:val="00524D66"/>
    <w:rsid w:val="00524EF0"/>
    <w:rsid w:val="00525065"/>
    <w:rsid w:val="00525069"/>
    <w:rsid w:val="00525BCF"/>
    <w:rsid w:val="00525D54"/>
    <w:rsid w:val="00525E31"/>
    <w:rsid w:val="00526091"/>
    <w:rsid w:val="005263A7"/>
    <w:rsid w:val="0052665C"/>
    <w:rsid w:val="0052696C"/>
    <w:rsid w:val="005269B1"/>
    <w:rsid w:val="00526A22"/>
    <w:rsid w:val="00527304"/>
    <w:rsid w:val="00527B36"/>
    <w:rsid w:val="005300A8"/>
    <w:rsid w:val="00530243"/>
    <w:rsid w:val="00530B0F"/>
    <w:rsid w:val="005312C8"/>
    <w:rsid w:val="0053248A"/>
    <w:rsid w:val="0053282D"/>
    <w:rsid w:val="00532913"/>
    <w:rsid w:val="00532F05"/>
    <w:rsid w:val="005357B0"/>
    <w:rsid w:val="005358CC"/>
    <w:rsid w:val="0053595B"/>
    <w:rsid w:val="00535F25"/>
    <w:rsid w:val="00536492"/>
    <w:rsid w:val="0053669D"/>
    <w:rsid w:val="005367E5"/>
    <w:rsid w:val="005368A7"/>
    <w:rsid w:val="00536A91"/>
    <w:rsid w:val="00536CD2"/>
    <w:rsid w:val="00536D23"/>
    <w:rsid w:val="00536F8C"/>
    <w:rsid w:val="005376BB"/>
    <w:rsid w:val="00537F68"/>
    <w:rsid w:val="005409EE"/>
    <w:rsid w:val="00540D5E"/>
    <w:rsid w:val="00540E9C"/>
    <w:rsid w:val="00540FF4"/>
    <w:rsid w:val="00541146"/>
    <w:rsid w:val="00541409"/>
    <w:rsid w:val="00541FA5"/>
    <w:rsid w:val="005425BD"/>
    <w:rsid w:val="00542814"/>
    <w:rsid w:val="0054336E"/>
    <w:rsid w:val="0054352B"/>
    <w:rsid w:val="005439A0"/>
    <w:rsid w:val="00543D42"/>
    <w:rsid w:val="00543EA6"/>
    <w:rsid w:val="005446D6"/>
    <w:rsid w:val="0054474B"/>
    <w:rsid w:val="00544C3C"/>
    <w:rsid w:val="00544C5F"/>
    <w:rsid w:val="00544FEB"/>
    <w:rsid w:val="00545CC2"/>
    <w:rsid w:val="00546141"/>
    <w:rsid w:val="00546238"/>
    <w:rsid w:val="00547D3F"/>
    <w:rsid w:val="00550158"/>
    <w:rsid w:val="0055039C"/>
    <w:rsid w:val="00550510"/>
    <w:rsid w:val="00551360"/>
    <w:rsid w:val="00551678"/>
    <w:rsid w:val="0055177C"/>
    <w:rsid w:val="0055185B"/>
    <w:rsid w:val="0055198A"/>
    <w:rsid w:val="0055214C"/>
    <w:rsid w:val="00552271"/>
    <w:rsid w:val="00552745"/>
    <w:rsid w:val="005527CE"/>
    <w:rsid w:val="00552A11"/>
    <w:rsid w:val="00552D8D"/>
    <w:rsid w:val="00553B13"/>
    <w:rsid w:val="00554826"/>
    <w:rsid w:val="00554902"/>
    <w:rsid w:val="005549FE"/>
    <w:rsid w:val="00554D3F"/>
    <w:rsid w:val="00554ED4"/>
    <w:rsid w:val="005550BC"/>
    <w:rsid w:val="0055530F"/>
    <w:rsid w:val="00555521"/>
    <w:rsid w:val="00555ED2"/>
    <w:rsid w:val="00555F68"/>
    <w:rsid w:val="00556984"/>
    <w:rsid w:val="00556DA5"/>
    <w:rsid w:val="0055728E"/>
    <w:rsid w:val="00557424"/>
    <w:rsid w:val="0055746E"/>
    <w:rsid w:val="005577D9"/>
    <w:rsid w:val="00557C0C"/>
    <w:rsid w:val="00557FC0"/>
    <w:rsid w:val="00560403"/>
    <w:rsid w:val="00560749"/>
    <w:rsid w:val="00561ADE"/>
    <w:rsid w:val="00561CAA"/>
    <w:rsid w:val="00561DA8"/>
    <w:rsid w:val="005624E3"/>
    <w:rsid w:val="005626F9"/>
    <w:rsid w:val="00562CB2"/>
    <w:rsid w:val="00562F70"/>
    <w:rsid w:val="005631C2"/>
    <w:rsid w:val="00563603"/>
    <w:rsid w:val="0056396B"/>
    <w:rsid w:val="00563BB0"/>
    <w:rsid w:val="00563D05"/>
    <w:rsid w:val="00564084"/>
    <w:rsid w:val="0056425C"/>
    <w:rsid w:val="00564787"/>
    <w:rsid w:val="005647CD"/>
    <w:rsid w:val="00564A32"/>
    <w:rsid w:val="005654FA"/>
    <w:rsid w:val="005656BC"/>
    <w:rsid w:val="00565A83"/>
    <w:rsid w:val="005663B0"/>
    <w:rsid w:val="00566925"/>
    <w:rsid w:val="00567C77"/>
    <w:rsid w:val="00567D6C"/>
    <w:rsid w:val="00570415"/>
    <w:rsid w:val="00570B79"/>
    <w:rsid w:val="00570BD1"/>
    <w:rsid w:val="00571D6D"/>
    <w:rsid w:val="00571ED2"/>
    <w:rsid w:val="00572584"/>
    <w:rsid w:val="005726F9"/>
    <w:rsid w:val="00572D5F"/>
    <w:rsid w:val="00572F46"/>
    <w:rsid w:val="005730C2"/>
    <w:rsid w:val="00573580"/>
    <w:rsid w:val="00573A64"/>
    <w:rsid w:val="00573E68"/>
    <w:rsid w:val="005741DC"/>
    <w:rsid w:val="00574A02"/>
    <w:rsid w:val="00574AB8"/>
    <w:rsid w:val="00574D0B"/>
    <w:rsid w:val="00574E3E"/>
    <w:rsid w:val="00574F81"/>
    <w:rsid w:val="00574FF2"/>
    <w:rsid w:val="005751D4"/>
    <w:rsid w:val="00576366"/>
    <w:rsid w:val="00576374"/>
    <w:rsid w:val="00576A54"/>
    <w:rsid w:val="00577545"/>
    <w:rsid w:val="00577DC6"/>
    <w:rsid w:val="0058009B"/>
    <w:rsid w:val="005803FE"/>
    <w:rsid w:val="0058056A"/>
    <w:rsid w:val="00580A6D"/>
    <w:rsid w:val="00580A7B"/>
    <w:rsid w:val="00580ACF"/>
    <w:rsid w:val="00580DD1"/>
    <w:rsid w:val="00580EE1"/>
    <w:rsid w:val="005813DA"/>
    <w:rsid w:val="005816F4"/>
    <w:rsid w:val="00581BDF"/>
    <w:rsid w:val="00581E13"/>
    <w:rsid w:val="00582801"/>
    <w:rsid w:val="00582C92"/>
    <w:rsid w:val="00583257"/>
    <w:rsid w:val="0058328D"/>
    <w:rsid w:val="00583390"/>
    <w:rsid w:val="0058399F"/>
    <w:rsid w:val="005841D6"/>
    <w:rsid w:val="00584B2A"/>
    <w:rsid w:val="00584C6E"/>
    <w:rsid w:val="00585174"/>
    <w:rsid w:val="00585E3B"/>
    <w:rsid w:val="00585F88"/>
    <w:rsid w:val="00586240"/>
    <w:rsid w:val="00587B48"/>
    <w:rsid w:val="00587E3F"/>
    <w:rsid w:val="00590167"/>
    <w:rsid w:val="0059038C"/>
    <w:rsid w:val="00590572"/>
    <w:rsid w:val="005906FC"/>
    <w:rsid w:val="00590A53"/>
    <w:rsid w:val="0059120B"/>
    <w:rsid w:val="005913ED"/>
    <w:rsid w:val="00591E6B"/>
    <w:rsid w:val="005921E2"/>
    <w:rsid w:val="00592CD7"/>
    <w:rsid w:val="005930A8"/>
    <w:rsid w:val="00593243"/>
    <w:rsid w:val="00593C57"/>
    <w:rsid w:val="005948E5"/>
    <w:rsid w:val="00594B41"/>
    <w:rsid w:val="00594B4A"/>
    <w:rsid w:val="00594E87"/>
    <w:rsid w:val="005950E5"/>
    <w:rsid w:val="0059520D"/>
    <w:rsid w:val="005953F4"/>
    <w:rsid w:val="005955CA"/>
    <w:rsid w:val="005956FE"/>
    <w:rsid w:val="00596A9E"/>
    <w:rsid w:val="00597309"/>
    <w:rsid w:val="00597BD5"/>
    <w:rsid w:val="005A0271"/>
    <w:rsid w:val="005A0531"/>
    <w:rsid w:val="005A0765"/>
    <w:rsid w:val="005A1060"/>
    <w:rsid w:val="005A1230"/>
    <w:rsid w:val="005A1772"/>
    <w:rsid w:val="005A1940"/>
    <w:rsid w:val="005A1D85"/>
    <w:rsid w:val="005A207B"/>
    <w:rsid w:val="005A2AAC"/>
    <w:rsid w:val="005A3107"/>
    <w:rsid w:val="005A3184"/>
    <w:rsid w:val="005A4CD3"/>
    <w:rsid w:val="005A4CF7"/>
    <w:rsid w:val="005A4F92"/>
    <w:rsid w:val="005A576E"/>
    <w:rsid w:val="005A61FF"/>
    <w:rsid w:val="005A6261"/>
    <w:rsid w:val="005A6D20"/>
    <w:rsid w:val="005A6F7C"/>
    <w:rsid w:val="005A75C6"/>
    <w:rsid w:val="005A7E0C"/>
    <w:rsid w:val="005A7FAD"/>
    <w:rsid w:val="005A7FC8"/>
    <w:rsid w:val="005B078C"/>
    <w:rsid w:val="005B08E3"/>
    <w:rsid w:val="005B0C22"/>
    <w:rsid w:val="005B0CBC"/>
    <w:rsid w:val="005B132F"/>
    <w:rsid w:val="005B15EB"/>
    <w:rsid w:val="005B18B2"/>
    <w:rsid w:val="005B1A29"/>
    <w:rsid w:val="005B291E"/>
    <w:rsid w:val="005B2E58"/>
    <w:rsid w:val="005B38E7"/>
    <w:rsid w:val="005B3FAA"/>
    <w:rsid w:val="005B4069"/>
    <w:rsid w:val="005B40A6"/>
    <w:rsid w:val="005B48CD"/>
    <w:rsid w:val="005B4946"/>
    <w:rsid w:val="005B4F59"/>
    <w:rsid w:val="005B5247"/>
    <w:rsid w:val="005B52CD"/>
    <w:rsid w:val="005B54CB"/>
    <w:rsid w:val="005B6452"/>
    <w:rsid w:val="005B698E"/>
    <w:rsid w:val="005B7A39"/>
    <w:rsid w:val="005B7D5C"/>
    <w:rsid w:val="005B7FD8"/>
    <w:rsid w:val="005C00D8"/>
    <w:rsid w:val="005C0180"/>
    <w:rsid w:val="005C01B7"/>
    <w:rsid w:val="005C02CB"/>
    <w:rsid w:val="005C0D48"/>
    <w:rsid w:val="005C16DB"/>
    <w:rsid w:val="005C16EF"/>
    <w:rsid w:val="005C243F"/>
    <w:rsid w:val="005C42D5"/>
    <w:rsid w:val="005C4888"/>
    <w:rsid w:val="005C4A9B"/>
    <w:rsid w:val="005C4B2E"/>
    <w:rsid w:val="005C4F43"/>
    <w:rsid w:val="005C5822"/>
    <w:rsid w:val="005C5B59"/>
    <w:rsid w:val="005C6071"/>
    <w:rsid w:val="005C6331"/>
    <w:rsid w:val="005C6700"/>
    <w:rsid w:val="005C68B3"/>
    <w:rsid w:val="005C744E"/>
    <w:rsid w:val="005C7850"/>
    <w:rsid w:val="005C785A"/>
    <w:rsid w:val="005C7D2B"/>
    <w:rsid w:val="005D078F"/>
    <w:rsid w:val="005D0B5A"/>
    <w:rsid w:val="005D1501"/>
    <w:rsid w:val="005D1C7E"/>
    <w:rsid w:val="005D2305"/>
    <w:rsid w:val="005D231E"/>
    <w:rsid w:val="005D241E"/>
    <w:rsid w:val="005D24D6"/>
    <w:rsid w:val="005D2A79"/>
    <w:rsid w:val="005D2DBD"/>
    <w:rsid w:val="005D3004"/>
    <w:rsid w:val="005D3384"/>
    <w:rsid w:val="005D3D39"/>
    <w:rsid w:val="005D3E31"/>
    <w:rsid w:val="005D4565"/>
    <w:rsid w:val="005D4BC5"/>
    <w:rsid w:val="005D517B"/>
    <w:rsid w:val="005D566F"/>
    <w:rsid w:val="005D5710"/>
    <w:rsid w:val="005D57C8"/>
    <w:rsid w:val="005D5923"/>
    <w:rsid w:val="005D5CEE"/>
    <w:rsid w:val="005D6472"/>
    <w:rsid w:val="005D6642"/>
    <w:rsid w:val="005D6EA9"/>
    <w:rsid w:val="005D75BE"/>
    <w:rsid w:val="005D787E"/>
    <w:rsid w:val="005D7C39"/>
    <w:rsid w:val="005D7D03"/>
    <w:rsid w:val="005D7FC6"/>
    <w:rsid w:val="005E04BA"/>
    <w:rsid w:val="005E07C2"/>
    <w:rsid w:val="005E08BC"/>
    <w:rsid w:val="005E0BB0"/>
    <w:rsid w:val="005E0BF8"/>
    <w:rsid w:val="005E0FDB"/>
    <w:rsid w:val="005E1100"/>
    <w:rsid w:val="005E1203"/>
    <w:rsid w:val="005E13DF"/>
    <w:rsid w:val="005E24A9"/>
    <w:rsid w:val="005E2789"/>
    <w:rsid w:val="005E2CD5"/>
    <w:rsid w:val="005E3295"/>
    <w:rsid w:val="005E387D"/>
    <w:rsid w:val="005E38FF"/>
    <w:rsid w:val="005E3B75"/>
    <w:rsid w:val="005E3D15"/>
    <w:rsid w:val="005E3DB8"/>
    <w:rsid w:val="005E3EC1"/>
    <w:rsid w:val="005E3F31"/>
    <w:rsid w:val="005E442B"/>
    <w:rsid w:val="005E4605"/>
    <w:rsid w:val="005E4C65"/>
    <w:rsid w:val="005E5870"/>
    <w:rsid w:val="005E5965"/>
    <w:rsid w:val="005E5B53"/>
    <w:rsid w:val="005E68DE"/>
    <w:rsid w:val="005E6F0E"/>
    <w:rsid w:val="005E6F38"/>
    <w:rsid w:val="005E781F"/>
    <w:rsid w:val="005E7B77"/>
    <w:rsid w:val="005E7DC3"/>
    <w:rsid w:val="005F01E8"/>
    <w:rsid w:val="005F03AC"/>
    <w:rsid w:val="005F132A"/>
    <w:rsid w:val="005F1339"/>
    <w:rsid w:val="005F1903"/>
    <w:rsid w:val="005F1A43"/>
    <w:rsid w:val="005F2946"/>
    <w:rsid w:val="005F2AB5"/>
    <w:rsid w:val="005F2F56"/>
    <w:rsid w:val="005F34C6"/>
    <w:rsid w:val="005F3682"/>
    <w:rsid w:val="005F3A9B"/>
    <w:rsid w:val="005F4318"/>
    <w:rsid w:val="005F456B"/>
    <w:rsid w:val="005F467F"/>
    <w:rsid w:val="005F48D3"/>
    <w:rsid w:val="005F4F23"/>
    <w:rsid w:val="005F4F8E"/>
    <w:rsid w:val="005F54A4"/>
    <w:rsid w:val="005F5847"/>
    <w:rsid w:val="005F58E7"/>
    <w:rsid w:val="005F5F76"/>
    <w:rsid w:val="005F64BC"/>
    <w:rsid w:val="005F64D9"/>
    <w:rsid w:val="005F6526"/>
    <w:rsid w:val="005F6B82"/>
    <w:rsid w:val="005F71D1"/>
    <w:rsid w:val="00600097"/>
    <w:rsid w:val="0060035F"/>
    <w:rsid w:val="006008A6"/>
    <w:rsid w:val="00600B55"/>
    <w:rsid w:val="0060140C"/>
    <w:rsid w:val="00601813"/>
    <w:rsid w:val="00601F37"/>
    <w:rsid w:val="0060270A"/>
    <w:rsid w:val="00602749"/>
    <w:rsid w:val="006030DD"/>
    <w:rsid w:val="00603CCF"/>
    <w:rsid w:val="0060428C"/>
    <w:rsid w:val="0060463F"/>
    <w:rsid w:val="00604D21"/>
    <w:rsid w:val="006058A4"/>
    <w:rsid w:val="00605E52"/>
    <w:rsid w:val="00606253"/>
    <w:rsid w:val="00606C97"/>
    <w:rsid w:val="00607205"/>
    <w:rsid w:val="006074E4"/>
    <w:rsid w:val="00607506"/>
    <w:rsid w:val="0060778C"/>
    <w:rsid w:val="00607B1F"/>
    <w:rsid w:val="00607BD9"/>
    <w:rsid w:val="00607BF6"/>
    <w:rsid w:val="00610B7D"/>
    <w:rsid w:val="00610E60"/>
    <w:rsid w:val="006112D1"/>
    <w:rsid w:val="006112FA"/>
    <w:rsid w:val="006113F3"/>
    <w:rsid w:val="00612613"/>
    <w:rsid w:val="00612BC2"/>
    <w:rsid w:val="006137B2"/>
    <w:rsid w:val="0061390C"/>
    <w:rsid w:val="00613A64"/>
    <w:rsid w:val="00613D79"/>
    <w:rsid w:val="00614041"/>
    <w:rsid w:val="00614E53"/>
    <w:rsid w:val="006152F2"/>
    <w:rsid w:val="00615739"/>
    <w:rsid w:val="006167E6"/>
    <w:rsid w:val="00616B98"/>
    <w:rsid w:val="006173CF"/>
    <w:rsid w:val="00617592"/>
    <w:rsid w:val="006177F8"/>
    <w:rsid w:val="006179B0"/>
    <w:rsid w:val="00617DA2"/>
    <w:rsid w:val="00617EB8"/>
    <w:rsid w:val="00617F50"/>
    <w:rsid w:val="00617FDD"/>
    <w:rsid w:val="006200E9"/>
    <w:rsid w:val="00620205"/>
    <w:rsid w:val="0062029F"/>
    <w:rsid w:val="006204F7"/>
    <w:rsid w:val="006206F8"/>
    <w:rsid w:val="00620A6F"/>
    <w:rsid w:val="006218A3"/>
    <w:rsid w:val="00622D42"/>
    <w:rsid w:val="00622EC9"/>
    <w:rsid w:val="00622F63"/>
    <w:rsid w:val="00623402"/>
    <w:rsid w:val="0062393B"/>
    <w:rsid w:val="00623E27"/>
    <w:rsid w:val="00624470"/>
    <w:rsid w:val="00624B34"/>
    <w:rsid w:val="00625185"/>
    <w:rsid w:val="0062532A"/>
    <w:rsid w:val="00625B93"/>
    <w:rsid w:val="00625F89"/>
    <w:rsid w:val="0062686C"/>
    <w:rsid w:val="00626AD6"/>
    <w:rsid w:val="00627B91"/>
    <w:rsid w:val="00630281"/>
    <w:rsid w:val="00630788"/>
    <w:rsid w:val="006308E9"/>
    <w:rsid w:val="00630ED4"/>
    <w:rsid w:val="00631965"/>
    <w:rsid w:val="00632FB7"/>
    <w:rsid w:val="006331C6"/>
    <w:rsid w:val="006333BA"/>
    <w:rsid w:val="00633563"/>
    <w:rsid w:val="00634DF5"/>
    <w:rsid w:val="006350CB"/>
    <w:rsid w:val="00635562"/>
    <w:rsid w:val="00635A02"/>
    <w:rsid w:val="00635B12"/>
    <w:rsid w:val="00635B24"/>
    <w:rsid w:val="00636271"/>
    <w:rsid w:val="006370F2"/>
    <w:rsid w:val="00637180"/>
    <w:rsid w:val="0064039C"/>
    <w:rsid w:val="006409F7"/>
    <w:rsid w:val="00641676"/>
    <w:rsid w:val="00641CE3"/>
    <w:rsid w:val="00642E00"/>
    <w:rsid w:val="00643C5A"/>
    <w:rsid w:val="00643DA9"/>
    <w:rsid w:val="00644040"/>
    <w:rsid w:val="0064539E"/>
    <w:rsid w:val="006455CF"/>
    <w:rsid w:val="00645B6D"/>
    <w:rsid w:val="00645D05"/>
    <w:rsid w:val="0064643D"/>
    <w:rsid w:val="00646AEC"/>
    <w:rsid w:val="00646EAC"/>
    <w:rsid w:val="00646FE5"/>
    <w:rsid w:val="00647011"/>
    <w:rsid w:val="00647209"/>
    <w:rsid w:val="0064753A"/>
    <w:rsid w:val="00647EFE"/>
    <w:rsid w:val="006502FA"/>
    <w:rsid w:val="00650FBB"/>
    <w:rsid w:val="00651230"/>
    <w:rsid w:val="006515B2"/>
    <w:rsid w:val="00652195"/>
    <w:rsid w:val="00652499"/>
    <w:rsid w:val="006526A1"/>
    <w:rsid w:val="00652F1A"/>
    <w:rsid w:val="0065341D"/>
    <w:rsid w:val="00653728"/>
    <w:rsid w:val="00653D8D"/>
    <w:rsid w:val="0065490D"/>
    <w:rsid w:val="00654D5B"/>
    <w:rsid w:val="00654DF9"/>
    <w:rsid w:val="00655A79"/>
    <w:rsid w:val="006561C4"/>
    <w:rsid w:val="00656566"/>
    <w:rsid w:val="00657384"/>
    <w:rsid w:val="00657AC2"/>
    <w:rsid w:val="00657BDC"/>
    <w:rsid w:val="00657E31"/>
    <w:rsid w:val="00660044"/>
    <w:rsid w:val="006602D1"/>
    <w:rsid w:val="0066101B"/>
    <w:rsid w:val="006613B6"/>
    <w:rsid w:val="0066141A"/>
    <w:rsid w:val="00661F79"/>
    <w:rsid w:val="00662425"/>
    <w:rsid w:val="00662BC9"/>
    <w:rsid w:val="006632FC"/>
    <w:rsid w:val="006635A8"/>
    <w:rsid w:val="00663602"/>
    <w:rsid w:val="00663A3C"/>
    <w:rsid w:val="006645E2"/>
    <w:rsid w:val="006646E4"/>
    <w:rsid w:val="006647CB"/>
    <w:rsid w:val="006648D5"/>
    <w:rsid w:val="00664DD9"/>
    <w:rsid w:val="00665037"/>
    <w:rsid w:val="006654F5"/>
    <w:rsid w:val="0066557B"/>
    <w:rsid w:val="00665840"/>
    <w:rsid w:val="00665D84"/>
    <w:rsid w:val="006663C0"/>
    <w:rsid w:val="00667B22"/>
    <w:rsid w:val="00667CA0"/>
    <w:rsid w:val="00670C3C"/>
    <w:rsid w:val="006710C1"/>
    <w:rsid w:val="0067157B"/>
    <w:rsid w:val="006715E7"/>
    <w:rsid w:val="006717E7"/>
    <w:rsid w:val="0067185C"/>
    <w:rsid w:val="00671F29"/>
    <w:rsid w:val="00672A00"/>
    <w:rsid w:val="00672EED"/>
    <w:rsid w:val="0067304E"/>
    <w:rsid w:val="006745E5"/>
    <w:rsid w:val="0067637A"/>
    <w:rsid w:val="0067659B"/>
    <w:rsid w:val="0067669B"/>
    <w:rsid w:val="0067673C"/>
    <w:rsid w:val="006771B5"/>
    <w:rsid w:val="006772A9"/>
    <w:rsid w:val="00677A0E"/>
    <w:rsid w:val="00677B05"/>
    <w:rsid w:val="00677B24"/>
    <w:rsid w:val="00677EB4"/>
    <w:rsid w:val="00677F06"/>
    <w:rsid w:val="00677FC6"/>
    <w:rsid w:val="00680091"/>
    <w:rsid w:val="00680616"/>
    <w:rsid w:val="006809AD"/>
    <w:rsid w:val="00681103"/>
    <w:rsid w:val="00681181"/>
    <w:rsid w:val="006814F9"/>
    <w:rsid w:val="00681551"/>
    <w:rsid w:val="00681996"/>
    <w:rsid w:val="00681DB4"/>
    <w:rsid w:val="00682087"/>
    <w:rsid w:val="00682099"/>
    <w:rsid w:val="00683196"/>
    <w:rsid w:val="00683AE8"/>
    <w:rsid w:val="00684462"/>
    <w:rsid w:val="006845C4"/>
    <w:rsid w:val="006849ED"/>
    <w:rsid w:val="00684CC0"/>
    <w:rsid w:val="006852D9"/>
    <w:rsid w:val="00685A22"/>
    <w:rsid w:val="00685F98"/>
    <w:rsid w:val="0068621F"/>
    <w:rsid w:val="00686648"/>
    <w:rsid w:val="00686ABE"/>
    <w:rsid w:val="00686BC4"/>
    <w:rsid w:val="00686E28"/>
    <w:rsid w:val="0068738C"/>
    <w:rsid w:val="00687882"/>
    <w:rsid w:val="00687C1E"/>
    <w:rsid w:val="006901EF"/>
    <w:rsid w:val="00690200"/>
    <w:rsid w:val="006906C9"/>
    <w:rsid w:val="006908C1"/>
    <w:rsid w:val="00691112"/>
    <w:rsid w:val="006911C5"/>
    <w:rsid w:val="006913A1"/>
    <w:rsid w:val="00692177"/>
    <w:rsid w:val="00692748"/>
    <w:rsid w:val="00692ADC"/>
    <w:rsid w:val="00692C8B"/>
    <w:rsid w:val="006930E6"/>
    <w:rsid w:val="0069376A"/>
    <w:rsid w:val="00693945"/>
    <w:rsid w:val="00694192"/>
    <w:rsid w:val="006942A4"/>
    <w:rsid w:val="00694BC3"/>
    <w:rsid w:val="00694D8A"/>
    <w:rsid w:val="00694F3D"/>
    <w:rsid w:val="006960C1"/>
    <w:rsid w:val="006962CA"/>
    <w:rsid w:val="00696447"/>
    <w:rsid w:val="00696A1B"/>
    <w:rsid w:val="00697DE2"/>
    <w:rsid w:val="00697ED0"/>
    <w:rsid w:val="006A01E2"/>
    <w:rsid w:val="006A0385"/>
    <w:rsid w:val="006A076F"/>
    <w:rsid w:val="006A08C8"/>
    <w:rsid w:val="006A1274"/>
    <w:rsid w:val="006A18B6"/>
    <w:rsid w:val="006A1D89"/>
    <w:rsid w:val="006A1EDC"/>
    <w:rsid w:val="006A241B"/>
    <w:rsid w:val="006A2823"/>
    <w:rsid w:val="006A3299"/>
    <w:rsid w:val="006A37FE"/>
    <w:rsid w:val="006A3DCD"/>
    <w:rsid w:val="006A407B"/>
    <w:rsid w:val="006A4342"/>
    <w:rsid w:val="006A44F0"/>
    <w:rsid w:val="006A48B9"/>
    <w:rsid w:val="006A4C5F"/>
    <w:rsid w:val="006A4E81"/>
    <w:rsid w:val="006A4FCE"/>
    <w:rsid w:val="006A520F"/>
    <w:rsid w:val="006A581A"/>
    <w:rsid w:val="006A593D"/>
    <w:rsid w:val="006A5B0F"/>
    <w:rsid w:val="006A5ED6"/>
    <w:rsid w:val="006A5FE2"/>
    <w:rsid w:val="006A5FF3"/>
    <w:rsid w:val="006A69D4"/>
    <w:rsid w:val="006A6C6D"/>
    <w:rsid w:val="006A709D"/>
    <w:rsid w:val="006A7D6C"/>
    <w:rsid w:val="006B0893"/>
    <w:rsid w:val="006B0EC6"/>
    <w:rsid w:val="006B11C8"/>
    <w:rsid w:val="006B20EE"/>
    <w:rsid w:val="006B2238"/>
    <w:rsid w:val="006B26BD"/>
    <w:rsid w:val="006B26C9"/>
    <w:rsid w:val="006B2778"/>
    <w:rsid w:val="006B2AD9"/>
    <w:rsid w:val="006B3010"/>
    <w:rsid w:val="006B3603"/>
    <w:rsid w:val="006B4082"/>
    <w:rsid w:val="006B4826"/>
    <w:rsid w:val="006B5120"/>
    <w:rsid w:val="006B5701"/>
    <w:rsid w:val="006B576B"/>
    <w:rsid w:val="006B5A4E"/>
    <w:rsid w:val="006B5A59"/>
    <w:rsid w:val="006B5B8D"/>
    <w:rsid w:val="006B607D"/>
    <w:rsid w:val="006B6178"/>
    <w:rsid w:val="006B6B8D"/>
    <w:rsid w:val="006B6EF8"/>
    <w:rsid w:val="006B6FBD"/>
    <w:rsid w:val="006B71DC"/>
    <w:rsid w:val="006B7988"/>
    <w:rsid w:val="006C0400"/>
    <w:rsid w:val="006C06A7"/>
    <w:rsid w:val="006C0D09"/>
    <w:rsid w:val="006C1614"/>
    <w:rsid w:val="006C1D8C"/>
    <w:rsid w:val="006C226F"/>
    <w:rsid w:val="006C243A"/>
    <w:rsid w:val="006C35B9"/>
    <w:rsid w:val="006C3932"/>
    <w:rsid w:val="006C3A93"/>
    <w:rsid w:val="006C3B47"/>
    <w:rsid w:val="006C3EDD"/>
    <w:rsid w:val="006C4D8D"/>
    <w:rsid w:val="006C5122"/>
    <w:rsid w:val="006C51D5"/>
    <w:rsid w:val="006C56AA"/>
    <w:rsid w:val="006C5FC5"/>
    <w:rsid w:val="006C60FE"/>
    <w:rsid w:val="006C6D6D"/>
    <w:rsid w:val="006C6DAC"/>
    <w:rsid w:val="006C74E9"/>
    <w:rsid w:val="006C7B20"/>
    <w:rsid w:val="006C7DC6"/>
    <w:rsid w:val="006D034B"/>
    <w:rsid w:val="006D0531"/>
    <w:rsid w:val="006D1840"/>
    <w:rsid w:val="006D18FB"/>
    <w:rsid w:val="006D1A45"/>
    <w:rsid w:val="006D1E49"/>
    <w:rsid w:val="006D22B6"/>
    <w:rsid w:val="006D2553"/>
    <w:rsid w:val="006D37A9"/>
    <w:rsid w:val="006D38C1"/>
    <w:rsid w:val="006D432E"/>
    <w:rsid w:val="006D44D8"/>
    <w:rsid w:val="006D4622"/>
    <w:rsid w:val="006D4D4D"/>
    <w:rsid w:val="006D4F86"/>
    <w:rsid w:val="006D5958"/>
    <w:rsid w:val="006D5B0E"/>
    <w:rsid w:val="006D60F6"/>
    <w:rsid w:val="006D6304"/>
    <w:rsid w:val="006D6364"/>
    <w:rsid w:val="006D6754"/>
    <w:rsid w:val="006D6E21"/>
    <w:rsid w:val="006E0404"/>
    <w:rsid w:val="006E1284"/>
    <w:rsid w:val="006E139A"/>
    <w:rsid w:val="006E16FF"/>
    <w:rsid w:val="006E1A46"/>
    <w:rsid w:val="006E1CF4"/>
    <w:rsid w:val="006E2022"/>
    <w:rsid w:val="006E2082"/>
    <w:rsid w:val="006E2926"/>
    <w:rsid w:val="006E2C71"/>
    <w:rsid w:val="006E2DA0"/>
    <w:rsid w:val="006E2E3A"/>
    <w:rsid w:val="006E2F91"/>
    <w:rsid w:val="006E3532"/>
    <w:rsid w:val="006E3866"/>
    <w:rsid w:val="006E3DC8"/>
    <w:rsid w:val="006E4894"/>
    <w:rsid w:val="006E5383"/>
    <w:rsid w:val="006E559C"/>
    <w:rsid w:val="006E5B8D"/>
    <w:rsid w:val="006E6044"/>
    <w:rsid w:val="006E60D1"/>
    <w:rsid w:val="006E6735"/>
    <w:rsid w:val="006E69BF"/>
    <w:rsid w:val="006E6A72"/>
    <w:rsid w:val="006E6F7D"/>
    <w:rsid w:val="006E716B"/>
    <w:rsid w:val="006F00B4"/>
    <w:rsid w:val="006F0782"/>
    <w:rsid w:val="006F08A1"/>
    <w:rsid w:val="006F0AFA"/>
    <w:rsid w:val="006F0DBD"/>
    <w:rsid w:val="006F0E26"/>
    <w:rsid w:val="006F105A"/>
    <w:rsid w:val="006F19F8"/>
    <w:rsid w:val="006F1B00"/>
    <w:rsid w:val="006F1B52"/>
    <w:rsid w:val="006F1BF2"/>
    <w:rsid w:val="006F2261"/>
    <w:rsid w:val="006F2541"/>
    <w:rsid w:val="006F27A6"/>
    <w:rsid w:val="006F305A"/>
    <w:rsid w:val="006F35F9"/>
    <w:rsid w:val="006F39A4"/>
    <w:rsid w:val="006F3C1E"/>
    <w:rsid w:val="006F42DE"/>
    <w:rsid w:val="006F46F9"/>
    <w:rsid w:val="006F4B74"/>
    <w:rsid w:val="006F5DEA"/>
    <w:rsid w:val="00700010"/>
    <w:rsid w:val="007003CE"/>
    <w:rsid w:val="007004BA"/>
    <w:rsid w:val="007004C4"/>
    <w:rsid w:val="00700F35"/>
    <w:rsid w:val="00700F8E"/>
    <w:rsid w:val="0070131C"/>
    <w:rsid w:val="007016A4"/>
    <w:rsid w:val="00701852"/>
    <w:rsid w:val="0070195D"/>
    <w:rsid w:val="00701A47"/>
    <w:rsid w:val="00701B32"/>
    <w:rsid w:val="00701ECF"/>
    <w:rsid w:val="00702001"/>
    <w:rsid w:val="0070213A"/>
    <w:rsid w:val="007021BA"/>
    <w:rsid w:val="0070356D"/>
    <w:rsid w:val="0070384E"/>
    <w:rsid w:val="00703977"/>
    <w:rsid w:val="00703DAF"/>
    <w:rsid w:val="00703E73"/>
    <w:rsid w:val="00704B32"/>
    <w:rsid w:val="00704CF4"/>
    <w:rsid w:val="00704F3F"/>
    <w:rsid w:val="00705283"/>
    <w:rsid w:val="007059F6"/>
    <w:rsid w:val="00705A2B"/>
    <w:rsid w:val="00705B33"/>
    <w:rsid w:val="0070615E"/>
    <w:rsid w:val="00706324"/>
    <w:rsid w:val="0070672C"/>
    <w:rsid w:val="00706C4B"/>
    <w:rsid w:val="00707934"/>
    <w:rsid w:val="007079BD"/>
    <w:rsid w:val="00707B06"/>
    <w:rsid w:val="00707E92"/>
    <w:rsid w:val="007102A1"/>
    <w:rsid w:val="00710577"/>
    <w:rsid w:val="00710A58"/>
    <w:rsid w:val="00710F51"/>
    <w:rsid w:val="007113EA"/>
    <w:rsid w:val="0071159B"/>
    <w:rsid w:val="007115EB"/>
    <w:rsid w:val="00711665"/>
    <w:rsid w:val="007116AC"/>
    <w:rsid w:val="00711839"/>
    <w:rsid w:val="007124A2"/>
    <w:rsid w:val="007124A4"/>
    <w:rsid w:val="00712529"/>
    <w:rsid w:val="007129D0"/>
    <w:rsid w:val="00713027"/>
    <w:rsid w:val="0071303A"/>
    <w:rsid w:val="007133ED"/>
    <w:rsid w:val="007135D9"/>
    <w:rsid w:val="007137C7"/>
    <w:rsid w:val="00714012"/>
    <w:rsid w:val="00714031"/>
    <w:rsid w:val="0071441A"/>
    <w:rsid w:val="0071490B"/>
    <w:rsid w:val="00714DD9"/>
    <w:rsid w:val="007150F4"/>
    <w:rsid w:val="00715ABE"/>
    <w:rsid w:val="00715AE9"/>
    <w:rsid w:val="00715E26"/>
    <w:rsid w:val="00715EAB"/>
    <w:rsid w:val="00716527"/>
    <w:rsid w:val="007165C6"/>
    <w:rsid w:val="00716FF3"/>
    <w:rsid w:val="007170BC"/>
    <w:rsid w:val="0071765F"/>
    <w:rsid w:val="007177A9"/>
    <w:rsid w:val="00717A66"/>
    <w:rsid w:val="00717CBF"/>
    <w:rsid w:val="0072055F"/>
    <w:rsid w:val="007207B5"/>
    <w:rsid w:val="007207D8"/>
    <w:rsid w:val="007213E1"/>
    <w:rsid w:val="0072178E"/>
    <w:rsid w:val="007217F1"/>
    <w:rsid w:val="00721CF4"/>
    <w:rsid w:val="007230D6"/>
    <w:rsid w:val="00723683"/>
    <w:rsid w:val="00723797"/>
    <w:rsid w:val="00723A09"/>
    <w:rsid w:val="00723E4B"/>
    <w:rsid w:val="00723E8D"/>
    <w:rsid w:val="00724553"/>
    <w:rsid w:val="007246EB"/>
    <w:rsid w:val="00724718"/>
    <w:rsid w:val="00724833"/>
    <w:rsid w:val="00724C21"/>
    <w:rsid w:val="00724E21"/>
    <w:rsid w:val="0072563F"/>
    <w:rsid w:val="00725CA0"/>
    <w:rsid w:val="00726D0B"/>
    <w:rsid w:val="007271D4"/>
    <w:rsid w:val="00727664"/>
    <w:rsid w:val="0073001A"/>
    <w:rsid w:val="00730B51"/>
    <w:rsid w:val="0073146E"/>
    <w:rsid w:val="00731D15"/>
    <w:rsid w:val="0073231B"/>
    <w:rsid w:val="00732CFA"/>
    <w:rsid w:val="00732E2C"/>
    <w:rsid w:val="00732F46"/>
    <w:rsid w:val="00733398"/>
    <w:rsid w:val="007343EB"/>
    <w:rsid w:val="00734468"/>
    <w:rsid w:val="00735A7B"/>
    <w:rsid w:val="00735ECF"/>
    <w:rsid w:val="007368A2"/>
    <w:rsid w:val="00736B42"/>
    <w:rsid w:val="00736B7A"/>
    <w:rsid w:val="00736DE9"/>
    <w:rsid w:val="0073711D"/>
    <w:rsid w:val="0073723D"/>
    <w:rsid w:val="007377DF"/>
    <w:rsid w:val="00737CA1"/>
    <w:rsid w:val="00740C9E"/>
    <w:rsid w:val="00740CC3"/>
    <w:rsid w:val="00741481"/>
    <w:rsid w:val="00741543"/>
    <w:rsid w:val="00742033"/>
    <w:rsid w:val="00742439"/>
    <w:rsid w:val="007425B5"/>
    <w:rsid w:val="00742A3B"/>
    <w:rsid w:val="00743556"/>
    <w:rsid w:val="0074384F"/>
    <w:rsid w:val="00743A10"/>
    <w:rsid w:val="00743B93"/>
    <w:rsid w:val="007443EF"/>
    <w:rsid w:val="00744550"/>
    <w:rsid w:val="00744A41"/>
    <w:rsid w:val="00744FCA"/>
    <w:rsid w:val="00745945"/>
    <w:rsid w:val="00745B6B"/>
    <w:rsid w:val="00745D67"/>
    <w:rsid w:val="00745ECF"/>
    <w:rsid w:val="007465A9"/>
    <w:rsid w:val="007465FE"/>
    <w:rsid w:val="0074747E"/>
    <w:rsid w:val="00747ED4"/>
    <w:rsid w:val="0075163C"/>
    <w:rsid w:val="00751E22"/>
    <w:rsid w:val="00752026"/>
    <w:rsid w:val="0075209E"/>
    <w:rsid w:val="00752791"/>
    <w:rsid w:val="0075299C"/>
    <w:rsid w:val="00752BDF"/>
    <w:rsid w:val="00752BFB"/>
    <w:rsid w:val="007534E4"/>
    <w:rsid w:val="00753E0F"/>
    <w:rsid w:val="0075405F"/>
    <w:rsid w:val="00754337"/>
    <w:rsid w:val="00754A0D"/>
    <w:rsid w:val="00754DA7"/>
    <w:rsid w:val="007552C1"/>
    <w:rsid w:val="0075596B"/>
    <w:rsid w:val="00755990"/>
    <w:rsid w:val="007560D4"/>
    <w:rsid w:val="007562E2"/>
    <w:rsid w:val="00756355"/>
    <w:rsid w:val="00756877"/>
    <w:rsid w:val="00756B1D"/>
    <w:rsid w:val="00756DF7"/>
    <w:rsid w:val="0075710E"/>
    <w:rsid w:val="00757694"/>
    <w:rsid w:val="007576BD"/>
    <w:rsid w:val="007577C2"/>
    <w:rsid w:val="0075789C"/>
    <w:rsid w:val="00757C05"/>
    <w:rsid w:val="00757D51"/>
    <w:rsid w:val="007603A4"/>
    <w:rsid w:val="007614B4"/>
    <w:rsid w:val="007618A4"/>
    <w:rsid w:val="007618E3"/>
    <w:rsid w:val="00761E73"/>
    <w:rsid w:val="00761FCD"/>
    <w:rsid w:val="0076277A"/>
    <w:rsid w:val="00762F2B"/>
    <w:rsid w:val="0076301B"/>
    <w:rsid w:val="00763029"/>
    <w:rsid w:val="0076328E"/>
    <w:rsid w:val="00763791"/>
    <w:rsid w:val="00763C58"/>
    <w:rsid w:val="00763CA3"/>
    <w:rsid w:val="00763D52"/>
    <w:rsid w:val="00763F46"/>
    <w:rsid w:val="00764290"/>
    <w:rsid w:val="00764E0F"/>
    <w:rsid w:val="0076561E"/>
    <w:rsid w:val="007658AC"/>
    <w:rsid w:val="0076593D"/>
    <w:rsid w:val="00765995"/>
    <w:rsid w:val="00765D78"/>
    <w:rsid w:val="007661B0"/>
    <w:rsid w:val="007661E3"/>
    <w:rsid w:val="00766524"/>
    <w:rsid w:val="00767221"/>
    <w:rsid w:val="00767240"/>
    <w:rsid w:val="0076731F"/>
    <w:rsid w:val="00767338"/>
    <w:rsid w:val="00767654"/>
    <w:rsid w:val="007677CC"/>
    <w:rsid w:val="007701A8"/>
    <w:rsid w:val="00770FE5"/>
    <w:rsid w:val="00771894"/>
    <w:rsid w:val="0077228D"/>
    <w:rsid w:val="007727EF"/>
    <w:rsid w:val="00773353"/>
    <w:rsid w:val="0077342C"/>
    <w:rsid w:val="00773460"/>
    <w:rsid w:val="007734C7"/>
    <w:rsid w:val="00773F10"/>
    <w:rsid w:val="007740BC"/>
    <w:rsid w:val="0077461C"/>
    <w:rsid w:val="0077495C"/>
    <w:rsid w:val="007761AE"/>
    <w:rsid w:val="00776ACE"/>
    <w:rsid w:val="00776E10"/>
    <w:rsid w:val="0077727F"/>
    <w:rsid w:val="0077754F"/>
    <w:rsid w:val="0078017A"/>
    <w:rsid w:val="007801EC"/>
    <w:rsid w:val="0078023D"/>
    <w:rsid w:val="00780813"/>
    <w:rsid w:val="00780A45"/>
    <w:rsid w:val="00780D6D"/>
    <w:rsid w:val="00780DDD"/>
    <w:rsid w:val="0078193A"/>
    <w:rsid w:val="00781D4F"/>
    <w:rsid w:val="0078203B"/>
    <w:rsid w:val="00782215"/>
    <w:rsid w:val="00782804"/>
    <w:rsid w:val="00782A29"/>
    <w:rsid w:val="00782F34"/>
    <w:rsid w:val="00783313"/>
    <w:rsid w:val="00783503"/>
    <w:rsid w:val="00783842"/>
    <w:rsid w:val="007838FF"/>
    <w:rsid w:val="007839EB"/>
    <w:rsid w:val="00784180"/>
    <w:rsid w:val="0078447A"/>
    <w:rsid w:val="00784783"/>
    <w:rsid w:val="007849DE"/>
    <w:rsid w:val="0078525E"/>
    <w:rsid w:val="00785F1B"/>
    <w:rsid w:val="0078677F"/>
    <w:rsid w:val="00786817"/>
    <w:rsid w:val="00786A4D"/>
    <w:rsid w:val="007876E3"/>
    <w:rsid w:val="00787949"/>
    <w:rsid w:val="007879A3"/>
    <w:rsid w:val="00787E0A"/>
    <w:rsid w:val="00787E52"/>
    <w:rsid w:val="00787F9F"/>
    <w:rsid w:val="007910B7"/>
    <w:rsid w:val="00791694"/>
    <w:rsid w:val="007918A2"/>
    <w:rsid w:val="0079236F"/>
    <w:rsid w:val="007928AD"/>
    <w:rsid w:val="00792F84"/>
    <w:rsid w:val="007930C5"/>
    <w:rsid w:val="00793EAA"/>
    <w:rsid w:val="0079422E"/>
    <w:rsid w:val="0079459D"/>
    <w:rsid w:val="00794724"/>
    <w:rsid w:val="00794AEF"/>
    <w:rsid w:val="00794B43"/>
    <w:rsid w:val="00794BAC"/>
    <w:rsid w:val="00795016"/>
    <w:rsid w:val="00795357"/>
    <w:rsid w:val="007954FB"/>
    <w:rsid w:val="0079559F"/>
    <w:rsid w:val="007958F5"/>
    <w:rsid w:val="00797104"/>
    <w:rsid w:val="00797D95"/>
    <w:rsid w:val="007A0174"/>
    <w:rsid w:val="007A0349"/>
    <w:rsid w:val="007A0378"/>
    <w:rsid w:val="007A0BB2"/>
    <w:rsid w:val="007A10D2"/>
    <w:rsid w:val="007A1678"/>
    <w:rsid w:val="007A1AF8"/>
    <w:rsid w:val="007A21C8"/>
    <w:rsid w:val="007A2DCC"/>
    <w:rsid w:val="007A34E8"/>
    <w:rsid w:val="007A3FEB"/>
    <w:rsid w:val="007A47F9"/>
    <w:rsid w:val="007A4906"/>
    <w:rsid w:val="007A4D8B"/>
    <w:rsid w:val="007A4F57"/>
    <w:rsid w:val="007A5131"/>
    <w:rsid w:val="007A5766"/>
    <w:rsid w:val="007A58ED"/>
    <w:rsid w:val="007A660F"/>
    <w:rsid w:val="007A6627"/>
    <w:rsid w:val="007A761C"/>
    <w:rsid w:val="007B05B6"/>
    <w:rsid w:val="007B0641"/>
    <w:rsid w:val="007B0E9D"/>
    <w:rsid w:val="007B122C"/>
    <w:rsid w:val="007B23D0"/>
    <w:rsid w:val="007B2A58"/>
    <w:rsid w:val="007B2A93"/>
    <w:rsid w:val="007B2E38"/>
    <w:rsid w:val="007B2E7E"/>
    <w:rsid w:val="007B31E1"/>
    <w:rsid w:val="007B3389"/>
    <w:rsid w:val="007B3FBE"/>
    <w:rsid w:val="007B4019"/>
    <w:rsid w:val="007B4255"/>
    <w:rsid w:val="007B49BA"/>
    <w:rsid w:val="007B4F18"/>
    <w:rsid w:val="007B500B"/>
    <w:rsid w:val="007B536E"/>
    <w:rsid w:val="007B5562"/>
    <w:rsid w:val="007B66A0"/>
    <w:rsid w:val="007B66F9"/>
    <w:rsid w:val="007B6AAB"/>
    <w:rsid w:val="007B6E4E"/>
    <w:rsid w:val="007B7027"/>
    <w:rsid w:val="007B7061"/>
    <w:rsid w:val="007B71E9"/>
    <w:rsid w:val="007B72D5"/>
    <w:rsid w:val="007B72E5"/>
    <w:rsid w:val="007B7FAA"/>
    <w:rsid w:val="007C0004"/>
    <w:rsid w:val="007C0121"/>
    <w:rsid w:val="007C0296"/>
    <w:rsid w:val="007C056D"/>
    <w:rsid w:val="007C0B30"/>
    <w:rsid w:val="007C0BE3"/>
    <w:rsid w:val="007C1702"/>
    <w:rsid w:val="007C1964"/>
    <w:rsid w:val="007C19DA"/>
    <w:rsid w:val="007C1CDA"/>
    <w:rsid w:val="007C1D47"/>
    <w:rsid w:val="007C3220"/>
    <w:rsid w:val="007C38AD"/>
    <w:rsid w:val="007C3B07"/>
    <w:rsid w:val="007C41D1"/>
    <w:rsid w:val="007C48C7"/>
    <w:rsid w:val="007C5FC3"/>
    <w:rsid w:val="007C5FDD"/>
    <w:rsid w:val="007C69D6"/>
    <w:rsid w:val="007C6C3E"/>
    <w:rsid w:val="007C6C64"/>
    <w:rsid w:val="007C6EA3"/>
    <w:rsid w:val="007C7BFD"/>
    <w:rsid w:val="007C7D53"/>
    <w:rsid w:val="007D00ED"/>
    <w:rsid w:val="007D0127"/>
    <w:rsid w:val="007D06C9"/>
    <w:rsid w:val="007D219A"/>
    <w:rsid w:val="007D2B96"/>
    <w:rsid w:val="007D2CEB"/>
    <w:rsid w:val="007D30D4"/>
    <w:rsid w:val="007D31CC"/>
    <w:rsid w:val="007D3591"/>
    <w:rsid w:val="007D3861"/>
    <w:rsid w:val="007D38BC"/>
    <w:rsid w:val="007D3A1B"/>
    <w:rsid w:val="007D4919"/>
    <w:rsid w:val="007D4C5D"/>
    <w:rsid w:val="007D5189"/>
    <w:rsid w:val="007D5D23"/>
    <w:rsid w:val="007D5F65"/>
    <w:rsid w:val="007D6166"/>
    <w:rsid w:val="007D6683"/>
    <w:rsid w:val="007D6B37"/>
    <w:rsid w:val="007D6FD2"/>
    <w:rsid w:val="007D705E"/>
    <w:rsid w:val="007D71D8"/>
    <w:rsid w:val="007D76D2"/>
    <w:rsid w:val="007D78F2"/>
    <w:rsid w:val="007D79CA"/>
    <w:rsid w:val="007D79D7"/>
    <w:rsid w:val="007D7AF6"/>
    <w:rsid w:val="007D7CA5"/>
    <w:rsid w:val="007E03FC"/>
    <w:rsid w:val="007E0A3A"/>
    <w:rsid w:val="007E0A96"/>
    <w:rsid w:val="007E19AF"/>
    <w:rsid w:val="007E22E9"/>
    <w:rsid w:val="007E23E7"/>
    <w:rsid w:val="007E2551"/>
    <w:rsid w:val="007E2955"/>
    <w:rsid w:val="007E35B3"/>
    <w:rsid w:val="007E40B5"/>
    <w:rsid w:val="007E4137"/>
    <w:rsid w:val="007E4A62"/>
    <w:rsid w:val="007E4D65"/>
    <w:rsid w:val="007E5399"/>
    <w:rsid w:val="007E569E"/>
    <w:rsid w:val="007E5B36"/>
    <w:rsid w:val="007E6167"/>
    <w:rsid w:val="007E6635"/>
    <w:rsid w:val="007E734B"/>
    <w:rsid w:val="007E74C5"/>
    <w:rsid w:val="007E7ABE"/>
    <w:rsid w:val="007E7E78"/>
    <w:rsid w:val="007F00FE"/>
    <w:rsid w:val="007F01F4"/>
    <w:rsid w:val="007F03FE"/>
    <w:rsid w:val="007F0A00"/>
    <w:rsid w:val="007F0C3D"/>
    <w:rsid w:val="007F0E34"/>
    <w:rsid w:val="007F1E3E"/>
    <w:rsid w:val="007F21F0"/>
    <w:rsid w:val="007F2695"/>
    <w:rsid w:val="007F27CD"/>
    <w:rsid w:val="007F32C6"/>
    <w:rsid w:val="007F43AE"/>
    <w:rsid w:val="007F4845"/>
    <w:rsid w:val="007F4EF1"/>
    <w:rsid w:val="007F4F64"/>
    <w:rsid w:val="007F50A7"/>
    <w:rsid w:val="007F5652"/>
    <w:rsid w:val="007F5AED"/>
    <w:rsid w:val="007F5EC6"/>
    <w:rsid w:val="007F62FD"/>
    <w:rsid w:val="007F6368"/>
    <w:rsid w:val="007F65A9"/>
    <w:rsid w:val="007F671A"/>
    <w:rsid w:val="007F6729"/>
    <w:rsid w:val="007F6C2A"/>
    <w:rsid w:val="007F7319"/>
    <w:rsid w:val="007F7B7F"/>
    <w:rsid w:val="007F7C06"/>
    <w:rsid w:val="00800809"/>
    <w:rsid w:val="0080194B"/>
    <w:rsid w:val="008023EB"/>
    <w:rsid w:val="0080250A"/>
    <w:rsid w:val="00802D05"/>
    <w:rsid w:val="00803120"/>
    <w:rsid w:val="00803B96"/>
    <w:rsid w:val="008041CA"/>
    <w:rsid w:val="008043DE"/>
    <w:rsid w:val="0080498D"/>
    <w:rsid w:val="0080533C"/>
    <w:rsid w:val="0080584B"/>
    <w:rsid w:val="00805A88"/>
    <w:rsid w:val="00805A9D"/>
    <w:rsid w:val="0080606A"/>
    <w:rsid w:val="00806502"/>
    <w:rsid w:val="008065F0"/>
    <w:rsid w:val="008068AB"/>
    <w:rsid w:val="00806C87"/>
    <w:rsid w:val="008073ED"/>
    <w:rsid w:val="00807721"/>
    <w:rsid w:val="00807745"/>
    <w:rsid w:val="00807C2F"/>
    <w:rsid w:val="00807D2E"/>
    <w:rsid w:val="00810648"/>
    <w:rsid w:val="008107CE"/>
    <w:rsid w:val="00810B67"/>
    <w:rsid w:val="00810E6C"/>
    <w:rsid w:val="00810F02"/>
    <w:rsid w:val="00811857"/>
    <w:rsid w:val="00811D4E"/>
    <w:rsid w:val="008122EB"/>
    <w:rsid w:val="008129C6"/>
    <w:rsid w:val="00812DA9"/>
    <w:rsid w:val="00812E0A"/>
    <w:rsid w:val="0081338F"/>
    <w:rsid w:val="00813402"/>
    <w:rsid w:val="0081352B"/>
    <w:rsid w:val="0081366F"/>
    <w:rsid w:val="00813917"/>
    <w:rsid w:val="00813969"/>
    <w:rsid w:val="00813AB1"/>
    <w:rsid w:val="008140C1"/>
    <w:rsid w:val="008141DA"/>
    <w:rsid w:val="00814207"/>
    <w:rsid w:val="00814514"/>
    <w:rsid w:val="008146EB"/>
    <w:rsid w:val="008148CB"/>
    <w:rsid w:val="00814D76"/>
    <w:rsid w:val="008151DB"/>
    <w:rsid w:val="00815697"/>
    <w:rsid w:val="00815A08"/>
    <w:rsid w:val="00815BD4"/>
    <w:rsid w:val="00815E63"/>
    <w:rsid w:val="00816344"/>
    <w:rsid w:val="00816388"/>
    <w:rsid w:val="008163CD"/>
    <w:rsid w:val="00816AD1"/>
    <w:rsid w:val="00816C09"/>
    <w:rsid w:val="00816C31"/>
    <w:rsid w:val="00816E51"/>
    <w:rsid w:val="00817927"/>
    <w:rsid w:val="008179C9"/>
    <w:rsid w:val="008206DD"/>
    <w:rsid w:val="00820762"/>
    <w:rsid w:val="008211DE"/>
    <w:rsid w:val="00821204"/>
    <w:rsid w:val="0082197D"/>
    <w:rsid w:val="00822079"/>
    <w:rsid w:val="008222C0"/>
    <w:rsid w:val="008222C1"/>
    <w:rsid w:val="008226FC"/>
    <w:rsid w:val="00822F06"/>
    <w:rsid w:val="008237E2"/>
    <w:rsid w:val="00823E99"/>
    <w:rsid w:val="00823F34"/>
    <w:rsid w:val="008241CC"/>
    <w:rsid w:val="008250B1"/>
    <w:rsid w:val="008255E4"/>
    <w:rsid w:val="0082585B"/>
    <w:rsid w:val="00825A08"/>
    <w:rsid w:val="00826A51"/>
    <w:rsid w:val="00826B7C"/>
    <w:rsid w:val="0082743E"/>
    <w:rsid w:val="00827849"/>
    <w:rsid w:val="00827A9C"/>
    <w:rsid w:val="00827BAD"/>
    <w:rsid w:val="00830639"/>
    <w:rsid w:val="008309C9"/>
    <w:rsid w:val="00830BC7"/>
    <w:rsid w:val="0083132D"/>
    <w:rsid w:val="0083187E"/>
    <w:rsid w:val="00831D31"/>
    <w:rsid w:val="00832018"/>
    <w:rsid w:val="00832737"/>
    <w:rsid w:val="008335E3"/>
    <w:rsid w:val="008342DE"/>
    <w:rsid w:val="00834D2D"/>
    <w:rsid w:val="00834D7C"/>
    <w:rsid w:val="00834DCB"/>
    <w:rsid w:val="0083520F"/>
    <w:rsid w:val="00835237"/>
    <w:rsid w:val="00835D70"/>
    <w:rsid w:val="00836673"/>
    <w:rsid w:val="008369B6"/>
    <w:rsid w:val="008373B3"/>
    <w:rsid w:val="00837486"/>
    <w:rsid w:val="00840879"/>
    <w:rsid w:val="008408D9"/>
    <w:rsid w:val="00840C01"/>
    <w:rsid w:val="00840C42"/>
    <w:rsid w:val="00840FB3"/>
    <w:rsid w:val="00841313"/>
    <w:rsid w:val="008414B0"/>
    <w:rsid w:val="00841630"/>
    <w:rsid w:val="0084167C"/>
    <w:rsid w:val="008417A0"/>
    <w:rsid w:val="00841A27"/>
    <w:rsid w:val="00841DC2"/>
    <w:rsid w:val="00842B0D"/>
    <w:rsid w:val="00842E96"/>
    <w:rsid w:val="008433E3"/>
    <w:rsid w:val="008436AA"/>
    <w:rsid w:val="00844076"/>
    <w:rsid w:val="008443E1"/>
    <w:rsid w:val="00844616"/>
    <w:rsid w:val="00844F10"/>
    <w:rsid w:val="00845186"/>
    <w:rsid w:val="008456B0"/>
    <w:rsid w:val="008459E1"/>
    <w:rsid w:val="00845A08"/>
    <w:rsid w:val="00845BBC"/>
    <w:rsid w:val="0084609A"/>
    <w:rsid w:val="008461A9"/>
    <w:rsid w:val="0084620F"/>
    <w:rsid w:val="00846D1E"/>
    <w:rsid w:val="00846DE6"/>
    <w:rsid w:val="00847871"/>
    <w:rsid w:val="00847E85"/>
    <w:rsid w:val="00847F2B"/>
    <w:rsid w:val="00850048"/>
    <w:rsid w:val="00850090"/>
    <w:rsid w:val="00850913"/>
    <w:rsid w:val="00850E37"/>
    <w:rsid w:val="008513D8"/>
    <w:rsid w:val="0085141B"/>
    <w:rsid w:val="00851D09"/>
    <w:rsid w:val="00851D1D"/>
    <w:rsid w:val="008529D7"/>
    <w:rsid w:val="00852C25"/>
    <w:rsid w:val="00853172"/>
    <w:rsid w:val="00853A7E"/>
    <w:rsid w:val="008545A7"/>
    <w:rsid w:val="00854CA9"/>
    <w:rsid w:val="00854F24"/>
    <w:rsid w:val="00855028"/>
    <w:rsid w:val="0085503F"/>
    <w:rsid w:val="008553CB"/>
    <w:rsid w:val="0085596B"/>
    <w:rsid w:val="00855D43"/>
    <w:rsid w:val="008561D7"/>
    <w:rsid w:val="00856322"/>
    <w:rsid w:val="008563AE"/>
    <w:rsid w:val="00856496"/>
    <w:rsid w:val="008565BC"/>
    <w:rsid w:val="008570FB"/>
    <w:rsid w:val="008607B4"/>
    <w:rsid w:val="00860856"/>
    <w:rsid w:val="008608C2"/>
    <w:rsid w:val="008609BD"/>
    <w:rsid w:val="00860B22"/>
    <w:rsid w:val="00860CBD"/>
    <w:rsid w:val="00861074"/>
    <w:rsid w:val="00861271"/>
    <w:rsid w:val="0086174D"/>
    <w:rsid w:val="00861C19"/>
    <w:rsid w:val="00861C1D"/>
    <w:rsid w:val="00862396"/>
    <w:rsid w:val="00862F44"/>
    <w:rsid w:val="0086359D"/>
    <w:rsid w:val="008636FC"/>
    <w:rsid w:val="00863DB6"/>
    <w:rsid w:val="008642AE"/>
    <w:rsid w:val="00864CA3"/>
    <w:rsid w:val="00865101"/>
    <w:rsid w:val="00865387"/>
    <w:rsid w:val="00865B86"/>
    <w:rsid w:val="00865E42"/>
    <w:rsid w:val="00866764"/>
    <w:rsid w:val="0086739D"/>
    <w:rsid w:val="00867409"/>
    <w:rsid w:val="00867A6F"/>
    <w:rsid w:val="00870368"/>
    <w:rsid w:val="00870CC6"/>
    <w:rsid w:val="00870D34"/>
    <w:rsid w:val="00870E44"/>
    <w:rsid w:val="00870FD4"/>
    <w:rsid w:val="00871164"/>
    <w:rsid w:val="008721BB"/>
    <w:rsid w:val="00872AF6"/>
    <w:rsid w:val="00872B8A"/>
    <w:rsid w:val="0087315C"/>
    <w:rsid w:val="00873620"/>
    <w:rsid w:val="00873729"/>
    <w:rsid w:val="008739BC"/>
    <w:rsid w:val="00873A19"/>
    <w:rsid w:val="00873BC6"/>
    <w:rsid w:val="00873DE3"/>
    <w:rsid w:val="0087403E"/>
    <w:rsid w:val="00874475"/>
    <w:rsid w:val="00874CE9"/>
    <w:rsid w:val="00874D35"/>
    <w:rsid w:val="00874FB1"/>
    <w:rsid w:val="0087502E"/>
    <w:rsid w:val="008762B0"/>
    <w:rsid w:val="00876856"/>
    <w:rsid w:val="00876D69"/>
    <w:rsid w:val="00876DFA"/>
    <w:rsid w:val="00876F10"/>
    <w:rsid w:val="008771F4"/>
    <w:rsid w:val="00877D1C"/>
    <w:rsid w:val="0088031E"/>
    <w:rsid w:val="00880902"/>
    <w:rsid w:val="00881443"/>
    <w:rsid w:val="0088196C"/>
    <w:rsid w:val="00881DDC"/>
    <w:rsid w:val="00881E3C"/>
    <w:rsid w:val="008824CF"/>
    <w:rsid w:val="00882762"/>
    <w:rsid w:val="008827D4"/>
    <w:rsid w:val="00882EAB"/>
    <w:rsid w:val="0088316E"/>
    <w:rsid w:val="00884284"/>
    <w:rsid w:val="00884D56"/>
    <w:rsid w:val="008851BC"/>
    <w:rsid w:val="00885318"/>
    <w:rsid w:val="00885A89"/>
    <w:rsid w:val="00885FAD"/>
    <w:rsid w:val="0088624E"/>
    <w:rsid w:val="00886BCC"/>
    <w:rsid w:val="0088740E"/>
    <w:rsid w:val="0088777A"/>
    <w:rsid w:val="0089013E"/>
    <w:rsid w:val="00890A20"/>
    <w:rsid w:val="00891D80"/>
    <w:rsid w:val="00891FB7"/>
    <w:rsid w:val="00892044"/>
    <w:rsid w:val="00892A42"/>
    <w:rsid w:val="00892A4E"/>
    <w:rsid w:val="00892BA1"/>
    <w:rsid w:val="00892D03"/>
    <w:rsid w:val="008930A7"/>
    <w:rsid w:val="00893B11"/>
    <w:rsid w:val="00893DED"/>
    <w:rsid w:val="008945FD"/>
    <w:rsid w:val="00894A27"/>
    <w:rsid w:val="00895499"/>
    <w:rsid w:val="00895739"/>
    <w:rsid w:val="00895995"/>
    <w:rsid w:val="00895B9D"/>
    <w:rsid w:val="00895DCE"/>
    <w:rsid w:val="00896A4C"/>
    <w:rsid w:val="00896EBA"/>
    <w:rsid w:val="0089797F"/>
    <w:rsid w:val="00897D53"/>
    <w:rsid w:val="008A0050"/>
    <w:rsid w:val="008A010C"/>
    <w:rsid w:val="008A0730"/>
    <w:rsid w:val="008A1223"/>
    <w:rsid w:val="008A130C"/>
    <w:rsid w:val="008A1532"/>
    <w:rsid w:val="008A161F"/>
    <w:rsid w:val="008A1627"/>
    <w:rsid w:val="008A1B28"/>
    <w:rsid w:val="008A1EA4"/>
    <w:rsid w:val="008A23C9"/>
    <w:rsid w:val="008A2BCC"/>
    <w:rsid w:val="008A2E24"/>
    <w:rsid w:val="008A2FA5"/>
    <w:rsid w:val="008A3647"/>
    <w:rsid w:val="008A39DF"/>
    <w:rsid w:val="008A39F8"/>
    <w:rsid w:val="008A3B67"/>
    <w:rsid w:val="008A429C"/>
    <w:rsid w:val="008A46E0"/>
    <w:rsid w:val="008A4D0F"/>
    <w:rsid w:val="008A503F"/>
    <w:rsid w:val="008A60A5"/>
    <w:rsid w:val="008A65DA"/>
    <w:rsid w:val="008A68A2"/>
    <w:rsid w:val="008A6C8F"/>
    <w:rsid w:val="008A6DFE"/>
    <w:rsid w:val="008A706E"/>
    <w:rsid w:val="008A7D27"/>
    <w:rsid w:val="008B0982"/>
    <w:rsid w:val="008B0B3A"/>
    <w:rsid w:val="008B1606"/>
    <w:rsid w:val="008B1F7D"/>
    <w:rsid w:val="008B2B47"/>
    <w:rsid w:val="008B2DCB"/>
    <w:rsid w:val="008B32A9"/>
    <w:rsid w:val="008B34AF"/>
    <w:rsid w:val="008B36C0"/>
    <w:rsid w:val="008B443A"/>
    <w:rsid w:val="008B4593"/>
    <w:rsid w:val="008B46BC"/>
    <w:rsid w:val="008B4794"/>
    <w:rsid w:val="008B4AE5"/>
    <w:rsid w:val="008B5AD1"/>
    <w:rsid w:val="008B5E2C"/>
    <w:rsid w:val="008B601B"/>
    <w:rsid w:val="008B68F3"/>
    <w:rsid w:val="008B6A9F"/>
    <w:rsid w:val="008B7362"/>
    <w:rsid w:val="008B7AC5"/>
    <w:rsid w:val="008C0083"/>
    <w:rsid w:val="008C04E7"/>
    <w:rsid w:val="008C0702"/>
    <w:rsid w:val="008C074A"/>
    <w:rsid w:val="008C085D"/>
    <w:rsid w:val="008C0B65"/>
    <w:rsid w:val="008C0C27"/>
    <w:rsid w:val="008C11CB"/>
    <w:rsid w:val="008C1201"/>
    <w:rsid w:val="008C12FB"/>
    <w:rsid w:val="008C1B7C"/>
    <w:rsid w:val="008C281D"/>
    <w:rsid w:val="008C2E17"/>
    <w:rsid w:val="008C2EDB"/>
    <w:rsid w:val="008C34D0"/>
    <w:rsid w:val="008C357E"/>
    <w:rsid w:val="008C43E2"/>
    <w:rsid w:val="008C4997"/>
    <w:rsid w:val="008C4C88"/>
    <w:rsid w:val="008C5B2C"/>
    <w:rsid w:val="008C6259"/>
    <w:rsid w:val="008C6603"/>
    <w:rsid w:val="008C6BA1"/>
    <w:rsid w:val="008C6C2D"/>
    <w:rsid w:val="008C6C9A"/>
    <w:rsid w:val="008C6DAA"/>
    <w:rsid w:val="008C701E"/>
    <w:rsid w:val="008C73C9"/>
    <w:rsid w:val="008C76E7"/>
    <w:rsid w:val="008C779E"/>
    <w:rsid w:val="008D1033"/>
    <w:rsid w:val="008D1ACF"/>
    <w:rsid w:val="008D1AEE"/>
    <w:rsid w:val="008D1B64"/>
    <w:rsid w:val="008D1CC4"/>
    <w:rsid w:val="008D1F90"/>
    <w:rsid w:val="008D26DE"/>
    <w:rsid w:val="008D3D03"/>
    <w:rsid w:val="008D3D6E"/>
    <w:rsid w:val="008D4162"/>
    <w:rsid w:val="008D4E54"/>
    <w:rsid w:val="008D5D98"/>
    <w:rsid w:val="008D6061"/>
    <w:rsid w:val="008D72A4"/>
    <w:rsid w:val="008E00DC"/>
    <w:rsid w:val="008E09B9"/>
    <w:rsid w:val="008E0AAB"/>
    <w:rsid w:val="008E115A"/>
    <w:rsid w:val="008E1197"/>
    <w:rsid w:val="008E1437"/>
    <w:rsid w:val="008E157E"/>
    <w:rsid w:val="008E1C31"/>
    <w:rsid w:val="008E20B6"/>
    <w:rsid w:val="008E3066"/>
    <w:rsid w:val="008E42AD"/>
    <w:rsid w:val="008E45D8"/>
    <w:rsid w:val="008E46B8"/>
    <w:rsid w:val="008E4C89"/>
    <w:rsid w:val="008E4DB2"/>
    <w:rsid w:val="008E51AF"/>
    <w:rsid w:val="008E548A"/>
    <w:rsid w:val="008E5587"/>
    <w:rsid w:val="008E65B1"/>
    <w:rsid w:val="008E6A06"/>
    <w:rsid w:val="008E7377"/>
    <w:rsid w:val="008E74A2"/>
    <w:rsid w:val="008E76A2"/>
    <w:rsid w:val="008E77FD"/>
    <w:rsid w:val="008E7BB5"/>
    <w:rsid w:val="008E7E2A"/>
    <w:rsid w:val="008F1105"/>
    <w:rsid w:val="008F23C0"/>
    <w:rsid w:val="008F3687"/>
    <w:rsid w:val="008F3A97"/>
    <w:rsid w:val="008F3B0B"/>
    <w:rsid w:val="008F3BEE"/>
    <w:rsid w:val="008F3C83"/>
    <w:rsid w:val="008F4302"/>
    <w:rsid w:val="008F45EE"/>
    <w:rsid w:val="008F4B82"/>
    <w:rsid w:val="008F4CCA"/>
    <w:rsid w:val="008F5545"/>
    <w:rsid w:val="008F554E"/>
    <w:rsid w:val="008F5BE7"/>
    <w:rsid w:val="008F6154"/>
    <w:rsid w:val="008F6520"/>
    <w:rsid w:val="008F6F34"/>
    <w:rsid w:val="008F7945"/>
    <w:rsid w:val="008F7BF9"/>
    <w:rsid w:val="009002C4"/>
    <w:rsid w:val="00900666"/>
    <w:rsid w:val="009006A6"/>
    <w:rsid w:val="00900EC5"/>
    <w:rsid w:val="00900ED1"/>
    <w:rsid w:val="00901028"/>
    <w:rsid w:val="009016A7"/>
    <w:rsid w:val="009016D7"/>
    <w:rsid w:val="00901C7A"/>
    <w:rsid w:val="0090208C"/>
    <w:rsid w:val="009024FC"/>
    <w:rsid w:val="00903082"/>
    <w:rsid w:val="0090345A"/>
    <w:rsid w:val="00903AC3"/>
    <w:rsid w:val="00903CA9"/>
    <w:rsid w:val="0090412E"/>
    <w:rsid w:val="00904536"/>
    <w:rsid w:val="0090478A"/>
    <w:rsid w:val="0090485F"/>
    <w:rsid w:val="00905114"/>
    <w:rsid w:val="0090567D"/>
    <w:rsid w:val="00905870"/>
    <w:rsid w:val="0090634F"/>
    <w:rsid w:val="009065A2"/>
    <w:rsid w:val="0090750E"/>
    <w:rsid w:val="00907DD5"/>
    <w:rsid w:val="00907FB2"/>
    <w:rsid w:val="009101B1"/>
    <w:rsid w:val="009102A7"/>
    <w:rsid w:val="009104BF"/>
    <w:rsid w:val="0091144D"/>
    <w:rsid w:val="00911846"/>
    <w:rsid w:val="00911D86"/>
    <w:rsid w:val="00911DB9"/>
    <w:rsid w:val="0091204A"/>
    <w:rsid w:val="00912141"/>
    <w:rsid w:val="00912CBE"/>
    <w:rsid w:val="00914268"/>
    <w:rsid w:val="009144B5"/>
    <w:rsid w:val="009146F6"/>
    <w:rsid w:val="00914B44"/>
    <w:rsid w:val="00915252"/>
    <w:rsid w:val="00915863"/>
    <w:rsid w:val="00916AD4"/>
    <w:rsid w:val="00916ED7"/>
    <w:rsid w:val="009172AD"/>
    <w:rsid w:val="00917329"/>
    <w:rsid w:val="00917F62"/>
    <w:rsid w:val="0092012C"/>
    <w:rsid w:val="00920E4E"/>
    <w:rsid w:val="00920F71"/>
    <w:rsid w:val="009219C6"/>
    <w:rsid w:val="009219F8"/>
    <w:rsid w:val="00921A54"/>
    <w:rsid w:val="00922E70"/>
    <w:rsid w:val="0092323D"/>
    <w:rsid w:val="0092382B"/>
    <w:rsid w:val="00924669"/>
    <w:rsid w:val="00924B88"/>
    <w:rsid w:val="009253E9"/>
    <w:rsid w:val="009265EC"/>
    <w:rsid w:val="0092694A"/>
    <w:rsid w:val="00926C6E"/>
    <w:rsid w:val="00926E69"/>
    <w:rsid w:val="009270D3"/>
    <w:rsid w:val="00927DDA"/>
    <w:rsid w:val="00930B2F"/>
    <w:rsid w:val="00930EF7"/>
    <w:rsid w:val="0093125C"/>
    <w:rsid w:val="009314CB"/>
    <w:rsid w:val="0093166D"/>
    <w:rsid w:val="009317B8"/>
    <w:rsid w:val="00931E64"/>
    <w:rsid w:val="00931F3B"/>
    <w:rsid w:val="009321BF"/>
    <w:rsid w:val="009328E1"/>
    <w:rsid w:val="00933070"/>
    <w:rsid w:val="00933558"/>
    <w:rsid w:val="00933E9A"/>
    <w:rsid w:val="00933F0F"/>
    <w:rsid w:val="00934790"/>
    <w:rsid w:val="00934B7B"/>
    <w:rsid w:val="009352A4"/>
    <w:rsid w:val="00935712"/>
    <w:rsid w:val="00935B72"/>
    <w:rsid w:val="00935C6D"/>
    <w:rsid w:val="009360D6"/>
    <w:rsid w:val="00936282"/>
    <w:rsid w:val="0093636D"/>
    <w:rsid w:val="00936510"/>
    <w:rsid w:val="00936573"/>
    <w:rsid w:val="00936CD0"/>
    <w:rsid w:val="00937282"/>
    <w:rsid w:val="009379B2"/>
    <w:rsid w:val="00940059"/>
    <w:rsid w:val="009408FA"/>
    <w:rsid w:val="00940921"/>
    <w:rsid w:val="00940F0A"/>
    <w:rsid w:val="00941336"/>
    <w:rsid w:val="00942239"/>
    <w:rsid w:val="00942535"/>
    <w:rsid w:val="009431C6"/>
    <w:rsid w:val="00943947"/>
    <w:rsid w:val="009445A8"/>
    <w:rsid w:val="00944C9E"/>
    <w:rsid w:val="00945476"/>
    <w:rsid w:val="00945E92"/>
    <w:rsid w:val="00946120"/>
    <w:rsid w:val="009466EE"/>
    <w:rsid w:val="0094698E"/>
    <w:rsid w:val="009476AD"/>
    <w:rsid w:val="00947B73"/>
    <w:rsid w:val="00950033"/>
    <w:rsid w:val="009509B3"/>
    <w:rsid w:val="00950B15"/>
    <w:rsid w:val="00951357"/>
    <w:rsid w:val="0095171B"/>
    <w:rsid w:val="00952362"/>
    <w:rsid w:val="00952A57"/>
    <w:rsid w:val="009539BD"/>
    <w:rsid w:val="00953FB2"/>
    <w:rsid w:val="00954A92"/>
    <w:rsid w:val="00954F0C"/>
    <w:rsid w:val="0095646B"/>
    <w:rsid w:val="00956A3D"/>
    <w:rsid w:val="00956F30"/>
    <w:rsid w:val="00956FB3"/>
    <w:rsid w:val="00956FC3"/>
    <w:rsid w:val="009575E1"/>
    <w:rsid w:val="00957E9D"/>
    <w:rsid w:val="00960B07"/>
    <w:rsid w:val="00960BC7"/>
    <w:rsid w:val="0096153C"/>
    <w:rsid w:val="00962129"/>
    <w:rsid w:val="00962190"/>
    <w:rsid w:val="009622C1"/>
    <w:rsid w:val="009632C9"/>
    <w:rsid w:val="00963F20"/>
    <w:rsid w:val="00964625"/>
    <w:rsid w:val="00964794"/>
    <w:rsid w:val="00964BFA"/>
    <w:rsid w:val="00964BFF"/>
    <w:rsid w:val="009652DB"/>
    <w:rsid w:val="009652E4"/>
    <w:rsid w:val="0096553A"/>
    <w:rsid w:val="0096585C"/>
    <w:rsid w:val="00965F6D"/>
    <w:rsid w:val="009665E9"/>
    <w:rsid w:val="009667EE"/>
    <w:rsid w:val="00966C55"/>
    <w:rsid w:val="0096753A"/>
    <w:rsid w:val="0096758E"/>
    <w:rsid w:val="009675BA"/>
    <w:rsid w:val="0097016C"/>
    <w:rsid w:val="009704DA"/>
    <w:rsid w:val="00970943"/>
    <w:rsid w:val="00970A94"/>
    <w:rsid w:val="00970AC8"/>
    <w:rsid w:val="00970D12"/>
    <w:rsid w:val="00970EFD"/>
    <w:rsid w:val="00971597"/>
    <w:rsid w:val="00971D0D"/>
    <w:rsid w:val="009720B6"/>
    <w:rsid w:val="00972C10"/>
    <w:rsid w:val="0097316B"/>
    <w:rsid w:val="0097337F"/>
    <w:rsid w:val="0097354A"/>
    <w:rsid w:val="00973B19"/>
    <w:rsid w:val="00974FAA"/>
    <w:rsid w:val="00975392"/>
    <w:rsid w:val="00975CA9"/>
    <w:rsid w:val="00976041"/>
    <w:rsid w:val="0097614E"/>
    <w:rsid w:val="0097677B"/>
    <w:rsid w:val="00977184"/>
    <w:rsid w:val="0097718F"/>
    <w:rsid w:val="0097723E"/>
    <w:rsid w:val="00977449"/>
    <w:rsid w:val="0097787E"/>
    <w:rsid w:val="00977BA0"/>
    <w:rsid w:val="0098005E"/>
    <w:rsid w:val="009802C9"/>
    <w:rsid w:val="00980BEB"/>
    <w:rsid w:val="00981074"/>
    <w:rsid w:val="00981878"/>
    <w:rsid w:val="009820EB"/>
    <w:rsid w:val="00982244"/>
    <w:rsid w:val="0098321E"/>
    <w:rsid w:val="00983772"/>
    <w:rsid w:val="009838FC"/>
    <w:rsid w:val="00984F29"/>
    <w:rsid w:val="00985ABF"/>
    <w:rsid w:val="00986125"/>
    <w:rsid w:val="00986321"/>
    <w:rsid w:val="00986646"/>
    <w:rsid w:val="00986C79"/>
    <w:rsid w:val="00990371"/>
    <w:rsid w:val="00990609"/>
    <w:rsid w:val="0099086D"/>
    <w:rsid w:val="00990ABF"/>
    <w:rsid w:val="00990C7B"/>
    <w:rsid w:val="00991685"/>
    <w:rsid w:val="00991A71"/>
    <w:rsid w:val="00992031"/>
    <w:rsid w:val="0099220E"/>
    <w:rsid w:val="009927FA"/>
    <w:rsid w:val="00992F9D"/>
    <w:rsid w:val="009930D2"/>
    <w:rsid w:val="009934B4"/>
    <w:rsid w:val="009934DC"/>
    <w:rsid w:val="00993658"/>
    <w:rsid w:val="00995442"/>
    <w:rsid w:val="009957C5"/>
    <w:rsid w:val="009967F2"/>
    <w:rsid w:val="00996891"/>
    <w:rsid w:val="0099720A"/>
    <w:rsid w:val="009973AA"/>
    <w:rsid w:val="00997740"/>
    <w:rsid w:val="00997790"/>
    <w:rsid w:val="009977FB"/>
    <w:rsid w:val="00997DA5"/>
    <w:rsid w:val="009A049C"/>
    <w:rsid w:val="009A0520"/>
    <w:rsid w:val="009A08C8"/>
    <w:rsid w:val="009A0FEE"/>
    <w:rsid w:val="009A147C"/>
    <w:rsid w:val="009A1741"/>
    <w:rsid w:val="009A2169"/>
    <w:rsid w:val="009A2C63"/>
    <w:rsid w:val="009A32C4"/>
    <w:rsid w:val="009A35C7"/>
    <w:rsid w:val="009A365C"/>
    <w:rsid w:val="009A3C9A"/>
    <w:rsid w:val="009A4089"/>
    <w:rsid w:val="009A4530"/>
    <w:rsid w:val="009A55FE"/>
    <w:rsid w:val="009A6593"/>
    <w:rsid w:val="009A66D0"/>
    <w:rsid w:val="009A6AD6"/>
    <w:rsid w:val="009A6CC0"/>
    <w:rsid w:val="009A773B"/>
    <w:rsid w:val="009A7B27"/>
    <w:rsid w:val="009A7D1C"/>
    <w:rsid w:val="009B0127"/>
    <w:rsid w:val="009B01FC"/>
    <w:rsid w:val="009B03E7"/>
    <w:rsid w:val="009B04B4"/>
    <w:rsid w:val="009B0886"/>
    <w:rsid w:val="009B08DC"/>
    <w:rsid w:val="009B0E92"/>
    <w:rsid w:val="009B17A0"/>
    <w:rsid w:val="009B1BFE"/>
    <w:rsid w:val="009B29ED"/>
    <w:rsid w:val="009B2C6B"/>
    <w:rsid w:val="009B3103"/>
    <w:rsid w:val="009B3B6C"/>
    <w:rsid w:val="009B3D14"/>
    <w:rsid w:val="009B3D68"/>
    <w:rsid w:val="009B3DA8"/>
    <w:rsid w:val="009B42E8"/>
    <w:rsid w:val="009B4403"/>
    <w:rsid w:val="009B452B"/>
    <w:rsid w:val="009B481B"/>
    <w:rsid w:val="009B5870"/>
    <w:rsid w:val="009B5A98"/>
    <w:rsid w:val="009B64FF"/>
    <w:rsid w:val="009B672D"/>
    <w:rsid w:val="009B6D47"/>
    <w:rsid w:val="009B6EB6"/>
    <w:rsid w:val="009B7367"/>
    <w:rsid w:val="009B78AB"/>
    <w:rsid w:val="009B79BE"/>
    <w:rsid w:val="009C0064"/>
    <w:rsid w:val="009C0C5B"/>
    <w:rsid w:val="009C0F03"/>
    <w:rsid w:val="009C2328"/>
    <w:rsid w:val="009C25C9"/>
    <w:rsid w:val="009C37E9"/>
    <w:rsid w:val="009C387A"/>
    <w:rsid w:val="009C3B66"/>
    <w:rsid w:val="009C3E51"/>
    <w:rsid w:val="009C4204"/>
    <w:rsid w:val="009C5861"/>
    <w:rsid w:val="009C58BD"/>
    <w:rsid w:val="009C5A6A"/>
    <w:rsid w:val="009C64B8"/>
    <w:rsid w:val="009C6FE6"/>
    <w:rsid w:val="009C7557"/>
    <w:rsid w:val="009C7BFC"/>
    <w:rsid w:val="009D0067"/>
    <w:rsid w:val="009D0393"/>
    <w:rsid w:val="009D0751"/>
    <w:rsid w:val="009D1D4E"/>
    <w:rsid w:val="009D2672"/>
    <w:rsid w:val="009D28B4"/>
    <w:rsid w:val="009D2D54"/>
    <w:rsid w:val="009D2F87"/>
    <w:rsid w:val="009D3C02"/>
    <w:rsid w:val="009D3F76"/>
    <w:rsid w:val="009D4227"/>
    <w:rsid w:val="009D466B"/>
    <w:rsid w:val="009D589C"/>
    <w:rsid w:val="009D612F"/>
    <w:rsid w:val="009D6472"/>
    <w:rsid w:val="009D6585"/>
    <w:rsid w:val="009D764A"/>
    <w:rsid w:val="009D787D"/>
    <w:rsid w:val="009D7D2D"/>
    <w:rsid w:val="009D7D80"/>
    <w:rsid w:val="009E05CE"/>
    <w:rsid w:val="009E09B4"/>
    <w:rsid w:val="009E0EA2"/>
    <w:rsid w:val="009E1533"/>
    <w:rsid w:val="009E1EF9"/>
    <w:rsid w:val="009E214D"/>
    <w:rsid w:val="009E28B9"/>
    <w:rsid w:val="009E28EC"/>
    <w:rsid w:val="009E2BA3"/>
    <w:rsid w:val="009E2F54"/>
    <w:rsid w:val="009E315A"/>
    <w:rsid w:val="009E3169"/>
    <w:rsid w:val="009E3731"/>
    <w:rsid w:val="009E3817"/>
    <w:rsid w:val="009E3AF9"/>
    <w:rsid w:val="009E3D86"/>
    <w:rsid w:val="009E4841"/>
    <w:rsid w:val="009E4B04"/>
    <w:rsid w:val="009E4C40"/>
    <w:rsid w:val="009E4F82"/>
    <w:rsid w:val="009E5522"/>
    <w:rsid w:val="009E5C3C"/>
    <w:rsid w:val="009E710B"/>
    <w:rsid w:val="009E76F8"/>
    <w:rsid w:val="009E78E7"/>
    <w:rsid w:val="009E7983"/>
    <w:rsid w:val="009E7A18"/>
    <w:rsid w:val="009E7CD0"/>
    <w:rsid w:val="009F015C"/>
    <w:rsid w:val="009F0896"/>
    <w:rsid w:val="009F0A50"/>
    <w:rsid w:val="009F1BD2"/>
    <w:rsid w:val="009F2E31"/>
    <w:rsid w:val="009F30C6"/>
    <w:rsid w:val="009F37A5"/>
    <w:rsid w:val="009F38DC"/>
    <w:rsid w:val="009F3C75"/>
    <w:rsid w:val="009F3D4E"/>
    <w:rsid w:val="009F3F1F"/>
    <w:rsid w:val="009F428E"/>
    <w:rsid w:val="009F4D0D"/>
    <w:rsid w:val="009F4FB3"/>
    <w:rsid w:val="009F52E5"/>
    <w:rsid w:val="009F5818"/>
    <w:rsid w:val="009F5ED0"/>
    <w:rsid w:val="009F69AC"/>
    <w:rsid w:val="009F71D1"/>
    <w:rsid w:val="009F73BC"/>
    <w:rsid w:val="009F77BA"/>
    <w:rsid w:val="009F7FF3"/>
    <w:rsid w:val="00A003D4"/>
    <w:rsid w:val="00A005CF"/>
    <w:rsid w:val="00A00C3B"/>
    <w:rsid w:val="00A00C4F"/>
    <w:rsid w:val="00A00DD6"/>
    <w:rsid w:val="00A013AD"/>
    <w:rsid w:val="00A015C4"/>
    <w:rsid w:val="00A017BA"/>
    <w:rsid w:val="00A01EFD"/>
    <w:rsid w:val="00A02592"/>
    <w:rsid w:val="00A026DF"/>
    <w:rsid w:val="00A02D13"/>
    <w:rsid w:val="00A02D2F"/>
    <w:rsid w:val="00A02D65"/>
    <w:rsid w:val="00A02E5C"/>
    <w:rsid w:val="00A02E8D"/>
    <w:rsid w:val="00A03934"/>
    <w:rsid w:val="00A03A5F"/>
    <w:rsid w:val="00A03C13"/>
    <w:rsid w:val="00A03EB0"/>
    <w:rsid w:val="00A040BB"/>
    <w:rsid w:val="00A04100"/>
    <w:rsid w:val="00A0437F"/>
    <w:rsid w:val="00A044C2"/>
    <w:rsid w:val="00A045D4"/>
    <w:rsid w:val="00A04719"/>
    <w:rsid w:val="00A04AEE"/>
    <w:rsid w:val="00A05A8D"/>
    <w:rsid w:val="00A05BE5"/>
    <w:rsid w:val="00A060E8"/>
    <w:rsid w:val="00A060F8"/>
    <w:rsid w:val="00A064C3"/>
    <w:rsid w:val="00A066DE"/>
    <w:rsid w:val="00A06774"/>
    <w:rsid w:val="00A06BBC"/>
    <w:rsid w:val="00A06C09"/>
    <w:rsid w:val="00A070FD"/>
    <w:rsid w:val="00A075C8"/>
    <w:rsid w:val="00A07666"/>
    <w:rsid w:val="00A07692"/>
    <w:rsid w:val="00A077FE"/>
    <w:rsid w:val="00A07A8C"/>
    <w:rsid w:val="00A102E1"/>
    <w:rsid w:val="00A1057F"/>
    <w:rsid w:val="00A10764"/>
    <w:rsid w:val="00A10885"/>
    <w:rsid w:val="00A10B65"/>
    <w:rsid w:val="00A11199"/>
    <w:rsid w:val="00A1137D"/>
    <w:rsid w:val="00A1248C"/>
    <w:rsid w:val="00A1274F"/>
    <w:rsid w:val="00A127A1"/>
    <w:rsid w:val="00A12A70"/>
    <w:rsid w:val="00A13383"/>
    <w:rsid w:val="00A13D1C"/>
    <w:rsid w:val="00A141E5"/>
    <w:rsid w:val="00A14605"/>
    <w:rsid w:val="00A14734"/>
    <w:rsid w:val="00A15581"/>
    <w:rsid w:val="00A1593F"/>
    <w:rsid w:val="00A15B57"/>
    <w:rsid w:val="00A15B61"/>
    <w:rsid w:val="00A165E7"/>
    <w:rsid w:val="00A17016"/>
    <w:rsid w:val="00A17161"/>
    <w:rsid w:val="00A17678"/>
    <w:rsid w:val="00A20646"/>
    <w:rsid w:val="00A20685"/>
    <w:rsid w:val="00A2077A"/>
    <w:rsid w:val="00A20C95"/>
    <w:rsid w:val="00A21517"/>
    <w:rsid w:val="00A21F92"/>
    <w:rsid w:val="00A2267F"/>
    <w:rsid w:val="00A2291A"/>
    <w:rsid w:val="00A22AD6"/>
    <w:rsid w:val="00A23039"/>
    <w:rsid w:val="00A2303D"/>
    <w:rsid w:val="00A231C2"/>
    <w:rsid w:val="00A2353D"/>
    <w:rsid w:val="00A23649"/>
    <w:rsid w:val="00A23DA4"/>
    <w:rsid w:val="00A2478F"/>
    <w:rsid w:val="00A248DC"/>
    <w:rsid w:val="00A24921"/>
    <w:rsid w:val="00A2536F"/>
    <w:rsid w:val="00A254C9"/>
    <w:rsid w:val="00A25895"/>
    <w:rsid w:val="00A25D85"/>
    <w:rsid w:val="00A25FE2"/>
    <w:rsid w:val="00A263F4"/>
    <w:rsid w:val="00A26AF6"/>
    <w:rsid w:val="00A276A6"/>
    <w:rsid w:val="00A27D00"/>
    <w:rsid w:val="00A27D3A"/>
    <w:rsid w:val="00A27E5C"/>
    <w:rsid w:val="00A27EAE"/>
    <w:rsid w:val="00A30236"/>
    <w:rsid w:val="00A303E4"/>
    <w:rsid w:val="00A3050A"/>
    <w:rsid w:val="00A30571"/>
    <w:rsid w:val="00A3068E"/>
    <w:rsid w:val="00A3081F"/>
    <w:rsid w:val="00A30AC5"/>
    <w:rsid w:val="00A30AEB"/>
    <w:rsid w:val="00A30AF9"/>
    <w:rsid w:val="00A30DB3"/>
    <w:rsid w:val="00A30E9E"/>
    <w:rsid w:val="00A314D6"/>
    <w:rsid w:val="00A317C9"/>
    <w:rsid w:val="00A32C96"/>
    <w:rsid w:val="00A32E40"/>
    <w:rsid w:val="00A32E85"/>
    <w:rsid w:val="00A344A6"/>
    <w:rsid w:val="00A3476C"/>
    <w:rsid w:val="00A3533F"/>
    <w:rsid w:val="00A3547F"/>
    <w:rsid w:val="00A36608"/>
    <w:rsid w:val="00A369A6"/>
    <w:rsid w:val="00A36C42"/>
    <w:rsid w:val="00A36DEF"/>
    <w:rsid w:val="00A377A7"/>
    <w:rsid w:val="00A379C6"/>
    <w:rsid w:val="00A37C43"/>
    <w:rsid w:val="00A40136"/>
    <w:rsid w:val="00A401FF"/>
    <w:rsid w:val="00A403E9"/>
    <w:rsid w:val="00A406DC"/>
    <w:rsid w:val="00A41091"/>
    <w:rsid w:val="00A41119"/>
    <w:rsid w:val="00A41BD3"/>
    <w:rsid w:val="00A42894"/>
    <w:rsid w:val="00A4311B"/>
    <w:rsid w:val="00A4347E"/>
    <w:rsid w:val="00A43700"/>
    <w:rsid w:val="00A4381E"/>
    <w:rsid w:val="00A43941"/>
    <w:rsid w:val="00A43CBE"/>
    <w:rsid w:val="00A454CA"/>
    <w:rsid w:val="00A4630E"/>
    <w:rsid w:val="00A4642D"/>
    <w:rsid w:val="00A470D4"/>
    <w:rsid w:val="00A477E0"/>
    <w:rsid w:val="00A47DE3"/>
    <w:rsid w:val="00A5081A"/>
    <w:rsid w:val="00A50C84"/>
    <w:rsid w:val="00A51BA5"/>
    <w:rsid w:val="00A5227A"/>
    <w:rsid w:val="00A53325"/>
    <w:rsid w:val="00A53A4C"/>
    <w:rsid w:val="00A53B41"/>
    <w:rsid w:val="00A549F9"/>
    <w:rsid w:val="00A54A1B"/>
    <w:rsid w:val="00A55745"/>
    <w:rsid w:val="00A55A00"/>
    <w:rsid w:val="00A55A52"/>
    <w:rsid w:val="00A55ADB"/>
    <w:rsid w:val="00A55D30"/>
    <w:rsid w:val="00A55DE0"/>
    <w:rsid w:val="00A55EBD"/>
    <w:rsid w:val="00A56282"/>
    <w:rsid w:val="00A562BE"/>
    <w:rsid w:val="00A56A72"/>
    <w:rsid w:val="00A56D89"/>
    <w:rsid w:val="00A57770"/>
    <w:rsid w:val="00A577B3"/>
    <w:rsid w:val="00A57D42"/>
    <w:rsid w:val="00A57E61"/>
    <w:rsid w:val="00A60BBB"/>
    <w:rsid w:val="00A60C83"/>
    <w:rsid w:val="00A60CA5"/>
    <w:rsid w:val="00A61D03"/>
    <w:rsid w:val="00A6300B"/>
    <w:rsid w:val="00A6313F"/>
    <w:rsid w:val="00A635D0"/>
    <w:rsid w:val="00A63A99"/>
    <w:rsid w:val="00A63E80"/>
    <w:rsid w:val="00A649D6"/>
    <w:rsid w:val="00A65087"/>
    <w:rsid w:val="00A657B1"/>
    <w:rsid w:val="00A65920"/>
    <w:rsid w:val="00A65F1E"/>
    <w:rsid w:val="00A66107"/>
    <w:rsid w:val="00A6633D"/>
    <w:rsid w:val="00A675C8"/>
    <w:rsid w:val="00A70090"/>
    <w:rsid w:val="00A70146"/>
    <w:rsid w:val="00A708AD"/>
    <w:rsid w:val="00A70C1B"/>
    <w:rsid w:val="00A7167D"/>
    <w:rsid w:val="00A71916"/>
    <w:rsid w:val="00A71A49"/>
    <w:rsid w:val="00A71F08"/>
    <w:rsid w:val="00A71FAA"/>
    <w:rsid w:val="00A72035"/>
    <w:rsid w:val="00A72384"/>
    <w:rsid w:val="00A73532"/>
    <w:rsid w:val="00A737B9"/>
    <w:rsid w:val="00A739AD"/>
    <w:rsid w:val="00A73B4B"/>
    <w:rsid w:val="00A73CCA"/>
    <w:rsid w:val="00A743C3"/>
    <w:rsid w:val="00A7501D"/>
    <w:rsid w:val="00A75077"/>
    <w:rsid w:val="00A75188"/>
    <w:rsid w:val="00A752AE"/>
    <w:rsid w:val="00A7539E"/>
    <w:rsid w:val="00A75600"/>
    <w:rsid w:val="00A75FAD"/>
    <w:rsid w:val="00A76CE2"/>
    <w:rsid w:val="00A76FAF"/>
    <w:rsid w:val="00A7777C"/>
    <w:rsid w:val="00A80429"/>
    <w:rsid w:val="00A805EA"/>
    <w:rsid w:val="00A808F2"/>
    <w:rsid w:val="00A80964"/>
    <w:rsid w:val="00A80B24"/>
    <w:rsid w:val="00A80D68"/>
    <w:rsid w:val="00A81A97"/>
    <w:rsid w:val="00A81FED"/>
    <w:rsid w:val="00A8200E"/>
    <w:rsid w:val="00A82849"/>
    <w:rsid w:val="00A82C9D"/>
    <w:rsid w:val="00A82E3C"/>
    <w:rsid w:val="00A83111"/>
    <w:rsid w:val="00A83225"/>
    <w:rsid w:val="00A8354A"/>
    <w:rsid w:val="00A83560"/>
    <w:rsid w:val="00A83BDD"/>
    <w:rsid w:val="00A83C1D"/>
    <w:rsid w:val="00A83D41"/>
    <w:rsid w:val="00A83E63"/>
    <w:rsid w:val="00A84047"/>
    <w:rsid w:val="00A844F4"/>
    <w:rsid w:val="00A8508D"/>
    <w:rsid w:val="00A855AA"/>
    <w:rsid w:val="00A85982"/>
    <w:rsid w:val="00A85CFC"/>
    <w:rsid w:val="00A8665B"/>
    <w:rsid w:val="00A86C99"/>
    <w:rsid w:val="00A87087"/>
    <w:rsid w:val="00A870EB"/>
    <w:rsid w:val="00A8795B"/>
    <w:rsid w:val="00A87F94"/>
    <w:rsid w:val="00A900AE"/>
    <w:rsid w:val="00A90123"/>
    <w:rsid w:val="00A91023"/>
    <w:rsid w:val="00A91200"/>
    <w:rsid w:val="00A91B1B"/>
    <w:rsid w:val="00A92362"/>
    <w:rsid w:val="00A92366"/>
    <w:rsid w:val="00A928FA"/>
    <w:rsid w:val="00A92DD3"/>
    <w:rsid w:val="00A934C1"/>
    <w:rsid w:val="00A955E9"/>
    <w:rsid w:val="00A95A3E"/>
    <w:rsid w:val="00A95C91"/>
    <w:rsid w:val="00A95D95"/>
    <w:rsid w:val="00A961EB"/>
    <w:rsid w:val="00A96648"/>
    <w:rsid w:val="00A96865"/>
    <w:rsid w:val="00A96CA3"/>
    <w:rsid w:val="00A972FF"/>
    <w:rsid w:val="00A979B6"/>
    <w:rsid w:val="00A97B50"/>
    <w:rsid w:val="00AA0130"/>
    <w:rsid w:val="00AA0683"/>
    <w:rsid w:val="00AA0776"/>
    <w:rsid w:val="00AA088F"/>
    <w:rsid w:val="00AA0BF4"/>
    <w:rsid w:val="00AA0F9C"/>
    <w:rsid w:val="00AA10AB"/>
    <w:rsid w:val="00AA15C5"/>
    <w:rsid w:val="00AA1615"/>
    <w:rsid w:val="00AA16F8"/>
    <w:rsid w:val="00AA2166"/>
    <w:rsid w:val="00AA22FC"/>
    <w:rsid w:val="00AA24DC"/>
    <w:rsid w:val="00AA26F7"/>
    <w:rsid w:val="00AA30E0"/>
    <w:rsid w:val="00AA326A"/>
    <w:rsid w:val="00AA35E5"/>
    <w:rsid w:val="00AA4696"/>
    <w:rsid w:val="00AA4A34"/>
    <w:rsid w:val="00AA5CDD"/>
    <w:rsid w:val="00AA606F"/>
    <w:rsid w:val="00AA7269"/>
    <w:rsid w:val="00AA7445"/>
    <w:rsid w:val="00AA7709"/>
    <w:rsid w:val="00AA77E7"/>
    <w:rsid w:val="00AB0683"/>
    <w:rsid w:val="00AB0B26"/>
    <w:rsid w:val="00AB1512"/>
    <w:rsid w:val="00AB1612"/>
    <w:rsid w:val="00AB179B"/>
    <w:rsid w:val="00AB197C"/>
    <w:rsid w:val="00AB1994"/>
    <w:rsid w:val="00AB199E"/>
    <w:rsid w:val="00AB1C35"/>
    <w:rsid w:val="00AB1F21"/>
    <w:rsid w:val="00AB1FC0"/>
    <w:rsid w:val="00AB2482"/>
    <w:rsid w:val="00AB2DA9"/>
    <w:rsid w:val="00AB39F4"/>
    <w:rsid w:val="00AB4663"/>
    <w:rsid w:val="00AB4687"/>
    <w:rsid w:val="00AB4AB0"/>
    <w:rsid w:val="00AB4B6C"/>
    <w:rsid w:val="00AB5052"/>
    <w:rsid w:val="00AB5560"/>
    <w:rsid w:val="00AB5A2C"/>
    <w:rsid w:val="00AB5EB2"/>
    <w:rsid w:val="00AB6E83"/>
    <w:rsid w:val="00AB7F82"/>
    <w:rsid w:val="00AC0150"/>
    <w:rsid w:val="00AC027E"/>
    <w:rsid w:val="00AC06A1"/>
    <w:rsid w:val="00AC0D06"/>
    <w:rsid w:val="00AC134A"/>
    <w:rsid w:val="00AC1393"/>
    <w:rsid w:val="00AC1D93"/>
    <w:rsid w:val="00AC1E46"/>
    <w:rsid w:val="00AC2F1A"/>
    <w:rsid w:val="00AC39E9"/>
    <w:rsid w:val="00AC3D1D"/>
    <w:rsid w:val="00AC4102"/>
    <w:rsid w:val="00AC54A4"/>
    <w:rsid w:val="00AC54CB"/>
    <w:rsid w:val="00AC58FC"/>
    <w:rsid w:val="00AC5C64"/>
    <w:rsid w:val="00AC5F48"/>
    <w:rsid w:val="00AC5FBB"/>
    <w:rsid w:val="00AC646B"/>
    <w:rsid w:val="00AC6DF2"/>
    <w:rsid w:val="00AC7671"/>
    <w:rsid w:val="00AC7D76"/>
    <w:rsid w:val="00AC7F50"/>
    <w:rsid w:val="00AD0A58"/>
    <w:rsid w:val="00AD0A75"/>
    <w:rsid w:val="00AD0C28"/>
    <w:rsid w:val="00AD195C"/>
    <w:rsid w:val="00AD1B62"/>
    <w:rsid w:val="00AD24C2"/>
    <w:rsid w:val="00AD27E6"/>
    <w:rsid w:val="00AD2E56"/>
    <w:rsid w:val="00AD35B0"/>
    <w:rsid w:val="00AD3C7D"/>
    <w:rsid w:val="00AD3EF4"/>
    <w:rsid w:val="00AD4627"/>
    <w:rsid w:val="00AD48BE"/>
    <w:rsid w:val="00AD4A96"/>
    <w:rsid w:val="00AD53E6"/>
    <w:rsid w:val="00AD5971"/>
    <w:rsid w:val="00AD5A66"/>
    <w:rsid w:val="00AD5E69"/>
    <w:rsid w:val="00AD631D"/>
    <w:rsid w:val="00AD6370"/>
    <w:rsid w:val="00AD69DE"/>
    <w:rsid w:val="00AD6CA8"/>
    <w:rsid w:val="00AD6CAF"/>
    <w:rsid w:val="00AD75AB"/>
    <w:rsid w:val="00AD7658"/>
    <w:rsid w:val="00AD7AA1"/>
    <w:rsid w:val="00AD7FB8"/>
    <w:rsid w:val="00AE0884"/>
    <w:rsid w:val="00AE0986"/>
    <w:rsid w:val="00AE0BD2"/>
    <w:rsid w:val="00AE0C27"/>
    <w:rsid w:val="00AE1308"/>
    <w:rsid w:val="00AE16EC"/>
    <w:rsid w:val="00AE1AB5"/>
    <w:rsid w:val="00AE2D58"/>
    <w:rsid w:val="00AE34A0"/>
    <w:rsid w:val="00AE3685"/>
    <w:rsid w:val="00AE3D55"/>
    <w:rsid w:val="00AE3FDB"/>
    <w:rsid w:val="00AE3FE0"/>
    <w:rsid w:val="00AE4650"/>
    <w:rsid w:val="00AE4D02"/>
    <w:rsid w:val="00AE52AE"/>
    <w:rsid w:val="00AE5340"/>
    <w:rsid w:val="00AE54E4"/>
    <w:rsid w:val="00AE5863"/>
    <w:rsid w:val="00AE5960"/>
    <w:rsid w:val="00AE7B86"/>
    <w:rsid w:val="00AE7F2B"/>
    <w:rsid w:val="00AF01AB"/>
    <w:rsid w:val="00AF02AF"/>
    <w:rsid w:val="00AF0A09"/>
    <w:rsid w:val="00AF0AD9"/>
    <w:rsid w:val="00AF0BA4"/>
    <w:rsid w:val="00AF1167"/>
    <w:rsid w:val="00AF1F1C"/>
    <w:rsid w:val="00AF2305"/>
    <w:rsid w:val="00AF2736"/>
    <w:rsid w:val="00AF27C6"/>
    <w:rsid w:val="00AF2A93"/>
    <w:rsid w:val="00AF2AD1"/>
    <w:rsid w:val="00AF307A"/>
    <w:rsid w:val="00AF326E"/>
    <w:rsid w:val="00AF3863"/>
    <w:rsid w:val="00AF46AA"/>
    <w:rsid w:val="00AF4AAB"/>
    <w:rsid w:val="00AF4E2E"/>
    <w:rsid w:val="00AF5062"/>
    <w:rsid w:val="00AF50F8"/>
    <w:rsid w:val="00AF53B2"/>
    <w:rsid w:val="00AF555D"/>
    <w:rsid w:val="00AF5D1C"/>
    <w:rsid w:val="00AF5D98"/>
    <w:rsid w:val="00AF6144"/>
    <w:rsid w:val="00AF6714"/>
    <w:rsid w:val="00AF6E14"/>
    <w:rsid w:val="00AF7307"/>
    <w:rsid w:val="00AF7319"/>
    <w:rsid w:val="00AF7BD4"/>
    <w:rsid w:val="00AF7D6F"/>
    <w:rsid w:val="00AF7F14"/>
    <w:rsid w:val="00B010CC"/>
    <w:rsid w:val="00B01145"/>
    <w:rsid w:val="00B027E4"/>
    <w:rsid w:val="00B028D1"/>
    <w:rsid w:val="00B02FC2"/>
    <w:rsid w:val="00B0388C"/>
    <w:rsid w:val="00B03A57"/>
    <w:rsid w:val="00B03BD9"/>
    <w:rsid w:val="00B03E7C"/>
    <w:rsid w:val="00B0442F"/>
    <w:rsid w:val="00B044C6"/>
    <w:rsid w:val="00B04575"/>
    <w:rsid w:val="00B04B4A"/>
    <w:rsid w:val="00B04D39"/>
    <w:rsid w:val="00B0531F"/>
    <w:rsid w:val="00B054D9"/>
    <w:rsid w:val="00B05898"/>
    <w:rsid w:val="00B05B01"/>
    <w:rsid w:val="00B05D01"/>
    <w:rsid w:val="00B07237"/>
    <w:rsid w:val="00B0796F"/>
    <w:rsid w:val="00B101C5"/>
    <w:rsid w:val="00B10256"/>
    <w:rsid w:val="00B105FD"/>
    <w:rsid w:val="00B11B0F"/>
    <w:rsid w:val="00B11FF2"/>
    <w:rsid w:val="00B12851"/>
    <w:rsid w:val="00B12BBD"/>
    <w:rsid w:val="00B12C19"/>
    <w:rsid w:val="00B139DB"/>
    <w:rsid w:val="00B13DB9"/>
    <w:rsid w:val="00B1415A"/>
    <w:rsid w:val="00B143B4"/>
    <w:rsid w:val="00B146D1"/>
    <w:rsid w:val="00B151EE"/>
    <w:rsid w:val="00B15273"/>
    <w:rsid w:val="00B154FE"/>
    <w:rsid w:val="00B159FE"/>
    <w:rsid w:val="00B16AD6"/>
    <w:rsid w:val="00B175FD"/>
    <w:rsid w:val="00B17D48"/>
    <w:rsid w:val="00B20388"/>
    <w:rsid w:val="00B20A46"/>
    <w:rsid w:val="00B20B14"/>
    <w:rsid w:val="00B20C4D"/>
    <w:rsid w:val="00B210BE"/>
    <w:rsid w:val="00B211D2"/>
    <w:rsid w:val="00B21F70"/>
    <w:rsid w:val="00B2222C"/>
    <w:rsid w:val="00B22428"/>
    <w:rsid w:val="00B22913"/>
    <w:rsid w:val="00B22958"/>
    <w:rsid w:val="00B22BDC"/>
    <w:rsid w:val="00B22E38"/>
    <w:rsid w:val="00B2356E"/>
    <w:rsid w:val="00B23FED"/>
    <w:rsid w:val="00B24304"/>
    <w:rsid w:val="00B24576"/>
    <w:rsid w:val="00B24A39"/>
    <w:rsid w:val="00B24A66"/>
    <w:rsid w:val="00B24F9D"/>
    <w:rsid w:val="00B25454"/>
    <w:rsid w:val="00B258A9"/>
    <w:rsid w:val="00B2592A"/>
    <w:rsid w:val="00B25C28"/>
    <w:rsid w:val="00B26221"/>
    <w:rsid w:val="00B2627D"/>
    <w:rsid w:val="00B266AB"/>
    <w:rsid w:val="00B26800"/>
    <w:rsid w:val="00B26968"/>
    <w:rsid w:val="00B27250"/>
    <w:rsid w:val="00B2730E"/>
    <w:rsid w:val="00B2746D"/>
    <w:rsid w:val="00B27A1D"/>
    <w:rsid w:val="00B27A34"/>
    <w:rsid w:val="00B300DD"/>
    <w:rsid w:val="00B3144F"/>
    <w:rsid w:val="00B3173F"/>
    <w:rsid w:val="00B31CA6"/>
    <w:rsid w:val="00B3369A"/>
    <w:rsid w:val="00B33DFA"/>
    <w:rsid w:val="00B3401D"/>
    <w:rsid w:val="00B34B11"/>
    <w:rsid w:val="00B34F63"/>
    <w:rsid w:val="00B35670"/>
    <w:rsid w:val="00B3592E"/>
    <w:rsid w:val="00B3607A"/>
    <w:rsid w:val="00B36371"/>
    <w:rsid w:val="00B36B8B"/>
    <w:rsid w:val="00B36CD1"/>
    <w:rsid w:val="00B377D8"/>
    <w:rsid w:val="00B37E4D"/>
    <w:rsid w:val="00B4012B"/>
    <w:rsid w:val="00B40376"/>
    <w:rsid w:val="00B4066C"/>
    <w:rsid w:val="00B40C4C"/>
    <w:rsid w:val="00B40EDB"/>
    <w:rsid w:val="00B41835"/>
    <w:rsid w:val="00B42AE4"/>
    <w:rsid w:val="00B42E26"/>
    <w:rsid w:val="00B43126"/>
    <w:rsid w:val="00B4319B"/>
    <w:rsid w:val="00B433AD"/>
    <w:rsid w:val="00B43B86"/>
    <w:rsid w:val="00B43DD7"/>
    <w:rsid w:val="00B43E06"/>
    <w:rsid w:val="00B444CA"/>
    <w:rsid w:val="00B446A2"/>
    <w:rsid w:val="00B447CB"/>
    <w:rsid w:val="00B44E2B"/>
    <w:rsid w:val="00B451B4"/>
    <w:rsid w:val="00B453DB"/>
    <w:rsid w:val="00B45874"/>
    <w:rsid w:val="00B46002"/>
    <w:rsid w:val="00B4606B"/>
    <w:rsid w:val="00B46205"/>
    <w:rsid w:val="00B46293"/>
    <w:rsid w:val="00B46317"/>
    <w:rsid w:val="00B46475"/>
    <w:rsid w:val="00B464C9"/>
    <w:rsid w:val="00B468AE"/>
    <w:rsid w:val="00B46D9B"/>
    <w:rsid w:val="00B46DEA"/>
    <w:rsid w:val="00B4722A"/>
    <w:rsid w:val="00B47230"/>
    <w:rsid w:val="00B4726D"/>
    <w:rsid w:val="00B478A5"/>
    <w:rsid w:val="00B47C00"/>
    <w:rsid w:val="00B50120"/>
    <w:rsid w:val="00B5136C"/>
    <w:rsid w:val="00B5195B"/>
    <w:rsid w:val="00B51A7F"/>
    <w:rsid w:val="00B52077"/>
    <w:rsid w:val="00B526CB"/>
    <w:rsid w:val="00B5275C"/>
    <w:rsid w:val="00B52E0B"/>
    <w:rsid w:val="00B530C0"/>
    <w:rsid w:val="00B530F5"/>
    <w:rsid w:val="00B53767"/>
    <w:rsid w:val="00B5392D"/>
    <w:rsid w:val="00B53A21"/>
    <w:rsid w:val="00B53AC9"/>
    <w:rsid w:val="00B53B49"/>
    <w:rsid w:val="00B53EA0"/>
    <w:rsid w:val="00B53F8F"/>
    <w:rsid w:val="00B5472A"/>
    <w:rsid w:val="00B548FA"/>
    <w:rsid w:val="00B54A0A"/>
    <w:rsid w:val="00B5595C"/>
    <w:rsid w:val="00B55DA6"/>
    <w:rsid w:val="00B55E5A"/>
    <w:rsid w:val="00B55F21"/>
    <w:rsid w:val="00B55FF6"/>
    <w:rsid w:val="00B56021"/>
    <w:rsid w:val="00B56101"/>
    <w:rsid w:val="00B56434"/>
    <w:rsid w:val="00B56B21"/>
    <w:rsid w:val="00B56FF3"/>
    <w:rsid w:val="00B579A7"/>
    <w:rsid w:val="00B57AFD"/>
    <w:rsid w:val="00B57EA9"/>
    <w:rsid w:val="00B6011D"/>
    <w:rsid w:val="00B60A7B"/>
    <w:rsid w:val="00B60C16"/>
    <w:rsid w:val="00B60DE5"/>
    <w:rsid w:val="00B60E3A"/>
    <w:rsid w:val="00B60EEE"/>
    <w:rsid w:val="00B61165"/>
    <w:rsid w:val="00B61D39"/>
    <w:rsid w:val="00B61E2B"/>
    <w:rsid w:val="00B61FBE"/>
    <w:rsid w:val="00B622D5"/>
    <w:rsid w:val="00B62C68"/>
    <w:rsid w:val="00B63333"/>
    <w:rsid w:val="00B63345"/>
    <w:rsid w:val="00B63635"/>
    <w:rsid w:val="00B641F8"/>
    <w:rsid w:val="00B64399"/>
    <w:rsid w:val="00B64D3B"/>
    <w:rsid w:val="00B64D8D"/>
    <w:rsid w:val="00B6526A"/>
    <w:rsid w:val="00B65679"/>
    <w:rsid w:val="00B65B67"/>
    <w:rsid w:val="00B66F4D"/>
    <w:rsid w:val="00B6710F"/>
    <w:rsid w:val="00B6716C"/>
    <w:rsid w:val="00B67237"/>
    <w:rsid w:val="00B67876"/>
    <w:rsid w:val="00B67CEA"/>
    <w:rsid w:val="00B67D50"/>
    <w:rsid w:val="00B700C0"/>
    <w:rsid w:val="00B70256"/>
    <w:rsid w:val="00B7196E"/>
    <w:rsid w:val="00B71D56"/>
    <w:rsid w:val="00B7228A"/>
    <w:rsid w:val="00B724B4"/>
    <w:rsid w:val="00B729F3"/>
    <w:rsid w:val="00B72DCF"/>
    <w:rsid w:val="00B730D3"/>
    <w:rsid w:val="00B73A8A"/>
    <w:rsid w:val="00B745B5"/>
    <w:rsid w:val="00B74D29"/>
    <w:rsid w:val="00B74F7E"/>
    <w:rsid w:val="00B758E1"/>
    <w:rsid w:val="00B75C7F"/>
    <w:rsid w:val="00B75CDF"/>
    <w:rsid w:val="00B76587"/>
    <w:rsid w:val="00B7662E"/>
    <w:rsid w:val="00B76FB7"/>
    <w:rsid w:val="00B770AE"/>
    <w:rsid w:val="00B778B9"/>
    <w:rsid w:val="00B77CC5"/>
    <w:rsid w:val="00B801C7"/>
    <w:rsid w:val="00B803B5"/>
    <w:rsid w:val="00B80B69"/>
    <w:rsid w:val="00B810AE"/>
    <w:rsid w:val="00B81404"/>
    <w:rsid w:val="00B81803"/>
    <w:rsid w:val="00B82086"/>
    <w:rsid w:val="00B82363"/>
    <w:rsid w:val="00B82995"/>
    <w:rsid w:val="00B82F13"/>
    <w:rsid w:val="00B8386E"/>
    <w:rsid w:val="00B840E8"/>
    <w:rsid w:val="00B84840"/>
    <w:rsid w:val="00B84ABB"/>
    <w:rsid w:val="00B854C6"/>
    <w:rsid w:val="00B8560C"/>
    <w:rsid w:val="00B86343"/>
    <w:rsid w:val="00B87AAB"/>
    <w:rsid w:val="00B9005D"/>
    <w:rsid w:val="00B90075"/>
    <w:rsid w:val="00B907B1"/>
    <w:rsid w:val="00B90FC0"/>
    <w:rsid w:val="00B91263"/>
    <w:rsid w:val="00B913DF"/>
    <w:rsid w:val="00B91967"/>
    <w:rsid w:val="00B927E5"/>
    <w:rsid w:val="00B92C61"/>
    <w:rsid w:val="00B92C87"/>
    <w:rsid w:val="00B92CCB"/>
    <w:rsid w:val="00B930DF"/>
    <w:rsid w:val="00B9378F"/>
    <w:rsid w:val="00B94598"/>
    <w:rsid w:val="00B94873"/>
    <w:rsid w:val="00B948CA"/>
    <w:rsid w:val="00B95633"/>
    <w:rsid w:val="00B95D6C"/>
    <w:rsid w:val="00B95E89"/>
    <w:rsid w:val="00B960E0"/>
    <w:rsid w:val="00B961E3"/>
    <w:rsid w:val="00B96727"/>
    <w:rsid w:val="00B975F0"/>
    <w:rsid w:val="00B975F3"/>
    <w:rsid w:val="00BA0D46"/>
    <w:rsid w:val="00BA1E11"/>
    <w:rsid w:val="00BA1F21"/>
    <w:rsid w:val="00BA23EC"/>
    <w:rsid w:val="00BA24E0"/>
    <w:rsid w:val="00BA27B8"/>
    <w:rsid w:val="00BA2A9C"/>
    <w:rsid w:val="00BA2D7D"/>
    <w:rsid w:val="00BA2E5A"/>
    <w:rsid w:val="00BA2EB9"/>
    <w:rsid w:val="00BA3D54"/>
    <w:rsid w:val="00BA4428"/>
    <w:rsid w:val="00BA4D31"/>
    <w:rsid w:val="00BA547B"/>
    <w:rsid w:val="00BA57C1"/>
    <w:rsid w:val="00BA5FC7"/>
    <w:rsid w:val="00BA6465"/>
    <w:rsid w:val="00BA6A5B"/>
    <w:rsid w:val="00BA6ACA"/>
    <w:rsid w:val="00BA7191"/>
    <w:rsid w:val="00BB01CB"/>
    <w:rsid w:val="00BB049A"/>
    <w:rsid w:val="00BB0C8D"/>
    <w:rsid w:val="00BB13DF"/>
    <w:rsid w:val="00BB16D8"/>
    <w:rsid w:val="00BB1D8F"/>
    <w:rsid w:val="00BB2770"/>
    <w:rsid w:val="00BB3271"/>
    <w:rsid w:val="00BB3B27"/>
    <w:rsid w:val="00BB3B42"/>
    <w:rsid w:val="00BB4EFF"/>
    <w:rsid w:val="00BB5E93"/>
    <w:rsid w:val="00BB64E1"/>
    <w:rsid w:val="00BB65C8"/>
    <w:rsid w:val="00BB684D"/>
    <w:rsid w:val="00BB69A5"/>
    <w:rsid w:val="00BB6CB6"/>
    <w:rsid w:val="00BB7510"/>
    <w:rsid w:val="00BB7811"/>
    <w:rsid w:val="00BB7928"/>
    <w:rsid w:val="00BB7F10"/>
    <w:rsid w:val="00BC0918"/>
    <w:rsid w:val="00BC0A74"/>
    <w:rsid w:val="00BC0EFB"/>
    <w:rsid w:val="00BC1324"/>
    <w:rsid w:val="00BC199B"/>
    <w:rsid w:val="00BC1B08"/>
    <w:rsid w:val="00BC21EE"/>
    <w:rsid w:val="00BC2341"/>
    <w:rsid w:val="00BC2A05"/>
    <w:rsid w:val="00BC30BB"/>
    <w:rsid w:val="00BC3B69"/>
    <w:rsid w:val="00BC3EBC"/>
    <w:rsid w:val="00BC4979"/>
    <w:rsid w:val="00BC4BCF"/>
    <w:rsid w:val="00BC5A0B"/>
    <w:rsid w:val="00BC61C7"/>
    <w:rsid w:val="00BC65D8"/>
    <w:rsid w:val="00BC6D2E"/>
    <w:rsid w:val="00BC769F"/>
    <w:rsid w:val="00BC7BE6"/>
    <w:rsid w:val="00BC7CEC"/>
    <w:rsid w:val="00BD005A"/>
    <w:rsid w:val="00BD01C3"/>
    <w:rsid w:val="00BD0495"/>
    <w:rsid w:val="00BD0713"/>
    <w:rsid w:val="00BD07CD"/>
    <w:rsid w:val="00BD0D0A"/>
    <w:rsid w:val="00BD0F8C"/>
    <w:rsid w:val="00BD10A7"/>
    <w:rsid w:val="00BD1415"/>
    <w:rsid w:val="00BD194A"/>
    <w:rsid w:val="00BD1CC8"/>
    <w:rsid w:val="00BD2DC6"/>
    <w:rsid w:val="00BD30F3"/>
    <w:rsid w:val="00BD316B"/>
    <w:rsid w:val="00BD3B44"/>
    <w:rsid w:val="00BD3BD5"/>
    <w:rsid w:val="00BD3F23"/>
    <w:rsid w:val="00BD4653"/>
    <w:rsid w:val="00BD4973"/>
    <w:rsid w:val="00BD49C1"/>
    <w:rsid w:val="00BD5574"/>
    <w:rsid w:val="00BD560B"/>
    <w:rsid w:val="00BD5AEC"/>
    <w:rsid w:val="00BD6475"/>
    <w:rsid w:val="00BD65D4"/>
    <w:rsid w:val="00BD687D"/>
    <w:rsid w:val="00BD69B2"/>
    <w:rsid w:val="00BD79F4"/>
    <w:rsid w:val="00BD79F6"/>
    <w:rsid w:val="00BD7A24"/>
    <w:rsid w:val="00BE021E"/>
    <w:rsid w:val="00BE0CD9"/>
    <w:rsid w:val="00BE0D88"/>
    <w:rsid w:val="00BE1A30"/>
    <w:rsid w:val="00BE1AFE"/>
    <w:rsid w:val="00BE21D9"/>
    <w:rsid w:val="00BE2499"/>
    <w:rsid w:val="00BE2B31"/>
    <w:rsid w:val="00BE2CB8"/>
    <w:rsid w:val="00BE304A"/>
    <w:rsid w:val="00BE344B"/>
    <w:rsid w:val="00BE349B"/>
    <w:rsid w:val="00BE3C68"/>
    <w:rsid w:val="00BE3E0B"/>
    <w:rsid w:val="00BE41B5"/>
    <w:rsid w:val="00BE4361"/>
    <w:rsid w:val="00BE4C35"/>
    <w:rsid w:val="00BE4CE1"/>
    <w:rsid w:val="00BE5256"/>
    <w:rsid w:val="00BE53F7"/>
    <w:rsid w:val="00BE5C95"/>
    <w:rsid w:val="00BE5EDA"/>
    <w:rsid w:val="00BE6077"/>
    <w:rsid w:val="00BE6495"/>
    <w:rsid w:val="00BE6721"/>
    <w:rsid w:val="00BE6F8E"/>
    <w:rsid w:val="00BE7067"/>
    <w:rsid w:val="00BE71E2"/>
    <w:rsid w:val="00BE72AB"/>
    <w:rsid w:val="00BF0271"/>
    <w:rsid w:val="00BF06DD"/>
    <w:rsid w:val="00BF09E0"/>
    <w:rsid w:val="00BF0BCB"/>
    <w:rsid w:val="00BF12C4"/>
    <w:rsid w:val="00BF16BB"/>
    <w:rsid w:val="00BF173E"/>
    <w:rsid w:val="00BF1C6F"/>
    <w:rsid w:val="00BF21B8"/>
    <w:rsid w:val="00BF2200"/>
    <w:rsid w:val="00BF2C0E"/>
    <w:rsid w:val="00BF2D6D"/>
    <w:rsid w:val="00BF3812"/>
    <w:rsid w:val="00BF3866"/>
    <w:rsid w:val="00BF4840"/>
    <w:rsid w:val="00BF48BC"/>
    <w:rsid w:val="00BF4B39"/>
    <w:rsid w:val="00BF4B7B"/>
    <w:rsid w:val="00BF5228"/>
    <w:rsid w:val="00BF5733"/>
    <w:rsid w:val="00BF577A"/>
    <w:rsid w:val="00BF5828"/>
    <w:rsid w:val="00BF59D3"/>
    <w:rsid w:val="00BF5DB0"/>
    <w:rsid w:val="00BF5E81"/>
    <w:rsid w:val="00BF5FA2"/>
    <w:rsid w:val="00BF65CA"/>
    <w:rsid w:val="00BF69E7"/>
    <w:rsid w:val="00BF7598"/>
    <w:rsid w:val="00BF7AF7"/>
    <w:rsid w:val="00BF7FA4"/>
    <w:rsid w:val="00C00445"/>
    <w:rsid w:val="00C009BF"/>
    <w:rsid w:val="00C00B49"/>
    <w:rsid w:val="00C01123"/>
    <w:rsid w:val="00C01EDA"/>
    <w:rsid w:val="00C02759"/>
    <w:rsid w:val="00C02C8D"/>
    <w:rsid w:val="00C03090"/>
    <w:rsid w:val="00C0347A"/>
    <w:rsid w:val="00C0366B"/>
    <w:rsid w:val="00C037B4"/>
    <w:rsid w:val="00C03A44"/>
    <w:rsid w:val="00C03CD1"/>
    <w:rsid w:val="00C05367"/>
    <w:rsid w:val="00C05414"/>
    <w:rsid w:val="00C06199"/>
    <w:rsid w:val="00C06663"/>
    <w:rsid w:val="00C067E4"/>
    <w:rsid w:val="00C06D5B"/>
    <w:rsid w:val="00C06F95"/>
    <w:rsid w:val="00C071BC"/>
    <w:rsid w:val="00C0729D"/>
    <w:rsid w:val="00C07FBA"/>
    <w:rsid w:val="00C105BD"/>
    <w:rsid w:val="00C10EC2"/>
    <w:rsid w:val="00C1110D"/>
    <w:rsid w:val="00C11757"/>
    <w:rsid w:val="00C11A50"/>
    <w:rsid w:val="00C11A75"/>
    <w:rsid w:val="00C11EDB"/>
    <w:rsid w:val="00C11F17"/>
    <w:rsid w:val="00C1236E"/>
    <w:rsid w:val="00C123BE"/>
    <w:rsid w:val="00C127B1"/>
    <w:rsid w:val="00C12F56"/>
    <w:rsid w:val="00C134B7"/>
    <w:rsid w:val="00C136B0"/>
    <w:rsid w:val="00C137BA"/>
    <w:rsid w:val="00C1453E"/>
    <w:rsid w:val="00C14C58"/>
    <w:rsid w:val="00C155BC"/>
    <w:rsid w:val="00C15622"/>
    <w:rsid w:val="00C159A7"/>
    <w:rsid w:val="00C159E5"/>
    <w:rsid w:val="00C15E14"/>
    <w:rsid w:val="00C15E87"/>
    <w:rsid w:val="00C15FE8"/>
    <w:rsid w:val="00C16770"/>
    <w:rsid w:val="00C16787"/>
    <w:rsid w:val="00C175D0"/>
    <w:rsid w:val="00C17A0F"/>
    <w:rsid w:val="00C200CD"/>
    <w:rsid w:val="00C2096B"/>
    <w:rsid w:val="00C20D6B"/>
    <w:rsid w:val="00C216BB"/>
    <w:rsid w:val="00C21A8D"/>
    <w:rsid w:val="00C21E2C"/>
    <w:rsid w:val="00C22107"/>
    <w:rsid w:val="00C2290C"/>
    <w:rsid w:val="00C22D8B"/>
    <w:rsid w:val="00C22E0E"/>
    <w:rsid w:val="00C230E7"/>
    <w:rsid w:val="00C231A2"/>
    <w:rsid w:val="00C2413A"/>
    <w:rsid w:val="00C24301"/>
    <w:rsid w:val="00C243B6"/>
    <w:rsid w:val="00C2479F"/>
    <w:rsid w:val="00C249AF"/>
    <w:rsid w:val="00C249D8"/>
    <w:rsid w:val="00C24DB0"/>
    <w:rsid w:val="00C257FD"/>
    <w:rsid w:val="00C2656C"/>
    <w:rsid w:val="00C267F3"/>
    <w:rsid w:val="00C2687F"/>
    <w:rsid w:val="00C26B1C"/>
    <w:rsid w:val="00C26B4A"/>
    <w:rsid w:val="00C26B7F"/>
    <w:rsid w:val="00C274AA"/>
    <w:rsid w:val="00C27568"/>
    <w:rsid w:val="00C31DA5"/>
    <w:rsid w:val="00C3248F"/>
    <w:rsid w:val="00C32965"/>
    <w:rsid w:val="00C329A6"/>
    <w:rsid w:val="00C32BB4"/>
    <w:rsid w:val="00C3385A"/>
    <w:rsid w:val="00C33936"/>
    <w:rsid w:val="00C3426D"/>
    <w:rsid w:val="00C34B71"/>
    <w:rsid w:val="00C34D8B"/>
    <w:rsid w:val="00C350B4"/>
    <w:rsid w:val="00C355D5"/>
    <w:rsid w:val="00C35B05"/>
    <w:rsid w:val="00C3667D"/>
    <w:rsid w:val="00C36A32"/>
    <w:rsid w:val="00C36E10"/>
    <w:rsid w:val="00C37287"/>
    <w:rsid w:val="00C37405"/>
    <w:rsid w:val="00C374BE"/>
    <w:rsid w:val="00C37B99"/>
    <w:rsid w:val="00C40523"/>
    <w:rsid w:val="00C40866"/>
    <w:rsid w:val="00C40D8D"/>
    <w:rsid w:val="00C4143C"/>
    <w:rsid w:val="00C41B7B"/>
    <w:rsid w:val="00C41F85"/>
    <w:rsid w:val="00C4253D"/>
    <w:rsid w:val="00C426DD"/>
    <w:rsid w:val="00C427B0"/>
    <w:rsid w:val="00C43152"/>
    <w:rsid w:val="00C43824"/>
    <w:rsid w:val="00C4443E"/>
    <w:rsid w:val="00C4462E"/>
    <w:rsid w:val="00C446EF"/>
    <w:rsid w:val="00C44ADA"/>
    <w:rsid w:val="00C44EE4"/>
    <w:rsid w:val="00C45025"/>
    <w:rsid w:val="00C454FE"/>
    <w:rsid w:val="00C45C8B"/>
    <w:rsid w:val="00C45E41"/>
    <w:rsid w:val="00C46060"/>
    <w:rsid w:val="00C461B3"/>
    <w:rsid w:val="00C46711"/>
    <w:rsid w:val="00C46903"/>
    <w:rsid w:val="00C474A2"/>
    <w:rsid w:val="00C47654"/>
    <w:rsid w:val="00C47709"/>
    <w:rsid w:val="00C47FD3"/>
    <w:rsid w:val="00C50251"/>
    <w:rsid w:val="00C505FD"/>
    <w:rsid w:val="00C50711"/>
    <w:rsid w:val="00C5089C"/>
    <w:rsid w:val="00C50F34"/>
    <w:rsid w:val="00C50FD9"/>
    <w:rsid w:val="00C51DA8"/>
    <w:rsid w:val="00C51DB2"/>
    <w:rsid w:val="00C523C6"/>
    <w:rsid w:val="00C525BA"/>
    <w:rsid w:val="00C52FE3"/>
    <w:rsid w:val="00C53065"/>
    <w:rsid w:val="00C53C01"/>
    <w:rsid w:val="00C53CEE"/>
    <w:rsid w:val="00C53EE4"/>
    <w:rsid w:val="00C54091"/>
    <w:rsid w:val="00C54204"/>
    <w:rsid w:val="00C543B3"/>
    <w:rsid w:val="00C5551B"/>
    <w:rsid w:val="00C555F7"/>
    <w:rsid w:val="00C55760"/>
    <w:rsid w:val="00C55BEC"/>
    <w:rsid w:val="00C55E21"/>
    <w:rsid w:val="00C55EF8"/>
    <w:rsid w:val="00C56446"/>
    <w:rsid w:val="00C56B63"/>
    <w:rsid w:val="00C57B2E"/>
    <w:rsid w:val="00C606CC"/>
    <w:rsid w:val="00C60863"/>
    <w:rsid w:val="00C6111A"/>
    <w:rsid w:val="00C61453"/>
    <w:rsid w:val="00C61770"/>
    <w:rsid w:val="00C61903"/>
    <w:rsid w:val="00C62201"/>
    <w:rsid w:val="00C623E2"/>
    <w:rsid w:val="00C6285D"/>
    <w:rsid w:val="00C628C3"/>
    <w:rsid w:val="00C62DD7"/>
    <w:rsid w:val="00C639E3"/>
    <w:rsid w:val="00C640E3"/>
    <w:rsid w:val="00C65CB5"/>
    <w:rsid w:val="00C6659D"/>
    <w:rsid w:val="00C66763"/>
    <w:rsid w:val="00C6716B"/>
    <w:rsid w:val="00C677E0"/>
    <w:rsid w:val="00C67CAE"/>
    <w:rsid w:val="00C70117"/>
    <w:rsid w:val="00C70563"/>
    <w:rsid w:val="00C70AD8"/>
    <w:rsid w:val="00C71292"/>
    <w:rsid w:val="00C71304"/>
    <w:rsid w:val="00C71484"/>
    <w:rsid w:val="00C716CA"/>
    <w:rsid w:val="00C71FA8"/>
    <w:rsid w:val="00C7223E"/>
    <w:rsid w:val="00C72305"/>
    <w:rsid w:val="00C726FA"/>
    <w:rsid w:val="00C7287A"/>
    <w:rsid w:val="00C72B62"/>
    <w:rsid w:val="00C732A5"/>
    <w:rsid w:val="00C733E2"/>
    <w:rsid w:val="00C735A7"/>
    <w:rsid w:val="00C73E9F"/>
    <w:rsid w:val="00C73F6C"/>
    <w:rsid w:val="00C74151"/>
    <w:rsid w:val="00C7427C"/>
    <w:rsid w:val="00C746A4"/>
    <w:rsid w:val="00C74773"/>
    <w:rsid w:val="00C75191"/>
    <w:rsid w:val="00C756F6"/>
    <w:rsid w:val="00C76101"/>
    <w:rsid w:val="00C76156"/>
    <w:rsid w:val="00C769CE"/>
    <w:rsid w:val="00C76D5A"/>
    <w:rsid w:val="00C76F4C"/>
    <w:rsid w:val="00C76FAC"/>
    <w:rsid w:val="00C7735F"/>
    <w:rsid w:val="00C806D4"/>
    <w:rsid w:val="00C80797"/>
    <w:rsid w:val="00C80BC8"/>
    <w:rsid w:val="00C81399"/>
    <w:rsid w:val="00C81733"/>
    <w:rsid w:val="00C818C4"/>
    <w:rsid w:val="00C81BBD"/>
    <w:rsid w:val="00C81E27"/>
    <w:rsid w:val="00C8269A"/>
    <w:rsid w:val="00C8294D"/>
    <w:rsid w:val="00C82950"/>
    <w:rsid w:val="00C82DCF"/>
    <w:rsid w:val="00C83430"/>
    <w:rsid w:val="00C83491"/>
    <w:rsid w:val="00C835A4"/>
    <w:rsid w:val="00C83716"/>
    <w:rsid w:val="00C83EC8"/>
    <w:rsid w:val="00C84154"/>
    <w:rsid w:val="00C84256"/>
    <w:rsid w:val="00C84532"/>
    <w:rsid w:val="00C85236"/>
    <w:rsid w:val="00C85470"/>
    <w:rsid w:val="00C8550E"/>
    <w:rsid w:val="00C8566F"/>
    <w:rsid w:val="00C859AE"/>
    <w:rsid w:val="00C85B49"/>
    <w:rsid w:val="00C86218"/>
    <w:rsid w:val="00C86570"/>
    <w:rsid w:val="00C867C7"/>
    <w:rsid w:val="00C868F4"/>
    <w:rsid w:val="00C86A55"/>
    <w:rsid w:val="00C86A5E"/>
    <w:rsid w:val="00C873A2"/>
    <w:rsid w:val="00C87C43"/>
    <w:rsid w:val="00C902FB"/>
    <w:rsid w:val="00C90B3C"/>
    <w:rsid w:val="00C90DA2"/>
    <w:rsid w:val="00C90DB1"/>
    <w:rsid w:val="00C9125A"/>
    <w:rsid w:val="00C92473"/>
    <w:rsid w:val="00C924F4"/>
    <w:rsid w:val="00C926B2"/>
    <w:rsid w:val="00C93263"/>
    <w:rsid w:val="00C932AE"/>
    <w:rsid w:val="00C936B6"/>
    <w:rsid w:val="00C93B0E"/>
    <w:rsid w:val="00C93C57"/>
    <w:rsid w:val="00C93E3F"/>
    <w:rsid w:val="00C941DD"/>
    <w:rsid w:val="00C94C7F"/>
    <w:rsid w:val="00C95198"/>
    <w:rsid w:val="00C9544E"/>
    <w:rsid w:val="00C954A2"/>
    <w:rsid w:val="00C955E8"/>
    <w:rsid w:val="00C95DA5"/>
    <w:rsid w:val="00C96435"/>
    <w:rsid w:val="00C9673F"/>
    <w:rsid w:val="00C97135"/>
    <w:rsid w:val="00C974A4"/>
    <w:rsid w:val="00C977A6"/>
    <w:rsid w:val="00C979D0"/>
    <w:rsid w:val="00C97A2F"/>
    <w:rsid w:val="00CA008A"/>
    <w:rsid w:val="00CA0518"/>
    <w:rsid w:val="00CA0AA2"/>
    <w:rsid w:val="00CA101B"/>
    <w:rsid w:val="00CA14B3"/>
    <w:rsid w:val="00CA2AD7"/>
    <w:rsid w:val="00CA2C2F"/>
    <w:rsid w:val="00CA35A1"/>
    <w:rsid w:val="00CA3AB0"/>
    <w:rsid w:val="00CA3AC9"/>
    <w:rsid w:val="00CA410E"/>
    <w:rsid w:val="00CA447E"/>
    <w:rsid w:val="00CA4D52"/>
    <w:rsid w:val="00CA52CE"/>
    <w:rsid w:val="00CA52DC"/>
    <w:rsid w:val="00CA5589"/>
    <w:rsid w:val="00CA5608"/>
    <w:rsid w:val="00CA5EAF"/>
    <w:rsid w:val="00CA6372"/>
    <w:rsid w:val="00CA63F9"/>
    <w:rsid w:val="00CA6436"/>
    <w:rsid w:val="00CA657D"/>
    <w:rsid w:val="00CA6651"/>
    <w:rsid w:val="00CA6A9B"/>
    <w:rsid w:val="00CA792F"/>
    <w:rsid w:val="00CA7EF6"/>
    <w:rsid w:val="00CB03E6"/>
    <w:rsid w:val="00CB0533"/>
    <w:rsid w:val="00CB0CDF"/>
    <w:rsid w:val="00CB0FE7"/>
    <w:rsid w:val="00CB1552"/>
    <w:rsid w:val="00CB1DDE"/>
    <w:rsid w:val="00CB24A4"/>
    <w:rsid w:val="00CB27D3"/>
    <w:rsid w:val="00CB27FD"/>
    <w:rsid w:val="00CB2CD6"/>
    <w:rsid w:val="00CB3360"/>
    <w:rsid w:val="00CB3C3F"/>
    <w:rsid w:val="00CB3E2D"/>
    <w:rsid w:val="00CB45AE"/>
    <w:rsid w:val="00CB4CC4"/>
    <w:rsid w:val="00CB528D"/>
    <w:rsid w:val="00CB544D"/>
    <w:rsid w:val="00CB57E7"/>
    <w:rsid w:val="00CB5C58"/>
    <w:rsid w:val="00CB635C"/>
    <w:rsid w:val="00CB67C0"/>
    <w:rsid w:val="00CB6BEB"/>
    <w:rsid w:val="00CB6D48"/>
    <w:rsid w:val="00CB7321"/>
    <w:rsid w:val="00CB7521"/>
    <w:rsid w:val="00CB76E8"/>
    <w:rsid w:val="00CB7E0A"/>
    <w:rsid w:val="00CBAFEF"/>
    <w:rsid w:val="00CC0E80"/>
    <w:rsid w:val="00CC1891"/>
    <w:rsid w:val="00CC1BCF"/>
    <w:rsid w:val="00CC1C9B"/>
    <w:rsid w:val="00CC1FFB"/>
    <w:rsid w:val="00CC2818"/>
    <w:rsid w:val="00CC2EA0"/>
    <w:rsid w:val="00CC2ED7"/>
    <w:rsid w:val="00CC2EE9"/>
    <w:rsid w:val="00CC3027"/>
    <w:rsid w:val="00CC3BA5"/>
    <w:rsid w:val="00CC421B"/>
    <w:rsid w:val="00CC4308"/>
    <w:rsid w:val="00CC435C"/>
    <w:rsid w:val="00CC4960"/>
    <w:rsid w:val="00CC4CA9"/>
    <w:rsid w:val="00CC4CC4"/>
    <w:rsid w:val="00CC52D2"/>
    <w:rsid w:val="00CC5809"/>
    <w:rsid w:val="00CC5BDA"/>
    <w:rsid w:val="00CC5FA8"/>
    <w:rsid w:val="00CC6093"/>
    <w:rsid w:val="00CC6143"/>
    <w:rsid w:val="00CC6424"/>
    <w:rsid w:val="00CC71D5"/>
    <w:rsid w:val="00CC7F12"/>
    <w:rsid w:val="00CC7FCD"/>
    <w:rsid w:val="00CD0093"/>
    <w:rsid w:val="00CD0BE6"/>
    <w:rsid w:val="00CD1BC6"/>
    <w:rsid w:val="00CD250D"/>
    <w:rsid w:val="00CD2639"/>
    <w:rsid w:val="00CD27EE"/>
    <w:rsid w:val="00CD3736"/>
    <w:rsid w:val="00CD3B4E"/>
    <w:rsid w:val="00CD3C9D"/>
    <w:rsid w:val="00CD3D6D"/>
    <w:rsid w:val="00CD5172"/>
    <w:rsid w:val="00CD5532"/>
    <w:rsid w:val="00CD5556"/>
    <w:rsid w:val="00CD5BAC"/>
    <w:rsid w:val="00CD6902"/>
    <w:rsid w:val="00CD6F92"/>
    <w:rsid w:val="00CD7538"/>
    <w:rsid w:val="00CD7ED3"/>
    <w:rsid w:val="00CE073F"/>
    <w:rsid w:val="00CE10BD"/>
    <w:rsid w:val="00CE1529"/>
    <w:rsid w:val="00CE166B"/>
    <w:rsid w:val="00CE1CE0"/>
    <w:rsid w:val="00CE1F17"/>
    <w:rsid w:val="00CE1F8C"/>
    <w:rsid w:val="00CE216B"/>
    <w:rsid w:val="00CE227A"/>
    <w:rsid w:val="00CE23C8"/>
    <w:rsid w:val="00CE29C7"/>
    <w:rsid w:val="00CE2C1C"/>
    <w:rsid w:val="00CE2D72"/>
    <w:rsid w:val="00CE3292"/>
    <w:rsid w:val="00CE3DCC"/>
    <w:rsid w:val="00CE4DD2"/>
    <w:rsid w:val="00CE5CC9"/>
    <w:rsid w:val="00CE6433"/>
    <w:rsid w:val="00CE7F13"/>
    <w:rsid w:val="00CF00F9"/>
    <w:rsid w:val="00CF02F6"/>
    <w:rsid w:val="00CF044E"/>
    <w:rsid w:val="00CF0E30"/>
    <w:rsid w:val="00CF1A9E"/>
    <w:rsid w:val="00CF2087"/>
    <w:rsid w:val="00CF225E"/>
    <w:rsid w:val="00CF26BF"/>
    <w:rsid w:val="00CF28E2"/>
    <w:rsid w:val="00CF29DC"/>
    <w:rsid w:val="00CF2D86"/>
    <w:rsid w:val="00CF3FB2"/>
    <w:rsid w:val="00CF418B"/>
    <w:rsid w:val="00CF42C3"/>
    <w:rsid w:val="00CF46A7"/>
    <w:rsid w:val="00CF4A9A"/>
    <w:rsid w:val="00CF4CA5"/>
    <w:rsid w:val="00CF4CCA"/>
    <w:rsid w:val="00CF538F"/>
    <w:rsid w:val="00CF540D"/>
    <w:rsid w:val="00CF5B3F"/>
    <w:rsid w:val="00CF6435"/>
    <w:rsid w:val="00CF66A7"/>
    <w:rsid w:val="00CF68F0"/>
    <w:rsid w:val="00CF72D1"/>
    <w:rsid w:val="00CF73B2"/>
    <w:rsid w:val="00CF75E4"/>
    <w:rsid w:val="00CF7838"/>
    <w:rsid w:val="00CF7FB9"/>
    <w:rsid w:val="00D00047"/>
    <w:rsid w:val="00D001DE"/>
    <w:rsid w:val="00D004BE"/>
    <w:rsid w:val="00D00774"/>
    <w:rsid w:val="00D00852"/>
    <w:rsid w:val="00D00D85"/>
    <w:rsid w:val="00D00DBC"/>
    <w:rsid w:val="00D013E2"/>
    <w:rsid w:val="00D019F2"/>
    <w:rsid w:val="00D01C4B"/>
    <w:rsid w:val="00D022D9"/>
    <w:rsid w:val="00D024E9"/>
    <w:rsid w:val="00D03586"/>
    <w:rsid w:val="00D0364C"/>
    <w:rsid w:val="00D037B3"/>
    <w:rsid w:val="00D03B28"/>
    <w:rsid w:val="00D03E1D"/>
    <w:rsid w:val="00D03ED0"/>
    <w:rsid w:val="00D041A6"/>
    <w:rsid w:val="00D0420A"/>
    <w:rsid w:val="00D04937"/>
    <w:rsid w:val="00D04B75"/>
    <w:rsid w:val="00D05604"/>
    <w:rsid w:val="00D05726"/>
    <w:rsid w:val="00D05DFF"/>
    <w:rsid w:val="00D05E15"/>
    <w:rsid w:val="00D0630C"/>
    <w:rsid w:val="00D06A3C"/>
    <w:rsid w:val="00D0737D"/>
    <w:rsid w:val="00D075C6"/>
    <w:rsid w:val="00D076A5"/>
    <w:rsid w:val="00D10658"/>
    <w:rsid w:val="00D10662"/>
    <w:rsid w:val="00D1096F"/>
    <w:rsid w:val="00D10BCD"/>
    <w:rsid w:val="00D11041"/>
    <w:rsid w:val="00D110B2"/>
    <w:rsid w:val="00D1165C"/>
    <w:rsid w:val="00D11AAD"/>
    <w:rsid w:val="00D11E71"/>
    <w:rsid w:val="00D11F9C"/>
    <w:rsid w:val="00D121C6"/>
    <w:rsid w:val="00D127F4"/>
    <w:rsid w:val="00D13343"/>
    <w:rsid w:val="00D13960"/>
    <w:rsid w:val="00D13E23"/>
    <w:rsid w:val="00D13E50"/>
    <w:rsid w:val="00D14547"/>
    <w:rsid w:val="00D14FB9"/>
    <w:rsid w:val="00D1561D"/>
    <w:rsid w:val="00D15906"/>
    <w:rsid w:val="00D16223"/>
    <w:rsid w:val="00D16235"/>
    <w:rsid w:val="00D163CC"/>
    <w:rsid w:val="00D16981"/>
    <w:rsid w:val="00D1712E"/>
    <w:rsid w:val="00D17900"/>
    <w:rsid w:val="00D17A48"/>
    <w:rsid w:val="00D2086B"/>
    <w:rsid w:val="00D208DF"/>
    <w:rsid w:val="00D212FD"/>
    <w:rsid w:val="00D2132A"/>
    <w:rsid w:val="00D213E9"/>
    <w:rsid w:val="00D216F4"/>
    <w:rsid w:val="00D21835"/>
    <w:rsid w:val="00D21AB7"/>
    <w:rsid w:val="00D22999"/>
    <w:rsid w:val="00D24017"/>
    <w:rsid w:val="00D244B0"/>
    <w:rsid w:val="00D2518E"/>
    <w:rsid w:val="00D2550D"/>
    <w:rsid w:val="00D258C1"/>
    <w:rsid w:val="00D264AC"/>
    <w:rsid w:val="00D268DD"/>
    <w:rsid w:val="00D26A79"/>
    <w:rsid w:val="00D27401"/>
    <w:rsid w:val="00D27691"/>
    <w:rsid w:val="00D302CE"/>
    <w:rsid w:val="00D306FE"/>
    <w:rsid w:val="00D30E72"/>
    <w:rsid w:val="00D30EDA"/>
    <w:rsid w:val="00D325B9"/>
    <w:rsid w:val="00D327E5"/>
    <w:rsid w:val="00D32DFE"/>
    <w:rsid w:val="00D33A16"/>
    <w:rsid w:val="00D33B6C"/>
    <w:rsid w:val="00D33DF4"/>
    <w:rsid w:val="00D3418B"/>
    <w:rsid w:val="00D3454C"/>
    <w:rsid w:val="00D34AB5"/>
    <w:rsid w:val="00D34EC1"/>
    <w:rsid w:val="00D35523"/>
    <w:rsid w:val="00D35C87"/>
    <w:rsid w:val="00D37D59"/>
    <w:rsid w:val="00D37DB7"/>
    <w:rsid w:val="00D37F45"/>
    <w:rsid w:val="00D40B4B"/>
    <w:rsid w:val="00D4105E"/>
    <w:rsid w:val="00D4148A"/>
    <w:rsid w:val="00D418B7"/>
    <w:rsid w:val="00D41B31"/>
    <w:rsid w:val="00D42061"/>
    <w:rsid w:val="00D42CBE"/>
    <w:rsid w:val="00D42E24"/>
    <w:rsid w:val="00D430AA"/>
    <w:rsid w:val="00D4336E"/>
    <w:rsid w:val="00D4371E"/>
    <w:rsid w:val="00D438AA"/>
    <w:rsid w:val="00D440AA"/>
    <w:rsid w:val="00D443A0"/>
    <w:rsid w:val="00D44437"/>
    <w:rsid w:val="00D445EA"/>
    <w:rsid w:val="00D44A44"/>
    <w:rsid w:val="00D44CB7"/>
    <w:rsid w:val="00D44D22"/>
    <w:rsid w:val="00D44DFC"/>
    <w:rsid w:val="00D44E9B"/>
    <w:rsid w:val="00D45152"/>
    <w:rsid w:val="00D45339"/>
    <w:rsid w:val="00D453D5"/>
    <w:rsid w:val="00D45894"/>
    <w:rsid w:val="00D45903"/>
    <w:rsid w:val="00D459B6"/>
    <w:rsid w:val="00D45D0A"/>
    <w:rsid w:val="00D46107"/>
    <w:rsid w:val="00D464EA"/>
    <w:rsid w:val="00D46AF2"/>
    <w:rsid w:val="00D46D34"/>
    <w:rsid w:val="00D47027"/>
    <w:rsid w:val="00D47872"/>
    <w:rsid w:val="00D47DB3"/>
    <w:rsid w:val="00D50854"/>
    <w:rsid w:val="00D50899"/>
    <w:rsid w:val="00D50BD0"/>
    <w:rsid w:val="00D50CB3"/>
    <w:rsid w:val="00D50DB1"/>
    <w:rsid w:val="00D50EB5"/>
    <w:rsid w:val="00D50F1E"/>
    <w:rsid w:val="00D50F7D"/>
    <w:rsid w:val="00D51409"/>
    <w:rsid w:val="00D515B0"/>
    <w:rsid w:val="00D516C9"/>
    <w:rsid w:val="00D51A29"/>
    <w:rsid w:val="00D52281"/>
    <w:rsid w:val="00D526A4"/>
    <w:rsid w:val="00D53454"/>
    <w:rsid w:val="00D53B0C"/>
    <w:rsid w:val="00D53B41"/>
    <w:rsid w:val="00D54158"/>
    <w:rsid w:val="00D54A40"/>
    <w:rsid w:val="00D54CC7"/>
    <w:rsid w:val="00D5514F"/>
    <w:rsid w:val="00D55E80"/>
    <w:rsid w:val="00D56018"/>
    <w:rsid w:val="00D56172"/>
    <w:rsid w:val="00D5688B"/>
    <w:rsid w:val="00D57159"/>
    <w:rsid w:val="00D57186"/>
    <w:rsid w:val="00D5730A"/>
    <w:rsid w:val="00D576AA"/>
    <w:rsid w:val="00D579F8"/>
    <w:rsid w:val="00D57AF1"/>
    <w:rsid w:val="00D57CCA"/>
    <w:rsid w:val="00D6036A"/>
    <w:rsid w:val="00D60DAA"/>
    <w:rsid w:val="00D612F4"/>
    <w:rsid w:val="00D61712"/>
    <w:rsid w:val="00D61CEF"/>
    <w:rsid w:val="00D61FBA"/>
    <w:rsid w:val="00D621D3"/>
    <w:rsid w:val="00D622BB"/>
    <w:rsid w:val="00D62790"/>
    <w:rsid w:val="00D633C1"/>
    <w:rsid w:val="00D63D53"/>
    <w:rsid w:val="00D64259"/>
    <w:rsid w:val="00D64444"/>
    <w:rsid w:val="00D64624"/>
    <w:rsid w:val="00D649A7"/>
    <w:rsid w:val="00D65126"/>
    <w:rsid w:val="00D6512D"/>
    <w:rsid w:val="00D657EB"/>
    <w:rsid w:val="00D66D13"/>
    <w:rsid w:val="00D6778F"/>
    <w:rsid w:val="00D677EB"/>
    <w:rsid w:val="00D67D8B"/>
    <w:rsid w:val="00D7052A"/>
    <w:rsid w:val="00D70D4C"/>
    <w:rsid w:val="00D71969"/>
    <w:rsid w:val="00D71B24"/>
    <w:rsid w:val="00D71C57"/>
    <w:rsid w:val="00D72181"/>
    <w:rsid w:val="00D7241D"/>
    <w:rsid w:val="00D728CC"/>
    <w:rsid w:val="00D729F1"/>
    <w:rsid w:val="00D72EE7"/>
    <w:rsid w:val="00D73400"/>
    <w:rsid w:val="00D735AE"/>
    <w:rsid w:val="00D735D8"/>
    <w:rsid w:val="00D7374E"/>
    <w:rsid w:val="00D7396F"/>
    <w:rsid w:val="00D74A5E"/>
    <w:rsid w:val="00D74FA4"/>
    <w:rsid w:val="00D750BE"/>
    <w:rsid w:val="00D7523B"/>
    <w:rsid w:val="00D7523E"/>
    <w:rsid w:val="00D75446"/>
    <w:rsid w:val="00D759AF"/>
    <w:rsid w:val="00D7692C"/>
    <w:rsid w:val="00D76A33"/>
    <w:rsid w:val="00D76C7E"/>
    <w:rsid w:val="00D76DE1"/>
    <w:rsid w:val="00D7736A"/>
    <w:rsid w:val="00D804ED"/>
    <w:rsid w:val="00D809EC"/>
    <w:rsid w:val="00D81009"/>
    <w:rsid w:val="00D8116C"/>
    <w:rsid w:val="00D8136B"/>
    <w:rsid w:val="00D81950"/>
    <w:rsid w:val="00D81A00"/>
    <w:rsid w:val="00D81AF1"/>
    <w:rsid w:val="00D81BB2"/>
    <w:rsid w:val="00D82751"/>
    <w:rsid w:val="00D827E9"/>
    <w:rsid w:val="00D829CC"/>
    <w:rsid w:val="00D82A36"/>
    <w:rsid w:val="00D82DCD"/>
    <w:rsid w:val="00D82ECE"/>
    <w:rsid w:val="00D838EC"/>
    <w:rsid w:val="00D840BB"/>
    <w:rsid w:val="00D843D7"/>
    <w:rsid w:val="00D84E4B"/>
    <w:rsid w:val="00D84F46"/>
    <w:rsid w:val="00D85539"/>
    <w:rsid w:val="00D86B33"/>
    <w:rsid w:val="00D86D66"/>
    <w:rsid w:val="00D86DF8"/>
    <w:rsid w:val="00D86E67"/>
    <w:rsid w:val="00D876BB"/>
    <w:rsid w:val="00D876CB"/>
    <w:rsid w:val="00D87CBB"/>
    <w:rsid w:val="00D87F5D"/>
    <w:rsid w:val="00D87F93"/>
    <w:rsid w:val="00D90345"/>
    <w:rsid w:val="00D906AD"/>
    <w:rsid w:val="00D90796"/>
    <w:rsid w:val="00D908CE"/>
    <w:rsid w:val="00D90D0B"/>
    <w:rsid w:val="00D90D77"/>
    <w:rsid w:val="00D90E6B"/>
    <w:rsid w:val="00D9183A"/>
    <w:rsid w:val="00D9195F"/>
    <w:rsid w:val="00D91E17"/>
    <w:rsid w:val="00D92156"/>
    <w:rsid w:val="00D92703"/>
    <w:rsid w:val="00D92A02"/>
    <w:rsid w:val="00D92A4E"/>
    <w:rsid w:val="00D92BEF"/>
    <w:rsid w:val="00D93097"/>
    <w:rsid w:val="00D933E8"/>
    <w:rsid w:val="00D9348F"/>
    <w:rsid w:val="00D9353E"/>
    <w:rsid w:val="00D9476D"/>
    <w:rsid w:val="00D94AB6"/>
    <w:rsid w:val="00D94B7F"/>
    <w:rsid w:val="00D957AB"/>
    <w:rsid w:val="00D95BB2"/>
    <w:rsid w:val="00D95E7F"/>
    <w:rsid w:val="00D96091"/>
    <w:rsid w:val="00D96D05"/>
    <w:rsid w:val="00D96D29"/>
    <w:rsid w:val="00D97213"/>
    <w:rsid w:val="00D97339"/>
    <w:rsid w:val="00D97D5B"/>
    <w:rsid w:val="00D97D5E"/>
    <w:rsid w:val="00D97E79"/>
    <w:rsid w:val="00D97F95"/>
    <w:rsid w:val="00D97F96"/>
    <w:rsid w:val="00DA07AB"/>
    <w:rsid w:val="00DA0AFB"/>
    <w:rsid w:val="00DA0BE0"/>
    <w:rsid w:val="00DA0D94"/>
    <w:rsid w:val="00DA1566"/>
    <w:rsid w:val="00DA18AE"/>
    <w:rsid w:val="00DA1A6C"/>
    <w:rsid w:val="00DA1A70"/>
    <w:rsid w:val="00DA1DD6"/>
    <w:rsid w:val="00DA2324"/>
    <w:rsid w:val="00DA2433"/>
    <w:rsid w:val="00DA26FE"/>
    <w:rsid w:val="00DA2C64"/>
    <w:rsid w:val="00DA2CE2"/>
    <w:rsid w:val="00DA2D87"/>
    <w:rsid w:val="00DA3514"/>
    <w:rsid w:val="00DA35ED"/>
    <w:rsid w:val="00DA3D73"/>
    <w:rsid w:val="00DA4017"/>
    <w:rsid w:val="00DA40AB"/>
    <w:rsid w:val="00DA47D3"/>
    <w:rsid w:val="00DA4B85"/>
    <w:rsid w:val="00DA5A4D"/>
    <w:rsid w:val="00DA5A83"/>
    <w:rsid w:val="00DA5B94"/>
    <w:rsid w:val="00DA5C1A"/>
    <w:rsid w:val="00DA5E07"/>
    <w:rsid w:val="00DA652F"/>
    <w:rsid w:val="00DA687B"/>
    <w:rsid w:val="00DA6E37"/>
    <w:rsid w:val="00DA7108"/>
    <w:rsid w:val="00DA72DC"/>
    <w:rsid w:val="00DA7951"/>
    <w:rsid w:val="00DA7D9B"/>
    <w:rsid w:val="00DB04FF"/>
    <w:rsid w:val="00DB11B1"/>
    <w:rsid w:val="00DB11CD"/>
    <w:rsid w:val="00DB14BE"/>
    <w:rsid w:val="00DB16ED"/>
    <w:rsid w:val="00DB1791"/>
    <w:rsid w:val="00DB17D9"/>
    <w:rsid w:val="00DB1D03"/>
    <w:rsid w:val="00DB2B08"/>
    <w:rsid w:val="00DB2E7A"/>
    <w:rsid w:val="00DB34B0"/>
    <w:rsid w:val="00DB357C"/>
    <w:rsid w:val="00DB4750"/>
    <w:rsid w:val="00DB5C76"/>
    <w:rsid w:val="00DB5E03"/>
    <w:rsid w:val="00DB62E6"/>
    <w:rsid w:val="00DB6AAA"/>
    <w:rsid w:val="00DB6F75"/>
    <w:rsid w:val="00DB70BB"/>
    <w:rsid w:val="00DB71CC"/>
    <w:rsid w:val="00DB73DE"/>
    <w:rsid w:val="00DB7726"/>
    <w:rsid w:val="00DB7C5A"/>
    <w:rsid w:val="00DC0159"/>
    <w:rsid w:val="00DC023D"/>
    <w:rsid w:val="00DC0500"/>
    <w:rsid w:val="00DC07DD"/>
    <w:rsid w:val="00DC0E2B"/>
    <w:rsid w:val="00DC11C9"/>
    <w:rsid w:val="00DC173F"/>
    <w:rsid w:val="00DC3A1D"/>
    <w:rsid w:val="00DC3B36"/>
    <w:rsid w:val="00DC46F3"/>
    <w:rsid w:val="00DC4B40"/>
    <w:rsid w:val="00DC4E11"/>
    <w:rsid w:val="00DC5090"/>
    <w:rsid w:val="00DC581A"/>
    <w:rsid w:val="00DC5F0B"/>
    <w:rsid w:val="00DC6081"/>
    <w:rsid w:val="00DC61DA"/>
    <w:rsid w:val="00DC62C0"/>
    <w:rsid w:val="00DC7A6C"/>
    <w:rsid w:val="00DC7E71"/>
    <w:rsid w:val="00DC7F28"/>
    <w:rsid w:val="00DD05AD"/>
    <w:rsid w:val="00DD071C"/>
    <w:rsid w:val="00DD07BF"/>
    <w:rsid w:val="00DD0FD8"/>
    <w:rsid w:val="00DD1482"/>
    <w:rsid w:val="00DD1675"/>
    <w:rsid w:val="00DD1725"/>
    <w:rsid w:val="00DD1854"/>
    <w:rsid w:val="00DD199C"/>
    <w:rsid w:val="00DD1B04"/>
    <w:rsid w:val="00DD234C"/>
    <w:rsid w:val="00DD2B22"/>
    <w:rsid w:val="00DD2B27"/>
    <w:rsid w:val="00DD2F32"/>
    <w:rsid w:val="00DD3FB2"/>
    <w:rsid w:val="00DD46EB"/>
    <w:rsid w:val="00DD49AB"/>
    <w:rsid w:val="00DD4BEC"/>
    <w:rsid w:val="00DD4EEE"/>
    <w:rsid w:val="00DD520B"/>
    <w:rsid w:val="00DD5958"/>
    <w:rsid w:val="00DD5E93"/>
    <w:rsid w:val="00DD618B"/>
    <w:rsid w:val="00DD69DD"/>
    <w:rsid w:val="00DD6A4B"/>
    <w:rsid w:val="00DD6D90"/>
    <w:rsid w:val="00DD776A"/>
    <w:rsid w:val="00DD7952"/>
    <w:rsid w:val="00DD7BDD"/>
    <w:rsid w:val="00DD7E17"/>
    <w:rsid w:val="00DE0394"/>
    <w:rsid w:val="00DE05D7"/>
    <w:rsid w:val="00DE0A72"/>
    <w:rsid w:val="00DE0BD4"/>
    <w:rsid w:val="00DE0C29"/>
    <w:rsid w:val="00DE0CDA"/>
    <w:rsid w:val="00DE1121"/>
    <w:rsid w:val="00DE1149"/>
    <w:rsid w:val="00DE1541"/>
    <w:rsid w:val="00DE1791"/>
    <w:rsid w:val="00DE1905"/>
    <w:rsid w:val="00DE1CE3"/>
    <w:rsid w:val="00DE2141"/>
    <w:rsid w:val="00DE261E"/>
    <w:rsid w:val="00DE2BAD"/>
    <w:rsid w:val="00DE2C39"/>
    <w:rsid w:val="00DE35A3"/>
    <w:rsid w:val="00DE35DB"/>
    <w:rsid w:val="00DE4173"/>
    <w:rsid w:val="00DE41DB"/>
    <w:rsid w:val="00DE47BA"/>
    <w:rsid w:val="00DE4E11"/>
    <w:rsid w:val="00DE4E48"/>
    <w:rsid w:val="00DE4EC2"/>
    <w:rsid w:val="00DE5917"/>
    <w:rsid w:val="00DE7144"/>
    <w:rsid w:val="00DE794A"/>
    <w:rsid w:val="00DE794F"/>
    <w:rsid w:val="00DF03BE"/>
    <w:rsid w:val="00DF0738"/>
    <w:rsid w:val="00DF0CA5"/>
    <w:rsid w:val="00DF1283"/>
    <w:rsid w:val="00DF151C"/>
    <w:rsid w:val="00DF152F"/>
    <w:rsid w:val="00DF15D2"/>
    <w:rsid w:val="00DF18F8"/>
    <w:rsid w:val="00DF1CBA"/>
    <w:rsid w:val="00DF2409"/>
    <w:rsid w:val="00DF2EC1"/>
    <w:rsid w:val="00DF2F0F"/>
    <w:rsid w:val="00DF32DD"/>
    <w:rsid w:val="00DF3569"/>
    <w:rsid w:val="00DF3FF9"/>
    <w:rsid w:val="00DF4795"/>
    <w:rsid w:val="00DF4B3E"/>
    <w:rsid w:val="00DF4FD2"/>
    <w:rsid w:val="00DF58BA"/>
    <w:rsid w:val="00DF59EA"/>
    <w:rsid w:val="00DF5AFC"/>
    <w:rsid w:val="00DF6155"/>
    <w:rsid w:val="00DF62DF"/>
    <w:rsid w:val="00DF68D4"/>
    <w:rsid w:val="00DF6B17"/>
    <w:rsid w:val="00DF6BC9"/>
    <w:rsid w:val="00DF7239"/>
    <w:rsid w:val="00DF75A4"/>
    <w:rsid w:val="00DF75CC"/>
    <w:rsid w:val="00E00901"/>
    <w:rsid w:val="00E00EF8"/>
    <w:rsid w:val="00E0193C"/>
    <w:rsid w:val="00E01994"/>
    <w:rsid w:val="00E020CE"/>
    <w:rsid w:val="00E0256F"/>
    <w:rsid w:val="00E027D0"/>
    <w:rsid w:val="00E02A27"/>
    <w:rsid w:val="00E031E9"/>
    <w:rsid w:val="00E0338E"/>
    <w:rsid w:val="00E036F6"/>
    <w:rsid w:val="00E047D1"/>
    <w:rsid w:val="00E04829"/>
    <w:rsid w:val="00E04AA0"/>
    <w:rsid w:val="00E04D6C"/>
    <w:rsid w:val="00E05276"/>
    <w:rsid w:val="00E0578C"/>
    <w:rsid w:val="00E058EF"/>
    <w:rsid w:val="00E05B25"/>
    <w:rsid w:val="00E060EB"/>
    <w:rsid w:val="00E06173"/>
    <w:rsid w:val="00E06281"/>
    <w:rsid w:val="00E0719B"/>
    <w:rsid w:val="00E071DA"/>
    <w:rsid w:val="00E1032F"/>
    <w:rsid w:val="00E10402"/>
    <w:rsid w:val="00E10BCB"/>
    <w:rsid w:val="00E115A3"/>
    <w:rsid w:val="00E11B6D"/>
    <w:rsid w:val="00E11CDD"/>
    <w:rsid w:val="00E12052"/>
    <w:rsid w:val="00E12B47"/>
    <w:rsid w:val="00E130C1"/>
    <w:rsid w:val="00E133E5"/>
    <w:rsid w:val="00E13817"/>
    <w:rsid w:val="00E13974"/>
    <w:rsid w:val="00E13DF5"/>
    <w:rsid w:val="00E1464E"/>
    <w:rsid w:val="00E14FB6"/>
    <w:rsid w:val="00E150B9"/>
    <w:rsid w:val="00E15186"/>
    <w:rsid w:val="00E15953"/>
    <w:rsid w:val="00E1637E"/>
    <w:rsid w:val="00E164A3"/>
    <w:rsid w:val="00E1655A"/>
    <w:rsid w:val="00E16AEE"/>
    <w:rsid w:val="00E17328"/>
    <w:rsid w:val="00E17393"/>
    <w:rsid w:val="00E20DF9"/>
    <w:rsid w:val="00E216A6"/>
    <w:rsid w:val="00E21E8C"/>
    <w:rsid w:val="00E222CE"/>
    <w:rsid w:val="00E2269A"/>
    <w:rsid w:val="00E22C18"/>
    <w:rsid w:val="00E240F4"/>
    <w:rsid w:val="00E245ED"/>
    <w:rsid w:val="00E253AF"/>
    <w:rsid w:val="00E25D03"/>
    <w:rsid w:val="00E26233"/>
    <w:rsid w:val="00E26575"/>
    <w:rsid w:val="00E26AE4"/>
    <w:rsid w:val="00E26FBF"/>
    <w:rsid w:val="00E2718A"/>
    <w:rsid w:val="00E272F7"/>
    <w:rsid w:val="00E2749E"/>
    <w:rsid w:val="00E2762A"/>
    <w:rsid w:val="00E27B14"/>
    <w:rsid w:val="00E27BF9"/>
    <w:rsid w:val="00E30990"/>
    <w:rsid w:val="00E309AC"/>
    <w:rsid w:val="00E30CC6"/>
    <w:rsid w:val="00E30D5F"/>
    <w:rsid w:val="00E31216"/>
    <w:rsid w:val="00E31367"/>
    <w:rsid w:val="00E31971"/>
    <w:rsid w:val="00E32023"/>
    <w:rsid w:val="00E32045"/>
    <w:rsid w:val="00E32AB6"/>
    <w:rsid w:val="00E332F7"/>
    <w:rsid w:val="00E3423E"/>
    <w:rsid w:val="00E3456F"/>
    <w:rsid w:val="00E34585"/>
    <w:rsid w:val="00E349C7"/>
    <w:rsid w:val="00E34C55"/>
    <w:rsid w:val="00E34EA1"/>
    <w:rsid w:val="00E352BC"/>
    <w:rsid w:val="00E355E4"/>
    <w:rsid w:val="00E35768"/>
    <w:rsid w:val="00E3580A"/>
    <w:rsid w:val="00E35B18"/>
    <w:rsid w:val="00E3635A"/>
    <w:rsid w:val="00E36657"/>
    <w:rsid w:val="00E3699A"/>
    <w:rsid w:val="00E36E74"/>
    <w:rsid w:val="00E36F79"/>
    <w:rsid w:val="00E374CA"/>
    <w:rsid w:val="00E374D4"/>
    <w:rsid w:val="00E374E0"/>
    <w:rsid w:val="00E37ED2"/>
    <w:rsid w:val="00E40283"/>
    <w:rsid w:val="00E40C35"/>
    <w:rsid w:val="00E41661"/>
    <w:rsid w:val="00E41702"/>
    <w:rsid w:val="00E41726"/>
    <w:rsid w:val="00E41B50"/>
    <w:rsid w:val="00E41F50"/>
    <w:rsid w:val="00E423D6"/>
    <w:rsid w:val="00E4258A"/>
    <w:rsid w:val="00E42645"/>
    <w:rsid w:val="00E4282C"/>
    <w:rsid w:val="00E42C36"/>
    <w:rsid w:val="00E43439"/>
    <w:rsid w:val="00E4411C"/>
    <w:rsid w:val="00E4478A"/>
    <w:rsid w:val="00E451E6"/>
    <w:rsid w:val="00E452C8"/>
    <w:rsid w:val="00E45665"/>
    <w:rsid w:val="00E456D4"/>
    <w:rsid w:val="00E45BB8"/>
    <w:rsid w:val="00E46554"/>
    <w:rsid w:val="00E466E0"/>
    <w:rsid w:val="00E46F08"/>
    <w:rsid w:val="00E47430"/>
    <w:rsid w:val="00E47476"/>
    <w:rsid w:val="00E4775F"/>
    <w:rsid w:val="00E477B8"/>
    <w:rsid w:val="00E479B2"/>
    <w:rsid w:val="00E50484"/>
    <w:rsid w:val="00E509A0"/>
    <w:rsid w:val="00E50C4F"/>
    <w:rsid w:val="00E5120D"/>
    <w:rsid w:val="00E51919"/>
    <w:rsid w:val="00E519BE"/>
    <w:rsid w:val="00E523F8"/>
    <w:rsid w:val="00E526F0"/>
    <w:rsid w:val="00E53228"/>
    <w:rsid w:val="00E533EC"/>
    <w:rsid w:val="00E53BBD"/>
    <w:rsid w:val="00E53C51"/>
    <w:rsid w:val="00E53D94"/>
    <w:rsid w:val="00E54200"/>
    <w:rsid w:val="00E54283"/>
    <w:rsid w:val="00E54425"/>
    <w:rsid w:val="00E54780"/>
    <w:rsid w:val="00E54AFF"/>
    <w:rsid w:val="00E566A6"/>
    <w:rsid w:val="00E567E9"/>
    <w:rsid w:val="00E57C2C"/>
    <w:rsid w:val="00E57D0E"/>
    <w:rsid w:val="00E57FDB"/>
    <w:rsid w:val="00E6024B"/>
    <w:rsid w:val="00E6087D"/>
    <w:rsid w:val="00E60D93"/>
    <w:rsid w:val="00E611C3"/>
    <w:rsid w:val="00E6145C"/>
    <w:rsid w:val="00E61DAC"/>
    <w:rsid w:val="00E61EA0"/>
    <w:rsid w:val="00E6233B"/>
    <w:rsid w:val="00E62798"/>
    <w:rsid w:val="00E63FCB"/>
    <w:rsid w:val="00E64196"/>
    <w:rsid w:val="00E64220"/>
    <w:rsid w:val="00E647A9"/>
    <w:rsid w:val="00E6490A"/>
    <w:rsid w:val="00E65603"/>
    <w:rsid w:val="00E6625D"/>
    <w:rsid w:val="00E662A4"/>
    <w:rsid w:val="00E66880"/>
    <w:rsid w:val="00E66D0C"/>
    <w:rsid w:val="00E703DA"/>
    <w:rsid w:val="00E70FE0"/>
    <w:rsid w:val="00E710A4"/>
    <w:rsid w:val="00E71414"/>
    <w:rsid w:val="00E717C7"/>
    <w:rsid w:val="00E7181F"/>
    <w:rsid w:val="00E71B33"/>
    <w:rsid w:val="00E71C54"/>
    <w:rsid w:val="00E71C5F"/>
    <w:rsid w:val="00E71FBA"/>
    <w:rsid w:val="00E73A87"/>
    <w:rsid w:val="00E74205"/>
    <w:rsid w:val="00E74312"/>
    <w:rsid w:val="00E748E2"/>
    <w:rsid w:val="00E76349"/>
    <w:rsid w:val="00E765F9"/>
    <w:rsid w:val="00E7680C"/>
    <w:rsid w:val="00E7726D"/>
    <w:rsid w:val="00E776C7"/>
    <w:rsid w:val="00E801AF"/>
    <w:rsid w:val="00E803A7"/>
    <w:rsid w:val="00E80666"/>
    <w:rsid w:val="00E80F6D"/>
    <w:rsid w:val="00E814AC"/>
    <w:rsid w:val="00E81C52"/>
    <w:rsid w:val="00E81E9B"/>
    <w:rsid w:val="00E82047"/>
    <w:rsid w:val="00E82A7A"/>
    <w:rsid w:val="00E82ADB"/>
    <w:rsid w:val="00E8361E"/>
    <w:rsid w:val="00E83B75"/>
    <w:rsid w:val="00E84039"/>
    <w:rsid w:val="00E857FC"/>
    <w:rsid w:val="00E8584E"/>
    <w:rsid w:val="00E86085"/>
    <w:rsid w:val="00E86652"/>
    <w:rsid w:val="00E867B4"/>
    <w:rsid w:val="00E86E5E"/>
    <w:rsid w:val="00E870E3"/>
    <w:rsid w:val="00E87F29"/>
    <w:rsid w:val="00E9038D"/>
    <w:rsid w:val="00E90554"/>
    <w:rsid w:val="00E90FDE"/>
    <w:rsid w:val="00E91445"/>
    <w:rsid w:val="00E91633"/>
    <w:rsid w:val="00E917E1"/>
    <w:rsid w:val="00E91844"/>
    <w:rsid w:val="00E91CF4"/>
    <w:rsid w:val="00E921EB"/>
    <w:rsid w:val="00E9253B"/>
    <w:rsid w:val="00E927C5"/>
    <w:rsid w:val="00E92C22"/>
    <w:rsid w:val="00E92F00"/>
    <w:rsid w:val="00E9465A"/>
    <w:rsid w:val="00E94BF4"/>
    <w:rsid w:val="00E94D67"/>
    <w:rsid w:val="00E94ED6"/>
    <w:rsid w:val="00E950E7"/>
    <w:rsid w:val="00E953A3"/>
    <w:rsid w:val="00E953F3"/>
    <w:rsid w:val="00E95531"/>
    <w:rsid w:val="00E958C6"/>
    <w:rsid w:val="00E95C0C"/>
    <w:rsid w:val="00E95D30"/>
    <w:rsid w:val="00E95F2A"/>
    <w:rsid w:val="00E96473"/>
    <w:rsid w:val="00E966DD"/>
    <w:rsid w:val="00E9758C"/>
    <w:rsid w:val="00E97592"/>
    <w:rsid w:val="00E97684"/>
    <w:rsid w:val="00E976D7"/>
    <w:rsid w:val="00E97F4A"/>
    <w:rsid w:val="00EA0043"/>
    <w:rsid w:val="00EA015D"/>
    <w:rsid w:val="00EA07BA"/>
    <w:rsid w:val="00EA0CE3"/>
    <w:rsid w:val="00EA10DF"/>
    <w:rsid w:val="00EA10EF"/>
    <w:rsid w:val="00EA14E2"/>
    <w:rsid w:val="00EA15E5"/>
    <w:rsid w:val="00EA1E93"/>
    <w:rsid w:val="00EA1EE3"/>
    <w:rsid w:val="00EA210C"/>
    <w:rsid w:val="00EA23A9"/>
    <w:rsid w:val="00EA2A81"/>
    <w:rsid w:val="00EA2DFC"/>
    <w:rsid w:val="00EA35D6"/>
    <w:rsid w:val="00EA360E"/>
    <w:rsid w:val="00EA3879"/>
    <w:rsid w:val="00EA43B2"/>
    <w:rsid w:val="00EA44EB"/>
    <w:rsid w:val="00EA4736"/>
    <w:rsid w:val="00EA4DD5"/>
    <w:rsid w:val="00EA4E80"/>
    <w:rsid w:val="00EA4FFC"/>
    <w:rsid w:val="00EA508E"/>
    <w:rsid w:val="00EA6948"/>
    <w:rsid w:val="00EA7281"/>
    <w:rsid w:val="00EA741A"/>
    <w:rsid w:val="00EA7477"/>
    <w:rsid w:val="00EA77F3"/>
    <w:rsid w:val="00EA79FE"/>
    <w:rsid w:val="00EB07F3"/>
    <w:rsid w:val="00EB09B9"/>
    <w:rsid w:val="00EB0BC2"/>
    <w:rsid w:val="00EB1844"/>
    <w:rsid w:val="00EB1EEB"/>
    <w:rsid w:val="00EB2140"/>
    <w:rsid w:val="00EB2506"/>
    <w:rsid w:val="00EB38B5"/>
    <w:rsid w:val="00EB466C"/>
    <w:rsid w:val="00EB4D3F"/>
    <w:rsid w:val="00EB4DD2"/>
    <w:rsid w:val="00EB4FAB"/>
    <w:rsid w:val="00EB5527"/>
    <w:rsid w:val="00EB5B34"/>
    <w:rsid w:val="00EB5D6A"/>
    <w:rsid w:val="00EB5E0A"/>
    <w:rsid w:val="00EB63BE"/>
    <w:rsid w:val="00EB6712"/>
    <w:rsid w:val="00EB6CFD"/>
    <w:rsid w:val="00EB73BD"/>
    <w:rsid w:val="00EB794D"/>
    <w:rsid w:val="00EC02CB"/>
    <w:rsid w:val="00EC04D5"/>
    <w:rsid w:val="00EC059F"/>
    <w:rsid w:val="00EC069B"/>
    <w:rsid w:val="00EC09F3"/>
    <w:rsid w:val="00EC10EB"/>
    <w:rsid w:val="00EC1B0C"/>
    <w:rsid w:val="00EC2C4E"/>
    <w:rsid w:val="00EC2EEC"/>
    <w:rsid w:val="00EC341C"/>
    <w:rsid w:val="00EC36DB"/>
    <w:rsid w:val="00EC39CA"/>
    <w:rsid w:val="00EC3AD9"/>
    <w:rsid w:val="00EC3F55"/>
    <w:rsid w:val="00EC4C53"/>
    <w:rsid w:val="00EC53C5"/>
    <w:rsid w:val="00EC54F1"/>
    <w:rsid w:val="00EC5D8C"/>
    <w:rsid w:val="00EC64C2"/>
    <w:rsid w:val="00EC685F"/>
    <w:rsid w:val="00EC7022"/>
    <w:rsid w:val="00EC7265"/>
    <w:rsid w:val="00EC7976"/>
    <w:rsid w:val="00ED0125"/>
    <w:rsid w:val="00ED1261"/>
    <w:rsid w:val="00ED134B"/>
    <w:rsid w:val="00ED151B"/>
    <w:rsid w:val="00ED18B3"/>
    <w:rsid w:val="00ED1C5F"/>
    <w:rsid w:val="00ED265E"/>
    <w:rsid w:val="00ED2B1B"/>
    <w:rsid w:val="00ED315C"/>
    <w:rsid w:val="00ED3656"/>
    <w:rsid w:val="00ED3AFD"/>
    <w:rsid w:val="00ED3B05"/>
    <w:rsid w:val="00ED488F"/>
    <w:rsid w:val="00ED51AC"/>
    <w:rsid w:val="00ED5362"/>
    <w:rsid w:val="00ED53D3"/>
    <w:rsid w:val="00ED65BC"/>
    <w:rsid w:val="00ED6B7B"/>
    <w:rsid w:val="00ED6C5D"/>
    <w:rsid w:val="00ED6D7E"/>
    <w:rsid w:val="00EE00A4"/>
    <w:rsid w:val="00EE00AB"/>
    <w:rsid w:val="00EE0323"/>
    <w:rsid w:val="00EE05C7"/>
    <w:rsid w:val="00EE089A"/>
    <w:rsid w:val="00EE147B"/>
    <w:rsid w:val="00EE17EA"/>
    <w:rsid w:val="00EE1867"/>
    <w:rsid w:val="00EE263C"/>
    <w:rsid w:val="00EE2A2A"/>
    <w:rsid w:val="00EE42A2"/>
    <w:rsid w:val="00EE461B"/>
    <w:rsid w:val="00EE48F3"/>
    <w:rsid w:val="00EE4BB6"/>
    <w:rsid w:val="00EE4E0A"/>
    <w:rsid w:val="00EE5965"/>
    <w:rsid w:val="00EE5980"/>
    <w:rsid w:val="00EE5A4E"/>
    <w:rsid w:val="00EE6253"/>
    <w:rsid w:val="00EE6419"/>
    <w:rsid w:val="00EE7809"/>
    <w:rsid w:val="00EE78F9"/>
    <w:rsid w:val="00EE79C9"/>
    <w:rsid w:val="00EE7BA2"/>
    <w:rsid w:val="00EE7FA7"/>
    <w:rsid w:val="00EF02A8"/>
    <w:rsid w:val="00EF0736"/>
    <w:rsid w:val="00EF0BFE"/>
    <w:rsid w:val="00EF23C9"/>
    <w:rsid w:val="00EF26B9"/>
    <w:rsid w:val="00EF2D36"/>
    <w:rsid w:val="00EF348E"/>
    <w:rsid w:val="00EF38D8"/>
    <w:rsid w:val="00EF3EF4"/>
    <w:rsid w:val="00EF417C"/>
    <w:rsid w:val="00EF50A5"/>
    <w:rsid w:val="00EF5568"/>
    <w:rsid w:val="00EF567C"/>
    <w:rsid w:val="00EF5A6A"/>
    <w:rsid w:val="00EF5AFD"/>
    <w:rsid w:val="00EF5FE7"/>
    <w:rsid w:val="00EF606E"/>
    <w:rsid w:val="00EF6E86"/>
    <w:rsid w:val="00EF73E4"/>
    <w:rsid w:val="00EF75D4"/>
    <w:rsid w:val="00F0000F"/>
    <w:rsid w:val="00F000E5"/>
    <w:rsid w:val="00F001E8"/>
    <w:rsid w:val="00F0043F"/>
    <w:rsid w:val="00F008C1"/>
    <w:rsid w:val="00F00AF7"/>
    <w:rsid w:val="00F01066"/>
    <w:rsid w:val="00F012CD"/>
    <w:rsid w:val="00F01611"/>
    <w:rsid w:val="00F016B5"/>
    <w:rsid w:val="00F01A0E"/>
    <w:rsid w:val="00F01D89"/>
    <w:rsid w:val="00F02A79"/>
    <w:rsid w:val="00F02E6C"/>
    <w:rsid w:val="00F031E2"/>
    <w:rsid w:val="00F033E6"/>
    <w:rsid w:val="00F0361D"/>
    <w:rsid w:val="00F03AD9"/>
    <w:rsid w:val="00F0429B"/>
    <w:rsid w:val="00F04BCF"/>
    <w:rsid w:val="00F04FD1"/>
    <w:rsid w:val="00F0515B"/>
    <w:rsid w:val="00F053E2"/>
    <w:rsid w:val="00F0547E"/>
    <w:rsid w:val="00F05984"/>
    <w:rsid w:val="00F059B5"/>
    <w:rsid w:val="00F05BE9"/>
    <w:rsid w:val="00F05F9A"/>
    <w:rsid w:val="00F06301"/>
    <w:rsid w:val="00F067EA"/>
    <w:rsid w:val="00F07694"/>
    <w:rsid w:val="00F07BDD"/>
    <w:rsid w:val="00F07EF5"/>
    <w:rsid w:val="00F07FBB"/>
    <w:rsid w:val="00F106DE"/>
    <w:rsid w:val="00F10AC9"/>
    <w:rsid w:val="00F11BE7"/>
    <w:rsid w:val="00F12195"/>
    <w:rsid w:val="00F1268A"/>
    <w:rsid w:val="00F12CA7"/>
    <w:rsid w:val="00F12D19"/>
    <w:rsid w:val="00F132D0"/>
    <w:rsid w:val="00F13F1B"/>
    <w:rsid w:val="00F1412A"/>
    <w:rsid w:val="00F141CA"/>
    <w:rsid w:val="00F1446F"/>
    <w:rsid w:val="00F14717"/>
    <w:rsid w:val="00F14CA6"/>
    <w:rsid w:val="00F154C8"/>
    <w:rsid w:val="00F1588F"/>
    <w:rsid w:val="00F15F06"/>
    <w:rsid w:val="00F15FE7"/>
    <w:rsid w:val="00F167A8"/>
    <w:rsid w:val="00F16C3D"/>
    <w:rsid w:val="00F16F25"/>
    <w:rsid w:val="00F171EE"/>
    <w:rsid w:val="00F179F9"/>
    <w:rsid w:val="00F17AAE"/>
    <w:rsid w:val="00F17AB0"/>
    <w:rsid w:val="00F17BAF"/>
    <w:rsid w:val="00F2000C"/>
    <w:rsid w:val="00F2010E"/>
    <w:rsid w:val="00F202B9"/>
    <w:rsid w:val="00F20DB4"/>
    <w:rsid w:val="00F21131"/>
    <w:rsid w:val="00F21272"/>
    <w:rsid w:val="00F217A3"/>
    <w:rsid w:val="00F227FD"/>
    <w:rsid w:val="00F22886"/>
    <w:rsid w:val="00F22AC3"/>
    <w:rsid w:val="00F22C27"/>
    <w:rsid w:val="00F22FB7"/>
    <w:rsid w:val="00F235CE"/>
    <w:rsid w:val="00F2393E"/>
    <w:rsid w:val="00F2422F"/>
    <w:rsid w:val="00F242F6"/>
    <w:rsid w:val="00F2485B"/>
    <w:rsid w:val="00F25D1E"/>
    <w:rsid w:val="00F25EA4"/>
    <w:rsid w:val="00F261A2"/>
    <w:rsid w:val="00F2639F"/>
    <w:rsid w:val="00F26760"/>
    <w:rsid w:val="00F26A2A"/>
    <w:rsid w:val="00F2722F"/>
    <w:rsid w:val="00F27536"/>
    <w:rsid w:val="00F300D0"/>
    <w:rsid w:val="00F30AEB"/>
    <w:rsid w:val="00F30B44"/>
    <w:rsid w:val="00F31407"/>
    <w:rsid w:val="00F31856"/>
    <w:rsid w:val="00F3257F"/>
    <w:rsid w:val="00F3289A"/>
    <w:rsid w:val="00F32BB4"/>
    <w:rsid w:val="00F32BC0"/>
    <w:rsid w:val="00F32BD2"/>
    <w:rsid w:val="00F3385A"/>
    <w:rsid w:val="00F34480"/>
    <w:rsid w:val="00F348A0"/>
    <w:rsid w:val="00F348A1"/>
    <w:rsid w:val="00F3497C"/>
    <w:rsid w:val="00F349E4"/>
    <w:rsid w:val="00F34F1E"/>
    <w:rsid w:val="00F358A9"/>
    <w:rsid w:val="00F35D5E"/>
    <w:rsid w:val="00F35F5F"/>
    <w:rsid w:val="00F360AC"/>
    <w:rsid w:val="00F36E4A"/>
    <w:rsid w:val="00F36F28"/>
    <w:rsid w:val="00F37B2F"/>
    <w:rsid w:val="00F37EEE"/>
    <w:rsid w:val="00F4016F"/>
    <w:rsid w:val="00F40242"/>
    <w:rsid w:val="00F408FC"/>
    <w:rsid w:val="00F40AD7"/>
    <w:rsid w:val="00F40DB7"/>
    <w:rsid w:val="00F40F51"/>
    <w:rsid w:val="00F41172"/>
    <w:rsid w:val="00F4169E"/>
    <w:rsid w:val="00F41E68"/>
    <w:rsid w:val="00F42328"/>
    <w:rsid w:val="00F42671"/>
    <w:rsid w:val="00F42692"/>
    <w:rsid w:val="00F42DBE"/>
    <w:rsid w:val="00F42E68"/>
    <w:rsid w:val="00F42F7C"/>
    <w:rsid w:val="00F430A5"/>
    <w:rsid w:val="00F43E31"/>
    <w:rsid w:val="00F44650"/>
    <w:rsid w:val="00F447C2"/>
    <w:rsid w:val="00F4517D"/>
    <w:rsid w:val="00F45420"/>
    <w:rsid w:val="00F45D82"/>
    <w:rsid w:val="00F46051"/>
    <w:rsid w:val="00F4790E"/>
    <w:rsid w:val="00F50530"/>
    <w:rsid w:val="00F506CD"/>
    <w:rsid w:val="00F50B23"/>
    <w:rsid w:val="00F50CB0"/>
    <w:rsid w:val="00F51140"/>
    <w:rsid w:val="00F5169E"/>
    <w:rsid w:val="00F51C06"/>
    <w:rsid w:val="00F51CEE"/>
    <w:rsid w:val="00F524CB"/>
    <w:rsid w:val="00F52738"/>
    <w:rsid w:val="00F5291D"/>
    <w:rsid w:val="00F52C85"/>
    <w:rsid w:val="00F52DE6"/>
    <w:rsid w:val="00F52E79"/>
    <w:rsid w:val="00F53134"/>
    <w:rsid w:val="00F539F1"/>
    <w:rsid w:val="00F5412A"/>
    <w:rsid w:val="00F54657"/>
    <w:rsid w:val="00F54CC8"/>
    <w:rsid w:val="00F54FBB"/>
    <w:rsid w:val="00F55F60"/>
    <w:rsid w:val="00F56314"/>
    <w:rsid w:val="00F56ADB"/>
    <w:rsid w:val="00F56DC0"/>
    <w:rsid w:val="00F579CC"/>
    <w:rsid w:val="00F60452"/>
    <w:rsid w:val="00F6054E"/>
    <w:rsid w:val="00F6090C"/>
    <w:rsid w:val="00F60C36"/>
    <w:rsid w:val="00F61240"/>
    <w:rsid w:val="00F612C8"/>
    <w:rsid w:val="00F61745"/>
    <w:rsid w:val="00F618DF"/>
    <w:rsid w:val="00F61AA3"/>
    <w:rsid w:val="00F61D9F"/>
    <w:rsid w:val="00F61DE6"/>
    <w:rsid w:val="00F62741"/>
    <w:rsid w:val="00F62C28"/>
    <w:rsid w:val="00F63168"/>
    <w:rsid w:val="00F63193"/>
    <w:rsid w:val="00F63E18"/>
    <w:rsid w:val="00F644E4"/>
    <w:rsid w:val="00F64816"/>
    <w:rsid w:val="00F654AA"/>
    <w:rsid w:val="00F66013"/>
    <w:rsid w:val="00F669B9"/>
    <w:rsid w:val="00F66A3B"/>
    <w:rsid w:val="00F66FE7"/>
    <w:rsid w:val="00F677D9"/>
    <w:rsid w:val="00F67AA2"/>
    <w:rsid w:val="00F67AF7"/>
    <w:rsid w:val="00F7000C"/>
    <w:rsid w:val="00F702FC"/>
    <w:rsid w:val="00F71008"/>
    <w:rsid w:val="00F71582"/>
    <w:rsid w:val="00F72EB6"/>
    <w:rsid w:val="00F732FD"/>
    <w:rsid w:val="00F737DB"/>
    <w:rsid w:val="00F73BC5"/>
    <w:rsid w:val="00F73F7C"/>
    <w:rsid w:val="00F74FCD"/>
    <w:rsid w:val="00F75823"/>
    <w:rsid w:val="00F75A81"/>
    <w:rsid w:val="00F75FF9"/>
    <w:rsid w:val="00F77057"/>
    <w:rsid w:val="00F77886"/>
    <w:rsid w:val="00F77DC4"/>
    <w:rsid w:val="00F77E31"/>
    <w:rsid w:val="00F77FBF"/>
    <w:rsid w:val="00F802FB"/>
    <w:rsid w:val="00F8111E"/>
    <w:rsid w:val="00F81295"/>
    <w:rsid w:val="00F81588"/>
    <w:rsid w:val="00F81648"/>
    <w:rsid w:val="00F81978"/>
    <w:rsid w:val="00F81B40"/>
    <w:rsid w:val="00F81DC2"/>
    <w:rsid w:val="00F8204F"/>
    <w:rsid w:val="00F821BA"/>
    <w:rsid w:val="00F822D2"/>
    <w:rsid w:val="00F82507"/>
    <w:rsid w:val="00F826F5"/>
    <w:rsid w:val="00F82755"/>
    <w:rsid w:val="00F82B42"/>
    <w:rsid w:val="00F8337F"/>
    <w:rsid w:val="00F8349E"/>
    <w:rsid w:val="00F83715"/>
    <w:rsid w:val="00F8417F"/>
    <w:rsid w:val="00F842D3"/>
    <w:rsid w:val="00F84630"/>
    <w:rsid w:val="00F8482D"/>
    <w:rsid w:val="00F84A29"/>
    <w:rsid w:val="00F84B8D"/>
    <w:rsid w:val="00F84D34"/>
    <w:rsid w:val="00F85502"/>
    <w:rsid w:val="00F85B91"/>
    <w:rsid w:val="00F85BC4"/>
    <w:rsid w:val="00F863DA"/>
    <w:rsid w:val="00F86749"/>
    <w:rsid w:val="00F86B31"/>
    <w:rsid w:val="00F86B90"/>
    <w:rsid w:val="00F8780A"/>
    <w:rsid w:val="00F87C79"/>
    <w:rsid w:val="00F87D01"/>
    <w:rsid w:val="00F87EF7"/>
    <w:rsid w:val="00F90436"/>
    <w:rsid w:val="00F90E13"/>
    <w:rsid w:val="00F913C1"/>
    <w:rsid w:val="00F91475"/>
    <w:rsid w:val="00F92ECB"/>
    <w:rsid w:val="00F93419"/>
    <w:rsid w:val="00F93543"/>
    <w:rsid w:val="00F937FC"/>
    <w:rsid w:val="00F9413D"/>
    <w:rsid w:val="00F94C91"/>
    <w:rsid w:val="00F9518E"/>
    <w:rsid w:val="00F9527A"/>
    <w:rsid w:val="00F95AEC"/>
    <w:rsid w:val="00F9657F"/>
    <w:rsid w:val="00F96984"/>
    <w:rsid w:val="00F96B18"/>
    <w:rsid w:val="00F9722C"/>
    <w:rsid w:val="00F9739F"/>
    <w:rsid w:val="00F975DD"/>
    <w:rsid w:val="00F97CBC"/>
    <w:rsid w:val="00F97E52"/>
    <w:rsid w:val="00F97F11"/>
    <w:rsid w:val="00FA04C6"/>
    <w:rsid w:val="00FA0E11"/>
    <w:rsid w:val="00FA0FC5"/>
    <w:rsid w:val="00FA119B"/>
    <w:rsid w:val="00FA1291"/>
    <w:rsid w:val="00FA165E"/>
    <w:rsid w:val="00FA1A15"/>
    <w:rsid w:val="00FA2883"/>
    <w:rsid w:val="00FA2AC9"/>
    <w:rsid w:val="00FA33BC"/>
    <w:rsid w:val="00FA35C9"/>
    <w:rsid w:val="00FA4876"/>
    <w:rsid w:val="00FA493A"/>
    <w:rsid w:val="00FA5090"/>
    <w:rsid w:val="00FA5204"/>
    <w:rsid w:val="00FA53BD"/>
    <w:rsid w:val="00FA5A84"/>
    <w:rsid w:val="00FA5EC9"/>
    <w:rsid w:val="00FA61C1"/>
    <w:rsid w:val="00FA62DC"/>
    <w:rsid w:val="00FA6476"/>
    <w:rsid w:val="00FA64E7"/>
    <w:rsid w:val="00FA68C6"/>
    <w:rsid w:val="00FA72A2"/>
    <w:rsid w:val="00FA7455"/>
    <w:rsid w:val="00FA75CF"/>
    <w:rsid w:val="00FA77F1"/>
    <w:rsid w:val="00FA792D"/>
    <w:rsid w:val="00FA7A7B"/>
    <w:rsid w:val="00FA7E0C"/>
    <w:rsid w:val="00FB06CC"/>
    <w:rsid w:val="00FB0968"/>
    <w:rsid w:val="00FB1F1A"/>
    <w:rsid w:val="00FB29D3"/>
    <w:rsid w:val="00FB2A35"/>
    <w:rsid w:val="00FB3BDA"/>
    <w:rsid w:val="00FB44B7"/>
    <w:rsid w:val="00FB4773"/>
    <w:rsid w:val="00FB48D4"/>
    <w:rsid w:val="00FB4948"/>
    <w:rsid w:val="00FB4B1C"/>
    <w:rsid w:val="00FB5439"/>
    <w:rsid w:val="00FB5576"/>
    <w:rsid w:val="00FB5F2B"/>
    <w:rsid w:val="00FB6086"/>
    <w:rsid w:val="00FB62C0"/>
    <w:rsid w:val="00FB65C9"/>
    <w:rsid w:val="00FB6823"/>
    <w:rsid w:val="00FB6A76"/>
    <w:rsid w:val="00FB6ACC"/>
    <w:rsid w:val="00FB794E"/>
    <w:rsid w:val="00FB7FCB"/>
    <w:rsid w:val="00FC04A6"/>
    <w:rsid w:val="00FC0781"/>
    <w:rsid w:val="00FC07D5"/>
    <w:rsid w:val="00FC0871"/>
    <w:rsid w:val="00FC0E9B"/>
    <w:rsid w:val="00FC0EAE"/>
    <w:rsid w:val="00FC126C"/>
    <w:rsid w:val="00FC12B1"/>
    <w:rsid w:val="00FC13CF"/>
    <w:rsid w:val="00FC1F81"/>
    <w:rsid w:val="00FC2012"/>
    <w:rsid w:val="00FC25F0"/>
    <w:rsid w:val="00FC27B2"/>
    <w:rsid w:val="00FC31E2"/>
    <w:rsid w:val="00FC3248"/>
    <w:rsid w:val="00FC3434"/>
    <w:rsid w:val="00FC351C"/>
    <w:rsid w:val="00FC3FA9"/>
    <w:rsid w:val="00FC423C"/>
    <w:rsid w:val="00FC49F5"/>
    <w:rsid w:val="00FC4BD1"/>
    <w:rsid w:val="00FC5373"/>
    <w:rsid w:val="00FC5574"/>
    <w:rsid w:val="00FC589C"/>
    <w:rsid w:val="00FC5E3F"/>
    <w:rsid w:val="00FC6FCA"/>
    <w:rsid w:val="00FC7750"/>
    <w:rsid w:val="00FD0C4F"/>
    <w:rsid w:val="00FD0DE6"/>
    <w:rsid w:val="00FD115C"/>
    <w:rsid w:val="00FD1771"/>
    <w:rsid w:val="00FD19C2"/>
    <w:rsid w:val="00FD1FF9"/>
    <w:rsid w:val="00FD21ED"/>
    <w:rsid w:val="00FD24F7"/>
    <w:rsid w:val="00FD2865"/>
    <w:rsid w:val="00FD3D3B"/>
    <w:rsid w:val="00FD4046"/>
    <w:rsid w:val="00FD41F8"/>
    <w:rsid w:val="00FD4823"/>
    <w:rsid w:val="00FD49F1"/>
    <w:rsid w:val="00FD5070"/>
    <w:rsid w:val="00FD5224"/>
    <w:rsid w:val="00FD5431"/>
    <w:rsid w:val="00FD5F0E"/>
    <w:rsid w:val="00FD622C"/>
    <w:rsid w:val="00FD69F0"/>
    <w:rsid w:val="00FD6AE0"/>
    <w:rsid w:val="00FD74A9"/>
    <w:rsid w:val="00FD77F6"/>
    <w:rsid w:val="00FD782A"/>
    <w:rsid w:val="00FD7B73"/>
    <w:rsid w:val="00FE04C3"/>
    <w:rsid w:val="00FE18EA"/>
    <w:rsid w:val="00FE1E9B"/>
    <w:rsid w:val="00FE1F14"/>
    <w:rsid w:val="00FE215B"/>
    <w:rsid w:val="00FE23CC"/>
    <w:rsid w:val="00FE3186"/>
    <w:rsid w:val="00FE3303"/>
    <w:rsid w:val="00FE38A9"/>
    <w:rsid w:val="00FE3D98"/>
    <w:rsid w:val="00FE4205"/>
    <w:rsid w:val="00FE4865"/>
    <w:rsid w:val="00FE4B79"/>
    <w:rsid w:val="00FE4DED"/>
    <w:rsid w:val="00FE5084"/>
    <w:rsid w:val="00FE50F5"/>
    <w:rsid w:val="00FE519C"/>
    <w:rsid w:val="00FE51B1"/>
    <w:rsid w:val="00FE52C7"/>
    <w:rsid w:val="00FE5420"/>
    <w:rsid w:val="00FE57C2"/>
    <w:rsid w:val="00FE5823"/>
    <w:rsid w:val="00FE5849"/>
    <w:rsid w:val="00FE5C2F"/>
    <w:rsid w:val="00FE63B5"/>
    <w:rsid w:val="00FE6401"/>
    <w:rsid w:val="00FE6420"/>
    <w:rsid w:val="00FE68F4"/>
    <w:rsid w:val="00FE6C1A"/>
    <w:rsid w:val="00FE6F2E"/>
    <w:rsid w:val="00FE7BE7"/>
    <w:rsid w:val="00FF00BE"/>
    <w:rsid w:val="00FF08DA"/>
    <w:rsid w:val="00FF0C6B"/>
    <w:rsid w:val="00FF0F59"/>
    <w:rsid w:val="00FF1555"/>
    <w:rsid w:val="00FF1DB6"/>
    <w:rsid w:val="00FF2896"/>
    <w:rsid w:val="00FF2D5F"/>
    <w:rsid w:val="00FF3166"/>
    <w:rsid w:val="00FF32A1"/>
    <w:rsid w:val="00FF33A0"/>
    <w:rsid w:val="00FF359C"/>
    <w:rsid w:val="00FF3E20"/>
    <w:rsid w:val="00FF41BA"/>
    <w:rsid w:val="00FF4515"/>
    <w:rsid w:val="00FF4C7F"/>
    <w:rsid w:val="00FF4E13"/>
    <w:rsid w:val="00FF4E89"/>
    <w:rsid w:val="00FF50A9"/>
    <w:rsid w:val="00FF50E2"/>
    <w:rsid w:val="00FF56BE"/>
    <w:rsid w:val="00FF60E9"/>
    <w:rsid w:val="00FF7318"/>
    <w:rsid w:val="00FF7AD7"/>
    <w:rsid w:val="00FF7E46"/>
    <w:rsid w:val="012E34BF"/>
    <w:rsid w:val="01B8650E"/>
    <w:rsid w:val="01CF603C"/>
    <w:rsid w:val="02D32C9B"/>
    <w:rsid w:val="03D0983A"/>
    <w:rsid w:val="04258030"/>
    <w:rsid w:val="0465DEE6"/>
    <w:rsid w:val="067C536C"/>
    <w:rsid w:val="091C85AB"/>
    <w:rsid w:val="097C895E"/>
    <w:rsid w:val="0A73B59F"/>
    <w:rsid w:val="0B0764CC"/>
    <w:rsid w:val="0B1B6FBC"/>
    <w:rsid w:val="0E3A810B"/>
    <w:rsid w:val="0F99C986"/>
    <w:rsid w:val="11054041"/>
    <w:rsid w:val="110D6BF4"/>
    <w:rsid w:val="11FC40AE"/>
    <w:rsid w:val="1354B308"/>
    <w:rsid w:val="14C1C0EF"/>
    <w:rsid w:val="1C4EEB4F"/>
    <w:rsid w:val="1C61895D"/>
    <w:rsid w:val="1F4B58DC"/>
    <w:rsid w:val="1F71CDD3"/>
    <w:rsid w:val="1FA54860"/>
    <w:rsid w:val="206D6205"/>
    <w:rsid w:val="23D67CB3"/>
    <w:rsid w:val="23EEDE43"/>
    <w:rsid w:val="253360D2"/>
    <w:rsid w:val="285676B7"/>
    <w:rsid w:val="295DD69E"/>
    <w:rsid w:val="2B05AB0B"/>
    <w:rsid w:val="2C92A1CC"/>
    <w:rsid w:val="2D0B0436"/>
    <w:rsid w:val="2DB29B19"/>
    <w:rsid w:val="2DC711C2"/>
    <w:rsid w:val="2DFA443E"/>
    <w:rsid w:val="2F3CCD0C"/>
    <w:rsid w:val="318B8DF5"/>
    <w:rsid w:val="33282B86"/>
    <w:rsid w:val="35454C39"/>
    <w:rsid w:val="39310DC9"/>
    <w:rsid w:val="3965A0D3"/>
    <w:rsid w:val="39715346"/>
    <w:rsid w:val="39AEBDB8"/>
    <w:rsid w:val="39D2073E"/>
    <w:rsid w:val="39F555E1"/>
    <w:rsid w:val="3AD2F0BE"/>
    <w:rsid w:val="3BC81A55"/>
    <w:rsid w:val="3E0F3BD1"/>
    <w:rsid w:val="3F7A279A"/>
    <w:rsid w:val="4086F7AE"/>
    <w:rsid w:val="4100C7FB"/>
    <w:rsid w:val="4109C2FD"/>
    <w:rsid w:val="42D2E636"/>
    <w:rsid w:val="435897B7"/>
    <w:rsid w:val="45794C08"/>
    <w:rsid w:val="464F9AE2"/>
    <w:rsid w:val="46FB827E"/>
    <w:rsid w:val="4853AE46"/>
    <w:rsid w:val="49B35465"/>
    <w:rsid w:val="4A033A13"/>
    <w:rsid w:val="4AEDF70F"/>
    <w:rsid w:val="4D101CB5"/>
    <w:rsid w:val="500413ED"/>
    <w:rsid w:val="525932A6"/>
    <w:rsid w:val="53EC7103"/>
    <w:rsid w:val="5427F854"/>
    <w:rsid w:val="55595C70"/>
    <w:rsid w:val="55795C3F"/>
    <w:rsid w:val="55AD611B"/>
    <w:rsid w:val="55FDC0F1"/>
    <w:rsid w:val="564FFD16"/>
    <w:rsid w:val="5809F6EB"/>
    <w:rsid w:val="593AB918"/>
    <w:rsid w:val="5B9428CE"/>
    <w:rsid w:val="5C817D37"/>
    <w:rsid w:val="5D0D0A5A"/>
    <w:rsid w:val="5D9EDFEC"/>
    <w:rsid w:val="5DF72FED"/>
    <w:rsid w:val="5EA07D6E"/>
    <w:rsid w:val="5F46C35B"/>
    <w:rsid w:val="600CF5B9"/>
    <w:rsid w:val="60F20835"/>
    <w:rsid w:val="6149F34F"/>
    <w:rsid w:val="61F83448"/>
    <w:rsid w:val="625E9A82"/>
    <w:rsid w:val="63A5BDC4"/>
    <w:rsid w:val="67066388"/>
    <w:rsid w:val="69580A71"/>
    <w:rsid w:val="6A057557"/>
    <w:rsid w:val="6C0024F2"/>
    <w:rsid w:val="6C442BEA"/>
    <w:rsid w:val="6CE16A9F"/>
    <w:rsid w:val="6D7BD3F4"/>
    <w:rsid w:val="6EDA2252"/>
    <w:rsid w:val="6EEA41D9"/>
    <w:rsid w:val="707DB533"/>
    <w:rsid w:val="70E2F5BF"/>
    <w:rsid w:val="714A8282"/>
    <w:rsid w:val="75353B51"/>
    <w:rsid w:val="761F8E3D"/>
    <w:rsid w:val="7677AF76"/>
    <w:rsid w:val="77D5FB84"/>
    <w:rsid w:val="79B34637"/>
    <w:rsid w:val="79F9B4F3"/>
    <w:rsid w:val="7A7A15CC"/>
    <w:rsid w:val="7AB442B9"/>
    <w:rsid w:val="7B3DBFBA"/>
    <w:rsid w:val="7BC89208"/>
    <w:rsid w:val="7C7B95FD"/>
    <w:rsid w:val="7CC23074"/>
    <w:rsid w:val="7D1AC4B7"/>
    <w:rsid w:val="7D77C14B"/>
    <w:rsid w:val="7F217760"/>
    <w:rsid w:val="7F6C09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BF79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E46F08"/>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E46F08"/>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E46F08"/>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E46F08"/>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E46F08"/>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E46F08"/>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E46F08"/>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E46F08"/>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E46F08"/>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styleId="FollowedHyperlink">
    <w:name w:val="FollowedHyperlink"/>
    <w:basedOn w:val="DefaultParagraphFont"/>
    <w:uiPriority w:val="99"/>
    <w:semiHidden/>
    <w:unhideWhenUsed/>
    <w:rsid w:val="001F36BA"/>
    <w:rPr>
      <w:color w:val="954F72" w:themeColor="followedHyperlink"/>
      <w:u w:val="single"/>
    </w:rPr>
  </w:style>
  <w:style w:type="paragraph" w:styleId="Revision">
    <w:name w:val="Revision"/>
    <w:hidden/>
    <w:uiPriority w:val="99"/>
    <w:semiHidden/>
    <w:rsid w:val="00D04B75"/>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4F13A7"/>
    <w:rPr>
      <w:color w:val="2B579A"/>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3448F3"/>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B03AF60-BB17-495B-9F88-FA725C332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B844A2EC-A42E-4EDA-A160-0AF1489B28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7EEF0E-96F0-429D-8AC0-28924BCA1799}">
  <ds:schemaRefs>
    <ds:schemaRef ds:uri="http://schemas.microsoft.com/sharepoint/v3/contenttype/forms"/>
  </ds:schemaRefs>
</ds:datastoreItem>
</file>

<file path=customXml/itemProps5.xml><?xml version="1.0" encoding="utf-8"?>
<ds:datastoreItem xmlns:ds="http://schemas.openxmlformats.org/officeDocument/2006/customXml" ds:itemID="{6D91431F-5A84-4C82-8D0C-C2F5C8B5F0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4423</Words>
  <Characters>26632</Characters>
  <Application>Microsoft Office Word</Application>
  <DocSecurity>0</DocSecurity>
  <Lines>543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2024-12-09T11:49:00Z</dcterms:created>
  <dcterms:modified xsi:type="dcterms:W3CDTF">2024-12-09T11:49:00Z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b4bd5258-35e1-4656-8f93-31f68b7a92b0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2024-12-09T11:45:44Z</vt:lpwstr>
  </property>
  <property fmtid="{D5CDD505-2E9C-101B-9397-08002B2CF9AE}" pid="8" name="MSIP_Label_bd24d06a-0e85-4d57-b1e0-ba34b1abc708_SiteId">
    <vt:lpwstr>19caa9e9-04ff-43fa-885f-d77fac387903</vt:lpwstr>
  </property>
</Properties>
</file>